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A54FB07" w14:textId="70577C28" w:rsidR="00D751FB" w:rsidRPr="0051039E" w:rsidRDefault="0097590C" w:rsidP="00C02410">
      <w:pPr>
        <w:pBdr>
          <w:bottom w:val="single" w:sz="18" w:space="1" w:color="auto"/>
        </w:pBdr>
        <w:tabs>
          <w:tab w:val="left" w:pos="-1440"/>
          <w:tab w:val="left" w:pos="-720"/>
          <w:tab w:val="left" w:pos="1"/>
        </w:tabs>
        <w:jc w:val="both"/>
        <w:rPr>
          <w:rFonts w:ascii="Arial" w:hAnsi="Arial"/>
          <w:b/>
          <w:sz w:val="24"/>
          <w:lang w:val="en-GB"/>
        </w:rPr>
      </w:pPr>
      <w:r w:rsidRPr="0097590C">
        <w:rPr>
          <w:rFonts w:ascii="Arial" w:hAnsi="Arial"/>
          <w:b/>
          <w:noProof/>
          <w:sz w:val="24"/>
          <w:lang w:val="en-CA" w:eastAsia="en-CA"/>
        </w:rPr>
        <w:drawing>
          <wp:inline distT="0" distB="0" distL="0" distR="0" wp14:anchorId="604852C5" wp14:editId="519C32D8">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61BBD9A0" w14:textId="4C349620" w:rsidR="00C02410" w:rsidRPr="0051039E" w:rsidRDefault="0097590C" w:rsidP="00C02410">
      <w:pPr>
        <w:pStyle w:val="ProductNumber"/>
        <w:rPr>
          <w:lang w:val="en-GB"/>
        </w:rPr>
      </w:pPr>
      <w:r>
        <w:rPr>
          <w:lang w:val="en-GB"/>
        </w:rPr>
        <w:t>9B19M</w:t>
      </w:r>
      <w:r w:rsidR="002B3880">
        <w:rPr>
          <w:lang w:val="en-GB"/>
        </w:rPr>
        <w:t>049</w:t>
      </w:r>
    </w:p>
    <w:p w14:paraId="4E057522" w14:textId="7A113CB1" w:rsidR="00D75295" w:rsidRPr="0051039E" w:rsidRDefault="00D75295" w:rsidP="00D75295">
      <w:pPr>
        <w:jc w:val="right"/>
        <w:rPr>
          <w:rFonts w:ascii="Arial" w:hAnsi="Arial"/>
          <w:b/>
          <w:lang w:val="en-GB"/>
        </w:rPr>
      </w:pPr>
    </w:p>
    <w:p w14:paraId="02524312" w14:textId="77777777" w:rsidR="001901C0" w:rsidRPr="0051039E" w:rsidRDefault="001901C0" w:rsidP="00D75295">
      <w:pPr>
        <w:jc w:val="right"/>
        <w:rPr>
          <w:rFonts w:ascii="Arial" w:hAnsi="Arial"/>
          <w:b/>
          <w:lang w:val="en-GB"/>
        </w:rPr>
      </w:pPr>
    </w:p>
    <w:p w14:paraId="2F03D26A" w14:textId="6C5959CB" w:rsidR="00013360" w:rsidRPr="0051039E" w:rsidRDefault="00D751FB" w:rsidP="00013360">
      <w:pPr>
        <w:pStyle w:val="CaseTitle"/>
        <w:spacing w:after="0" w:line="240" w:lineRule="auto"/>
        <w:rPr>
          <w:sz w:val="20"/>
          <w:szCs w:val="20"/>
          <w:lang w:val="en-GB"/>
        </w:rPr>
      </w:pPr>
      <w:r w:rsidRPr="0051039E">
        <w:rPr>
          <w:lang w:val="en-GB"/>
        </w:rPr>
        <w:t>General Motors and the electric car revolution: Boom or bust?</w:t>
      </w:r>
      <w:r w:rsidR="00092B90" w:rsidRPr="0051039E">
        <w:rPr>
          <w:rStyle w:val="EndnoteReference"/>
          <w:lang w:val="en-GB"/>
        </w:rPr>
        <w:endnoteReference w:id="1"/>
      </w:r>
    </w:p>
    <w:p w14:paraId="40ABF6FD" w14:textId="77777777" w:rsidR="00CA3976" w:rsidRPr="0051039E" w:rsidRDefault="00CA3976" w:rsidP="00013360">
      <w:pPr>
        <w:pStyle w:val="CaseTitle"/>
        <w:spacing w:after="0" w:line="240" w:lineRule="auto"/>
        <w:rPr>
          <w:sz w:val="20"/>
          <w:szCs w:val="20"/>
          <w:lang w:val="en-GB"/>
        </w:rPr>
      </w:pPr>
    </w:p>
    <w:p w14:paraId="202F1085" w14:textId="77777777" w:rsidR="00013360" w:rsidRPr="0051039E" w:rsidRDefault="00013360" w:rsidP="00013360">
      <w:pPr>
        <w:pStyle w:val="CaseTitle"/>
        <w:spacing w:after="0" w:line="240" w:lineRule="auto"/>
        <w:rPr>
          <w:sz w:val="20"/>
          <w:szCs w:val="20"/>
          <w:lang w:val="en-GB"/>
        </w:rPr>
      </w:pPr>
    </w:p>
    <w:p w14:paraId="58B0C73F" w14:textId="2E1B289B" w:rsidR="00086B26" w:rsidRPr="0051039E" w:rsidRDefault="00D751FB" w:rsidP="00086B26">
      <w:pPr>
        <w:pStyle w:val="StyleCopyrightStatementAfter0ptBottomSinglesolidline1"/>
        <w:rPr>
          <w:lang w:val="en-GB"/>
        </w:rPr>
      </w:pPr>
      <w:r w:rsidRPr="000360DD">
        <w:rPr>
          <w:rStyle w:val="Hyperlink"/>
          <w:color w:val="auto"/>
          <w:u w:val="none"/>
          <w:lang w:val="en-GB"/>
        </w:rPr>
        <w:t>Daniel Doiron</w:t>
      </w:r>
      <w:r w:rsidRPr="0051039E">
        <w:rPr>
          <w:color w:val="auto"/>
          <w:lang w:val="en-GB"/>
        </w:rPr>
        <w:t xml:space="preserve"> and </w:t>
      </w:r>
      <w:r w:rsidRPr="000360DD">
        <w:rPr>
          <w:rStyle w:val="Hyperlink"/>
          <w:color w:val="auto"/>
          <w:u w:val="none"/>
          <w:lang w:val="en-GB"/>
        </w:rPr>
        <w:t>John Higgins</w:t>
      </w:r>
      <w:r w:rsidR="00ED7922" w:rsidRPr="0051039E">
        <w:rPr>
          <w:rFonts w:cs="Arial"/>
          <w:color w:val="auto"/>
          <w:szCs w:val="16"/>
          <w:lang w:val="en-GB"/>
        </w:rPr>
        <w:t xml:space="preserve"> </w:t>
      </w:r>
      <w:r w:rsidR="00086B26" w:rsidRPr="0051039E">
        <w:rPr>
          <w:color w:val="auto"/>
          <w:lang w:val="en-GB"/>
        </w:rPr>
        <w:t>wrot</w:t>
      </w:r>
      <w:r w:rsidR="00086B26" w:rsidRPr="0051039E">
        <w:rPr>
          <w:lang w:val="en-GB"/>
        </w:rPr>
        <w: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14:paraId="10D89D5F" w14:textId="77777777" w:rsidR="00086B26" w:rsidRPr="0051039E" w:rsidRDefault="00086B26" w:rsidP="00086B26">
      <w:pPr>
        <w:pStyle w:val="StyleCopyrightStatementAfter0ptBottomSinglesolidline1"/>
        <w:rPr>
          <w:lang w:val="en-GB"/>
        </w:rPr>
      </w:pPr>
    </w:p>
    <w:p w14:paraId="35BE5628" w14:textId="77777777" w:rsidR="0097590C" w:rsidRDefault="0097590C" w:rsidP="0097590C">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1DDB80C8" w14:textId="77777777" w:rsidR="0097590C" w:rsidRDefault="0097590C" w:rsidP="0097590C">
      <w:pPr>
        <w:pStyle w:val="StyleStyleCopyrightStatementAfter0ptBottomSinglesolid"/>
        <w:rPr>
          <w:rFonts w:cs="Arial"/>
          <w:color w:val="FFFFFF" w:themeColor="background1"/>
          <w:szCs w:val="16"/>
        </w:rPr>
      </w:pPr>
    </w:p>
    <w:p w14:paraId="3922E14F" w14:textId="3F71AC48" w:rsidR="00751E0B" w:rsidRPr="0097590C" w:rsidRDefault="0097590C" w:rsidP="00A323B0">
      <w:pPr>
        <w:pStyle w:val="StyleStyleCopyrightStatementAfter0ptBottomSinglesolid"/>
        <w:rPr>
          <w:rFonts w:cs="Arial"/>
          <w:color w:val="FFFFFF" w:themeColor="background1"/>
          <w:szCs w:val="16"/>
        </w:rPr>
      </w:pPr>
      <w:r>
        <w:rPr>
          <w:rFonts w:cs="Arial"/>
          <w:iCs w:val="0"/>
          <w:color w:val="auto"/>
          <w:szCs w:val="16"/>
        </w:rPr>
        <w:t>Copyright © 2019</w:t>
      </w:r>
      <w:r w:rsidRPr="00A323B0">
        <w:rPr>
          <w:rFonts w:cs="Arial"/>
          <w:iCs w:val="0"/>
          <w:color w:val="auto"/>
          <w:szCs w:val="16"/>
        </w:rPr>
        <w:t xml:space="preserve">, </w:t>
      </w:r>
      <w:r w:rsidRPr="00A323B0">
        <w:rPr>
          <w:rFonts w:cs="Arial"/>
          <w:iCs w:val="0"/>
          <w:color w:val="auto"/>
          <w:szCs w:val="16"/>
          <w:lang w:val="en-CA"/>
        </w:rPr>
        <w:t>Ivey Business School Foundation</w:t>
      </w:r>
      <w:r w:rsidR="00A323B0" w:rsidRPr="0051039E">
        <w:rPr>
          <w:rFonts w:cs="Arial"/>
          <w:iCs w:val="0"/>
          <w:color w:val="auto"/>
          <w:szCs w:val="16"/>
          <w:lang w:val="en-GB"/>
        </w:rPr>
        <w:tab/>
      </w:r>
      <w:r w:rsidR="007D3B30" w:rsidRPr="0051039E">
        <w:rPr>
          <w:rFonts w:cs="Arial"/>
          <w:iCs w:val="0"/>
          <w:color w:val="auto"/>
          <w:szCs w:val="16"/>
          <w:lang w:val="en-GB"/>
        </w:rPr>
        <w:t>Version: 2019-0</w:t>
      </w:r>
      <w:r w:rsidR="002B3880">
        <w:rPr>
          <w:rFonts w:cs="Arial"/>
          <w:iCs w:val="0"/>
          <w:color w:val="auto"/>
          <w:szCs w:val="16"/>
          <w:lang w:val="en-GB"/>
        </w:rPr>
        <w:t>6</w:t>
      </w:r>
      <w:r w:rsidR="00072234" w:rsidRPr="0051039E">
        <w:rPr>
          <w:rFonts w:cs="Arial"/>
          <w:iCs w:val="0"/>
          <w:color w:val="auto"/>
          <w:szCs w:val="16"/>
          <w:lang w:val="en-GB"/>
        </w:rPr>
        <w:t>-</w:t>
      </w:r>
      <w:r w:rsidR="002B3880">
        <w:rPr>
          <w:rFonts w:cs="Arial"/>
          <w:iCs w:val="0"/>
          <w:color w:val="auto"/>
          <w:szCs w:val="16"/>
          <w:lang w:val="en-GB"/>
        </w:rPr>
        <w:t>0</w:t>
      </w:r>
      <w:r w:rsidR="00E70A21">
        <w:rPr>
          <w:rFonts w:cs="Arial"/>
          <w:iCs w:val="0"/>
          <w:color w:val="auto"/>
          <w:szCs w:val="16"/>
          <w:lang w:val="en-GB"/>
        </w:rPr>
        <w:t>7</w:t>
      </w:r>
    </w:p>
    <w:p w14:paraId="0A2A54E4" w14:textId="77777777" w:rsidR="00751E0B" w:rsidRPr="0051039E" w:rsidRDefault="00751E0B" w:rsidP="00751E0B">
      <w:pPr>
        <w:pStyle w:val="StyleCopyrightStatementAfter0ptBottomSinglesolidline1"/>
        <w:rPr>
          <w:rFonts w:ascii="Times New Roman" w:hAnsi="Times New Roman"/>
          <w:sz w:val="20"/>
          <w:lang w:val="en-GB"/>
        </w:rPr>
      </w:pPr>
    </w:p>
    <w:p w14:paraId="2963C70F" w14:textId="77777777" w:rsidR="00D751FB" w:rsidRPr="0051039E" w:rsidRDefault="00D751FB" w:rsidP="00751E0B">
      <w:pPr>
        <w:pStyle w:val="StyleCopyrightStatementAfter0ptBottomSinglesolidline1"/>
        <w:rPr>
          <w:rFonts w:ascii="Times New Roman" w:hAnsi="Times New Roman"/>
          <w:sz w:val="20"/>
          <w:lang w:val="en-GB"/>
        </w:rPr>
      </w:pPr>
    </w:p>
    <w:p w14:paraId="5C03F97C" w14:textId="627E9D8F" w:rsidR="001B05AE" w:rsidRPr="0051039E" w:rsidRDefault="0051039E" w:rsidP="00D751FB">
      <w:pPr>
        <w:pStyle w:val="BodyTextMain"/>
        <w:rPr>
          <w:rFonts w:eastAsia="Calibri"/>
          <w:lang w:val="en-GB"/>
        </w:rPr>
      </w:pPr>
      <w:r w:rsidRPr="0051039E">
        <w:rPr>
          <w:rFonts w:eastAsia="Calibri"/>
          <w:lang w:val="en-GB"/>
        </w:rPr>
        <w:t>In February 2019,</w:t>
      </w:r>
      <w:r w:rsidR="00D751FB" w:rsidRPr="0051039E">
        <w:rPr>
          <w:rFonts w:eastAsia="Calibri"/>
          <w:lang w:val="en-GB"/>
        </w:rPr>
        <w:t xml:space="preserve"> Mary Barra, </w:t>
      </w:r>
      <w:r w:rsidR="00EC0B72" w:rsidRPr="0051039E">
        <w:rPr>
          <w:rFonts w:eastAsia="Calibri"/>
          <w:lang w:val="en-GB"/>
        </w:rPr>
        <w:t xml:space="preserve">the chief executive officer </w:t>
      </w:r>
      <w:r w:rsidR="00C75C36">
        <w:rPr>
          <w:rFonts w:eastAsia="Calibri"/>
          <w:lang w:val="en-GB"/>
        </w:rPr>
        <w:t xml:space="preserve">(CEO) </w:t>
      </w:r>
      <w:r w:rsidR="00D751FB" w:rsidRPr="0051039E">
        <w:rPr>
          <w:rFonts w:eastAsia="Calibri"/>
          <w:lang w:val="en-GB"/>
        </w:rPr>
        <w:t>of General Motors</w:t>
      </w:r>
      <w:r w:rsidR="000360DD">
        <w:rPr>
          <w:rFonts w:eastAsia="Calibri"/>
          <w:lang w:val="en-GB"/>
        </w:rPr>
        <w:t xml:space="preserve"> Company</w:t>
      </w:r>
      <w:r w:rsidR="00D751FB" w:rsidRPr="0051039E">
        <w:rPr>
          <w:rFonts w:eastAsia="Calibri"/>
          <w:lang w:val="en-GB"/>
        </w:rPr>
        <w:t xml:space="preserve"> (GM), confirmed</w:t>
      </w:r>
      <w:r w:rsidR="00EC0B72" w:rsidRPr="0051039E">
        <w:rPr>
          <w:rFonts w:eastAsia="Calibri"/>
          <w:lang w:val="en-GB"/>
        </w:rPr>
        <w:t xml:space="preserve"> yet again</w:t>
      </w:r>
      <w:r w:rsidR="00D751FB" w:rsidRPr="0051039E">
        <w:rPr>
          <w:rFonts w:eastAsia="Calibri"/>
          <w:lang w:val="en-GB"/>
        </w:rPr>
        <w:t xml:space="preserve"> her commitment to an aggressive “all-electric future” for </w:t>
      </w:r>
      <w:r w:rsidR="00EC0B72" w:rsidRPr="0051039E">
        <w:rPr>
          <w:rFonts w:eastAsia="Calibri"/>
          <w:lang w:val="en-GB"/>
        </w:rPr>
        <w:t xml:space="preserve">the </w:t>
      </w:r>
      <w:r w:rsidR="00E70A21">
        <w:rPr>
          <w:rFonts w:eastAsia="Calibri"/>
          <w:lang w:val="en-GB"/>
        </w:rPr>
        <w:t>US</w:t>
      </w:r>
      <w:r w:rsidRPr="0051039E">
        <w:rPr>
          <w:rFonts w:eastAsia="Calibri"/>
          <w:lang w:val="en-GB"/>
        </w:rPr>
        <w:t xml:space="preserve"> </w:t>
      </w:r>
      <w:r w:rsidR="00EC0B72" w:rsidRPr="0051039E">
        <w:rPr>
          <w:rFonts w:eastAsia="Calibri"/>
          <w:lang w:val="en-GB"/>
        </w:rPr>
        <w:t>automaker</w:t>
      </w:r>
      <w:r w:rsidR="00D751FB" w:rsidRPr="0051039E">
        <w:rPr>
          <w:rFonts w:eastAsia="Calibri"/>
          <w:lang w:val="en-GB"/>
        </w:rPr>
        <w:t>.</w:t>
      </w:r>
      <w:r w:rsidR="00382558" w:rsidRPr="0051039E">
        <w:rPr>
          <w:rFonts w:eastAsia="Calibri"/>
          <w:lang w:val="en-GB"/>
        </w:rPr>
        <w:t xml:space="preserve"> </w:t>
      </w:r>
      <w:r w:rsidR="00D751FB" w:rsidRPr="0051039E">
        <w:rPr>
          <w:rFonts w:eastAsia="Calibri"/>
          <w:lang w:val="en-GB"/>
        </w:rPr>
        <w:t xml:space="preserve">This </w:t>
      </w:r>
      <w:r w:rsidR="001B05AE" w:rsidRPr="0051039E">
        <w:rPr>
          <w:rFonts w:eastAsia="Calibri"/>
          <w:lang w:val="en-GB"/>
        </w:rPr>
        <w:t>decision could</w:t>
      </w:r>
      <w:r w:rsidR="00D751FB" w:rsidRPr="0051039E">
        <w:rPr>
          <w:rFonts w:eastAsia="Calibri"/>
          <w:lang w:val="en-GB"/>
        </w:rPr>
        <w:t xml:space="preserve"> potential</w:t>
      </w:r>
      <w:r w:rsidR="001B05AE" w:rsidRPr="0051039E">
        <w:rPr>
          <w:rFonts w:eastAsia="Calibri"/>
          <w:lang w:val="en-GB"/>
        </w:rPr>
        <w:t>ly</w:t>
      </w:r>
      <w:r w:rsidR="00D751FB" w:rsidRPr="0051039E">
        <w:rPr>
          <w:rFonts w:eastAsia="Calibri"/>
          <w:lang w:val="en-GB"/>
        </w:rPr>
        <w:t xml:space="preserve"> position GM as a leader in the new era of auto</w:t>
      </w:r>
      <w:r w:rsidR="001B05AE" w:rsidRPr="0051039E">
        <w:rPr>
          <w:rFonts w:eastAsia="Calibri"/>
          <w:lang w:val="en-GB"/>
        </w:rPr>
        <w:t>mobile</w:t>
      </w:r>
      <w:r w:rsidR="00D751FB" w:rsidRPr="0051039E">
        <w:rPr>
          <w:rFonts w:eastAsia="Calibri"/>
          <w:lang w:val="en-GB"/>
        </w:rPr>
        <w:t xml:space="preserve"> manufacturing.</w:t>
      </w:r>
      <w:r w:rsidR="00D751FB" w:rsidRPr="0051039E">
        <w:rPr>
          <w:rFonts w:eastAsia="Calibri"/>
          <w:vertAlign w:val="superscript"/>
          <w:lang w:val="en-GB"/>
        </w:rPr>
        <w:endnoteReference w:id="2"/>
      </w:r>
      <w:r w:rsidR="00447AC5" w:rsidRPr="0051039E">
        <w:rPr>
          <w:rFonts w:eastAsia="Calibri"/>
          <w:lang w:val="en-GB"/>
        </w:rPr>
        <w:t xml:space="preserve"> </w:t>
      </w:r>
      <w:r w:rsidR="00D751FB" w:rsidRPr="0051039E">
        <w:rPr>
          <w:rFonts w:eastAsia="Calibri"/>
          <w:lang w:val="en-GB"/>
        </w:rPr>
        <w:t>Th</w:t>
      </w:r>
      <w:r w:rsidR="001B05AE" w:rsidRPr="0051039E">
        <w:rPr>
          <w:rFonts w:eastAsia="Calibri"/>
          <w:lang w:val="en-GB"/>
        </w:rPr>
        <w:t>e</w:t>
      </w:r>
      <w:r w:rsidR="00D751FB" w:rsidRPr="0051039E">
        <w:rPr>
          <w:rFonts w:eastAsia="Calibri"/>
          <w:lang w:val="en-GB"/>
        </w:rPr>
        <w:t xml:space="preserve"> announcement came </w:t>
      </w:r>
      <w:r w:rsidR="001B05AE" w:rsidRPr="0051039E">
        <w:rPr>
          <w:rFonts w:eastAsia="Calibri"/>
          <w:lang w:val="en-GB"/>
        </w:rPr>
        <w:t>soon after Barra’s</w:t>
      </w:r>
      <w:r w:rsidR="00D751FB" w:rsidRPr="0051039E">
        <w:rPr>
          <w:rFonts w:eastAsia="Calibri"/>
          <w:lang w:val="en-GB"/>
        </w:rPr>
        <w:t xml:space="preserve"> November 2017 announcement of </w:t>
      </w:r>
      <w:r w:rsidR="001B05AE" w:rsidRPr="0051039E">
        <w:rPr>
          <w:rFonts w:eastAsia="Calibri"/>
          <w:lang w:val="en-GB"/>
        </w:rPr>
        <w:t>20</w:t>
      </w:r>
      <w:r w:rsidR="00D751FB" w:rsidRPr="0051039E">
        <w:rPr>
          <w:rFonts w:eastAsia="Calibri"/>
          <w:lang w:val="en-GB"/>
        </w:rPr>
        <w:t xml:space="preserve"> new models of electric vehicles by 2023.</w:t>
      </w:r>
      <w:r w:rsidR="00D751FB" w:rsidRPr="0051039E">
        <w:rPr>
          <w:rFonts w:eastAsia="Calibri"/>
          <w:vertAlign w:val="superscript"/>
          <w:lang w:val="en-GB"/>
        </w:rPr>
        <w:endnoteReference w:id="3"/>
      </w:r>
      <w:r w:rsidR="001B05AE" w:rsidRPr="0051039E" w:rsidDel="001B05AE">
        <w:rPr>
          <w:rFonts w:eastAsia="Calibri"/>
          <w:lang w:val="en-GB"/>
        </w:rPr>
        <w:t xml:space="preserve"> </w:t>
      </w:r>
      <w:r w:rsidR="001B05AE" w:rsidRPr="0051039E">
        <w:rPr>
          <w:rFonts w:eastAsia="Calibri"/>
          <w:lang w:val="en-GB"/>
        </w:rPr>
        <w:t xml:space="preserve"> U</w:t>
      </w:r>
      <w:r w:rsidR="00D751FB" w:rsidRPr="0051039E">
        <w:rPr>
          <w:rFonts w:eastAsia="Calibri"/>
          <w:lang w:val="en-GB"/>
        </w:rPr>
        <w:t>nder Barra’s leadership</w:t>
      </w:r>
      <w:r w:rsidR="001B05AE" w:rsidRPr="0051039E">
        <w:rPr>
          <w:rFonts w:eastAsia="Calibri"/>
          <w:lang w:val="en-GB"/>
        </w:rPr>
        <w:t>, GM was</w:t>
      </w:r>
      <w:r w:rsidR="00D751FB" w:rsidRPr="0051039E">
        <w:rPr>
          <w:rFonts w:eastAsia="Calibri"/>
          <w:lang w:val="en-GB"/>
        </w:rPr>
        <w:t xml:space="preserve"> chang</w:t>
      </w:r>
      <w:r w:rsidR="001B05AE" w:rsidRPr="0051039E">
        <w:rPr>
          <w:rFonts w:eastAsia="Calibri"/>
          <w:lang w:val="en-GB"/>
        </w:rPr>
        <w:t>ing at a fast pac</w:t>
      </w:r>
      <w:r w:rsidR="00D751FB" w:rsidRPr="0051039E">
        <w:rPr>
          <w:rFonts w:eastAsia="Calibri"/>
          <w:lang w:val="en-GB"/>
        </w:rPr>
        <w:t>e</w:t>
      </w:r>
      <w:r w:rsidR="00590861">
        <w:rPr>
          <w:rFonts w:eastAsia="Calibri"/>
          <w:lang w:val="en-GB"/>
        </w:rPr>
        <w:t>. I</w:t>
      </w:r>
      <w:r w:rsidR="00D751FB" w:rsidRPr="0051039E">
        <w:rPr>
          <w:rFonts w:eastAsia="Calibri"/>
          <w:lang w:val="en-GB"/>
        </w:rPr>
        <w:t xml:space="preserve">n an industry </w:t>
      </w:r>
      <w:r w:rsidR="001B05AE" w:rsidRPr="0051039E">
        <w:rPr>
          <w:rFonts w:eastAsia="Calibri"/>
          <w:lang w:val="en-GB"/>
        </w:rPr>
        <w:t>that was historically</w:t>
      </w:r>
      <w:r w:rsidR="00D751FB" w:rsidRPr="0051039E">
        <w:rPr>
          <w:rFonts w:eastAsia="Calibri"/>
          <w:lang w:val="en-GB"/>
        </w:rPr>
        <w:t xml:space="preserve"> characterized by slow, steady, </w:t>
      </w:r>
      <w:r w:rsidR="001B05AE" w:rsidRPr="0051039E">
        <w:rPr>
          <w:rFonts w:eastAsia="Calibri"/>
          <w:lang w:val="en-GB"/>
        </w:rPr>
        <w:t xml:space="preserve">and </w:t>
      </w:r>
      <w:r w:rsidR="00D751FB" w:rsidRPr="0051039E">
        <w:rPr>
          <w:rFonts w:eastAsia="Calibri"/>
          <w:lang w:val="en-GB"/>
        </w:rPr>
        <w:t xml:space="preserve">conservative growth, </w:t>
      </w:r>
      <w:r w:rsidR="00590861">
        <w:rPr>
          <w:rFonts w:eastAsia="Calibri"/>
          <w:lang w:val="en-GB"/>
        </w:rPr>
        <w:t>change</w:t>
      </w:r>
      <w:r w:rsidR="001B05AE" w:rsidRPr="0051039E">
        <w:rPr>
          <w:rFonts w:eastAsia="Calibri"/>
          <w:lang w:val="en-GB"/>
        </w:rPr>
        <w:t xml:space="preserve"> </w:t>
      </w:r>
      <w:r w:rsidR="00D751FB" w:rsidRPr="0051039E">
        <w:rPr>
          <w:rFonts w:eastAsia="Calibri"/>
          <w:lang w:val="en-GB"/>
        </w:rPr>
        <w:t xml:space="preserve">represented a </w:t>
      </w:r>
      <w:r w:rsidR="001B05AE" w:rsidRPr="0051039E">
        <w:rPr>
          <w:rFonts w:eastAsia="Calibri"/>
          <w:lang w:val="en-GB"/>
        </w:rPr>
        <w:t>major</w:t>
      </w:r>
      <w:r w:rsidR="00D751FB" w:rsidRPr="0051039E">
        <w:rPr>
          <w:rFonts w:eastAsia="Calibri"/>
          <w:lang w:val="en-GB"/>
        </w:rPr>
        <w:t xml:space="preserve"> risk factor for </w:t>
      </w:r>
      <w:r w:rsidR="001B05AE" w:rsidRPr="0051039E">
        <w:rPr>
          <w:rFonts w:eastAsia="Calibri"/>
          <w:lang w:val="en-GB"/>
        </w:rPr>
        <w:t>the company.</w:t>
      </w:r>
    </w:p>
    <w:p w14:paraId="18A441D1" w14:textId="77777777" w:rsidR="001B05AE" w:rsidRPr="0051039E" w:rsidRDefault="001B05AE" w:rsidP="00D751FB">
      <w:pPr>
        <w:pStyle w:val="BodyTextMain"/>
        <w:rPr>
          <w:rFonts w:eastAsia="Calibri"/>
          <w:lang w:val="en-GB"/>
        </w:rPr>
      </w:pPr>
    </w:p>
    <w:p w14:paraId="7D966460" w14:textId="2A4F90B8" w:rsidR="00E86537" w:rsidRPr="0051039E" w:rsidRDefault="001B05AE" w:rsidP="00D751FB">
      <w:pPr>
        <w:pStyle w:val="BodyTextMain"/>
        <w:rPr>
          <w:rFonts w:eastAsia="Calibri"/>
          <w:lang w:val="en-GB"/>
        </w:rPr>
      </w:pPr>
      <w:r w:rsidRPr="0051039E">
        <w:rPr>
          <w:rFonts w:eastAsia="Calibri"/>
          <w:lang w:val="en-GB"/>
        </w:rPr>
        <w:t>I</w:t>
      </w:r>
      <w:r w:rsidR="00D751FB" w:rsidRPr="0051039E">
        <w:rPr>
          <w:rFonts w:eastAsia="Calibri"/>
          <w:lang w:val="en-GB"/>
        </w:rPr>
        <w:t>nternal combustion engine (ICE) vehicle</w:t>
      </w:r>
      <w:r w:rsidRPr="0051039E">
        <w:rPr>
          <w:rFonts w:eastAsia="Calibri"/>
          <w:lang w:val="en-GB"/>
        </w:rPr>
        <w:t>s</w:t>
      </w:r>
      <w:r w:rsidR="00D751FB" w:rsidRPr="0051039E">
        <w:rPr>
          <w:rFonts w:eastAsia="Calibri"/>
          <w:lang w:val="en-GB"/>
        </w:rPr>
        <w:t xml:space="preserve"> had not changed </w:t>
      </w:r>
      <w:r w:rsidRPr="0051039E">
        <w:rPr>
          <w:rFonts w:eastAsia="Calibri"/>
          <w:lang w:val="en-GB"/>
        </w:rPr>
        <w:t xml:space="preserve">considerably </w:t>
      </w:r>
      <w:r w:rsidR="00D751FB" w:rsidRPr="0051039E">
        <w:rPr>
          <w:rFonts w:eastAsia="Calibri"/>
          <w:lang w:val="en-GB"/>
        </w:rPr>
        <w:t>in almost a century</w:t>
      </w:r>
      <w:r w:rsidRPr="0051039E">
        <w:rPr>
          <w:rFonts w:eastAsia="Calibri"/>
          <w:lang w:val="en-GB"/>
        </w:rPr>
        <w:t>, and n</w:t>
      </w:r>
      <w:r w:rsidR="00D751FB" w:rsidRPr="0051039E">
        <w:rPr>
          <w:rFonts w:eastAsia="Calibri"/>
          <w:lang w:val="en-GB"/>
        </w:rPr>
        <w:t>either had the nature of the competition.</w:t>
      </w:r>
      <w:r w:rsidR="00382558" w:rsidRPr="0051039E">
        <w:rPr>
          <w:rFonts w:eastAsia="Calibri"/>
          <w:lang w:val="en-GB"/>
        </w:rPr>
        <w:t xml:space="preserve"> </w:t>
      </w:r>
      <w:r w:rsidRPr="0051039E">
        <w:rPr>
          <w:rFonts w:eastAsia="Calibri"/>
          <w:lang w:val="en-GB"/>
        </w:rPr>
        <w:t>It was true that</w:t>
      </w:r>
      <w:r w:rsidR="00D751FB" w:rsidRPr="0051039E">
        <w:rPr>
          <w:rFonts w:eastAsia="Calibri"/>
          <w:lang w:val="en-GB"/>
        </w:rPr>
        <w:t xml:space="preserve"> cars </w:t>
      </w:r>
      <w:r w:rsidRPr="0051039E">
        <w:rPr>
          <w:rFonts w:eastAsia="Calibri"/>
          <w:lang w:val="en-GB"/>
        </w:rPr>
        <w:t>had become</w:t>
      </w:r>
      <w:r w:rsidR="0097590C">
        <w:rPr>
          <w:rFonts w:eastAsia="Calibri"/>
          <w:lang w:val="en-GB"/>
        </w:rPr>
        <w:t xml:space="preserve"> much more advanced than </w:t>
      </w:r>
      <w:r w:rsidRPr="0051039E">
        <w:rPr>
          <w:rFonts w:eastAsia="Calibri"/>
          <w:lang w:val="en-GB"/>
        </w:rPr>
        <w:t xml:space="preserve">they were in the </w:t>
      </w:r>
      <w:r w:rsidR="00D751FB" w:rsidRPr="0051039E">
        <w:rPr>
          <w:rFonts w:eastAsia="Calibri"/>
          <w:lang w:val="en-GB"/>
        </w:rPr>
        <w:t xml:space="preserve">first half of the </w:t>
      </w:r>
      <w:r w:rsidRPr="0051039E">
        <w:rPr>
          <w:rFonts w:eastAsia="Calibri"/>
          <w:lang w:val="en-GB"/>
        </w:rPr>
        <w:t>20</w:t>
      </w:r>
      <w:r w:rsidR="00D751FB" w:rsidRPr="0051039E">
        <w:rPr>
          <w:rFonts w:eastAsia="Calibri"/>
          <w:lang w:val="en-GB"/>
        </w:rPr>
        <w:t>th century</w:t>
      </w:r>
      <w:r w:rsidRPr="0051039E">
        <w:rPr>
          <w:rFonts w:eastAsia="Calibri"/>
          <w:lang w:val="en-GB"/>
        </w:rPr>
        <w:t>,</w:t>
      </w:r>
      <w:r w:rsidR="00D751FB" w:rsidRPr="0051039E">
        <w:rPr>
          <w:rFonts w:eastAsia="Calibri"/>
          <w:lang w:val="en-GB"/>
        </w:rPr>
        <w:t xml:space="preserve"> when </w:t>
      </w:r>
      <w:r w:rsidRPr="0051039E">
        <w:rPr>
          <w:rFonts w:eastAsia="Calibri"/>
          <w:lang w:val="en-GB"/>
        </w:rPr>
        <w:t xml:space="preserve">GM </w:t>
      </w:r>
      <w:r w:rsidR="0048086C" w:rsidRPr="0051039E">
        <w:rPr>
          <w:rFonts w:eastAsia="Calibri"/>
          <w:lang w:val="en-GB"/>
        </w:rPr>
        <w:t>president and visionary</w:t>
      </w:r>
      <w:r w:rsidRPr="0051039E">
        <w:rPr>
          <w:rFonts w:eastAsia="Calibri"/>
          <w:lang w:val="en-GB"/>
        </w:rPr>
        <w:t xml:space="preserve"> </w:t>
      </w:r>
      <w:r w:rsidR="00D751FB" w:rsidRPr="0051039E">
        <w:rPr>
          <w:rFonts w:eastAsia="Calibri"/>
          <w:lang w:val="en-GB"/>
        </w:rPr>
        <w:t xml:space="preserve">Alfred Sloan released the steel </w:t>
      </w:r>
      <w:r w:rsidR="00E86537" w:rsidRPr="0051039E">
        <w:rPr>
          <w:rFonts w:eastAsia="Calibri"/>
          <w:lang w:val="en-GB"/>
        </w:rPr>
        <w:t xml:space="preserve">body </w:t>
      </w:r>
      <w:r w:rsidR="00D751FB" w:rsidRPr="0051039E">
        <w:rPr>
          <w:rFonts w:eastAsia="Calibri"/>
          <w:lang w:val="en-GB"/>
        </w:rPr>
        <w:t>design of the basic automobile</w:t>
      </w:r>
      <w:r w:rsidR="00E86537" w:rsidRPr="0051039E">
        <w:rPr>
          <w:rFonts w:eastAsia="Calibri"/>
          <w:lang w:val="en-GB"/>
        </w:rPr>
        <w:t>. However</w:t>
      </w:r>
      <w:r w:rsidR="00D751FB" w:rsidRPr="0051039E">
        <w:rPr>
          <w:rFonts w:eastAsia="Calibri"/>
          <w:lang w:val="en-GB"/>
        </w:rPr>
        <w:t>, auto</w:t>
      </w:r>
      <w:r w:rsidR="00E86537" w:rsidRPr="0051039E">
        <w:rPr>
          <w:rFonts w:eastAsia="Calibri"/>
          <w:lang w:val="en-GB"/>
        </w:rPr>
        <w:t>mobile</w:t>
      </w:r>
      <w:r w:rsidR="00D751FB" w:rsidRPr="0051039E">
        <w:rPr>
          <w:rFonts w:eastAsia="Calibri"/>
          <w:lang w:val="en-GB"/>
        </w:rPr>
        <w:t>s were still fundamentally based on th</w:t>
      </w:r>
      <w:r w:rsidR="00E86537" w:rsidRPr="0051039E">
        <w:rPr>
          <w:rFonts w:eastAsia="Calibri"/>
          <w:lang w:val="en-GB"/>
        </w:rPr>
        <w:t>e</w:t>
      </w:r>
      <w:r w:rsidR="00D751FB" w:rsidRPr="0051039E">
        <w:rPr>
          <w:rFonts w:eastAsia="Calibri"/>
          <w:lang w:val="en-GB"/>
        </w:rPr>
        <w:t xml:space="preserve"> same, standardized </w:t>
      </w:r>
      <w:r w:rsidR="00E86537" w:rsidRPr="0051039E">
        <w:rPr>
          <w:rFonts w:eastAsia="Calibri"/>
          <w:lang w:val="en-GB"/>
        </w:rPr>
        <w:t xml:space="preserve">overall </w:t>
      </w:r>
      <w:r w:rsidR="00D751FB" w:rsidRPr="0051039E">
        <w:rPr>
          <w:rFonts w:eastAsia="Calibri"/>
          <w:lang w:val="en-GB"/>
        </w:rPr>
        <w:t>design.</w:t>
      </w:r>
      <w:r w:rsidR="00382558" w:rsidRPr="0051039E">
        <w:rPr>
          <w:rFonts w:eastAsia="Calibri"/>
          <w:lang w:val="en-GB"/>
        </w:rPr>
        <w:t xml:space="preserve"> </w:t>
      </w:r>
    </w:p>
    <w:p w14:paraId="44A89FE9" w14:textId="77777777" w:rsidR="00E86537" w:rsidRPr="0051039E" w:rsidRDefault="00E86537" w:rsidP="00D751FB">
      <w:pPr>
        <w:pStyle w:val="BodyTextMain"/>
        <w:rPr>
          <w:rFonts w:eastAsia="Calibri"/>
          <w:lang w:val="en-GB"/>
        </w:rPr>
      </w:pPr>
    </w:p>
    <w:p w14:paraId="5AF0D196" w14:textId="3BD409F5" w:rsidR="00D751FB" w:rsidRPr="0051039E" w:rsidRDefault="00A223ED" w:rsidP="00D751FB">
      <w:pPr>
        <w:pStyle w:val="BodyTextMain"/>
        <w:rPr>
          <w:rFonts w:eastAsia="Calibri"/>
          <w:lang w:val="en-GB"/>
        </w:rPr>
      </w:pPr>
      <w:r w:rsidRPr="0051039E">
        <w:rPr>
          <w:rFonts w:eastAsia="Calibri"/>
          <w:lang w:val="en-GB"/>
        </w:rPr>
        <w:t>Structurally,</w:t>
      </w:r>
      <w:r w:rsidR="00D751FB" w:rsidRPr="0051039E">
        <w:rPr>
          <w:rFonts w:eastAsia="Calibri"/>
          <w:lang w:val="en-GB"/>
        </w:rPr>
        <w:t xml:space="preserve"> electric car</w:t>
      </w:r>
      <w:r w:rsidRPr="0051039E">
        <w:rPr>
          <w:rFonts w:eastAsia="Calibri"/>
          <w:lang w:val="en-GB"/>
        </w:rPr>
        <w:t>s</w:t>
      </w:r>
      <w:r w:rsidR="00D751FB" w:rsidRPr="0051039E">
        <w:rPr>
          <w:rFonts w:eastAsia="Calibri"/>
          <w:lang w:val="en-GB"/>
        </w:rPr>
        <w:t xml:space="preserve"> w</w:t>
      </w:r>
      <w:r w:rsidRPr="0051039E">
        <w:rPr>
          <w:rFonts w:eastAsia="Calibri"/>
          <w:lang w:val="en-GB"/>
        </w:rPr>
        <w:t>ere</w:t>
      </w:r>
      <w:r w:rsidR="00D751FB" w:rsidRPr="0051039E">
        <w:rPr>
          <w:rFonts w:eastAsia="Calibri"/>
          <w:lang w:val="en-GB"/>
        </w:rPr>
        <w:t xml:space="preserve"> a radical change in automobile design</w:t>
      </w:r>
      <w:r w:rsidRPr="0051039E">
        <w:rPr>
          <w:rFonts w:eastAsia="Calibri"/>
          <w:lang w:val="en-GB"/>
        </w:rPr>
        <w:t>. More</w:t>
      </w:r>
      <w:r w:rsidR="00D751FB" w:rsidRPr="0051039E">
        <w:rPr>
          <w:rFonts w:eastAsia="Calibri"/>
          <w:lang w:val="en-GB"/>
        </w:rPr>
        <w:t xml:space="preserve"> importantly, these vehicles would fundamentally change the business and profit models for </w:t>
      </w:r>
      <w:r w:rsidR="00590861">
        <w:rPr>
          <w:rFonts w:eastAsia="Calibri"/>
          <w:lang w:val="en-GB"/>
        </w:rPr>
        <w:t xml:space="preserve">all </w:t>
      </w:r>
      <w:r w:rsidR="00D751FB" w:rsidRPr="0051039E">
        <w:rPr>
          <w:rFonts w:eastAsia="Calibri"/>
          <w:lang w:val="en-GB"/>
        </w:rPr>
        <w:t>auto</w:t>
      </w:r>
      <w:r w:rsidRPr="0051039E">
        <w:rPr>
          <w:rFonts w:eastAsia="Calibri"/>
          <w:lang w:val="en-GB"/>
        </w:rPr>
        <w:t>makers</w:t>
      </w:r>
      <w:r w:rsidR="00D751FB" w:rsidRPr="0051039E">
        <w:rPr>
          <w:rFonts w:eastAsia="Calibri"/>
          <w:lang w:val="en-GB"/>
        </w:rPr>
        <w:t>.</w:t>
      </w:r>
      <w:r w:rsidR="00382558" w:rsidRPr="0051039E">
        <w:rPr>
          <w:rFonts w:eastAsia="Calibri"/>
          <w:lang w:val="en-GB"/>
        </w:rPr>
        <w:t xml:space="preserve"> </w:t>
      </w:r>
      <w:r w:rsidR="00D751FB" w:rsidRPr="0051039E">
        <w:rPr>
          <w:rFonts w:eastAsia="Calibri"/>
          <w:lang w:val="en-GB"/>
        </w:rPr>
        <w:t xml:space="preserve">The competitive nature of the industry was </w:t>
      </w:r>
      <w:r w:rsidRPr="0051039E">
        <w:rPr>
          <w:rFonts w:eastAsia="Calibri"/>
          <w:lang w:val="en-GB"/>
        </w:rPr>
        <w:t>expected to shift drastically</w:t>
      </w:r>
      <w:r w:rsidR="00D751FB" w:rsidRPr="0051039E">
        <w:rPr>
          <w:rFonts w:eastAsia="Calibri"/>
          <w:lang w:val="en-GB"/>
        </w:rPr>
        <w:t xml:space="preserve"> with mass introduction of electri</w:t>
      </w:r>
      <w:r w:rsidRPr="0051039E">
        <w:rPr>
          <w:rFonts w:eastAsia="Calibri"/>
          <w:lang w:val="en-GB"/>
        </w:rPr>
        <w:t>c</w:t>
      </w:r>
      <w:r w:rsidR="00D751FB" w:rsidRPr="0051039E">
        <w:rPr>
          <w:rFonts w:eastAsia="Calibri"/>
          <w:lang w:val="en-GB"/>
        </w:rPr>
        <w:t xml:space="preserve"> cars and trucks.</w:t>
      </w:r>
      <w:r w:rsidR="00382558" w:rsidRPr="0051039E">
        <w:rPr>
          <w:rFonts w:eastAsia="Calibri"/>
          <w:lang w:val="en-GB"/>
        </w:rPr>
        <w:t xml:space="preserve"> </w:t>
      </w:r>
      <w:r w:rsidRPr="0051039E">
        <w:rPr>
          <w:rFonts w:eastAsia="Calibri"/>
          <w:lang w:val="en-GB"/>
        </w:rPr>
        <w:t>In addition</w:t>
      </w:r>
      <w:r w:rsidR="00D751FB" w:rsidRPr="0051039E">
        <w:rPr>
          <w:rFonts w:eastAsia="Calibri"/>
          <w:lang w:val="en-GB"/>
        </w:rPr>
        <w:t xml:space="preserve">, many new North American niche competitors were entering </w:t>
      </w:r>
      <w:r w:rsidRPr="0051039E">
        <w:rPr>
          <w:rFonts w:eastAsia="Calibri"/>
          <w:lang w:val="en-GB"/>
        </w:rPr>
        <w:t>a</w:t>
      </w:r>
      <w:r w:rsidR="00D751FB" w:rsidRPr="0051039E">
        <w:rPr>
          <w:rFonts w:eastAsia="Calibri"/>
          <w:lang w:val="en-GB"/>
        </w:rPr>
        <w:t xml:space="preserve"> market</w:t>
      </w:r>
      <w:r w:rsidRPr="0051039E">
        <w:rPr>
          <w:rFonts w:eastAsia="Calibri"/>
          <w:lang w:val="en-GB"/>
        </w:rPr>
        <w:t xml:space="preserve"> that—</w:t>
      </w:r>
      <w:r w:rsidR="00590861">
        <w:rPr>
          <w:rFonts w:eastAsia="Calibri"/>
          <w:lang w:val="en-GB"/>
        </w:rPr>
        <w:t>other than</w:t>
      </w:r>
      <w:r w:rsidRPr="0051039E">
        <w:rPr>
          <w:rFonts w:eastAsia="Calibri"/>
          <w:lang w:val="en-GB"/>
        </w:rPr>
        <w:t xml:space="preserve"> Tesla</w:t>
      </w:r>
      <w:r w:rsidR="000360DD">
        <w:rPr>
          <w:rFonts w:eastAsia="Calibri"/>
          <w:lang w:val="en-GB"/>
        </w:rPr>
        <w:t>, Inc. (Tesla), with it</w:t>
      </w:r>
      <w:r w:rsidRPr="0051039E">
        <w:rPr>
          <w:rFonts w:eastAsia="Calibri"/>
          <w:lang w:val="en-GB"/>
        </w:rPr>
        <w:t>s 2010 initial public offering—</w:t>
      </w:r>
      <w:r w:rsidR="00D751FB" w:rsidRPr="0051039E">
        <w:rPr>
          <w:rFonts w:eastAsia="Calibri"/>
          <w:lang w:val="en-GB"/>
        </w:rPr>
        <w:t>no</w:t>
      </w:r>
      <w:r w:rsidR="00590861">
        <w:rPr>
          <w:rFonts w:eastAsia="Calibri"/>
          <w:lang w:val="en-GB"/>
        </w:rPr>
        <w:t xml:space="preserve"> company</w:t>
      </w:r>
      <w:r w:rsidR="00D751FB" w:rsidRPr="0051039E">
        <w:rPr>
          <w:rFonts w:eastAsia="Calibri"/>
          <w:lang w:val="en-GB"/>
        </w:rPr>
        <w:t xml:space="preserve"> had </w:t>
      </w:r>
      <w:r w:rsidR="00590861">
        <w:rPr>
          <w:rFonts w:eastAsia="Calibri"/>
          <w:lang w:val="en-GB"/>
        </w:rPr>
        <w:t xml:space="preserve">managed to </w:t>
      </w:r>
      <w:r w:rsidR="00D751FB" w:rsidRPr="0051039E">
        <w:rPr>
          <w:rFonts w:eastAsia="Calibri"/>
          <w:lang w:val="en-GB"/>
        </w:rPr>
        <w:t>successfully enter since the founding of Chrysler in 1925.</w:t>
      </w:r>
      <w:r w:rsidR="00D751FB" w:rsidRPr="0051039E">
        <w:rPr>
          <w:rFonts w:eastAsia="Calibri"/>
          <w:vertAlign w:val="superscript"/>
          <w:lang w:val="en-GB"/>
        </w:rPr>
        <w:endnoteReference w:id="4"/>
      </w:r>
      <w:r w:rsidRPr="0051039E">
        <w:rPr>
          <w:rFonts w:eastAsia="Calibri"/>
          <w:lang w:val="en-GB"/>
        </w:rPr>
        <w:t xml:space="preserve"> </w:t>
      </w:r>
      <w:r w:rsidR="00D751FB" w:rsidRPr="0051039E">
        <w:rPr>
          <w:rFonts w:eastAsia="Calibri"/>
          <w:lang w:val="en-GB"/>
        </w:rPr>
        <w:t>Electric cars would be much simpler to design, build, sell</w:t>
      </w:r>
      <w:r w:rsidRPr="0051039E">
        <w:rPr>
          <w:rFonts w:eastAsia="Calibri"/>
          <w:lang w:val="en-GB"/>
        </w:rPr>
        <w:t>,</w:t>
      </w:r>
      <w:r w:rsidR="00D751FB" w:rsidRPr="0051039E">
        <w:rPr>
          <w:rFonts w:eastAsia="Calibri"/>
          <w:lang w:val="en-GB"/>
        </w:rPr>
        <w:t xml:space="preserve"> and maintain.</w:t>
      </w:r>
      <w:r w:rsidR="00382558" w:rsidRPr="0051039E">
        <w:rPr>
          <w:rFonts w:eastAsia="Calibri"/>
          <w:lang w:val="en-GB"/>
        </w:rPr>
        <w:t xml:space="preserve"> </w:t>
      </w:r>
      <w:r w:rsidR="00D751FB" w:rsidRPr="0051039E">
        <w:rPr>
          <w:rFonts w:eastAsia="Calibri"/>
          <w:lang w:val="en-GB"/>
        </w:rPr>
        <w:t>Economies of scale would be easier to achieve</w:t>
      </w:r>
      <w:r w:rsidRPr="0051039E">
        <w:rPr>
          <w:rFonts w:eastAsia="Calibri"/>
          <w:lang w:val="en-GB"/>
        </w:rPr>
        <w:t>,</w:t>
      </w:r>
      <w:r w:rsidR="00D751FB" w:rsidRPr="0051039E">
        <w:rPr>
          <w:rFonts w:eastAsia="Calibri"/>
          <w:lang w:val="en-GB"/>
        </w:rPr>
        <w:t xml:space="preserve"> given the simple nature of these vehicles.</w:t>
      </w:r>
      <w:r w:rsidR="00382558" w:rsidRPr="0051039E">
        <w:rPr>
          <w:rFonts w:eastAsia="Calibri"/>
          <w:lang w:val="en-GB"/>
        </w:rPr>
        <w:t xml:space="preserve"> </w:t>
      </w:r>
      <w:r w:rsidR="00D751FB" w:rsidRPr="0051039E">
        <w:rPr>
          <w:rFonts w:eastAsia="Calibri"/>
          <w:lang w:val="en-GB"/>
        </w:rPr>
        <w:t>Outsourced manufacturing was available through large global parts manufacturers</w:t>
      </w:r>
      <w:r w:rsidR="005E2A11" w:rsidRPr="0051039E">
        <w:rPr>
          <w:rFonts w:eastAsia="Calibri"/>
          <w:lang w:val="en-GB"/>
        </w:rPr>
        <w:t>.</w:t>
      </w:r>
      <w:r w:rsidR="00D751FB" w:rsidRPr="0051039E">
        <w:rPr>
          <w:rFonts w:eastAsia="Calibri"/>
          <w:lang w:val="en-GB"/>
        </w:rPr>
        <w:t xml:space="preserve"> </w:t>
      </w:r>
      <w:r w:rsidR="005E2A11" w:rsidRPr="0051039E">
        <w:rPr>
          <w:rFonts w:eastAsia="Calibri"/>
          <w:lang w:val="en-GB"/>
        </w:rPr>
        <w:t xml:space="preserve">More </w:t>
      </w:r>
      <w:r w:rsidR="00D751FB" w:rsidRPr="0051039E">
        <w:rPr>
          <w:rFonts w:eastAsia="Calibri"/>
          <w:lang w:val="en-GB"/>
        </w:rPr>
        <w:t xml:space="preserve">significantly, </w:t>
      </w:r>
      <w:r w:rsidR="005E2A11" w:rsidRPr="0051039E">
        <w:rPr>
          <w:rFonts w:eastAsia="Calibri"/>
          <w:lang w:val="en-GB"/>
        </w:rPr>
        <w:t>o</w:t>
      </w:r>
      <w:r w:rsidR="00D751FB" w:rsidRPr="0051039E">
        <w:rPr>
          <w:rFonts w:eastAsia="Calibri"/>
          <w:lang w:val="en-GB"/>
        </w:rPr>
        <w:t xml:space="preserve">riginal </w:t>
      </w:r>
      <w:r w:rsidR="005E2A11" w:rsidRPr="0051039E">
        <w:rPr>
          <w:rFonts w:eastAsia="Calibri"/>
          <w:lang w:val="en-GB"/>
        </w:rPr>
        <w:t>e</w:t>
      </w:r>
      <w:r w:rsidR="00D751FB" w:rsidRPr="0051039E">
        <w:rPr>
          <w:rFonts w:eastAsia="Calibri"/>
          <w:lang w:val="en-GB"/>
        </w:rPr>
        <w:t xml:space="preserve">quipment </w:t>
      </w:r>
      <w:r w:rsidR="005E2A11" w:rsidRPr="0051039E">
        <w:rPr>
          <w:rFonts w:eastAsia="Calibri"/>
          <w:lang w:val="en-GB"/>
        </w:rPr>
        <w:t>m</w:t>
      </w:r>
      <w:r w:rsidR="00D751FB" w:rsidRPr="0051039E">
        <w:rPr>
          <w:rFonts w:eastAsia="Calibri"/>
          <w:lang w:val="en-GB"/>
        </w:rPr>
        <w:t>anufacturer</w:t>
      </w:r>
      <w:r w:rsidR="005E2A11" w:rsidRPr="0051039E">
        <w:rPr>
          <w:rFonts w:eastAsia="Calibri"/>
          <w:lang w:val="en-GB"/>
        </w:rPr>
        <w:t xml:space="preserve"> (OEM</w:t>
      </w:r>
      <w:r w:rsidR="00D751FB" w:rsidRPr="0051039E">
        <w:rPr>
          <w:rFonts w:eastAsia="Calibri"/>
          <w:lang w:val="en-GB"/>
        </w:rPr>
        <w:t>) components would make up an increasingly smaller percentage of the overall parts required in these new electric vehicles.</w:t>
      </w:r>
      <w:r w:rsidR="00D751FB" w:rsidRPr="0051039E">
        <w:rPr>
          <w:rFonts w:eastAsia="Calibri"/>
          <w:vertAlign w:val="superscript"/>
          <w:lang w:val="en-GB"/>
        </w:rPr>
        <w:endnoteReference w:id="5"/>
      </w:r>
      <w:r w:rsidR="005E2A11" w:rsidRPr="0051039E">
        <w:rPr>
          <w:rFonts w:eastAsia="Calibri"/>
          <w:lang w:val="en-GB"/>
        </w:rPr>
        <w:t xml:space="preserve"> </w:t>
      </w:r>
      <w:r w:rsidR="00D751FB" w:rsidRPr="0051039E">
        <w:rPr>
          <w:rFonts w:eastAsia="Calibri"/>
          <w:lang w:val="en-GB"/>
        </w:rPr>
        <w:t xml:space="preserve">These factors, coupled with the minimal maintenance requirements of electric cars, </w:t>
      </w:r>
      <w:r w:rsidR="00590861">
        <w:rPr>
          <w:rFonts w:eastAsia="Calibri"/>
          <w:lang w:val="en-GB"/>
        </w:rPr>
        <w:t>were</w:t>
      </w:r>
      <w:r w:rsidR="00D751FB" w:rsidRPr="0051039E">
        <w:rPr>
          <w:rFonts w:eastAsia="Calibri"/>
          <w:lang w:val="en-GB"/>
        </w:rPr>
        <w:t xml:space="preserve"> creat</w:t>
      </w:r>
      <w:r w:rsidR="00590861">
        <w:rPr>
          <w:rFonts w:eastAsia="Calibri"/>
          <w:lang w:val="en-GB"/>
        </w:rPr>
        <w:t>ing</w:t>
      </w:r>
      <w:r w:rsidR="00D751FB" w:rsidRPr="0051039E">
        <w:rPr>
          <w:rFonts w:eastAsia="Calibri"/>
          <w:lang w:val="en-GB"/>
        </w:rPr>
        <w:t xml:space="preserve"> an exhilarating but daunting new </w:t>
      </w:r>
      <w:r w:rsidR="00590861">
        <w:rPr>
          <w:rFonts w:eastAsia="Calibri"/>
          <w:lang w:val="en-GB"/>
        </w:rPr>
        <w:t>environment</w:t>
      </w:r>
      <w:r w:rsidR="00D751FB" w:rsidRPr="0051039E">
        <w:rPr>
          <w:rFonts w:eastAsia="Calibri"/>
          <w:lang w:val="en-GB"/>
        </w:rPr>
        <w:t xml:space="preserve"> for traditional manufacturers like GM. </w:t>
      </w:r>
    </w:p>
    <w:p w14:paraId="63A55FFA" w14:textId="77777777" w:rsidR="00D751FB" w:rsidRPr="0051039E" w:rsidRDefault="00D751FB" w:rsidP="00D751FB">
      <w:pPr>
        <w:pStyle w:val="BodyTextMain"/>
        <w:rPr>
          <w:rFonts w:eastAsia="Calibri"/>
          <w:lang w:val="en-GB"/>
        </w:rPr>
      </w:pPr>
    </w:p>
    <w:p w14:paraId="5A5FD6A8" w14:textId="51E9FD5F" w:rsidR="00D751FB" w:rsidRPr="0051039E" w:rsidRDefault="00D751FB" w:rsidP="00D751FB">
      <w:pPr>
        <w:pStyle w:val="BodyTextMain"/>
        <w:rPr>
          <w:rFonts w:eastAsia="Calibri"/>
          <w:lang w:val="en-GB"/>
        </w:rPr>
      </w:pPr>
      <w:r w:rsidRPr="0051039E">
        <w:rPr>
          <w:rFonts w:eastAsia="Calibri"/>
          <w:lang w:val="en-GB"/>
        </w:rPr>
        <w:t>Electric vehicles would change the nature of almost everything associated with how profit would be made in the auto</w:t>
      </w:r>
      <w:r w:rsidR="005E2A11" w:rsidRPr="0051039E">
        <w:rPr>
          <w:rFonts w:eastAsia="Calibri"/>
          <w:lang w:val="en-GB"/>
        </w:rPr>
        <w:t>mobile</w:t>
      </w:r>
      <w:r w:rsidRPr="0051039E">
        <w:rPr>
          <w:rFonts w:eastAsia="Calibri"/>
          <w:lang w:val="en-GB"/>
        </w:rPr>
        <w:t xml:space="preserve"> industry.</w:t>
      </w:r>
      <w:r w:rsidR="00382558" w:rsidRPr="0051039E">
        <w:rPr>
          <w:rFonts w:eastAsia="Calibri"/>
          <w:lang w:val="en-GB"/>
        </w:rPr>
        <w:t xml:space="preserve"> </w:t>
      </w:r>
      <w:r w:rsidRPr="0051039E">
        <w:rPr>
          <w:rFonts w:eastAsia="Calibri"/>
          <w:lang w:val="en-GB"/>
        </w:rPr>
        <w:t>Most service-related businesses would become obsolete</w:t>
      </w:r>
      <w:r w:rsidR="005E2A11" w:rsidRPr="0051039E">
        <w:rPr>
          <w:rFonts w:eastAsia="Calibri"/>
          <w:lang w:val="en-GB"/>
        </w:rPr>
        <w:t>, changing forever the</w:t>
      </w:r>
      <w:r w:rsidRPr="0051039E">
        <w:rPr>
          <w:rFonts w:eastAsia="Calibri"/>
          <w:lang w:val="en-GB"/>
        </w:rPr>
        <w:t xml:space="preserve"> dealer</w:t>
      </w:r>
      <w:r w:rsidR="00376FC7">
        <w:rPr>
          <w:rFonts w:eastAsia="Calibri"/>
          <w:lang w:val="en-GB"/>
        </w:rPr>
        <w:t>ship</w:t>
      </w:r>
      <w:r w:rsidRPr="0051039E">
        <w:rPr>
          <w:rFonts w:eastAsia="Calibri"/>
          <w:lang w:val="en-GB"/>
        </w:rPr>
        <w:t xml:space="preserve"> profit model.</w:t>
      </w:r>
      <w:r w:rsidR="00382558" w:rsidRPr="0051039E">
        <w:rPr>
          <w:rFonts w:eastAsia="Calibri"/>
          <w:lang w:val="en-GB"/>
        </w:rPr>
        <w:t xml:space="preserve"> </w:t>
      </w:r>
      <w:r w:rsidR="005E2A11" w:rsidRPr="0051039E">
        <w:rPr>
          <w:rFonts w:eastAsia="Calibri"/>
          <w:lang w:val="en-GB"/>
        </w:rPr>
        <w:t>C</w:t>
      </w:r>
      <w:r w:rsidRPr="0051039E">
        <w:rPr>
          <w:rFonts w:eastAsia="Calibri"/>
          <w:lang w:val="en-GB"/>
        </w:rPr>
        <w:t>hange</w:t>
      </w:r>
      <w:r w:rsidR="005E2A11" w:rsidRPr="0051039E">
        <w:rPr>
          <w:rFonts w:eastAsia="Calibri"/>
          <w:lang w:val="en-GB"/>
        </w:rPr>
        <w:t xml:space="preserve"> was coming and moving</w:t>
      </w:r>
      <w:r w:rsidRPr="0051039E">
        <w:rPr>
          <w:rFonts w:eastAsia="Calibri"/>
          <w:lang w:val="en-GB"/>
        </w:rPr>
        <w:t xml:space="preserve"> faster than most </w:t>
      </w:r>
      <w:r w:rsidR="005E2A11" w:rsidRPr="0051039E">
        <w:rPr>
          <w:rFonts w:eastAsia="Calibri"/>
          <w:lang w:val="en-GB"/>
        </w:rPr>
        <w:t xml:space="preserve">experts </w:t>
      </w:r>
      <w:r w:rsidRPr="0051039E">
        <w:rPr>
          <w:rFonts w:eastAsia="Calibri"/>
          <w:lang w:val="en-GB"/>
        </w:rPr>
        <w:t>had anticipated</w:t>
      </w:r>
      <w:r w:rsidR="005E2A11" w:rsidRPr="0051039E">
        <w:rPr>
          <w:rFonts w:eastAsia="Calibri"/>
          <w:lang w:val="en-GB"/>
        </w:rPr>
        <w:t>. R</w:t>
      </w:r>
      <w:r w:rsidRPr="0051039E">
        <w:rPr>
          <w:rFonts w:eastAsia="Calibri"/>
          <w:lang w:val="en-GB"/>
        </w:rPr>
        <w:t xml:space="preserve">ecent </w:t>
      </w:r>
      <w:r w:rsidR="005E2A11" w:rsidRPr="0051039E">
        <w:rPr>
          <w:rFonts w:eastAsia="Calibri"/>
          <w:lang w:val="en-GB"/>
        </w:rPr>
        <w:t xml:space="preserve">research conducted by </w:t>
      </w:r>
      <w:r w:rsidRPr="0051039E">
        <w:rPr>
          <w:rFonts w:eastAsia="Calibri"/>
          <w:lang w:val="en-GB"/>
        </w:rPr>
        <w:t>UBS</w:t>
      </w:r>
      <w:r w:rsidR="00964FD5">
        <w:rPr>
          <w:rFonts w:eastAsia="Calibri"/>
          <w:lang w:val="en-GB"/>
        </w:rPr>
        <w:t xml:space="preserve"> Global Research</w:t>
      </w:r>
      <w:r w:rsidRPr="0051039E">
        <w:rPr>
          <w:rFonts w:eastAsia="Calibri"/>
          <w:lang w:val="en-GB"/>
        </w:rPr>
        <w:t xml:space="preserve"> on electric vehicle </w:t>
      </w:r>
      <w:r w:rsidR="00376FC7">
        <w:rPr>
          <w:rFonts w:eastAsia="Calibri"/>
          <w:lang w:val="en-GB"/>
        </w:rPr>
        <w:t xml:space="preserve">production had predicted </w:t>
      </w:r>
      <w:r w:rsidR="00376FC7" w:rsidRPr="0051039E">
        <w:rPr>
          <w:rFonts w:eastAsia="Calibri"/>
          <w:lang w:val="en-GB"/>
        </w:rPr>
        <w:t>dramatic</w:t>
      </w:r>
      <w:r w:rsidRPr="0051039E">
        <w:rPr>
          <w:rFonts w:eastAsia="Calibri"/>
          <w:lang w:val="en-GB"/>
        </w:rPr>
        <w:t xml:space="preserve"> growth </w:t>
      </w:r>
      <w:r w:rsidR="005E2A11" w:rsidRPr="0051039E">
        <w:rPr>
          <w:rFonts w:eastAsia="Calibri"/>
          <w:lang w:val="en-GB"/>
        </w:rPr>
        <w:t xml:space="preserve">of 500 per cent </w:t>
      </w:r>
      <w:r w:rsidRPr="0051039E">
        <w:rPr>
          <w:rFonts w:eastAsia="Calibri"/>
          <w:lang w:val="en-GB"/>
        </w:rPr>
        <w:t xml:space="preserve">over the previous year’s </w:t>
      </w:r>
      <w:r w:rsidR="00376FC7">
        <w:rPr>
          <w:rFonts w:eastAsia="Calibri"/>
          <w:lang w:val="en-GB"/>
        </w:rPr>
        <w:t>forecast</w:t>
      </w:r>
      <w:r w:rsidRPr="0051039E">
        <w:rPr>
          <w:rFonts w:eastAsia="Calibri"/>
          <w:lang w:val="en-GB"/>
        </w:rPr>
        <w:t xml:space="preserve">. The industry was truly entering the steeper part of the </w:t>
      </w:r>
      <w:r w:rsidRPr="0051039E">
        <w:rPr>
          <w:rFonts w:eastAsia="Calibri"/>
          <w:lang w:val="en-GB"/>
        </w:rPr>
        <w:lastRenderedPageBreak/>
        <w:t>adoption curve.</w:t>
      </w:r>
      <w:r w:rsidRPr="0051039E">
        <w:rPr>
          <w:rFonts w:eastAsia="Calibri"/>
          <w:vertAlign w:val="superscript"/>
          <w:lang w:val="en-GB"/>
        </w:rPr>
        <w:endnoteReference w:id="6"/>
      </w:r>
      <w:r w:rsidRPr="0051039E">
        <w:rPr>
          <w:rFonts w:eastAsia="Calibri"/>
          <w:lang w:val="en-GB"/>
        </w:rPr>
        <w:t xml:space="preserve"> GM was </w:t>
      </w:r>
      <w:r w:rsidR="00F25CBC">
        <w:rPr>
          <w:rFonts w:eastAsia="Calibri"/>
          <w:lang w:val="en-GB"/>
        </w:rPr>
        <w:t xml:space="preserve">posed to </w:t>
      </w:r>
      <w:r w:rsidRPr="0051039E">
        <w:rPr>
          <w:rFonts w:eastAsia="Calibri"/>
          <w:lang w:val="en-GB"/>
        </w:rPr>
        <w:t xml:space="preserve">either flourish </w:t>
      </w:r>
      <w:r w:rsidR="00F25CBC">
        <w:rPr>
          <w:rFonts w:eastAsia="Calibri"/>
          <w:lang w:val="en-GB"/>
        </w:rPr>
        <w:t xml:space="preserve">or fail </w:t>
      </w:r>
      <w:r w:rsidRPr="0051039E">
        <w:rPr>
          <w:rFonts w:eastAsia="Calibri"/>
          <w:lang w:val="en-GB"/>
        </w:rPr>
        <w:t>in this new world.</w:t>
      </w:r>
      <w:r w:rsidR="00382558" w:rsidRPr="0051039E">
        <w:rPr>
          <w:rFonts w:eastAsia="Calibri"/>
          <w:lang w:val="en-GB"/>
        </w:rPr>
        <w:t xml:space="preserve"> </w:t>
      </w:r>
      <w:r w:rsidRPr="0051039E">
        <w:rPr>
          <w:rFonts w:eastAsia="Calibri"/>
          <w:lang w:val="en-GB"/>
        </w:rPr>
        <w:t xml:space="preserve">GM’s struggles in </w:t>
      </w:r>
      <w:r w:rsidR="00F25CBC">
        <w:rPr>
          <w:rFonts w:eastAsia="Calibri"/>
          <w:lang w:val="en-GB"/>
        </w:rPr>
        <w:t xml:space="preserve">the </w:t>
      </w:r>
      <w:r w:rsidRPr="0051039E">
        <w:rPr>
          <w:rFonts w:eastAsia="Calibri"/>
          <w:lang w:val="en-GB"/>
        </w:rPr>
        <w:t>2008</w:t>
      </w:r>
      <w:r w:rsidR="005E2A11" w:rsidRPr="0051039E">
        <w:rPr>
          <w:rFonts w:eastAsia="Calibri"/>
          <w:lang w:val="en-GB"/>
        </w:rPr>
        <w:t>–</w:t>
      </w:r>
      <w:r w:rsidRPr="0051039E">
        <w:rPr>
          <w:rFonts w:eastAsia="Calibri"/>
          <w:lang w:val="en-GB"/>
        </w:rPr>
        <w:t xml:space="preserve">09 </w:t>
      </w:r>
      <w:r w:rsidR="00F25CBC">
        <w:rPr>
          <w:rFonts w:eastAsia="Calibri"/>
          <w:lang w:val="en-GB"/>
        </w:rPr>
        <w:t xml:space="preserve">Great Recession </w:t>
      </w:r>
      <w:r w:rsidRPr="0051039E">
        <w:rPr>
          <w:rFonts w:eastAsia="Calibri"/>
          <w:lang w:val="en-GB"/>
        </w:rPr>
        <w:t xml:space="preserve">had </w:t>
      </w:r>
      <w:r w:rsidR="005E2A11" w:rsidRPr="0051039E">
        <w:rPr>
          <w:rFonts w:eastAsia="Calibri"/>
          <w:lang w:val="en-GB"/>
        </w:rPr>
        <w:t>highlighted</w:t>
      </w:r>
      <w:r w:rsidRPr="0051039E">
        <w:rPr>
          <w:rFonts w:eastAsia="Calibri"/>
          <w:lang w:val="en-GB"/>
        </w:rPr>
        <w:t xml:space="preserve"> the precarious nature of </w:t>
      </w:r>
      <w:r w:rsidR="005E2A11" w:rsidRPr="0051039E">
        <w:rPr>
          <w:rFonts w:eastAsia="Calibri"/>
          <w:lang w:val="en-GB"/>
        </w:rPr>
        <w:t>its</w:t>
      </w:r>
      <w:r w:rsidRPr="0051039E">
        <w:rPr>
          <w:rFonts w:eastAsia="Calibri"/>
          <w:lang w:val="en-GB"/>
        </w:rPr>
        <w:t xml:space="preserve"> profit model, with many of the underlying components of th</w:t>
      </w:r>
      <w:r w:rsidR="005E2A11" w:rsidRPr="0051039E">
        <w:rPr>
          <w:rFonts w:eastAsia="Calibri"/>
          <w:lang w:val="en-GB"/>
        </w:rPr>
        <w:t>at</w:t>
      </w:r>
      <w:r w:rsidRPr="0051039E">
        <w:rPr>
          <w:rFonts w:eastAsia="Calibri"/>
          <w:lang w:val="en-GB"/>
        </w:rPr>
        <w:t xml:space="preserve"> model still evident in 2018.</w:t>
      </w:r>
    </w:p>
    <w:p w14:paraId="29BAC6E5" w14:textId="77777777" w:rsidR="00D751FB" w:rsidRPr="0051039E" w:rsidRDefault="00D751FB" w:rsidP="00D751FB">
      <w:pPr>
        <w:pStyle w:val="BodyTextMain"/>
        <w:rPr>
          <w:rFonts w:eastAsia="Calibri"/>
          <w:lang w:val="en-GB"/>
        </w:rPr>
      </w:pPr>
    </w:p>
    <w:p w14:paraId="7D6D0D30" w14:textId="1BE3AD97" w:rsidR="00D751FB" w:rsidRPr="0051039E" w:rsidRDefault="00D751FB" w:rsidP="00D751FB">
      <w:pPr>
        <w:pStyle w:val="BodyTextMain"/>
        <w:rPr>
          <w:rFonts w:eastAsia="Calibri"/>
          <w:lang w:val="en-GB"/>
        </w:rPr>
      </w:pPr>
      <w:r w:rsidRPr="0051039E">
        <w:rPr>
          <w:rFonts w:eastAsia="Calibri"/>
          <w:lang w:val="en-GB"/>
        </w:rPr>
        <w:t>Barra’s assertion that GM’s electric vehicles w</w:t>
      </w:r>
      <w:r w:rsidR="005E2A11" w:rsidRPr="0051039E">
        <w:rPr>
          <w:rFonts w:eastAsia="Calibri"/>
          <w:lang w:val="en-GB"/>
        </w:rPr>
        <w:t>ould</w:t>
      </w:r>
      <w:r w:rsidRPr="0051039E">
        <w:rPr>
          <w:rFonts w:eastAsia="Calibri"/>
          <w:lang w:val="en-GB"/>
        </w:rPr>
        <w:t xml:space="preserve"> not make money until “early next decade” </w:t>
      </w:r>
      <w:r w:rsidR="005E2A11" w:rsidRPr="0051039E">
        <w:rPr>
          <w:rFonts w:eastAsia="Calibri"/>
          <w:lang w:val="en-GB"/>
        </w:rPr>
        <w:t>wa</w:t>
      </w:r>
      <w:r w:rsidRPr="0051039E">
        <w:rPr>
          <w:rFonts w:eastAsia="Calibri"/>
          <w:lang w:val="en-GB"/>
        </w:rPr>
        <w:t>s indicative of the challenges</w:t>
      </w:r>
      <w:r w:rsidR="005E2A11" w:rsidRPr="0051039E">
        <w:rPr>
          <w:rFonts w:eastAsia="Calibri"/>
          <w:lang w:val="en-GB"/>
        </w:rPr>
        <w:t xml:space="preserve"> that</w:t>
      </w:r>
      <w:r w:rsidRPr="0051039E">
        <w:rPr>
          <w:rFonts w:eastAsia="Calibri"/>
          <w:lang w:val="en-GB"/>
        </w:rPr>
        <w:t xml:space="preserve"> large traditional automa</w:t>
      </w:r>
      <w:r w:rsidR="005E2A11" w:rsidRPr="0051039E">
        <w:rPr>
          <w:rFonts w:eastAsia="Calibri"/>
          <w:lang w:val="en-GB"/>
        </w:rPr>
        <w:t>k</w:t>
      </w:r>
      <w:r w:rsidRPr="0051039E">
        <w:rPr>
          <w:rFonts w:eastAsia="Calibri"/>
          <w:lang w:val="en-GB"/>
        </w:rPr>
        <w:t>ers faced in this new world.</w:t>
      </w:r>
      <w:r w:rsidRPr="0051039E">
        <w:rPr>
          <w:rFonts w:eastAsia="Calibri"/>
          <w:vertAlign w:val="superscript"/>
          <w:lang w:val="en-GB"/>
        </w:rPr>
        <w:endnoteReference w:id="7"/>
      </w:r>
      <w:r w:rsidR="005E2A11" w:rsidRPr="0051039E">
        <w:rPr>
          <w:rFonts w:eastAsia="Calibri"/>
          <w:lang w:val="en-GB"/>
        </w:rPr>
        <w:t xml:space="preserve"> </w:t>
      </w:r>
      <w:r w:rsidRPr="0051039E">
        <w:rPr>
          <w:rFonts w:eastAsia="Calibri"/>
          <w:lang w:val="en-GB"/>
        </w:rPr>
        <w:t xml:space="preserve">GM </w:t>
      </w:r>
      <w:r w:rsidR="00F25CBC">
        <w:rPr>
          <w:rFonts w:eastAsia="Calibri"/>
          <w:lang w:val="en-GB"/>
        </w:rPr>
        <w:t>had</w:t>
      </w:r>
      <w:r w:rsidRPr="0051039E">
        <w:rPr>
          <w:rFonts w:eastAsia="Calibri"/>
          <w:lang w:val="en-GB"/>
        </w:rPr>
        <w:t xml:space="preserve"> to find a way to survive in the face of fundamental changes </w:t>
      </w:r>
      <w:r w:rsidR="00CE048C" w:rsidRPr="0051039E">
        <w:rPr>
          <w:rFonts w:eastAsia="Calibri"/>
          <w:lang w:val="en-GB"/>
        </w:rPr>
        <w:t xml:space="preserve">coming </w:t>
      </w:r>
      <w:r w:rsidRPr="0051039E">
        <w:rPr>
          <w:rFonts w:eastAsia="Calibri"/>
          <w:lang w:val="en-GB"/>
        </w:rPr>
        <w:t>to the automotive industry.</w:t>
      </w:r>
    </w:p>
    <w:p w14:paraId="5B9FEE03" w14:textId="77777777" w:rsidR="00D751FB" w:rsidRPr="0051039E" w:rsidRDefault="00D751FB" w:rsidP="00D751FB">
      <w:pPr>
        <w:pStyle w:val="BodyTextMain"/>
        <w:rPr>
          <w:lang w:val="en-GB"/>
        </w:rPr>
      </w:pPr>
    </w:p>
    <w:p w14:paraId="217AC16F" w14:textId="77777777" w:rsidR="00D751FB" w:rsidRPr="0051039E" w:rsidRDefault="00D751FB" w:rsidP="00D751FB">
      <w:pPr>
        <w:pStyle w:val="BodyTextMain"/>
        <w:rPr>
          <w:lang w:val="en-GB"/>
        </w:rPr>
      </w:pPr>
    </w:p>
    <w:p w14:paraId="7D5B78B7" w14:textId="540AE7B0" w:rsidR="00D751FB" w:rsidRPr="0051039E" w:rsidRDefault="00D751FB" w:rsidP="00CE048C">
      <w:pPr>
        <w:pStyle w:val="Casehead1"/>
        <w:rPr>
          <w:rFonts w:eastAsia="Calibri"/>
          <w:lang w:val="en-GB"/>
        </w:rPr>
      </w:pPr>
      <w:r w:rsidRPr="0051039E">
        <w:rPr>
          <w:rFonts w:eastAsia="Calibri"/>
          <w:lang w:val="en-GB"/>
        </w:rPr>
        <w:t>THE AUTO</w:t>
      </w:r>
      <w:r w:rsidR="00CE048C" w:rsidRPr="0051039E">
        <w:rPr>
          <w:rFonts w:eastAsia="Calibri"/>
          <w:lang w:val="en-GB"/>
        </w:rPr>
        <w:t>mobile</w:t>
      </w:r>
      <w:r w:rsidRPr="0051039E">
        <w:rPr>
          <w:rFonts w:eastAsia="Calibri"/>
          <w:lang w:val="en-GB"/>
        </w:rPr>
        <w:t xml:space="preserve"> MANUFACTURING INDUSTRY: A STANDARDIZED MODEL OF COMPETING</w:t>
      </w:r>
    </w:p>
    <w:p w14:paraId="393309EE" w14:textId="77777777" w:rsidR="00D751FB" w:rsidRPr="0051039E" w:rsidRDefault="00D751FB" w:rsidP="00D751FB">
      <w:pPr>
        <w:pStyle w:val="BodyTextMain"/>
        <w:rPr>
          <w:rFonts w:eastAsia="Calibri"/>
          <w:lang w:val="en-GB"/>
        </w:rPr>
      </w:pPr>
    </w:p>
    <w:p w14:paraId="4DD69B22" w14:textId="1322831B" w:rsidR="00CE048C" w:rsidRPr="0097590C" w:rsidRDefault="00F25CBC" w:rsidP="00D751FB">
      <w:pPr>
        <w:pStyle w:val="BodyTextMain"/>
        <w:rPr>
          <w:rFonts w:eastAsia="Calibri"/>
          <w:spacing w:val="-2"/>
          <w:kern w:val="22"/>
          <w:lang w:val="en-GB"/>
        </w:rPr>
      </w:pPr>
      <w:r w:rsidRPr="0097590C">
        <w:rPr>
          <w:rFonts w:eastAsia="Calibri"/>
          <w:spacing w:val="-2"/>
          <w:kern w:val="22"/>
          <w:lang w:val="en-GB"/>
        </w:rPr>
        <w:t>The rise of a</w:t>
      </w:r>
      <w:r w:rsidR="00D751FB" w:rsidRPr="0097590C">
        <w:rPr>
          <w:rFonts w:eastAsia="Calibri"/>
          <w:spacing w:val="-2"/>
          <w:kern w:val="22"/>
          <w:lang w:val="en-GB"/>
        </w:rPr>
        <w:t>uto</w:t>
      </w:r>
      <w:r w:rsidR="00CE048C" w:rsidRPr="0097590C">
        <w:rPr>
          <w:rFonts w:eastAsia="Calibri"/>
          <w:spacing w:val="-2"/>
          <w:kern w:val="22"/>
          <w:lang w:val="en-GB"/>
        </w:rPr>
        <w:t>mobile</w:t>
      </w:r>
      <w:r w:rsidR="00D751FB" w:rsidRPr="0097590C">
        <w:rPr>
          <w:rFonts w:eastAsia="Calibri"/>
          <w:spacing w:val="-2"/>
          <w:kern w:val="22"/>
          <w:lang w:val="en-GB"/>
        </w:rPr>
        <w:t xml:space="preserve"> manufacturing in North America began in the early </w:t>
      </w:r>
      <w:r w:rsidR="00CE048C" w:rsidRPr="0097590C">
        <w:rPr>
          <w:rFonts w:eastAsia="Calibri"/>
          <w:spacing w:val="-2"/>
          <w:kern w:val="22"/>
          <w:lang w:val="en-GB"/>
        </w:rPr>
        <w:t>20</w:t>
      </w:r>
      <w:r w:rsidR="00D751FB" w:rsidRPr="0097590C">
        <w:rPr>
          <w:rFonts w:eastAsia="Calibri"/>
          <w:spacing w:val="-2"/>
          <w:kern w:val="22"/>
          <w:lang w:val="en-GB"/>
        </w:rPr>
        <w:t xml:space="preserve">th century, with the introduction of the Model T by The Ford Motor Company </w:t>
      </w:r>
      <w:r w:rsidR="00CE048C" w:rsidRPr="0097590C">
        <w:rPr>
          <w:rFonts w:eastAsia="Calibri"/>
          <w:spacing w:val="-2"/>
          <w:kern w:val="22"/>
          <w:lang w:val="en-GB"/>
        </w:rPr>
        <w:t xml:space="preserve">(Ford), </w:t>
      </w:r>
      <w:r w:rsidR="00D751FB" w:rsidRPr="0097590C">
        <w:rPr>
          <w:rFonts w:eastAsia="Calibri"/>
          <w:spacing w:val="-2"/>
          <w:kern w:val="22"/>
          <w:lang w:val="en-GB"/>
        </w:rPr>
        <w:t>which made the automobile affordable for the masses</w:t>
      </w:r>
      <w:r w:rsidRPr="0097590C">
        <w:rPr>
          <w:rFonts w:eastAsia="Calibri"/>
          <w:spacing w:val="-2"/>
          <w:kern w:val="22"/>
          <w:lang w:val="en-GB"/>
        </w:rPr>
        <w:t>, among other achievements</w:t>
      </w:r>
      <w:r w:rsidR="00D751FB" w:rsidRPr="0097590C">
        <w:rPr>
          <w:rFonts w:eastAsia="Calibri"/>
          <w:spacing w:val="-2"/>
          <w:kern w:val="22"/>
          <w:lang w:val="en-GB"/>
        </w:rPr>
        <w:t>.</w:t>
      </w:r>
      <w:r w:rsidR="00382558" w:rsidRPr="0097590C">
        <w:rPr>
          <w:rFonts w:eastAsia="Calibri"/>
          <w:spacing w:val="-2"/>
          <w:kern w:val="22"/>
          <w:lang w:val="en-GB"/>
        </w:rPr>
        <w:t xml:space="preserve"> </w:t>
      </w:r>
      <w:r w:rsidR="00D751FB" w:rsidRPr="0097590C">
        <w:rPr>
          <w:rFonts w:eastAsia="Calibri"/>
          <w:spacing w:val="-2"/>
          <w:kern w:val="22"/>
          <w:lang w:val="en-GB"/>
        </w:rPr>
        <w:t xml:space="preserve">However, it was </w:t>
      </w:r>
      <w:r w:rsidR="00CE048C" w:rsidRPr="0097590C">
        <w:rPr>
          <w:rFonts w:eastAsia="Calibri"/>
          <w:spacing w:val="-2"/>
          <w:kern w:val="22"/>
          <w:lang w:val="en-GB"/>
        </w:rPr>
        <w:t xml:space="preserve">GM’s </w:t>
      </w:r>
      <w:r w:rsidR="00D751FB" w:rsidRPr="0097590C">
        <w:rPr>
          <w:rFonts w:eastAsia="Calibri"/>
          <w:spacing w:val="-2"/>
          <w:kern w:val="22"/>
          <w:lang w:val="en-GB"/>
        </w:rPr>
        <w:t>Sloan who was credited with growing the auto industry in significant and innovative ways.</w:t>
      </w:r>
      <w:r w:rsidR="00382558" w:rsidRPr="0097590C">
        <w:rPr>
          <w:rFonts w:eastAsia="Calibri"/>
          <w:spacing w:val="-2"/>
          <w:kern w:val="22"/>
          <w:lang w:val="en-GB"/>
        </w:rPr>
        <w:t xml:space="preserve"> </w:t>
      </w:r>
      <w:r w:rsidR="00D751FB" w:rsidRPr="0097590C">
        <w:rPr>
          <w:rFonts w:eastAsia="Calibri"/>
          <w:spacing w:val="-2"/>
          <w:kern w:val="22"/>
          <w:lang w:val="en-GB"/>
        </w:rPr>
        <w:t>Sloan introduced different car models for various classes of customers, effectively segmenting the market</w:t>
      </w:r>
      <w:r w:rsidRPr="0097590C">
        <w:rPr>
          <w:rFonts w:eastAsia="Calibri"/>
          <w:spacing w:val="-2"/>
          <w:kern w:val="22"/>
          <w:lang w:val="en-GB"/>
        </w:rPr>
        <w:t>. He also</w:t>
      </w:r>
      <w:r w:rsidR="00D751FB" w:rsidRPr="0097590C">
        <w:rPr>
          <w:rFonts w:eastAsia="Calibri"/>
          <w:spacing w:val="-2"/>
          <w:kern w:val="22"/>
          <w:lang w:val="en-GB"/>
        </w:rPr>
        <w:t xml:space="preserve"> created consumer credit, allowing consumers to purchase, over time, their Chevrolet or Pontiac</w:t>
      </w:r>
      <w:r w:rsidR="00CE048C" w:rsidRPr="0097590C">
        <w:rPr>
          <w:rFonts w:eastAsia="Calibri"/>
          <w:spacing w:val="-2"/>
          <w:kern w:val="22"/>
          <w:lang w:val="en-GB"/>
        </w:rPr>
        <w:t>,</w:t>
      </w:r>
      <w:r w:rsidR="00D751FB" w:rsidRPr="0097590C">
        <w:rPr>
          <w:rFonts w:eastAsia="Calibri"/>
          <w:spacing w:val="-2"/>
          <w:kern w:val="22"/>
          <w:lang w:val="en-GB"/>
        </w:rPr>
        <w:t xml:space="preserve"> which they could otherwise not afford. </w:t>
      </w:r>
      <w:r w:rsidR="00CE048C" w:rsidRPr="0097590C">
        <w:rPr>
          <w:rFonts w:eastAsia="Calibri"/>
          <w:spacing w:val="-2"/>
          <w:kern w:val="22"/>
          <w:lang w:val="en-GB"/>
        </w:rPr>
        <w:t>Sloan also</w:t>
      </w:r>
      <w:r w:rsidR="00D751FB" w:rsidRPr="0097590C">
        <w:rPr>
          <w:rFonts w:eastAsia="Calibri"/>
          <w:spacing w:val="-2"/>
          <w:kern w:val="22"/>
          <w:lang w:val="en-GB"/>
        </w:rPr>
        <w:t xml:space="preserve"> accelerated the product introduction cycles to launch a new model of each brand annually, which substantially grew the auto</w:t>
      </w:r>
      <w:r w:rsidR="00CE048C" w:rsidRPr="0097590C">
        <w:rPr>
          <w:rFonts w:eastAsia="Calibri"/>
          <w:spacing w:val="-2"/>
          <w:kern w:val="22"/>
          <w:lang w:val="en-GB"/>
        </w:rPr>
        <w:t>mobile</w:t>
      </w:r>
      <w:r w:rsidR="00D751FB" w:rsidRPr="0097590C">
        <w:rPr>
          <w:rFonts w:eastAsia="Calibri"/>
          <w:spacing w:val="-2"/>
          <w:kern w:val="22"/>
          <w:lang w:val="en-GB"/>
        </w:rPr>
        <w:t xml:space="preserve"> replacement market. Notably, Sloan and GM led the industry through a consolidation phase, driven by a period of market saturation and technological stagnation, during the 1920s and </w:t>
      </w:r>
      <w:r w:rsidR="00CE048C" w:rsidRPr="0097590C">
        <w:rPr>
          <w:rFonts w:eastAsia="Calibri"/>
          <w:spacing w:val="-2"/>
          <w:kern w:val="22"/>
          <w:lang w:val="en-GB"/>
        </w:rPr>
        <w:t>19</w:t>
      </w:r>
      <w:r w:rsidR="00D751FB" w:rsidRPr="0097590C">
        <w:rPr>
          <w:rFonts w:eastAsia="Calibri"/>
          <w:spacing w:val="-2"/>
          <w:kern w:val="22"/>
          <w:lang w:val="en-GB"/>
        </w:rPr>
        <w:t>30s.</w:t>
      </w:r>
    </w:p>
    <w:p w14:paraId="4DCFC255" w14:textId="77777777" w:rsidR="00CE048C" w:rsidRPr="0051039E" w:rsidRDefault="00CE048C" w:rsidP="00D751FB">
      <w:pPr>
        <w:pStyle w:val="BodyTextMain"/>
        <w:rPr>
          <w:rFonts w:eastAsia="Calibri"/>
          <w:lang w:val="en-GB"/>
        </w:rPr>
      </w:pPr>
    </w:p>
    <w:p w14:paraId="7610B644" w14:textId="77F415EB" w:rsidR="00D751FB" w:rsidRPr="0051039E" w:rsidRDefault="00D751FB" w:rsidP="00D751FB">
      <w:pPr>
        <w:pStyle w:val="BodyTextMain"/>
        <w:rPr>
          <w:rFonts w:eastAsia="Calibri"/>
          <w:lang w:val="en-GB"/>
        </w:rPr>
      </w:pPr>
      <w:r w:rsidRPr="0051039E">
        <w:rPr>
          <w:rFonts w:eastAsia="Calibri"/>
          <w:lang w:val="en-GB"/>
        </w:rPr>
        <w:t>The fundamental elements of the standard automobile were all in place by the 1930s</w:t>
      </w:r>
      <w:r w:rsidR="00CE048C" w:rsidRPr="0051039E">
        <w:rPr>
          <w:rFonts w:eastAsia="Calibri"/>
          <w:lang w:val="en-GB"/>
        </w:rPr>
        <w:t>. T</w:t>
      </w:r>
      <w:r w:rsidRPr="0051039E">
        <w:rPr>
          <w:rFonts w:eastAsia="Calibri"/>
          <w:lang w:val="en-GB"/>
        </w:rPr>
        <w:t>he</w:t>
      </w:r>
      <w:r w:rsidR="00CE048C" w:rsidRPr="0051039E">
        <w:rPr>
          <w:rFonts w:eastAsia="Calibri"/>
          <w:lang w:val="en-GB"/>
        </w:rPr>
        <w:t>se features included</w:t>
      </w:r>
      <w:r w:rsidR="007E59BC" w:rsidRPr="0051039E">
        <w:rPr>
          <w:rFonts w:eastAsia="Calibri"/>
          <w:lang w:val="en-GB"/>
        </w:rPr>
        <w:t xml:space="preserve"> a</w:t>
      </w:r>
      <w:r w:rsidRPr="0051039E">
        <w:rPr>
          <w:rFonts w:eastAsia="Calibri"/>
          <w:lang w:val="en-GB"/>
        </w:rPr>
        <w:t xml:space="preserve"> closed all-steel body</w:t>
      </w:r>
      <w:r w:rsidR="00CE048C" w:rsidRPr="0051039E">
        <w:rPr>
          <w:rFonts w:eastAsia="Calibri"/>
          <w:lang w:val="en-GB"/>
        </w:rPr>
        <w:t>,</w:t>
      </w:r>
      <w:r w:rsidRPr="0051039E">
        <w:rPr>
          <w:rFonts w:eastAsia="Calibri"/>
          <w:lang w:val="en-GB"/>
        </w:rPr>
        <w:t xml:space="preserve"> a high compression engine, hydraulic brakes, synchromesh transmission (</w:t>
      </w:r>
      <w:r w:rsidR="007E59BC" w:rsidRPr="0051039E">
        <w:rPr>
          <w:rFonts w:eastAsia="Calibri"/>
          <w:lang w:val="en-GB"/>
        </w:rPr>
        <w:t>with</w:t>
      </w:r>
      <w:r w:rsidRPr="0051039E">
        <w:rPr>
          <w:rFonts w:eastAsia="Calibri"/>
          <w:lang w:val="en-GB"/>
        </w:rPr>
        <w:t xml:space="preserve"> automatic transmission</w:t>
      </w:r>
      <w:r w:rsidR="007E59BC" w:rsidRPr="0051039E">
        <w:rPr>
          <w:rFonts w:eastAsia="Calibri"/>
          <w:lang w:val="en-GB"/>
        </w:rPr>
        <w:t xml:space="preserve"> soon to follow</w:t>
      </w:r>
      <w:r w:rsidRPr="0051039E">
        <w:rPr>
          <w:rFonts w:eastAsia="Calibri"/>
          <w:lang w:val="en-GB"/>
        </w:rPr>
        <w:t xml:space="preserve">), </w:t>
      </w:r>
      <w:r w:rsidR="007E59BC" w:rsidRPr="0051039E">
        <w:rPr>
          <w:rFonts w:eastAsia="Calibri"/>
          <w:lang w:val="en-GB"/>
        </w:rPr>
        <w:t xml:space="preserve">a </w:t>
      </w:r>
      <w:r w:rsidRPr="0051039E">
        <w:rPr>
          <w:rFonts w:eastAsia="Calibri"/>
          <w:lang w:val="en-GB"/>
        </w:rPr>
        <w:t xml:space="preserve">self-starter, </w:t>
      </w:r>
      <w:r w:rsidR="002B3880" w:rsidRPr="0051039E">
        <w:rPr>
          <w:rFonts w:eastAsia="Calibri"/>
          <w:lang w:val="en-GB"/>
        </w:rPr>
        <w:t>low-pressure</w:t>
      </w:r>
      <w:r w:rsidRPr="0051039E">
        <w:rPr>
          <w:rFonts w:eastAsia="Calibri"/>
          <w:lang w:val="en-GB"/>
        </w:rPr>
        <w:t xml:space="preserve"> balloon tires</w:t>
      </w:r>
      <w:r w:rsidR="00CE048C" w:rsidRPr="0051039E">
        <w:rPr>
          <w:rFonts w:eastAsia="Calibri"/>
          <w:lang w:val="en-GB"/>
        </w:rPr>
        <w:t>,</w:t>
      </w:r>
      <w:r w:rsidRPr="0051039E">
        <w:rPr>
          <w:rFonts w:eastAsia="Calibri"/>
          <w:lang w:val="en-GB"/>
        </w:rPr>
        <w:t xml:space="preserve"> and a drop-frame construction.</w:t>
      </w:r>
      <w:r w:rsidR="00382558" w:rsidRPr="0051039E">
        <w:rPr>
          <w:rFonts w:eastAsia="Calibri"/>
          <w:lang w:val="en-GB"/>
        </w:rPr>
        <w:t xml:space="preserve"> </w:t>
      </w:r>
      <w:r w:rsidRPr="0051039E">
        <w:rPr>
          <w:rFonts w:eastAsia="Calibri"/>
          <w:lang w:val="en-GB"/>
        </w:rPr>
        <w:t>This standardization ultimately saw the industry go from a peak of 253 automobile manufacturers in 1908 to 44 in 1929, where approximately 80 per</w:t>
      </w:r>
      <w:r w:rsidR="007E59BC" w:rsidRPr="0051039E">
        <w:rPr>
          <w:rFonts w:eastAsia="Calibri"/>
          <w:lang w:val="en-GB"/>
        </w:rPr>
        <w:t xml:space="preserve"> </w:t>
      </w:r>
      <w:r w:rsidRPr="0051039E">
        <w:rPr>
          <w:rFonts w:eastAsia="Calibri"/>
          <w:lang w:val="en-GB"/>
        </w:rPr>
        <w:t>cent of the industry’s output came from Ford, GM</w:t>
      </w:r>
      <w:r w:rsidR="007E59BC" w:rsidRPr="0051039E">
        <w:rPr>
          <w:rFonts w:eastAsia="Calibri"/>
          <w:lang w:val="en-GB"/>
        </w:rPr>
        <w:t>,</w:t>
      </w:r>
      <w:r w:rsidRPr="0051039E">
        <w:rPr>
          <w:rFonts w:eastAsia="Calibri"/>
          <w:lang w:val="en-GB"/>
        </w:rPr>
        <w:t xml:space="preserve"> and Chrysler.</w:t>
      </w:r>
      <w:r w:rsidR="00382558" w:rsidRPr="0051039E">
        <w:rPr>
          <w:rFonts w:eastAsia="Calibri"/>
          <w:lang w:val="en-GB"/>
        </w:rPr>
        <w:t xml:space="preserve"> </w:t>
      </w:r>
      <w:r w:rsidRPr="0051039E">
        <w:rPr>
          <w:rFonts w:eastAsia="Calibri"/>
          <w:lang w:val="en-GB"/>
        </w:rPr>
        <w:t xml:space="preserve">The remaining independent automakers failed through the Great Depression, with </w:t>
      </w:r>
      <w:r w:rsidR="007E59BC" w:rsidRPr="0051039E">
        <w:rPr>
          <w:rFonts w:eastAsia="Calibri"/>
          <w:lang w:val="en-GB"/>
        </w:rPr>
        <w:t>several companies surviving</w:t>
      </w:r>
      <w:r w:rsidRPr="0051039E">
        <w:rPr>
          <w:rFonts w:eastAsia="Calibri"/>
          <w:lang w:val="en-GB"/>
        </w:rPr>
        <w:t xml:space="preserve"> through World War II only to collapse (or be purchased) in the early post-war period.</w:t>
      </w:r>
      <w:r w:rsidR="00382558" w:rsidRPr="0051039E">
        <w:rPr>
          <w:rFonts w:eastAsia="Calibri"/>
          <w:lang w:val="en-GB"/>
        </w:rPr>
        <w:t xml:space="preserve"> </w:t>
      </w:r>
      <w:r w:rsidRPr="0051039E">
        <w:rPr>
          <w:rFonts w:eastAsia="Calibri"/>
          <w:lang w:val="en-GB"/>
        </w:rPr>
        <w:t>Like most mature industries, the North American auto</w:t>
      </w:r>
      <w:r w:rsidR="007E59BC" w:rsidRPr="0051039E">
        <w:rPr>
          <w:rFonts w:eastAsia="Calibri"/>
          <w:lang w:val="en-GB"/>
        </w:rPr>
        <w:t>mobile</w:t>
      </w:r>
      <w:r w:rsidRPr="0051039E">
        <w:rPr>
          <w:rFonts w:eastAsia="Calibri"/>
          <w:lang w:val="en-GB"/>
        </w:rPr>
        <w:t xml:space="preserve"> industry consolidated around a standardized product</w:t>
      </w:r>
      <w:r w:rsidR="007E59BC" w:rsidRPr="0051039E">
        <w:rPr>
          <w:rFonts w:eastAsia="Calibri"/>
          <w:lang w:val="en-GB"/>
        </w:rPr>
        <w:t>,</w:t>
      </w:r>
      <w:r w:rsidRPr="0051039E">
        <w:rPr>
          <w:rFonts w:eastAsia="Calibri"/>
          <w:lang w:val="en-GB"/>
        </w:rPr>
        <w:t xml:space="preserve"> with subsequent innovation energies focused on incremental product change and significant manufacturing process improvements.</w:t>
      </w:r>
      <w:r w:rsidRPr="0051039E">
        <w:rPr>
          <w:rFonts w:eastAsia="Calibri"/>
          <w:vertAlign w:val="superscript"/>
          <w:lang w:val="en-GB"/>
        </w:rPr>
        <w:endnoteReference w:id="8"/>
      </w:r>
      <w:r w:rsidRPr="0051039E">
        <w:rPr>
          <w:rFonts w:eastAsia="Calibri"/>
          <w:lang w:val="en-GB"/>
        </w:rPr>
        <w:t xml:space="preserve"> </w:t>
      </w:r>
    </w:p>
    <w:p w14:paraId="7A2D417D" w14:textId="77777777" w:rsidR="00D751FB" w:rsidRPr="0051039E" w:rsidRDefault="00D751FB" w:rsidP="00D751FB">
      <w:pPr>
        <w:pStyle w:val="BodyTextMain"/>
        <w:rPr>
          <w:rFonts w:eastAsia="Calibri"/>
          <w:lang w:val="en-GB"/>
        </w:rPr>
      </w:pPr>
    </w:p>
    <w:p w14:paraId="3536631A" w14:textId="529E504F" w:rsidR="00D751FB" w:rsidRPr="0051039E" w:rsidRDefault="00D751FB" w:rsidP="00D751FB">
      <w:pPr>
        <w:pStyle w:val="BodyTextMain"/>
        <w:rPr>
          <w:rFonts w:eastAsia="Calibri"/>
          <w:lang w:val="en-GB"/>
        </w:rPr>
      </w:pPr>
      <w:r w:rsidRPr="0051039E">
        <w:rPr>
          <w:rFonts w:eastAsia="Calibri"/>
          <w:lang w:val="en-GB"/>
        </w:rPr>
        <w:t>In the United States, automakers and their suppliers represented the largest manufacturing sector, responsible for 3</w:t>
      </w:r>
      <w:r w:rsidR="00774C16" w:rsidRPr="0051039E">
        <w:rPr>
          <w:rFonts w:eastAsia="Calibri"/>
          <w:lang w:val="en-GB"/>
        </w:rPr>
        <w:t>.0</w:t>
      </w:r>
      <w:r w:rsidRPr="0051039E">
        <w:rPr>
          <w:rFonts w:eastAsia="Calibri"/>
          <w:lang w:val="en-GB"/>
        </w:rPr>
        <w:t xml:space="preserve"> to 3.5 per</w:t>
      </w:r>
      <w:r w:rsidR="00774C16" w:rsidRPr="0051039E">
        <w:rPr>
          <w:rFonts w:eastAsia="Calibri"/>
          <w:lang w:val="en-GB"/>
        </w:rPr>
        <w:t xml:space="preserve"> </w:t>
      </w:r>
      <w:r w:rsidRPr="0051039E">
        <w:rPr>
          <w:rFonts w:eastAsia="Calibri"/>
          <w:lang w:val="en-GB"/>
        </w:rPr>
        <w:t xml:space="preserve">cent of America’s </w:t>
      </w:r>
      <w:r w:rsidR="00774C16" w:rsidRPr="0051039E">
        <w:rPr>
          <w:rFonts w:eastAsia="Calibri"/>
          <w:lang w:val="en-GB"/>
        </w:rPr>
        <w:t>gross domes</w:t>
      </w:r>
      <w:r w:rsidR="00D876E2">
        <w:rPr>
          <w:rFonts w:eastAsia="Calibri"/>
          <w:lang w:val="en-GB"/>
        </w:rPr>
        <w:t>t</w:t>
      </w:r>
      <w:r w:rsidR="00774C16" w:rsidRPr="0051039E">
        <w:rPr>
          <w:rFonts w:eastAsia="Calibri"/>
          <w:lang w:val="en-GB"/>
        </w:rPr>
        <w:t>ic product</w:t>
      </w:r>
      <w:r w:rsidRPr="0051039E">
        <w:rPr>
          <w:rFonts w:eastAsia="Calibri"/>
          <w:lang w:val="en-GB"/>
        </w:rPr>
        <w:t>.</w:t>
      </w:r>
      <w:r w:rsidR="000B1214" w:rsidRPr="0051039E">
        <w:rPr>
          <w:rFonts w:eastAsia="Calibri"/>
          <w:lang w:val="en-GB"/>
        </w:rPr>
        <w:t xml:space="preserve"> </w:t>
      </w:r>
      <w:r w:rsidRPr="0051039E">
        <w:rPr>
          <w:rFonts w:eastAsia="Calibri"/>
          <w:lang w:val="en-GB"/>
        </w:rPr>
        <w:t xml:space="preserve">This sector generated the most jobs of any other sector in the </w:t>
      </w:r>
      <w:r w:rsidR="00774C16" w:rsidRPr="0051039E">
        <w:rPr>
          <w:rFonts w:eastAsia="Calibri"/>
          <w:lang w:val="en-GB"/>
        </w:rPr>
        <w:t>country to become the</w:t>
      </w:r>
      <w:r w:rsidRPr="0051039E">
        <w:rPr>
          <w:rFonts w:eastAsia="Calibri"/>
          <w:lang w:val="en-GB"/>
        </w:rPr>
        <w:t xml:space="preserve"> largest exporter of goods and services.</w:t>
      </w:r>
      <w:r w:rsidR="00382558" w:rsidRPr="0051039E">
        <w:rPr>
          <w:rFonts w:eastAsia="Calibri"/>
          <w:lang w:val="en-GB"/>
        </w:rPr>
        <w:t xml:space="preserve"> </w:t>
      </w:r>
      <w:r w:rsidRPr="0051039E">
        <w:rPr>
          <w:rFonts w:eastAsia="Calibri"/>
          <w:lang w:val="en-GB"/>
        </w:rPr>
        <w:t>The auto</w:t>
      </w:r>
      <w:r w:rsidR="00774C16" w:rsidRPr="0051039E">
        <w:rPr>
          <w:rFonts w:eastAsia="Calibri"/>
          <w:lang w:val="en-GB"/>
        </w:rPr>
        <w:t>mobile</w:t>
      </w:r>
      <w:r w:rsidRPr="0051039E">
        <w:rPr>
          <w:rFonts w:eastAsia="Calibri"/>
          <w:lang w:val="en-GB"/>
        </w:rPr>
        <w:t xml:space="preserve"> industry purchased hundreds of billions of dollars in parts and services each year</w:t>
      </w:r>
      <w:r w:rsidR="00774C16" w:rsidRPr="0051039E">
        <w:rPr>
          <w:rFonts w:eastAsia="Calibri"/>
          <w:lang w:val="en-GB"/>
        </w:rPr>
        <w:t>,</w:t>
      </w:r>
      <w:r w:rsidRPr="0051039E">
        <w:rPr>
          <w:rFonts w:eastAsia="Calibri"/>
          <w:lang w:val="en-GB"/>
        </w:rPr>
        <w:t xml:space="preserve"> represent</w:t>
      </w:r>
      <w:r w:rsidR="00774C16" w:rsidRPr="0051039E">
        <w:rPr>
          <w:rFonts w:eastAsia="Calibri"/>
          <w:lang w:val="en-GB"/>
        </w:rPr>
        <w:t>ing</w:t>
      </w:r>
      <w:r w:rsidRPr="0051039E">
        <w:rPr>
          <w:rFonts w:eastAsia="Calibri"/>
          <w:lang w:val="en-GB"/>
        </w:rPr>
        <w:t xml:space="preserve"> the third</w:t>
      </w:r>
      <w:r w:rsidR="00774C16" w:rsidRPr="0051039E">
        <w:rPr>
          <w:rFonts w:eastAsia="Calibri"/>
          <w:lang w:val="en-GB"/>
        </w:rPr>
        <w:t>-</w:t>
      </w:r>
      <w:r w:rsidRPr="0051039E">
        <w:rPr>
          <w:rFonts w:eastAsia="Calibri"/>
          <w:lang w:val="en-GB"/>
        </w:rPr>
        <w:t xml:space="preserve">largest </w:t>
      </w:r>
      <w:r w:rsidR="00774C16" w:rsidRPr="0051039E">
        <w:rPr>
          <w:rFonts w:eastAsia="Calibri"/>
          <w:lang w:val="en-GB"/>
        </w:rPr>
        <w:t xml:space="preserve">global </w:t>
      </w:r>
      <w:r w:rsidRPr="0051039E">
        <w:rPr>
          <w:rFonts w:eastAsia="Calibri"/>
          <w:lang w:val="en-GB"/>
        </w:rPr>
        <w:t xml:space="preserve">investor in </w:t>
      </w:r>
      <w:r w:rsidR="00774C16" w:rsidRPr="0051039E">
        <w:rPr>
          <w:rFonts w:eastAsia="Calibri"/>
          <w:lang w:val="en-GB"/>
        </w:rPr>
        <w:t>research and development (</w:t>
      </w:r>
      <w:r w:rsidRPr="0051039E">
        <w:rPr>
          <w:rFonts w:eastAsia="Calibri"/>
          <w:lang w:val="en-GB"/>
        </w:rPr>
        <w:t>R&amp;D</w:t>
      </w:r>
      <w:r w:rsidR="00774C16" w:rsidRPr="0051039E">
        <w:rPr>
          <w:rFonts w:eastAsia="Calibri"/>
          <w:lang w:val="en-GB"/>
        </w:rPr>
        <w:t>)</w:t>
      </w:r>
      <w:r w:rsidRPr="0051039E">
        <w:rPr>
          <w:rFonts w:eastAsia="Calibri"/>
          <w:lang w:val="en-GB"/>
        </w:rPr>
        <w:t>.</w:t>
      </w:r>
      <w:r w:rsidR="00382558" w:rsidRPr="0051039E">
        <w:rPr>
          <w:rFonts w:eastAsia="Calibri"/>
          <w:lang w:val="en-GB"/>
        </w:rPr>
        <w:t xml:space="preserve"> </w:t>
      </w:r>
      <w:r w:rsidRPr="0051039E">
        <w:rPr>
          <w:rFonts w:eastAsia="Calibri"/>
          <w:lang w:val="en-GB"/>
        </w:rPr>
        <w:t>Ford, G</w:t>
      </w:r>
      <w:r w:rsidR="00774C16" w:rsidRPr="0051039E">
        <w:rPr>
          <w:rFonts w:eastAsia="Calibri"/>
          <w:lang w:val="en-GB"/>
        </w:rPr>
        <w:t>M,</w:t>
      </w:r>
      <w:r w:rsidRPr="0051039E">
        <w:rPr>
          <w:rFonts w:eastAsia="Calibri"/>
          <w:lang w:val="en-GB"/>
        </w:rPr>
        <w:t xml:space="preserve"> and Chrysler</w:t>
      </w:r>
      <w:r w:rsidR="00774C16" w:rsidRPr="0051039E">
        <w:rPr>
          <w:rFonts w:eastAsia="Calibri"/>
          <w:lang w:val="en-GB"/>
        </w:rPr>
        <w:t xml:space="preserve"> (later becoming Fiat Chrysler Automobiles</w:t>
      </w:r>
      <w:r w:rsidRPr="0051039E">
        <w:rPr>
          <w:rFonts w:eastAsia="Calibri"/>
          <w:lang w:val="en-GB"/>
        </w:rPr>
        <w:t xml:space="preserve">) </w:t>
      </w:r>
      <w:proofErr w:type="gramStart"/>
      <w:r w:rsidR="00774C16" w:rsidRPr="0051039E">
        <w:rPr>
          <w:rFonts w:eastAsia="Calibri"/>
          <w:lang w:val="en-GB"/>
        </w:rPr>
        <w:t xml:space="preserve">were </w:t>
      </w:r>
      <w:r w:rsidRPr="0051039E">
        <w:rPr>
          <w:rFonts w:eastAsia="Calibri"/>
          <w:lang w:val="en-GB"/>
        </w:rPr>
        <w:t>know</w:t>
      </w:r>
      <w:r w:rsidR="00774C16" w:rsidRPr="0051039E">
        <w:rPr>
          <w:rFonts w:eastAsia="Calibri"/>
          <w:lang w:val="en-GB"/>
        </w:rPr>
        <w:t>n</w:t>
      </w:r>
      <w:proofErr w:type="gramEnd"/>
      <w:r w:rsidRPr="0051039E">
        <w:rPr>
          <w:rFonts w:eastAsia="Calibri"/>
          <w:lang w:val="en-GB"/>
        </w:rPr>
        <w:t xml:space="preserve"> as “the big three</w:t>
      </w:r>
      <w:r w:rsidR="00774C16" w:rsidRPr="0051039E">
        <w:rPr>
          <w:rFonts w:eastAsia="Calibri"/>
          <w:lang w:val="en-GB"/>
        </w:rPr>
        <w:t>,</w:t>
      </w:r>
      <w:r w:rsidRPr="0051039E">
        <w:rPr>
          <w:rFonts w:eastAsia="Calibri"/>
          <w:lang w:val="en-GB"/>
        </w:rPr>
        <w:t>” employ</w:t>
      </w:r>
      <w:r w:rsidR="00774C16" w:rsidRPr="0051039E">
        <w:rPr>
          <w:rFonts w:eastAsia="Calibri"/>
          <w:lang w:val="en-GB"/>
        </w:rPr>
        <w:t>ing</w:t>
      </w:r>
      <w:r w:rsidRPr="0051039E">
        <w:rPr>
          <w:rFonts w:eastAsia="Calibri"/>
          <w:lang w:val="en-GB"/>
        </w:rPr>
        <w:t xml:space="preserve"> two out of three </w:t>
      </w:r>
      <w:r w:rsidR="00E70A21">
        <w:rPr>
          <w:rFonts w:eastAsia="Calibri"/>
          <w:lang w:val="en-GB"/>
        </w:rPr>
        <w:t>US</w:t>
      </w:r>
      <w:r w:rsidRPr="0051039E">
        <w:rPr>
          <w:rFonts w:eastAsia="Calibri"/>
          <w:lang w:val="en-GB"/>
        </w:rPr>
        <w:t xml:space="preserve"> autoworkers and operat</w:t>
      </w:r>
      <w:r w:rsidR="00774C16" w:rsidRPr="0051039E">
        <w:rPr>
          <w:rFonts w:eastAsia="Calibri"/>
          <w:lang w:val="en-GB"/>
        </w:rPr>
        <w:t>ing</w:t>
      </w:r>
      <w:r w:rsidRPr="0051039E">
        <w:rPr>
          <w:rFonts w:eastAsia="Calibri"/>
          <w:lang w:val="en-GB"/>
        </w:rPr>
        <w:t xml:space="preserve"> </w:t>
      </w:r>
      <w:r w:rsidR="00774C16" w:rsidRPr="0051039E">
        <w:rPr>
          <w:rFonts w:eastAsia="Calibri"/>
          <w:lang w:val="en-GB"/>
        </w:rPr>
        <w:t xml:space="preserve">60 </w:t>
      </w:r>
      <w:r w:rsidRPr="0051039E">
        <w:rPr>
          <w:rFonts w:eastAsia="Calibri"/>
          <w:lang w:val="en-GB"/>
        </w:rPr>
        <w:t>per</w:t>
      </w:r>
      <w:r w:rsidR="00774C16" w:rsidRPr="0051039E">
        <w:rPr>
          <w:rFonts w:eastAsia="Calibri"/>
          <w:lang w:val="en-GB"/>
        </w:rPr>
        <w:t xml:space="preserve"> </w:t>
      </w:r>
      <w:r w:rsidRPr="0051039E">
        <w:rPr>
          <w:rFonts w:eastAsia="Calibri"/>
          <w:lang w:val="en-GB"/>
        </w:rPr>
        <w:t xml:space="preserve">cent of </w:t>
      </w:r>
      <w:r w:rsidR="00E70A21">
        <w:rPr>
          <w:rFonts w:eastAsia="Calibri"/>
          <w:lang w:val="en-GB"/>
        </w:rPr>
        <w:t>US</w:t>
      </w:r>
      <w:r w:rsidRPr="0051039E">
        <w:rPr>
          <w:rFonts w:eastAsia="Calibri"/>
          <w:lang w:val="en-GB"/>
        </w:rPr>
        <w:t xml:space="preserve"> auto assembly plants.</w:t>
      </w:r>
      <w:r w:rsidR="00382558" w:rsidRPr="0051039E">
        <w:rPr>
          <w:rFonts w:eastAsia="Calibri"/>
          <w:lang w:val="en-GB"/>
        </w:rPr>
        <w:t xml:space="preserve"> </w:t>
      </w:r>
      <w:r w:rsidRPr="0051039E">
        <w:rPr>
          <w:rFonts w:eastAsia="Calibri"/>
          <w:lang w:val="en-GB"/>
        </w:rPr>
        <w:t>According to the American Automotive Policy Council, in 2016, these three companies produced 6.6 million vehicles in the U</w:t>
      </w:r>
      <w:r w:rsidR="0051039E">
        <w:rPr>
          <w:rFonts w:eastAsia="Calibri"/>
          <w:lang w:val="en-GB"/>
        </w:rPr>
        <w:t xml:space="preserve">nited </w:t>
      </w:r>
      <w:r w:rsidRPr="0051039E">
        <w:rPr>
          <w:rFonts w:eastAsia="Calibri"/>
          <w:lang w:val="en-GB"/>
        </w:rPr>
        <w:t>S</w:t>
      </w:r>
      <w:r w:rsidR="0051039E">
        <w:rPr>
          <w:rFonts w:eastAsia="Calibri"/>
          <w:lang w:val="en-GB"/>
        </w:rPr>
        <w:t>tates</w:t>
      </w:r>
      <w:r w:rsidRPr="0051039E">
        <w:rPr>
          <w:rFonts w:eastAsia="Calibri"/>
          <w:lang w:val="en-GB"/>
        </w:rPr>
        <w:t xml:space="preserve"> </w:t>
      </w:r>
      <w:r w:rsidR="0051039E">
        <w:rPr>
          <w:rFonts w:eastAsia="Calibri"/>
          <w:lang w:val="en-GB"/>
        </w:rPr>
        <w:t xml:space="preserve">and </w:t>
      </w:r>
      <w:r w:rsidRPr="0051039E">
        <w:rPr>
          <w:rFonts w:eastAsia="Calibri"/>
          <w:lang w:val="en-GB"/>
        </w:rPr>
        <w:t>employed over 245,000 employees at more than 220 assembly plants, manufacturing facilities, research labs, and distribution centr</w:t>
      </w:r>
      <w:r w:rsidR="0051039E">
        <w:rPr>
          <w:rFonts w:eastAsia="Calibri"/>
          <w:lang w:val="en-GB"/>
        </w:rPr>
        <w:t>e</w:t>
      </w:r>
      <w:r w:rsidRPr="0051039E">
        <w:rPr>
          <w:rFonts w:eastAsia="Calibri"/>
          <w:lang w:val="en-GB"/>
        </w:rPr>
        <w:t xml:space="preserve">s across 32 states. </w:t>
      </w:r>
      <w:r w:rsidR="0051039E">
        <w:rPr>
          <w:rFonts w:eastAsia="Calibri"/>
          <w:lang w:val="en-GB"/>
        </w:rPr>
        <w:t>More i</w:t>
      </w:r>
      <w:r w:rsidRPr="0051039E">
        <w:rPr>
          <w:rFonts w:eastAsia="Calibri"/>
          <w:lang w:val="en-GB"/>
        </w:rPr>
        <w:t xml:space="preserve">mportant for the </w:t>
      </w:r>
      <w:r w:rsidR="00E70A21">
        <w:rPr>
          <w:rFonts w:eastAsia="Calibri"/>
          <w:lang w:val="en-GB"/>
        </w:rPr>
        <w:t>US</w:t>
      </w:r>
      <w:r w:rsidRPr="0051039E">
        <w:rPr>
          <w:rFonts w:eastAsia="Calibri"/>
          <w:lang w:val="en-GB"/>
        </w:rPr>
        <w:t xml:space="preserve"> economy, each auto assembly job supported an estimated seven other jobs at suppliers and in surrounding communities.</w:t>
      </w:r>
      <w:r w:rsidR="00382558" w:rsidRPr="0051039E">
        <w:rPr>
          <w:rFonts w:eastAsia="Calibri"/>
          <w:lang w:val="en-GB"/>
        </w:rPr>
        <w:t xml:space="preserve"> </w:t>
      </w:r>
      <w:r w:rsidRPr="0051039E">
        <w:rPr>
          <w:rFonts w:eastAsia="Calibri"/>
          <w:lang w:val="en-GB"/>
        </w:rPr>
        <w:t>Each ICE vehicle contained 8,000 to 12,000 different components provided by more than 5,600 suppliers in the U</w:t>
      </w:r>
      <w:r w:rsidR="0051039E">
        <w:rPr>
          <w:rFonts w:eastAsia="Calibri"/>
          <w:lang w:val="en-GB"/>
        </w:rPr>
        <w:t xml:space="preserve">nited </w:t>
      </w:r>
      <w:r w:rsidRPr="0051039E">
        <w:rPr>
          <w:rFonts w:eastAsia="Calibri"/>
          <w:lang w:val="en-GB"/>
        </w:rPr>
        <w:t>S</w:t>
      </w:r>
      <w:r w:rsidR="0051039E">
        <w:rPr>
          <w:rFonts w:eastAsia="Calibri"/>
          <w:lang w:val="en-GB"/>
        </w:rPr>
        <w:t>tates</w:t>
      </w:r>
      <w:r w:rsidRPr="0051039E">
        <w:rPr>
          <w:rFonts w:eastAsia="Calibri"/>
          <w:lang w:val="en-GB"/>
        </w:rPr>
        <w:t>, who employed more than 871,000 workers.</w:t>
      </w:r>
      <w:r w:rsidRPr="0051039E">
        <w:rPr>
          <w:rFonts w:eastAsia="Calibri"/>
          <w:vertAlign w:val="superscript"/>
          <w:lang w:val="en-GB"/>
        </w:rPr>
        <w:endnoteReference w:id="9"/>
      </w:r>
    </w:p>
    <w:p w14:paraId="0284BEAE" w14:textId="77777777" w:rsidR="00D751FB" w:rsidRPr="0051039E" w:rsidRDefault="00D751FB" w:rsidP="00D751FB">
      <w:pPr>
        <w:pStyle w:val="BodyTextMain"/>
        <w:rPr>
          <w:rFonts w:eastAsia="Calibri"/>
          <w:lang w:val="en-GB"/>
        </w:rPr>
      </w:pPr>
    </w:p>
    <w:p w14:paraId="3993D1B5" w14:textId="4D96245D" w:rsidR="00D751FB" w:rsidRPr="0051039E" w:rsidRDefault="0051039E" w:rsidP="00D751FB">
      <w:pPr>
        <w:pStyle w:val="BodyTextMain"/>
        <w:rPr>
          <w:rFonts w:eastAsia="Calibri"/>
          <w:lang w:val="en-GB"/>
        </w:rPr>
      </w:pPr>
      <w:r>
        <w:rPr>
          <w:rFonts w:eastAsia="Calibri"/>
          <w:lang w:val="en-GB"/>
        </w:rPr>
        <w:t>T</w:t>
      </w:r>
      <w:r w:rsidR="00D751FB" w:rsidRPr="0051039E">
        <w:rPr>
          <w:rFonts w:eastAsia="Calibri"/>
          <w:lang w:val="en-GB"/>
        </w:rPr>
        <w:t>hese auto</w:t>
      </w:r>
      <w:r>
        <w:rPr>
          <w:rFonts w:eastAsia="Calibri"/>
          <w:lang w:val="en-GB"/>
        </w:rPr>
        <w:t>mobile</w:t>
      </w:r>
      <w:r w:rsidR="00D751FB" w:rsidRPr="0051039E">
        <w:rPr>
          <w:rFonts w:eastAsia="Calibri"/>
          <w:lang w:val="en-GB"/>
        </w:rPr>
        <w:t xml:space="preserve"> manufacturers </w:t>
      </w:r>
      <w:r>
        <w:rPr>
          <w:rFonts w:eastAsia="Calibri"/>
          <w:lang w:val="en-GB"/>
        </w:rPr>
        <w:t xml:space="preserve">also </w:t>
      </w:r>
      <w:r w:rsidR="00D751FB" w:rsidRPr="0051039E">
        <w:rPr>
          <w:rFonts w:eastAsia="Calibri"/>
          <w:lang w:val="en-GB"/>
        </w:rPr>
        <w:t>had more than 10,150 dealerships</w:t>
      </w:r>
      <w:r>
        <w:rPr>
          <w:rFonts w:eastAsia="Calibri"/>
          <w:lang w:val="en-GB"/>
        </w:rPr>
        <w:t>,</w:t>
      </w:r>
      <w:r w:rsidR="00D751FB" w:rsidRPr="0051039E">
        <w:rPr>
          <w:rFonts w:eastAsia="Calibri"/>
          <w:lang w:val="en-GB"/>
        </w:rPr>
        <w:t xml:space="preserve"> which employed 609,000 additional </w:t>
      </w:r>
      <w:r w:rsidR="00E70A21">
        <w:rPr>
          <w:rFonts w:eastAsia="Calibri"/>
          <w:lang w:val="en-GB"/>
        </w:rPr>
        <w:t>US</w:t>
      </w:r>
      <w:r w:rsidR="00D751FB" w:rsidRPr="0051039E">
        <w:rPr>
          <w:rFonts w:eastAsia="Calibri"/>
          <w:lang w:val="en-GB"/>
        </w:rPr>
        <w:t xml:space="preserve"> workers</w:t>
      </w:r>
      <w:r>
        <w:rPr>
          <w:rFonts w:eastAsia="Calibri"/>
          <w:lang w:val="en-GB"/>
        </w:rPr>
        <w:t>.</w:t>
      </w:r>
      <w:r w:rsidR="00D751FB" w:rsidRPr="0051039E">
        <w:rPr>
          <w:rFonts w:eastAsia="Calibri"/>
          <w:lang w:val="en-GB"/>
        </w:rPr>
        <w:t xml:space="preserve"> </w:t>
      </w:r>
      <w:r>
        <w:rPr>
          <w:rFonts w:eastAsia="Calibri"/>
          <w:lang w:val="en-GB"/>
        </w:rPr>
        <w:t>I</w:t>
      </w:r>
      <w:r w:rsidR="00D751FB" w:rsidRPr="0051039E">
        <w:rPr>
          <w:rFonts w:eastAsia="Calibri"/>
          <w:lang w:val="en-GB"/>
        </w:rPr>
        <w:t xml:space="preserve">n 2016, 17.5 million vehicles </w:t>
      </w:r>
      <w:proofErr w:type="gramStart"/>
      <w:r w:rsidR="00D751FB" w:rsidRPr="0051039E">
        <w:rPr>
          <w:rFonts w:eastAsia="Calibri"/>
          <w:lang w:val="en-GB"/>
        </w:rPr>
        <w:t>were sold</w:t>
      </w:r>
      <w:proofErr w:type="gramEnd"/>
      <w:r w:rsidR="00D751FB" w:rsidRPr="0051039E">
        <w:rPr>
          <w:rFonts w:eastAsia="Calibri"/>
          <w:lang w:val="en-GB"/>
        </w:rPr>
        <w:t xml:space="preserve"> </w:t>
      </w:r>
      <w:r>
        <w:rPr>
          <w:rFonts w:eastAsia="Calibri"/>
          <w:lang w:val="en-GB"/>
        </w:rPr>
        <w:t>through these</w:t>
      </w:r>
      <w:r w:rsidR="00D751FB" w:rsidRPr="0051039E">
        <w:rPr>
          <w:rFonts w:eastAsia="Calibri"/>
          <w:lang w:val="en-GB"/>
        </w:rPr>
        <w:t xml:space="preserve"> </w:t>
      </w:r>
      <w:r w:rsidR="00E70A21">
        <w:rPr>
          <w:rFonts w:eastAsia="Calibri"/>
          <w:lang w:val="en-GB"/>
        </w:rPr>
        <w:t>US</w:t>
      </w:r>
      <w:r>
        <w:rPr>
          <w:rFonts w:eastAsia="Calibri"/>
          <w:lang w:val="en-GB"/>
        </w:rPr>
        <w:t xml:space="preserve"> dealerships.</w:t>
      </w:r>
      <w:r w:rsidR="00D751FB" w:rsidRPr="0051039E">
        <w:rPr>
          <w:rFonts w:eastAsia="Calibri"/>
          <w:vertAlign w:val="superscript"/>
          <w:lang w:val="en-GB"/>
        </w:rPr>
        <w:endnoteReference w:id="10"/>
      </w:r>
      <w:r w:rsidR="000B1214" w:rsidRPr="0051039E">
        <w:rPr>
          <w:rFonts w:eastAsia="Calibri"/>
          <w:lang w:val="en-GB"/>
        </w:rPr>
        <w:t xml:space="preserve"> </w:t>
      </w:r>
      <w:r w:rsidR="00D751FB" w:rsidRPr="0051039E">
        <w:rPr>
          <w:rFonts w:eastAsia="Calibri"/>
          <w:lang w:val="en-GB"/>
        </w:rPr>
        <w:t xml:space="preserve">This was a vital industry for the country’s economy, which explains why </w:t>
      </w:r>
      <w:r>
        <w:rPr>
          <w:rFonts w:eastAsia="Calibri"/>
          <w:lang w:val="en-GB"/>
        </w:rPr>
        <w:t xml:space="preserve">former </w:t>
      </w:r>
      <w:r w:rsidR="00E70A21">
        <w:rPr>
          <w:rFonts w:eastAsia="Calibri"/>
          <w:lang w:val="en-GB"/>
        </w:rPr>
        <w:t>US</w:t>
      </w:r>
      <w:r>
        <w:rPr>
          <w:rFonts w:eastAsia="Calibri"/>
          <w:lang w:val="en-GB"/>
        </w:rPr>
        <w:t xml:space="preserve"> </w:t>
      </w:r>
      <w:r w:rsidR="006111AD">
        <w:rPr>
          <w:rFonts w:eastAsia="Calibri"/>
          <w:lang w:val="en-GB"/>
        </w:rPr>
        <w:t>P</w:t>
      </w:r>
      <w:r>
        <w:rPr>
          <w:rFonts w:eastAsia="Calibri"/>
          <w:lang w:val="en-GB"/>
        </w:rPr>
        <w:t xml:space="preserve">resident </w:t>
      </w:r>
      <w:r w:rsidR="00D751FB" w:rsidRPr="0051039E">
        <w:rPr>
          <w:rFonts w:eastAsia="Calibri"/>
          <w:lang w:val="en-GB"/>
        </w:rPr>
        <w:t xml:space="preserve">Barack Obama and </w:t>
      </w:r>
      <w:r>
        <w:rPr>
          <w:rFonts w:eastAsia="Calibri"/>
          <w:lang w:val="en-GB"/>
        </w:rPr>
        <w:lastRenderedPageBreak/>
        <w:t>his</w:t>
      </w:r>
      <w:r w:rsidR="00D751FB" w:rsidRPr="0051039E">
        <w:rPr>
          <w:rFonts w:eastAsia="Calibri"/>
          <w:lang w:val="en-GB"/>
        </w:rPr>
        <w:t xml:space="preserve"> government invested </w:t>
      </w:r>
      <w:r w:rsidR="00DB4C65">
        <w:rPr>
          <w:rFonts w:eastAsia="Calibri"/>
          <w:lang w:val="en-GB"/>
        </w:rPr>
        <w:t>US</w:t>
      </w:r>
      <w:r w:rsidR="00D751FB" w:rsidRPr="0051039E">
        <w:rPr>
          <w:rFonts w:eastAsia="Calibri"/>
          <w:lang w:val="en-GB"/>
        </w:rPr>
        <w:t>$49.5</w:t>
      </w:r>
      <w:r w:rsidR="00D342E1">
        <w:rPr>
          <w:rStyle w:val="EndnoteReference"/>
          <w:rFonts w:eastAsia="Calibri"/>
          <w:lang w:val="en-GB"/>
        </w:rPr>
        <w:endnoteReference w:id="11"/>
      </w:r>
      <w:r w:rsidR="00D751FB" w:rsidRPr="0051039E">
        <w:rPr>
          <w:rFonts w:eastAsia="Calibri"/>
          <w:lang w:val="en-GB"/>
        </w:rPr>
        <w:t xml:space="preserve"> billion to save GM during the Great Recession of 2009.</w:t>
      </w:r>
      <w:r w:rsidR="00DB4C65" w:rsidRPr="0051039E">
        <w:rPr>
          <w:rFonts w:eastAsia="Calibri"/>
          <w:vertAlign w:val="superscript"/>
          <w:lang w:val="en-GB"/>
        </w:rPr>
        <w:endnoteReference w:id="12"/>
      </w:r>
      <w:r>
        <w:rPr>
          <w:rFonts w:eastAsia="Calibri"/>
          <w:lang w:val="en-GB"/>
        </w:rPr>
        <w:t xml:space="preserve"> </w:t>
      </w:r>
      <w:r w:rsidR="00D751FB" w:rsidRPr="0051039E">
        <w:rPr>
          <w:rFonts w:eastAsia="Calibri"/>
          <w:lang w:val="en-GB"/>
        </w:rPr>
        <w:t>Obama’s statement in March of 2009 exemplified the importance of this industry to the United States:</w:t>
      </w:r>
    </w:p>
    <w:p w14:paraId="76E0E4F2" w14:textId="77777777" w:rsidR="00D751FB" w:rsidRPr="0051039E" w:rsidRDefault="00D751FB" w:rsidP="00D751FB">
      <w:pPr>
        <w:pStyle w:val="BodyTextMain"/>
        <w:rPr>
          <w:rFonts w:eastAsia="Calibri"/>
          <w:lang w:val="en-GB"/>
        </w:rPr>
      </w:pPr>
    </w:p>
    <w:p w14:paraId="2CBC00BE" w14:textId="731FE72E" w:rsidR="00D751FB" w:rsidRPr="0051039E" w:rsidRDefault="00D751FB" w:rsidP="00D751FB">
      <w:pPr>
        <w:pStyle w:val="BodyTextMain"/>
        <w:ind w:left="720"/>
        <w:rPr>
          <w:lang w:val="en-GB"/>
        </w:rPr>
      </w:pPr>
      <w:r w:rsidRPr="0051039E">
        <w:rPr>
          <w:shd w:val="clear" w:color="auto" w:fill="FFFFFF"/>
          <w:lang w:val="en-GB"/>
        </w:rPr>
        <w:t>We cannot, and must not, and we will not let our auto industry simply vanish. This industry is like no other</w:t>
      </w:r>
      <w:r w:rsidR="0051039E">
        <w:rPr>
          <w:shd w:val="clear" w:color="auto" w:fill="FFFFFF"/>
          <w:lang w:val="en-GB"/>
        </w:rPr>
        <w:t>—</w:t>
      </w:r>
      <w:r w:rsidRPr="0051039E">
        <w:rPr>
          <w:shd w:val="clear" w:color="auto" w:fill="FFFFFF"/>
          <w:lang w:val="en-GB"/>
        </w:rPr>
        <w:t>it</w:t>
      </w:r>
      <w:r w:rsidR="0051039E">
        <w:rPr>
          <w:shd w:val="clear" w:color="auto" w:fill="FFFFFF"/>
          <w:lang w:val="en-GB"/>
        </w:rPr>
        <w:t>’</w:t>
      </w:r>
      <w:r w:rsidRPr="0051039E">
        <w:rPr>
          <w:shd w:val="clear" w:color="auto" w:fill="FFFFFF"/>
          <w:lang w:val="en-GB"/>
        </w:rPr>
        <w:t>s an emblem of the American spirit; a once and future symbol of America</w:t>
      </w:r>
      <w:r w:rsidR="0051039E">
        <w:rPr>
          <w:shd w:val="clear" w:color="auto" w:fill="FFFFFF"/>
          <w:lang w:val="en-GB"/>
        </w:rPr>
        <w:t>’</w:t>
      </w:r>
      <w:r w:rsidRPr="0051039E">
        <w:rPr>
          <w:shd w:val="clear" w:color="auto" w:fill="FFFFFF"/>
          <w:lang w:val="en-GB"/>
        </w:rPr>
        <w:t>s success. It</w:t>
      </w:r>
      <w:r w:rsidR="0051039E">
        <w:rPr>
          <w:shd w:val="clear" w:color="auto" w:fill="FFFFFF"/>
          <w:lang w:val="en-GB"/>
        </w:rPr>
        <w:t>’</w:t>
      </w:r>
      <w:r w:rsidRPr="0051039E">
        <w:rPr>
          <w:shd w:val="clear" w:color="auto" w:fill="FFFFFF"/>
          <w:lang w:val="en-GB"/>
        </w:rPr>
        <w:t>s what helped build the middle class and sustained it throughout the 20th century. It</w:t>
      </w:r>
      <w:r w:rsidR="0051039E">
        <w:rPr>
          <w:shd w:val="clear" w:color="auto" w:fill="FFFFFF"/>
          <w:lang w:val="en-GB"/>
        </w:rPr>
        <w:t>’</w:t>
      </w:r>
      <w:r w:rsidRPr="0051039E">
        <w:rPr>
          <w:shd w:val="clear" w:color="auto" w:fill="FFFFFF"/>
          <w:lang w:val="en-GB"/>
        </w:rPr>
        <w:t>s a source of deep pride for the generations of American workers whose hard work and imagination led to some of the finest cars the world has ever known. It</w:t>
      </w:r>
      <w:r w:rsidR="0051039E">
        <w:rPr>
          <w:shd w:val="clear" w:color="auto" w:fill="FFFFFF"/>
          <w:lang w:val="en-GB"/>
        </w:rPr>
        <w:t>’</w:t>
      </w:r>
      <w:r w:rsidRPr="0051039E">
        <w:rPr>
          <w:shd w:val="clear" w:color="auto" w:fill="FFFFFF"/>
          <w:lang w:val="en-GB"/>
        </w:rPr>
        <w:t>s a pillar of our economy that has held up the dreams of millions of our people.</w:t>
      </w:r>
      <w:r w:rsidRPr="0051039E">
        <w:rPr>
          <w:shd w:val="clear" w:color="auto" w:fill="FFFFFF"/>
          <w:vertAlign w:val="superscript"/>
          <w:lang w:val="en-GB"/>
        </w:rPr>
        <w:endnoteReference w:id="13"/>
      </w:r>
    </w:p>
    <w:p w14:paraId="437530FF" w14:textId="77777777" w:rsidR="00D751FB" w:rsidRPr="0051039E" w:rsidRDefault="00D751FB" w:rsidP="00D751FB">
      <w:pPr>
        <w:pStyle w:val="BodyTextMain"/>
        <w:rPr>
          <w:rFonts w:eastAsia="Calibri"/>
          <w:lang w:val="en-GB"/>
        </w:rPr>
      </w:pPr>
    </w:p>
    <w:p w14:paraId="01E5746B" w14:textId="51D66C1B" w:rsidR="00D751FB" w:rsidRPr="0097590C" w:rsidRDefault="00D751FB" w:rsidP="00D751FB">
      <w:pPr>
        <w:pStyle w:val="BodyTextMain"/>
        <w:rPr>
          <w:rFonts w:eastAsia="Calibri"/>
          <w:spacing w:val="-2"/>
          <w:kern w:val="22"/>
          <w:lang w:val="en-GB"/>
        </w:rPr>
      </w:pPr>
      <w:r w:rsidRPr="0097590C">
        <w:rPr>
          <w:rFonts w:eastAsia="Calibri"/>
          <w:spacing w:val="-2"/>
          <w:kern w:val="22"/>
          <w:lang w:val="en-GB"/>
        </w:rPr>
        <w:t>Mature industries</w:t>
      </w:r>
      <w:r w:rsidR="00E144EA" w:rsidRPr="0097590C">
        <w:rPr>
          <w:rFonts w:eastAsia="Calibri"/>
          <w:spacing w:val="-2"/>
          <w:kern w:val="22"/>
          <w:lang w:val="en-GB"/>
        </w:rPr>
        <w:t xml:space="preserve"> such as</w:t>
      </w:r>
      <w:r w:rsidRPr="0097590C">
        <w:rPr>
          <w:rFonts w:eastAsia="Calibri"/>
          <w:spacing w:val="-2"/>
          <w:kern w:val="22"/>
          <w:lang w:val="en-GB"/>
        </w:rPr>
        <w:t xml:space="preserve"> the </w:t>
      </w:r>
      <w:r w:rsidR="00E70A21">
        <w:rPr>
          <w:rFonts w:eastAsia="Calibri"/>
          <w:spacing w:val="-2"/>
          <w:kern w:val="22"/>
          <w:lang w:val="en-GB"/>
        </w:rPr>
        <w:t>US</w:t>
      </w:r>
      <w:r w:rsidRPr="0097590C">
        <w:rPr>
          <w:rFonts w:eastAsia="Calibri"/>
          <w:spacing w:val="-2"/>
          <w:kern w:val="22"/>
          <w:lang w:val="en-GB"/>
        </w:rPr>
        <w:t xml:space="preserve"> auto</w:t>
      </w:r>
      <w:r w:rsidR="00E144EA" w:rsidRPr="0097590C">
        <w:rPr>
          <w:rFonts w:eastAsia="Calibri"/>
          <w:spacing w:val="-2"/>
          <w:kern w:val="22"/>
          <w:lang w:val="en-GB"/>
        </w:rPr>
        <w:t>mobile</w:t>
      </w:r>
      <w:r w:rsidRPr="0097590C">
        <w:rPr>
          <w:rFonts w:eastAsia="Calibri"/>
          <w:spacing w:val="-2"/>
          <w:kern w:val="22"/>
          <w:lang w:val="en-GB"/>
        </w:rPr>
        <w:t xml:space="preserve"> manufacturing industry, with only a few large competitors of relatively equal size and breadth, tended to be very competitive.</w:t>
      </w:r>
      <w:r w:rsidR="00382558" w:rsidRPr="0097590C">
        <w:rPr>
          <w:rFonts w:eastAsia="Calibri"/>
          <w:spacing w:val="-2"/>
          <w:kern w:val="22"/>
          <w:lang w:val="en-GB"/>
        </w:rPr>
        <w:t xml:space="preserve"> </w:t>
      </w:r>
      <w:r w:rsidRPr="0097590C">
        <w:rPr>
          <w:rFonts w:eastAsia="Calibri"/>
          <w:spacing w:val="-2"/>
          <w:kern w:val="22"/>
          <w:lang w:val="en-GB"/>
        </w:rPr>
        <w:t xml:space="preserve">Globalization contributed to </w:t>
      </w:r>
      <w:r w:rsidR="00E144EA" w:rsidRPr="0097590C">
        <w:rPr>
          <w:rFonts w:eastAsia="Calibri"/>
          <w:spacing w:val="-2"/>
          <w:kern w:val="22"/>
          <w:lang w:val="en-GB"/>
        </w:rPr>
        <w:t>an</w:t>
      </w:r>
      <w:r w:rsidRPr="0097590C">
        <w:rPr>
          <w:rFonts w:eastAsia="Calibri"/>
          <w:spacing w:val="-2"/>
          <w:kern w:val="22"/>
          <w:lang w:val="en-GB"/>
        </w:rPr>
        <w:t xml:space="preserve"> acceleration </w:t>
      </w:r>
      <w:r w:rsidR="00E144EA" w:rsidRPr="0097590C">
        <w:rPr>
          <w:rFonts w:eastAsia="Calibri"/>
          <w:spacing w:val="-2"/>
          <w:kern w:val="22"/>
          <w:lang w:val="en-GB"/>
        </w:rPr>
        <w:t>in</w:t>
      </w:r>
      <w:r w:rsidRPr="0097590C">
        <w:rPr>
          <w:rFonts w:eastAsia="Calibri"/>
          <w:spacing w:val="-2"/>
          <w:kern w:val="22"/>
          <w:lang w:val="en-GB"/>
        </w:rPr>
        <w:t xml:space="preserve"> the intensity of competition.</w:t>
      </w:r>
      <w:r w:rsidR="00382558" w:rsidRPr="0097590C">
        <w:rPr>
          <w:rFonts w:eastAsia="Calibri"/>
          <w:spacing w:val="-2"/>
          <w:kern w:val="22"/>
          <w:lang w:val="en-GB"/>
        </w:rPr>
        <w:t xml:space="preserve"> </w:t>
      </w:r>
      <w:r w:rsidRPr="0097590C">
        <w:rPr>
          <w:rFonts w:eastAsia="Calibri"/>
          <w:spacing w:val="-2"/>
          <w:kern w:val="22"/>
          <w:lang w:val="en-GB"/>
        </w:rPr>
        <w:t>Gross margins averaged 12.65 per</w:t>
      </w:r>
      <w:r w:rsidR="00E144EA" w:rsidRPr="0097590C">
        <w:rPr>
          <w:rFonts w:eastAsia="Calibri"/>
          <w:spacing w:val="-2"/>
          <w:kern w:val="22"/>
          <w:lang w:val="en-GB"/>
        </w:rPr>
        <w:t xml:space="preserve"> </w:t>
      </w:r>
      <w:r w:rsidRPr="0097590C">
        <w:rPr>
          <w:rFonts w:eastAsia="Calibri"/>
          <w:spacing w:val="-2"/>
          <w:kern w:val="22"/>
          <w:lang w:val="en-GB"/>
        </w:rPr>
        <w:t>cent over the period 2009</w:t>
      </w:r>
      <w:r w:rsidR="00E144EA" w:rsidRPr="0097590C">
        <w:rPr>
          <w:rFonts w:eastAsia="Calibri"/>
          <w:spacing w:val="-2"/>
          <w:kern w:val="22"/>
          <w:lang w:val="en-GB"/>
        </w:rPr>
        <w:t>–</w:t>
      </w:r>
      <w:r w:rsidRPr="0097590C">
        <w:rPr>
          <w:rFonts w:eastAsia="Calibri"/>
          <w:spacing w:val="-2"/>
          <w:kern w:val="22"/>
          <w:lang w:val="en-GB"/>
        </w:rPr>
        <w:t>2016.</w:t>
      </w:r>
      <w:r w:rsidR="00E144EA" w:rsidRPr="0097590C">
        <w:rPr>
          <w:rFonts w:eastAsia="Calibri"/>
          <w:spacing w:val="-2"/>
          <w:kern w:val="22"/>
          <w:lang w:val="en-GB"/>
        </w:rPr>
        <w:t xml:space="preserve"> </w:t>
      </w:r>
      <w:r w:rsidRPr="0097590C">
        <w:rPr>
          <w:rFonts w:eastAsia="Calibri"/>
          <w:spacing w:val="-2"/>
          <w:kern w:val="22"/>
          <w:lang w:val="en-GB"/>
        </w:rPr>
        <w:t>Net margins were also much lower than expected, with an average of 4.87 per</w:t>
      </w:r>
      <w:r w:rsidR="00E144EA" w:rsidRPr="0097590C">
        <w:rPr>
          <w:rFonts w:eastAsia="Calibri"/>
          <w:spacing w:val="-2"/>
          <w:kern w:val="22"/>
          <w:lang w:val="en-GB"/>
        </w:rPr>
        <w:t xml:space="preserve"> </w:t>
      </w:r>
      <w:r w:rsidRPr="0097590C">
        <w:rPr>
          <w:rFonts w:eastAsia="Calibri"/>
          <w:spacing w:val="-2"/>
          <w:kern w:val="22"/>
          <w:lang w:val="en-GB"/>
        </w:rPr>
        <w:t>cent.</w:t>
      </w:r>
      <w:r w:rsidRPr="0097590C">
        <w:rPr>
          <w:rFonts w:eastAsia="Calibri"/>
          <w:spacing w:val="-2"/>
          <w:kern w:val="22"/>
          <w:vertAlign w:val="superscript"/>
          <w:lang w:val="en-GB"/>
        </w:rPr>
        <w:endnoteReference w:id="14"/>
      </w:r>
      <w:r w:rsidR="00E144EA" w:rsidRPr="0097590C">
        <w:rPr>
          <w:rFonts w:eastAsia="Calibri"/>
          <w:spacing w:val="-2"/>
          <w:kern w:val="22"/>
          <w:lang w:val="en-GB"/>
        </w:rPr>
        <w:t xml:space="preserve"> </w:t>
      </w:r>
      <w:r w:rsidRPr="0097590C">
        <w:rPr>
          <w:rFonts w:eastAsia="Calibri"/>
          <w:spacing w:val="-2"/>
          <w:kern w:val="22"/>
          <w:lang w:val="en-GB"/>
        </w:rPr>
        <w:t>These low margins, tied to competitively driven R&amp;D and capital investment requirements, forced companies</w:t>
      </w:r>
      <w:r w:rsidR="00E144EA" w:rsidRPr="0097590C">
        <w:rPr>
          <w:rFonts w:eastAsia="Calibri"/>
          <w:spacing w:val="-2"/>
          <w:kern w:val="22"/>
          <w:lang w:val="en-GB"/>
        </w:rPr>
        <w:t xml:space="preserve"> to use</w:t>
      </w:r>
      <w:r w:rsidRPr="0097590C">
        <w:rPr>
          <w:rFonts w:eastAsia="Calibri"/>
          <w:spacing w:val="-2"/>
          <w:kern w:val="22"/>
          <w:lang w:val="en-GB"/>
        </w:rPr>
        <w:t xml:space="preserve"> an economy of scale model </w:t>
      </w:r>
      <w:r w:rsidR="00E144EA" w:rsidRPr="0097590C">
        <w:rPr>
          <w:rFonts w:eastAsia="Calibri"/>
          <w:spacing w:val="-2"/>
          <w:kern w:val="22"/>
          <w:lang w:val="en-GB"/>
        </w:rPr>
        <w:t xml:space="preserve">to survive </w:t>
      </w:r>
      <w:r w:rsidRPr="0097590C">
        <w:rPr>
          <w:rFonts w:eastAsia="Calibri"/>
          <w:spacing w:val="-2"/>
          <w:kern w:val="22"/>
          <w:lang w:val="en-GB"/>
        </w:rPr>
        <w:t>in th</w:t>
      </w:r>
      <w:r w:rsidR="00E144EA" w:rsidRPr="0097590C">
        <w:rPr>
          <w:rFonts w:eastAsia="Calibri"/>
          <w:spacing w:val="-2"/>
          <w:kern w:val="22"/>
          <w:lang w:val="en-GB"/>
        </w:rPr>
        <w:t>at</w:t>
      </w:r>
      <w:r w:rsidRPr="0097590C">
        <w:rPr>
          <w:rFonts w:eastAsia="Calibri"/>
          <w:spacing w:val="-2"/>
          <w:kern w:val="22"/>
          <w:lang w:val="en-GB"/>
        </w:rPr>
        <w:t xml:space="preserve"> industry.</w:t>
      </w:r>
      <w:r w:rsidR="00382558" w:rsidRPr="0097590C">
        <w:rPr>
          <w:rFonts w:eastAsia="Calibri"/>
          <w:spacing w:val="-2"/>
          <w:kern w:val="22"/>
          <w:lang w:val="en-GB"/>
        </w:rPr>
        <w:t xml:space="preserve"> </w:t>
      </w:r>
      <w:r w:rsidRPr="0097590C">
        <w:rPr>
          <w:rFonts w:eastAsia="Calibri"/>
          <w:spacing w:val="-2"/>
          <w:kern w:val="22"/>
          <w:lang w:val="en-GB"/>
        </w:rPr>
        <w:t xml:space="preserve">Economies of scale </w:t>
      </w:r>
      <w:bookmarkStart w:id="0" w:name="_Hlk513184896"/>
      <w:r w:rsidRPr="0097590C">
        <w:rPr>
          <w:rFonts w:eastAsia="Calibri"/>
          <w:spacing w:val="-2"/>
          <w:kern w:val="22"/>
          <w:lang w:val="en-GB"/>
        </w:rPr>
        <w:t xml:space="preserve">significantly influenced revenue measures </w:t>
      </w:r>
      <w:bookmarkEnd w:id="0"/>
      <w:r w:rsidR="00E144EA" w:rsidRPr="0097590C">
        <w:rPr>
          <w:rFonts w:eastAsia="Calibri"/>
          <w:spacing w:val="-2"/>
          <w:kern w:val="22"/>
          <w:lang w:val="en-GB"/>
        </w:rPr>
        <w:t>in respect</w:t>
      </w:r>
      <w:r w:rsidRPr="0097590C">
        <w:rPr>
          <w:rFonts w:eastAsia="Calibri"/>
          <w:spacing w:val="-2"/>
          <w:kern w:val="22"/>
          <w:lang w:val="en-GB"/>
        </w:rPr>
        <w:t xml:space="preserve"> to reducing unit costs, building marketing clout</w:t>
      </w:r>
      <w:r w:rsidR="00E144EA" w:rsidRPr="0097590C">
        <w:rPr>
          <w:rFonts w:eastAsia="Calibri"/>
          <w:spacing w:val="-2"/>
          <w:kern w:val="22"/>
          <w:lang w:val="en-GB"/>
        </w:rPr>
        <w:t>,</w:t>
      </w:r>
      <w:r w:rsidRPr="0097590C">
        <w:rPr>
          <w:rFonts w:eastAsia="Calibri"/>
          <w:spacing w:val="-2"/>
          <w:kern w:val="22"/>
          <w:lang w:val="en-GB"/>
        </w:rPr>
        <w:t xml:space="preserve"> and extending distribution reach.</w:t>
      </w:r>
      <w:r w:rsidR="00382558" w:rsidRPr="0097590C">
        <w:rPr>
          <w:rFonts w:eastAsia="Calibri"/>
          <w:spacing w:val="-2"/>
          <w:kern w:val="22"/>
          <w:lang w:val="en-GB"/>
        </w:rPr>
        <w:t xml:space="preserve"> </w:t>
      </w:r>
      <w:r w:rsidRPr="0097590C">
        <w:rPr>
          <w:rFonts w:eastAsia="Calibri"/>
          <w:spacing w:val="-2"/>
          <w:kern w:val="22"/>
          <w:lang w:val="en-GB"/>
        </w:rPr>
        <w:t xml:space="preserve">This </w:t>
      </w:r>
      <w:r w:rsidR="00E144EA" w:rsidRPr="0097590C">
        <w:rPr>
          <w:rFonts w:eastAsia="Calibri"/>
          <w:spacing w:val="-2"/>
          <w:kern w:val="22"/>
          <w:lang w:val="en-GB"/>
        </w:rPr>
        <w:t xml:space="preserve">shift </w:t>
      </w:r>
      <w:r w:rsidRPr="0097590C">
        <w:rPr>
          <w:rFonts w:eastAsia="Calibri"/>
          <w:spacing w:val="-2"/>
          <w:kern w:val="22"/>
          <w:lang w:val="en-GB"/>
        </w:rPr>
        <w:t xml:space="preserve">created substantial entry and exit barriers, making it difficult for </w:t>
      </w:r>
      <w:r w:rsidR="00E144EA" w:rsidRPr="0097590C">
        <w:rPr>
          <w:rFonts w:eastAsia="Calibri"/>
          <w:spacing w:val="-2"/>
          <w:kern w:val="22"/>
          <w:lang w:val="en-GB"/>
        </w:rPr>
        <w:t xml:space="preserve">a </w:t>
      </w:r>
      <w:r w:rsidRPr="0097590C">
        <w:rPr>
          <w:rFonts w:eastAsia="Calibri"/>
          <w:spacing w:val="-2"/>
          <w:kern w:val="22"/>
          <w:lang w:val="en-GB"/>
        </w:rPr>
        <w:t xml:space="preserve">new </w:t>
      </w:r>
      <w:r w:rsidR="00E144EA" w:rsidRPr="0097590C">
        <w:rPr>
          <w:rFonts w:eastAsia="Calibri"/>
          <w:spacing w:val="-2"/>
          <w:kern w:val="22"/>
          <w:lang w:val="en-GB"/>
        </w:rPr>
        <w:t>manufacturer</w:t>
      </w:r>
      <w:r w:rsidRPr="0097590C">
        <w:rPr>
          <w:rFonts w:eastAsia="Calibri"/>
          <w:spacing w:val="-2"/>
          <w:kern w:val="22"/>
          <w:lang w:val="en-GB"/>
        </w:rPr>
        <w:t xml:space="preserve"> to enter the market.</w:t>
      </w:r>
      <w:r w:rsidR="00382558" w:rsidRPr="0097590C">
        <w:rPr>
          <w:rFonts w:eastAsia="Calibri"/>
          <w:spacing w:val="-2"/>
          <w:kern w:val="22"/>
          <w:lang w:val="en-GB"/>
        </w:rPr>
        <w:t xml:space="preserve"> </w:t>
      </w:r>
      <w:r w:rsidRPr="0097590C">
        <w:rPr>
          <w:rFonts w:eastAsia="Calibri"/>
          <w:spacing w:val="-2"/>
          <w:kern w:val="22"/>
          <w:lang w:val="en-GB"/>
        </w:rPr>
        <w:t>In fact, American Motors Corporation was</w:t>
      </w:r>
      <w:r w:rsidR="00E70A21">
        <w:rPr>
          <w:rFonts w:eastAsia="Calibri"/>
          <w:spacing w:val="-2"/>
          <w:kern w:val="22"/>
          <w:lang w:val="en-GB"/>
        </w:rPr>
        <w:t xml:space="preserve"> the last large independent ICE-</w:t>
      </w:r>
      <w:r w:rsidRPr="0097590C">
        <w:rPr>
          <w:rFonts w:eastAsia="Calibri"/>
          <w:spacing w:val="-2"/>
          <w:kern w:val="22"/>
          <w:lang w:val="en-GB"/>
        </w:rPr>
        <w:t xml:space="preserve">based </w:t>
      </w:r>
      <w:r w:rsidR="00E70A21">
        <w:rPr>
          <w:rFonts w:eastAsia="Calibri"/>
          <w:spacing w:val="-2"/>
          <w:kern w:val="22"/>
          <w:lang w:val="en-GB"/>
        </w:rPr>
        <w:t>US</w:t>
      </w:r>
      <w:r w:rsidRPr="0097590C">
        <w:rPr>
          <w:rFonts w:eastAsia="Calibri"/>
          <w:spacing w:val="-2"/>
          <w:kern w:val="22"/>
          <w:lang w:val="en-GB"/>
        </w:rPr>
        <w:t xml:space="preserve"> auto</w:t>
      </w:r>
      <w:r w:rsidR="00E144EA" w:rsidRPr="0097590C">
        <w:rPr>
          <w:rFonts w:eastAsia="Calibri"/>
          <w:spacing w:val="-2"/>
          <w:kern w:val="22"/>
          <w:lang w:val="en-GB"/>
        </w:rPr>
        <w:t>mobile</w:t>
      </w:r>
      <w:r w:rsidRPr="0097590C">
        <w:rPr>
          <w:rFonts w:eastAsia="Calibri"/>
          <w:spacing w:val="-2"/>
          <w:kern w:val="22"/>
          <w:lang w:val="en-GB"/>
        </w:rPr>
        <w:t xml:space="preserve"> manufacturer</w:t>
      </w:r>
      <w:r w:rsidR="00E144EA" w:rsidRPr="0097590C">
        <w:rPr>
          <w:rFonts w:eastAsia="Calibri"/>
          <w:spacing w:val="-2"/>
          <w:kern w:val="22"/>
          <w:lang w:val="en-GB"/>
        </w:rPr>
        <w:t xml:space="preserve"> to exist</w:t>
      </w:r>
      <w:r w:rsidRPr="0097590C">
        <w:rPr>
          <w:rFonts w:eastAsia="Calibri"/>
          <w:spacing w:val="-2"/>
          <w:kern w:val="22"/>
          <w:lang w:val="en-GB"/>
        </w:rPr>
        <w:t xml:space="preserve"> outside of the big three</w:t>
      </w:r>
      <w:r w:rsidR="00E144EA" w:rsidRPr="0097590C">
        <w:rPr>
          <w:rFonts w:eastAsia="Calibri"/>
          <w:spacing w:val="-2"/>
          <w:kern w:val="22"/>
          <w:lang w:val="en-GB"/>
        </w:rPr>
        <w:t>, until it</w:t>
      </w:r>
      <w:r w:rsidRPr="0097590C">
        <w:rPr>
          <w:rFonts w:eastAsia="Calibri"/>
          <w:spacing w:val="-2"/>
          <w:kern w:val="22"/>
          <w:lang w:val="en-GB"/>
        </w:rPr>
        <w:t xml:space="preserve"> was purchased by Chrysler Corporation for $1.5 billion in 1987.</w:t>
      </w:r>
      <w:r w:rsidRPr="0097590C">
        <w:rPr>
          <w:rFonts w:eastAsia="Calibri"/>
          <w:spacing w:val="-2"/>
          <w:kern w:val="22"/>
          <w:vertAlign w:val="superscript"/>
          <w:lang w:val="en-GB"/>
        </w:rPr>
        <w:endnoteReference w:id="15"/>
      </w:r>
    </w:p>
    <w:p w14:paraId="5AAFCED0" w14:textId="77777777" w:rsidR="00D751FB" w:rsidRPr="0051039E" w:rsidRDefault="00D751FB" w:rsidP="00D751FB">
      <w:pPr>
        <w:pStyle w:val="BodyTextMain"/>
        <w:rPr>
          <w:rFonts w:eastAsia="Calibri"/>
          <w:lang w:val="en-GB"/>
        </w:rPr>
      </w:pPr>
    </w:p>
    <w:p w14:paraId="259DE645" w14:textId="08D8CDC6" w:rsidR="00D751FB" w:rsidRPr="0051039E" w:rsidRDefault="00D751FB" w:rsidP="00D751FB">
      <w:pPr>
        <w:pStyle w:val="BodyTextMain"/>
        <w:rPr>
          <w:rFonts w:eastAsia="Calibri"/>
          <w:lang w:val="en-GB"/>
        </w:rPr>
      </w:pPr>
      <w:r w:rsidRPr="0051039E">
        <w:rPr>
          <w:rFonts w:eastAsia="Calibri"/>
          <w:lang w:val="en-GB"/>
        </w:rPr>
        <w:t>The competitive business model was simple in concept, yet complex in its implementation</w:t>
      </w:r>
      <w:r w:rsidR="00E144EA">
        <w:rPr>
          <w:rFonts w:eastAsia="Calibri"/>
          <w:lang w:val="en-GB"/>
        </w:rPr>
        <w:t>. T</w:t>
      </w:r>
      <w:r w:rsidRPr="0051039E">
        <w:rPr>
          <w:rFonts w:eastAsia="Calibri"/>
          <w:lang w:val="en-GB"/>
        </w:rPr>
        <w:t xml:space="preserve">he first phase required OEMs to build scale in manufacturing and distribution to fund the R&amp;D, marketing, regulatory </w:t>
      </w:r>
      <w:r w:rsidR="00E144EA">
        <w:rPr>
          <w:rFonts w:eastAsia="Calibri"/>
          <w:lang w:val="en-GB"/>
        </w:rPr>
        <w:t xml:space="preserve">processes, </w:t>
      </w:r>
      <w:r w:rsidRPr="0051039E">
        <w:rPr>
          <w:rFonts w:eastAsia="Calibri"/>
          <w:lang w:val="en-GB"/>
        </w:rPr>
        <w:t>and capital requirements of the business.</w:t>
      </w:r>
      <w:r w:rsidR="00382558" w:rsidRPr="0051039E">
        <w:rPr>
          <w:rFonts w:eastAsia="Calibri"/>
          <w:lang w:val="en-GB"/>
        </w:rPr>
        <w:t xml:space="preserve"> </w:t>
      </w:r>
      <w:r w:rsidR="00E144EA">
        <w:rPr>
          <w:rFonts w:eastAsia="Calibri"/>
          <w:lang w:val="en-GB"/>
        </w:rPr>
        <w:t>OEMs</w:t>
      </w:r>
      <w:r w:rsidR="00E144EA" w:rsidRPr="0051039E">
        <w:rPr>
          <w:rFonts w:eastAsia="Calibri"/>
          <w:lang w:val="en-GB"/>
        </w:rPr>
        <w:t xml:space="preserve"> </w:t>
      </w:r>
      <w:r w:rsidRPr="0051039E">
        <w:rPr>
          <w:rFonts w:eastAsia="Calibri"/>
          <w:lang w:val="en-GB"/>
        </w:rPr>
        <w:t>needed a complex global supply chain that effectively outsource</w:t>
      </w:r>
      <w:r w:rsidR="00E144EA">
        <w:rPr>
          <w:rFonts w:eastAsia="Calibri"/>
          <w:lang w:val="en-GB"/>
        </w:rPr>
        <w:t>d</w:t>
      </w:r>
      <w:r w:rsidRPr="0051039E">
        <w:rPr>
          <w:rFonts w:eastAsia="Calibri"/>
          <w:lang w:val="en-GB"/>
        </w:rPr>
        <w:t xml:space="preserve"> much of the parts production (and increasingly</w:t>
      </w:r>
      <w:r w:rsidR="00D876E2">
        <w:rPr>
          <w:rFonts w:eastAsia="Calibri"/>
          <w:lang w:val="en-GB"/>
        </w:rPr>
        <w:t>,</w:t>
      </w:r>
      <w:r w:rsidRPr="0051039E">
        <w:rPr>
          <w:rFonts w:eastAsia="Calibri"/>
          <w:lang w:val="en-GB"/>
        </w:rPr>
        <w:t xml:space="preserve"> R&amp;D) with a</w:t>
      </w:r>
      <w:r w:rsidR="00E144EA">
        <w:rPr>
          <w:rFonts w:eastAsia="Calibri"/>
          <w:lang w:val="en-GB"/>
        </w:rPr>
        <w:t>ttention</w:t>
      </w:r>
      <w:r w:rsidRPr="0051039E">
        <w:rPr>
          <w:rFonts w:eastAsia="Calibri"/>
          <w:lang w:val="en-GB"/>
        </w:rPr>
        <w:t xml:space="preserve"> to cost efficiency</w:t>
      </w:r>
      <w:r w:rsidR="00E144EA">
        <w:rPr>
          <w:rFonts w:eastAsia="Calibri"/>
          <w:lang w:val="en-GB"/>
        </w:rPr>
        <w:t>.</w:t>
      </w:r>
      <w:r w:rsidRPr="0051039E">
        <w:rPr>
          <w:rFonts w:eastAsia="Calibri"/>
          <w:lang w:val="en-GB"/>
        </w:rPr>
        <w:t xml:space="preserve"> OEMs were only responsible for 20 per</w:t>
      </w:r>
      <w:r w:rsidR="00E144EA">
        <w:rPr>
          <w:rFonts w:eastAsia="Calibri"/>
          <w:lang w:val="en-GB"/>
        </w:rPr>
        <w:t xml:space="preserve"> </w:t>
      </w:r>
      <w:r w:rsidRPr="0051039E">
        <w:rPr>
          <w:rFonts w:eastAsia="Calibri"/>
          <w:lang w:val="en-GB"/>
        </w:rPr>
        <w:t>cent of a car’s content</w:t>
      </w:r>
      <w:r w:rsidR="00E144EA">
        <w:rPr>
          <w:rFonts w:eastAsia="Calibri"/>
          <w:lang w:val="en-GB"/>
        </w:rPr>
        <w:t>, with</w:t>
      </w:r>
      <w:r w:rsidRPr="0051039E">
        <w:rPr>
          <w:rFonts w:eastAsia="Calibri"/>
          <w:lang w:val="en-GB"/>
        </w:rPr>
        <w:t xml:space="preserve"> 68 per</w:t>
      </w:r>
      <w:r w:rsidR="00E144EA">
        <w:rPr>
          <w:rFonts w:eastAsia="Calibri"/>
          <w:lang w:val="en-GB"/>
        </w:rPr>
        <w:t xml:space="preserve"> </w:t>
      </w:r>
      <w:r w:rsidRPr="0051039E">
        <w:rPr>
          <w:rFonts w:eastAsia="Calibri"/>
          <w:lang w:val="en-GB"/>
        </w:rPr>
        <w:t>cent coming from tier 1 suppliers.</w:t>
      </w:r>
      <w:r w:rsidRPr="0051039E">
        <w:rPr>
          <w:rFonts w:eastAsia="Calibri"/>
          <w:vertAlign w:val="superscript"/>
          <w:lang w:val="en-GB"/>
        </w:rPr>
        <w:endnoteReference w:id="16"/>
      </w:r>
      <w:r w:rsidR="00E144EA">
        <w:rPr>
          <w:rFonts w:eastAsia="Calibri"/>
          <w:lang w:val="en-GB"/>
        </w:rPr>
        <w:t xml:space="preserve"> </w:t>
      </w:r>
      <w:r w:rsidRPr="0051039E">
        <w:rPr>
          <w:rFonts w:eastAsia="Calibri"/>
          <w:lang w:val="en-GB"/>
        </w:rPr>
        <w:t>The distribution costs and related risks were then pushed out to a large number of franchised dealerships</w:t>
      </w:r>
      <w:r w:rsidR="00E144EA">
        <w:rPr>
          <w:rFonts w:eastAsia="Calibri"/>
          <w:lang w:val="en-GB"/>
        </w:rPr>
        <w:t>,</w:t>
      </w:r>
      <w:r w:rsidRPr="0051039E">
        <w:rPr>
          <w:rFonts w:eastAsia="Calibri"/>
          <w:lang w:val="en-GB"/>
        </w:rPr>
        <w:t xml:space="preserve"> who rel</w:t>
      </w:r>
      <w:r w:rsidR="00D876E2">
        <w:rPr>
          <w:rFonts w:eastAsia="Calibri"/>
          <w:lang w:val="en-GB"/>
        </w:rPr>
        <w:t>ied</w:t>
      </w:r>
      <w:r w:rsidRPr="0051039E">
        <w:rPr>
          <w:rFonts w:eastAsia="Calibri"/>
          <w:lang w:val="en-GB"/>
        </w:rPr>
        <w:t xml:space="preserve"> heavily on service, parts</w:t>
      </w:r>
      <w:r w:rsidR="00E144EA">
        <w:rPr>
          <w:rFonts w:eastAsia="Calibri"/>
          <w:lang w:val="en-GB"/>
        </w:rPr>
        <w:t>,</w:t>
      </w:r>
      <w:r w:rsidRPr="0051039E">
        <w:rPr>
          <w:rFonts w:eastAsia="Calibri"/>
          <w:lang w:val="en-GB"/>
        </w:rPr>
        <w:t xml:space="preserve"> and body shop sales as a source of their gross profit margins. In</w:t>
      </w:r>
      <w:r w:rsidR="00AC2AED">
        <w:rPr>
          <w:rFonts w:eastAsia="Calibri"/>
          <w:lang w:val="en-GB"/>
        </w:rPr>
        <w:t xml:space="preserve"> fact</w:t>
      </w:r>
      <w:r w:rsidRPr="0051039E">
        <w:rPr>
          <w:rFonts w:eastAsia="Calibri"/>
          <w:lang w:val="en-GB"/>
        </w:rPr>
        <w:t xml:space="preserve">, </w:t>
      </w:r>
      <w:r w:rsidR="00AC2AED">
        <w:rPr>
          <w:rFonts w:eastAsia="Calibri"/>
          <w:lang w:val="en-GB"/>
        </w:rPr>
        <w:t xml:space="preserve">despite </w:t>
      </w:r>
      <w:r w:rsidRPr="0051039E">
        <w:rPr>
          <w:rFonts w:eastAsia="Calibri"/>
          <w:lang w:val="en-GB"/>
        </w:rPr>
        <w:t xml:space="preserve">only </w:t>
      </w:r>
      <w:r w:rsidR="00AC2AED">
        <w:rPr>
          <w:rFonts w:eastAsia="Calibri"/>
          <w:lang w:val="en-GB"/>
        </w:rPr>
        <w:t>accounting for</w:t>
      </w:r>
      <w:r w:rsidRPr="0051039E">
        <w:rPr>
          <w:rFonts w:eastAsia="Calibri"/>
          <w:lang w:val="en-GB"/>
        </w:rPr>
        <w:t xml:space="preserve"> 12.1 per</w:t>
      </w:r>
      <w:r w:rsidR="00AC2AED">
        <w:rPr>
          <w:rFonts w:eastAsia="Calibri"/>
          <w:lang w:val="en-GB"/>
        </w:rPr>
        <w:t xml:space="preserve"> </w:t>
      </w:r>
      <w:r w:rsidRPr="0051039E">
        <w:rPr>
          <w:rFonts w:eastAsia="Calibri"/>
          <w:lang w:val="en-GB"/>
        </w:rPr>
        <w:t xml:space="preserve">cent of </w:t>
      </w:r>
      <w:r w:rsidR="00C56313">
        <w:rPr>
          <w:rFonts w:eastAsia="Calibri"/>
          <w:lang w:val="en-GB"/>
        </w:rPr>
        <w:t xml:space="preserve">a typical </w:t>
      </w:r>
      <w:r w:rsidRPr="0051039E">
        <w:rPr>
          <w:rFonts w:eastAsia="Calibri"/>
          <w:lang w:val="en-GB"/>
        </w:rPr>
        <w:t>dealer</w:t>
      </w:r>
      <w:r w:rsidR="00AC2AED">
        <w:rPr>
          <w:rFonts w:eastAsia="Calibri"/>
          <w:lang w:val="en-GB"/>
        </w:rPr>
        <w:t>ship</w:t>
      </w:r>
      <w:r w:rsidR="00C56313">
        <w:rPr>
          <w:rFonts w:eastAsia="Calibri"/>
          <w:lang w:val="en-GB"/>
        </w:rPr>
        <w:t>’</w:t>
      </w:r>
      <w:r w:rsidR="00AC2AED">
        <w:rPr>
          <w:rFonts w:eastAsia="Calibri"/>
          <w:lang w:val="en-GB"/>
        </w:rPr>
        <w:t>s</w:t>
      </w:r>
      <w:r w:rsidRPr="0051039E">
        <w:rPr>
          <w:rFonts w:eastAsia="Calibri"/>
          <w:lang w:val="en-GB"/>
        </w:rPr>
        <w:t xml:space="preserve"> sales, </w:t>
      </w:r>
      <w:r w:rsidR="00AC2AED" w:rsidRPr="0051039E">
        <w:rPr>
          <w:rFonts w:eastAsia="Calibri"/>
          <w:lang w:val="en-GB"/>
        </w:rPr>
        <w:t xml:space="preserve">parts and service </w:t>
      </w:r>
      <w:r w:rsidR="00AC2AED">
        <w:rPr>
          <w:rFonts w:eastAsia="Calibri"/>
          <w:lang w:val="en-GB"/>
        </w:rPr>
        <w:t>amounted to</w:t>
      </w:r>
      <w:r w:rsidRPr="0051039E">
        <w:rPr>
          <w:rFonts w:eastAsia="Calibri"/>
          <w:lang w:val="en-GB"/>
        </w:rPr>
        <w:t xml:space="preserve"> 49 per</w:t>
      </w:r>
      <w:r w:rsidR="00AC2AED">
        <w:rPr>
          <w:rFonts w:eastAsia="Calibri"/>
          <w:lang w:val="en-GB"/>
        </w:rPr>
        <w:t xml:space="preserve"> </w:t>
      </w:r>
      <w:r w:rsidRPr="0051039E">
        <w:rPr>
          <w:rFonts w:eastAsia="Calibri"/>
          <w:lang w:val="en-GB"/>
        </w:rPr>
        <w:t xml:space="preserve">cent of </w:t>
      </w:r>
      <w:r w:rsidR="00D876E2">
        <w:rPr>
          <w:rFonts w:eastAsia="Calibri"/>
          <w:lang w:val="en-GB"/>
        </w:rPr>
        <w:t xml:space="preserve">its </w:t>
      </w:r>
      <w:r w:rsidRPr="0051039E">
        <w:rPr>
          <w:rFonts w:eastAsia="Calibri"/>
          <w:lang w:val="en-GB"/>
        </w:rPr>
        <w:t>total gross profit margins</w:t>
      </w:r>
      <w:r w:rsidR="00AC2AED">
        <w:rPr>
          <w:rFonts w:eastAsia="Calibri"/>
          <w:lang w:val="en-GB"/>
        </w:rPr>
        <w:t xml:space="preserve"> </w:t>
      </w:r>
      <w:r w:rsidRPr="0051039E">
        <w:rPr>
          <w:rFonts w:eastAsia="Calibri"/>
          <w:lang w:val="en-GB"/>
        </w:rPr>
        <w:t>in 2017</w:t>
      </w:r>
      <w:r w:rsidR="00AC2AED">
        <w:rPr>
          <w:rFonts w:eastAsia="Calibri"/>
          <w:lang w:val="en-GB"/>
        </w:rPr>
        <w:t>.</w:t>
      </w:r>
      <w:r w:rsidRPr="0051039E">
        <w:rPr>
          <w:rFonts w:eastAsia="Calibri"/>
          <w:vertAlign w:val="superscript"/>
          <w:lang w:val="en-GB"/>
        </w:rPr>
        <w:endnoteReference w:id="17"/>
      </w:r>
      <w:r w:rsidR="00AC2AED">
        <w:rPr>
          <w:rFonts w:eastAsia="Calibri"/>
          <w:lang w:val="en-GB"/>
        </w:rPr>
        <w:t xml:space="preserve"> And this </w:t>
      </w:r>
      <w:r w:rsidR="00C56313">
        <w:rPr>
          <w:rFonts w:eastAsia="Calibri"/>
          <w:lang w:val="en-GB"/>
        </w:rPr>
        <w:t>was during a</w:t>
      </w:r>
      <w:r w:rsidRPr="0051039E">
        <w:rPr>
          <w:rFonts w:eastAsia="Calibri"/>
          <w:lang w:val="en-GB"/>
        </w:rPr>
        <w:t xml:space="preserve"> time when annual new vehicle sales per dealership </w:t>
      </w:r>
      <w:r w:rsidR="00C56313">
        <w:rPr>
          <w:rFonts w:eastAsia="Calibri"/>
          <w:lang w:val="en-GB"/>
        </w:rPr>
        <w:t>reached</w:t>
      </w:r>
      <w:r w:rsidRPr="0051039E">
        <w:rPr>
          <w:rFonts w:eastAsia="Calibri"/>
          <w:lang w:val="en-GB"/>
        </w:rPr>
        <w:t xml:space="preserve"> an all-time high of 928.</w:t>
      </w:r>
      <w:r w:rsidRPr="0051039E">
        <w:rPr>
          <w:rFonts w:eastAsia="Calibri"/>
          <w:vertAlign w:val="superscript"/>
          <w:lang w:val="en-GB"/>
        </w:rPr>
        <w:endnoteReference w:id="18"/>
      </w:r>
      <w:r w:rsidR="00C56313">
        <w:rPr>
          <w:rFonts w:eastAsia="Calibri"/>
          <w:lang w:val="en-GB"/>
        </w:rPr>
        <w:t xml:space="preserve"> </w:t>
      </w:r>
      <w:r w:rsidRPr="0051039E">
        <w:rPr>
          <w:rFonts w:eastAsia="Calibri"/>
          <w:lang w:val="en-GB"/>
        </w:rPr>
        <w:t xml:space="preserve">This revenue realization </w:t>
      </w:r>
      <w:r w:rsidR="00C56313">
        <w:rPr>
          <w:rFonts w:eastAsia="Calibri"/>
          <w:lang w:val="en-GB"/>
        </w:rPr>
        <w:t>wa</w:t>
      </w:r>
      <w:r w:rsidRPr="0051039E">
        <w:rPr>
          <w:rFonts w:eastAsia="Calibri"/>
          <w:lang w:val="en-GB"/>
        </w:rPr>
        <w:t>s not surprising</w:t>
      </w:r>
      <w:r w:rsidR="00C56313">
        <w:rPr>
          <w:rFonts w:eastAsia="Calibri"/>
          <w:lang w:val="en-GB"/>
        </w:rPr>
        <w:t>,</w:t>
      </w:r>
      <w:r w:rsidRPr="0051039E">
        <w:rPr>
          <w:rFonts w:eastAsia="Calibri"/>
          <w:lang w:val="en-GB"/>
        </w:rPr>
        <w:t xml:space="preserve"> given report</w:t>
      </w:r>
      <w:r w:rsidR="00C56313">
        <w:rPr>
          <w:rFonts w:eastAsia="Calibri"/>
          <w:lang w:val="en-GB"/>
        </w:rPr>
        <w:t>s</w:t>
      </w:r>
      <w:r w:rsidRPr="0051039E">
        <w:rPr>
          <w:rFonts w:eastAsia="Calibri"/>
          <w:lang w:val="en-GB"/>
        </w:rPr>
        <w:t xml:space="preserve"> of a 57 per</w:t>
      </w:r>
      <w:r w:rsidR="00C56313">
        <w:rPr>
          <w:rFonts w:eastAsia="Calibri"/>
          <w:lang w:val="en-GB"/>
        </w:rPr>
        <w:t xml:space="preserve"> </w:t>
      </w:r>
      <w:r w:rsidRPr="0051039E">
        <w:rPr>
          <w:rFonts w:eastAsia="Calibri"/>
          <w:lang w:val="en-GB"/>
        </w:rPr>
        <w:t>cent gross margin for service and parts for the Penske Automotive Group in 2012, wh</w:t>
      </w:r>
      <w:r w:rsidR="005260F0">
        <w:rPr>
          <w:rFonts w:eastAsia="Calibri"/>
          <w:lang w:val="en-GB"/>
        </w:rPr>
        <w:t>ich</w:t>
      </w:r>
      <w:r w:rsidRPr="0051039E">
        <w:rPr>
          <w:rFonts w:eastAsia="Calibri"/>
          <w:lang w:val="en-GB"/>
        </w:rPr>
        <w:t xml:space="preserve"> operated 326 dealers</w:t>
      </w:r>
      <w:r w:rsidR="00C56313">
        <w:rPr>
          <w:rFonts w:eastAsia="Calibri"/>
          <w:lang w:val="en-GB"/>
        </w:rPr>
        <w:t>hips</w:t>
      </w:r>
      <w:r w:rsidRPr="0051039E">
        <w:rPr>
          <w:rFonts w:eastAsia="Calibri"/>
          <w:lang w:val="en-GB"/>
        </w:rPr>
        <w:t xml:space="preserve"> in the U</w:t>
      </w:r>
      <w:r w:rsidR="00C56313">
        <w:rPr>
          <w:rFonts w:eastAsia="Calibri"/>
          <w:lang w:val="en-GB"/>
        </w:rPr>
        <w:t xml:space="preserve">nited </w:t>
      </w:r>
      <w:r w:rsidRPr="0051039E">
        <w:rPr>
          <w:rFonts w:eastAsia="Calibri"/>
          <w:lang w:val="en-GB"/>
        </w:rPr>
        <w:t>S</w:t>
      </w:r>
      <w:r w:rsidR="00C56313">
        <w:rPr>
          <w:rFonts w:eastAsia="Calibri"/>
          <w:lang w:val="en-GB"/>
        </w:rPr>
        <w:t>tates</w:t>
      </w:r>
      <w:r w:rsidRPr="0051039E">
        <w:rPr>
          <w:rFonts w:eastAsia="Calibri"/>
          <w:lang w:val="en-GB"/>
        </w:rPr>
        <w:t xml:space="preserve"> and </w:t>
      </w:r>
      <w:r w:rsidR="00C56313">
        <w:rPr>
          <w:rFonts w:eastAsia="Calibri"/>
          <w:lang w:val="en-GB"/>
        </w:rPr>
        <w:t xml:space="preserve">the </w:t>
      </w:r>
      <w:r w:rsidRPr="0051039E">
        <w:rPr>
          <w:rFonts w:eastAsia="Calibri"/>
          <w:lang w:val="en-GB"/>
        </w:rPr>
        <w:t>U</w:t>
      </w:r>
      <w:r w:rsidR="00C56313">
        <w:rPr>
          <w:rFonts w:eastAsia="Calibri"/>
          <w:lang w:val="en-GB"/>
        </w:rPr>
        <w:t xml:space="preserve">nited </w:t>
      </w:r>
      <w:r w:rsidRPr="0051039E">
        <w:rPr>
          <w:rFonts w:eastAsia="Calibri"/>
          <w:lang w:val="en-GB"/>
        </w:rPr>
        <w:t>K</w:t>
      </w:r>
      <w:r w:rsidR="00C56313">
        <w:rPr>
          <w:rFonts w:eastAsia="Calibri"/>
          <w:lang w:val="en-GB"/>
        </w:rPr>
        <w:t>ingdom. In comparison</w:t>
      </w:r>
      <w:r w:rsidRPr="0051039E">
        <w:rPr>
          <w:rFonts w:eastAsia="Calibri"/>
          <w:lang w:val="en-GB"/>
        </w:rPr>
        <w:t xml:space="preserve">, </w:t>
      </w:r>
      <w:r w:rsidR="00C56313">
        <w:rPr>
          <w:rFonts w:eastAsia="Calibri"/>
          <w:lang w:val="en-GB"/>
        </w:rPr>
        <w:t>gross</w:t>
      </w:r>
      <w:r w:rsidRPr="0051039E">
        <w:rPr>
          <w:rFonts w:eastAsia="Calibri"/>
          <w:lang w:val="en-GB"/>
        </w:rPr>
        <w:t xml:space="preserve"> margins on new vehicle sales </w:t>
      </w:r>
      <w:r w:rsidR="00C56313">
        <w:rPr>
          <w:rFonts w:eastAsia="Calibri"/>
          <w:lang w:val="en-GB"/>
        </w:rPr>
        <w:t>were only</w:t>
      </w:r>
      <w:r w:rsidRPr="0051039E">
        <w:rPr>
          <w:rFonts w:eastAsia="Calibri"/>
          <w:lang w:val="en-GB"/>
        </w:rPr>
        <w:t xml:space="preserve"> 8 per</w:t>
      </w:r>
      <w:r w:rsidR="00C56313">
        <w:rPr>
          <w:rFonts w:eastAsia="Calibri"/>
          <w:lang w:val="en-GB"/>
        </w:rPr>
        <w:t xml:space="preserve"> </w:t>
      </w:r>
      <w:r w:rsidRPr="0051039E">
        <w:rPr>
          <w:rFonts w:eastAsia="Calibri"/>
          <w:lang w:val="en-GB"/>
        </w:rPr>
        <w:t>cent.</w:t>
      </w:r>
      <w:r w:rsidRPr="0051039E">
        <w:rPr>
          <w:rFonts w:eastAsia="Calibri"/>
          <w:vertAlign w:val="superscript"/>
          <w:lang w:val="en-GB"/>
        </w:rPr>
        <w:endnoteReference w:id="19"/>
      </w:r>
    </w:p>
    <w:p w14:paraId="3597B457" w14:textId="77777777" w:rsidR="00D751FB" w:rsidRPr="0051039E" w:rsidRDefault="00D751FB" w:rsidP="00D751FB">
      <w:pPr>
        <w:pStyle w:val="BodyTextMain"/>
        <w:rPr>
          <w:rFonts w:eastAsia="Calibri"/>
          <w:lang w:val="en-GB"/>
        </w:rPr>
      </w:pPr>
    </w:p>
    <w:p w14:paraId="17EE4E31" w14:textId="3A4BDE9C" w:rsidR="00D751FB" w:rsidRPr="0051039E" w:rsidRDefault="00D751FB" w:rsidP="00D751FB">
      <w:pPr>
        <w:pStyle w:val="BodyTextMain"/>
        <w:rPr>
          <w:rFonts w:eastAsia="Calibri"/>
          <w:lang w:val="en-GB"/>
        </w:rPr>
      </w:pPr>
      <w:r w:rsidRPr="0051039E">
        <w:rPr>
          <w:rFonts w:eastAsia="Calibri"/>
          <w:lang w:val="en-GB"/>
        </w:rPr>
        <w:t>Auto</w:t>
      </w:r>
      <w:r w:rsidR="00C56313">
        <w:rPr>
          <w:rFonts w:eastAsia="Calibri"/>
          <w:lang w:val="en-GB"/>
        </w:rPr>
        <w:t>mobile</w:t>
      </w:r>
      <w:r w:rsidRPr="0051039E">
        <w:rPr>
          <w:rFonts w:eastAsia="Calibri"/>
          <w:lang w:val="en-GB"/>
        </w:rPr>
        <w:t xml:space="preserve"> manufacturers also reli</w:t>
      </w:r>
      <w:r w:rsidR="00C56313">
        <w:rPr>
          <w:rFonts w:eastAsia="Calibri"/>
          <w:lang w:val="en-GB"/>
        </w:rPr>
        <w:t>ed</w:t>
      </w:r>
      <w:r w:rsidRPr="0051039E">
        <w:rPr>
          <w:rFonts w:eastAsia="Calibri"/>
          <w:lang w:val="en-GB"/>
        </w:rPr>
        <w:t xml:space="preserve"> on financing cars and light trucks to consumers through company owned finance </w:t>
      </w:r>
      <w:r w:rsidR="00C56313">
        <w:rPr>
          <w:rFonts w:eastAsia="Calibri"/>
          <w:lang w:val="en-GB"/>
        </w:rPr>
        <w:t>divisions,</w:t>
      </w:r>
      <w:r w:rsidRPr="0051039E">
        <w:rPr>
          <w:rFonts w:eastAsia="Calibri"/>
          <w:lang w:val="en-GB"/>
        </w:rPr>
        <w:t xml:space="preserve"> whose profit per car </w:t>
      </w:r>
      <w:r w:rsidR="00C56313">
        <w:rPr>
          <w:rFonts w:eastAsia="Calibri"/>
          <w:lang w:val="en-GB"/>
        </w:rPr>
        <w:t>was</w:t>
      </w:r>
      <w:r w:rsidRPr="0051039E">
        <w:rPr>
          <w:rFonts w:eastAsia="Calibri"/>
          <w:lang w:val="en-GB"/>
        </w:rPr>
        <w:t xml:space="preserve"> up to three times </w:t>
      </w:r>
      <w:r w:rsidR="00C56313">
        <w:rPr>
          <w:rFonts w:eastAsia="Calibri"/>
          <w:lang w:val="en-GB"/>
        </w:rPr>
        <w:t xml:space="preserve">that of </w:t>
      </w:r>
      <w:r w:rsidRPr="0051039E">
        <w:rPr>
          <w:rFonts w:eastAsia="Calibri"/>
          <w:lang w:val="en-GB"/>
        </w:rPr>
        <w:t>vehicle manufacturing.</w:t>
      </w:r>
      <w:r w:rsidR="00382558" w:rsidRPr="0051039E">
        <w:rPr>
          <w:rFonts w:eastAsia="Calibri"/>
          <w:lang w:val="en-GB"/>
        </w:rPr>
        <w:t xml:space="preserve"> </w:t>
      </w:r>
      <w:r w:rsidRPr="0051039E">
        <w:rPr>
          <w:rFonts w:eastAsia="Calibri"/>
          <w:lang w:val="en-GB"/>
        </w:rPr>
        <w:t xml:space="preserve">Finally, OEMs created and cultivated </w:t>
      </w:r>
      <w:r w:rsidR="00C56313">
        <w:rPr>
          <w:rFonts w:eastAsia="Calibri"/>
          <w:lang w:val="en-GB"/>
        </w:rPr>
        <w:t>a</w:t>
      </w:r>
      <w:r w:rsidRPr="0051039E">
        <w:rPr>
          <w:rFonts w:eastAsia="Calibri"/>
          <w:lang w:val="en-GB"/>
        </w:rPr>
        <w:t xml:space="preserve"> market for after-sale parts and accessories as a key profit driver</w:t>
      </w:r>
      <w:r w:rsidR="00C56313">
        <w:rPr>
          <w:rFonts w:eastAsia="Calibri"/>
          <w:lang w:val="en-GB"/>
        </w:rPr>
        <w:t>,</w:t>
      </w:r>
      <w:r w:rsidRPr="0051039E">
        <w:rPr>
          <w:rFonts w:eastAsia="Calibri"/>
          <w:lang w:val="en-GB"/>
        </w:rPr>
        <w:t xml:space="preserve"> even though they increasingly manufactured a small percentage of the parts that </w:t>
      </w:r>
      <w:r w:rsidR="00C56313">
        <w:rPr>
          <w:rFonts w:eastAsia="Calibri"/>
          <w:lang w:val="en-GB"/>
        </w:rPr>
        <w:t>went</w:t>
      </w:r>
      <w:r w:rsidRPr="0051039E">
        <w:rPr>
          <w:rFonts w:eastAsia="Calibri"/>
          <w:lang w:val="en-GB"/>
        </w:rPr>
        <w:t xml:space="preserve"> into their vehicles.</w:t>
      </w:r>
      <w:r w:rsidR="00382558" w:rsidRPr="0051039E">
        <w:rPr>
          <w:rFonts w:eastAsia="Calibri"/>
          <w:lang w:val="en-GB"/>
        </w:rPr>
        <w:t xml:space="preserve"> </w:t>
      </w:r>
      <w:r w:rsidR="00C56313">
        <w:rPr>
          <w:rFonts w:eastAsia="Calibri"/>
          <w:lang w:val="en-GB"/>
        </w:rPr>
        <w:t>I</w:t>
      </w:r>
      <w:r w:rsidR="00382558" w:rsidRPr="0051039E">
        <w:rPr>
          <w:rFonts w:eastAsia="Calibri"/>
          <w:lang w:val="en-GB"/>
        </w:rPr>
        <w:t xml:space="preserve">n </w:t>
      </w:r>
      <w:r w:rsidRPr="0051039E">
        <w:rPr>
          <w:rFonts w:eastAsia="Calibri"/>
          <w:lang w:val="en-GB"/>
        </w:rPr>
        <w:t>January 2017, GM boasted that it expect</w:t>
      </w:r>
      <w:r w:rsidR="00C56313">
        <w:rPr>
          <w:rFonts w:eastAsia="Calibri"/>
          <w:lang w:val="en-GB"/>
        </w:rPr>
        <w:t>ed</w:t>
      </w:r>
      <w:r w:rsidRPr="0051039E">
        <w:rPr>
          <w:rFonts w:eastAsia="Calibri"/>
          <w:lang w:val="en-GB"/>
        </w:rPr>
        <w:t xml:space="preserve"> profit</w:t>
      </w:r>
      <w:r w:rsidR="00C56313">
        <w:rPr>
          <w:rFonts w:eastAsia="Calibri"/>
          <w:lang w:val="en-GB"/>
        </w:rPr>
        <w:t>s</w:t>
      </w:r>
      <w:r w:rsidRPr="0051039E">
        <w:rPr>
          <w:rFonts w:eastAsia="Calibri"/>
          <w:lang w:val="en-GB"/>
        </w:rPr>
        <w:t xml:space="preserve"> from parts</w:t>
      </w:r>
      <w:r w:rsidR="00C56313">
        <w:rPr>
          <w:rFonts w:eastAsia="Calibri"/>
          <w:lang w:val="en-GB"/>
        </w:rPr>
        <w:t xml:space="preserve"> and from </w:t>
      </w:r>
      <w:r w:rsidR="005260F0">
        <w:rPr>
          <w:rFonts w:eastAsia="Calibri"/>
          <w:lang w:val="en-GB"/>
        </w:rPr>
        <w:t>two</w:t>
      </w:r>
      <w:r w:rsidR="00C56313">
        <w:rPr>
          <w:rFonts w:eastAsia="Calibri"/>
          <w:lang w:val="en-GB"/>
        </w:rPr>
        <w:t xml:space="preserve"> </w:t>
      </w:r>
      <w:r w:rsidR="005260F0">
        <w:rPr>
          <w:rFonts w:eastAsia="Calibri"/>
          <w:lang w:val="en-GB"/>
        </w:rPr>
        <w:t xml:space="preserve">of the </w:t>
      </w:r>
      <w:r w:rsidR="00C56313">
        <w:rPr>
          <w:rFonts w:eastAsia="Calibri"/>
          <w:lang w:val="en-GB"/>
        </w:rPr>
        <w:t>company’s divisions</w:t>
      </w:r>
      <w:r w:rsidR="005260F0">
        <w:rPr>
          <w:rFonts w:eastAsia="Calibri"/>
          <w:lang w:val="en-GB"/>
        </w:rPr>
        <w:t>,</w:t>
      </w:r>
      <w:r w:rsidRPr="0051039E">
        <w:rPr>
          <w:rFonts w:eastAsia="Calibri"/>
          <w:lang w:val="en-GB"/>
        </w:rPr>
        <w:t xml:space="preserve"> </w:t>
      </w:r>
      <w:r w:rsidRPr="00114A41">
        <w:rPr>
          <w:rFonts w:eastAsia="Calibri"/>
          <w:lang w:val="en-GB"/>
        </w:rPr>
        <w:t>OnStar</w:t>
      </w:r>
      <w:r w:rsidR="00C56313">
        <w:rPr>
          <w:rFonts w:eastAsia="Calibri"/>
          <w:lang w:val="en-GB"/>
        </w:rPr>
        <w:t xml:space="preserve"> Corporation</w:t>
      </w:r>
      <w:r w:rsidRPr="0051039E">
        <w:rPr>
          <w:rFonts w:eastAsia="Calibri"/>
          <w:lang w:val="en-GB"/>
        </w:rPr>
        <w:t xml:space="preserve"> and GM Financial</w:t>
      </w:r>
      <w:r w:rsidR="005260F0">
        <w:rPr>
          <w:rFonts w:eastAsia="Calibri"/>
          <w:lang w:val="en-GB"/>
        </w:rPr>
        <w:t>,</w:t>
      </w:r>
      <w:r w:rsidRPr="0051039E">
        <w:rPr>
          <w:rFonts w:eastAsia="Calibri"/>
          <w:lang w:val="en-GB"/>
        </w:rPr>
        <w:t xml:space="preserve"> to grow by about $2</w:t>
      </w:r>
      <w:r w:rsidR="00DB4C65">
        <w:rPr>
          <w:rFonts w:eastAsia="Calibri"/>
          <w:lang w:val="en-GB"/>
        </w:rPr>
        <w:t xml:space="preserve"> billion</w:t>
      </w:r>
      <w:r w:rsidRPr="0051039E">
        <w:rPr>
          <w:rFonts w:eastAsia="Calibri"/>
          <w:lang w:val="en-GB"/>
        </w:rPr>
        <w:t xml:space="preserve"> from 2015 to 2019.</w:t>
      </w:r>
      <w:r w:rsidRPr="0051039E">
        <w:rPr>
          <w:rFonts w:eastAsia="Calibri"/>
          <w:vertAlign w:val="superscript"/>
          <w:lang w:val="en-GB"/>
        </w:rPr>
        <w:endnoteReference w:id="20"/>
      </w:r>
    </w:p>
    <w:p w14:paraId="2C3A6673" w14:textId="77777777" w:rsidR="00D751FB" w:rsidRPr="0051039E" w:rsidRDefault="00D751FB" w:rsidP="00D751FB">
      <w:pPr>
        <w:pStyle w:val="BodyTextMain"/>
        <w:rPr>
          <w:rFonts w:eastAsia="Calibri"/>
          <w:lang w:val="en-GB"/>
        </w:rPr>
      </w:pPr>
    </w:p>
    <w:p w14:paraId="5779098A" w14:textId="297AD194" w:rsidR="00D751FB" w:rsidRPr="0051039E" w:rsidRDefault="00D751FB" w:rsidP="00D751FB">
      <w:pPr>
        <w:pStyle w:val="BodyTextMain"/>
        <w:rPr>
          <w:rFonts w:eastAsia="Calibri"/>
          <w:lang w:val="en-GB"/>
        </w:rPr>
      </w:pPr>
      <w:r w:rsidRPr="0051039E">
        <w:rPr>
          <w:rFonts w:eastAsia="Calibri"/>
          <w:lang w:val="en-GB"/>
        </w:rPr>
        <w:t>All of th</w:t>
      </w:r>
      <w:r w:rsidR="00DB4C65">
        <w:rPr>
          <w:rFonts w:eastAsia="Calibri"/>
          <w:lang w:val="en-GB"/>
        </w:rPr>
        <w:t>ese sources</w:t>
      </w:r>
      <w:r w:rsidRPr="0051039E">
        <w:rPr>
          <w:rFonts w:eastAsia="Calibri"/>
          <w:lang w:val="en-GB"/>
        </w:rPr>
        <w:t xml:space="preserve"> </w:t>
      </w:r>
      <w:r w:rsidR="00DB4C65">
        <w:rPr>
          <w:rFonts w:eastAsia="Calibri"/>
          <w:lang w:val="en-GB"/>
        </w:rPr>
        <w:t xml:space="preserve">managed to </w:t>
      </w:r>
      <w:r w:rsidRPr="0051039E">
        <w:rPr>
          <w:rFonts w:eastAsia="Calibri"/>
          <w:lang w:val="en-GB"/>
        </w:rPr>
        <w:t>produce net profit margins of</w:t>
      </w:r>
      <w:r w:rsidR="00DB4C65">
        <w:rPr>
          <w:rFonts w:eastAsia="Calibri"/>
          <w:lang w:val="en-GB"/>
        </w:rPr>
        <w:t xml:space="preserve"> only</w:t>
      </w:r>
      <w:r w:rsidRPr="0051039E">
        <w:rPr>
          <w:rFonts w:eastAsia="Calibri"/>
          <w:lang w:val="en-GB"/>
        </w:rPr>
        <w:t xml:space="preserve"> 1</w:t>
      </w:r>
      <w:r w:rsidR="00DB4C65">
        <w:rPr>
          <w:rFonts w:eastAsia="Calibri"/>
          <w:lang w:val="en-GB"/>
        </w:rPr>
        <w:t>–</w:t>
      </w:r>
      <w:r w:rsidRPr="0051039E">
        <w:rPr>
          <w:rFonts w:eastAsia="Calibri"/>
          <w:lang w:val="en-GB"/>
        </w:rPr>
        <w:t>4 per</w:t>
      </w:r>
      <w:r w:rsidR="00DB4C65">
        <w:rPr>
          <w:rFonts w:eastAsia="Calibri"/>
          <w:lang w:val="en-GB"/>
        </w:rPr>
        <w:t xml:space="preserve"> </w:t>
      </w:r>
      <w:r w:rsidRPr="0051039E">
        <w:rPr>
          <w:rFonts w:eastAsia="Calibri"/>
          <w:lang w:val="en-GB"/>
        </w:rPr>
        <w:t>cent annually.</w:t>
      </w:r>
      <w:r w:rsidRPr="0051039E">
        <w:rPr>
          <w:rFonts w:eastAsia="Calibri"/>
          <w:vertAlign w:val="superscript"/>
          <w:lang w:val="en-GB"/>
        </w:rPr>
        <w:endnoteReference w:id="21"/>
      </w:r>
      <w:r w:rsidR="00DB4C65">
        <w:rPr>
          <w:rFonts w:eastAsia="Calibri"/>
          <w:lang w:val="en-GB"/>
        </w:rPr>
        <w:t xml:space="preserve"> </w:t>
      </w:r>
      <w:r w:rsidRPr="0051039E">
        <w:rPr>
          <w:rFonts w:eastAsia="Calibri"/>
          <w:lang w:val="en-GB"/>
        </w:rPr>
        <w:t>Auto</w:t>
      </w:r>
      <w:r w:rsidR="00DB4C65">
        <w:rPr>
          <w:rFonts w:eastAsia="Calibri"/>
          <w:lang w:val="en-GB"/>
        </w:rPr>
        <w:t>mobile</w:t>
      </w:r>
      <w:r w:rsidRPr="0051039E">
        <w:rPr>
          <w:rFonts w:eastAsia="Calibri"/>
          <w:lang w:val="en-GB"/>
        </w:rPr>
        <w:t xml:space="preserve"> manufacturing was clearly a risky and precarious business</w:t>
      </w:r>
      <w:r w:rsidR="00DB4C65">
        <w:rPr>
          <w:rFonts w:eastAsia="Calibri"/>
          <w:lang w:val="en-GB"/>
        </w:rPr>
        <w:t>,</w:t>
      </w:r>
      <w:r w:rsidRPr="0051039E">
        <w:rPr>
          <w:rFonts w:eastAsia="Calibri"/>
          <w:lang w:val="en-GB"/>
        </w:rPr>
        <w:t xml:space="preserve"> given the competitive pressures evident in the market.</w:t>
      </w:r>
      <w:r w:rsidR="00382558" w:rsidRPr="0051039E">
        <w:rPr>
          <w:rFonts w:eastAsia="Calibri"/>
          <w:lang w:val="en-GB"/>
        </w:rPr>
        <w:t xml:space="preserve"> </w:t>
      </w:r>
      <w:r w:rsidR="00D342E1">
        <w:rPr>
          <w:rFonts w:eastAsia="Calibri"/>
          <w:lang w:val="en-GB"/>
        </w:rPr>
        <w:t>Significant</w:t>
      </w:r>
      <w:r w:rsidRPr="0051039E">
        <w:rPr>
          <w:rFonts w:eastAsia="Calibri"/>
          <w:lang w:val="en-GB"/>
        </w:rPr>
        <w:t xml:space="preserve"> changes to any of the core elements that dr</w:t>
      </w:r>
      <w:r w:rsidR="00DB4C65">
        <w:rPr>
          <w:rFonts w:eastAsia="Calibri"/>
          <w:lang w:val="en-GB"/>
        </w:rPr>
        <w:t>o</w:t>
      </w:r>
      <w:r w:rsidRPr="0051039E">
        <w:rPr>
          <w:rFonts w:eastAsia="Calibri"/>
          <w:lang w:val="en-GB"/>
        </w:rPr>
        <w:t>ve profitability represented a potentially fatal blow to many of these manufacturers.</w:t>
      </w:r>
    </w:p>
    <w:p w14:paraId="596FE313" w14:textId="77777777" w:rsidR="00D751FB" w:rsidRPr="0051039E" w:rsidRDefault="00D751FB" w:rsidP="00D751FB">
      <w:pPr>
        <w:pStyle w:val="BodyTextMain"/>
        <w:rPr>
          <w:lang w:val="en-GB"/>
        </w:rPr>
      </w:pPr>
    </w:p>
    <w:p w14:paraId="26652F1A" w14:textId="77777777" w:rsidR="00D751FB" w:rsidRPr="0051039E" w:rsidRDefault="00D751FB" w:rsidP="00D751FB">
      <w:pPr>
        <w:pStyle w:val="BodyTextMain"/>
        <w:rPr>
          <w:lang w:val="en-GB"/>
        </w:rPr>
      </w:pPr>
    </w:p>
    <w:p w14:paraId="346737FB" w14:textId="77777777" w:rsidR="00D751FB" w:rsidRPr="0051039E" w:rsidRDefault="00D751FB" w:rsidP="0097590C">
      <w:pPr>
        <w:keepNext/>
        <w:rPr>
          <w:rFonts w:ascii="Arial" w:eastAsia="Calibri" w:hAnsi="Arial" w:cs="Arial"/>
          <w:b/>
          <w:lang w:val="en-GB"/>
        </w:rPr>
      </w:pPr>
      <w:r w:rsidRPr="0051039E">
        <w:rPr>
          <w:rFonts w:ascii="Arial" w:eastAsia="Calibri" w:hAnsi="Arial" w:cs="Arial"/>
          <w:b/>
          <w:lang w:val="en-GB"/>
        </w:rPr>
        <w:lastRenderedPageBreak/>
        <w:t>GM’S COLLAPSE IN 2009</w:t>
      </w:r>
    </w:p>
    <w:p w14:paraId="76DB571F" w14:textId="77777777" w:rsidR="00D751FB" w:rsidRPr="0051039E" w:rsidRDefault="00D751FB" w:rsidP="0097590C">
      <w:pPr>
        <w:pStyle w:val="BodyTextMain"/>
        <w:keepNext/>
        <w:rPr>
          <w:rFonts w:eastAsia="Calibri"/>
          <w:lang w:val="en-GB"/>
        </w:rPr>
      </w:pPr>
    </w:p>
    <w:p w14:paraId="57AA3047" w14:textId="3B40E1F5" w:rsidR="00D751FB" w:rsidRPr="0051039E" w:rsidRDefault="00D751FB" w:rsidP="00D751FB">
      <w:pPr>
        <w:pStyle w:val="BodyTextMain"/>
        <w:rPr>
          <w:rFonts w:eastAsia="Calibri"/>
          <w:lang w:val="en-GB"/>
        </w:rPr>
      </w:pPr>
      <w:r w:rsidRPr="0051039E">
        <w:rPr>
          <w:rFonts w:eastAsia="Calibri"/>
          <w:lang w:val="en-GB"/>
        </w:rPr>
        <w:t xml:space="preserve">On June 1, 2009, GM filed for Chapter 11 </w:t>
      </w:r>
      <w:r w:rsidR="00DB4C65">
        <w:rPr>
          <w:rFonts w:eastAsia="Calibri"/>
          <w:lang w:val="en-GB"/>
        </w:rPr>
        <w:t xml:space="preserve">in </w:t>
      </w:r>
      <w:r w:rsidR="00D342E1">
        <w:rPr>
          <w:rFonts w:eastAsia="Calibri"/>
          <w:lang w:val="en-GB"/>
        </w:rPr>
        <w:t xml:space="preserve">the </w:t>
      </w:r>
      <w:r w:rsidR="00E70A21">
        <w:rPr>
          <w:rFonts w:eastAsia="Calibri"/>
          <w:lang w:val="en-GB"/>
        </w:rPr>
        <w:t>US</w:t>
      </w:r>
      <w:r w:rsidR="00DB4C65">
        <w:rPr>
          <w:rFonts w:eastAsia="Calibri"/>
          <w:lang w:val="en-GB"/>
        </w:rPr>
        <w:t xml:space="preserve"> Federal </w:t>
      </w:r>
      <w:r w:rsidRPr="0051039E">
        <w:rPr>
          <w:rFonts w:eastAsia="Calibri"/>
          <w:lang w:val="en-GB"/>
        </w:rPr>
        <w:t xml:space="preserve">Bankruptcy </w:t>
      </w:r>
      <w:r w:rsidR="00DB4C65">
        <w:rPr>
          <w:rFonts w:eastAsia="Calibri"/>
          <w:lang w:val="en-GB"/>
        </w:rPr>
        <w:t>C</w:t>
      </w:r>
      <w:r w:rsidRPr="0051039E">
        <w:rPr>
          <w:rFonts w:eastAsia="Calibri"/>
          <w:lang w:val="en-GB"/>
        </w:rPr>
        <w:t>ourt</w:t>
      </w:r>
      <w:r w:rsidR="00DB4C65">
        <w:rPr>
          <w:rFonts w:eastAsia="Calibri"/>
          <w:lang w:val="en-GB"/>
        </w:rPr>
        <w:t xml:space="preserve"> in Manhattan</w:t>
      </w:r>
      <w:r w:rsidRPr="0051039E">
        <w:rPr>
          <w:rFonts w:eastAsia="Calibri"/>
          <w:lang w:val="en-GB"/>
        </w:rPr>
        <w:t>. Until 2008, GM was the world’s largest automaker</w:t>
      </w:r>
      <w:r w:rsidR="00DB4C65">
        <w:rPr>
          <w:rFonts w:eastAsia="Calibri"/>
          <w:lang w:val="en-GB"/>
        </w:rPr>
        <w:t>,</w:t>
      </w:r>
      <w:r w:rsidRPr="0051039E">
        <w:rPr>
          <w:rFonts w:eastAsia="Calibri"/>
          <w:lang w:val="en-GB"/>
        </w:rPr>
        <w:t xml:space="preserve"> producing over 9 million cars and trucks </w:t>
      </w:r>
      <w:r w:rsidR="00DB4C65">
        <w:rPr>
          <w:rFonts w:eastAsia="Calibri"/>
          <w:lang w:val="en-GB"/>
        </w:rPr>
        <w:t>each</w:t>
      </w:r>
      <w:r w:rsidRPr="0051039E">
        <w:rPr>
          <w:rFonts w:eastAsia="Calibri"/>
          <w:lang w:val="en-GB"/>
        </w:rPr>
        <w:t xml:space="preserve"> year in </w:t>
      </w:r>
      <w:r w:rsidR="00DB4C65">
        <w:rPr>
          <w:rFonts w:eastAsia="Calibri"/>
          <w:lang w:val="en-GB"/>
        </w:rPr>
        <w:t>34</w:t>
      </w:r>
      <w:r w:rsidRPr="0051039E">
        <w:rPr>
          <w:rFonts w:eastAsia="Calibri"/>
          <w:lang w:val="en-GB"/>
        </w:rPr>
        <w:t xml:space="preserve"> different countries.</w:t>
      </w:r>
      <w:r w:rsidR="00DB4C65">
        <w:rPr>
          <w:rFonts w:eastAsia="Calibri"/>
          <w:lang w:val="en-GB"/>
        </w:rPr>
        <w:t xml:space="preserve"> </w:t>
      </w:r>
      <w:r w:rsidRPr="0051039E">
        <w:rPr>
          <w:rFonts w:eastAsia="Calibri"/>
          <w:lang w:val="en-GB"/>
        </w:rPr>
        <w:t xml:space="preserve">It owned 463 subsidiary companies that supplied production around the world and </w:t>
      </w:r>
      <w:r w:rsidR="00DB4C65">
        <w:rPr>
          <w:rFonts w:eastAsia="Calibri"/>
          <w:lang w:val="en-GB"/>
        </w:rPr>
        <w:t>employed</w:t>
      </w:r>
      <w:r w:rsidRPr="0051039E">
        <w:rPr>
          <w:rFonts w:eastAsia="Calibri"/>
          <w:lang w:val="en-GB"/>
        </w:rPr>
        <w:t xml:space="preserve"> 234,500 </w:t>
      </w:r>
      <w:r w:rsidR="00DB4C65">
        <w:rPr>
          <w:rFonts w:eastAsia="Calibri"/>
          <w:lang w:val="en-GB"/>
        </w:rPr>
        <w:t>workers</w:t>
      </w:r>
      <w:r w:rsidRPr="0051039E">
        <w:rPr>
          <w:rFonts w:eastAsia="Calibri"/>
          <w:lang w:val="en-GB"/>
        </w:rPr>
        <w:t>, of which 91,000 were in North America.</w:t>
      </w:r>
      <w:r w:rsidR="000B1214" w:rsidRPr="0051039E">
        <w:rPr>
          <w:rFonts w:eastAsia="Calibri"/>
          <w:lang w:val="en-GB"/>
        </w:rPr>
        <w:t xml:space="preserve"> </w:t>
      </w:r>
      <w:r w:rsidRPr="0051039E">
        <w:rPr>
          <w:rFonts w:eastAsia="Calibri"/>
          <w:lang w:val="en-GB"/>
        </w:rPr>
        <w:t xml:space="preserve">By 2009, GM had </w:t>
      </w:r>
      <w:r w:rsidR="00D342E1">
        <w:rPr>
          <w:rFonts w:eastAsia="Calibri"/>
          <w:lang w:val="en-GB"/>
        </w:rPr>
        <w:t>dropped</w:t>
      </w:r>
      <w:r w:rsidRPr="0051039E">
        <w:rPr>
          <w:rFonts w:eastAsia="Calibri"/>
          <w:lang w:val="en-GB"/>
        </w:rPr>
        <w:t xml:space="preserve"> from </w:t>
      </w:r>
      <w:r w:rsidR="00D342E1">
        <w:rPr>
          <w:rFonts w:eastAsia="Calibri"/>
          <w:lang w:val="en-GB"/>
        </w:rPr>
        <w:t xml:space="preserve">a </w:t>
      </w:r>
      <w:r w:rsidRPr="0051039E">
        <w:rPr>
          <w:rFonts w:eastAsia="Calibri"/>
          <w:lang w:val="en-GB"/>
        </w:rPr>
        <w:t>44 per</w:t>
      </w:r>
      <w:r w:rsidR="00DB4C65">
        <w:rPr>
          <w:rFonts w:eastAsia="Calibri"/>
          <w:lang w:val="en-GB"/>
        </w:rPr>
        <w:t xml:space="preserve"> </w:t>
      </w:r>
      <w:r w:rsidRPr="0051039E">
        <w:rPr>
          <w:rFonts w:eastAsia="Calibri"/>
          <w:lang w:val="en-GB"/>
        </w:rPr>
        <w:t>cent market share in North America to just over 20 per</w:t>
      </w:r>
      <w:r w:rsidR="00DB4C65">
        <w:rPr>
          <w:rFonts w:eastAsia="Calibri"/>
          <w:lang w:val="en-GB"/>
        </w:rPr>
        <w:t xml:space="preserve"> </w:t>
      </w:r>
      <w:r w:rsidRPr="0051039E">
        <w:rPr>
          <w:rFonts w:eastAsia="Calibri"/>
          <w:lang w:val="en-GB"/>
        </w:rPr>
        <w:t>cent.</w:t>
      </w:r>
      <w:r w:rsidRPr="0051039E">
        <w:rPr>
          <w:rFonts w:eastAsia="Calibri"/>
          <w:vertAlign w:val="superscript"/>
          <w:lang w:val="en-GB"/>
        </w:rPr>
        <w:endnoteReference w:id="22"/>
      </w:r>
    </w:p>
    <w:p w14:paraId="370B02EA" w14:textId="77777777" w:rsidR="00D751FB" w:rsidRPr="0051039E" w:rsidRDefault="00D751FB" w:rsidP="00D751FB">
      <w:pPr>
        <w:pStyle w:val="BodyTextMain"/>
        <w:rPr>
          <w:rFonts w:eastAsia="Calibri"/>
          <w:lang w:val="en-GB"/>
        </w:rPr>
      </w:pPr>
    </w:p>
    <w:p w14:paraId="3C7B8CCC" w14:textId="55CB3B73" w:rsidR="00D751FB" w:rsidRPr="0051039E" w:rsidRDefault="00D751FB" w:rsidP="00D751FB">
      <w:pPr>
        <w:pStyle w:val="BodyTextMain"/>
        <w:rPr>
          <w:rFonts w:eastAsia="Calibri"/>
          <w:lang w:val="en-GB"/>
        </w:rPr>
      </w:pPr>
      <w:r w:rsidRPr="0051039E">
        <w:rPr>
          <w:rFonts w:eastAsia="Calibri"/>
          <w:lang w:val="en-GB"/>
        </w:rPr>
        <w:t>Was th</w:t>
      </w:r>
      <w:r w:rsidR="00172ED1">
        <w:rPr>
          <w:rFonts w:eastAsia="Calibri"/>
          <w:lang w:val="en-GB"/>
        </w:rPr>
        <w:t>e company</w:t>
      </w:r>
      <w:r w:rsidRPr="0051039E">
        <w:rPr>
          <w:rFonts w:eastAsia="Calibri"/>
          <w:lang w:val="en-GB"/>
        </w:rPr>
        <w:t xml:space="preserve"> downfall </w:t>
      </w:r>
      <w:r w:rsidR="00172ED1">
        <w:rPr>
          <w:rFonts w:eastAsia="Calibri"/>
          <w:lang w:val="en-GB"/>
        </w:rPr>
        <w:t>caused by</w:t>
      </w:r>
      <w:r w:rsidRPr="0051039E">
        <w:rPr>
          <w:rFonts w:eastAsia="Calibri"/>
          <w:lang w:val="en-GB"/>
        </w:rPr>
        <w:t xml:space="preserve"> its size? W</w:t>
      </w:r>
      <w:r w:rsidR="00172ED1">
        <w:rPr>
          <w:rFonts w:eastAsia="Calibri"/>
          <w:lang w:val="en-GB"/>
        </w:rPr>
        <w:t>as GM</w:t>
      </w:r>
      <w:r w:rsidRPr="0051039E">
        <w:rPr>
          <w:rFonts w:eastAsia="Calibri"/>
          <w:lang w:val="en-GB"/>
        </w:rPr>
        <w:t xml:space="preserve"> too big and too slow to change and adapt to new competitive pressures?</w:t>
      </w:r>
      <w:r w:rsidR="00382558" w:rsidRPr="0051039E">
        <w:rPr>
          <w:rFonts w:eastAsia="Calibri"/>
          <w:lang w:val="en-GB"/>
        </w:rPr>
        <w:t xml:space="preserve"> </w:t>
      </w:r>
      <w:r w:rsidRPr="0051039E">
        <w:rPr>
          <w:rFonts w:eastAsia="Calibri"/>
          <w:lang w:val="en-GB"/>
        </w:rPr>
        <w:t xml:space="preserve">Was </w:t>
      </w:r>
      <w:r w:rsidR="00172ED1">
        <w:rPr>
          <w:rFonts w:eastAsia="Calibri"/>
          <w:lang w:val="en-GB"/>
        </w:rPr>
        <w:t>i</w:t>
      </w:r>
      <w:r w:rsidRPr="0051039E">
        <w:rPr>
          <w:rFonts w:eastAsia="Calibri"/>
          <w:lang w:val="en-GB"/>
        </w:rPr>
        <w:t>t</w:t>
      </w:r>
      <w:r w:rsidR="00172ED1">
        <w:rPr>
          <w:rFonts w:eastAsia="Calibri"/>
          <w:lang w:val="en-GB"/>
        </w:rPr>
        <w:t>s</w:t>
      </w:r>
      <w:r w:rsidRPr="0051039E">
        <w:rPr>
          <w:rFonts w:eastAsia="Calibri"/>
          <w:lang w:val="en-GB"/>
        </w:rPr>
        <w:t xml:space="preserve"> cost structure out of control? </w:t>
      </w:r>
      <w:r w:rsidR="00172ED1">
        <w:rPr>
          <w:rFonts w:eastAsia="Calibri"/>
          <w:lang w:val="en-GB"/>
        </w:rPr>
        <w:t xml:space="preserve">After the </w:t>
      </w:r>
      <w:r w:rsidRPr="0051039E">
        <w:rPr>
          <w:rFonts w:eastAsia="Calibri"/>
          <w:lang w:val="en-GB"/>
        </w:rPr>
        <w:t xml:space="preserve">bankruptcy </w:t>
      </w:r>
      <w:r w:rsidR="00172ED1">
        <w:rPr>
          <w:rFonts w:eastAsia="Calibri"/>
          <w:lang w:val="en-GB"/>
        </w:rPr>
        <w:t>threat was overcome, various</w:t>
      </w:r>
      <w:r w:rsidRPr="0051039E">
        <w:rPr>
          <w:rFonts w:eastAsia="Calibri"/>
          <w:lang w:val="en-GB"/>
        </w:rPr>
        <w:t xml:space="preserve"> fundamental reasons</w:t>
      </w:r>
      <w:r w:rsidR="00172ED1">
        <w:rPr>
          <w:rFonts w:eastAsia="Calibri"/>
          <w:lang w:val="en-GB"/>
        </w:rPr>
        <w:t xml:space="preserve"> for</w:t>
      </w:r>
      <w:r w:rsidRPr="0051039E">
        <w:rPr>
          <w:rFonts w:eastAsia="Calibri"/>
          <w:lang w:val="en-GB"/>
        </w:rPr>
        <w:t xml:space="preserve"> GM</w:t>
      </w:r>
      <w:r w:rsidR="00172ED1">
        <w:rPr>
          <w:rFonts w:eastAsia="Calibri"/>
          <w:lang w:val="en-GB"/>
        </w:rPr>
        <w:t>’s</w:t>
      </w:r>
      <w:r w:rsidRPr="0051039E">
        <w:rPr>
          <w:rFonts w:eastAsia="Calibri"/>
          <w:lang w:val="en-GB"/>
        </w:rPr>
        <w:t xml:space="preserve"> fail</w:t>
      </w:r>
      <w:r w:rsidR="00172ED1">
        <w:rPr>
          <w:rFonts w:eastAsia="Calibri"/>
          <w:lang w:val="en-GB"/>
        </w:rPr>
        <w:t>ures started to surface.</w:t>
      </w:r>
    </w:p>
    <w:p w14:paraId="6AD53404" w14:textId="77777777" w:rsidR="00D751FB" w:rsidRPr="0051039E" w:rsidRDefault="00D751FB" w:rsidP="00D751FB">
      <w:pPr>
        <w:pStyle w:val="BodyTextMain"/>
        <w:rPr>
          <w:rFonts w:eastAsia="Calibri"/>
          <w:lang w:val="en-GB"/>
        </w:rPr>
      </w:pPr>
    </w:p>
    <w:p w14:paraId="12CCD00A" w14:textId="77777777" w:rsidR="00D751FB" w:rsidRPr="0051039E" w:rsidRDefault="00D751FB" w:rsidP="00D751FB">
      <w:pPr>
        <w:pStyle w:val="BodyTextMain"/>
        <w:rPr>
          <w:rFonts w:eastAsia="Calibri"/>
          <w:lang w:val="en-GB"/>
        </w:rPr>
      </w:pPr>
    </w:p>
    <w:p w14:paraId="1039695A" w14:textId="77777777" w:rsidR="00D751FB" w:rsidRPr="0051039E" w:rsidRDefault="00D751FB" w:rsidP="00D751FB">
      <w:pPr>
        <w:pStyle w:val="Casehead2"/>
        <w:rPr>
          <w:rFonts w:eastAsia="Calibri"/>
          <w:lang w:val="en-GB"/>
        </w:rPr>
      </w:pPr>
      <w:r w:rsidRPr="0051039E">
        <w:rPr>
          <w:rFonts w:eastAsia="Calibri"/>
          <w:lang w:val="en-GB"/>
        </w:rPr>
        <w:t>Retired Employees</w:t>
      </w:r>
    </w:p>
    <w:p w14:paraId="5655D012" w14:textId="77777777" w:rsidR="00D751FB" w:rsidRPr="0051039E" w:rsidRDefault="00D751FB" w:rsidP="00D751FB">
      <w:pPr>
        <w:pStyle w:val="BodyTextMain"/>
        <w:rPr>
          <w:rFonts w:eastAsia="Calibri"/>
          <w:lang w:val="en-GB"/>
        </w:rPr>
      </w:pPr>
    </w:p>
    <w:p w14:paraId="058B6AC1" w14:textId="4B7A463F" w:rsidR="00D751FB" w:rsidRPr="0051039E" w:rsidRDefault="00D751FB" w:rsidP="00D751FB">
      <w:pPr>
        <w:pStyle w:val="BodyTextMain"/>
        <w:rPr>
          <w:rFonts w:eastAsia="Calibri"/>
          <w:lang w:val="en-GB"/>
        </w:rPr>
      </w:pPr>
      <w:r w:rsidRPr="0051039E">
        <w:rPr>
          <w:rFonts w:eastAsia="Calibri"/>
          <w:lang w:val="en-GB"/>
        </w:rPr>
        <w:t xml:space="preserve">At the time of </w:t>
      </w:r>
      <w:r w:rsidR="00172ED1">
        <w:rPr>
          <w:rFonts w:eastAsia="Calibri"/>
          <w:lang w:val="en-GB"/>
        </w:rPr>
        <w:t xml:space="preserve">the </w:t>
      </w:r>
      <w:r w:rsidRPr="0051039E">
        <w:rPr>
          <w:rFonts w:eastAsia="Calibri"/>
          <w:lang w:val="en-GB"/>
        </w:rPr>
        <w:t>bankruptcy, GM was supporting 493,000 retired employees in North America.</w:t>
      </w:r>
      <w:r w:rsidR="000B1214" w:rsidRPr="0051039E">
        <w:rPr>
          <w:rFonts w:eastAsia="Calibri"/>
          <w:lang w:val="en-GB"/>
        </w:rPr>
        <w:t xml:space="preserve"> </w:t>
      </w:r>
      <w:r w:rsidRPr="0051039E">
        <w:rPr>
          <w:rFonts w:eastAsia="Calibri"/>
          <w:lang w:val="en-GB"/>
        </w:rPr>
        <w:t>These employees enjoyed generous pension and health benefits</w:t>
      </w:r>
      <w:r w:rsidR="00172ED1">
        <w:rPr>
          <w:rFonts w:eastAsia="Calibri"/>
          <w:lang w:val="en-GB"/>
        </w:rPr>
        <w:t>,</w:t>
      </w:r>
      <w:r w:rsidRPr="0051039E">
        <w:rPr>
          <w:rFonts w:eastAsia="Calibri"/>
          <w:lang w:val="en-GB"/>
        </w:rPr>
        <w:t xml:space="preserve"> which </w:t>
      </w:r>
      <w:r w:rsidR="00172ED1">
        <w:rPr>
          <w:rFonts w:eastAsia="Calibri"/>
          <w:lang w:val="en-GB"/>
        </w:rPr>
        <w:t>had been</w:t>
      </w:r>
      <w:r w:rsidRPr="0051039E">
        <w:rPr>
          <w:rFonts w:eastAsia="Calibri"/>
          <w:lang w:val="en-GB"/>
        </w:rPr>
        <w:t xml:space="preserve"> negotiated with the United Auto Workers Union in much better and less competitive times.</w:t>
      </w:r>
      <w:r w:rsidRPr="0051039E">
        <w:rPr>
          <w:rFonts w:eastAsia="Calibri"/>
          <w:vertAlign w:val="superscript"/>
          <w:lang w:val="en-GB"/>
        </w:rPr>
        <w:endnoteReference w:id="23"/>
      </w:r>
      <w:r w:rsidR="000B1214" w:rsidRPr="0051039E">
        <w:rPr>
          <w:rFonts w:eastAsia="Calibri"/>
          <w:lang w:val="en-GB"/>
        </w:rPr>
        <w:t xml:space="preserve"> </w:t>
      </w:r>
      <w:r w:rsidRPr="0051039E">
        <w:rPr>
          <w:rFonts w:eastAsia="Calibri"/>
          <w:lang w:val="en-GB"/>
        </w:rPr>
        <w:t xml:space="preserve">These liabilities </w:t>
      </w:r>
      <w:r w:rsidR="00172ED1">
        <w:rPr>
          <w:rFonts w:eastAsia="Calibri"/>
          <w:lang w:val="en-GB"/>
        </w:rPr>
        <w:t>had placed</w:t>
      </w:r>
      <w:r w:rsidRPr="0051039E">
        <w:rPr>
          <w:rFonts w:eastAsia="Calibri"/>
          <w:lang w:val="en-GB"/>
        </w:rPr>
        <w:t xml:space="preserve"> tremendous pressure on GM to generate cash though increased sales volumes. </w:t>
      </w:r>
    </w:p>
    <w:p w14:paraId="508B2569" w14:textId="77777777" w:rsidR="00D751FB" w:rsidRPr="0051039E" w:rsidRDefault="00D751FB" w:rsidP="00D751FB">
      <w:pPr>
        <w:pStyle w:val="BodyTextMain"/>
        <w:rPr>
          <w:rFonts w:eastAsia="Calibri"/>
          <w:lang w:val="en-GB"/>
        </w:rPr>
      </w:pPr>
    </w:p>
    <w:p w14:paraId="351C2479" w14:textId="77777777" w:rsidR="00D751FB" w:rsidRPr="0051039E" w:rsidRDefault="00D751FB" w:rsidP="00D751FB">
      <w:pPr>
        <w:pStyle w:val="BodyTextMain"/>
        <w:rPr>
          <w:rFonts w:eastAsia="Calibri"/>
          <w:lang w:val="en-GB"/>
        </w:rPr>
      </w:pPr>
    </w:p>
    <w:p w14:paraId="052708F0" w14:textId="77777777" w:rsidR="00D751FB" w:rsidRPr="0051039E" w:rsidRDefault="00D751FB" w:rsidP="00D751FB">
      <w:pPr>
        <w:pStyle w:val="Casehead2"/>
        <w:rPr>
          <w:rFonts w:eastAsia="Calibri"/>
          <w:lang w:val="en-GB"/>
        </w:rPr>
      </w:pPr>
      <w:r w:rsidRPr="0051039E">
        <w:rPr>
          <w:rFonts w:eastAsia="Calibri"/>
          <w:lang w:val="en-GB"/>
        </w:rPr>
        <w:t>Discount Incentives</w:t>
      </w:r>
    </w:p>
    <w:p w14:paraId="13AFF8F2" w14:textId="77777777" w:rsidR="00D751FB" w:rsidRPr="0051039E" w:rsidRDefault="00D751FB" w:rsidP="00D751FB">
      <w:pPr>
        <w:pStyle w:val="BodyTextMain"/>
        <w:rPr>
          <w:rFonts w:eastAsia="Calibri"/>
          <w:lang w:val="en-GB"/>
        </w:rPr>
      </w:pPr>
    </w:p>
    <w:p w14:paraId="458E7FDB" w14:textId="4DE62D38" w:rsidR="00D751FB" w:rsidRPr="0051039E" w:rsidRDefault="00D751FB" w:rsidP="00D751FB">
      <w:pPr>
        <w:pStyle w:val="BodyTextMain"/>
        <w:rPr>
          <w:rFonts w:ascii="Calibri" w:eastAsia="Calibri" w:hAnsi="Calibri"/>
          <w:lang w:val="en-GB"/>
        </w:rPr>
      </w:pPr>
      <w:r w:rsidRPr="0051039E">
        <w:rPr>
          <w:rFonts w:eastAsia="Calibri"/>
          <w:lang w:val="en-GB"/>
        </w:rPr>
        <w:t xml:space="preserve">In the early 2000s, GM was starting to change the pricing game in North America. The first big move was </w:t>
      </w:r>
      <w:r w:rsidR="00172ED1">
        <w:rPr>
          <w:rFonts w:eastAsia="Calibri"/>
          <w:lang w:val="en-GB"/>
        </w:rPr>
        <w:t xml:space="preserve">to </w:t>
      </w:r>
      <w:r w:rsidRPr="0051039E">
        <w:rPr>
          <w:rFonts w:eastAsia="Calibri"/>
          <w:lang w:val="en-GB"/>
        </w:rPr>
        <w:t xml:space="preserve">offer consumers </w:t>
      </w:r>
      <w:r w:rsidR="00D342E1">
        <w:rPr>
          <w:rFonts w:eastAsia="Calibri"/>
          <w:lang w:val="en-GB"/>
        </w:rPr>
        <w:t>no interest (</w:t>
      </w:r>
      <w:r w:rsidR="00172ED1">
        <w:rPr>
          <w:rFonts w:eastAsia="Calibri"/>
          <w:lang w:val="en-GB"/>
        </w:rPr>
        <w:t>0</w:t>
      </w:r>
      <w:r w:rsidRPr="0051039E">
        <w:rPr>
          <w:rFonts w:eastAsia="Calibri"/>
          <w:lang w:val="en-GB"/>
        </w:rPr>
        <w:t xml:space="preserve"> per</w:t>
      </w:r>
      <w:r w:rsidR="00172ED1">
        <w:rPr>
          <w:rFonts w:eastAsia="Calibri"/>
          <w:lang w:val="en-GB"/>
        </w:rPr>
        <w:t xml:space="preserve"> </w:t>
      </w:r>
      <w:r w:rsidRPr="0051039E">
        <w:rPr>
          <w:rFonts w:eastAsia="Calibri"/>
          <w:lang w:val="en-GB"/>
        </w:rPr>
        <w:t>cent</w:t>
      </w:r>
      <w:r w:rsidR="00D342E1">
        <w:rPr>
          <w:rFonts w:eastAsia="Calibri"/>
          <w:lang w:val="en-GB"/>
        </w:rPr>
        <w:t>)</w:t>
      </w:r>
      <w:r w:rsidRPr="0051039E">
        <w:rPr>
          <w:rFonts w:eastAsia="Calibri"/>
          <w:lang w:val="en-GB"/>
        </w:rPr>
        <w:t xml:space="preserve"> financing on </w:t>
      </w:r>
      <w:r w:rsidR="00172ED1">
        <w:rPr>
          <w:rFonts w:eastAsia="Calibri"/>
          <w:lang w:val="en-GB"/>
        </w:rPr>
        <w:t xml:space="preserve">vehicle </w:t>
      </w:r>
      <w:r w:rsidRPr="0051039E">
        <w:rPr>
          <w:rFonts w:eastAsia="Calibri"/>
          <w:lang w:val="en-GB"/>
        </w:rPr>
        <w:t>loans up to five years</w:t>
      </w:r>
      <w:r w:rsidR="00172ED1">
        <w:rPr>
          <w:rFonts w:eastAsia="Calibri"/>
          <w:lang w:val="en-GB"/>
        </w:rPr>
        <w:t>.</w:t>
      </w:r>
      <w:r w:rsidRPr="0051039E">
        <w:rPr>
          <w:rFonts w:eastAsia="Calibri"/>
          <w:lang w:val="en-GB"/>
        </w:rPr>
        <w:t xml:space="preserve"> </w:t>
      </w:r>
      <w:r w:rsidR="00172ED1">
        <w:rPr>
          <w:rFonts w:eastAsia="Calibri"/>
          <w:lang w:val="en-GB"/>
        </w:rPr>
        <w:t>W</w:t>
      </w:r>
      <w:r w:rsidRPr="0051039E">
        <w:rPr>
          <w:rFonts w:eastAsia="Calibri"/>
          <w:lang w:val="en-GB"/>
        </w:rPr>
        <w:t xml:space="preserve">hen that incentive </w:t>
      </w:r>
      <w:r w:rsidR="00172ED1">
        <w:rPr>
          <w:rFonts w:eastAsia="Calibri"/>
          <w:lang w:val="en-GB"/>
        </w:rPr>
        <w:t xml:space="preserve">began to </w:t>
      </w:r>
      <w:r w:rsidRPr="0051039E">
        <w:rPr>
          <w:rFonts w:eastAsia="Calibri"/>
          <w:lang w:val="en-GB"/>
        </w:rPr>
        <w:t>los</w:t>
      </w:r>
      <w:r w:rsidR="00172ED1">
        <w:rPr>
          <w:rFonts w:eastAsia="Calibri"/>
          <w:lang w:val="en-GB"/>
        </w:rPr>
        <w:t>e</w:t>
      </w:r>
      <w:r w:rsidRPr="0051039E">
        <w:rPr>
          <w:rFonts w:eastAsia="Calibri"/>
          <w:lang w:val="en-GB"/>
        </w:rPr>
        <w:t xml:space="preserve"> traction, the</w:t>
      </w:r>
      <w:r w:rsidR="00172ED1">
        <w:rPr>
          <w:rFonts w:eastAsia="Calibri"/>
          <w:lang w:val="en-GB"/>
        </w:rPr>
        <w:t xml:space="preserve"> compan</w:t>
      </w:r>
      <w:r w:rsidRPr="0051039E">
        <w:rPr>
          <w:rFonts w:eastAsia="Calibri"/>
          <w:lang w:val="en-GB"/>
        </w:rPr>
        <w:t>y started offering $3,000 rebates</w:t>
      </w:r>
      <w:r w:rsidR="00172ED1">
        <w:rPr>
          <w:rFonts w:eastAsia="Calibri"/>
          <w:lang w:val="en-GB"/>
        </w:rPr>
        <w:t xml:space="preserve"> on the purchase of a car</w:t>
      </w:r>
      <w:r w:rsidRPr="0051039E">
        <w:rPr>
          <w:rFonts w:eastAsia="Calibri"/>
          <w:lang w:val="en-GB"/>
        </w:rPr>
        <w:t xml:space="preserve">. When the competition began </w:t>
      </w:r>
      <w:r w:rsidR="00172ED1">
        <w:rPr>
          <w:rFonts w:eastAsia="Calibri"/>
          <w:lang w:val="en-GB"/>
        </w:rPr>
        <w:t>offering</w:t>
      </w:r>
      <w:r w:rsidRPr="0051039E">
        <w:rPr>
          <w:rFonts w:eastAsia="Calibri"/>
          <w:lang w:val="en-GB"/>
        </w:rPr>
        <w:t xml:space="preserve"> rebates of their own, GM raise</w:t>
      </w:r>
      <w:r w:rsidR="00D342E1">
        <w:rPr>
          <w:rFonts w:eastAsia="Calibri"/>
          <w:lang w:val="en-GB"/>
        </w:rPr>
        <w:t>d</w:t>
      </w:r>
      <w:r w:rsidRPr="0051039E">
        <w:rPr>
          <w:rFonts w:eastAsia="Calibri"/>
          <w:lang w:val="en-GB"/>
        </w:rPr>
        <w:t xml:space="preserve"> the</w:t>
      </w:r>
      <w:r w:rsidR="00172ED1">
        <w:rPr>
          <w:rFonts w:eastAsia="Calibri"/>
          <w:lang w:val="en-GB"/>
        </w:rPr>
        <w:t xml:space="preserve"> rebate stakes</w:t>
      </w:r>
      <w:r w:rsidRPr="0051039E">
        <w:rPr>
          <w:rFonts w:eastAsia="Calibri"/>
          <w:lang w:val="en-GB"/>
        </w:rPr>
        <w:t xml:space="preserve"> to $6,000</w:t>
      </w:r>
      <w:r w:rsidR="00172ED1">
        <w:rPr>
          <w:rFonts w:eastAsia="Calibri"/>
          <w:lang w:val="en-GB"/>
        </w:rPr>
        <w:t xml:space="preserve"> and</w:t>
      </w:r>
      <w:r w:rsidRPr="0051039E">
        <w:rPr>
          <w:rFonts w:eastAsia="Calibri"/>
          <w:lang w:val="en-GB"/>
        </w:rPr>
        <w:t xml:space="preserve"> $8,000, with even longer financing terms.</w:t>
      </w:r>
      <w:r w:rsidR="000B1214" w:rsidRPr="0051039E">
        <w:rPr>
          <w:rFonts w:eastAsia="Calibri"/>
          <w:lang w:val="en-GB"/>
        </w:rPr>
        <w:t xml:space="preserve"> </w:t>
      </w:r>
      <w:r w:rsidRPr="0051039E">
        <w:rPr>
          <w:rFonts w:eastAsia="Calibri"/>
          <w:lang w:val="en-GB"/>
        </w:rPr>
        <w:t xml:space="preserve">What GM failed to realize was that the need to keep vehicle prices high to </w:t>
      </w:r>
      <w:r w:rsidR="00172ED1">
        <w:rPr>
          <w:rFonts w:eastAsia="Calibri"/>
          <w:lang w:val="en-GB"/>
        </w:rPr>
        <w:t xml:space="preserve">support </w:t>
      </w:r>
      <w:r w:rsidRPr="0051039E">
        <w:rPr>
          <w:rFonts w:eastAsia="Calibri"/>
          <w:lang w:val="en-GB"/>
        </w:rPr>
        <w:t xml:space="preserve">the rebates created a </w:t>
      </w:r>
      <w:r w:rsidR="00172ED1">
        <w:rPr>
          <w:rFonts w:eastAsia="Calibri"/>
          <w:lang w:val="en-GB"/>
        </w:rPr>
        <w:t>consumer perception</w:t>
      </w:r>
      <w:r w:rsidRPr="0051039E">
        <w:rPr>
          <w:rFonts w:eastAsia="Calibri"/>
          <w:lang w:val="en-GB"/>
        </w:rPr>
        <w:t xml:space="preserve"> of a more expensive product</w:t>
      </w:r>
      <w:r w:rsidR="00D342E1">
        <w:rPr>
          <w:rFonts w:eastAsia="Calibri"/>
          <w:lang w:val="en-GB"/>
        </w:rPr>
        <w:t>,</w:t>
      </w:r>
      <w:r w:rsidRPr="0051039E">
        <w:rPr>
          <w:rFonts w:eastAsia="Calibri"/>
          <w:lang w:val="en-GB"/>
        </w:rPr>
        <w:t xml:space="preserve"> relative to the competition.</w:t>
      </w:r>
      <w:r w:rsidR="00382558" w:rsidRPr="0051039E">
        <w:rPr>
          <w:rFonts w:eastAsia="Calibri"/>
          <w:lang w:val="en-GB"/>
        </w:rPr>
        <w:t xml:space="preserve"> </w:t>
      </w:r>
      <w:r w:rsidRPr="0051039E">
        <w:rPr>
          <w:rFonts w:eastAsia="Calibri"/>
          <w:lang w:val="en-GB"/>
        </w:rPr>
        <w:t>This resulted in many consumers not considering GM in their buying decision</w:t>
      </w:r>
      <w:r w:rsidR="00172ED1">
        <w:rPr>
          <w:rFonts w:eastAsia="Calibri"/>
          <w:lang w:val="en-GB"/>
        </w:rPr>
        <w:t>s</w:t>
      </w:r>
      <w:r w:rsidRPr="0051039E">
        <w:rPr>
          <w:rFonts w:eastAsia="Calibri"/>
          <w:lang w:val="en-GB"/>
        </w:rPr>
        <w:t xml:space="preserve"> due to </w:t>
      </w:r>
      <w:r w:rsidR="00172ED1">
        <w:rPr>
          <w:rFonts w:eastAsia="Calibri"/>
          <w:lang w:val="en-GB"/>
        </w:rPr>
        <w:t>its high</w:t>
      </w:r>
      <w:r w:rsidRPr="0051039E">
        <w:rPr>
          <w:rFonts w:eastAsia="Calibri"/>
          <w:lang w:val="en-GB"/>
        </w:rPr>
        <w:t xml:space="preserve"> price reputation.</w:t>
      </w:r>
      <w:r w:rsidRPr="0051039E">
        <w:rPr>
          <w:rFonts w:eastAsia="Calibri"/>
          <w:sz w:val="24"/>
          <w:szCs w:val="24"/>
          <w:lang w:val="en-GB"/>
        </w:rPr>
        <w:t xml:space="preserve"> </w:t>
      </w:r>
      <w:r w:rsidRPr="0051039E">
        <w:rPr>
          <w:rFonts w:eastAsia="Calibri"/>
          <w:lang w:val="en-GB"/>
        </w:rPr>
        <w:t xml:space="preserve">GM’s marketing and pricing strategy </w:t>
      </w:r>
      <w:r w:rsidR="00FF6A83">
        <w:rPr>
          <w:rFonts w:eastAsia="Calibri"/>
          <w:lang w:val="en-GB"/>
        </w:rPr>
        <w:t>emphasized</w:t>
      </w:r>
      <w:r w:rsidRPr="0051039E">
        <w:rPr>
          <w:rFonts w:eastAsia="Calibri"/>
          <w:lang w:val="en-GB"/>
        </w:rPr>
        <w:t xml:space="preserve"> price and incentives, </w:t>
      </w:r>
      <w:r w:rsidR="00172ED1">
        <w:rPr>
          <w:rFonts w:eastAsia="Calibri"/>
          <w:lang w:val="en-GB"/>
        </w:rPr>
        <w:t>rather than product</w:t>
      </w:r>
      <w:r w:rsidRPr="0051039E">
        <w:rPr>
          <w:rFonts w:eastAsia="Calibri"/>
          <w:lang w:val="en-GB"/>
        </w:rPr>
        <w:t xml:space="preserve"> quality.</w:t>
      </w:r>
      <w:r w:rsidR="00382558" w:rsidRPr="0051039E">
        <w:rPr>
          <w:rFonts w:eastAsia="Calibri"/>
          <w:lang w:val="en-GB"/>
        </w:rPr>
        <w:t xml:space="preserve"> </w:t>
      </w:r>
      <w:r w:rsidRPr="0051039E">
        <w:rPr>
          <w:rFonts w:eastAsia="Calibri"/>
          <w:lang w:val="en-GB"/>
        </w:rPr>
        <w:t>A</w:t>
      </w:r>
      <w:r w:rsidR="00C75C36">
        <w:rPr>
          <w:rFonts w:eastAsia="Calibri"/>
          <w:lang w:val="en-GB"/>
        </w:rPr>
        <w:t>ccording to</w:t>
      </w:r>
      <w:r w:rsidRPr="0051039E">
        <w:rPr>
          <w:rFonts w:eastAsia="Calibri"/>
          <w:lang w:val="en-GB"/>
        </w:rPr>
        <w:t xml:space="preserve"> Jesse Toprak, </w:t>
      </w:r>
      <w:r w:rsidR="00C75C36">
        <w:rPr>
          <w:rFonts w:eastAsia="Calibri"/>
          <w:lang w:val="en-GB"/>
        </w:rPr>
        <w:t>founder and CEO</w:t>
      </w:r>
      <w:r w:rsidRPr="0051039E">
        <w:rPr>
          <w:rFonts w:eastAsia="Calibri"/>
          <w:lang w:val="en-GB"/>
        </w:rPr>
        <w:t xml:space="preserve"> </w:t>
      </w:r>
      <w:r w:rsidR="00FF6A83">
        <w:rPr>
          <w:rFonts w:eastAsia="Calibri"/>
          <w:lang w:val="en-GB"/>
        </w:rPr>
        <w:t xml:space="preserve">of </w:t>
      </w:r>
      <w:r w:rsidR="00C75C36">
        <w:rPr>
          <w:rFonts w:eastAsia="Calibri"/>
          <w:lang w:val="en-GB"/>
        </w:rPr>
        <w:t>CarHub</w:t>
      </w:r>
      <w:r w:rsidRPr="0051039E">
        <w:rPr>
          <w:rFonts w:eastAsia="Calibri"/>
          <w:lang w:val="en-GB"/>
        </w:rPr>
        <w:t xml:space="preserve">, </w:t>
      </w:r>
      <w:r w:rsidR="00C75C36">
        <w:rPr>
          <w:rFonts w:eastAsia="Calibri"/>
          <w:lang w:val="en-GB"/>
        </w:rPr>
        <w:t>“</w:t>
      </w:r>
      <w:r w:rsidRPr="0051039E">
        <w:rPr>
          <w:rFonts w:eastAsia="Calibri"/>
          <w:lang w:val="en-GB"/>
        </w:rPr>
        <w:t>If you're constantly advertising the deal, and the car is in the background, that's not a viable strategy</w:t>
      </w:r>
      <w:r w:rsidR="00C75C36">
        <w:rPr>
          <w:rFonts w:eastAsia="Calibri"/>
          <w:lang w:val="en-GB"/>
        </w:rPr>
        <w:t>.</w:t>
      </w:r>
      <w:r w:rsidRPr="0051039E">
        <w:rPr>
          <w:rFonts w:eastAsia="Calibri"/>
          <w:lang w:val="en-GB"/>
        </w:rPr>
        <w:t>”</w:t>
      </w:r>
      <w:r w:rsidRPr="0051039E">
        <w:rPr>
          <w:rFonts w:eastAsia="Calibri"/>
          <w:vertAlign w:val="superscript"/>
          <w:lang w:val="en-GB"/>
        </w:rPr>
        <w:endnoteReference w:id="24"/>
      </w:r>
    </w:p>
    <w:p w14:paraId="06CBD5E5" w14:textId="77777777" w:rsidR="00D751FB" w:rsidRPr="0051039E" w:rsidRDefault="00D751FB" w:rsidP="00D751FB">
      <w:pPr>
        <w:pStyle w:val="BodyTextMain"/>
        <w:rPr>
          <w:rFonts w:eastAsia="Calibri"/>
          <w:lang w:val="en-GB"/>
        </w:rPr>
      </w:pPr>
    </w:p>
    <w:p w14:paraId="60EE1E39" w14:textId="77777777" w:rsidR="00D751FB" w:rsidRPr="0051039E" w:rsidRDefault="00D751FB" w:rsidP="00D751FB">
      <w:pPr>
        <w:pStyle w:val="BodyTextMain"/>
        <w:rPr>
          <w:rFonts w:eastAsia="Calibri"/>
          <w:lang w:val="en-GB"/>
        </w:rPr>
      </w:pPr>
    </w:p>
    <w:p w14:paraId="54D963CB" w14:textId="26E7D7E7" w:rsidR="00D751FB" w:rsidRPr="0051039E" w:rsidRDefault="00D751FB" w:rsidP="00D751FB">
      <w:pPr>
        <w:pStyle w:val="Casehead2"/>
        <w:rPr>
          <w:lang w:val="en-GB" w:eastAsia="en-CA"/>
        </w:rPr>
      </w:pPr>
      <w:r w:rsidRPr="0051039E">
        <w:rPr>
          <w:lang w:val="en-GB" w:eastAsia="en-CA"/>
        </w:rPr>
        <w:t>Reliance of Pickup Trucks and S</w:t>
      </w:r>
      <w:r w:rsidR="00AD2A9B">
        <w:rPr>
          <w:lang w:val="en-GB" w:eastAsia="en-CA"/>
        </w:rPr>
        <w:t xml:space="preserve">port </w:t>
      </w:r>
      <w:r w:rsidRPr="0051039E">
        <w:rPr>
          <w:lang w:val="en-GB" w:eastAsia="en-CA"/>
        </w:rPr>
        <w:t>U</w:t>
      </w:r>
      <w:r w:rsidR="00AD2A9B">
        <w:rPr>
          <w:lang w:val="en-GB" w:eastAsia="en-CA"/>
        </w:rPr>
        <w:t xml:space="preserve">tility </w:t>
      </w:r>
      <w:r w:rsidRPr="0051039E">
        <w:rPr>
          <w:lang w:val="en-GB" w:eastAsia="en-CA"/>
        </w:rPr>
        <w:t>V</w:t>
      </w:r>
      <w:r w:rsidR="00AD2A9B">
        <w:rPr>
          <w:lang w:val="en-GB" w:eastAsia="en-CA"/>
        </w:rPr>
        <w:t>ehicle</w:t>
      </w:r>
      <w:r w:rsidRPr="0051039E">
        <w:rPr>
          <w:lang w:val="en-GB" w:eastAsia="en-CA"/>
        </w:rPr>
        <w:t>s</w:t>
      </w:r>
    </w:p>
    <w:p w14:paraId="2A0A6765" w14:textId="77777777" w:rsidR="00D751FB" w:rsidRPr="0051039E" w:rsidRDefault="00D751FB" w:rsidP="00D751FB">
      <w:pPr>
        <w:pStyle w:val="BodyTextMain"/>
        <w:rPr>
          <w:lang w:val="en-GB" w:eastAsia="en-CA"/>
        </w:rPr>
      </w:pPr>
    </w:p>
    <w:p w14:paraId="32D64607" w14:textId="1F325075" w:rsidR="00D751FB" w:rsidRPr="0097590C" w:rsidRDefault="00D751FB" w:rsidP="00D751FB">
      <w:pPr>
        <w:pStyle w:val="BodyTextMain"/>
        <w:rPr>
          <w:spacing w:val="-2"/>
          <w:kern w:val="22"/>
          <w:lang w:val="en-GB" w:eastAsia="en-CA"/>
        </w:rPr>
      </w:pPr>
      <w:r w:rsidRPr="0097590C">
        <w:rPr>
          <w:spacing w:val="-2"/>
          <w:kern w:val="22"/>
          <w:lang w:val="en-GB" w:eastAsia="en-CA"/>
        </w:rPr>
        <w:t xml:space="preserve">When </w:t>
      </w:r>
      <w:r w:rsidR="002B4193" w:rsidRPr="0097590C">
        <w:rPr>
          <w:spacing w:val="-2"/>
          <w:kern w:val="22"/>
          <w:lang w:val="en-GB" w:eastAsia="en-CA"/>
        </w:rPr>
        <w:t>gasoline (</w:t>
      </w:r>
      <w:r w:rsidRPr="0097590C">
        <w:rPr>
          <w:spacing w:val="-2"/>
          <w:kern w:val="22"/>
          <w:lang w:val="en-GB" w:eastAsia="en-CA"/>
        </w:rPr>
        <w:t>gas</w:t>
      </w:r>
      <w:r w:rsidR="002B4193" w:rsidRPr="0097590C">
        <w:rPr>
          <w:spacing w:val="-2"/>
          <w:kern w:val="22"/>
          <w:lang w:val="en-GB" w:eastAsia="en-CA"/>
        </w:rPr>
        <w:t>)</w:t>
      </w:r>
      <w:r w:rsidRPr="0097590C">
        <w:rPr>
          <w:spacing w:val="-2"/>
          <w:kern w:val="22"/>
          <w:lang w:val="en-GB" w:eastAsia="en-CA"/>
        </w:rPr>
        <w:t xml:space="preserve"> prices were low, </w:t>
      </w:r>
      <w:r w:rsidR="00AD2A9B" w:rsidRPr="0097590C">
        <w:rPr>
          <w:spacing w:val="-2"/>
          <w:kern w:val="22"/>
          <w:lang w:val="en-GB" w:eastAsia="en-CA"/>
        </w:rPr>
        <w:t xml:space="preserve">GM and other </w:t>
      </w:r>
      <w:r w:rsidRPr="0097590C">
        <w:rPr>
          <w:spacing w:val="-2"/>
          <w:kern w:val="22"/>
          <w:lang w:val="en-GB" w:eastAsia="en-CA"/>
        </w:rPr>
        <w:t>North American automa</w:t>
      </w:r>
      <w:r w:rsidR="00AD2A9B" w:rsidRPr="0097590C">
        <w:rPr>
          <w:spacing w:val="-2"/>
          <w:kern w:val="22"/>
          <w:lang w:val="en-GB" w:eastAsia="en-CA"/>
        </w:rPr>
        <w:t xml:space="preserve">kers </w:t>
      </w:r>
      <w:r w:rsidRPr="0097590C">
        <w:rPr>
          <w:spacing w:val="-2"/>
          <w:kern w:val="22"/>
          <w:lang w:val="en-GB" w:eastAsia="en-CA"/>
        </w:rPr>
        <w:t>reli</w:t>
      </w:r>
      <w:r w:rsidR="00AD2A9B" w:rsidRPr="0097590C">
        <w:rPr>
          <w:spacing w:val="-2"/>
          <w:kern w:val="22"/>
          <w:lang w:val="en-GB" w:eastAsia="en-CA"/>
        </w:rPr>
        <w:t>ed heavily</w:t>
      </w:r>
      <w:r w:rsidRPr="0097590C">
        <w:rPr>
          <w:spacing w:val="-2"/>
          <w:kern w:val="22"/>
          <w:lang w:val="en-GB" w:eastAsia="en-CA"/>
        </w:rPr>
        <w:t xml:space="preserve"> on selling high-margin pickup</w:t>
      </w:r>
      <w:r w:rsidR="00AD2A9B" w:rsidRPr="0097590C">
        <w:rPr>
          <w:spacing w:val="-2"/>
          <w:kern w:val="22"/>
          <w:lang w:val="en-GB" w:eastAsia="en-CA"/>
        </w:rPr>
        <w:t xml:space="preserve"> truck</w:t>
      </w:r>
      <w:r w:rsidRPr="0097590C">
        <w:rPr>
          <w:spacing w:val="-2"/>
          <w:kern w:val="22"/>
          <w:lang w:val="en-GB" w:eastAsia="en-CA"/>
        </w:rPr>
        <w:t xml:space="preserve">s and </w:t>
      </w:r>
      <w:r w:rsidR="00AD2A9B" w:rsidRPr="0097590C">
        <w:rPr>
          <w:spacing w:val="-2"/>
          <w:kern w:val="22"/>
          <w:lang w:val="en-GB" w:eastAsia="en-CA"/>
        </w:rPr>
        <w:t>sport utility vehicles (</w:t>
      </w:r>
      <w:r w:rsidRPr="0097590C">
        <w:rPr>
          <w:spacing w:val="-2"/>
          <w:kern w:val="22"/>
          <w:lang w:val="en-GB" w:eastAsia="en-CA"/>
        </w:rPr>
        <w:t>SUV</w:t>
      </w:r>
      <w:r w:rsidR="00AD2A9B" w:rsidRPr="0097590C">
        <w:rPr>
          <w:spacing w:val="-2"/>
          <w:kern w:val="22"/>
          <w:lang w:val="en-GB" w:eastAsia="en-CA"/>
        </w:rPr>
        <w:t>)</w:t>
      </w:r>
      <w:r w:rsidRPr="0097590C">
        <w:rPr>
          <w:spacing w:val="-2"/>
          <w:kern w:val="22"/>
          <w:lang w:val="en-GB" w:eastAsia="en-CA"/>
        </w:rPr>
        <w:t>.</w:t>
      </w:r>
      <w:r w:rsidR="00382558" w:rsidRPr="0097590C">
        <w:rPr>
          <w:spacing w:val="-2"/>
          <w:kern w:val="22"/>
          <w:lang w:val="en-GB" w:eastAsia="en-CA"/>
        </w:rPr>
        <w:t xml:space="preserve"> </w:t>
      </w:r>
      <w:r w:rsidRPr="0097590C">
        <w:rPr>
          <w:spacing w:val="-2"/>
          <w:kern w:val="22"/>
          <w:lang w:val="en-GB" w:eastAsia="en-CA"/>
        </w:rPr>
        <w:t xml:space="preserve">As </w:t>
      </w:r>
      <w:r w:rsidR="00E70A21">
        <w:rPr>
          <w:spacing w:val="-2"/>
          <w:kern w:val="22"/>
          <w:lang w:val="en-GB" w:eastAsia="en-CA"/>
        </w:rPr>
        <w:t>US</w:t>
      </w:r>
      <w:r w:rsidR="00AD2A9B" w:rsidRPr="0097590C">
        <w:rPr>
          <w:spacing w:val="-2"/>
          <w:kern w:val="22"/>
          <w:lang w:val="en-GB" w:eastAsia="en-CA"/>
        </w:rPr>
        <w:t xml:space="preserve"> </w:t>
      </w:r>
      <w:r w:rsidRPr="0097590C">
        <w:rPr>
          <w:spacing w:val="-2"/>
          <w:kern w:val="22"/>
          <w:lang w:val="en-GB" w:eastAsia="en-CA"/>
        </w:rPr>
        <w:t xml:space="preserve">gas prices </w:t>
      </w:r>
      <w:r w:rsidR="00AD2A9B" w:rsidRPr="0097590C">
        <w:rPr>
          <w:spacing w:val="-2"/>
          <w:kern w:val="22"/>
          <w:lang w:val="en-GB" w:eastAsia="en-CA"/>
        </w:rPr>
        <w:t>rose steadily to over</w:t>
      </w:r>
      <w:r w:rsidRPr="0097590C">
        <w:rPr>
          <w:spacing w:val="-2"/>
          <w:kern w:val="22"/>
          <w:lang w:val="en-GB" w:eastAsia="en-CA"/>
        </w:rPr>
        <w:t xml:space="preserve"> $4 per gallon</w:t>
      </w:r>
      <w:r w:rsidR="002B4193" w:rsidRPr="0097590C">
        <w:rPr>
          <w:spacing w:val="-2"/>
          <w:kern w:val="22"/>
          <w:lang w:val="en-GB" w:eastAsia="en-CA"/>
        </w:rPr>
        <w:t xml:space="preserve"> ($1 per litre</w:t>
      </w:r>
      <w:r w:rsidR="00FF6A83" w:rsidRPr="0097590C">
        <w:rPr>
          <w:spacing w:val="-2"/>
          <w:kern w:val="22"/>
          <w:lang w:val="en-GB" w:eastAsia="en-CA"/>
        </w:rPr>
        <w:t>)</w:t>
      </w:r>
      <w:r w:rsidRPr="0097590C">
        <w:rPr>
          <w:spacing w:val="-2"/>
          <w:kern w:val="22"/>
          <w:lang w:val="en-GB" w:eastAsia="en-CA"/>
        </w:rPr>
        <w:t xml:space="preserve"> in 2008</w:t>
      </w:r>
      <w:r w:rsidR="00AD2A9B" w:rsidRPr="0097590C">
        <w:rPr>
          <w:spacing w:val="-2"/>
          <w:kern w:val="22"/>
          <w:lang w:val="en-GB" w:eastAsia="en-CA"/>
        </w:rPr>
        <w:t>,</w:t>
      </w:r>
      <w:r w:rsidRPr="0097590C">
        <w:rPr>
          <w:spacing w:val="-2"/>
          <w:kern w:val="22"/>
          <w:lang w:val="en-GB" w:eastAsia="en-CA"/>
        </w:rPr>
        <w:t xml:space="preserve"> and </w:t>
      </w:r>
      <w:r w:rsidR="00AD2A9B" w:rsidRPr="0097590C">
        <w:rPr>
          <w:spacing w:val="-2"/>
          <w:kern w:val="22"/>
          <w:lang w:val="en-GB" w:eastAsia="en-CA"/>
        </w:rPr>
        <w:t xml:space="preserve">as </w:t>
      </w:r>
      <w:r w:rsidRPr="0097590C">
        <w:rPr>
          <w:spacing w:val="-2"/>
          <w:kern w:val="22"/>
          <w:lang w:val="en-GB" w:eastAsia="en-CA"/>
        </w:rPr>
        <w:t xml:space="preserve">the Great Recession </w:t>
      </w:r>
      <w:r w:rsidR="00AD2A9B" w:rsidRPr="0097590C">
        <w:rPr>
          <w:spacing w:val="-2"/>
          <w:kern w:val="22"/>
          <w:lang w:val="en-GB" w:eastAsia="en-CA"/>
        </w:rPr>
        <w:t xml:space="preserve">was </w:t>
      </w:r>
      <w:r w:rsidRPr="0097590C">
        <w:rPr>
          <w:spacing w:val="-2"/>
          <w:kern w:val="22"/>
          <w:lang w:val="en-GB" w:eastAsia="en-CA"/>
        </w:rPr>
        <w:t>beg</w:t>
      </w:r>
      <w:r w:rsidR="00AD2A9B" w:rsidRPr="0097590C">
        <w:rPr>
          <w:spacing w:val="-2"/>
          <w:kern w:val="22"/>
          <w:lang w:val="en-GB" w:eastAsia="en-CA"/>
        </w:rPr>
        <w:t>inning</w:t>
      </w:r>
      <w:r w:rsidRPr="0097590C">
        <w:rPr>
          <w:spacing w:val="-2"/>
          <w:kern w:val="22"/>
          <w:lang w:val="en-GB" w:eastAsia="en-CA"/>
        </w:rPr>
        <w:t>, GM’s “reliance on pickups and SUVs turned deadly</w:t>
      </w:r>
      <w:r w:rsidR="00AD2A9B" w:rsidRPr="0097590C">
        <w:rPr>
          <w:spacing w:val="-2"/>
          <w:kern w:val="22"/>
          <w:lang w:val="en-GB" w:eastAsia="en-CA"/>
        </w:rPr>
        <w:t>.</w:t>
      </w:r>
      <w:r w:rsidRPr="0097590C">
        <w:rPr>
          <w:spacing w:val="-2"/>
          <w:kern w:val="22"/>
          <w:lang w:val="en-GB" w:eastAsia="en-CA"/>
        </w:rPr>
        <w:t>”</w:t>
      </w:r>
      <w:r w:rsidRPr="0097590C">
        <w:rPr>
          <w:spacing w:val="-2"/>
          <w:kern w:val="22"/>
          <w:vertAlign w:val="superscript"/>
          <w:lang w:val="en-GB" w:eastAsia="en-CA"/>
        </w:rPr>
        <w:endnoteReference w:id="25"/>
      </w:r>
      <w:r w:rsidR="00AD2A9B" w:rsidRPr="0097590C">
        <w:rPr>
          <w:spacing w:val="-2"/>
          <w:kern w:val="22"/>
          <w:lang w:val="en-GB" w:eastAsia="en-CA"/>
        </w:rPr>
        <w:t xml:space="preserve"> </w:t>
      </w:r>
      <w:r w:rsidRPr="0097590C">
        <w:rPr>
          <w:spacing w:val="-2"/>
          <w:kern w:val="22"/>
          <w:lang w:val="en-GB" w:eastAsia="en-CA"/>
        </w:rPr>
        <w:t>North American light vehicle sales fell by 21 per</w:t>
      </w:r>
      <w:r w:rsidR="00AD2A9B" w:rsidRPr="0097590C">
        <w:rPr>
          <w:spacing w:val="-2"/>
          <w:kern w:val="22"/>
          <w:lang w:val="en-GB" w:eastAsia="en-CA"/>
        </w:rPr>
        <w:t xml:space="preserve"> </w:t>
      </w:r>
      <w:r w:rsidRPr="0097590C">
        <w:rPr>
          <w:spacing w:val="-2"/>
          <w:kern w:val="22"/>
          <w:lang w:val="en-GB" w:eastAsia="en-CA"/>
        </w:rPr>
        <w:t>cent in 2009</w:t>
      </w:r>
      <w:r w:rsidR="00AD2A9B" w:rsidRPr="0097590C">
        <w:rPr>
          <w:spacing w:val="-2"/>
          <w:kern w:val="22"/>
          <w:lang w:val="en-GB" w:eastAsia="en-CA"/>
        </w:rPr>
        <w:t>,</w:t>
      </w:r>
      <w:r w:rsidRPr="0097590C">
        <w:rPr>
          <w:spacing w:val="-2"/>
          <w:kern w:val="22"/>
          <w:vertAlign w:val="superscript"/>
          <w:lang w:val="en-GB" w:eastAsia="en-CA"/>
        </w:rPr>
        <w:endnoteReference w:id="26"/>
      </w:r>
      <w:r w:rsidRPr="0097590C">
        <w:rPr>
          <w:spacing w:val="-2"/>
          <w:kern w:val="22"/>
          <w:lang w:val="en-GB" w:eastAsia="en-CA"/>
        </w:rPr>
        <w:t xml:space="preserve"> with GM taking the brunt of that decline.</w:t>
      </w:r>
      <w:r w:rsidR="00382558" w:rsidRPr="0097590C">
        <w:rPr>
          <w:spacing w:val="-2"/>
          <w:kern w:val="22"/>
          <w:lang w:val="en-GB" w:eastAsia="en-CA"/>
        </w:rPr>
        <w:t xml:space="preserve"> </w:t>
      </w:r>
      <w:r w:rsidRPr="0097590C">
        <w:rPr>
          <w:i/>
          <w:spacing w:val="-2"/>
          <w:kern w:val="22"/>
          <w:lang w:val="en-GB" w:eastAsia="en-CA"/>
        </w:rPr>
        <w:t>The Economist</w:t>
      </w:r>
      <w:r w:rsidRPr="0097590C">
        <w:rPr>
          <w:spacing w:val="-2"/>
          <w:kern w:val="22"/>
          <w:lang w:val="en-GB" w:eastAsia="en-CA"/>
        </w:rPr>
        <w:t xml:space="preserve"> </w:t>
      </w:r>
      <w:r w:rsidR="00AD2A9B" w:rsidRPr="0097590C">
        <w:rPr>
          <w:spacing w:val="-2"/>
          <w:kern w:val="22"/>
          <w:lang w:val="en-GB" w:eastAsia="en-CA"/>
        </w:rPr>
        <w:t>summarized the escalating problems</w:t>
      </w:r>
      <w:r w:rsidRPr="0097590C">
        <w:rPr>
          <w:spacing w:val="-2"/>
          <w:kern w:val="22"/>
          <w:lang w:val="en-GB" w:eastAsia="en-CA"/>
        </w:rPr>
        <w:t xml:space="preserve"> in </w:t>
      </w:r>
      <w:r w:rsidR="00AD2A9B" w:rsidRPr="0097590C">
        <w:rPr>
          <w:spacing w:val="-2"/>
          <w:kern w:val="22"/>
          <w:lang w:val="en-GB" w:eastAsia="en-CA"/>
        </w:rPr>
        <w:t>a</w:t>
      </w:r>
      <w:r w:rsidRPr="0097590C">
        <w:rPr>
          <w:spacing w:val="-2"/>
          <w:kern w:val="22"/>
          <w:lang w:val="en-GB" w:eastAsia="en-CA"/>
        </w:rPr>
        <w:t xml:space="preserve"> June 2009 article</w:t>
      </w:r>
      <w:r w:rsidR="00AD2A9B" w:rsidRPr="0097590C">
        <w:rPr>
          <w:spacing w:val="-2"/>
          <w:kern w:val="22"/>
          <w:lang w:val="en-GB" w:eastAsia="en-CA"/>
        </w:rPr>
        <w:t xml:space="preserve"> titled</w:t>
      </w:r>
      <w:r w:rsidRPr="0097590C">
        <w:rPr>
          <w:spacing w:val="-2"/>
          <w:kern w:val="22"/>
          <w:lang w:val="en-GB" w:eastAsia="en-CA"/>
        </w:rPr>
        <w:t xml:space="preserve"> </w:t>
      </w:r>
      <w:r w:rsidR="00362F1B">
        <w:rPr>
          <w:spacing w:val="-2"/>
          <w:kern w:val="22"/>
          <w:lang w:val="en-GB" w:eastAsia="en-CA"/>
        </w:rPr>
        <w:t>“</w:t>
      </w:r>
      <w:r w:rsidRPr="00152AE1">
        <w:rPr>
          <w:spacing w:val="-2"/>
          <w:kern w:val="22"/>
          <w:lang w:val="en-GB" w:eastAsia="en-CA"/>
        </w:rPr>
        <w:t xml:space="preserve">A </w:t>
      </w:r>
      <w:r w:rsidR="00362F1B" w:rsidRPr="00152AE1">
        <w:rPr>
          <w:spacing w:val="-2"/>
          <w:kern w:val="22"/>
          <w:lang w:val="en-GB" w:eastAsia="en-CA"/>
        </w:rPr>
        <w:t>g</w:t>
      </w:r>
      <w:r w:rsidRPr="00152AE1">
        <w:rPr>
          <w:spacing w:val="-2"/>
          <w:kern w:val="22"/>
          <w:lang w:val="en-GB" w:eastAsia="en-CA"/>
        </w:rPr>
        <w:t xml:space="preserve">iant </w:t>
      </w:r>
      <w:r w:rsidR="00362F1B" w:rsidRPr="00152AE1">
        <w:rPr>
          <w:spacing w:val="-2"/>
          <w:kern w:val="22"/>
          <w:lang w:val="en-GB" w:eastAsia="en-CA"/>
        </w:rPr>
        <w:t>f</w:t>
      </w:r>
      <w:r w:rsidRPr="00152AE1">
        <w:rPr>
          <w:spacing w:val="-2"/>
          <w:kern w:val="22"/>
          <w:lang w:val="en-GB" w:eastAsia="en-CA"/>
        </w:rPr>
        <w:t>alls</w:t>
      </w:r>
      <w:r w:rsidR="00362F1B">
        <w:rPr>
          <w:spacing w:val="-2"/>
          <w:kern w:val="22"/>
          <w:lang w:val="en-GB" w:eastAsia="en-CA"/>
        </w:rPr>
        <w:t>”</w:t>
      </w:r>
      <w:r w:rsidRPr="00362F1B">
        <w:rPr>
          <w:spacing w:val="-2"/>
          <w:kern w:val="22"/>
          <w:lang w:val="en-GB" w:eastAsia="en-CA"/>
        </w:rPr>
        <w:t>:</w:t>
      </w:r>
      <w:r w:rsidRPr="0097590C">
        <w:rPr>
          <w:spacing w:val="-2"/>
          <w:kern w:val="22"/>
          <w:lang w:val="en-GB" w:eastAsia="en-CA"/>
        </w:rPr>
        <w:t xml:space="preserve"> </w:t>
      </w:r>
    </w:p>
    <w:p w14:paraId="614947DE" w14:textId="77777777" w:rsidR="00D751FB" w:rsidRPr="0051039E" w:rsidRDefault="00D751FB" w:rsidP="00D751FB">
      <w:pPr>
        <w:pStyle w:val="BodyTextMain"/>
        <w:rPr>
          <w:lang w:val="en-GB" w:eastAsia="en-CA"/>
        </w:rPr>
      </w:pPr>
    </w:p>
    <w:p w14:paraId="5356FADF" w14:textId="610BC85D" w:rsidR="00D751FB" w:rsidRPr="0097590C" w:rsidRDefault="00D751FB" w:rsidP="00D751FB">
      <w:pPr>
        <w:pStyle w:val="BodyTextMain"/>
        <w:ind w:left="720"/>
        <w:rPr>
          <w:spacing w:val="-2"/>
          <w:kern w:val="22"/>
          <w:lang w:val="en-GB" w:eastAsia="en-CA"/>
        </w:rPr>
      </w:pPr>
      <w:r w:rsidRPr="0097590C">
        <w:rPr>
          <w:spacing w:val="-2"/>
          <w:kern w:val="22"/>
          <w:lang w:val="en-GB" w:eastAsia="en-CA"/>
        </w:rPr>
        <w:t>With a gallon costing $4, demand for the big pickups and SUVs that provided most of Detroit</w:t>
      </w:r>
      <w:r w:rsidR="00AD2A9B" w:rsidRPr="0097590C">
        <w:rPr>
          <w:spacing w:val="-2"/>
          <w:kern w:val="22"/>
          <w:lang w:val="en-GB" w:eastAsia="en-CA"/>
        </w:rPr>
        <w:t>’</w:t>
      </w:r>
      <w:r w:rsidRPr="0097590C">
        <w:rPr>
          <w:spacing w:val="-2"/>
          <w:kern w:val="22"/>
          <w:lang w:val="en-GB" w:eastAsia="en-CA"/>
        </w:rPr>
        <w:t>s profits evaporated. In the scramble to swap gas-guzzlers for smaller vehicles, residual values collapsed, leaving GM</w:t>
      </w:r>
      <w:r w:rsidR="00AD2A9B" w:rsidRPr="0097590C">
        <w:rPr>
          <w:spacing w:val="-2"/>
          <w:kern w:val="22"/>
          <w:lang w:val="en-GB" w:eastAsia="en-CA"/>
        </w:rPr>
        <w:t>’</w:t>
      </w:r>
      <w:r w:rsidRPr="0097590C">
        <w:rPr>
          <w:spacing w:val="-2"/>
          <w:kern w:val="22"/>
          <w:lang w:val="en-GB" w:eastAsia="en-CA"/>
        </w:rPr>
        <w:t>s finance arm with huge losses on cars returned after lease. After Lehman failed, car markets were clobbered around the world, but America</w:t>
      </w:r>
      <w:r w:rsidR="00AD2A9B" w:rsidRPr="0097590C">
        <w:rPr>
          <w:spacing w:val="-2"/>
          <w:kern w:val="22"/>
          <w:lang w:val="en-GB" w:eastAsia="en-CA"/>
        </w:rPr>
        <w:t>’</w:t>
      </w:r>
      <w:r w:rsidRPr="0097590C">
        <w:rPr>
          <w:spacing w:val="-2"/>
          <w:kern w:val="22"/>
          <w:lang w:val="en-GB" w:eastAsia="en-CA"/>
        </w:rPr>
        <w:t>s was hardest hit. Sales of cars and light trucks in December 2008 were 35.5 percent lower than the year before. After four years of restructuring efforts during which it had lost more than $80 billion, GM was too enfeebled to stagger on.</w:t>
      </w:r>
      <w:r w:rsidRPr="0097590C">
        <w:rPr>
          <w:spacing w:val="-2"/>
          <w:kern w:val="22"/>
          <w:vertAlign w:val="superscript"/>
          <w:lang w:val="en-GB" w:eastAsia="en-CA"/>
        </w:rPr>
        <w:endnoteReference w:id="27"/>
      </w:r>
    </w:p>
    <w:p w14:paraId="04861FA8" w14:textId="5A317790" w:rsidR="00D751FB" w:rsidRPr="0051039E" w:rsidRDefault="00D751FB" w:rsidP="00D751FB">
      <w:pPr>
        <w:pStyle w:val="BodyTextMain"/>
        <w:rPr>
          <w:lang w:val="en-GB" w:eastAsia="en-CA"/>
        </w:rPr>
      </w:pPr>
      <w:r w:rsidRPr="0051039E">
        <w:rPr>
          <w:lang w:val="en-GB" w:eastAsia="en-CA"/>
        </w:rPr>
        <w:lastRenderedPageBreak/>
        <w:t>Even more recently, GM continued to rel</w:t>
      </w:r>
      <w:r w:rsidR="00AD2A9B">
        <w:rPr>
          <w:lang w:val="en-GB" w:eastAsia="en-CA"/>
        </w:rPr>
        <w:t>y heavily</w:t>
      </w:r>
      <w:r w:rsidRPr="0051039E">
        <w:rPr>
          <w:lang w:val="en-GB" w:eastAsia="en-CA"/>
        </w:rPr>
        <w:t xml:space="preserve"> on SUV and truck sales in North America</w:t>
      </w:r>
      <w:r w:rsidR="00447284">
        <w:rPr>
          <w:lang w:val="en-GB" w:eastAsia="en-CA"/>
        </w:rPr>
        <w:t>. I</w:t>
      </w:r>
      <w:r w:rsidRPr="0051039E">
        <w:rPr>
          <w:lang w:val="en-GB" w:eastAsia="en-CA"/>
        </w:rPr>
        <w:t>n 2017, cars only represented 23.6 per</w:t>
      </w:r>
      <w:r w:rsidR="00447284">
        <w:rPr>
          <w:lang w:val="en-GB" w:eastAsia="en-CA"/>
        </w:rPr>
        <w:t xml:space="preserve"> </w:t>
      </w:r>
      <w:r w:rsidRPr="0051039E">
        <w:rPr>
          <w:lang w:val="en-GB" w:eastAsia="en-CA"/>
        </w:rPr>
        <w:t>cent of vehicle sales (</w:t>
      </w:r>
      <w:r w:rsidR="00447284">
        <w:rPr>
          <w:lang w:val="en-GB" w:eastAsia="en-CA"/>
        </w:rPr>
        <w:t>see</w:t>
      </w:r>
      <w:r w:rsidRPr="0051039E">
        <w:rPr>
          <w:lang w:val="en-GB" w:eastAsia="en-CA"/>
        </w:rPr>
        <w:t xml:space="preserve"> Exhibit 1).</w:t>
      </w:r>
      <w:r w:rsidR="00447284">
        <w:rPr>
          <w:lang w:val="en-GB" w:eastAsia="en-CA"/>
        </w:rPr>
        <w:t xml:space="preserve"> P</w:t>
      </w:r>
      <w:r w:rsidRPr="0051039E">
        <w:rPr>
          <w:lang w:val="en-GB" w:eastAsia="en-CA"/>
        </w:rPr>
        <w:t xml:space="preserve">ickup trucks continued to be protected by </w:t>
      </w:r>
      <w:r w:rsidR="00447284">
        <w:rPr>
          <w:lang w:val="en-GB" w:eastAsia="en-CA"/>
        </w:rPr>
        <w:t>a</w:t>
      </w:r>
      <w:r w:rsidRPr="0051039E">
        <w:rPr>
          <w:lang w:val="en-GB" w:eastAsia="en-CA"/>
        </w:rPr>
        <w:t xml:space="preserve"> 25 per</w:t>
      </w:r>
      <w:r w:rsidR="00447284">
        <w:rPr>
          <w:lang w:val="en-GB" w:eastAsia="en-CA"/>
        </w:rPr>
        <w:t xml:space="preserve"> </w:t>
      </w:r>
      <w:r w:rsidRPr="0051039E">
        <w:rPr>
          <w:lang w:val="en-GB" w:eastAsia="en-CA"/>
        </w:rPr>
        <w:t xml:space="preserve">cent </w:t>
      </w:r>
      <w:r w:rsidR="00447284">
        <w:rPr>
          <w:lang w:val="en-GB" w:eastAsia="en-CA"/>
        </w:rPr>
        <w:t xml:space="preserve">so-called </w:t>
      </w:r>
      <w:r w:rsidRPr="0051039E">
        <w:rPr>
          <w:lang w:val="en-GB" w:eastAsia="en-CA"/>
        </w:rPr>
        <w:t>“chicken tariff</w:t>
      </w:r>
      <w:r w:rsidR="00447284">
        <w:rPr>
          <w:lang w:val="en-GB" w:eastAsia="en-CA"/>
        </w:rPr>
        <w:t>,</w:t>
      </w:r>
      <w:r w:rsidRPr="0051039E">
        <w:rPr>
          <w:lang w:val="en-GB" w:eastAsia="en-CA"/>
        </w:rPr>
        <w:t xml:space="preserve">” which was instituted in 1963 </w:t>
      </w:r>
      <w:r w:rsidR="00447284">
        <w:rPr>
          <w:lang w:val="en-GB" w:eastAsia="en-CA"/>
        </w:rPr>
        <w:t>in</w:t>
      </w:r>
      <w:r w:rsidRPr="0051039E">
        <w:rPr>
          <w:lang w:val="en-GB" w:eastAsia="en-CA"/>
        </w:rPr>
        <w:t xml:space="preserve"> retaliat</w:t>
      </w:r>
      <w:r w:rsidR="00447284">
        <w:rPr>
          <w:lang w:val="en-GB" w:eastAsia="en-CA"/>
        </w:rPr>
        <w:t>ion</w:t>
      </w:r>
      <w:r w:rsidRPr="0051039E">
        <w:rPr>
          <w:lang w:val="en-GB" w:eastAsia="en-CA"/>
        </w:rPr>
        <w:t xml:space="preserve"> to European import</w:t>
      </w:r>
      <w:r w:rsidR="00FF6A83">
        <w:rPr>
          <w:lang w:val="en-GB" w:eastAsia="en-CA"/>
        </w:rPr>
        <w:t>ed</w:t>
      </w:r>
      <w:r w:rsidRPr="0051039E">
        <w:rPr>
          <w:lang w:val="en-GB" w:eastAsia="en-CA"/>
        </w:rPr>
        <w:t xml:space="preserve"> chicken tariffs.</w:t>
      </w:r>
      <w:r w:rsidRPr="0051039E">
        <w:rPr>
          <w:vertAlign w:val="superscript"/>
          <w:lang w:val="en-GB" w:eastAsia="en-CA"/>
        </w:rPr>
        <w:endnoteReference w:id="28"/>
      </w:r>
    </w:p>
    <w:p w14:paraId="0E86E38C" w14:textId="77777777" w:rsidR="00AD2A9B" w:rsidRDefault="00AD2A9B" w:rsidP="00D751FB">
      <w:pPr>
        <w:pStyle w:val="Casehead2"/>
        <w:rPr>
          <w:lang w:val="en-GB" w:eastAsia="en-CA"/>
        </w:rPr>
      </w:pPr>
    </w:p>
    <w:p w14:paraId="51EB176E" w14:textId="77777777" w:rsidR="00AD2A9B" w:rsidRDefault="00AD2A9B" w:rsidP="00D751FB">
      <w:pPr>
        <w:pStyle w:val="Casehead2"/>
        <w:rPr>
          <w:lang w:val="en-GB" w:eastAsia="en-CA"/>
        </w:rPr>
      </w:pPr>
    </w:p>
    <w:p w14:paraId="4A1D665B" w14:textId="67D42DBA" w:rsidR="00D751FB" w:rsidRPr="0051039E" w:rsidRDefault="00D751FB" w:rsidP="00D751FB">
      <w:pPr>
        <w:pStyle w:val="Casehead2"/>
        <w:rPr>
          <w:lang w:val="en-GB" w:eastAsia="en-CA"/>
        </w:rPr>
      </w:pPr>
      <w:r w:rsidRPr="0051039E">
        <w:rPr>
          <w:lang w:val="en-GB" w:eastAsia="en-CA"/>
        </w:rPr>
        <w:t>Killing the EV1 Electric Car Program</w:t>
      </w:r>
    </w:p>
    <w:p w14:paraId="1C1B8E9D" w14:textId="77777777" w:rsidR="00D751FB" w:rsidRPr="0051039E" w:rsidRDefault="00D751FB" w:rsidP="00D751FB">
      <w:pPr>
        <w:pStyle w:val="BodyTextMain"/>
        <w:rPr>
          <w:lang w:val="en-GB" w:eastAsia="en-CA"/>
        </w:rPr>
      </w:pPr>
    </w:p>
    <w:p w14:paraId="64EC8C05" w14:textId="1F018A22" w:rsidR="00D751FB" w:rsidRPr="0097590C" w:rsidRDefault="00447284" w:rsidP="00D751FB">
      <w:pPr>
        <w:pStyle w:val="BodyTextMain"/>
        <w:rPr>
          <w:spacing w:val="-2"/>
          <w:kern w:val="22"/>
          <w:lang w:val="en-GB" w:eastAsia="en-CA"/>
        </w:rPr>
      </w:pPr>
      <w:r w:rsidRPr="0097590C">
        <w:rPr>
          <w:spacing w:val="-2"/>
          <w:kern w:val="22"/>
          <w:lang w:val="en-GB" w:eastAsia="en-CA"/>
        </w:rPr>
        <w:t xml:space="preserve">Former </w:t>
      </w:r>
      <w:r w:rsidR="007224AC" w:rsidRPr="0097590C">
        <w:rPr>
          <w:spacing w:val="-2"/>
          <w:kern w:val="22"/>
          <w:lang w:val="en-GB" w:eastAsia="en-CA"/>
        </w:rPr>
        <w:t xml:space="preserve">GM </w:t>
      </w:r>
      <w:r w:rsidRPr="0097590C">
        <w:rPr>
          <w:spacing w:val="-2"/>
          <w:kern w:val="22"/>
          <w:lang w:val="en-GB" w:eastAsia="en-CA"/>
        </w:rPr>
        <w:t>CEO</w:t>
      </w:r>
      <w:r w:rsidR="007224AC" w:rsidRPr="0097590C">
        <w:rPr>
          <w:spacing w:val="-2"/>
          <w:kern w:val="22"/>
          <w:lang w:val="en-GB" w:eastAsia="en-CA"/>
        </w:rPr>
        <w:t xml:space="preserve"> </w:t>
      </w:r>
      <w:r w:rsidR="00D751FB" w:rsidRPr="0097590C">
        <w:rPr>
          <w:spacing w:val="-2"/>
          <w:kern w:val="22"/>
          <w:lang w:val="en-GB" w:eastAsia="en-CA"/>
        </w:rPr>
        <w:t xml:space="preserve">Rick Wagoner </w:t>
      </w:r>
      <w:r w:rsidR="007224AC" w:rsidRPr="0097590C">
        <w:rPr>
          <w:spacing w:val="-2"/>
          <w:kern w:val="22"/>
          <w:lang w:val="en-GB" w:eastAsia="en-CA"/>
        </w:rPr>
        <w:t>admitted that</w:t>
      </w:r>
      <w:r w:rsidR="00D751FB" w:rsidRPr="0097590C">
        <w:rPr>
          <w:spacing w:val="-2"/>
          <w:kern w:val="22"/>
          <w:lang w:val="en-GB" w:eastAsia="en-CA"/>
        </w:rPr>
        <w:t xml:space="preserve"> his biggest mistake was killing the </w:t>
      </w:r>
      <w:r w:rsidR="007224AC" w:rsidRPr="0097590C">
        <w:rPr>
          <w:spacing w:val="-2"/>
          <w:kern w:val="22"/>
          <w:lang w:val="en-GB" w:eastAsia="en-CA"/>
        </w:rPr>
        <w:t xml:space="preserve">1990s </w:t>
      </w:r>
      <w:r w:rsidR="00D751FB" w:rsidRPr="0097590C">
        <w:rPr>
          <w:spacing w:val="-2"/>
          <w:kern w:val="22"/>
          <w:lang w:val="en-GB" w:eastAsia="en-CA"/>
        </w:rPr>
        <w:t>EV1</w:t>
      </w:r>
      <w:r w:rsidR="007224AC" w:rsidRPr="0097590C">
        <w:rPr>
          <w:spacing w:val="-2"/>
          <w:kern w:val="22"/>
          <w:lang w:val="en-GB" w:eastAsia="en-CA"/>
        </w:rPr>
        <w:t xml:space="preserve">, the company’s </w:t>
      </w:r>
      <w:r w:rsidR="00FF6A83" w:rsidRPr="0097590C">
        <w:rPr>
          <w:spacing w:val="-2"/>
          <w:kern w:val="22"/>
          <w:lang w:val="en-GB" w:eastAsia="en-CA"/>
        </w:rPr>
        <w:t xml:space="preserve">first </w:t>
      </w:r>
      <w:r w:rsidR="007224AC" w:rsidRPr="0097590C">
        <w:rPr>
          <w:spacing w:val="-2"/>
          <w:kern w:val="22"/>
          <w:lang w:val="en-GB" w:eastAsia="en-CA"/>
        </w:rPr>
        <w:t>electric vehicle</w:t>
      </w:r>
      <w:r w:rsidR="00D751FB" w:rsidRPr="0097590C">
        <w:rPr>
          <w:spacing w:val="-2"/>
          <w:kern w:val="22"/>
          <w:lang w:val="en-GB" w:eastAsia="en-CA"/>
        </w:rPr>
        <w:t xml:space="preserve"> program.</w:t>
      </w:r>
      <w:r w:rsidR="00D751FB" w:rsidRPr="0097590C">
        <w:rPr>
          <w:spacing w:val="-2"/>
          <w:kern w:val="22"/>
          <w:vertAlign w:val="superscript"/>
          <w:lang w:val="en-GB" w:eastAsia="en-CA"/>
        </w:rPr>
        <w:endnoteReference w:id="29"/>
      </w:r>
      <w:r w:rsidR="007224AC" w:rsidRPr="0097590C">
        <w:rPr>
          <w:spacing w:val="-2"/>
          <w:kern w:val="22"/>
          <w:lang w:val="en-GB" w:eastAsia="en-CA"/>
        </w:rPr>
        <w:t xml:space="preserve"> In 2002, </w:t>
      </w:r>
      <w:r w:rsidR="00D751FB" w:rsidRPr="0097590C">
        <w:rPr>
          <w:spacing w:val="-2"/>
          <w:kern w:val="22"/>
          <w:lang w:val="en-GB" w:eastAsia="en-CA"/>
        </w:rPr>
        <w:t>GM had to re</w:t>
      </w:r>
      <w:r w:rsidR="007224AC" w:rsidRPr="0097590C">
        <w:rPr>
          <w:spacing w:val="-2"/>
          <w:kern w:val="22"/>
          <w:lang w:val="en-GB" w:eastAsia="en-CA"/>
        </w:rPr>
        <w:t>possess</w:t>
      </w:r>
      <w:r w:rsidR="00D751FB" w:rsidRPr="0097590C">
        <w:rPr>
          <w:spacing w:val="-2"/>
          <w:kern w:val="22"/>
          <w:lang w:val="en-GB" w:eastAsia="en-CA"/>
        </w:rPr>
        <w:t xml:space="preserve"> </w:t>
      </w:r>
      <w:r w:rsidR="007224AC" w:rsidRPr="0097590C">
        <w:rPr>
          <w:spacing w:val="-2"/>
          <w:kern w:val="22"/>
          <w:lang w:val="en-GB" w:eastAsia="en-CA"/>
        </w:rPr>
        <w:t xml:space="preserve">and destroy </w:t>
      </w:r>
      <w:r w:rsidR="00D751FB" w:rsidRPr="0097590C">
        <w:rPr>
          <w:spacing w:val="-2"/>
          <w:kern w:val="22"/>
          <w:lang w:val="en-GB" w:eastAsia="en-CA"/>
        </w:rPr>
        <w:t xml:space="preserve">all EV1s, which became a </w:t>
      </w:r>
      <w:r w:rsidR="007224AC" w:rsidRPr="0097590C">
        <w:rPr>
          <w:spacing w:val="-2"/>
          <w:kern w:val="22"/>
          <w:lang w:val="en-GB" w:eastAsia="en-CA"/>
        </w:rPr>
        <w:t>controversial move and a major</w:t>
      </w:r>
      <w:r w:rsidR="00D751FB" w:rsidRPr="0097590C">
        <w:rPr>
          <w:spacing w:val="-2"/>
          <w:kern w:val="22"/>
          <w:lang w:val="en-GB" w:eastAsia="en-CA"/>
        </w:rPr>
        <w:t xml:space="preserve"> embarrassment</w:t>
      </w:r>
      <w:r w:rsidR="007224AC" w:rsidRPr="0097590C">
        <w:rPr>
          <w:spacing w:val="-2"/>
          <w:kern w:val="22"/>
          <w:lang w:val="en-GB" w:eastAsia="en-CA"/>
        </w:rPr>
        <w:t xml:space="preserve"> for the company</w:t>
      </w:r>
      <w:r w:rsidR="00D751FB" w:rsidRPr="0097590C">
        <w:rPr>
          <w:spacing w:val="-2"/>
          <w:kern w:val="22"/>
          <w:lang w:val="en-GB" w:eastAsia="en-CA"/>
        </w:rPr>
        <w:t xml:space="preserve">, ultimately causing </w:t>
      </w:r>
      <w:r w:rsidR="007224AC" w:rsidRPr="0097590C">
        <w:rPr>
          <w:spacing w:val="-2"/>
          <w:kern w:val="22"/>
          <w:lang w:val="en-GB" w:eastAsia="en-CA"/>
        </w:rPr>
        <w:t>its exit from</w:t>
      </w:r>
      <w:r w:rsidR="00D751FB" w:rsidRPr="0097590C">
        <w:rPr>
          <w:spacing w:val="-2"/>
          <w:kern w:val="22"/>
          <w:lang w:val="en-GB" w:eastAsia="en-CA"/>
        </w:rPr>
        <w:t xml:space="preserve"> the hybrid and electric vehicle market.</w:t>
      </w:r>
      <w:r w:rsidR="00D751FB" w:rsidRPr="0097590C">
        <w:rPr>
          <w:spacing w:val="-2"/>
          <w:kern w:val="22"/>
          <w:vertAlign w:val="superscript"/>
          <w:lang w:val="en-GB" w:eastAsia="en-CA"/>
        </w:rPr>
        <w:endnoteReference w:id="30"/>
      </w:r>
      <w:r w:rsidR="00FC3106" w:rsidRPr="0097590C">
        <w:rPr>
          <w:spacing w:val="-2"/>
          <w:kern w:val="22"/>
          <w:lang w:val="en-GB" w:eastAsia="en-CA"/>
        </w:rPr>
        <w:t xml:space="preserve"> </w:t>
      </w:r>
      <w:r w:rsidR="00D751FB" w:rsidRPr="0097590C">
        <w:rPr>
          <w:spacing w:val="-2"/>
          <w:kern w:val="22"/>
          <w:lang w:val="en-GB" w:eastAsia="en-CA"/>
        </w:rPr>
        <w:t>Toyota s</w:t>
      </w:r>
      <w:r w:rsidR="00FC3106" w:rsidRPr="0097590C">
        <w:rPr>
          <w:spacing w:val="-2"/>
          <w:kern w:val="22"/>
          <w:lang w:val="en-GB" w:eastAsia="en-CA"/>
        </w:rPr>
        <w:t>eized the</w:t>
      </w:r>
      <w:r w:rsidR="00D751FB" w:rsidRPr="0097590C">
        <w:rPr>
          <w:spacing w:val="-2"/>
          <w:kern w:val="22"/>
          <w:lang w:val="en-GB" w:eastAsia="en-CA"/>
        </w:rPr>
        <w:t xml:space="preserve"> opportunity to </w:t>
      </w:r>
      <w:r w:rsidR="00FC3106" w:rsidRPr="0097590C">
        <w:rPr>
          <w:spacing w:val="-2"/>
          <w:kern w:val="22"/>
          <w:lang w:val="en-GB" w:eastAsia="en-CA"/>
        </w:rPr>
        <w:t>assume</w:t>
      </w:r>
      <w:r w:rsidR="00D751FB" w:rsidRPr="0097590C">
        <w:rPr>
          <w:spacing w:val="-2"/>
          <w:kern w:val="22"/>
          <w:lang w:val="en-GB" w:eastAsia="en-CA"/>
        </w:rPr>
        <w:t xml:space="preserve"> control of the </w:t>
      </w:r>
      <w:r w:rsidR="00FC3106" w:rsidRPr="0097590C">
        <w:rPr>
          <w:spacing w:val="-2"/>
          <w:kern w:val="22"/>
          <w:lang w:val="en-GB" w:eastAsia="en-CA"/>
        </w:rPr>
        <w:t>electric vehicle</w:t>
      </w:r>
      <w:r w:rsidR="00D751FB" w:rsidRPr="0097590C">
        <w:rPr>
          <w:spacing w:val="-2"/>
          <w:kern w:val="22"/>
          <w:lang w:val="en-GB" w:eastAsia="en-CA"/>
        </w:rPr>
        <w:t xml:space="preserve"> market</w:t>
      </w:r>
      <w:r w:rsidR="00FC3106" w:rsidRPr="0097590C">
        <w:rPr>
          <w:spacing w:val="-2"/>
          <w:kern w:val="22"/>
          <w:lang w:val="en-GB" w:eastAsia="en-CA"/>
        </w:rPr>
        <w:t xml:space="preserve"> and</w:t>
      </w:r>
      <w:r w:rsidR="00D751FB" w:rsidRPr="0097590C">
        <w:rPr>
          <w:spacing w:val="-2"/>
          <w:kern w:val="22"/>
          <w:lang w:val="en-GB" w:eastAsia="en-CA"/>
        </w:rPr>
        <w:t xml:space="preserve"> subsequently </w:t>
      </w:r>
      <w:r w:rsidR="00FC3106" w:rsidRPr="0097590C">
        <w:rPr>
          <w:spacing w:val="-2"/>
          <w:kern w:val="22"/>
          <w:lang w:val="en-GB" w:eastAsia="en-CA"/>
        </w:rPr>
        <w:t xml:space="preserve">surpassed GM in </w:t>
      </w:r>
      <w:r w:rsidR="00D751FB" w:rsidRPr="0097590C">
        <w:rPr>
          <w:spacing w:val="-2"/>
          <w:kern w:val="22"/>
          <w:lang w:val="en-GB" w:eastAsia="en-CA"/>
        </w:rPr>
        <w:t>design and perform</w:t>
      </w:r>
      <w:r w:rsidR="00FC3106" w:rsidRPr="0097590C">
        <w:rPr>
          <w:spacing w:val="-2"/>
          <w:kern w:val="22"/>
          <w:lang w:val="en-GB" w:eastAsia="en-CA"/>
        </w:rPr>
        <w:t>ance</w:t>
      </w:r>
      <w:r w:rsidR="00D751FB" w:rsidRPr="0097590C">
        <w:rPr>
          <w:spacing w:val="-2"/>
          <w:kern w:val="22"/>
          <w:lang w:val="en-GB" w:eastAsia="en-CA"/>
        </w:rPr>
        <w:t xml:space="preserve"> with its Prius and Corolla hybrid models. </w:t>
      </w:r>
    </w:p>
    <w:p w14:paraId="61C48949" w14:textId="77777777" w:rsidR="00D751FB" w:rsidRPr="0051039E" w:rsidRDefault="00D751FB" w:rsidP="00D751FB">
      <w:pPr>
        <w:pStyle w:val="BodyTextMain"/>
        <w:rPr>
          <w:lang w:val="en-GB" w:eastAsia="en-CA"/>
        </w:rPr>
      </w:pPr>
    </w:p>
    <w:p w14:paraId="683AF00E" w14:textId="77777777" w:rsidR="00D751FB" w:rsidRPr="0051039E" w:rsidRDefault="00D751FB" w:rsidP="00D751FB">
      <w:pPr>
        <w:pStyle w:val="BodyTextMain"/>
        <w:rPr>
          <w:lang w:val="en-GB" w:eastAsia="en-CA"/>
        </w:rPr>
      </w:pPr>
    </w:p>
    <w:p w14:paraId="4BD39DD2" w14:textId="707FFD4C" w:rsidR="00D751FB" w:rsidRPr="0051039E" w:rsidRDefault="00D751FB" w:rsidP="00D751FB">
      <w:pPr>
        <w:pStyle w:val="Casehead2"/>
        <w:rPr>
          <w:lang w:val="en-GB" w:eastAsia="en-CA"/>
        </w:rPr>
      </w:pPr>
      <w:r w:rsidRPr="0051039E">
        <w:rPr>
          <w:lang w:val="en-GB" w:eastAsia="en-CA"/>
        </w:rPr>
        <w:t>Tough Competition Dr</w:t>
      </w:r>
      <w:r w:rsidR="00FF6A83">
        <w:rPr>
          <w:lang w:val="en-GB" w:eastAsia="en-CA"/>
        </w:rPr>
        <w:t>i</w:t>
      </w:r>
      <w:r w:rsidRPr="0051039E">
        <w:rPr>
          <w:lang w:val="en-GB" w:eastAsia="en-CA"/>
        </w:rPr>
        <w:t>v</w:t>
      </w:r>
      <w:r w:rsidR="00FF6A83">
        <w:rPr>
          <w:lang w:val="en-GB" w:eastAsia="en-CA"/>
        </w:rPr>
        <w:t>ing</w:t>
      </w:r>
      <w:r w:rsidRPr="0051039E">
        <w:rPr>
          <w:lang w:val="en-GB" w:eastAsia="en-CA"/>
        </w:rPr>
        <w:t xml:space="preserve"> Low Margins</w:t>
      </w:r>
    </w:p>
    <w:p w14:paraId="38182CD1" w14:textId="77777777" w:rsidR="00D751FB" w:rsidRPr="0051039E" w:rsidRDefault="00D751FB" w:rsidP="00D751FB">
      <w:pPr>
        <w:pStyle w:val="BodyTextMain"/>
        <w:rPr>
          <w:lang w:val="en-GB" w:eastAsia="en-CA"/>
        </w:rPr>
      </w:pPr>
    </w:p>
    <w:p w14:paraId="105A5523" w14:textId="4935432D" w:rsidR="00D751FB" w:rsidRPr="0051039E" w:rsidRDefault="00D751FB" w:rsidP="00D751FB">
      <w:pPr>
        <w:pStyle w:val="BodyTextMain"/>
        <w:rPr>
          <w:lang w:val="en-GB" w:eastAsia="en-CA"/>
        </w:rPr>
      </w:pPr>
      <w:r w:rsidRPr="0051039E">
        <w:rPr>
          <w:lang w:val="en-GB" w:eastAsia="en-CA"/>
        </w:rPr>
        <w:t>GM was plagued with low margins across its car fleet, primarily due to competitive pressures from Asian-based competitors</w:t>
      </w:r>
      <w:r w:rsidR="00FC3106">
        <w:rPr>
          <w:lang w:val="en-GB" w:eastAsia="en-CA"/>
        </w:rPr>
        <w:t xml:space="preserve"> such as</w:t>
      </w:r>
      <w:r w:rsidRPr="0051039E">
        <w:rPr>
          <w:lang w:val="en-GB" w:eastAsia="en-CA"/>
        </w:rPr>
        <w:t xml:space="preserve"> Hyund</w:t>
      </w:r>
      <w:r w:rsidR="00FC3106">
        <w:rPr>
          <w:lang w:val="en-GB" w:eastAsia="en-CA"/>
        </w:rPr>
        <w:t>a</w:t>
      </w:r>
      <w:r w:rsidRPr="0051039E">
        <w:rPr>
          <w:lang w:val="en-GB" w:eastAsia="en-CA"/>
        </w:rPr>
        <w:t>i</w:t>
      </w:r>
      <w:r w:rsidR="00FC3106">
        <w:rPr>
          <w:lang w:val="en-GB" w:eastAsia="en-CA"/>
        </w:rPr>
        <w:t xml:space="preserve"> Motor Company (Hyundai), which</w:t>
      </w:r>
      <w:r w:rsidRPr="0051039E">
        <w:rPr>
          <w:lang w:val="en-GB" w:eastAsia="en-CA"/>
        </w:rPr>
        <w:t xml:space="preserve"> </w:t>
      </w:r>
      <w:r w:rsidR="00FC3106">
        <w:rPr>
          <w:lang w:val="en-GB" w:eastAsia="en-CA"/>
        </w:rPr>
        <w:t>built</w:t>
      </w:r>
      <w:r w:rsidRPr="0051039E">
        <w:rPr>
          <w:lang w:val="en-GB" w:eastAsia="en-CA"/>
        </w:rPr>
        <w:t xml:space="preserve"> good quality cars at very low prices.</w:t>
      </w:r>
      <w:r w:rsidR="00382558" w:rsidRPr="0051039E">
        <w:rPr>
          <w:lang w:val="en-GB" w:eastAsia="en-CA"/>
        </w:rPr>
        <w:t xml:space="preserve"> </w:t>
      </w:r>
      <w:r w:rsidR="00FC3106">
        <w:rPr>
          <w:lang w:val="en-GB" w:eastAsia="en-CA"/>
        </w:rPr>
        <w:t>Hyundai</w:t>
      </w:r>
      <w:r w:rsidRPr="0051039E">
        <w:rPr>
          <w:lang w:val="en-GB" w:eastAsia="en-CA"/>
        </w:rPr>
        <w:t xml:space="preserve"> grew </w:t>
      </w:r>
      <w:r w:rsidR="00FC3106">
        <w:rPr>
          <w:lang w:val="en-GB" w:eastAsia="en-CA"/>
        </w:rPr>
        <w:t>i</w:t>
      </w:r>
      <w:r w:rsidRPr="0051039E">
        <w:rPr>
          <w:lang w:val="en-GB" w:eastAsia="en-CA"/>
        </w:rPr>
        <w:t>t</w:t>
      </w:r>
      <w:r w:rsidR="00FC3106">
        <w:rPr>
          <w:lang w:val="en-GB" w:eastAsia="en-CA"/>
        </w:rPr>
        <w:t>s</w:t>
      </w:r>
      <w:r w:rsidRPr="0051039E">
        <w:rPr>
          <w:lang w:val="en-GB" w:eastAsia="en-CA"/>
        </w:rPr>
        <w:t xml:space="preserve"> </w:t>
      </w:r>
      <w:r w:rsidR="00E70A21">
        <w:rPr>
          <w:lang w:val="en-GB" w:eastAsia="en-CA"/>
        </w:rPr>
        <w:t>US</w:t>
      </w:r>
      <w:r w:rsidRPr="0051039E">
        <w:rPr>
          <w:lang w:val="en-GB" w:eastAsia="en-CA"/>
        </w:rPr>
        <w:t xml:space="preserve"> sales in 2009 by 9 per</w:t>
      </w:r>
      <w:r w:rsidR="00FC3106">
        <w:rPr>
          <w:lang w:val="en-GB" w:eastAsia="en-CA"/>
        </w:rPr>
        <w:t xml:space="preserve"> </w:t>
      </w:r>
      <w:r w:rsidRPr="0051039E">
        <w:rPr>
          <w:lang w:val="en-GB" w:eastAsia="en-CA"/>
        </w:rPr>
        <w:t>cent to 675,000 vehicles, while GM and the rest of the industry saw their sales shrink by 21 per</w:t>
      </w:r>
      <w:r w:rsidR="00FC3106">
        <w:rPr>
          <w:lang w:val="en-GB" w:eastAsia="en-CA"/>
        </w:rPr>
        <w:t xml:space="preserve"> </w:t>
      </w:r>
      <w:r w:rsidRPr="0051039E">
        <w:rPr>
          <w:lang w:val="en-GB" w:eastAsia="en-CA"/>
        </w:rPr>
        <w:t>cent.</w:t>
      </w:r>
      <w:r w:rsidRPr="0051039E">
        <w:rPr>
          <w:vertAlign w:val="superscript"/>
          <w:lang w:val="en-GB" w:eastAsia="en-CA"/>
        </w:rPr>
        <w:endnoteReference w:id="31"/>
      </w:r>
      <w:r w:rsidR="00072234" w:rsidRPr="0051039E">
        <w:rPr>
          <w:lang w:val="en-GB" w:eastAsia="en-CA"/>
        </w:rPr>
        <w:t xml:space="preserve"> At that time, Hyundai</w:t>
      </w:r>
      <w:r w:rsidRPr="0051039E">
        <w:rPr>
          <w:lang w:val="en-GB" w:eastAsia="en-CA"/>
        </w:rPr>
        <w:t xml:space="preserve"> boasted gross margins of 22.3 per</w:t>
      </w:r>
      <w:r w:rsidR="00FC3106">
        <w:rPr>
          <w:lang w:val="en-GB" w:eastAsia="en-CA"/>
        </w:rPr>
        <w:t xml:space="preserve"> </w:t>
      </w:r>
      <w:r w:rsidRPr="0051039E">
        <w:rPr>
          <w:lang w:val="en-GB" w:eastAsia="en-CA"/>
        </w:rPr>
        <w:t>cent</w:t>
      </w:r>
      <w:r w:rsidR="00FC3106">
        <w:rPr>
          <w:lang w:val="en-GB" w:eastAsia="en-CA"/>
        </w:rPr>
        <w:t>,</w:t>
      </w:r>
      <w:r w:rsidRPr="0051039E">
        <w:rPr>
          <w:vertAlign w:val="superscript"/>
          <w:lang w:val="en-GB" w:eastAsia="en-CA"/>
        </w:rPr>
        <w:endnoteReference w:id="32"/>
      </w:r>
      <w:r w:rsidRPr="0051039E">
        <w:rPr>
          <w:lang w:val="en-GB" w:eastAsia="en-CA"/>
        </w:rPr>
        <w:t xml:space="preserve"> </w:t>
      </w:r>
      <w:r w:rsidR="00FC3106">
        <w:rPr>
          <w:lang w:val="en-GB" w:eastAsia="en-CA"/>
        </w:rPr>
        <w:t>compared to</w:t>
      </w:r>
      <w:r w:rsidRPr="0051039E">
        <w:rPr>
          <w:lang w:val="en-GB" w:eastAsia="en-CA"/>
        </w:rPr>
        <w:t xml:space="preserve"> GM’s average</w:t>
      </w:r>
      <w:r w:rsidR="00FC3106">
        <w:rPr>
          <w:lang w:val="en-GB" w:eastAsia="en-CA"/>
        </w:rPr>
        <w:t xml:space="preserve"> gross margins of</w:t>
      </w:r>
      <w:r w:rsidRPr="0051039E">
        <w:rPr>
          <w:lang w:val="en-GB" w:eastAsia="en-CA"/>
        </w:rPr>
        <w:t xml:space="preserve"> 12 per</w:t>
      </w:r>
      <w:r w:rsidR="00FC3106">
        <w:rPr>
          <w:lang w:val="en-GB" w:eastAsia="en-CA"/>
        </w:rPr>
        <w:t xml:space="preserve"> </w:t>
      </w:r>
      <w:r w:rsidRPr="0051039E">
        <w:rPr>
          <w:lang w:val="en-GB" w:eastAsia="en-CA"/>
        </w:rPr>
        <w:t>cent.</w:t>
      </w:r>
      <w:r w:rsidRPr="0051039E">
        <w:rPr>
          <w:vertAlign w:val="superscript"/>
          <w:lang w:val="en-GB" w:eastAsia="en-CA"/>
        </w:rPr>
        <w:endnoteReference w:id="33"/>
      </w:r>
    </w:p>
    <w:p w14:paraId="127C1EB4" w14:textId="77777777" w:rsidR="00D751FB" w:rsidRPr="0051039E" w:rsidRDefault="00D751FB" w:rsidP="00D751FB">
      <w:pPr>
        <w:pStyle w:val="BodyTextMain"/>
        <w:rPr>
          <w:lang w:val="en-GB" w:eastAsia="en-CA"/>
        </w:rPr>
      </w:pPr>
    </w:p>
    <w:p w14:paraId="7480DD01" w14:textId="5F20038C" w:rsidR="00D751FB" w:rsidRPr="0051039E" w:rsidRDefault="00D751FB" w:rsidP="00D751FB">
      <w:pPr>
        <w:pStyle w:val="BodyTextMain"/>
        <w:rPr>
          <w:lang w:val="en-GB" w:eastAsia="en-CA"/>
        </w:rPr>
      </w:pPr>
      <w:r w:rsidRPr="0051039E">
        <w:rPr>
          <w:lang w:val="en-GB" w:eastAsia="en-CA"/>
        </w:rPr>
        <w:t>GM’s leadership and culture had become too comfortable in its success and failed to react to industry changes and threats.</w:t>
      </w:r>
      <w:r w:rsidRPr="0051039E">
        <w:rPr>
          <w:vertAlign w:val="superscript"/>
          <w:lang w:val="en-GB" w:eastAsia="en-CA"/>
        </w:rPr>
        <w:endnoteReference w:id="34"/>
      </w:r>
      <w:r w:rsidR="00FC3106">
        <w:rPr>
          <w:lang w:val="en-GB" w:eastAsia="en-CA"/>
        </w:rPr>
        <w:t xml:space="preserve"> </w:t>
      </w:r>
      <w:r w:rsidRPr="0051039E">
        <w:rPr>
          <w:lang w:val="en-GB" w:eastAsia="en-CA"/>
        </w:rPr>
        <w:t>Along with many misguided decisions, poor product strategy, failed pricing strategies</w:t>
      </w:r>
      <w:r w:rsidR="00FC3106">
        <w:rPr>
          <w:lang w:val="en-GB" w:eastAsia="en-CA"/>
        </w:rPr>
        <w:t>,</w:t>
      </w:r>
      <w:r w:rsidRPr="0051039E">
        <w:rPr>
          <w:lang w:val="en-GB" w:eastAsia="en-CA"/>
        </w:rPr>
        <w:t xml:space="preserve"> and poorly executed growth plans, GM seemed to have developed a growing culture of failure.</w:t>
      </w:r>
    </w:p>
    <w:p w14:paraId="3EB28B86" w14:textId="77777777" w:rsidR="00D751FB" w:rsidRPr="0051039E" w:rsidRDefault="00D751FB" w:rsidP="00D751FB">
      <w:pPr>
        <w:pStyle w:val="BodyTextMain"/>
        <w:rPr>
          <w:lang w:val="en-GB" w:eastAsia="en-CA"/>
        </w:rPr>
      </w:pPr>
    </w:p>
    <w:p w14:paraId="629F6CFE" w14:textId="77777777" w:rsidR="00D751FB" w:rsidRPr="0051039E" w:rsidRDefault="00D751FB" w:rsidP="00D751FB">
      <w:pPr>
        <w:pStyle w:val="BodyTextMain"/>
        <w:rPr>
          <w:lang w:val="en-GB" w:eastAsia="en-CA"/>
        </w:rPr>
      </w:pPr>
    </w:p>
    <w:p w14:paraId="0EAB5F89" w14:textId="77777777" w:rsidR="00D751FB" w:rsidRPr="0051039E" w:rsidRDefault="00D751FB" w:rsidP="00D751FB">
      <w:pPr>
        <w:rPr>
          <w:rFonts w:ascii="Arial" w:eastAsia="Calibri" w:hAnsi="Arial" w:cs="Arial"/>
          <w:b/>
          <w:lang w:val="en-GB"/>
        </w:rPr>
      </w:pPr>
      <w:r w:rsidRPr="0051039E">
        <w:rPr>
          <w:rFonts w:ascii="Arial" w:eastAsia="Calibri" w:hAnsi="Arial" w:cs="Arial"/>
          <w:b/>
          <w:lang w:val="en-GB"/>
        </w:rPr>
        <w:t>THE ELECTRIC VEHICLE</w:t>
      </w:r>
    </w:p>
    <w:p w14:paraId="5F7CBB19" w14:textId="77777777" w:rsidR="00D751FB" w:rsidRPr="0051039E" w:rsidRDefault="00D751FB" w:rsidP="00D751FB">
      <w:pPr>
        <w:pStyle w:val="BodyTextMain"/>
        <w:rPr>
          <w:rFonts w:eastAsia="Calibri"/>
          <w:lang w:val="en-GB"/>
        </w:rPr>
      </w:pPr>
    </w:p>
    <w:p w14:paraId="4F228DFD" w14:textId="191D068E" w:rsidR="00D751FB" w:rsidRPr="0051039E" w:rsidRDefault="00D751FB" w:rsidP="00D751FB">
      <w:pPr>
        <w:pStyle w:val="BodyTextMain"/>
        <w:rPr>
          <w:rFonts w:eastAsia="Calibri"/>
          <w:lang w:val="en-GB"/>
        </w:rPr>
      </w:pPr>
      <w:r w:rsidRPr="0051039E">
        <w:rPr>
          <w:rFonts w:eastAsia="Calibri"/>
          <w:lang w:val="en-GB"/>
        </w:rPr>
        <w:t xml:space="preserve">Battery electric vehicles (BEV), </w:t>
      </w:r>
      <w:r w:rsidR="00905C5A">
        <w:rPr>
          <w:rFonts w:eastAsia="Calibri"/>
          <w:lang w:val="en-GB"/>
        </w:rPr>
        <w:t>we</w:t>
      </w:r>
      <w:r w:rsidRPr="0051039E">
        <w:rPr>
          <w:rFonts w:eastAsia="Calibri"/>
          <w:lang w:val="en-GB"/>
        </w:rPr>
        <w:t xml:space="preserve">re widely viewed as </w:t>
      </w:r>
      <w:r w:rsidR="00117B73">
        <w:rPr>
          <w:rFonts w:eastAsia="Calibri"/>
          <w:lang w:val="en-GB"/>
        </w:rPr>
        <w:t>a</w:t>
      </w:r>
      <w:r w:rsidRPr="0051039E">
        <w:rPr>
          <w:rFonts w:eastAsia="Calibri"/>
          <w:lang w:val="en-GB"/>
        </w:rPr>
        <w:t xml:space="preserve"> </w:t>
      </w:r>
      <w:r w:rsidR="00117B73">
        <w:rPr>
          <w:rFonts w:eastAsia="Calibri"/>
          <w:lang w:val="en-GB"/>
        </w:rPr>
        <w:t xml:space="preserve">major </w:t>
      </w:r>
      <w:r w:rsidRPr="0051039E">
        <w:rPr>
          <w:rFonts w:eastAsia="Calibri"/>
          <w:lang w:val="en-GB"/>
        </w:rPr>
        <w:t>savio</w:t>
      </w:r>
      <w:r w:rsidR="00905C5A">
        <w:rPr>
          <w:rFonts w:eastAsia="Calibri"/>
          <w:lang w:val="en-GB"/>
        </w:rPr>
        <w:t>u</w:t>
      </w:r>
      <w:r w:rsidRPr="0051039E">
        <w:rPr>
          <w:rFonts w:eastAsia="Calibri"/>
          <w:lang w:val="en-GB"/>
        </w:rPr>
        <w:t>r to the world’s current climate change challenges.</w:t>
      </w:r>
      <w:r w:rsidR="00382558" w:rsidRPr="0051039E">
        <w:rPr>
          <w:rFonts w:eastAsia="Calibri"/>
          <w:lang w:val="en-GB"/>
        </w:rPr>
        <w:t xml:space="preserve"> </w:t>
      </w:r>
      <w:r w:rsidRPr="0051039E">
        <w:rPr>
          <w:rFonts w:eastAsia="Calibri"/>
          <w:lang w:val="en-GB"/>
        </w:rPr>
        <w:t>BEVs produce</w:t>
      </w:r>
      <w:r w:rsidR="00905C5A">
        <w:rPr>
          <w:rFonts w:eastAsia="Calibri"/>
          <w:lang w:val="en-GB"/>
        </w:rPr>
        <w:t>d</w:t>
      </w:r>
      <w:r w:rsidRPr="0051039E">
        <w:rPr>
          <w:rFonts w:eastAsia="Calibri"/>
          <w:lang w:val="en-GB"/>
        </w:rPr>
        <w:t xml:space="preserve"> less than half </w:t>
      </w:r>
      <w:r w:rsidR="00117B73">
        <w:rPr>
          <w:rFonts w:eastAsia="Calibri"/>
          <w:lang w:val="en-GB"/>
        </w:rPr>
        <w:t xml:space="preserve">of </w:t>
      </w:r>
      <w:r w:rsidRPr="0051039E">
        <w:rPr>
          <w:rFonts w:eastAsia="Calibri"/>
          <w:lang w:val="en-GB"/>
        </w:rPr>
        <w:t>the global warming emissions of comparable ICE vehicles</w:t>
      </w:r>
      <w:r w:rsidR="00905C5A">
        <w:rPr>
          <w:rFonts w:eastAsia="Calibri"/>
          <w:lang w:val="en-GB"/>
        </w:rPr>
        <w:t>,</w:t>
      </w:r>
      <w:r w:rsidRPr="0051039E">
        <w:rPr>
          <w:rFonts w:eastAsia="Calibri"/>
          <w:lang w:val="en-GB"/>
        </w:rPr>
        <w:t xml:space="preserve"> when all factors </w:t>
      </w:r>
      <w:r w:rsidR="00905C5A">
        <w:rPr>
          <w:rFonts w:eastAsia="Calibri"/>
          <w:lang w:val="en-GB"/>
        </w:rPr>
        <w:t>we</w:t>
      </w:r>
      <w:r w:rsidRPr="0051039E">
        <w:rPr>
          <w:rFonts w:eastAsia="Calibri"/>
          <w:lang w:val="en-GB"/>
        </w:rPr>
        <w:t>re taken into consideration.</w:t>
      </w:r>
      <w:r w:rsidRPr="0051039E">
        <w:rPr>
          <w:rFonts w:eastAsia="Calibri"/>
          <w:vertAlign w:val="superscript"/>
          <w:lang w:val="en-GB"/>
        </w:rPr>
        <w:endnoteReference w:id="35"/>
      </w:r>
      <w:r w:rsidR="00905C5A">
        <w:rPr>
          <w:rFonts w:eastAsia="Calibri"/>
          <w:lang w:val="en-GB"/>
        </w:rPr>
        <w:t xml:space="preserve"> </w:t>
      </w:r>
      <w:r w:rsidRPr="0051039E">
        <w:rPr>
          <w:rFonts w:eastAsia="Calibri"/>
          <w:lang w:val="en-GB"/>
        </w:rPr>
        <w:t>Most countries across the globe underst</w:t>
      </w:r>
      <w:r w:rsidR="00905C5A">
        <w:rPr>
          <w:rFonts w:eastAsia="Calibri"/>
          <w:lang w:val="en-GB"/>
        </w:rPr>
        <w:t>oo</w:t>
      </w:r>
      <w:r w:rsidRPr="0051039E">
        <w:rPr>
          <w:rFonts w:eastAsia="Calibri"/>
          <w:lang w:val="en-GB"/>
        </w:rPr>
        <w:t>d this relationship and continue</w:t>
      </w:r>
      <w:r w:rsidR="00905C5A">
        <w:rPr>
          <w:rFonts w:eastAsia="Calibri"/>
          <w:lang w:val="en-GB"/>
        </w:rPr>
        <w:t>d</w:t>
      </w:r>
      <w:r w:rsidRPr="0051039E">
        <w:rPr>
          <w:rFonts w:eastAsia="Calibri"/>
          <w:lang w:val="en-GB"/>
        </w:rPr>
        <w:t xml:space="preserve"> to</w:t>
      </w:r>
      <w:r w:rsidR="00382558" w:rsidRPr="0051039E">
        <w:rPr>
          <w:rFonts w:eastAsia="Calibri"/>
          <w:lang w:val="en-GB"/>
        </w:rPr>
        <w:t xml:space="preserve"> </w:t>
      </w:r>
      <w:r w:rsidRPr="0051039E">
        <w:rPr>
          <w:rFonts w:eastAsia="Calibri"/>
          <w:lang w:val="en-GB"/>
        </w:rPr>
        <w:t>build and execute policy to limit emissions and support the growth of the electric car industry.</w:t>
      </w:r>
      <w:r w:rsidRPr="0051039E">
        <w:rPr>
          <w:rFonts w:eastAsia="Calibri"/>
          <w:vertAlign w:val="superscript"/>
          <w:lang w:val="en-GB"/>
        </w:rPr>
        <w:endnoteReference w:id="36"/>
      </w:r>
    </w:p>
    <w:p w14:paraId="7BAE0FED" w14:textId="77777777" w:rsidR="00D751FB" w:rsidRPr="0051039E" w:rsidRDefault="00D751FB" w:rsidP="00D751FB">
      <w:pPr>
        <w:pStyle w:val="BodyTextMain"/>
        <w:rPr>
          <w:rFonts w:eastAsia="Calibri"/>
          <w:lang w:val="en-GB"/>
        </w:rPr>
      </w:pPr>
    </w:p>
    <w:p w14:paraId="5FA60250" w14:textId="5E1D89DB" w:rsidR="00D751FB" w:rsidRPr="0051039E" w:rsidRDefault="00D751FB" w:rsidP="00D751FB">
      <w:pPr>
        <w:pStyle w:val="BodyTextMain"/>
        <w:rPr>
          <w:rFonts w:eastAsia="Calibri"/>
          <w:lang w:val="en-GB"/>
        </w:rPr>
      </w:pPr>
      <w:r w:rsidRPr="0051039E">
        <w:rPr>
          <w:rFonts w:eastAsia="Calibri"/>
          <w:lang w:val="en-GB"/>
        </w:rPr>
        <w:t xml:space="preserve">Two </w:t>
      </w:r>
      <w:r w:rsidR="00117B73">
        <w:rPr>
          <w:rFonts w:eastAsia="Calibri"/>
          <w:lang w:val="en-GB"/>
        </w:rPr>
        <w:t>main</w:t>
      </w:r>
      <w:r w:rsidRPr="0051039E">
        <w:rPr>
          <w:rFonts w:eastAsia="Calibri"/>
          <w:lang w:val="en-GB"/>
        </w:rPr>
        <w:t xml:space="preserve"> challenges delayed the mass introduction of BEVs.</w:t>
      </w:r>
      <w:r w:rsidR="00382558" w:rsidRPr="0051039E">
        <w:rPr>
          <w:rFonts w:eastAsia="Calibri"/>
          <w:lang w:val="en-GB"/>
        </w:rPr>
        <w:t xml:space="preserve"> </w:t>
      </w:r>
      <w:r w:rsidRPr="0051039E">
        <w:rPr>
          <w:rFonts w:eastAsia="Calibri"/>
          <w:lang w:val="en-GB"/>
        </w:rPr>
        <w:t>The first was related to the batteries required to power these vehicles.</w:t>
      </w:r>
      <w:r w:rsidR="00382558" w:rsidRPr="0051039E">
        <w:rPr>
          <w:rFonts w:eastAsia="Calibri"/>
          <w:lang w:val="en-GB"/>
        </w:rPr>
        <w:t xml:space="preserve"> </w:t>
      </w:r>
      <w:r w:rsidRPr="0051039E">
        <w:rPr>
          <w:rFonts w:eastAsia="Calibri"/>
          <w:lang w:val="en-GB"/>
        </w:rPr>
        <w:t>Lithium ion batteries, the electric vehicle batter</w:t>
      </w:r>
      <w:r w:rsidR="00905C5A">
        <w:rPr>
          <w:rFonts w:eastAsia="Calibri"/>
          <w:lang w:val="en-GB"/>
        </w:rPr>
        <w:t>ies</w:t>
      </w:r>
      <w:r w:rsidRPr="0051039E">
        <w:rPr>
          <w:rFonts w:eastAsia="Calibri"/>
          <w:lang w:val="en-GB"/>
        </w:rPr>
        <w:t xml:space="preserve"> of choice, </w:t>
      </w:r>
      <w:r w:rsidR="00905C5A">
        <w:rPr>
          <w:rFonts w:eastAsia="Calibri"/>
          <w:lang w:val="en-GB"/>
        </w:rPr>
        <w:t>we</w:t>
      </w:r>
      <w:r w:rsidRPr="0051039E">
        <w:rPr>
          <w:rFonts w:eastAsia="Calibri"/>
          <w:lang w:val="en-GB"/>
        </w:rPr>
        <w:t>re heavy, costly to manufacture</w:t>
      </w:r>
      <w:r w:rsidR="00905C5A">
        <w:rPr>
          <w:rFonts w:eastAsia="Calibri"/>
          <w:lang w:val="en-GB"/>
        </w:rPr>
        <w:t>,</w:t>
      </w:r>
      <w:r w:rsidRPr="0051039E">
        <w:rPr>
          <w:rFonts w:eastAsia="Calibri"/>
          <w:lang w:val="en-GB"/>
        </w:rPr>
        <w:t xml:space="preserve"> and had limited storage capacity.</w:t>
      </w:r>
      <w:r w:rsidR="00382558" w:rsidRPr="0051039E">
        <w:rPr>
          <w:rFonts w:eastAsia="Calibri"/>
          <w:lang w:val="en-GB"/>
        </w:rPr>
        <w:t xml:space="preserve"> </w:t>
      </w:r>
      <w:r w:rsidRPr="0051039E">
        <w:rPr>
          <w:rFonts w:eastAsia="Calibri"/>
          <w:lang w:val="en-GB"/>
        </w:rPr>
        <w:t xml:space="preserve">This contributed to pricier cars with driving ranges </w:t>
      </w:r>
      <w:r w:rsidR="0034107C">
        <w:rPr>
          <w:rFonts w:eastAsia="Calibri"/>
          <w:lang w:val="en-GB"/>
        </w:rPr>
        <w:t>per charge of</w:t>
      </w:r>
      <w:r w:rsidRPr="0051039E">
        <w:rPr>
          <w:rFonts w:eastAsia="Calibri"/>
          <w:lang w:val="en-GB"/>
        </w:rPr>
        <w:t xml:space="preserve"> 60</w:t>
      </w:r>
      <w:r w:rsidR="0034107C">
        <w:rPr>
          <w:rFonts w:eastAsia="Calibri"/>
          <w:lang w:val="en-GB"/>
        </w:rPr>
        <w:t>–</w:t>
      </w:r>
      <w:r w:rsidRPr="0051039E">
        <w:rPr>
          <w:rFonts w:eastAsia="Calibri"/>
          <w:lang w:val="en-GB"/>
        </w:rPr>
        <w:t>370 miles</w:t>
      </w:r>
      <w:r w:rsidR="00597F3D">
        <w:rPr>
          <w:rFonts w:eastAsia="Calibri"/>
          <w:lang w:val="en-GB"/>
        </w:rPr>
        <w:t xml:space="preserve"> (100–600 kilometres</w:t>
      </w:r>
      <w:r w:rsidR="0034107C">
        <w:rPr>
          <w:rFonts w:eastAsia="Calibri"/>
          <w:lang w:val="en-GB"/>
        </w:rPr>
        <w:t>)</w:t>
      </w:r>
      <w:r w:rsidRPr="0051039E">
        <w:rPr>
          <w:rFonts w:eastAsia="Calibri"/>
          <w:lang w:val="en-GB"/>
        </w:rPr>
        <w:t>.</w:t>
      </w:r>
      <w:r w:rsidRPr="0051039E">
        <w:rPr>
          <w:rFonts w:eastAsia="Calibri"/>
          <w:vertAlign w:val="superscript"/>
          <w:lang w:val="en-GB"/>
        </w:rPr>
        <w:endnoteReference w:id="37"/>
      </w:r>
      <w:r w:rsidR="0034107C">
        <w:rPr>
          <w:rFonts w:eastAsia="Calibri"/>
          <w:lang w:val="en-GB"/>
        </w:rPr>
        <w:t xml:space="preserve"> </w:t>
      </w:r>
      <w:r w:rsidRPr="0051039E">
        <w:rPr>
          <w:rFonts w:eastAsia="Calibri"/>
          <w:lang w:val="en-GB"/>
        </w:rPr>
        <w:t>Most consumers had been trained to expect a car to travel at least 300 miles</w:t>
      </w:r>
      <w:r w:rsidR="00597F3D">
        <w:rPr>
          <w:rFonts w:eastAsia="Calibri"/>
          <w:lang w:val="en-GB"/>
        </w:rPr>
        <w:t xml:space="preserve"> (500 kilometres</w:t>
      </w:r>
      <w:r w:rsidR="0034107C">
        <w:rPr>
          <w:rFonts w:eastAsia="Calibri"/>
          <w:lang w:val="en-GB"/>
        </w:rPr>
        <w:t>)</w:t>
      </w:r>
      <w:r w:rsidRPr="0051039E">
        <w:rPr>
          <w:rFonts w:eastAsia="Calibri"/>
          <w:lang w:val="en-GB"/>
        </w:rPr>
        <w:t xml:space="preserve"> on a tank of fuel</w:t>
      </w:r>
      <w:r w:rsidR="0034107C">
        <w:rPr>
          <w:rFonts w:eastAsia="Calibri"/>
          <w:lang w:val="en-GB"/>
        </w:rPr>
        <w:t>,</w:t>
      </w:r>
      <w:r w:rsidRPr="0051039E">
        <w:rPr>
          <w:rFonts w:eastAsia="Calibri"/>
          <w:lang w:val="en-GB"/>
        </w:rPr>
        <w:t xml:space="preserve"> and expected BEVs to support this </w:t>
      </w:r>
      <w:r w:rsidR="0034107C">
        <w:rPr>
          <w:rFonts w:eastAsia="Calibri"/>
          <w:lang w:val="en-GB"/>
        </w:rPr>
        <w:t xml:space="preserve">same </w:t>
      </w:r>
      <w:r w:rsidRPr="0051039E">
        <w:rPr>
          <w:rFonts w:eastAsia="Calibri"/>
          <w:lang w:val="en-GB"/>
        </w:rPr>
        <w:t xml:space="preserve">range on a single </w:t>
      </w:r>
      <w:r w:rsidR="0034107C">
        <w:rPr>
          <w:rFonts w:eastAsia="Calibri"/>
          <w:lang w:val="en-GB"/>
        </w:rPr>
        <w:t xml:space="preserve">battery </w:t>
      </w:r>
      <w:r w:rsidRPr="0051039E">
        <w:rPr>
          <w:rFonts w:eastAsia="Calibri"/>
          <w:lang w:val="en-GB"/>
        </w:rPr>
        <w:t>charge.</w:t>
      </w:r>
      <w:r w:rsidRPr="0051039E">
        <w:rPr>
          <w:rFonts w:eastAsia="Calibri"/>
          <w:vertAlign w:val="superscript"/>
          <w:lang w:val="en-GB"/>
        </w:rPr>
        <w:endnoteReference w:id="38"/>
      </w:r>
      <w:r w:rsidR="0034107C">
        <w:rPr>
          <w:rFonts w:eastAsia="Calibri"/>
          <w:lang w:val="en-GB"/>
        </w:rPr>
        <w:t xml:space="preserve"> </w:t>
      </w:r>
      <w:r w:rsidRPr="0051039E">
        <w:rPr>
          <w:rFonts w:eastAsia="Calibri"/>
          <w:lang w:val="en-GB"/>
        </w:rPr>
        <w:t>In a BEV, this distance could only be accomplished with a 95</w:t>
      </w:r>
      <w:r w:rsidR="0034107C">
        <w:rPr>
          <w:rFonts w:eastAsia="Calibri"/>
          <w:lang w:val="en-GB"/>
        </w:rPr>
        <w:t>–</w:t>
      </w:r>
      <w:r w:rsidRPr="0051039E">
        <w:rPr>
          <w:rFonts w:eastAsia="Calibri"/>
          <w:lang w:val="en-GB"/>
        </w:rPr>
        <w:t xml:space="preserve">100 kilowatt-hour </w:t>
      </w:r>
      <w:r w:rsidR="0034107C">
        <w:rPr>
          <w:rFonts w:eastAsia="Calibri"/>
          <w:lang w:val="en-GB"/>
        </w:rPr>
        <w:t>(</w:t>
      </w:r>
      <w:r w:rsidR="0034107C" w:rsidRPr="0051039E">
        <w:rPr>
          <w:rFonts w:eastAsia="Calibri"/>
          <w:lang w:val="en-GB"/>
        </w:rPr>
        <w:t>kWh</w:t>
      </w:r>
      <w:r w:rsidR="0034107C">
        <w:rPr>
          <w:lang w:val="en-GB" w:eastAsia="en-CA"/>
        </w:rPr>
        <w:t xml:space="preserve">) </w:t>
      </w:r>
      <w:r w:rsidRPr="0051039E">
        <w:rPr>
          <w:rFonts w:eastAsia="Calibri"/>
          <w:lang w:val="en-GB"/>
        </w:rPr>
        <w:t>battery pack.</w:t>
      </w:r>
      <w:r w:rsidR="000B1214" w:rsidRPr="0051039E">
        <w:rPr>
          <w:rFonts w:eastAsia="Calibri"/>
          <w:lang w:val="en-GB"/>
        </w:rPr>
        <w:t xml:space="preserve"> </w:t>
      </w:r>
      <w:r w:rsidRPr="0051039E">
        <w:rPr>
          <w:rFonts w:eastAsia="Calibri"/>
          <w:lang w:val="en-GB"/>
        </w:rPr>
        <w:t>With an average battery cost of $227 per kWh in 2016, down from approximately $1</w:t>
      </w:r>
      <w:r w:rsidR="0034107C">
        <w:rPr>
          <w:rFonts w:eastAsia="Calibri"/>
          <w:lang w:val="en-GB"/>
        </w:rPr>
        <w:t>,</w:t>
      </w:r>
      <w:r w:rsidRPr="0051039E">
        <w:rPr>
          <w:rFonts w:eastAsia="Calibri"/>
          <w:lang w:val="en-GB"/>
        </w:rPr>
        <w:t>000 per kWh in 2010</w:t>
      </w:r>
      <w:r w:rsidR="0034107C">
        <w:rPr>
          <w:rFonts w:eastAsia="Calibri"/>
          <w:lang w:val="en-GB"/>
        </w:rPr>
        <w:t>,</w:t>
      </w:r>
      <w:r w:rsidRPr="0051039E">
        <w:rPr>
          <w:rFonts w:eastAsia="Calibri"/>
          <w:vertAlign w:val="superscript"/>
          <w:lang w:val="en-GB"/>
        </w:rPr>
        <w:endnoteReference w:id="39"/>
      </w:r>
      <w:r w:rsidRPr="0051039E">
        <w:rPr>
          <w:rFonts w:eastAsia="Calibri"/>
          <w:lang w:val="en-GB"/>
        </w:rPr>
        <w:t xml:space="preserve"> the cost to produce these battery packs made the price of </w:t>
      </w:r>
      <w:r w:rsidR="0034107C">
        <w:rPr>
          <w:rFonts w:eastAsia="Calibri"/>
          <w:lang w:val="en-GB"/>
        </w:rPr>
        <w:t>electric</w:t>
      </w:r>
      <w:r w:rsidRPr="0051039E">
        <w:rPr>
          <w:rFonts w:eastAsia="Calibri"/>
          <w:lang w:val="en-GB"/>
        </w:rPr>
        <w:t xml:space="preserve"> vehicles prohibitive to most consumers. </w:t>
      </w:r>
      <w:r w:rsidR="0034107C">
        <w:rPr>
          <w:rFonts w:eastAsia="Calibri"/>
          <w:lang w:val="en-GB"/>
        </w:rPr>
        <w:t>In fact</w:t>
      </w:r>
      <w:r w:rsidRPr="0051039E">
        <w:rPr>
          <w:rFonts w:eastAsia="Calibri"/>
          <w:lang w:val="en-GB"/>
        </w:rPr>
        <w:t>, Tesla’s high-end sports BEV, the Roadster, entered the market priced at around $110</w:t>
      </w:r>
      <w:r w:rsidR="0034107C">
        <w:rPr>
          <w:rFonts w:eastAsia="Calibri"/>
          <w:lang w:val="en-GB"/>
        </w:rPr>
        <w:t>,000</w:t>
      </w:r>
      <w:r w:rsidRPr="0051039E">
        <w:rPr>
          <w:rFonts w:eastAsia="Calibri"/>
          <w:lang w:val="en-GB"/>
        </w:rPr>
        <w:t>.</w:t>
      </w:r>
      <w:r w:rsidRPr="0051039E">
        <w:rPr>
          <w:rFonts w:eastAsia="Calibri"/>
          <w:vertAlign w:val="superscript"/>
          <w:lang w:val="en-GB"/>
        </w:rPr>
        <w:endnoteReference w:id="40"/>
      </w:r>
      <w:r w:rsidR="0034107C">
        <w:rPr>
          <w:rFonts w:eastAsia="Calibri"/>
          <w:lang w:val="en-GB"/>
        </w:rPr>
        <w:t xml:space="preserve"> </w:t>
      </w:r>
      <w:r w:rsidRPr="0051039E">
        <w:rPr>
          <w:rFonts w:eastAsia="Calibri"/>
          <w:lang w:val="en-GB"/>
        </w:rPr>
        <w:t xml:space="preserve">This </w:t>
      </w:r>
      <w:r w:rsidR="0034107C">
        <w:rPr>
          <w:rFonts w:eastAsia="Calibri"/>
          <w:lang w:val="en-GB"/>
        </w:rPr>
        <w:t xml:space="preserve">affordability </w:t>
      </w:r>
      <w:r w:rsidRPr="0051039E">
        <w:rPr>
          <w:rFonts w:eastAsia="Calibri"/>
          <w:lang w:val="en-GB"/>
        </w:rPr>
        <w:t xml:space="preserve">problem </w:t>
      </w:r>
      <w:r w:rsidR="0034107C">
        <w:rPr>
          <w:rFonts w:eastAsia="Calibri"/>
          <w:lang w:val="en-GB"/>
        </w:rPr>
        <w:t>had</w:t>
      </w:r>
      <w:r w:rsidRPr="0051039E">
        <w:rPr>
          <w:rFonts w:eastAsia="Calibri"/>
          <w:lang w:val="en-GB"/>
        </w:rPr>
        <w:t xml:space="preserve"> to be solved </w:t>
      </w:r>
      <w:r w:rsidR="0034107C">
        <w:rPr>
          <w:rFonts w:eastAsia="Calibri"/>
          <w:lang w:val="en-GB"/>
        </w:rPr>
        <w:t>be</w:t>
      </w:r>
      <w:r w:rsidRPr="0051039E">
        <w:rPr>
          <w:rFonts w:eastAsia="Calibri"/>
          <w:lang w:val="en-GB"/>
        </w:rPr>
        <w:t>for</w:t>
      </w:r>
      <w:r w:rsidR="0034107C">
        <w:rPr>
          <w:rFonts w:eastAsia="Calibri"/>
          <w:lang w:val="en-GB"/>
        </w:rPr>
        <w:t>e</w:t>
      </w:r>
      <w:r w:rsidRPr="0051039E">
        <w:rPr>
          <w:rFonts w:eastAsia="Calibri"/>
          <w:lang w:val="en-GB"/>
        </w:rPr>
        <w:t xml:space="preserve"> BEV adoption </w:t>
      </w:r>
      <w:r w:rsidR="0034107C">
        <w:rPr>
          <w:rFonts w:eastAsia="Calibri"/>
          <w:lang w:val="en-GB"/>
        </w:rPr>
        <w:t>could</w:t>
      </w:r>
      <w:r w:rsidRPr="0051039E">
        <w:rPr>
          <w:rFonts w:eastAsia="Calibri"/>
          <w:lang w:val="en-GB"/>
        </w:rPr>
        <w:t xml:space="preserve"> grow </w:t>
      </w:r>
      <w:r w:rsidR="0034107C">
        <w:rPr>
          <w:rFonts w:eastAsia="Calibri"/>
          <w:lang w:val="en-GB"/>
        </w:rPr>
        <w:t>substantially,</w:t>
      </w:r>
      <w:r w:rsidRPr="0051039E">
        <w:rPr>
          <w:rFonts w:eastAsia="Calibri"/>
          <w:lang w:val="en-GB"/>
        </w:rPr>
        <w:t xml:space="preserve"> and the</w:t>
      </w:r>
      <w:r w:rsidR="0034107C">
        <w:rPr>
          <w:rFonts w:eastAsia="Calibri"/>
          <w:lang w:val="en-GB"/>
        </w:rPr>
        <w:t>re was some promise of</w:t>
      </w:r>
      <w:r w:rsidRPr="0051039E">
        <w:rPr>
          <w:rFonts w:eastAsia="Calibri"/>
          <w:lang w:val="en-GB"/>
        </w:rPr>
        <w:t xml:space="preserve"> progress </w:t>
      </w:r>
      <w:r w:rsidR="0034107C">
        <w:rPr>
          <w:rFonts w:eastAsia="Calibri"/>
          <w:lang w:val="en-GB"/>
        </w:rPr>
        <w:t>in this area</w:t>
      </w:r>
      <w:r w:rsidRPr="0051039E">
        <w:rPr>
          <w:rFonts w:eastAsia="Calibri"/>
          <w:lang w:val="en-GB"/>
        </w:rPr>
        <w:t>.</w:t>
      </w:r>
      <w:r w:rsidR="00382558" w:rsidRPr="0051039E">
        <w:rPr>
          <w:rFonts w:eastAsia="Calibri"/>
          <w:lang w:val="en-GB"/>
        </w:rPr>
        <w:t xml:space="preserve"> </w:t>
      </w:r>
      <w:r w:rsidR="0034107C">
        <w:rPr>
          <w:rFonts w:eastAsia="Calibri"/>
          <w:lang w:val="en-GB"/>
        </w:rPr>
        <w:t>I</w:t>
      </w:r>
      <w:r w:rsidRPr="0051039E">
        <w:rPr>
          <w:rFonts w:eastAsia="Calibri"/>
          <w:lang w:val="en-GB"/>
        </w:rPr>
        <w:t xml:space="preserve">n November 2017, </w:t>
      </w:r>
      <w:r w:rsidR="0034107C">
        <w:rPr>
          <w:rFonts w:eastAsia="Calibri"/>
          <w:lang w:val="en-GB"/>
        </w:rPr>
        <w:t xml:space="preserve">Tesla </w:t>
      </w:r>
      <w:r w:rsidRPr="0051039E">
        <w:rPr>
          <w:rFonts w:eastAsia="Calibri"/>
          <w:lang w:val="en-GB"/>
        </w:rPr>
        <w:t xml:space="preserve">implied </w:t>
      </w:r>
      <w:r w:rsidR="0034107C">
        <w:rPr>
          <w:rFonts w:eastAsia="Calibri"/>
          <w:lang w:val="en-GB"/>
        </w:rPr>
        <w:t xml:space="preserve">that </w:t>
      </w:r>
      <w:r w:rsidRPr="0051039E">
        <w:rPr>
          <w:rFonts w:eastAsia="Calibri"/>
          <w:lang w:val="en-GB"/>
        </w:rPr>
        <w:t xml:space="preserve">2019 battery pack pricing would </w:t>
      </w:r>
      <w:r w:rsidR="0034107C">
        <w:rPr>
          <w:rFonts w:eastAsia="Calibri"/>
          <w:lang w:val="en-GB"/>
        </w:rPr>
        <w:t>range</w:t>
      </w:r>
      <w:r w:rsidRPr="0051039E">
        <w:rPr>
          <w:rFonts w:eastAsia="Calibri"/>
          <w:lang w:val="en-GB"/>
        </w:rPr>
        <w:t xml:space="preserve"> $75</w:t>
      </w:r>
      <w:r w:rsidR="0034107C">
        <w:rPr>
          <w:rFonts w:eastAsia="Calibri"/>
          <w:lang w:val="en-GB"/>
        </w:rPr>
        <w:t>–</w:t>
      </w:r>
      <w:r w:rsidRPr="0051039E">
        <w:rPr>
          <w:rFonts w:eastAsia="Calibri"/>
          <w:lang w:val="en-GB"/>
        </w:rPr>
        <w:t>$90 per kWh</w:t>
      </w:r>
      <w:r w:rsidRPr="0051039E">
        <w:rPr>
          <w:rFonts w:eastAsia="Calibri"/>
          <w:vertAlign w:val="superscript"/>
          <w:lang w:val="en-GB"/>
        </w:rPr>
        <w:endnoteReference w:id="41"/>
      </w:r>
      <w:r w:rsidRPr="0051039E">
        <w:rPr>
          <w:rFonts w:eastAsia="Calibri"/>
          <w:lang w:val="en-GB"/>
        </w:rPr>
        <w:t xml:space="preserve"> for its soon-to-be-released BEV semi-truck.</w:t>
      </w:r>
      <w:r w:rsidR="00382558" w:rsidRPr="0051039E">
        <w:rPr>
          <w:rFonts w:eastAsia="Calibri"/>
          <w:lang w:val="en-GB"/>
        </w:rPr>
        <w:t xml:space="preserve"> </w:t>
      </w:r>
      <w:r w:rsidR="00BC4EDA">
        <w:rPr>
          <w:rFonts w:eastAsia="Calibri"/>
          <w:lang w:val="en-GB"/>
        </w:rPr>
        <w:t>This prediction supported most</w:t>
      </w:r>
      <w:r w:rsidR="00BC4EDA" w:rsidRPr="0051039E">
        <w:rPr>
          <w:rFonts w:eastAsia="Calibri"/>
          <w:lang w:val="en-GB"/>
        </w:rPr>
        <w:t xml:space="preserve"> </w:t>
      </w:r>
      <w:r w:rsidRPr="0051039E">
        <w:rPr>
          <w:rFonts w:eastAsia="Calibri"/>
          <w:lang w:val="en-GB"/>
        </w:rPr>
        <w:t>estimates</w:t>
      </w:r>
      <w:r w:rsidR="00BC4EDA">
        <w:rPr>
          <w:rFonts w:eastAsia="Calibri"/>
          <w:lang w:val="en-GB"/>
        </w:rPr>
        <w:t>, which</w:t>
      </w:r>
      <w:r w:rsidRPr="0051039E">
        <w:rPr>
          <w:rFonts w:eastAsia="Calibri"/>
          <w:lang w:val="en-GB"/>
        </w:rPr>
        <w:t xml:space="preserve"> suggested that the cost to produce lithium-ion batteries </w:t>
      </w:r>
      <w:r w:rsidR="0034107C">
        <w:rPr>
          <w:rFonts w:eastAsia="Calibri"/>
          <w:lang w:val="en-GB"/>
        </w:rPr>
        <w:t>had</w:t>
      </w:r>
      <w:r w:rsidRPr="0051039E">
        <w:rPr>
          <w:rFonts w:eastAsia="Calibri"/>
          <w:lang w:val="en-GB"/>
        </w:rPr>
        <w:t xml:space="preserve"> to be less than $100 per kWh to bring the overall cost of electric cars on par with their ICE competitors.</w:t>
      </w:r>
      <w:r w:rsidRPr="0051039E">
        <w:rPr>
          <w:rFonts w:eastAsia="Calibri"/>
          <w:vertAlign w:val="superscript"/>
          <w:lang w:val="en-GB"/>
        </w:rPr>
        <w:endnoteReference w:id="42"/>
      </w:r>
    </w:p>
    <w:p w14:paraId="4C9F1F00" w14:textId="5EA42576" w:rsidR="00D751FB" w:rsidRPr="0051039E" w:rsidRDefault="00D751FB" w:rsidP="00D751FB">
      <w:pPr>
        <w:pStyle w:val="BodyTextMain"/>
        <w:rPr>
          <w:rFonts w:eastAsia="Calibri"/>
          <w:lang w:val="en-GB"/>
        </w:rPr>
      </w:pPr>
      <w:r w:rsidRPr="0051039E">
        <w:rPr>
          <w:rFonts w:eastAsia="Calibri"/>
          <w:lang w:val="en-GB"/>
        </w:rPr>
        <w:lastRenderedPageBreak/>
        <w:t>The second inhibiting factor to the growth of the electric car market was the absence of charging stations or networks.</w:t>
      </w:r>
      <w:r w:rsidR="00382558" w:rsidRPr="0051039E">
        <w:rPr>
          <w:rFonts w:eastAsia="Calibri"/>
          <w:lang w:val="en-GB"/>
        </w:rPr>
        <w:t xml:space="preserve"> </w:t>
      </w:r>
      <w:r w:rsidRPr="0051039E">
        <w:rPr>
          <w:rFonts w:eastAsia="Calibri"/>
          <w:lang w:val="en-GB"/>
        </w:rPr>
        <w:t xml:space="preserve">Drivers of ICE vehicles came to enjoy the fact that filling stations were </w:t>
      </w:r>
      <w:r w:rsidR="00BC4EDA">
        <w:rPr>
          <w:rFonts w:eastAsia="Calibri"/>
          <w:lang w:val="en-GB"/>
        </w:rPr>
        <w:t>always nearby</w:t>
      </w:r>
      <w:r w:rsidRPr="0051039E">
        <w:rPr>
          <w:rFonts w:eastAsia="Calibri"/>
          <w:lang w:val="en-GB"/>
        </w:rPr>
        <w:t xml:space="preserve">, with over 156,000 </w:t>
      </w:r>
      <w:r w:rsidR="00BC4EDA">
        <w:rPr>
          <w:rFonts w:eastAsia="Calibri"/>
          <w:lang w:val="en-GB"/>
        </w:rPr>
        <w:t xml:space="preserve">gas stations </w:t>
      </w:r>
      <w:r w:rsidRPr="0051039E">
        <w:rPr>
          <w:rFonts w:eastAsia="Calibri"/>
          <w:lang w:val="en-GB"/>
        </w:rPr>
        <w:t>scattered across the U</w:t>
      </w:r>
      <w:r w:rsidR="00BC4EDA">
        <w:rPr>
          <w:rFonts w:eastAsia="Calibri"/>
          <w:lang w:val="en-GB"/>
        </w:rPr>
        <w:t xml:space="preserve">nited </w:t>
      </w:r>
      <w:r w:rsidRPr="0051039E">
        <w:rPr>
          <w:rFonts w:eastAsia="Calibri"/>
          <w:lang w:val="en-GB"/>
        </w:rPr>
        <w:t>S</w:t>
      </w:r>
      <w:r w:rsidR="00BC4EDA">
        <w:rPr>
          <w:rFonts w:eastAsia="Calibri"/>
          <w:lang w:val="en-GB"/>
        </w:rPr>
        <w:t>tates</w:t>
      </w:r>
      <w:r w:rsidRPr="0051039E">
        <w:rPr>
          <w:rFonts w:eastAsia="Calibri"/>
          <w:lang w:val="en-GB"/>
        </w:rPr>
        <w:t>.</w:t>
      </w:r>
      <w:r w:rsidRPr="0051039E">
        <w:rPr>
          <w:rFonts w:eastAsia="Calibri"/>
          <w:vertAlign w:val="superscript"/>
          <w:lang w:val="en-GB"/>
        </w:rPr>
        <w:endnoteReference w:id="43"/>
      </w:r>
      <w:r w:rsidR="00BC4EDA">
        <w:rPr>
          <w:rFonts w:eastAsia="Calibri"/>
          <w:lang w:val="en-GB"/>
        </w:rPr>
        <w:t xml:space="preserve"> </w:t>
      </w:r>
      <w:r w:rsidRPr="0051039E">
        <w:rPr>
          <w:rFonts w:eastAsia="Calibri"/>
          <w:lang w:val="en-GB"/>
        </w:rPr>
        <w:t xml:space="preserve">Tesla took matters into </w:t>
      </w:r>
      <w:r w:rsidR="00BC4EDA">
        <w:rPr>
          <w:rFonts w:eastAsia="Calibri"/>
          <w:lang w:val="en-GB"/>
        </w:rPr>
        <w:t>i</w:t>
      </w:r>
      <w:r w:rsidRPr="0051039E">
        <w:rPr>
          <w:rFonts w:eastAsia="Calibri"/>
          <w:lang w:val="en-GB"/>
        </w:rPr>
        <w:t>t</w:t>
      </w:r>
      <w:r w:rsidR="00BC4EDA">
        <w:rPr>
          <w:rFonts w:eastAsia="Calibri"/>
          <w:lang w:val="en-GB"/>
        </w:rPr>
        <w:t>s</w:t>
      </w:r>
      <w:r w:rsidRPr="0051039E">
        <w:rPr>
          <w:rFonts w:eastAsia="Calibri"/>
          <w:lang w:val="en-GB"/>
        </w:rPr>
        <w:t xml:space="preserve"> own hands by building a network of 1,000 supercharger stations, with a total of 6,934 supercharger stalls worldwide</w:t>
      </w:r>
      <w:r w:rsidR="006D2A01">
        <w:rPr>
          <w:rFonts w:eastAsia="Calibri"/>
          <w:lang w:val="en-GB"/>
        </w:rPr>
        <w:t>,</w:t>
      </w:r>
      <w:r w:rsidRPr="0051039E">
        <w:rPr>
          <w:rFonts w:eastAsia="Calibri"/>
          <w:vertAlign w:val="superscript"/>
          <w:lang w:val="en-GB"/>
        </w:rPr>
        <w:endnoteReference w:id="44"/>
      </w:r>
      <w:r w:rsidRPr="0051039E">
        <w:rPr>
          <w:rFonts w:eastAsia="Calibri"/>
          <w:lang w:val="en-GB"/>
        </w:rPr>
        <w:t xml:space="preserve"> which were free to use for Tesla owners.</w:t>
      </w:r>
      <w:r w:rsidR="00382558" w:rsidRPr="0051039E">
        <w:rPr>
          <w:rFonts w:eastAsia="Calibri"/>
          <w:lang w:val="en-GB"/>
        </w:rPr>
        <w:t xml:space="preserve"> </w:t>
      </w:r>
      <w:r w:rsidRPr="0051039E">
        <w:rPr>
          <w:rFonts w:eastAsia="Calibri"/>
          <w:lang w:val="en-GB"/>
        </w:rPr>
        <w:t>This was part of an industry and nation-wide government effort to install 45,000 charging outlets and 16,000 electric stations for electric vehicle owners.</w:t>
      </w:r>
      <w:r w:rsidRPr="0051039E">
        <w:rPr>
          <w:rFonts w:eastAsia="Calibri"/>
          <w:vertAlign w:val="superscript"/>
          <w:lang w:val="en-GB"/>
        </w:rPr>
        <w:endnoteReference w:id="45"/>
      </w:r>
    </w:p>
    <w:p w14:paraId="0F7519D8" w14:textId="77777777" w:rsidR="00D751FB" w:rsidRPr="0051039E" w:rsidRDefault="00D751FB" w:rsidP="00D751FB">
      <w:pPr>
        <w:pStyle w:val="BodyTextMain"/>
        <w:rPr>
          <w:rFonts w:eastAsia="Calibri"/>
          <w:lang w:val="en-GB"/>
        </w:rPr>
      </w:pPr>
    </w:p>
    <w:p w14:paraId="1A6D3AF4" w14:textId="7A7E7D9D" w:rsidR="00D751FB" w:rsidRPr="0051039E" w:rsidRDefault="006D2A01" w:rsidP="00D751FB">
      <w:pPr>
        <w:pStyle w:val="BodyTextMain"/>
        <w:rPr>
          <w:rFonts w:eastAsia="Calibri"/>
          <w:lang w:val="en-GB"/>
        </w:rPr>
      </w:pPr>
      <w:r>
        <w:rPr>
          <w:rFonts w:eastAsia="Calibri"/>
          <w:lang w:val="en-GB"/>
        </w:rPr>
        <w:t>Led in part by Tesla</w:t>
      </w:r>
      <w:r w:rsidR="00D751FB" w:rsidRPr="0051039E">
        <w:rPr>
          <w:rFonts w:eastAsia="Calibri"/>
          <w:lang w:val="en-GB"/>
        </w:rPr>
        <w:t>, the electric car industry</w:t>
      </w:r>
      <w:r>
        <w:rPr>
          <w:rFonts w:eastAsia="Calibri"/>
          <w:lang w:val="en-GB"/>
        </w:rPr>
        <w:t xml:space="preserve"> began to</w:t>
      </w:r>
      <w:r w:rsidR="00D751FB" w:rsidRPr="0051039E">
        <w:rPr>
          <w:rFonts w:eastAsia="Calibri"/>
          <w:lang w:val="en-GB"/>
        </w:rPr>
        <w:t xml:space="preserve"> buil</w:t>
      </w:r>
      <w:r>
        <w:rPr>
          <w:rFonts w:eastAsia="Calibri"/>
          <w:lang w:val="en-GB"/>
        </w:rPr>
        <w:t>d</w:t>
      </w:r>
      <w:r w:rsidR="00D751FB" w:rsidRPr="0051039E">
        <w:rPr>
          <w:rFonts w:eastAsia="Calibri"/>
          <w:lang w:val="en-GB"/>
        </w:rPr>
        <w:t xml:space="preserve"> a foundation for tremendous growth.</w:t>
      </w:r>
      <w:r w:rsidR="00382558" w:rsidRPr="0051039E">
        <w:rPr>
          <w:rFonts w:eastAsia="Calibri"/>
          <w:lang w:val="en-GB"/>
        </w:rPr>
        <w:t xml:space="preserve"> </w:t>
      </w:r>
      <w:r>
        <w:rPr>
          <w:rFonts w:eastAsia="Calibri"/>
          <w:lang w:val="en-GB"/>
        </w:rPr>
        <w:t>I</w:t>
      </w:r>
      <w:r w:rsidR="00D751FB" w:rsidRPr="0051039E">
        <w:rPr>
          <w:rFonts w:eastAsia="Calibri"/>
          <w:lang w:val="en-GB"/>
        </w:rPr>
        <w:t xml:space="preserve">n </w:t>
      </w:r>
      <w:r>
        <w:rPr>
          <w:rFonts w:eastAsia="Calibri"/>
          <w:lang w:val="en-GB"/>
        </w:rPr>
        <w:t>a</w:t>
      </w:r>
      <w:r w:rsidR="00D751FB" w:rsidRPr="0051039E">
        <w:rPr>
          <w:rFonts w:eastAsia="Calibri"/>
          <w:lang w:val="en-GB"/>
        </w:rPr>
        <w:t xml:space="preserve"> 2017 </w:t>
      </w:r>
      <w:r w:rsidR="002B3880" w:rsidRPr="0051039E">
        <w:rPr>
          <w:rFonts w:eastAsia="Calibri"/>
          <w:lang w:val="en-GB"/>
        </w:rPr>
        <w:t>groundbreaking</w:t>
      </w:r>
      <w:r w:rsidR="00D751FB" w:rsidRPr="0051039E">
        <w:rPr>
          <w:rFonts w:eastAsia="Calibri"/>
          <w:lang w:val="en-GB"/>
        </w:rPr>
        <w:t xml:space="preserve"> study, </w:t>
      </w:r>
      <w:r w:rsidRPr="0051039E">
        <w:rPr>
          <w:rFonts w:eastAsia="Calibri"/>
          <w:lang w:val="en-GB"/>
        </w:rPr>
        <w:t>UBS</w:t>
      </w:r>
      <w:r>
        <w:rPr>
          <w:rFonts w:eastAsia="Calibri"/>
          <w:lang w:val="en-GB"/>
        </w:rPr>
        <w:t xml:space="preserve"> </w:t>
      </w:r>
      <w:r w:rsidR="00964FD5">
        <w:rPr>
          <w:rFonts w:eastAsia="Calibri"/>
          <w:lang w:val="en-GB"/>
        </w:rPr>
        <w:t xml:space="preserve">Global Research </w:t>
      </w:r>
      <w:r w:rsidR="00D751FB" w:rsidRPr="0051039E">
        <w:rPr>
          <w:rFonts w:eastAsia="Calibri"/>
          <w:lang w:val="en-GB"/>
        </w:rPr>
        <w:t>estimated that BEVs would represent 30 per</w:t>
      </w:r>
      <w:r>
        <w:rPr>
          <w:rFonts w:eastAsia="Calibri"/>
          <w:lang w:val="en-GB"/>
        </w:rPr>
        <w:t xml:space="preserve"> </w:t>
      </w:r>
      <w:r w:rsidR="00D751FB" w:rsidRPr="0051039E">
        <w:rPr>
          <w:rFonts w:eastAsia="Calibri"/>
          <w:lang w:val="en-GB"/>
        </w:rPr>
        <w:t>cent of the European market, 15 per</w:t>
      </w:r>
      <w:r>
        <w:rPr>
          <w:rFonts w:eastAsia="Calibri"/>
          <w:lang w:val="en-GB"/>
        </w:rPr>
        <w:t xml:space="preserve"> </w:t>
      </w:r>
      <w:r w:rsidR="00D751FB" w:rsidRPr="0051039E">
        <w:rPr>
          <w:rFonts w:eastAsia="Calibri"/>
          <w:lang w:val="en-GB"/>
        </w:rPr>
        <w:t>cent of the Chinese market</w:t>
      </w:r>
      <w:r>
        <w:rPr>
          <w:rFonts w:eastAsia="Calibri"/>
          <w:lang w:val="en-GB"/>
        </w:rPr>
        <w:t>,</w:t>
      </w:r>
      <w:r w:rsidR="00D751FB" w:rsidRPr="0051039E">
        <w:rPr>
          <w:rFonts w:eastAsia="Calibri"/>
          <w:lang w:val="en-GB"/>
        </w:rPr>
        <w:t xml:space="preserve"> and 5 per</w:t>
      </w:r>
      <w:r>
        <w:rPr>
          <w:rFonts w:eastAsia="Calibri"/>
          <w:lang w:val="en-GB"/>
        </w:rPr>
        <w:t xml:space="preserve"> </w:t>
      </w:r>
      <w:r w:rsidR="00D751FB" w:rsidRPr="0051039E">
        <w:rPr>
          <w:rFonts w:eastAsia="Calibri"/>
          <w:lang w:val="en-GB"/>
        </w:rPr>
        <w:t>cent of the North American market by 2025.</w:t>
      </w:r>
      <w:r w:rsidR="00D751FB" w:rsidRPr="0051039E">
        <w:rPr>
          <w:rFonts w:eastAsia="Calibri"/>
          <w:vertAlign w:val="superscript"/>
          <w:lang w:val="en-GB"/>
        </w:rPr>
        <w:endnoteReference w:id="46"/>
      </w:r>
      <w:r>
        <w:rPr>
          <w:rFonts w:eastAsia="Calibri"/>
          <w:lang w:val="en-GB"/>
        </w:rPr>
        <w:t xml:space="preserve"> </w:t>
      </w:r>
      <w:r w:rsidR="00D751FB" w:rsidRPr="0051039E">
        <w:rPr>
          <w:rFonts w:eastAsia="Calibri"/>
          <w:lang w:val="en-GB"/>
        </w:rPr>
        <w:t>Between 2020 and 2025, electric vehicle sales would see a compounded annual growth rate of an astounding 46 per</w:t>
      </w:r>
      <w:r>
        <w:rPr>
          <w:rFonts w:eastAsia="Calibri"/>
          <w:lang w:val="en-GB"/>
        </w:rPr>
        <w:t xml:space="preserve"> </w:t>
      </w:r>
      <w:r w:rsidR="00D751FB" w:rsidRPr="0051039E">
        <w:rPr>
          <w:rFonts w:eastAsia="Calibri"/>
          <w:lang w:val="en-GB"/>
        </w:rPr>
        <w:t xml:space="preserve">cent to </w:t>
      </w:r>
      <w:r>
        <w:rPr>
          <w:rFonts w:eastAsia="Calibri"/>
          <w:lang w:val="en-GB"/>
        </w:rPr>
        <w:t xml:space="preserve">reach </w:t>
      </w:r>
      <w:r w:rsidR="00D751FB" w:rsidRPr="0051039E">
        <w:rPr>
          <w:rFonts w:eastAsia="Calibri"/>
          <w:lang w:val="en-GB"/>
        </w:rPr>
        <w:t>14 million units annually.</w:t>
      </w:r>
      <w:r w:rsidR="00D751FB" w:rsidRPr="0051039E">
        <w:rPr>
          <w:rFonts w:eastAsia="Calibri"/>
          <w:vertAlign w:val="superscript"/>
          <w:lang w:val="en-GB"/>
        </w:rPr>
        <w:endnoteReference w:id="47"/>
      </w:r>
      <w:r>
        <w:rPr>
          <w:rFonts w:eastAsia="Calibri"/>
          <w:lang w:val="en-GB"/>
        </w:rPr>
        <w:t xml:space="preserve"> </w:t>
      </w:r>
      <w:r w:rsidR="00D751FB" w:rsidRPr="0051039E">
        <w:rPr>
          <w:rFonts w:eastAsia="Calibri"/>
          <w:lang w:val="en-GB"/>
        </w:rPr>
        <w:t>This was a 500 per</w:t>
      </w:r>
      <w:r>
        <w:rPr>
          <w:rFonts w:eastAsia="Calibri"/>
          <w:lang w:val="en-GB"/>
        </w:rPr>
        <w:t xml:space="preserve"> </w:t>
      </w:r>
      <w:r w:rsidR="00D751FB" w:rsidRPr="0051039E">
        <w:rPr>
          <w:rFonts w:eastAsia="Calibri"/>
          <w:lang w:val="en-GB"/>
        </w:rPr>
        <w:t xml:space="preserve">cent increase over predictions from </w:t>
      </w:r>
      <w:r>
        <w:rPr>
          <w:rFonts w:eastAsia="Calibri"/>
          <w:lang w:val="en-GB"/>
        </w:rPr>
        <w:t>the</w:t>
      </w:r>
      <w:r w:rsidR="00D751FB" w:rsidRPr="0051039E">
        <w:rPr>
          <w:rFonts w:eastAsia="Calibri"/>
          <w:lang w:val="en-GB"/>
        </w:rPr>
        <w:t xml:space="preserve"> previous</w:t>
      </w:r>
      <w:r>
        <w:rPr>
          <w:rFonts w:eastAsia="Calibri"/>
          <w:lang w:val="en-GB"/>
        </w:rPr>
        <w:t xml:space="preserve"> year</w:t>
      </w:r>
      <w:r w:rsidR="00D751FB" w:rsidRPr="0051039E">
        <w:rPr>
          <w:rFonts w:eastAsia="Calibri"/>
          <w:lang w:val="en-GB"/>
        </w:rPr>
        <w:t>.</w:t>
      </w:r>
      <w:r w:rsidR="00D751FB" w:rsidRPr="0051039E">
        <w:rPr>
          <w:rFonts w:eastAsia="Calibri"/>
          <w:vertAlign w:val="superscript"/>
          <w:lang w:val="en-GB"/>
        </w:rPr>
        <w:endnoteReference w:id="48"/>
      </w:r>
      <w:r>
        <w:rPr>
          <w:rFonts w:eastAsia="Calibri"/>
          <w:lang w:val="en-GB"/>
        </w:rPr>
        <w:t xml:space="preserve"> </w:t>
      </w:r>
      <w:r w:rsidR="00D751FB" w:rsidRPr="0051039E">
        <w:rPr>
          <w:rFonts w:eastAsia="Calibri"/>
          <w:lang w:val="en-GB"/>
        </w:rPr>
        <w:t>The market was finally entering the steep part of the BEV adoption curve.</w:t>
      </w:r>
    </w:p>
    <w:p w14:paraId="6B7B610E" w14:textId="77777777" w:rsidR="00D751FB" w:rsidRPr="0051039E" w:rsidRDefault="00D751FB" w:rsidP="00D751FB">
      <w:pPr>
        <w:pStyle w:val="BodyTextMain"/>
        <w:rPr>
          <w:rFonts w:eastAsia="Calibri"/>
          <w:lang w:val="en-GB"/>
        </w:rPr>
      </w:pPr>
    </w:p>
    <w:p w14:paraId="77473BB0" w14:textId="5F93A76F" w:rsidR="00D751FB" w:rsidRPr="0051039E" w:rsidRDefault="00D751FB" w:rsidP="00D751FB">
      <w:pPr>
        <w:pStyle w:val="BodyTextMain"/>
        <w:rPr>
          <w:rFonts w:eastAsia="Calibri"/>
          <w:lang w:val="en-GB"/>
        </w:rPr>
      </w:pPr>
      <w:r w:rsidRPr="0051039E">
        <w:rPr>
          <w:rFonts w:eastAsia="Calibri"/>
          <w:lang w:val="en-GB"/>
        </w:rPr>
        <w:t>Many countries and companies were jumping on board.</w:t>
      </w:r>
      <w:r w:rsidR="00382558" w:rsidRPr="0051039E">
        <w:rPr>
          <w:rFonts w:eastAsia="Calibri"/>
          <w:lang w:val="en-GB"/>
        </w:rPr>
        <w:t xml:space="preserve"> </w:t>
      </w:r>
      <w:r w:rsidRPr="0051039E">
        <w:rPr>
          <w:rFonts w:eastAsia="Calibri"/>
          <w:lang w:val="en-GB"/>
        </w:rPr>
        <w:t xml:space="preserve">China announced </w:t>
      </w:r>
      <w:r w:rsidR="006D2A01">
        <w:rPr>
          <w:rFonts w:eastAsia="Calibri"/>
          <w:lang w:val="en-GB"/>
        </w:rPr>
        <w:t>i</w:t>
      </w:r>
      <w:r w:rsidRPr="0051039E">
        <w:rPr>
          <w:rFonts w:eastAsia="Calibri"/>
          <w:lang w:val="en-GB"/>
        </w:rPr>
        <w:t>t</w:t>
      </w:r>
      <w:r w:rsidR="006D2A01">
        <w:rPr>
          <w:rFonts w:eastAsia="Calibri"/>
          <w:lang w:val="en-GB"/>
        </w:rPr>
        <w:t>s</w:t>
      </w:r>
      <w:r w:rsidRPr="0051039E">
        <w:rPr>
          <w:rFonts w:eastAsia="Calibri"/>
          <w:lang w:val="en-GB"/>
        </w:rPr>
        <w:t xml:space="preserve"> new </w:t>
      </w:r>
      <w:r w:rsidRPr="0051039E">
        <w:rPr>
          <w:rFonts w:eastAsia="Calibri"/>
          <w:i/>
          <w:lang w:val="en-GB"/>
        </w:rPr>
        <w:t>Made in China 2025</w:t>
      </w:r>
      <w:r w:rsidRPr="0051039E">
        <w:rPr>
          <w:rFonts w:eastAsia="Calibri"/>
          <w:lang w:val="en-GB"/>
        </w:rPr>
        <w:t xml:space="preserve"> policy </w:t>
      </w:r>
      <w:r w:rsidR="006D2A01">
        <w:rPr>
          <w:rFonts w:eastAsia="Calibri"/>
          <w:lang w:val="en-GB"/>
        </w:rPr>
        <w:t>that</w:t>
      </w:r>
      <w:r w:rsidR="00117B73">
        <w:rPr>
          <w:rFonts w:eastAsia="Calibri"/>
          <w:lang w:val="en-GB"/>
        </w:rPr>
        <w:t xml:space="preserve"> it</w:t>
      </w:r>
      <w:r w:rsidRPr="0051039E">
        <w:rPr>
          <w:rFonts w:eastAsia="Calibri"/>
          <w:lang w:val="en-GB"/>
        </w:rPr>
        <w:t xml:space="preserve"> would provide a $15,000 subsidy per BEV</w:t>
      </w:r>
      <w:r w:rsidR="006D2A01">
        <w:rPr>
          <w:rFonts w:eastAsia="Calibri"/>
          <w:lang w:val="en-GB"/>
        </w:rPr>
        <w:t xml:space="preserve"> purchased</w:t>
      </w:r>
      <w:r w:rsidR="00117B73">
        <w:rPr>
          <w:rFonts w:eastAsia="Calibri"/>
          <w:lang w:val="en-GB"/>
        </w:rPr>
        <w:t>, among other incentives</w:t>
      </w:r>
      <w:r w:rsidRPr="0051039E">
        <w:rPr>
          <w:rFonts w:eastAsia="Calibri"/>
          <w:lang w:val="en-GB"/>
        </w:rPr>
        <w:t>.</w:t>
      </w:r>
      <w:r w:rsidRPr="0051039E">
        <w:rPr>
          <w:rFonts w:eastAsia="Calibri"/>
          <w:vertAlign w:val="superscript"/>
          <w:lang w:val="en-GB"/>
        </w:rPr>
        <w:endnoteReference w:id="49"/>
      </w:r>
      <w:r w:rsidR="006D2A01">
        <w:rPr>
          <w:rFonts w:eastAsia="Calibri"/>
          <w:lang w:val="en-GB"/>
        </w:rPr>
        <w:t xml:space="preserve"> China</w:t>
      </w:r>
      <w:r w:rsidR="006D2A01" w:rsidRPr="0051039E">
        <w:rPr>
          <w:rFonts w:eastAsia="Calibri"/>
          <w:lang w:val="en-GB"/>
        </w:rPr>
        <w:t xml:space="preserve"> </w:t>
      </w:r>
      <w:r w:rsidRPr="0051039E">
        <w:rPr>
          <w:rFonts w:eastAsia="Calibri"/>
          <w:lang w:val="en-GB"/>
        </w:rPr>
        <w:t xml:space="preserve">already had 171,000 charging stations </w:t>
      </w:r>
      <w:r w:rsidR="006D2A01">
        <w:rPr>
          <w:rFonts w:eastAsia="Calibri"/>
          <w:lang w:val="en-GB"/>
        </w:rPr>
        <w:t xml:space="preserve">in place </w:t>
      </w:r>
      <w:r w:rsidRPr="0051039E">
        <w:rPr>
          <w:rFonts w:eastAsia="Calibri"/>
          <w:lang w:val="en-GB"/>
        </w:rPr>
        <w:t xml:space="preserve">and planned to invest </w:t>
      </w:r>
      <w:r w:rsidR="006D2A01">
        <w:rPr>
          <w:rFonts w:eastAsia="Calibri"/>
          <w:lang w:val="en-GB"/>
        </w:rPr>
        <w:t>¥</w:t>
      </w:r>
      <w:r w:rsidRPr="0051039E">
        <w:rPr>
          <w:rFonts w:eastAsia="Calibri"/>
          <w:lang w:val="en-GB"/>
        </w:rPr>
        <w:t>25</w:t>
      </w:r>
      <w:r w:rsidR="006D2A01">
        <w:rPr>
          <w:rFonts w:eastAsia="Calibri"/>
          <w:lang w:val="en-GB"/>
        </w:rPr>
        <w:t xml:space="preserve"> </w:t>
      </w:r>
      <w:r w:rsidRPr="0051039E">
        <w:rPr>
          <w:rFonts w:eastAsia="Calibri"/>
          <w:lang w:val="en-GB"/>
        </w:rPr>
        <w:t>b</w:t>
      </w:r>
      <w:r w:rsidR="006D2A01">
        <w:rPr>
          <w:rFonts w:eastAsia="Calibri"/>
          <w:lang w:val="en-GB"/>
        </w:rPr>
        <w:t>illion</w:t>
      </w:r>
      <w:r w:rsidRPr="0051039E">
        <w:rPr>
          <w:rFonts w:eastAsia="Calibri"/>
          <w:lang w:val="en-GB"/>
        </w:rPr>
        <w:t xml:space="preserve"> ($3.98</w:t>
      </w:r>
      <w:r w:rsidR="006D2A01">
        <w:rPr>
          <w:rFonts w:eastAsia="Calibri"/>
          <w:lang w:val="en-GB"/>
        </w:rPr>
        <w:t xml:space="preserve"> billion</w:t>
      </w:r>
      <w:r w:rsidRPr="0051039E">
        <w:rPr>
          <w:rFonts w:eastAsia="Calibri"/>
          <w:lang w:val="en-GB"/>
        </w:rPr>
        <w:t>)</w:t>
      </w:r>
      <w:r w:rsidRPr="0051039E">
        <w:rPr>
          <w:rFonts w:eastAsia="Calibri"/>
          <w:vertAlign w:val="superscript"/>
          <w:lang w:val="en-GB"/>
        </w:rPr>
        <w:endnoteReference w:id="50"/>
      </w:r>
      <w:r w:rsidRPr="0051039E">
        <w:rPr>
          <w:rFonts w:eastAsia="Calibri"/>
          <w:lang w:val="en-GB"/>
        </w:rPr>
        <w:t xml:space="preserve"> by 2020 to expand this network.</w:t>
      </w:r>
      <w:r w:rsidR="000B1214" w:rsidRPr="0051039E">
        <w:rPr>
          <w:rFonts w:eastAsia="Calibri"/>
          <w:lang w:val="en-GB"/>
        </w:rPr>
        <w:t xml:space="preserve"> </w:t>
      </w:r>
      <w:r w:rsidRPr="0051039E">
        <w:rPr>
          <w:rFonts w:eastAsia="Calibri"/>
          <w:lang w:val="en-GB"/>
        </w:rPr>
        <w:t>The industry boomed in response to these measures.</w:t>
      </w:r>
      <w:r w:rsidR="00382558" w:rsidRPr="0051039E">
        <w:rPr>
          <w:rFonts w:eastAsia="Calibri"/>
          <w:lang w:val="en-GB"/>
        </w:rPr>
        <w:t xml:space="preserve"> </w:t>
      </w:r>
      <w:r w:rsidRPr="0051039E">
        <w:rPr>
          <w:rFonts w:eastAsia="Calibri"/>
          <w:lang w:val="en-GB"/>
        </w:rPr>
        <w:t>BEV and hybrid vehicle sales in China were up 53 per</w:t>
      </w:r>
      <w:r w:rsidR="000B7774">
        <w:rPr>
          <w:rFonts w:eastAsia="Calibri"/>
          <w:lang w:val="en-GB"/>
        </w:rPr>
        <w:t xml:space="preserve"> </w:t>
      </w:r>
      <w:r w:rsidRPr="0051039E">
        <w:rPr>
          <w:rFonts w:eastAsia="Calibri"/>
          <w:lang w:val="en-GB"/>
        </w:rPr>
        <w:t>cent in 2016 to 507,000, which represented 45 per</w:t>
      </w:r>
      <w:r w:rsidR="000B7774">
        <w:rPr>
          <w:rFonts w:eastAsia="Calibri"/>
          <w:lang w:val="en-GB"/>
        </w:rPr>
        <w:t xml:space="preserve"> </w:t>
      </w:r>
      <w:r w:rsidRPr="0051039E">
        <w:rPr>
          <w:rFonts w:eastAsia="Calibri"/>
          <w:lang w:val="en-GB"/>
        </w:rPr>
        <w:t>cent of all such vehicles sold worldwide.</w:t>
      </w:r>
      <w:r w:rsidR="000B1214" w:rsidRPr="0051039E">
        <w:rPr>
          <w:rFonts w:eastAsia="Calibri"/>
          <w:lang w:val="en-GB"/>
        </w:rPr>
        <w:t xml:space="preserve"> </w:t>
      </w:r>
      <w:r w:rsidRPr="0051039E">
        <w:rPr>
          <w:rFonts w:eastAsia="Calibri"/>
          <w:lang w:val="en-GB"/>
        </w:rPr>
        <w:t>Importantly, more than 200 companies announced intentions to produce and sell BEVs in China, most of which were new to the industry.</w:t>
      </w:r>
      <w:r w:rsidR="00382558" w:rsidRPr="0051039E">
        <w:rPr>
          <w:rFonts w:eastAsia="Calibri"/>
          <w:lang w:val="en-GB"/>
        </w:rPr>
        <w:t xml:space="preserve"> </w:t>
      </w:r>
      <w:r w:rsidR="00117B73">
        <w:rPr>
          <w:rFonts w:eastAsia="Calibri"/>
          <w:lang w:val="en-GB"/>
        </w:rPr>
        <w:t xml:space="preserve">In fact, </w:t>
      </w:r>
      <w:r w:rsidRPr="0051039E">
        <w:rPr>
          <w:rFonts w:eastAsia="Calibri"/>
          <w:lang w:val="en-GB"/>
        </w:rPr>
        <w:t xml:space="preserve">France and Britain announced </w:t>
      </w:r>
      <w:r w:rsidR="00117B73">
        <w:rPr>
          <w:rFonts w:eastAsia="Calibri"/>
          <w:lang w:val="en-GB"/>
        </w:rPr>
        <w:t xml:space="preserve">that </w:t>
      </w:r>
      <w:r w:rsidRPr="0051039E">
        <w:rPr>
          <w:rFonts w:eastAsia="Calibri"/>
          <w:lang w:val="en-GB"/>
        </w:rPr>
        <w:t>they would ban traditional ICE vehicles by 2040, while Germany called for a ban by 2030.</w:t>
      </w:r>
      <w:r w:rsidRPr="0051039E">
        <w:rPr>
          <w:rFonts w:eastAsia="Calibri"/>
          <w:vertAlign w:val="superscript"/>
          <w:lang w:val="en-GB"/>
        </w:rPr>
        <w:endnoteReference w:id="51"/>
      </w:r>
    </w:p>
    <w:p w14:paraId="02C9B478" w14:textId="77777777" w:rsidR="00D751FB" w:rsidRPr="0051039E" w:rsidRDefault="00D751FB" w:rsidP="00D751FB">
      <w:pPr>
        <w:pStyle w:val="BodyTextMain"/>
        <w:rPr>
          <w:rFonts w:eastAsia="Calibri"/>
          <w:lang w:val="en-GB"/>
        </w:rPr>
      </w:pPr>
    </w:p>
    <w:p w14:paraId="0F1D17DE" w14:textId="4C28D4B8" w:rsidR="00D751FB" w:rsidRPr="0051039E" w:rsidRDefault="00D751FB" w:rsidP="00D751FB">
      <w:pPr>
        <w:pStyle w:val="BodyTextMain"/>
        <w:rPr>
          <w:rFonts w:eastAsia="Calibri"/>
          <w:lang w:val="en-GB"/>
        </w:rPr>
      </w:pPr>
      <w:r w:rsidRPr="0051039E">
        <w:rPr>
          <w:rFonts w:eastAsia="Calibri"/>
          <w:lang w:val="en-GB"/>
        </w:rPr>
        <w:t xml:space="preserve">Traditional </w:t>
      </w:r>
      <w:r w:rsidR="00A71045">
        <w:rPr>
          <w:rFonts w:eastAsia="Calibri"/>
          <w:lang w:val="en-GB"/>
        </w:rPr>
        <w:t xml:space="preserve">automobile </w:t>
      </w:r>
      <w:r w:rsidRPr="0051039E">
        <w:rPr>
          <w:rFonts w:eastAsia="Calibri"/>
          <w:lang w:val="en-GB"/>
        </w:rPr>
        <w:t>ma</w:t>
      </w:r>
      <w:r w:rsidR="00A71045">
        <w:rPr>
          <w:rFonts w:eastAsia="Calibri"/>
          <w:lang w:val="en-GB"/>
        </w:rPr>
        <w:t>nufactur</w:t>
      </w:r>
      <w:r w:rsidRPr="0051039E">
        <w:rPr>
          <w:rFonts w:eastAsia="Calibri"/>
          <w:lang w:val="en-GB"/>
        </w:rPr>
        <w:t>ers were also following suit as the market heated up.</w:t>
      </w:r>
      <w:r w:rsidR="00382558" w:rsidRPr="0051039E">
        <w:rPr>
          <w:rFonts w:eastAsia="Calibri"/>
          <w:lang w:val="en-GB"/>
        </w:rPr>
        <w:t xml:space="preserve"> </w:t>
      </w:r>
      <w:r w:rsidRPr="0051039E">
        <w:rPr>
          <w:rFonts w:eastAsia="Calibri"/>
          <w:lang w:val="en-GB"/>
        </w:rPr>
        <w:t xml:space="preserve">Volvo, a Chinese-owned Swedish </w:t>
      </w:r>
      <w:r w:rsidR="00A71045">
        <w:rPr>
          <w:rFonts w:eastAsia="Calibri"/>
          <w:lang w:val="en-GB"/>
        </w:rPr>
        <w:t>auto</w:t>
      </w:r>
      <w:r w:rsidRPr="0051039E">
        <w:rPr>
          <w:rFonts w:eastAsia="Calibri"/>
          <w:lang w:val="en-GB"/>
        </w:rPr>
        <w:t xml:space="preserve">maker, announced </w:t>
      </w:r>
      <w:r w:rsidR="000B7774">
        <w:rPr>
          <w:rFonts w:eastAsia="Calibri"/>
          <w:lang w:val="en-GB"/>
        </w:rPr>
        <w:t xml:space="preserve">that </w:t>
      </w:r>
      <w:r w:rsidRPr="0051039E">
        <w:rPr>
          <w:rFonts w:eastAsia="Calibri"/>
          <w:lang w:val="en-GB"/>
        </w:rPr>
        <w:t xml:space="preserve">its entire vehicle line </w:t>
      </w:r>
      <w:r w:rsidR="00A71045">
        <w:rPr>
          <w:rFonts w:eastAsia="Calibri"/>
          <w:lang w:val="en-GB"/>
        </w:rPr>
        <w:t>would be electric</w:t>
      </w:r>
      <w:r w:rsidR="000B7774">
        <w:rPr>
          <w:rFonts w:eastAsia="Calibri"/>
          <w:lang w:val="en-GB"/>
        </w:rPr>
        <w:t xml:space="preserve"> </w:t>
      </w:r>
      <w:r w:rsidRPr="0051039E">
        <w:rPr>
          <w:rFonts w:eastAsia="Calibri"/>
          <w:lang w:val="en-GB"/>
        </w:rPr>
        <w:t>by 2019, with five all-electric models set to roll out from 2019 to 2021.</w:t>
      </w:r>
      <w:r w:rsidRPr="0051039E">
        <w:rPr>
          <w:rFonts w:eastAsia="Calibri"/>
          <w:vertAlign w:val="superscript"/>
          <w:lang w:val="en-GB"/>
        </w:rPr>
        <w:endnoteReference w:id="52"/>
      </w:r>
      <w:r w:rsidR="000B7774">
        <w:rPr>
          <w:rFonts w:eastAsia="Calibri"/>
          <w:lang w:val="en-GB"/>
        </w:rPr>
        <w:t xml:space="preserve"> </w:t>
      </w:r>
      <w:r w:rsidRPr="0051039E">
        <w:rPr>
          <w:rFonts w:eastAsia="Calibri"/>
          <w:lang w:val="en-GB"/>
        </w:rPr>
        <w:t>GM announced its plans to phase out ICE vehicles for an “all-electric future</w:t>
      </w:r>
      <w:r w:rsidR="000B7774">
        <w:rPr>
          <w:rFonts w:eastAsia="Calibri"/>
          <w:lang w:val="en-GB"/>
        </w:rPr>
        <w:t>,</w:t>
      </w:r>
      <w:r w:rsidRPr="0051039E">
        <w:rPr>
          <w:rFonts w:eastAsia="Calibri"/>
          <w:lang w:val="en-GB"/>
        </w:rPr>
        <w:t xml:space="preserve">” including efforts to have 20 all-electric vehicles on </w:t>
      </w:r>
      <w:r w:rsidR="000B7774">
        <w:rPr>
          <w:rFonts w:eastAsia="Calibri"/>
          <w:lang w:val="en-GB"/>
        </w:rPr>
        <w:t>a</w:t>
      </w:r>
      <w:r w:rsidRPr="0051039E">
        <w:rPr>
          <w:rFonts w:eastAsia="Calibri"/>
          <w:lang w:val="en-GB"/>
        </w:rPr>
        <w:t xml:space="preserve"> new modular </w:t>
      </w:r>
      <w:r w:rsidR="000B7774">
        <w:rPr>
          <w:rFonts w:eastAsia="Calibri"/>
          <w:lang w:val="en-GB"/>
        </w:rPr>
        <w:t>B</w:t>
      </w:r>
      <w:r w:rsidRPr="0051039E">
        <w:rPr>
          <w:rFonts w:eastAsia="Calibri"/>
          <w:lang w:val="en-GB"/>
        </w:rPr>
        <w:t xml:space="preserve">EV </w:t>
      </w:r>
      <w:r w:rsidR="000B7774">
        <w:rPr>
          <w:rFonts w:eastAsia="Calibri"/>
          <w:lang w:val="en-GB"/>
        </w:rPr>
        <w:t xml:space="preserve">production </w:t>
      </w:r>
      <w:r w:rsidRPr="0051039E">
        <w:rPr>
          <w:rFonts w:eastAsia="Calibri"/>
          <w:lang w:val="en-GB"/>
        </w:rPr>
        <w:t>platform by 2023</w:t>
      </w:r>
      <w:r w:rsidR="000B7774">
        <w:rPr>
          <w:rFonts w:eastAsia="Calibri"/>
          <w:lang w:val="en-GB"/>
        </w:rPr>
        <w:t xml:space="preserve"> that</w:t>
      </w:r>
      <w:r w:rsidRPr="0051039E">
        <w:rPr>
          <w:rFonts w:eastAsia="Calibri"/>
          <w:lang w:val="en-GB"/>
        </w:rPr>
        <w:t xml:space="preserve"> would be flexible enough to accommodate nine different body styles in multiple sizes, segments</w:t>
      </w:r>
      <w:r w:rsidR="000B7774">
        <w:rPr>
          <w:rFonts w:eastAsia="Calibri"/>
          <w:lang w:val="en-GB"/>
        </w:rPr>
        <w:t>,</w:t>
      </w:r>
      <w:r w:rsidRPr="0051039E">
        <w:rPr>
          <w:rFonts w:eastAsia="Calibri"/>
          <w:lang w:val="en-GB"/>
        </w:rPr>
        <w:t xml:space="preserve"> and brands.</w:t>
      </w:r>
      <w:r w:rsidR="00382558" w:rsidRPr="0051039E">
        <w:rPr>
          <w:rFonts w:eastAsia="Calibri"/>
          <w:lang w:val="en-GB"/>
        </w:rPr>
        <w:t xml:space="preserve"> </w:t>
      </w:r>
      <w:r w:rsidR="000B7774">
        <w:rPr>
          <w:rFonts w:eastAsia="Calibri"/>
          <w:lang w:val="en-GB"/>
        </w:rPr>
        <w:t>GM also</w:t>
      </w:r>
      <w:r w:rsidRPr="0051039E">
        <w:rPr>
          <w:rFonts w:eastAsia="Calibri"/>
          <w:lang w:val="en-GB"/>
        </w:rPr>
        <w:t xml:space="preserve"> planned to cut the cost of lithium-ion batteries to </w:t>
      </w:r>
      <w:r w:rsidR="000B7774">
        <w:rPr>
          <w:rFonts w:eastAsia="Calibri"/>
          <w:lang w:val="en-GB"/>
        </w:rPr>
        <w:t>under</w:t>
      </w:r>
      <w:r w:rsidRPr="0051039E">
        <w:rPr>
          <w:rFonts w:eastAsia="Calibri"/>
          <w:lang w:val="en-GB"/>
        </w:rPr>
        <w:t xml:space="preserve"> $100 per k</w:t>
      </w:r>
      <w:r w:rsidR="000B7774">
        <w:rPr>
          <w:rFonts w:eastAsia="Calibri"/>
          <w:lang w:val="en-GB"/>
        </w:rPr>
        <w:t>Wh</w:t>
      </w:r>
      <w:r w:rsidR="000B7774" w:rsidRPr="0051039E">
        <w:rPr>
          <w:rFonts w:eastAsia="Calibri"/>
          <w:lang w:val="en-GB"/>
        </w:rPr>
        <w:t xml:space="preserve"> by 2021</w:t>
      </w:r>
      <w:r w:rsidR="000B7774">
        <w:rPr>
          <w:rFonts w:eastAsia="Calibri"/>
          <w:lang w:val="en-GB"/>
        </w:rPr>
        <w:t xml:space="preserve">, </w:t>
      </w:r>
      <w:r w:rsidRPr="0051039E">
        <w:rPr>
          <w:rFonts w:eastAsia="Calibri"/>
          <w:lang w:val="en-GB"/>
        </w:rPr>
        <w:t xml:space="preserve">from the current </w:t>
      </w:r>
      <w:r w:rsidR="000B7774">
        <w:rPr>
          <w:rFonts w:eastAsia="Calibri"/>
          <w:lang w:val="en-GB"/>
        </w:rPr>
        <w:t xml:space="preserve">cost of </w:t>
      </w:r>
      <w:r w:rsidRPr="0051039E">
        <w:rPr>
          <w:rFonts w:eastAsia="Calibri"/>
          <w:lang w:val="en-GB"/>
        </w:rPr>
        <w:t xml:space="preserve">$145. As such, GM expected these efforts to drive </w:t>
      </w:r>
      <w:r w:rsidR="000B7774">
        <w:rPr>
          <w:rFonts w:eastAsia="Calibri"/>
          <w:lang w:val="en-GB"/>
        </w:rPr>
        <w:t>B</w:t>
      </w:r>
      <w:r w:rsidRPr="0051039E">
        <w:rPr>
          <w:rFonts w:eastAsia="Calibri"/>
          <w:lang w:val="en-GB"/>
        </w:rPr>
        <w:t xml:space="preserve">EV vehicle sales to over 1 million units </w:t>
      </w:r>
      <w:r w:rsidR="000B7774">
        <w:rPr>
          <w:rFonts w:eastAsia="Calibri"/>
          <w:lang w:val="en-GB"/>
        </w:rPr>
        <w:t>per</w:t>
      </w:r>
      <w:r w:rsidRPr="0051039E">
        <w:rPr>
          <w:rFonts w:eastAsia="Calibri"/>
          <w:lang w:val="en-GB"/>
        </w:rPr>
        <w:t xml:space="preserve"> year by 2026, representing 10 per</w:t>
      </w:r>
      <w:r w:rsidR="000B7774">
        <w:rPr>
          <w:rFonts w:eastAsia="Calibri"/>
          <w:lang w:val="en-GB"/>
        </w:rPr>
        <w:t xml:space="preserve"> </w:t>
      </w:r>
      <w:r w:rsidRPr="0051039E">
        <w:rPr>
          <w:rFonts w:eastAsia="Calibri"/>
          <w:lang w:val="en-GB"/>
        </w:rPr>
        <w:t>cent of the</w:t>
      </w:r>
      <w:r w:rsidR="000B7774">
        <w:rPr>
          <w:rFonts w:eastAsia="Calibri"/>
          <w:lang w:val="en-GB"/>
        </w:rPr>
        <w:t xml:space="preserve"> company’s</w:t>
      </w:r>
      <w:r w:rsidRPr="0051039E">
        <w:rPr>
          <w:rFonts w:eastAsia="Calibri"/>
          <w:lang w:val="en-GB"/>
        </w:rPr>
        <w:t xml:space="preserve"> global vehicle sales.</w:t>
      </w:r>
      <w:r w:rsidRPr="0051039E">
        <w:rPr>
          <w:rFonts w:eastAsia="Calibri"/>
          <w:vertAlign w:val="superscript"/>
          <w:lang w:val="en-GB"/>
        </w:rPr>
        <w:endnoteReference w:id="53"/>
      </w:r>
    </w:p>
    <w:p w14:paraId="6A2962EF" w14:textId="77777777" w:rsidR="00D751FB" w:rsidRPr="0051039E" w:rsidRDefault="00D751FB" w:rsidP="00D751FB">
      <w:pPr>
        <w:pStyle w:val="BodyTextMain"/>
        <w:rPr>
          <w:rFonts w:eastAsia="Calibri"/>
          <w:lang w:val="en-GB"/>
        </w:rPr>
      </w:pPr>
    </w:p>
    <w:p w14:paraId="50C56003" w14:textId="23AF2146" w:rsidR="00D751FB" w:rsidRPr="002B3880" w:rsidRDefault="00D751FB" w:rsidP="00D751FB">
      <w:pPr>
        <w:pStyle w:val="BodyTextMain"/>
        <w:rPr>
          <w:rFonts w:eastAsia="Calibri"/>
          <w:spacing w:val="-2"/>
          <w:kern w:val="22"/>
          <w:lang w:val="en-GB"/>
        </w:rPr>
      </w:pPr>
      <w:r w:rsidRPr="002B3880">
        <w:rPr>
          <w:rFonts w:eastAsia="Calibri"/>
          <w:spacing w:val="-2"/>
          <w:kern w:val="22"/>
          <w:lang w:val="en-GB"/>
        </w:rPr>
        <w:t>BEVs represent</w:t>
      </w:r>
      <w:r w:rsidR="000B7774" w:rsidRPr="002B3880">
        <w:rPr>
          <w:rFonts w:eastAsia="Calibri"/>
          <w:spacing w:val="-2"/>
          <w:kern w:val="22"/>
          <w:lang w:val="en-GB"/>
        </w:rPr>
        <w:t>ed</w:t>
      </w:r>
      <w:r w:rsidRPr="002B3880">
        <w:rPr>
          <w:rFonts w:eastAsia="Calibri"/>
          <w:spacing w:val="-2"/>
          <w:kern w:val="22"/>
          <w:lang w:val="en-GB"/>
        </w:rPr>
        <w:t xml:space="preserve"> many other interesting, and possibly fatal, changes to traditional </w:t>
      </w:r>
      <w:r w:rsidR="00117B73" w:rsidRPr="002B3880">
        <w:rPr>
          <w:rFonts w:eastAsia="Calibri"/>
          <w:spacing w:val="-2"/>
          <w:kern w:val="22"/>
          <w:lang w:val="en-GB"/>
        </w:rPr>
        <w:t>stalwarts</w:t>
      </w:r>
      <w:r w:rsidRPr="002B3880">
        <w:rPr>
          <w:rFonts w:eastAsia="Calibri"/>
          <w:spacing w:val="-2"/>
          <w:kern w:val="22"/>
          <w:lang w:val="en-GB"/>
        </w:rPr>
        <w:t xml:space="preserve"> in the auto</w:t>
      </w:r>
      <w:r w:rsidR="00117B73" w:rsidRPr="002B3880">
        <w:rPr>
          <w:rFonts w:eastAsia="Calibri"/>
          <w:spacing w:val="-2"/>
          <w:kern w:val="22"/>
          <w:lang w:val="en-GB"/>
        </w:rPr>
        <w:t>mobile</w:t>
      </w:r>
      <w:r w:rsidRPr="002B3880">
        <w:rPr>
          <w:rFonts w:eastAsia="Calibri"/>
          <w:spacing w:val="-2"/>
          <w:kern w:val="22"/>
          <w:lang w:val="en-GB"/>
        </w:rPr>
        <w:t xml:space="preserve"> industry.</w:t>
      </w:r>
      <w:r w:rsidR="00382558" w:rsidRPr="002B3880">
        <w:rPr>
          <w:rFonts w:eastAsia="Calibri"/>
          <w:spacing w:val="-2"/>
          <w:kern w:val="22"/>
          <w:lang w:val="en-GB"/>
        </w:rPr>
        <w:t xml:space="preserve"> </w:t>
      </w:r>
      <w:r w:rsidRPr="002B3880">
        <w:rPr>
          <w:rFonts w:eastAsia="Calibri"/>
          <w:spacing w:val="-2"/>
          <w:kern w:val="22"/>
          <w:lang w:val="en-GB"/>
        </w:rPr>
        <w:t xml:space="preserve">For example, BEV powertrains only had 35 moving </w:t>
      </w:r>
      <w:r w:rsidR="000B7774" w:rsidRPr="002B3880">
        <w:rPr>
          <w:rFonts w:eastAsia="Calibri"/>
          <w:spacing w:val="-2"/>
          <w:kern w:val="22"/>
          <w:lang w:val="en-GB"/>
        </w:rPr>
        <w:t>and</w:t>
      </w:r>
      <w:r w:rsidRPr="002B3880">
        <w:rPr>
          <w:rFonts w:eastAsia="Calibri"/>
          <w:spacing w:val="-2"/>
          <w:kern w:val="22"/>
          <w:lang w:val="en-GB"/>
        </w:rPr>
        <w:t xml:space="preserve"> wearable parts, wh</w:t>
      </w:r>
      <w:r w:rsidR="000B7774" w:rsidRPr="002B3880">
        <w:rPr>
          <w:rFonts w:eastAsia="Calibri"/>
          <w:spacing w:val="-2"/>
          <w:kern w:val="22"/>
          <w:lang w:val="en-GB"/>
        </w:rPr>
        <w:t>ereas</w:t>
      </w:r>
      <w:r w:rsidRPr="002B3880">
        <w:rPr>
          <w:rFonts w:eastAsia="Calibri"/>
          <w:spacing w:val="-2"/>
          <w:kern w:val="22"/>
          <w:lang w:val="en-GB"/>
        </w:rPr>
        <w:t xml:space="preserve"> an equivalent ICE powertrain hosted 167 moving </w:t>
      </w:r>
      <w:r w:rsidR="000B7774" w:rsidRPr="002B3880">
        <w:rPr>
          <w:rFonts w:eastAsia="Calibri"/>
          <w:spacing w:val="-2"/>
          <w:kern w:val="22"/>
          <w:lang w:val="en-GB"/>
        </w:rPr>
        <w:t>and</w:t>
      </w:r>
      <w:r w:rsidRPr="002B3880">
        <w:rPr>
          <w:rFonts w:eastAsia="Calibri"/>
          <w:spacing w:val="-2"/>
          <w:kern w:val="22"/>
          <w:lang w:val="en-GB"/>
        </w:rPr>
        <w:t xml:space="preserve"> wearable parts.</w:t>
      </w:r>
      <w:r w:rsidRPr="002B3880">
        <w:rPr>
          <w:rFonts w:eastAsia="Calibri"/>
          <w:spacing w:val="-2"/>
          <w:kern w:val="22"/>
          <w:vertAlign w:val="superscript"/>
          <w:lang w:val="en-GB"/>
        </w:rPr>
        <w:endnoteReference w:id="54"/>
      </w:r>
      <w:r w:rsidR="000B7774" w:rsidRPr="002B3880">
        <w:rPr>
          <w:rFonts w:eastAsia="Calibri"/>
          <w:spacing w:val="-2"/>
          <w:kern w:val="22"/>
          <w:lang w:val="en-GB"/>
        </w:rPr>
        <w:t xml:space="preserve"> </w:t>
      </w:r>
      <w:r w:rsidRPr="002B3880">
        <w:rPr>
          <w:rFonts w:eastAsia="Calibri"/>
          <w:spacing w:val="-2"/>
          <w:kern w:val="22"/>
          <w:lang w:val="en-GB"/>
        </w:rPr>
        <w:t>This would ultimately make BEVs less expensive to manufacture and maintain.</w:t>
      </w:r>
      <w:r w:rsidR="00382558" w:rsidRPr="002B3880">
        <w:rPr>
          <w:rFonts w:eastAsia="Calibri"/>
          <w:spacing w:val="-2"/>
          <w:kern w:val="22"/>
          <w:lang w:val="en-GB"/>
        </w:rPr>
        <w:t xml:space="preserve"> </w:t>
      </w:r>
      <w:r w:rsidRPr="002B3880">
        <w:rPr>
          <w:rFonts w:eastAsia="Calibri"/>
          <w:spacing w:val="-2"/>
          <w:kern w:val="22"/>
          <w:lang w:val="en-GB"/>
        </w:rPr>
        <w:t>The e</w:t>
      </w:r>
      <w:r w:rsidR="000B7774" w:rsidRPr="002B3880">
        <w:rPr>
          <w:rFonts w:eastAsia="Calibri"/>
          <w:spacing w:val="-2"/>
          <w:kern w:val="22"/>
          <w:lang w:val="en-GB"/>
        </w:rPr>
        <w:t xml:space="preserve">lectric </w:t>
      </w:r>
      <w:r w:rsidRPr="002B3880">
        <w:rPr>
          <w:rFonts w:eastAsia="Calibri"/>
          <w:spacing w:val="-2"/>
          <w:kern w:val="22"/>
          <w:lang w:val="en-GB"/>
        </w:rPr>
        <w:t>motor itself was less complex</w:t>
      </w:r>
      <w:r w:rsidR="000B7774" w:rsidRPr="002B3880">
        <w:rPr>
          <w:rFonts w:eastAsia="Calibri"/>
          <w:spacing w:val="-2"/>
          <w:kern w:val="22"/>
          <w:lang w:val="en-GB"/>
        </w:rPr>
        <w:t>,</w:t>
      </w:r>
      <w:r w:rsidRPr="002B3880">
        <w:rPr>
          <w:rFonts w:eastAsia="Calibri"/>
          <w:spacing w:val="-2"/>
          <w:kern w:val="22"/>
          <w:lang w:val="en-GB"/>
        </w:rPr>
        <w:t xml:space="preserve"> with only three moving parts</w:t>
      </w:r>
      <w:r w:rsidR="000B7774" w:rsidRPr="002B3880">
        <w:rPr>
          <w:rFonts w:eastAsia="Calibri"/>
          <w:spacing w:val="-2"/>
          <w:kern w:val="22"/>
          <w:lang w:val="en-GB"/>
        </w:rPr>
        <w:t xml:space="preserve"> that</w:t>
      </w:r>
      <w:r w:rsidRPr="002B3880">
        <w:rPr>
          <w:rFonts w:eastAsia="Calibri"/>
          <w:spacing w:val="-2"/>
          <w:kern w:val="22"/>
          <w:lang w:val="en-GB"/>
        </w:rPr>
        <w:t xml:space="preserve"> were brushless</w:t>
      </w:r>
      <w:r w:rsidR="000B7774" w:rsidRPr="002B3880">
        <w:rPr>
          <w:rFonts w:eastAsia="Calibri"/>
          <w:spacing w:val="-2"/>
          <w:kern w:val="22"/>
          <w:lang w:val="en-GB"/>
        </w:rPr>
        <w:t>,</w:t>
      </w:r>
      <w:r w:rsidRPr="002B3880">
        <w:rPr>
          <w:rFonts w:eastAsia="Calibri"/>
          <w:spacing w:val="-2"/>
          <w:kern w:val="22"/>
          <w:lang w:val="en-GB"/>
        </w:rPr>
        <w:t xml:space="preserve"> and thus virtually maintenance</w:t>
      </w:r>
      <w:r w:rsidR="000B7774" w:rsidRPr="002B3880">
        <w:rPr>
          <w:rFonts w:eastAsia="Calibri"/>
          <w:spacing w:val="-2"/>
          <w:kern w:val="22"/>
          <w:lang w:val="en-GB"/>
        </w:rPr>
        <w:t>-</w:t>
      </w:r>
      <w:r w:rsidRPr="002B3880">
        <w:rPr>
          <w:rFonts w:eastAsia="Calibri"/>
          <w:spacing w:val="-2"/>
          <w:kern w:val="22"/>
          <w:lang w:val="en-GB"/>
        </w:rPr>
        <w:t>free.</w:t>
      </w:r>
      <w:r w:rsidRPr="002B3880">
        <w:rPr>
          <w:rFonts w:eastAsia="Calibri"/>
          <w:spacing w:val="-2"/>
          <w:kern w:val="22"/>
          <w:vertAlign w:val="superscript"/>
          <w:lang w:val="en-GB"/>
        </w:rPr>
        <w:endnoteReference w:id="55"/>
      </w:r>
      <w:r w:rsidR="000B7774" w:rsidRPr="002B3880">
        <w:rPr>
          <w:rFonts w:eastAsia="Calibri"/>
          <w:spacing w:val="-2"/>
          <w:kern w:val="22"/>
          <w:lang w:val="en-GB"/>
        </w:rPr>
        <w:t xml:space="preserve"> </w:t>
      </w:r>
      <w:r w:rsidRPr="002B3880">
        <w:rPr>
          <w:rFonts w:eastAsia="Calibri"/>
          <w:spacing w:val="-2"/>
          <w:kern w:val="22"/>
          <w:lang w:val="en-GB"/>
        </w:rPr>
        <w:t>UBS</w:t>
      </w:r>
      <w:r w:rsidR="00964FD5" w:rsidRPr="002B3880">
        <w:rPr>
          <w:rFonts w:eastAsia="Calibri"/>
          <w:spacing w:val="-2"/>
          <w:kern w:val="22"/>
          <w:lang w:val="en-GB"/>
        </w:rPr>
        <w:t xml:space="preserve"> Global Research</w:t>
      </w:r>
      <w:r w:rsidRPr="002B3880">
        <w:rPr>
          <w:rFonts w:eastAsia="Calibri"/>
          <w:spacing w:val="-2"/>
          <w:kern w:val="22"/>
          <w:lang w:val="en-GB"/>
        </w:rPr>
        <w:t xml:space="preserve"> estimated the maintenance cost for </w:t>
      </w:r>
      <w:r w:rsidR="000B7774" w:rsidRPr="002B3880">
        <w:rPr>
          <w:rFonts w:eastAsia="Calibri"/>
          <w:spacing w:val="-2"/>
          <w:kern w:val="22"/>
          <w:lang w:val="en-GB"/>
        </w:rPr>
        <w:t>GM’s</w:t>
      </w:r>
      <w:r w:rsidRPr="002B3880">
        <w:rPr>
          <w:rFonts w:eastAsia="Calibri"/>
          <w:spacing w:val="-2"/>
          <w:kern w:val="22"/>
          <w:lang w:val="en-GB"/>
        </w:rPr>
        <w:t xml:space="preserve"> current </w:t>
      </w:r>
      <w:r w:rsidR="000B7774" w:rsidRPr="002B3880">
        <w:rPr>
          <w:rFonts w:eastAsia="Calibri"/>
          <w:spacing w:val="-2"/>
          <w:kern w:val="22"/>
          <w:lang w:val="en-GB"/>
        </w:rPr>
        <w:t xml:space="preserve">BEV model, the </w:t>
      </w:r>
      <w:r w:rsidRPr="002B3880">
        <w:rPr>
          <w:rFonts w:eastAsia="Calibri"/>
          <w:spacing w:val="-2"/>
          <w:kern w:val="22"/>
          <w:lang w:val="en-GB"/>
        </w:rPr>
        <w:t>Chev</w:t>
      </w:r>
      <w:r w:rsidR="000B7774" w:rsidRPr="002B3880">
        <w:rPr>
          <w:rFonts w:eastAsia="Calibri"/>
          <w:spacing w:val="-2"/>
          <w:kern w:val="22"/>
          <w:lang w:val="en-GB"/>
        </w:rPr>
        <w:t>rolet</w:t>
      </w:r>
      <w:r w:rsidRPr="002B3880">
        <w:rPr>
          <w:rFonts w:eastAsia="Calibri"/>
          <w:spacing w:val="-2"/>
          <w:kern w:val="22"/>
          <w:lang w:val="en-GB"/>
        </w:rPr>
        <w:t xml:space="preserve"> Bolt</w:t>
      </w:r>
      <w:r w:rsidR="000B7774" w:rsidRPr="002B3880">
        <w:rPr>
          <w:rFonts w:eastAsia="Calibri"/>
          <w:spacing w:val="-2"/>
          <w:kern w:val="22"/>
          <w:lang w:val="en-GB"/>
        </w:rPr>
        <w:t xml:space="preserve"> EV</w:t>
      </w:r>
      <w:r w:rsidR="00152AE1" w:rsidRPr="002B3880">
        <w:rPr>
          <w:rFonts w:eastAsia="Calibri"/>
          <w:spacing w:val="-2"/>
          <w:kern w:val="22"/>
          <w:lang w:val="en-GB"/>
        </w:rPr>
        <w:t xml:space="preserve"> (the Chevrolet BEV)</w:t>
      </w:r>
      <w:r w:rsidR="000B7774" w:rsidRPr="002B3880">
        <w:rPr>
          <w:rFonts w:eastAsia="Calibri"/>
          <w:spacing w:val="-2"/>
          <w:kern w:val="22"/>
          <w:lang w:val="en-GB"/>
        </w:rPr>
        <w:t>,</w:t>
      </w:r>
      <w:r w:rsidRPr="002B3880">
        <w:rPr>
          <w:rFonts w:eastAsia="Calibri"/>
          <w:spacing w:val="-2"/>
          <w:kern w:val="22"/>
          <w:lang w:val="en-GB"/>
        </w:rPr>
        <w:t xml:space="preserve"> at $255</w:t>
      </w:r>
      <w:r w:rsidR="000B7774" w:rsidRPr="002B3880">
        <w:rPr>
          <w:rFonts w:eastAsia="Calibri"/>
          <w:spacing w:val="-2"/>
          <w:kern w:val="22"/>
          <w:lang w:val="en-GB"/>
        </w:rPr>
        <w:t xml:space="preserve"> per year</w:t>
      </w:r>
      <w:r w:rsidR="00A7230F" w:rsidRPr="002B3880">
        <w:rPr>
          <w:rFonts w:eastAsia="Calibri"/>
          <w:spacing w:val="-2"/>
          <w:kern w:val="22"/>
          <w:lang w:val="en-GB"/>
        </w:rPr>
        <w:t>, compared to $610 for an</w:t>
      </w:r>
      <w:r w:rsidRPr="002B3880">
        <w:rPr>
          <w:rFonts w:eastAsia="Calibri"/>
          <w:spacing w:val="-2"/>
          <w:kern w:val="22"/>
          <w:lang w:val="en-GB"/>
        </w:rPr>
        <w:t xml:space="preserve"> equivalent ICE </w:t>
      </w:r>
      <w:r w:rsidR="00A7230F" w:rsidRPr="002B3880">
        <w:rPr>
          <w:rFonts w:eastAsia="Calibri"/>
          <w:spacing w:val="-2"/>
          <w:kern w:val="22"/>
          <w:lang w:val="en-GB"/>
        </w:rPr>
        <w:t>model, such as the</w:t>
      </w:r>
      <w:r w:rsidRPr="002B3880">
        <w:rPr>
          <w:rFonts w:eastAsia="Calibri"/>
          <w:spacing w:val="-2"/>
          <w:kern w:val="22"/>
          <w:lang w:val="en-GB"/>
        </w:rPr>
        <w:t xml:space="preserve"> V</w:t>
      </w:r>
      <w:r w:rsidR="00A7230F" w:rsidRPr="002B3880">
        <w:rPr>
          <w:rFonts w:eastAsia="Calibri"/>
          <w:spacing w:val="-2"/>
          <w:kern w:val="22"/>
          <w:lang w:val="en-GB"/>
        </w:rPr>
        <w:t>olkswagen</w:t>
      </w:r>
      <w:r w:rsidRPr="002B3880">
        <w:rPr>
          <w:rFonts w:eastAsia="Calibri"/>
          <w:spacing w:val="-2"/>
          <w:kern w:val="22"/>
          <w:lang w:val="en-GB"/>
        </w:rPr>
        <w:t xml:space="preserve"> Golf.</w:t>
      </w:r>
      <w:r w:rsidR="000B7774" w:rsidRPr="002B3880">
        <w:rPr>
          <w:rFonts w:eastAsia="Calibri"/>
          <w:spacing w:val="-2"/>
          <w:kern w:val="22"/>
          <w:lang w:val="en-GB"/>
        </w:rPr>
        <w:t xml:space="preserve"> </w:t>
      </w:r>
      <w:r w:rsidRPr="002B3880">
        <w:rPr>
          <w:rFonts w:eastAsia="Calibri"/>
          <w:spacing w:val="-2"/>
          <w:kern w:val="22"/>
          <w:lang w:val="en-GB"/>
        </w:rPr>
        <w:t xml:space="preserve">The </w:t>
      </w:r>
      <w:r w:rsidR="000B7774" w:rsidRPr="002B3880">
        <w:rPr>
          <w:rFonts w:eastAsia="Calibri"/>
          <w:spacing w:val="-2"/>
          <w:kern w:val="22"/>
          <w:lang w:val="en-GB"/>
        </w:rPr>
        <w:t xml:space="preserve">Chevrolet </w:t>
      </w:r>
      <w:r w:rsidRPr="002B3880">
        <w:rPr>
          <w:rFonts w:eastAsia="Calibri"/>
          <w:spacing w:val="-2"/>
          <w:kern w:val="22"/>
          <w:lang w:val="en-GB"/>
        </w:rPr>
        <w:t>B</w:t>
      </w:r>
      <w:r w:rsidR="000B7774" w:rsidRPr="002B3880">
        <w:rPr>
          <w:rFonts w:eastAsia="Calibri"/>
          <w:spacing w:val="-2"/>
          <w:kern w:val="22"/>
          <w:lang w:val="en-GB"/>
        </w:rPr>
        <w:t xml:space="preserve">EV </w:t>
      </w:r>
      <w:r w:rsidRPr="002B3880">
        <w:rPr>
          <w:rFonts w:eastAsia="Calibri"/>
          <w:spacing w:val="-2"/>
          <w:kern w:val="22"/>
          <w:lang w:val="en-GB"/>
        </w:rPr>
        <w:t>was almost maintenance free, with significantly fewer parts to replace over the car’s life.</w:t>
      </w:r>
      <w:r w:rsidR="00382558" w:rsidRPr="002B3880">
        <w:rPr>
          <w:rFonts w:eastAsia="Calibri"/>
          <w:spacing w:val="-2"/>
          <w:kern w:val="22"/>
          <w:lang w:val="en-GB"/>
        </w:rPr>
        <w:t xml:space="preserve"> </w:t>
      </w:r>
      <w:r w:rsidRPr="002B3880">
        <w:rPr>
          <w:rFonts w:eastAsia="Calibri"/>
          <w:spacing w:val="-2"/>
          <w:kern w:val="22"/>
          <w:lang w:val="en-GB"/>
        </w:rPr>
        <w:t>It did not require a regular change of fluids</w:t>
      </w:r>
      <w:r w:rsidR="000B7774" w:rsidRPr="002B3880">
        <w:rPr>
          <w:rFonts w:eastAsia="Calibri"/>
          <w:spacing w:val="-2"/>
          <w:kern w:val="22"/>
          <w:lang w:val="en-GB"/>
        </w:rPr>
        <w:t xml:space="preserve"> such as</w:t>
      </w:r>
      <w:r w:rsidRPr="002B3880">
        <w:rPr>
          <w:rFonts w:eastAsia="Calibri"/>
          <w:spacing w:val="-2"/>
          <w:kern w:val="22"/>
          <w:lang w:val="en-GB"/>
        </w:rPr>
        <w:t xml:space="preserve"> engine oil, </w:t>
      </w:r>
      <w:r w:rsidR="000B7774" w:rsidRPr="002B3880">
        <w:rPr>
          <w:rFonts w:eastAsia="Calibri"/>
          <w:spacing w:val="-2"/>
          <w:kern w:val="22"/>
          <w:lang w:val="en-GB"/>
        </w:rPr>
        <w:t>bec</w:t>
      </w:r>
      <w:r w:rsidRPr="002B3880">
        <w:rPr>
          <w:rFonts w:eastAsia="Calibri"/>
          <w:spacing w:val="-2"/>
          <w:kern w:val="22"/>
          <w:lang w:val="en-GB"/>
        </w:rPr>
        <w:t>a</w:t>
      </w:r>
      <w:r w:rsidR="000B7774" w:rsidRPr="002B3880">
        <w:rPr>
          <w:rFonts w:eastAsia="Calibri"/>
          <w:spacing w:val="-2"/>
          <w:kern w:val="22"/>
          <w:lang w:val="en-GB"/>
        </w:rPr>
        <w:t>u</w:t>
      </w:r>
      <w:r w:rsidRPr="002B3880">
        <w:rPr>
          <w:rFonts w:eastAsia="Calibri"/>
          <w:spacing w:val="-2"/>
          <w:kern w:val="22"/>
          <w:lang w:val="en-GB"/>
        </w:rPr>
        <w:t>s</w:t>
      </w:r>
      <w:r w:rsidR="000B7774" w:rsidRPr="002B3880">
        <w:rPr>
          <w:rFonts w:eastAsia="Calibri"/>
          <w:spacing w:val="-2"/>
          <w:kern w:val="22"/>
          <w:lang w:val="en-GB"/>
        </w:rPr>
        <w:t>e</w:t>
      </w:r>
      <w:r w:rsidRPr="002B3880">
        <w:rPr>
          <w:rFonts w:eastAsia="Calibri"/>
          <w:spacing w:val="-2"/>
          <w:kern w:val="22"/>
          <w:lang w:val="en-GB"/>
        </w:rPr>
        <w:t xml:space="preserve"> it had none.</w:t>
      </w:r>
      <w:r w:rsidR="00382558" w:rsidRPr="002B3880">
        <w:rPr>
          <w:rFonts w:eastAsia="Calibri"/>
          <w:spacing w:val="-2"/>
          <w:kern w:val="22"/>
          <w:lang w:val="en-GB"/>
        </w:rPr>
        <w:t xml:space="preserve"> </w:t>
      </w:r>
      <w:r w:rsidRPr="002B3880">
        <w:rPr>
          <w:rFonts w:eastAsia="Calibri"/>
          <w:spacing w:val="-2"/>
          <w:kern w:val="22"/>
          <w:lang w:val="en-GB"/>
        </w:rPr>
        <w:t xml:space="preserve">With the exception of rotating tires and changing the cabin filter, the </w:t>
      </w:r>
      <w:r w:rsidR="000B7774" w:rsidRPr="002B3880">
        <w:rPr>
          <w:rFonts w:eastAsia="Calibri"/>
          <w:spacing w:val="-2"/>
          <w:kern w:val="22"/>
          <w:lang w:val="en-GB"/>
        </w:rPr>
        <w:t xml:space="preserve">Chevrolet </w:t>
      </w:r>
      <w:r w:rsidRPr="002B3880">
        <w:rPr>
          <w:rFonts w:eastAsia="Calibri"/>
          <w:spacing w:val="-2"/>
          <w:kern w:val="22"/>
          <w:lang w:val="en-GB"/>
        </w:rPr>
        <w:t>B</w:t>
      </w:r>
      <w:r w:rsidR="000B7774" w:rsidRPr="002B3880">
        <w:rPr>
          <w:rFonts w:eastAsia="Calibri"/>
          <w:spacing w:val="-2"/>
          <w:kern w:val="22"/>
          <w:lang w:val="en-GB"/>
        </w:rPr>
        <w:t xml:space="preserve">EV </w:t>
      </w:r>
      <w:r w:rsidRPr="002B3880">
        <w:rPr>
          <w:rFonts w:eastAsia="Calibri"/>
          <w:spacing w:val="-2"/>
          <w:kern w:val="22"/>
          <w:lang w:val="en-GB"/>
        </w:rPr>
        <w:t>required little to no maintenance for the first 150</w:t>
      </w:r>
      <w:r w:rsidR="000B7774" w:rsidRPr="002B3880">
        <w:rPr>
          <w:rFonts w:eastAsia="Calibri"/>
          <w:spacing w:val="-2"/>
          <w:kern w:val="22"/>
          <w:lang w:val="en-GB"/>
        </w:rPr>
        <w:t>,000</w:t>
      </w:r>
      <w:r w:rsidRPr="002B3880">
        <w:rPr>
          <w:rFonts w:eastAsia="Calibri"/>
          <w:spacing w:val="-2"/>
          <w:kern w:val="22"/>
          <w:lang w:val="en-GB"/>
        </w:rPr>
        <w:t xml:space="preserve"> miles</w:t>
      </w:r>
      <w:r w:rsidR="00597F3D" w:rsidRPr="002B3880">
        <w:rPr>
          <w:rFonts w:eastAsia="Calibri"/>
          <w:spacing w:val="-2"/>
          <w:kern w:val="22"/>
          <w:lang w:val="en-GB"/>
        </w:rPr>
        <w:t xml:space="preserve"> (240,000 kilometres</w:t>
      </w:r>
      <w:r w:rsidR="000B7774" w:rsidRPr="002B3880">
        <w:rPr>
          <w:rFonts w:eastAsia="Calibri"/>
          <w:spacing w:val="-2"/>
          <w:kern w:val="22"/>
          <w:lang w:val="en-GB"/>
        </w:rPr>
        <w:t>)</w:t>
      </w:r>
      <w:r w:rsidRPr="002B3880">
        <w:rPr>
          <w:rFonts w:eastAsia="Calibri"/>
          <w:spacing w:val="-2"/>
          <w:kern w:val="22"/>
          <w:lang w:val="en-GB"/>
        </w:rPr>
        <w:t>.</w:t>
      </w:r>
      <w:r w:rsidRPr="002B3880">
        <w:rPr>
          <w:rFonts w:eastAsia="Calibri"/>
          <w:spacing w:val="-2"/>
          <w:kern w:val="22"/>
          <w:vertAlign w:val="superscript"/>
          <w:lang w:val="en-GB"/>
        </w:rPr>
        <w:endnoteReference w:id="56"/>
      </w:r>
      <w:r w:rsidR="000B7774" w:rsidRPr="002B3880">
        <w:rPr>
          <w:rFonts w:eastAsia="Calibri"/>
          <w:spacing w:val="-2"/>
          <w:kern w:val="22"/>
          <w:lang w:val="en-GB"/>
        </w:rPr>
        <w:t xml:space="preserve"> </w:t>
      </w:r>
      <w:r w:rsidRPr="002B3880">
        <w:rPr>
          <w:rFonts w:eastAsia="Calibri"/>
          <w:spacing w:val="-2"/>
          <w:kern w:val="22"/>
          <w:lang w:val="en-GB"/>
        </w:rPr>
        <w:t xml:space="preserve">This </w:t>
      </w:r>
      <w:r w:rsidR="000B7774" w:rsidRPr="002B3880">
        <w:rPr>
          <w:rFonts w:eastAsia="Calibri"/>
          <w:spacing w:val="-2"/>
          <w:kern w:val="22"/>
          <w:lang w:val="en-GB"/>
        </w:rPr>
        <w:t>efficiency</w:t>
      </w:r>
      <w:r w:rsidR="008D6EF1" w:rsidRPr="002B3880">
        <w:rPr>
          <w:rFonts w:eastAsia="Calibri"/>
          <w:spacing w:val="-2"/>
          <w:kern w:val="22"/>
          <w:lang w:val="en-GB"/>
        </w:rPr>
        <w:t xml:space="preserve"> translated</w:t>
      </w:r>
      <w:r w:rsidRPr="002B3880">
        <w:rPr>
          <w:rFonts w:eastAsia="Calibri"/>
          <w:spacing w:val="-2"/>
          <w:kern w:val="22"/>
          <w:lang w:val="en-GB"/>
        </w:rPr>
        <w:t xml:space="preserve"> to an after-sales revenue </w:t>
      </w:r>
      <w:r w:rsidR="008D6EF1" w:rsidRPr="002B3880">
        <w:rPr>
          <w:rFonts w:eastAsia="Calibri"/>
          <w:spacing w:val="-2"/>
          <w:kern w:val="22"/>
          <w:lang w:val="en-GB"/>
        </w:rPr>
        <w:t>expense</w:t>
      </w:r>
      <w:r w:rsidRPr="002B3880">
        <w:rPr>
          <w:rFonts w:eastAsia="Calibri"/>
          <w:spacing w:val="-2"/>
          <w:kern w:val="22"/>
          <w:lang w:val="en-GB"/>
        </w:rPr>
        <w:t xml:space="preserve"> for th</w:t>
      </w:r>
      <w:r w:rsidR="000B7774" w:rsidRPr="002B3880">
        <w:rPr>
          <w:rFonts w:eastAsia="Calibri"/>
          <w:spacing w:val="-2"/>
          <w:kern w:val="22"/>
          <w:lang w:val="en-GB"/>
        </w:rPr>
        <w:t>e consumer</w:t>
      </w:r>
      <w:r w:rsidR="008D6EF1" w:rsidRPr="002B3880">
        <w:rPr>
          <w:rFonts w:eastAsia="Calibri"/>
          <w:spacing w:val="-2"/>
          <w:kern w:val="22"/>
          <w:lang w:val="en-GB"/>
        </w:rPr>
        <w:t xml:space="preserve"> of approximately</w:t>
      </w:r>
      <w:r w:rsidRPr="002B3880">
        <w:rPr>
          <w:rFonts w:eastAsia="Calibri"/>
          <w:spacing w:val="-2"/>
          <w:kern w:val="22"/>
          <w:lang w:val="en-GB"/>
        </w:rPr>
        <w:t xml:space="preserve"> $400 per year</w:t>
      </w:r>
      <w:r w:rsidR="008D6EF1" w:rsidRPr="002B3880">
        <w:rPr>
          <w:rFonts w:eastAsia="Calibri"/>
          <w:spacing w:val="-2"/>
          <w:kern w:val="22"/>
          <w:lang w:val="en-GB"/>
        </w:rPr>
        <w:t>, 60 per cent less than an</w:t>
      </w:r>
      <w:r w:rsidRPr="002B3880">
        <w:rPr>
          <w:rFonts w:eastAsia="Calibri"/>
          <w:spacing w:val="-2"/>
          <w:kern w:val="22"/>
          <w:lang w:val="en-GB"/>
        </w:rPr>
        <w:t xml:space="preserve"> equivalent</w:t>
      </w:r>
      <w:r w:rsidR="008D6EF1" w:rsidRPr="002B3880">
        <w:rPr>
          <w:rFonts w:eastAsia="Calibri"/>
          <w:spacing w:val="-2"/>
          <w:kern w:val="22"/>
          <w:lang w:val="en-GB"/>
        </w:rPr>
        <w:t xml:space="preserve"> ICE vehicle</w:t>
      </w:r>
      <w:r w:rsidRPr="002B3880">
        <w:rPr>
          <w:rFonts w:eastAsia="Calibri"/>
          <w:spacing w:val="-2"/>
          <w:kern w:val="22"/>
          <w:lang w:val="en-GB"/>
        </w:rPr>
        <w:t>.</w:t>
      </w:r>
      <w:r w:rsidRPr="002B3880">
        <w:rPr>
          <w:rFonts w:eastAsia="Calibri"/>
          <w:spacing w:val="-2"/>
          <w:kern w:val="22"/>
          <w:vertAlign w:val="superscript"/>
          <w:lang w:val="en-GB"/>
        </w:rPr>
        <w:endnoteReference w:id="57"/>
      </w:r>
      <w:r w:rsidR="008D6EF1" w:rsidRPr="002B3880">
        <w:rPr>
          <w:rFonts w:eastAsia="Calibri"/>
          <w:spacing w:val="-2"/>
          <w:kern w:val="22"/>
          <w:lang w:val="en-GB"/>
        </w:rPr>
        <w:t xml:space="preserve"> </w:t>
      </w:r>
      <w:r w:rsidR="00A7230F" w:rsidRPr="002B3880">
        <w:rPr>
          <w:rFonts w:eastAsia="Calibri"/>
          <w:spacing w:val="-2"/>
          <w:kern w:val="22"/>
          <w:lang w:val="en-GB"/>
        </w:rPr>
        <w:t>Also</w:t>
      </w:r>
      <w:r w:rsidRPr="002B3880">
        <w:rPr>
          <w:rFonts w:eastAsia="Calibri"/>
          <w:spacing w:val="-2"/>
          <w:kern w:val="22"/>
          <w:lang w:val="en-GB"/>
        </w:rPr>
        <w:t xml:space="preserve">, the </w:t>
      </w:r>
      <w:r w:rsidR="008D6EF1" w:rsidRPr="002B3880">
        <w:rPr>
          <w:rFonts w:eastAsia="Calibri"/>
          <w:spacing w:val="-2"/>
          <w:kern w:val="22"/>
          <w:lang w:val="en-GB"/>
        </w:rPr>
        <w:t xml:space="preserve">Chevrolet </w:t>
      </w:r>
      <w:r w:rsidRPr="002B3880">
        <w:rPr>
          <w:rFonts w:eastAsia="Calibri"/>
          <w:spacing w:val="-2"/>
          <w:kern w:val="22"/>
          <w:lang w:val="en-GB"/>
        </w:rPr>
        <w:t>B</w:t>
      </w:r>
      <w:r w:rsidR="008D6EF1" w:rsidRPr="002B3880">
        <w:rPr>
          <w:rFonts w:eastAsia="Calibri"/>
          <w:spacing w:val="-2"/>
          <w:kern w:val="22"/>
          <w:lang w:val="en-GB"/>
        </w:rPr>
        <w:t xml:space="preserve">EV </w:t>
      </w:r>
      <w:r w:rsidRPr="002B3880">
        <w:rPr>
          <w:rFonts w:eastAsia="Calibri"/>
          <w:spacing w:val="-2"/>
          <w:kern w:val="22"/>
          <w:lang w:val="en-GB"/>
        </w:rPr>
        <w:t>was a relatively unsophisticated electric vehicle</w:t>
      </w:r>
      <w:r w:rsidR="008D6EF1" w:rsidRPr="002B3880">
        <w:rPr>
          <w:rFonts w:eastAsia="Calibri"/>
          <w:spacing w:val="-2"/>
          <w:kern w:val="22"/>
          <w:lang w:val="en-GB"/>
        </w:rPr>
        <w:t>,</w:t>
      </w:r>
      <w:r w:rsidRPr="002B3880">
        <w:rPr>
          <w:rFonts w:eastAsia="Calibri"/>
          <w:spacing w:val="-2"/>
          <w:kern w:val="22"/>
          <w:lang w:val="en-GB"/>
        </w:rPr>
        <w:t xml:space="preserve"> compared to a Tesla, Jaguar</w:t>
      </w:r>
      <w:r w:rsidR="008D6EF1" w:rsidRPr="002B3880">
        <w:rPr>
          <w:rFonts w:eastAsia="Calibri"/>
          <w:spacing w:val="-2"/>
          <w:kern w:val="22"/>
          <w:lang w:val="en-GB"/>
        </w:rPr>
        <w:t>,</w:t>
      </w:r>
      <w:r w:rsidRPr="002B3880">
        <w:rPr>
          <w:rFonts w:eastAsia="Calibri"/>
          <w:spacing w:val="-2"/>
          <w:kern w:val="22"/>
          <w:lang w:val="en-GB"/>
        </w:rPr>
        <w:t xml:space="preserve"> or future envisioned </w:t>
      </w:r>
      <w:r w:rsidR="00A7230F" w:rsidRPr="002B3880">
        <w:rPr>
          <w:rFonts w:eastAsia="Calibri"/>
          <w:spacing w:val="-2"/>
          <w:kern w:val="22"/>
          <w:lang w:val="en-GB"/>
        </w:rPr>
        <w:t>models</w:t>
      </w:r>
      <w:r w:rsidRPr="002B3880">
        <w:rPr>
          <w:rFonts w:eastAsia="Calibri"/>
          <w:spacing w:val="-2"/>
          <w:kern w:val="22"/>
          <w:lang w:val="en-GB"/>
        </w:rPr>
        <w:t xml:space="preserve">, </w:t>
      </w:r>
      <w:r w:rsidR="008D6EF1" w:rsidRPr="002B3880">
        <w:rPr>
          <w:rFonts w:eastAsia="Calibri"/>
          <w:spacing w:val="-2"/>
          <w:kern w:val="22"/>
          <w:lang w:val="en-GB"/>
        </w:rPr>
        <w:t xml:space="preserve">which suggested that </w:t>
      </w:r>
      <w:r w:rsidRPr="002B3880">
        <w:rPr>
          <w:rFonts w:eastAsia="Calibri"/>
          <w:spacing w:val="-2"/>
          <w:kern w:val="22"/>
          <w:lang w:val="en-GB"/>
        </w:rPr>
        <w:t xml:space="preserve">maintenance costs </w:t>
      </w:r>
      <w:r w:rsidR="008D6EF1" w:rsidRPr="002B3880">
        <w:rPr>
          <w:rFonts w:eastAsia="Calibri"/>
          <w:spacing w:val="-2"/>
          <w:kern w:val="22"/>
          <w:lang w:val="en-GB"/>
        </w:rPr>
        <w:t>(</w:t>
      </w:r>
      <w:r w:rsidRPr="002B3880">
        <w:rPr>
          <w:rFonts w:eastAsia="Calibri"/>
          <w:spacing w:val="-2"/>
          <w:kern w:val="22"/>
          <w:lang w:val="en-GB"/>
        </w:rPr>
        <w:t>and associated dealership revenue</w:t>
      </w:r>
      <w:r w:rsidR="008D6EF1" w:rsidRPr="002B3880">
        <w:rPr>
          <w:rFonts w:eastAsia="Calibri"/>
          <w:spacing w:val="-2"/>
          <w:kern w:val="22"/>
          <w:lang w:val="en-GB"/>
        </w:rPr>
        <w:t>)</w:t>
      </w:r>
      <w:r w:rsidRPr="002B3880">
        <w:rPr>
          <w:rFonts w:eastAsia="Calibri"/>
          <w:spacing w:val="-2"/>
          <w:kern w:val="22"/>
          <w:lang w:val="en-GB"/>
        </w:rPr>
        <w:t xml:space="preserve"> would only continue to decline.</w:t>
      </w:r>
      <w:r w:rsidRPr="002B3880">
        <w:rPr>
          <w:rFonts w:eastAsia="Calibri"/>
          <w:spacing w:val="-2"/>
          <w:kern w:val="22"/>
          <w:vertAlign w:val="superscript"/>
          <w:lang w:val="en-GB"/>
        </w:rPr>
        <w:endnoteReference w:id="58"/>
      </w:r>
    </w:p>
    <w:p w14:paraId="3F01303A" w14:textId="77777777" w:rsidR="00D751FB" w:rsidRPr="0051039E" w:rsidRDefault="00D751FB" w:rsidP="00D751FB">
      <w:pPr>
        <w:pStyle w:val="BodyTextMain"/>
        <w:rPr>
          <w:rFonts w:eastAsia="Calibri"/>
          <w:lang w:val="en-GB"/>
        </w:rPr>
      </w:pPr>
    </w:p>
    <w:p w14:paraId="2BA3F272" w14:textId="282C4CEC" w:rsidR="00D751FB" w:rsidRPr="0051039E" w:rsidRDefault="00D751FB" w:rsidP="00D751FB">
      <w:pPr>
        <w:pStyle w:val="BodyTextMain"/>
        <w:rPr>
          <w:rFonts w:eastAsia="Calibri"/>
          <w:lang w:val="en-GB"/>
        </w:rPr>
      </w:pPr>
      <w:r w:rsidRPr="0051039E">
        <w:rPr>
          <w:rFonts w:eastAsia="Calibri"/>
          <w:lang w:val="en-GB"/>
        </w:rPr>
        <w:t>For the first time since 1925, new, qualified competitors were entering the market</w:t>
      </w:r>
      <w:r w:rsidR="008D6EF1">
        <w:rPr>
          <w:rFonts w:eastAsia="Calibri"/>
          <w:lang w:val="en-GB"/>
        </w:rPr>
        <w:t>,</w:t>
      </w:r>
      <w:r w:rsidRPr="0051039E">
        <w:rPr>
          <w:rFonts w:eastAsia="Calibri"/>
          <w:lang w:val="en-GB"/>
        </w:rPr>
        <w:t xml:space="preserve"> and this </w:t>
      </w:r>
      <w:r w:rsidR="008D6EF1">
        <w:rPr>
          <w:rFonts w:eastAsia="Calibri"/>
          <w:lang w:val="en-GB"/>
        </w:rPr>
        <w:t xml:space="preserve">trend </w:t>
      </w:r>
      <w:r w:rsidRPr="0051039E">
        <w:rPr>
          <w:rFonts w:eastAsia="Calibri"/>
          <w:lang w:val="en-GB"/>
        </w:rPr>
        <w:t xml:space="preserve">would begin to accelerate as </w:t>
      </w:r>
      <w:r w:rsidR="002B3880" w:rsidRPr="0051039E">
        <w:rPr>
          <w:rFonts w:eastAsia="Calibri"/>
          <w:lang w:val="en-GB"/>
        </w:rPr>
        <w:t>niche-marketing</w:t>
      </w:r>
      <w:r w:rsidRPr="0051039E">
        <w:rPr>
          <w:rFonts w:eastAsia="Calibri"/>
          <w:lang w:val="en-GB"/>
        </w:rPr>
        <w:t xml:space="preserve"> opportunities emerged.</w:t>
      </w:r>
      <w:r w:rsidR="00382558" w:rsidRPr="0051039E">
        <w:rPr>
          <w:rFonts w:eastAsia="Calibri"/>
          <w:lang w:val="en-GB"/>
        </w:rPr>
        <w:t xml:space="preserve"> </w:t>
      </w:r>
      <w:r w:rsidRPr="0051039E">
        <w:rPr>
          <w:rFonts w:eastAsia="Calibri"/>
          <w:lang w:val="en-GB"/>
        </w:rPr>
        <w:t xml:space="preserve">For example, </w:t>
      </w:r>
      <w:r w:rsidR="008D6EF1" w:rsidRPr="008D6EF1">
        <w:rPr>
          <w:rFonts w:eastAsia="Calibri"/>
          <w:lang w:val="en-GB"/>
        </w:rPr>
        <w:t xml:space="preserve">Workhorse Group </w:t>
      </w:r>
      <w:r w:rsidR="008D6EF1" w:rsidRPr="008D6EF1">
        <w:rPr>
          <w:rFonts w:eastAsia="Calibri"/>
          <w:lang w:val="en-GB"/>
        </w:rPr>
        <w:lastRenderedPageBreak/>
        <w:t>Incorporated</w:t>
      </w:r>
      <w:r w:rsidR="008D6EF1">
        <w:rPr>
          <w:rFonts w:eastAsia="Calibri"/>
          <w:lang w:val="en-GB"/>
        </w:rPr>
        <w:t xml:space="preserve"> (</w:t>
      </w:r>
      <w:r w:rsidRPr="0051039E">
        <w:rPr>
          <w:rFonts w:eastAsia="Calibri"/>
          <w:lang w:val="en-GB"/>
        </w:rPr>
        <w:t>Workhorse</w:t>
      </w:r>
      <w:r w:rsidR="008D6EF1">
        <w:rPr>
          <w:rFonts w:eastAsia="Calibri"/>
          <w:lang w:val="en-GB"/>
        </w:rPr>
        <w:t>)</w:t>
      </w:r>
      <w:r w:rsidRPr="0051039E">
        <w:rPr>
          <w:rFonts w:eastAsia="Calibri"/>
          <w:lang w:val="en-GB"/>
        </w:rPr>
        <w:t xml:space="preserve">, a relatively young company that </w:t>
      </w:r>
      <w:r w:rsidR="00A7230F">
        <w:rPr>
          <w:rFonts w:eastAsia="Calibri"/>
          <w:lang w:val="en-GB"/>
        </w:rPr>
        <w:t>provided</w:t>
      </w:r>
      <w:r w:rsidRPr="0051039E">
        <w:rPr>
          <w:rFonts w:eastAsia="Calibri"/>
          <w:lang w:val="en-GB"/>
        </w:rPr>
        <w:t xml:space="preserve"> </w:t>
      </w:r>
      <w:r w:rsidR="008D6EF1">
        <w:rPr>
          <w:rFonts w:eastAsia="Calibri"/>
          <w:lang w:val="en-GB"/>
        </w:rPr>
        <w:t>B</w:t>
      </w:r>
      <w:r w:rsidRPr="0051039E">
        <w:rPr>
          <w:rFonts w:eastAsia="Calibri"/>
          <w:lang w:val="en-GB"/>
        </w:rPr>
        <w:t xml:space="preserve">EVs for the package delivery industry, had built an important and growing relationship with </w:t>
      </w:r>
      <w:r w:rsidR="008D6EF1">
        <w:rPr>
          <w:rFonts w:eastAsia="Calibri"/>
          <w:lang w:val="en-GB"/>
        </w:rPr>
        <w:t xml:space="preserve">the parcel courier </w:t>
      </w:r>
      <w:r w:rsidRPr="0051039E">
        <w:rPr>
          <w:rFonts w:eastAsia="Calibri"/>
          <w:lang w:val="en-GB"/>
        </w:rPr>
        <w:t>U</w:t>
      </w:r>
      <w:r w:rsidR="008D6EF1">
        <w:rPr>
          <w:rFonts w:eastAsia="Calibri"/>
          <w:lang w:val="en-GB"/>
        </w:rPr>
        <w:t xml:space="preserve">nited </w:t>
      </w:r>
      <w:r w:rsidRPr="0051039E">
        <w:rPr>
          <w:rFonts w:eastAsia="Calibri"/>
          <w:lang w:val="en-GB"/>
        </w:rPr>
        <w:t>P</w:t>
      </w:r>
      <w:r w:rsidR="008D6EF1">
        <w:rPr>
          <w:rFonts w:eastAsia="Calibri"/>
          <w:lang w:val="en-GB"/>
        </w:rPr>
        <w:t xml:space="preserve">arcel </w:t>
      </w:r>
      <w:r w:rsidRPr="0051039E">
        <w:rPr>
          <w:rFonts w:eastAsia="Calibri"/>
          <w:lang w:val="en-GB"/>
        </w:rPr>
        <w:t>S</w:t>
      </w:r>
      <w:r w:rsidR="008D6EF1">
        <w:rPr>
          <w:rFonts w:eastAsia="Calibri"/>
          <w:lang w:val="en-GB"/>
        </w:rPr>
        <w:t>ervice</w:t>
      </w:r>
      <w:r w:rsidRPr="0051039E">
        <w:rPr>
          <w:rFonts w:eastAsia="Calibri"/>
          <w:lang w:val="en-GB"/>
        </w:rPr>
        <w:t>.</w:t>
      </w:r>
      <w:r w:rsidR="00382558" w:rsidRPr="0051039E">
        <w:rPr>
          <w:rFonts w:eastAsia="Calibri"/>
          <w:lang w:val="en-GB"/>
        </w:rPr>
        <w:t xml:space="preserve"> </w:t>
      </w:r>
      <w:r w:rsidR="008D6EF1">
        <w:rPr>
          <w:rFonts w:eastAsia="Calibri"/>
          <w:lang w:val="en-GB"/>
        </w:rPr>
        <w:t>Workhorse</w:t>
      </w:r>
      <w:r w:rsidR="008D6EF1" w:rsidRPr="0051039E">
        <w:rPr>
          <w:rFonts w:eastAsia="Calibri"/>
          <w:lang w:val="en-GB"/>
        </w:rPr>
        <w:t xml:space="preserve"> </w:t>
      </w:r>
      <w:r w:rsidRPr="0051039E">
        <w:rPr>
          <w:rFonts w:eastAsia="Calibri"/>
          <w:lang w:val="en-GB"/>
        </w:rPr>
        <w:t>also announced the launch of an electric pickup truck (with extended range)</w:t>
      </w:r>
      <w:r w:rsidR="008D6EF1">
        <w:rPr>
          <w:rFonts w:eastAsia="Calibri"/>
          <w:lang w:val="en-GB"/>
        </w:rPr>
        <w:t>,</w:t>
      </w:r>
      <w:r w:rsidRPr="0051039E">
        <w:rPr>
          <w:rFonts w:eastAsia="Calibri"/>
          <w:lang w:val="en-GB"/>
        </w:rPr>
        <w:t xml:space="preserve"> targeted directly at the construction industry.</w:t>
      </w:r>
      <w:r w:rsidR="00382558" w:rsidRPr="0051039E">
        <w:rPr>
          <w:rFonts w:eastAsia="Calibri"/>
          <w:lang w:val="en-GB"/>
        </w:rPr>
        <w:t xml:space="preserve"> </w:t>
      </w:r>
      <w:r w:rsidRPr="0051039E">
        <w:rPr>
          <w:rFonts w:eastAsia="Calibri"/>
          <w:lang w:val="en-GB"/>
        </w:rPr>
        <w:t xml:space="preserve">This truck, dubbed the W-15, came equipped with an external </w:t>
      </w:r>
      <w:r w:rsidR="002B3880" w:rsidRPr="0051039E">
        <w:rPr>
          <w:rFonts w:eastAsia="Calibri"/>
          <w:lang w:val="en-GB"/>
        </w:rPr>
        <w:t>7.2-kilowatt</w:t>
      </w:r>
      <w:r w:rsidRPr="0051039E">
        <w:rPr>
          <w:rFonts w:eastAsia="Calibri"/>
          <w:lang w:val="en-GB"/>
        </w:rPr>
        <w:t xml:space="preserve"> power outlet </w:t>
      </w:r>
      <w:r w:rsidR="00A7230F">
        <w:rPr>
          <w:rFonts w:eastAsia="Calibri"/>
          <w:lang w:val="en-GB"/>
        </w:rPr>
        <w:t xml:space="preserve">that </w:t>
      </w:r>
      <w:r w:rsidRPr="0051039E">
        <w:rPr>
          <w:rFonts w:eastAsia="Calibri"/>
          <w:lang w:val="en-GB"/>
        </w:rPr>
        <w:t>provid</w:t>
      </w:r>
      <w:r w:rsidR="00A7230F">
        <w:rPr>
          <w:rFonts w:eastAsia="Calibri"/>
          <w:lang w:val="en-GB"/>
        </w:rPr>
        <w:t>ed</w:t>
      </w:r>
      <w:r w:rsidRPr="0051039E">
        <w:rPr>
          <w:rFonts w:eastAsia="Calibri"/>
          <w:lang w:val="en-GB"/>
        </w:rPr>
        <w:t xml:space="preserve"> up to 30 amps directly from the vehicle battery pack</w:t>
      </w:r>
      <w:r w:rsidR="008D6EF1">
        <w:rPr>
          <w:rFonts w:eastAsia="Calibri"/>
          <w:lang w:val="en-GB"/>
        </w:rPr>
        <w:t>,</w:t>
      </w:r>
      <w:r w:rsidRPr="0051039E">
        <w:rPr>
          <w:rFonts w:eastAsia="Calibri"/>
          <w:lang w:val="en-GB"/>
        </w:rPr>
        <w:t xml:space="preserve"> </w:t>
      </w:r>
      <w:r w:rsidR="00A7230F">
        <w:rPr>
          <w:rFonts w:eastAsia="Calibri"/>
          <w:lang w:val="en-GB"/>
        </w:rPr>
        <w:t>which could</w:t>
      </w:r>
      <w:r w:rsidRPr="0051039E">
        <w:rPr>
          <w:rFonts w:eastAsia="Calibri"/>
          <w:lang w:val="en-GB"/>
        </w:rPr>
        <w:t xml:space="preserve"> remote</w:t>
      </w:r>
      <w:r w:rsidR="00A7230F">
        <w:rPr>
          <w:rFonts w:eastAsia="Calibri"/>
          <w:lang w:val="en-GB"/>
        </w:rPr>
        <w:t>ly</w:t>
      </w:r>
      <w:r w:rsidRPr="0051039E">
        <w:rPr>
          <w:rFonts w:eastAsia="Calibri"/>
          <w:lang w:val="en-GB"/>
        </w:rPr>
        <w:t xml:space="preserve"> power arc welders and other tools</w:t>
      </w:r>
      <w:r w:rsidRPr="0051039E">
        <w:rPr>
          <w:rFonts w:eastAsia="Calibri"/>
          <w:vertAlign w:val="superscript"/>
          <w:lang w:val="en-GB"/>
        </w:rPr>
        <w:endnoteReference w:id="59"/>
      </w:r>
      <w:r w:rsidR="004F2D1C" w:rsidRPr="0051039E">
        <w:rPr>
          <w:rFonts w:eastAsia="Calibri"/>
          <w:lang w:val="en-GB"/>
        </w:rPr>
        <w:t xml:space="preserve"> </w:t>
      </w:r>
      <w:r w:rsidRPr="0051039E">
        <w:rPr>
          <w:rFonts w:eastAsia="Calibri"/>
          <w:lang w:val="en-GB"/>
        </w:rPr>
        <w:t>(</w:t>
      </w:r>
      <w:r w:rsidR="008D6EF1">
        <w:rPr>
          <w:rFonts w:eastAsia="Calibri"/>
          <w:lang w:val="en-GB"/>
        </w:rPr>
        <w:t>see</w:t>
      </w:r>
      <w:r w:rsidRPr="0051039E">
        <w:rPr>
          <w:rFonts w:eastAsia="Calibri"/>
          <w:lang w:val="en-GB"/>
        </w:rPr>
        <w:t xml:space="preserve"> Exhibit 2). </w:t>
      </w:r>
    </w:p>
    <w:p w14:paraId="4B98BCEE" w14:textId="77777777" w:rsidR="00D751FB" w:rsidRPr="0051039E" w:rsidRDefault="00D751FB" w:rsidP="00D751FB">
      <w:pPr>
        <w:pStyle w:val="BodyTextMain"/>
        <w:rPr>
          <w:rFonts w:eastAsia="Calibri"/>
          <w:lang w:val="en-GB"/>
        </w:rPr>
      </w:pPr>
    </w:p>
    <w:p w14:paraId="3D94D52C" w14:textId="7A687C31" w:rsidR="00D751FB" w:rsidRPr="0051039E" w:rsidRDefault="00AA4A84" w:rsidP="00D751FB">
      <w:pPr>
        <w:pStyle w:val="BodyTextMain"/>
        <w:rPr>
          <w:rFonts w:eastAsia="Calibri"/>
          <w:lang w:val="en-GB"/>
        </w:rPr>
      </w:pPr>
      <w:r>
        <w:rPr>
          <w:rFonts w:eastAsia="Calibri"/>
          <w:lang w:val="en-GB"/>
        </w:rPr>
        <w:t xml:space="preserve">New </w:t>
      </w:r>
      <w:r w:rsidR="008D6EF1">
        <w:rPr>
          <w:rFonts w:eastAsia="Calibri"/>
          <w:lang w:val="en-GB"/>
        </w:rPr>
        <w:t>B</w:t>
      </w:r>
      <w:r w:rsidR="00D751FB" w:rsidRPr="0051039E">
        <w:rPr>
          <w:rFonts w:eastAsia="Calibri"/>
          <w:lang w:val="en-GB"/>
        </w:rPr>
        <w:t>EV</w:t>
      </w:r>
      <w:r>
        <w:rPr>
          <w:rFonts w:eastAsia="Calibri"/>
          <w:lang w:val="en-GB"/>
        </w:rPr>
        <w:t xml:space="preserve"> models emerged with a</w:t>
      </w:r>
      <w:r w:rsidR="00D751FB" w:rsidRPr="0051039E">
        <w:rPr>
          <w:rFonts w:eastAsia="Calibri"/>
          <w:lang w:val="en-GB"/>
        </w:rPr>
        <w:t xml:space="preserve"> skateboard-like powertrain and chassis, </w:t>
      </w:r>
      <w:r w:rsidR="008D6EF1">
        <w:rPr>
          <w:rFonts w:eastAsia="Calibri"/>
          <w:lang w:val="en-GB"/>
        </w:rPr>
        <w:t>such as</w:t>
      </w:r>
      <w:r w:rsidR="00D751FB" w:rsidRPr="0051039E">
        <w:rPr>
          <w:rFonts w:eastAsia="Calibri"/>
          <w:lang w:val="en-GB"/>
        </w:rPr>
        <w:t xml:space="preserve"> the new Jaguar I-Pace concept </w:t>
      </w:r>
      <w:r w:rsidR="00B203B1">
        <w:rPr>
          <w:rFonts w:eastAsia="Calibri"/>
          <w:lang w:val="en-GB"/>
        </w:rPr>
        <w:t>car, which</w:t>
      </w:r>
      <w:r w:rsidR="00D751FB" w:rsidRPr="0051039E">
        <w:rPr>
          <w:rFonts w:eastAsia="Calibri"/>
          <w:lang w:val="en-GB"/>
        </w:rPr>
        <w:t xml:space="preserve"> essentially </w:t>
      </w:r>
      <w:r>
        <w:rPr>
          <w:rFonts w:eastAsia="Calibri"/>
          <w:lang w:val="en-GB"/>
        </w:rPr>
        <w:t xml:space="preserve">consisted of </w:t>
      </w:r>
      <w:r w:rsidR="00D751FB" w:rsidRPr="0051039E">
        <w:rPr>
          <w:rFonts w:eastAsia="Calibri"/>
          <w:lang w:val="en-GB"/>
        </w:rPr>
        <w:t>a massive battery pack with two electric motors at each end</w:t>
      </w:r>
      <w:r w:rsidR="00D751FB" w:rsidRPr="0051039E">
        <w:rPr>
          <w:rFonts w:eastAsia="Calibri"/>
          <w:vertAlign w:val="superscript"/>
          <w:lang w:val="en-GB"/>
        </w:rPr>
        <w:endnoteReference w:id="60"/>
      </w:r>
      <w:r w:rsidR="00D751FB" w:rsidRPr="0051039E">
        <w:rPr>
          <w:rFonts w:eastAsia="Calibri"/>
          <w:lang w:val="en-GB"/>
        </w:rPr>
        <w:t xml:space="preserve"> (</w:t>
      </w:r>
      <w:r w:rsidR="00B203B1">
        <w:rPr>
          <w:rFonts w:eastAsia="Calibri"/>
          <w:lang w:val="en-GB"/>
        </w:rPr>
        <w:t>see</w:t>
      </w:r>
      <w:r w:rsidR="00D751FB" w:rsidRPr="0051039E">
        <w:rPr>
          <w:rFonts w:eastAsia="Calibri"/>
          <w:lang w:val="en-GB"/>
        </w:rPr>
        <w:t xml:space="preserve"> Exhibit 3)</w:t>
      </w:r>
      <w:r w:rsidR="00B203B1">
        <w:rPr>
          <w:rFonts w:eastAsia="Calibri"/>
          <w:lang w:val="en-GB"/>
        </w:rPr>
        <w:t>. At the same time,</w:t>
      </w:r>
      <w:r w:rsidR="00D751FB" w:rsidRPr="0051039E">
        <w:rPr>
          <w:rFonts w:eastAsia="Calibri"/>
          <w:lang w:val="en-GB"/>
        </w:rPr>
        <w:t xml:space="preserve"> manufacturing costs began to rapidly decrease, ultimately making production </w:t>
      </w:r>
      <w:r>
        <w:rPr>
          <w:rFonts w:eastAsia="Calibri"/>
          <w:lang w:val="en-GB"/>
        </w:rPr>
        <w:t xml:space="preserve">for BEVs </w:t>
      </w:r>
      <w:r w:rsidR="00D751FB" w:rsidRPr="0051039E">
        <w:rPr>
          <w:rFonts w:eastAsia="Calibri"/>
          <w:lang w:val="en-GB"/>
        </w:rPr>
        <w:t xml:space="preserve">far less costly than </w:t>
      </w:r>
      <w:r>
        <w:rPr>
          <w:rFonts w:eastAsia="Calibri"/>
          <w:lang w:val="en-GB"/>
        </w:rPr>
        <w:t xml:space="preserve">for </w:t>
      </w:r>
      <w:r w:rsidR="00D751FB" w:rsidRPr="0051039E">
        <w:rPr>
          <w:rFonts w:eastAsia="Calibri"/>
          <w:lang w:val="en-GB"/>
        </w:rPr>
        <w:t>ICE vehicles.</w:t>
      </w:r>
      <w:r w:rsidR="00382558" w:rsidRPr="0051039E">
        <w:rPr>
          <w:rFonts w:eastAsia="Calibri"/>
          <w:lang w:val="en-GB"/>
        </w:rPr>
        <w:t xml:space="preserve"> </w:t>
      </w:r>
      <w:r w:rsidR="00D751FB" w:rsidRPr="0051039E">
        <w:rPr>
          <w:rFonts w:eastAsia="Calibri"/>
          <w:lang w:val="en-GB"/>
        </w:rPr>
        <w:t>Th</w:t>
      </w:r>
      <w:r>
        <w:rPr>
          <w:rFonts w:eastAsia="Calibri"/>
          <w:lang w:val="en-GB"/>
        </w:rPr>
        <w:t>e</w:t>
      </w:r>
      <w:r w:rsidR="00D751FB" w:rsidRPr="0051039E">
        <w:rPr>
          <w:rFonts w:eastAsia="Calibri"/>
          <w:lang w:val="en-GB"/>
        </w:rPr>
        <w:t xml:space="preserve"> combination of </w:t>
      </w:r>
      <w:r>
        <w:rPr>
          <w:rFonts w:eastAsia="Calibri"/>
          <w:lang w:val="en-GB"/>
        </w:rPr>
        <w:t>numerous</w:t>
      </w:r>
      <w:r w:rsidR="00D751FB" w:rsidRPr="0051039E">
        <w:rPr>
          <w:rFonts w:eastAsia="Calibri"/>
          <w:lang w:val="en-GB"/>
        </w:rPr>
        <w:t xml:space="preserve"> new upstart competitors</w:t>
      </w:r>
      <w:r>
        <w:rPr>
          <w:rFonts w:eastAsia="Calibri"/>
          <w:lang w:val="en-GB"/>
        </w:rPr>
        <w:t xml:space="preserve"> sporting a</w:t>
      </w:r>
      <w:r w:rsidR="00D751FB" w:rsidRPr="0051039E">
        <w:rPr>
          <w:rFonts w:eastAsia="Calibri"/>
          <w:lang w:val="en-GB"/>
        </w:rPr>
        <w:t xml:space="preserve"> simplified vehicle design began to prove challenging for the business model of traditional auto</w:t>
      </w:r>
      <w:r w:rsidR="00B203B1">
        <w:rPr>
          <w:rFonts w:eastAsia="Calibri"/>
          <w:lang w:val="en-GB"/>
        </w:rPr>
        <w:t>mobile</w:t>
      </w:r>
      <w:r w:rsidR="00D751FB" w:rsidRPr="0051039E">
        <w:rPr>
          <w:rFonts w:eastAsia="Calibri"/>
          <w:lang w:val="en-GB"/>
        </w:rPr>
        <w:t xml:space="preserve"> manufacturers, driving </w:t>
      </w:r>
      <w:r w:rsidR="00B203B1">
        <w:rPr>
          <w:rFonts w:eastAsia="Calibri"/>
          <w:lang w:val="en-GB"/>
        </w:rPr>
        <w:t xml:space="preserve">down </w:t>
      </w:r>
      <w:r w:rsidR="00D751FB" w:rsidRPr="0051039E">
        <w:rPr>
          <w:rFonts w:eastAsia="Calibri"/>
          <w:lang w:val="en-GB"/>
        </w:rPr>
        <w:t>both sales and margins.</w:t>
      </w:r>
      <w:r w:rsidR="00D751FB" w:rsidRPr="0051039E">
        <w:rPr>
          <w:rFonts w:eastAsia="Calibri"/>
          <w:vertAlign w:val="superscript"/>
          <w:lang w:val="en-GB"/>
        </w:rPr>
        <w:endnoteReference w:id="61"/>
      </w:r>
    </w:p>
    <w:p w14:paraId="11C2C33E" w14:textId="77777777" w:rsidR="00D751FB" w:rsidRPr="0051039E" w:rsidRDefault="00D751FB" w:rsidP="00D751FB">
      <w:pPr>
        <w:pStyle w:val="BodyTextMain"/>
        <w:rPr>
          <w:rFonts w:eastAsia="Calibri"/>
          <w:lang w:val="en-GB"/>
        </w:rPr>
      </w:pPr>
    </w:p>
    <w:p w14:paraId="5D98079F" w14:textId="292BD11E" w:rsidR="00D751FB" w:rsidRPr="0051039E" w:rsidRDefault="00D751FB">
      <w:pPr>
        <w:pStyle w:val="BodyTextMain"/>
        <w:rPr>
          <w:rFonts w:eastAsia="Calibri"/>
          <w:lang w:val="en-GB"/>
        </w:rPr>
      </w:pPr>
      <w:r w:rsidRPr="0051039E">
        <w:rPr>
          <w:rFonts w:eastAsia="Calibri"/>
          <w:lang w:val="en-GB"/>
        </w:rPr>
        <w:t xml:space="preserve">In </w:t>
      </w:r>
      <w:r w:rsidR="002B3880" w:rsidRPr="0051039E">
        <w:rPr>
          <w:rFonts w:eastAsia="Calibri"/>
          <w:lang w:val="en-GB"/>
        </w:rPr>
        <w:t>2017,</w:t>
      </w:r>
      <w:r w:rsidRPr="0051039E">
        <w:rPr>
          <w:rFonts w:eastAsia="Calibri"/>
          <w:lang w:val="en-GB"/>
        </w:rPr>
        <w:t xml:space="preserve"> the average sale price for a new ICE vehicle was $33,464</w:t>
      </w:r>
      <w:r w:rsidR="00AA4A84">
        <w:rPr>
          <w:rFonts w:eastAsia="Calibri"/>
          <w:lang w:val="en-GB"/>
        </w:rPr>
        <w:t>.</w:t>
      </w:r>
      <w:r w:rsidRPr="0051039E">
        <w:rPr>
          <w:rFonts w:eastAsia="Calibri"/>
          <w:vertAlign w:val="superscript"/>
          <w:lang w:val="en-GB"/>
        </w:rPr>
        <w:endnoteReference w:id="62"/>
      </w:r>
      <w:r w:rsidR="00B203B1">
        <w:rPr>
          <w:rFonts w:eastAsia="Calibri"/>
          <w:lang w:val="en-GB"/>
        </w:rPr>
        <w:t xml:space="preserve"> </w:t>
      </w:r>
      <w:r w:rsidR="00AA4A84">
        <w:rPr>
          <w:rFonts w:eastAsia="Calibri"/>
          <w:lang w:val="en-GB"/>
        </w:rPr>
        <w:t xml:space="preserve"> T</w:t>
      </w:r>
      <w:r w:rsidRPr="0051039E">
        <w:rPr>
          <w:rFonts w:eastAsia="Calibri"/>
          <w:lang w:val="en-GB"/>
        </w:rPr>
        <w:t>he average cost to produce the vehicle</w:t>
      </w:r>
      <w:r w:rsidR="00AA4A84">
        <w:rPr>
          <w:rFonts w:eastAsia="Calibri"/>
          <w:lang w:val="en-GB"/>
        </w:rPr>
        <w:t xml:space="preserve"> wa</w:t>
      </w:r>
      <w:r w:rsidRPr="0051039E">
        <w:rPr>
          <w:rFonts w:eastAsia="Calibri"/>
          <w:lang w:val="en-GB"/>
        </w:rPr>
        <w:t>s $29,175</w:t>
      </w:r>
      <w:r w:rsidR="008E4396">
        <w:rPr>
          <w:rFonts w:eastAsia="Calibri"/>
          <w:lang w:val="en-GB"/>
        </w:rPr>
        <w:t xml:space="preserve"> (based on a gross margin of 12.65 per cent)</w:t>
      </w:r>
      <w:r w:rsidR="00AA4A84">
        <w:rPr>
          <w:rFonts w:eastAsia="Calibri"/>
          <w:lang w:val="en-GB"/>
        </w:rPr>
        <w:t>,</w:t>
      </w:r>
      <w:r w:rsidRPr="0051039E">
        <w:rPr>
          <w:rFonts w:eastAsia="Calibri"/>
          <w:lang w:val="en-GB"/>
        </w:rPr>
        <w:t xml:space="preserve"> </w:t>
      </w:r>
      <w:r w:rsidR="00AA4A84">
        <w:rPr>
          <w:rFonts w:eastAsia="Calibri"/>
          <w:lang w:val="en-GB"/>
        </w:rPr>
        <w:t>but</w:t>
      </w:r>
      <w:r w:rsidRPr="0051039E">
        <w:rPr>
          <w:rFonts w:eastAsia="Calibri"/>
          <w:lang w:val="en-GB"/>
        </w:rPr>
        <w:t xml:space="preserve"> </w:t>
      </w:r>
      <w:r w:rsidR="00B203B1">
        <w:rPr>
          <w:rFonts w:eastAsia="Calibri"/>
          <w:lang w:val="en-GB"/>
        </w:rPr>
        <w:t>was expected to continue to drop</w:t>
      </w:r>
      <w:r w:rsidRPr="0051039E">
        <w:rPr>
          <w:rFonts w:eastAsia="Calibri"/>
          <w:lang w:val="en-GB"/>
        </w:rPr>
        <w:t xml:space="preserve"> closer to the $20,000 range, </w:t>
      </w:r>
      <w:r w:rsidR="00AA4A84">
        <w:rPr>
          <w:rFonts w:eastAsia="Calibri"/>
          <w:lang w:val="en-GB"/>
        </w:rPr>
        <w:t>thanks to</w:t>
      </w:r>
      <w:r w:rsidRPr="0051039E">
        <w:rPr>
          <w:rFonts w:eastAsia="Calibri"/>
          <w:lang w:val="en-GB"/>
        </w:rPr>
        <w:t xml:space="preserve"> </w:t>
      </w:r>
      <w:r w:rsidR="00AA4A84">
        <w:rPr>
          <w:rFonts w:eastAsia="Calibri"/>
          <w:lang w:val="en-GB"/>
        </w:rPr>
        <w:t>a</w:t>
      </w:r>
      <w:r w:rsidRPr="0051039E">
        <w:rPr>
          <w:rFonts w:eastAsia="Calibri"/>
          <w:lang w:val="en-GB"/>
        </w:rPr>
        <w:t xml:space="preserve"> relative</w:t>
      </w:r>
      <w:r w:rsidR="00AA4A84">
        <w:rPr>
          <w:rFonts w:eastAsia="Calibri"/>
          <w:lang w:val="en-GB"/>
        </w:rPr>
        <w:t>ly</w:t>
      </w:r>
      <w:r w:rsidRPr="0051039E">
        <w:rPr>
          <w:rFonts w:eastAsia="Calibri"/>
          <w:lang w:val="en-GB"/>
        </w:rPr>
        <w:t xml:space="preserve"> simpl</w:t>
      </w:r>
      <w:r w:rsidR="00AA4A84">
        <w:rPr>
          <w:rFonts w:eastAsia="Calibri"/>
          <w:lang w:val="en-GB"/>
        </w:rPr>
        <w:t>e</w:t>
      </w:r>
      <w:r w:rsidRPr="0051039E">
        <w:rPr>
          <w:rFonts w:eastAsia="Calibri"/>
          <w:lang w:val="en-GB"/>
        </w:rPr>
        <w:t xml:space="preserve"> design, lower battery costs</w:t>
      </w:r>
      <w:r w:rsidR="00B203B1">
        <w:rPr>
          <w:rFonts w:eastAsia="Calibri"/>
          <w:lang w:val="en-GB"/>
        </w:rPr>
        <w:t>,</w:t>
      </w:r>
      <w:r w:rsidRPr="0051039E">
        <w:rPr>
          <w:rFonts w:eastAsia="Calibri"/>
          <w:lang w:val="en-GB"/>
        </w:rPr>
        <w:t xml:space="preserve"> and growing competiti</w:t>
      </w:r>
      <w:r w:rsidR="00AA4A84">
        <w:rPr>
          <w:rFonts w:eastAsia="Calibri"/>
          <w:lang w:val="en-GB"/>
        </w:rPr>
        <w:t>on</w:t>
      </w:r>
      <w:r w:rsidRPr="0051039E">
        <w:rPr>
          <w:rFonts w:eastAsia="Calibri"/>
          <w:lang w:val="en-GB"/>
        </w:rPr>
        <w:t>.</w:t>
      </w:r>
      <w:r w:rsidR="00382558" w:rsidRPr="0051039E">
        <w:rPr>
          <w:rFonts w:eastAsia="Calibri"/>
          <w:lang w:val="en-GB"/>
        </w:rPr>
        <w:t xml:space="preserve"> </w:t>
      </w:r>
      <w:r w:rsidRPr="0051039E">
        <w:rPr>
          <w:rFonts w:eastAsia="Calibri"/>
          <w:lang w:val="en-GB"/>
        </w:rPr>
        <w:t xml:space="preserve">This </w:t>
      </w:r>
      <w:r w:rsidR="00B203B1">
        <w:rPr>
          <w:rFonts w:eastAsia="Calibri"/>
          <w:lang w:val="en-GB"/>
        </w:rPr>
        <w:t xml:space="preserve">trend </w:t>
      </w:r>
      <w:r w:rsidRPr="0051039E">
        <w:rPr>
          <w:rFonts w:eastAsia="Calibri"/>
          <w:lang w:val="en-GB"/>
        </w:rPr>
        <w:t xml:space="preserve">would undoubtedly </w:t>
      </w:r>
      <w:r w:rsidR="00AA4A84">
        <w:rPr>
          <w:rFonts w:eastAsia="Calibri"/>
          <w:lang w:val="en-GB"/>
        </w:rPr>
        <w:t>lower</w:t>
      </w:r>
      <w:r w:rsidRPr="0051039E">
        <w:rPr>
          <w:rFonts w:eastAsia="Calibri"/>
          <w:lang w:val="en-GB"/>
        </w:rPr>
        <w:t xml:space="preserve"> gross margins </w:t>
      </w:r>
      <w:r w:rsidR="00B203B1">
        <w:rPr>
          <w:rFonts w:eastAsia="Calibri"/>
          <w:lang w:val="en-GB"/>
        </w:rPr>
        <w:t>for</w:t>
      </w:r>
      <w:r w:rsidRPr="0051039E">
        <w:rPr>
          <w:rFonts w:eastAsia="Calibri"/>
          <w:lang w:val="en-GB"/>
        </w:rPr>
        <w:t xml:space="preserve"> ICE manufacturers</w:t>
      </w:r>
      <w:r w:rsidR="00B203B1">
        <w:rPr>
          <w:rFonts w:eastAsia="Calibri"/>
          <w:lang w:val="en-GB"/>
        </w:rPr>
        <w:t xml:space="preserve"> even </w:t>
      </w:r>
      <w:r w:rsidR="00646A1E">
        <w:rPr>
          <w:rFonts w:eastAsia="Calibri"/>
          <w:lang w:val="en-GB"/>
        </w:rPr>
        <w:t>below</w:t>
      </w:r>
      <w:r w:rsidR="00B203B1">
        <w:rPr>
          <w:rFonts w:eastAsia="Calibri"/>
          <w:lang w:val="en-GB"/>
        </w:rPr>
        <w:t xml:space="preserve"> the current</w:t>
      </w:r>
      <w:r w:rsidRPr="0051039E">
        <w:rPr>
          <w:rFonts w:eastAsia="Calibri"/>
          <w:lang w:val="en-GB"/>
        </w:rPr>
        <w:t xml:space="preserve"> 12.65 per</w:t>
      </w:r>
      <w:r w:rsidR="00B203B1">
        <w:rPr>
          <w:rFonts w:eastAsia="Calibri"/>
          <w:lang w:val="en-GB"/>
        </w:rPr>
        <w:t xml:space="preserve"> </w:t>
      </w:r>
      <w:r w:rsidRPr="0051039E">
        <w:rPr>
          <w:rFonts w:eastAsia="Calibri"/>
          <w:lang w:val="en-GB"/>
        </w:rPr>
        <w:t>cent</w:t>
      </w:r>
      <w:r w:rsidR="00B203B1">
        <w:rPr>
          <w:rFonts w:eastAsia="Calibri"/>
          <w:lang w:val="en-GB"/>
        </w:rPr>
        <w:t>,</w:t>
      </w:r>
      <w:r w:rsidRPr="0051039E">
        <w:rPr>
          <w:rFonts w:eastAsia="Calibri"/>
          <w:vertAlign w:val="superscript"/>
          <w:lang w:val="en-GB"/>
        </w:rPr>
        <w:endnoteReference w:id="63"/>
      </w:r>
      <w:r w:rsidR="00B203B1">
        <w:rPr>
          <w:rFonts w:eastAsia="Calibri"/>
          <w:lang w:val="en-GB"/>
        </w:rPr>
        <w:t xml:space="preserve"> and GM’s gross</w:t>
      </w:r>
      <w:r w:rsidRPr="0051039E">
        <w:rPr>
          <w:rFonts w:eastAsia="Calibri"/>
          <w:lang w:val="en-GB"/>
        </w:rPr>
        <w:t xml:space="preserve"> margins were directly</w:t>
      </w:r>
      <w:r w:rsidR="00072234" w:rsidRPr="0051039E">
        <w:rPr>
          <w:rFonts w:eastAsia="Calibri"/>
          <w:lang w:val="en-GB"/>
        </w:rPr>
        <w:t xml:space="preserve"> </w:t>
      </w:r>
      <w:r w:rsidRPr="0051039E">
        <w:rPr>
          <w:rFonts w:eastAsia="Calibri"/>
          <w:lang w:val="en-GB"/>
        </w:rPr>
        <w:t xml:space="preserve">tied to </w:t>
      </w:r>
      <w:r w:rsidR="00B203B1">
        <w:rPr>
          <w:rFonts w:eastAsia="Calibri"/>
          <w:lang w:val="en-GB"/>
        </w:rPr>
        <w:t>a</w:t>
      </w:r>
      <w:r w:rsidR="00B203B1" w:rsidRPr="0051039E">
        <w:rPr>
          <w:rFonts w:eastAsia="Calibri"/>
          <w:lang w:val="en-GB"/>
        </w:rPr>
        <w:t xml:space="preserve"> </w:t>
      </w:r>
      <w:r w:rsidRPr="0051039E">
        <w:rPr>
          <w:rFonts w:eastAsia="Calibri"/>
          <w:lang w:val="en-GB"/>
        </w:rPr>
        <w:t>cost structure</w:t>
      </w:r>
      <w:r w:rsidR="00B203B1">
        <w:rPr>
          <w:rFonts w:eastAsia="Calibri"/>
          <w:lang w:val="en-GB"/>
        </w:rPr>
        <w:t xml:space="preserve"> that</w:t>
      </w:r>
      <w:r w:rsidRPr="0051039E">
        <w:rPr>
          <w:rFonts w:eastAsia="Calibri"/>
          <w:lang w:val="en-GB"/>
        </w:rPr>
        <w:t xml:space="preserve"> was supported by higher volumes and higher margins (see Exhibit</w:t>
      </w:r>
      <w:r w:rsidR="00B203B1">
        <w:rPr>
          <w:rFonts w:eastAsia="Calibri"/>
          <w:lang w:val="en-GB"/>
        </w:rPr>
        <w:t>s</w:t>
      </w:r>
      <w:r w:rsidRPr="0051039E">
        <w:rPr>
          <w:rFonts w:eastAsia="Calibri"/>
          <w:lang w:val="en-GB"/>
        </w:rPr>
        <w:t xml:space="preserve"> 1 and 4).</w:t>
      </w:r>
      <w:r w:rsidR="00B203B1">
        <w:rPr>
          <w:rFonts w:eastAsia="Calibri"/>
          <w:lang w:val="en-GB"/>
        </w:rPr>
        <w:t xml:space="preserve"> This new</w:t>
      </w:r>
      <w:r w:rsidR="00B203B1" w:rsidRPr="0051039E">
        <w:rPr>
          <w:rFonts w:eastAsia="Calibri"/>
          <w:lang w:val="en-GB"/>
        </w:rPr>
        <w:t xml:space="preserve"> </w:t>
      </w:r>
      <w:r w:rsidRPr="0051039E">
        <w:rPr>
          <w:rFonts w:eastAsia="Calibri"/>
          <w:lang w:val="en-GB"/>
        </w:rPr>
        <w:t xml:space="preserve">scenario </w:t>
      </w:r>
      <w:r w:rsidR="00B203B1">
        <w:rPr>
          <w:rFonts w:eastAsia="Calibri"/>
          <w:lang w:val="en-GB"/>
        </w:rPr>
        <w:t xml:space="preserve">implied a new threat for GM that </w:t>
      </w:r>
      <w:r w:rsidR="00646A1E">
        <w:rPr>
          <w:rFonts w:eastAsia="Calibri"/>
          <w:lang w:val="en-GB"/>
        </w:rPr>
        <w:t xml:space="preserve">could prove </w:t>
      </w:r>
      <w:r w:rsidR="00B203B1">
        <w:rPr>
          <w:rFonts w:eastAsia="Calibri"/>
          <w:lang w:val="en-GB"/>
        </w:rPr>
        <w:t xml:space="preserve">more </w:t>
      </w:r>
      <w:r w:rsidR="00A43004">
        <w:rPr>
          <w:rFonts w:eastAsia="Calibri"/>
          <w:lang w:val="en-GB"/>
        </w:rPr>
        <w:t>serious</w:t>
      </w:r>
      <w:r w:rsidR="00B203B1">
        <w:rPr>
          <w:rFonts w:eastAsia="Calibri"/>
          <w:lang w:val="en-GB"/>
        </w:rPr>
        <w:t xml:space="preserve"> than</w:t>
      </w:r>
      <w:r w:rsidRPr="0051039E">
        <w:rPr>
          <w:rFonts w:eastAsia="Calibri"/>
          <w:lang w:val="en-GB"/>
        </w:rPr>
        <w:t xml:space="preserve"> </w:t>
      </w:r>
      <w:r w:rsidR="00A43004">
        <w:rPr>
          <w:rFonts w:eastAsia="Calibri"/>
          <w:lang w:val="en-GB"/>
        </w:rPr>
        <w:t>the company’s</w:t>
      </w:r>
      <w:r w:rsidR="002F2E0C">
        <w:rPr>
          <w:rFonts w:eastAsia="Calibri"/>
          <w:lang w:val="en-GB"/>
        </w:rPr>
        <w:t xml:space="preserve"> bankruptcy protection </w:t>
      </w:r>
      <w:r w:rsidR="00A43004">
        <w:rPr>
          <w:rFonts w:eastAsia="Calibri"/>
          <w:lang w:val="en-GB"/>
        </w:rPr>
        <w:t xml:space="preserve">situation </w:t>
      </w:r>
      <w:r w:rsidR="002F2E0C">
        <w:rPr>
          <w:rFonts w:eastAsia="Calibri"/>
          <w:lang w:val="en-GB"/>
        </w:rPr>
        <w:t>in</w:t>
      </w:r>
      <w:r w:rsidRPr="0051039E">
        <w:rPr>
          <w:rFonts w:eastAsia="Calibri"/>
          <w:lang w:val="en-GB"/>
        </w:rPr>
        <w:t xml:space="preserve"> 2009.</w:t>
      </w:r>
    </w:p>
    <w:p w14:paraId="2C693528" w14:textId="77777777" w:rsidR="00D751FB" w:rsidRPr="0051039E" w:rsidRDefault="00D751FB" w:rsidP="00D751FB">
      <w:pPr>
        <w:pStyle w:val="BodyTextMain"/>
        <w:rPr>
          <w:rFonts w:eastAsia="Calibri"/>
          <w:lang w:val="en-GB"/>
        </w:rPr>
      </w:pPr>
    </w:p>
    <w:p w14:paraId="192539E5" w14:textId="77777777" w:rsidR="00D751FB" w:rsidRPr="0051039E" w:rsidRDefault="00D751FB" w:rsidP="00D751FB">
      <w:pPr>
        <w:pStyle w:val="BodyTextMain"/>
        <w:rPr>
          <w:rFonts w:eastAsia="Calibri"/>
          <w:lang w:val="en-GB"/>
        </w:rPr>
      </w:pPr>
    </w:p>
    <w:p w14:paraId="5B290391" w14:textId="77777777" w:rsidR="00D751FB" w:rsidRPr="0051039E" w:rsidRDefault="00D751FB" w:rsidP="00D751FB">
      <w:pPr>
        <w:rPr>
          <w:rFonts w:ascii="Arial" w:eastAsia="Calibri" w:hAnsi="Arial" w:cs="Arial"/>
          <w:b/>
          <w:lang w:val="en-GB"/>
        </w:rPr>
      </w:pPr>
      <w:r w:rsidRPr="0051039E">
        <w:rPr>
          <w:rFonts w:ascii="Arial" w:eastAsia="Calibri" w:hAnsi="Arial" w:cs="Arial"/>
          <w:b/>
          <w:lang w:val="en-GB"/>
        </w:rPr>
        <w:t>ELECTRIC VEHICLE BUSINESS MODEL</w:t>
      </w:r>
    </w:p>
    <w:p w14:paraId="4F7AA8D1" w14:textId="77777777" w:rsidR="00D751FB" w:rsidRPr="0051039E" w:rsidRDefault="00D751FB" w:rsidP="00D751FB">
      <w:pPr>
        <w:pStyle w:val="BodyTextMain"/>
        <w:rPr>
          <w:rFonts w:eastAsia="Calibri"/>
          <w:lang w:val="en-GB"/>
        </w:rPr>
      </w:pPr>
    </w:p>
    <w:p w14:paraId="2FAB3D48" w14:textId="7A4EE3D5" w:rsidR="00D751FB" w:rsidRPr="0097590C" w:rsidRDefault="00D751FB" w:rsidP="00D751FB">
      <w:pPr>
        <w:pStyle w:val="BodyTextMain"/>
        <w:rPr>
          <w:rFonts w:eastAsia="Calibri"/>
          <w:spacing w:val="-2"/>
          <w:kern w:val="22"/>
          <w:lang w:val="en-GB"/>
        </w:rPr>
      </w:pPr>
      <w:r w:rsidRPr="0097590C">
        <w:rPr>
          <w:rFonts w:eastAsia="Calibri"/>
          <w:spacing w:val="-2"/>
          <w:kern w:val="22"/>
          <w:lang w:val="en-GB"/>
        </w:rPr>
        <w:t xml:space="preserve">Independent electric vehicle OEMs had yet to build </w:t>
      </w:r>
      <w:r w:rsidR="0063254C" w:rsidRPr="0097590C">
        <w:rPr>
          <w:rFonts w:eastAsia="Calibri"/>
          <w:spacing w:val="-2"/>
          <w:kern w:val="22"/>
          <w:lang w:val="en-GB"/>
        </w:rPr>
        <w:t xml:space="preserve">a </w:t>
      </w:r>
      <w:r w:rsidRPr="0097590C">
        <w:rPr>
          <w:rFonts w:eastAsia="Calibri"/>
          <w:spacing w:val="-2"/>
          <w:kern w:val="22"/>
          <w:lang w:val="en-GB"/>
        </w:rPr>
        <w:t xml:space="preserve">profitable business model, </w:t>
      </w:r>
      <w:r w:rsidR="00A43004" w:rsidRPr="0097590C">
        <w:rPr>
          <w:rFonts w:eastAsia="Calibri"/>
          <w:spacing w:val="-2"/>
          <w:kern w:val="22"/>
          <w:lang w:val="en-GB"/>
        </w:rPr>
        <w:t>although</w:t>
      </w:r>
      <w:r w:rsidRPr="0097590C">
        <w:rPr>
          <w:rFonts w:eastAsia="Calibri"/>
          <w:spacing w:val="-2"/>
          <w:kern w:val="22"/>
          <w:lang w:val="en-GB"/>
        </w:rPr>
        <w:t xml:space="preserve"> they were </w:t>
      </w:r>
      <w:r w:rsidR="00A43004" w:rsidRPr="0097590C">
        <w:rPr>
          <w:rFonts w:eastAsia="Calibri"/>
          <w:spacing w:val="-2"/>
          <w:kern w:val="22"/>
          <w:lang w:val="en-GB"/>
        </w:rPr>
        <w:t>emerging</w:t>
      </w:r>
      <w:r w:rsidRPr="0097590C">
        <w:rPr>
          <w:rFonts w:eastAsia="Calibri"/>
          <w:spacing w:val="-2"/>
          <w:kern w:val="22"/>
          <w:lang w:val="en-GB"/>
        </w:rPr>
        <w:t xml:space="preserve"> everywhere based on a promising future.</w:t>
      </w:r>
      <w:r w:rsidRPr="0097590C">
        <w:rPr>
          <w:rFonts w:eastAsia="Calibri"/>
          <w:spacing w:val="-2"/>
          <w:kern w:val="22"/>
          <w:vertAlign w:val="superscript"/>
          <w:lang w:val="en-GB"/>
        </w:rPr>
        <w:endnoteReference w:id="64"/>
      </w:r>
      <w:r w:rsidR="00A43004" w:rsidRPr="0097590C">
        <w:rPr>
          <w:rFonts w:eastAsia="Calibri"/>
          <w:spacing w:val="-2"/>
          <w:kern w:val="22"/>
          <w:lang w:val="en-GB"/>
        </w:rPr>
        <w:t xml:space="preserve"> </w:t>
      </w:r>
      <w:r w:rsidRPr="0097590C">
        <w:rPr>
          <w:rFonts w:eastAsia="Calibri"/>
          <w:spacing w:val="-2"/>
          <w:kern w:val="22"/>
          <w:lang w:val="en-GB"/>
        </w:rPr>
        <w:t xml:space="preserve">Profitability was hampered by the </w:t>
      </w:r>
      <w:r w:rsidR="00D013DB" w:rsidRPr="0097590C">
        <w:rPr>
          <w:rFonts w:eastAsia="Calibri"/>
          <w:spacing w:val="-2"/>
          <w:kern w:val="22"/>
          <w:lang w:val="en-GB"/>
        </w:rPr>
        <w:t xml:space="preserve">high </w:t>
      </w:r>
      <w:r w:rsidRPr="0097590C">
        <w:rPr>
          <w:rFonts w:eastAsia="Calibri"/>
          <w:spacing w:val="-2"/>
          <w:kern w:val="22"/>
          <w:lang w:val="en-GB"/>
        </w:rPr>
        <w:t xml:space="preserve">cost </w:t>
      </w:r>
      <w:r w:rsidR="00D013DB" w:rsidRPr="0097590C">
        <w:rPr>
          <w:rFonts w:eastAsia="Calibri"/>
          <w:spacing w:val="-2"/>
          <w:kern w:val="22"/>
          <w:lang w:val="en-GB"/>
        </w:rPr>
        <w:t>of</w:t>
      </w:r>
      <w:r w:rsidRPr="0097590C">
        <w:rPr>
          <w:rFonts w:eastAsia="Calibri"/>
          <w:spacing w:val="-2"/>
          <w:kern w:val="22"/>
          <w:lang w:val="en-GB"/>
        </w:rPr>
        <w:t xml:space="preserve"> produc</w:t>
      </w:r>
      <w:r w:rsidR="00D013DB" w:rsidRPr="0097590C">
        <w:rPr>
          <w:rFonts w:eastAsia="Calibri"/>
          <w:spacing w:val="-2"/>
          <w:kern w:val="22"/>
          <w:lang w:val="en-GB"/>
        </w:rPr>
        <w:t>ing</w:t>
      </w:r>
      <w:r w:rsidRPr="0097590C">
        <w:rPr>
          <w:rFonts w:eastAsia="Calibri"/>
          <w:spacing w:val="-2"/>
          <w:kern w:val="22"/>
          <w:lang w:val="en-GB"/>
        </w:rPr>
        <w:t xml:space="preserve"> batteries</w:t>
      </w:r>
      <w:r w:rsidR="00D013DB" w:rsidRPr="0097590C">
        <w:rPr>
          <w:rFonts w:eastAsia="Calibri"/>
          <w:spacing w:val="-2"/>
          <w:kern w:val="22"/>
          <w:lang w:val="en-GB"/>
        </w:rPr>
        <w:t xml:space="preserve"> and</w:t>
      </w:r>
      <w:r w:rsidRPr="0097590C">
        <w:rPr>
          <w:rFonts w:eastAsia="Calibri"/>
          <w:spacing w:val="-2"/>
          <w:kern w:val="22"/>
          <w:lang w:val="en-GB"/>
        </w:rPr>
        <w:t xml:space="preserve"> </w:t>
      </w:r>
      <w:r w:rsidR="00A43004" w:rsidRPr="0097590C">
        <w:rPr>
          <w:rFonts w:eastAsia="Calibri"/>
          <w:spacing w:val="-2"/>
          <w:kern w:val="22"/>
          <w:lang w:val="en-GB"/>
        </w:rPr>
        <w:t>develop</w:t>
      </w:r>
      <w:r w:rsidR="00D013DB" w:rsidRPr="0097590C">
        <w:rPr>
          <w:rFonts w:eastAsia="Calibri"/>
          <w:spacing w:val="-2"/>
          <w:kern w:val="22"/>
          <w:lang w:val="en-GB"/>
        </w:rPr>
        <w:t>ing</w:t>
      </w:r>
      <w:r w:rsidRPr="0097590C">
        <w:rPr>
          <w:rFonts w:eastAsia="Calibri"/>
          <w:spacing w:val="-2"/>
          <w:kern w:val="22"/>
          <w:lang w:val="en-GB"/>
        </w:rPr>
        <w:t xml:space="preserve"> </w:t>
      </w:r>
      <w:r w:rsidR="00D013DB" w:rsidRPr="0097590C">
        <w:rPr>
          <w:rFonts w:eastAsia="Calibri"/>
          <w:spacing w:val="-2"/>
          <w:kern w:val="22"/>
          <w:lang w:val="en-GB"/>
        </w:rPr>
        <w:t xml:space="preserve">economy of scale in </w:t>
      </w:r>
      <w:r w:rsidRPr="0097590C">
        <w:rPr>
          <w:rFonts w:eastAsia="Calibri"/>
          <w:spacing w:val="-2"/>
          <w:kern w:val="22"/>
          <w:lang w:val="en-GB"/>
        </w:rPr>
        <w:t>manufacturing</w:t>
      </w:r>
      <w:r w:rsidR="007131F9" w:rsidRPr="0097590C">
        <w:rPr>
          <w:rFonts w:eastAsia="Calibri"/>
          <w:spacing w:val="-2"/>
          <w:kern w:val="22"/>
          <w:lang w:val="en-GB"/>
        </w:rPr>
        <w:t>, as well as the</w:t>
      </w:r>
      <w:r w:rsidRPr="0097590C">
        <w:rPr>
          <w:rFonts w:eastAsia="Calibri"/>
          <w:spacing w:val="-2"/>
          <w:kern w:val="22"/>
          <w:lang w:val="en-GB"/>
        </w:rPr>
        <w:t xml:space="preserve"> requirement to invest in and </w:t>
      </w:r>
      <w:r w:rsidR="00D013DB" w:rsidRPr="0097590C">
        <w:rPr>
          <w:rFonts w:eastAsia="Calibri"/>
          <w:spacing w:val="-2"/>
          <w:kern w:val="22"/>
          <w:lang w:val="en-GB"/>
        </w:rPr>
        <w:t>develop</w:t>
      </w:r>
      <w:r w:rsidRPr="0097590C">
        <w:rPr>
          <w:rFonts w:eastAsia="Calibri"/>
          <w:spacing w:val="-2"/>
          <w:kern w:val="22"/>
          <w:lang w:val="en-GB"/>
        </w:rPr>
        <w:t xml:space="preserve"> charging networks, showrooms</w:t>
      </w:r>
      <w:r w:rsidR="00D013DB" w:rsidRPr="0097590C">
        <w:rPr>
          <w:rFonts w:eastAsia="Calibri"/>
          <w:spacing w:val="-2"/>
          <w:kern w:val="22"/>
          <w:lang w:val="en-GB"/>
        </w:rPr>
        <w:t>,</w:t>
      </w:r>
      <w:r w:rsidRPr="0097590C">
        <w:rPr>
          <w:rFonts w:eastAsia="Calibri"/>
          <w:spacing w:val="-2"/>
          <w:kern w:val="22"/>
          <w:lang w:val="en-GB"/>
        </w:rPr>
        <w:t xml:space="preserve"> and </w:t>
      </w:r>
      <w:r w:rsidR="00D013DB" w:rsidRPr="0097590C">
        <w:rPr>
          <w:rFonts w:eastAsia="Calibri"/>
          <w:spacing w:val="-2"/>
          <w:kern w:val="22"/>
          <w:lang w:val="en-GB"/>
        </w:rPr>
        <w:t xml:space="preserve">a </w:t>
      </w:r>
      <w:r w:rsidRPr="0097590C">
        <w:rPr>
          <w:rFonts w:eastAsia="Calibri"/>
          <w:spacing w:val="-2"/>
          <w:kern w:val="22"/>
          <w:lang w:val="en-GB"/>
        </w:rPr>
        <w:t>service capacity</w:t>
      </w:r>
      <w:r w:rsidR="007131F9" w:rsidRPr="0097590C">
        <w:rPr>
          <w:rFonts w:eastAsia="Calibri"/>
          <w:spacing w:val="-2"/>
          <w:kern w:val="22"/>
          <w:lang w:val="en-GB"/>
        </w:rPr>
        <w:t xml:space="preserve">. </w:t>
      </w:r>
      <w:r w:rsidR="00D013DB" w:rsidRPr="0097590C">
        <w:rPr>
          <w:rFonts w:eastAsia="Calibri"/>
          <w:spacing w:val="-2"/>
          <w:kern w:val="22"/>
          <w:lang w:val="en-GB"/>
        </w:rPr>
        <w:t>OEMs</w:t>
      </w:r>
      <w:r w:rsidRPr="0097590C">
        <w:rPr>
          <w:rFonts w:eastAsia="Calibri"/>
          <w:spacing w:val="-2"/>
          <w:kern w:val="22"/>
          <w:lang w:val="en-GB"/>
        </w:rPr>
        <w:t xml:space="preserve">, however, </w:t>
      </w:r>
      <w:r w:rsidR="007131F9" w:rsidRPr="0097590C">
        <w:rPr>
          <w:rFonts w:eastAsia="Calibri"/>
          <w:spacing w:val="-2"/>
          <w:kern w:val="22"/>
          <w:lang w:val="en-GB"/>
        </w:rPr>
        <w:t xml:space="preserve">had </w:t>
      </w:r>
      <w:r w:rsidRPr="0097590C">
        <w:rPr>
          <w:rFonts w:eastAsia="Calibri"/>
          <w:spacing w:val="-2"/>
          <w:kern w:val="22"/>
          <w:lang w:val="en-GB"/>
        </w:rPr>
        <w:t>defined their business model fairly succinctly and were busy attempting to address any impediments to future profitability.</w:t>
      </w:r>
    </w:p>
    <w:p w14:paraId="575AC773" w14:textId="77777777" w:rsidR="00D751FB" w:rsidRPr="0051039E" w:rsidRDefault="00D751FB" w:rsidP="00D751FB">
      <w:pPr>
        <w:pStyle w:val="BodyTextMain"/>
        <w:rPr>
          <w:rFonts w:eastAsia="Calibri"/>
          <w:lang w:val="en-GB"/>
        </w:rPr>
      </w:pPr>
    </w:p>
    <w:p w14:paraId="50A26DE1" w14:textId="2724326B" w:rsidR="00D751FB" w:rsidRPr="0097590C" w:rsidRDefault="007131F9" w:rsidP="00D751FB">
      <w:pPr>
        <w:pStyle w:val="BodyTextMain"/>
        <w:rPr>
          <w:rFonts w:eastAsia="Calibri"/>
          <w:spacing w:val="-2"/>
          <w:kern w:val="22"/>
          <w:lang w:val="en-GB"/>
        </w:rPr>
      </w:pPr>
      <w:r w:rsidRPr="0097590C">
        <w:rPr>
          <w:rFonts w:eastAsia="Calibri"/>
          <w:spacing w:val="-2"/>
          <w:kern w:val="22"/>
          <w:lang w:val="en-GB"/>
        </w:rPr>
        <w:t xml:space="preserve">Tesla </w:t>
      </w:r>
      <w:r w:rsidR="00D751FB" w:rsidRPr="0097590C">
        <w:rPr>
          <w:rFonts w:eastAsia="Calibri"/>
          <w:spacing w:val="-2"/>
          <w:kern w:val="22"/>
          <w:lang w:val="en-GB"/>
        </w:rPr>
        <w:t>represented one of these emerging business models.</w:t>
      </w:r>
      <w:r w:rsidR="00382558" w:rsidRPr="0097590C">
        <w:rPr>
          <w:rFonts w:eastAsia="Calibri"/>
          <w:spacing w:val="-2"/>
          <w:kern w:val="22"/>
          <w:lang w:val="en-GB"/>
        </w:rPr>
        <w:t xml:space="preserve"> </w:t>
      </w:r>
      <w:r w:rsidRPr="0097590C">
        <w:rPr>
          <w:rFonts w:eastAsia="Calibri"/>
          <w:spacing w:val="-2"/>
          <w:kern w:val="22"/>
          <w:lang w:val="en-GB"/>
        </w:rPr>
        <w:t>It</w:t>
      </w:r>
      <w:r w:rsidR="00D013DB" w:rsidRPr="0097590C">
        <w:rPr>
          <w:rFonts w:eastAsia="Calibri"/>
          <w:spacing w:val="-2"/>
          <w:kern w:val="22"/>
          <w:lang w:val="en-GB"/>
        </w:rPr>
        <w:t>s</w:t>
      </w:r>
      <w:r w:rsidR="00D751FB" w:rsidRPr="0097590C">
        <w:rPr>
          <w:rFonts w:eastAsia="Calibri"/>
          <w:spacing w:val="-2"/>
          <w:kern w:val="22"/>
          <w:lang w:val="en-GB"/>
        </w:rPr>
        <w:t xml:space="preserve"> </w:t>
      </w:r>
      <w:r w:rsidRPr="0097590C">
        <w:rPr>
          <w:rFonts w:eastAsia="Calibri"/>
          <w:spacing w:val="-2"/>
          <w:kern w:val="22"/>
          <w:lang w:val="en-GB"/>
        </w:rPr>
        <w:t xml:space="preserve">business </w:t>
      </w:r>
      <w:r w:rsidR="00D751FB" w:rsidRPr="0097590C">
        <w:rPr>
          <w:rFonts w:eastAsia="Calibri"/>
          <w:spacing w:val="-2"/>
          <w:kern w:val="22"/>
          <w:lang w:val="en-GB"/>
        </w:rPr>
        <w:t xml:space="preserve">model started with </w:t>
      </w:r>
      <w:r w:rsidR="00D013DB" w:rsidRPr="0097590C">
        <w:rPr>
          <w:rFonts w:eastAsia="Calibri"/>
          <w:spacing w:val="-2"/>
          <w:kern w:val="22"/>
          <w:lang w:val="en-GB"/>
        </w:rPr>
        <w:t>the</w:t>
      </w:r>
      <w:r w:rsidR="00D751FB" w:rsidRPr="0097590C">
        <w:rPr>
          <w:rFonts w:eastAsia="Calibri"/>
          <w:spacing w:val="-2"/>
          <w:kern w:val="22"/>
          <w:lang w:val="en-GB"/>
        </w:rPr>
        <w:t xml:space="preserve"> unique value proposition of a safe, eco-friendly, high-end vehicle that just happened to be electric, accompanied with a membership</w:t>
      </w:r>
      <w:r w:rsidR="00D013DB" w:rsidRPr="0097590C">
        <w:rPr>
          <w:rFonts w:eastAsia="Calibri"/>
          <w:spacing w:val="-2"/>
          <w:kern w:val="22"/>
          <w:lang w:val="en-GB"/>
        </w:rPr>
        <w:t xml:space="preserve"> scheme that</w:t>
      </w:r>
      <w:r w:rsidR="00D751FB" w:rsidRPr="0097590C">
        <w:rPr>
          <w:rFonts w:eastAsia="Calibri"/>
          <w:spacing w:val="-2"/>
          <w:kern w:val="22"/>
          <w:lang w:val="en-GB"/>
        </w:rPr>
        <w:t xml:space="preserve"> provided the owner with access to cheap </w:t>
      </w:r>
      <w:r w:rsidR="00D013DB" w:rsidRPr="0097590C">
        <w:rPr>
          <w:rFonts w:eastAsia="Calibri"/>
          <w:spacing w:val="-2"/>
          <w:kern w:val="22"/>
          <w:lang w:val="en-GB"/>
        </w:rPr>
        <w:t>battery charges</w:t>
      </w:r>
      <w:r w:rsidR="00D751FB" w:rsidRPr="0097590C">
        <w:rPr>
          <w:rFonts w:eastAsia="Calibri"/>
          <w:spacing w:val="-2"/>
          <w:kern w:val="22"/>
          <w:lang w:val="en-GB"/>
        </w:rPr>
        <w:t xml:space="preserve"> at over 11,000 supercharging connectors worldwide.</w:t>
      </w:r>
      <w:r w:rsidR="00D751FB" w:rsidRPr="0097590C">
        <w:rPr>
          <w:rFonts w:eastAsia="Calibri"/>
          <w:spacing w:val="-2"/>
          <w:kern w:val="22"/>
          <w:vertAlign w:val="superscript"/>
          <w:lang w:val="en-GB"/>
        </w:rPr>
        <w:endnoteReference w:id="65"/>
      </w:r>
      <w:r w:rsidR="00D013DB" w:rsidRPr="0097590C">
        <w:rPr>
          <w:rFonts w:eastAsia="Calibri"/>
          <w:spacing w:val="-2"/>
          <w:kern w:val="22"/>
          <w:lang w:val="en-GB"/>
        </w:rPr>
        <w:t xml:space="preserve"> </w:t>
      </w:r>
      <w:r w:rsidR="00D751FB" w:rsidRPr="0097590C">
        <w:rPr>
          <w:rFonts w:eastAsia="Calibri"/>
          <w:spacing w:val="-2"/>
          <w:kern w:val="22"/>
          <w:lang w:val="en-GB"/>
        </w:rPr>
        <w:t xml:space="preserve">Tesla had four consumer car models: </w:t>
      </w:r>
      <w:r w:rsidR="00D013DB" w:rsidRPr="0097590C">
        <w:rPr>
          <w:rFonts w:eastAsia="Calibri"/>
          <w:spacing w:val="-2"/>
          <w:kern w:val="22"/>
          <w:lang w:val="en-GB"/>
        </w:rPr>
        <w:t xml:space="preserve">the </w:t>
      </w:r>
      <w:r w:rsidR="00D751FB" w:rsidRPr="0097590C">
        <w:rPr>
          <w:rFonts w:eastAsia="Calibri"/>
          <w:spacing w:val="-2"/>
          <w:kern w:val="22"/>
          <w:lang w:val="en-GB"/>
        </w:rPr>
        <w:t xml:space="preserve">Model S </w:t>
      </w:r>
      <w:r w:rsidR="00D013DB" w:rsidRPr="0097590C">
        <w:rPr>
          <w:rFonts w:eastAsia="Calibri"/>
          <w:spacing w:val="-2"/>
          <w:kern w:val="22"/>
          <w:lang w:val="en-GB"/>
        </w:rPr>
        <w:t>s</w:t>
      </w:r>
      <w:r w:rsidR="00D751FB" w:rsidRPr="0097590C">
        <w:rPr>
          <w:rFonts w:eastAsia="Calibri"/>
          <w:spacing w:val="-2"/>
          <w:kern w:val="22"/>
          <w:lang w:val="en-GB"/>
        </w:rPr>
        <w:t xml:space="preserve">edan, </w:t>
      </w:r>
      <w:r w:rsidR="00D013DB" w:rsidRPr="0097590C">
        <w:rPr>
          <w:rFonts w:eastAsia="Calibri"/>
          <w:spacing w:val="-2"/>
          <w:kern w:val="22"/>
          <w:lang w:val="en-GB"/>
        </w:rPr>
        <w:t xml:space="preserve">the </w:t>
      </w:r>
      <w:r w:rsidR="00D751FB" w:rsidRPr="0097590C">
        <w:rPr>
          <w:rFonts w:eastAsia="Calibri"/>
          <w:spacing w:val="-2"/>
          <w:kern w:val="22"/>
          <w:lang w:val="en-GB"/>
        </w:rPr>
        <w:t xml:space="preserve">Model X SUV, </w:t>
      </w:r>
      <w:r w:rsidR="00D013DB" w:rsidRPr="0097590C">
        <w:rPr>
          <w:rFonts w:eastAsia="Calibri"/>
          <w:spacing w:val="-2"/>
          <w:kern w:val="22"/>
          <w:lang w:val="en-GB"/>
        </w:rPr>
        <w:t xml:space="preserve">the </w:t>
      </w:r>
      <w:r w:rsidR="00D751FB" w:rsidRPr="0097590C">
        <w:rPr>
          <w:rFonts w:eastAsia="Calibri"/>
          <w:spacing w:val="-2"/>
          <w:kern w:val="22"/>
          <w:lang w:val="en-GB"/>
        </w:rPr>
        <w:t xml:space="preserve">Model 3 </w:t>
      </w:r>
      <w:r w:rsidR="00D013DB" w:rsidRPr="0097590C">
        <w:rPr>
          <w:rFonts w:eastAsia="Calibri"/>
          <w:spacing w:val="-2"/>
          <w:kern w:val="22"/>
          <w:lang w:val="en-GB"/>
        </w:rPr>
        <w:t>m</w:t>
      </w:r>
      <w:r w:rsidR="00D751FB" w:rsidRPr="0097590C">
        <w:rPr>
          <w:rFonts w:eastAsia="Calibri"/>
          <w:spacing w:val="-2"/>
          <w:kern w:val="22"/>
          <w:lang w:val="en-GB"/>
        </w:rPr>
        <w:t>idsize</w:t>
      </w:r>
      <w:r w:rsidR="00D013DB" w:rsidRPr="0097590C">
        <w:rPr>
          <w:rFonts w:eastAsia="Calibri"/>
          <w:spacing w:val="-2"/>
          <w:kern w:val="22"/>
          <w:lang w:val="en-GB"/>
        </w:rPr>
        <w:t xml:space="preserve"> car</w:t>
      </w:r>
      <w:r w:rsidR="00D751FB" w:rsidRPr="0097590C">
        <w:rPr>
          <w:rFonts w:eastAsia="Calibri"/>
          <w:spacing w:val="-2"/>
          <w:kern w:val="22"/>
          <w:lang w:val="en-GB"/>
        </w:rPr>
        <w:t xml:space="preserve"> (more affordably priced)</w:t>
      </w:r>
      <w:r w:rsidR="00D013DB" w:rsidRPr="0097590C">
        <w:rPr>
          <w:rFonts w:eastAsia="Calibri"/>
          <w:spacing w:val="-2"/>
          <w:kern w:val="22"/>
          <w:lang w:val="en-GB"/>
        </w:rPr>
        <w:t>,</w:t>
      </w:r>
      <w:r w:rsidR="00D751FB" w:rsidRPr="0097590C">
        <w:rPr>
          <w:rFonts w:eastAsia="Calibri"/>
          <w:spacing w:val="-2"/>
          <w:kern w:val="22"/>
          <w:lang w:val="en-GB"/>
        </w:rPr>
        <w:t xml:space="preserve"> and the revitalized Roadster supercar.</w:t>
      </w:r>
      <w:r w:rsidR="00D751FB" w:rsidRPr="0097590C">
        <w:rPr>
          <w:rFonts w:eastAsia="Calibri"/>
          <w:spacing w:val="-2"/>
          <w:kern w:val="22"/>
          <w:vertAlign w:val="superscript"/>
          <w:lang w:val="en-GB"/>
        </w:rPr>
        <w:endnoteReference w:id="66"/>
      </w:r>
      <w:r w:rsidR="00D013DB" w:rsidRPr="0097590C">
        <w:rPr>
          <w:rFonts w:eastAsia="Calibri"/>
          <w:spacing w:val="-2"/>
          <w:kern w:val="22"/>
          <w:lang w:val="en-GB"/>
        </w:rPr>
        <w:t xml:space="preserve"> </w:t>
      </w:r>
      <w:r w:rsidR="00D751FB" w:rsidRPr="0097590C">
        <w:rPr>
          <w:rFonts w:eastAsia="Calibri"/>
          <w:spacing w:val="-2"/>
          <w:kern w:val="22"/>
          <w:lang w:val="en-GB"/>
        </w:rPr>
        <w:t xml:space="preserve">Tesla sold most of </w:t>
      </w:r>
      <w:r w:rsidR="00D013DB" w:rsidRPr="0097590C">
        <w:rPr>
          <w:rFonts w:eastAsia="Calibri"/>
          <w:spacing w:val="-2"/>
          <w:kern w:val="22"/>
          <w:lang w:val="en-GB"/>
        </w:rPr>
        <w:t>i</w:t>
      </w:r>
      <w:r w:rsidR="00D751FB" w:rsidRPr="0097590C">
        <w:rPr>
          <w:rFonts w:eastAsia="Calibri"/>
          <w:spacing w:val="-2"/>
          <w:kern w:val="22"/>
          <w:lang w:val="en-GB"/>
        </w:rPr>
        <w:t>t</w:t>
      </w:r>
      <w:r w:rsidR="00D013DB" w:rsidRPr="0097590C">
        <w:rPr>
          <w:rFonts w:eastAsia="Calibri"/>
          <w:spacing w:val="-2"/>
          <w:kern w:val="22"/>
          <w:lang w:val="en-GB"/>
        </w:rPr>
        <w:t>s</w:t>
      </w:r>
      <w:r w:rsidR="00D751FB" w:rsidRPr="0097590C">
        <w:rPr>
          <w:rFonts w:eastAsia="Calibri"/>
          <w:spacing w:val="-2"/>
          <w:kern w:val="22"/>
          <w:lang w:val="en-GB"/>
        </w:rPr>
        <w:t xml:space="preserve"> vehicles online, supported by a relatively small number of company owned stores and service locations, which </w:t>
      </w:r>
      <w:r w:rsidR="00D013DB" w:rsidRPr="0097590C">
        <w:rPr>
          <w:rFonts w:eastAsia="Calibri"/>
          <w:spacing w:val="-2"/>
          <w:kern w:val="22"/>
          <w:lang w:val="en-GB"/>
        </w:rPr>
        <w:t>acted mainly as</w:t>
      </w:r>
      <w:r w:rsidR="00D751FB" w:rsidRPr="0097590C">
        <w:rPr>
          <w:rFonts w:eastAsia="Calibri"/>
          <w:spacing w:val="-2"/>
          <w:kern w:val="22"/>
          <w:lang w:val="en-GB"/>
        </w:rPr>
        <w:t xml:space="preserve"> small showrooms.</w:t>
      </w:r>
      <w:r w:rsidR="00382558" w:rsidRPr="0097590C">
        <w:rPr>
          <w:rFonts w:eastAsia="Calibri"/>
          <w:spacing w:val="-2"/>
          <w:kern w:val="22"/>
          <w:lang w:val="en-GB"/>
        </w:rPr>
        <w:t xml:space="preserve"> </w:t>
      </w:r>
      <w:r w:rsidR="00D751FB" w:rsidRPr="0097590C">
        <w:rPr>
          <w:rFonts w:eastAsia="Calibri"/>
          <w:spacing w:val="-2"/>
          <w:kern w:val="22"/>
          <w:lang w:val="en-GB"/>
        </w:rPr>
        <w:t xml:space="preserve">Interestingly, many </w:t>
      </w:r>
      <w:r w:rsidR="00E70A21">
        <w:rPr>
          <w:rFonts w:eastAsia="Calibri"/>
          <w:spacing w:val="-2"/>
          <w:kern w:val="22"/>
          <w:lang w:val="en-GB"/>
        </w:rPr>
        <w:t>US</w:t>
      </w:r>
      <w:r w:rsidR="00D751FB" w:rsidRPr="0097590C">
        <w:rPr>
          <w:rFonts w:eastAsia="Calibri"/>
          <w:spacing w:val="-2"/>
          <w:kern w:val="22"/>
          <w:lang w:val="en-GB"/>
        </w:rPr>
        <w:t xml:space="preserve"> states had protectionist laws that limited or banned auto manufacturers from selling directly to consumers, </w:t>
      </w:r>
      <w:r w:rsidR="00D013DB" w:rsidRPr="0097590C">
        <w:rPr>
          <w:rFonts w:eastAsia="Calibri"/>
          <w:spacing w:val="-2"/>
          <w:kern w:val="22"/>
          <w:lang w:val="en-GB"/>
        </w:rPr>
        <w:t xml:space="preserve">which </w:t>
      </w:r>
      <w:r w:rsidR="00D751FB" w:rsidRPr="0097590C">
        <w:rPr>
          <w:rFonts w:eastAsia="Calibri"/>
          <w:spacing w:val="-2"/>
          <w:kern w:val="22"/>
          <w:lang w:val="en-GB"/>
        </w:rPr>
        <w:t>requir</w:t>
      </w:r>
      <w:r w:rsidRPr="0097590C">
        <w:rPr>
          <w:rFonts w:eastAsia="Calibri"/>
          <w:spacing w:val="-2"/>
          <w:kern w:val="22"/>
          <w:lang w:val="en-GB"/>
        </w:rPr>
        <w:t>ed</w:t>
      </w:r>
      <w:r w:rsidR="00D751FB" w:rsidRPr="0097590C">
        <w:rPr>
          <w:rFonts w:eastAsia="Calibri"/>
          <w:spacing w:val="-2"/>
          <w:kern w:val="22"/>
          <w:lang w:val="en-GB"/>
        </w:rPr>
        <w:t xml:space="preserve"> Tesla to open these small sales outlets.</w:t>
      </w:r>
      <w:r w:rsidR="00382558" w:rsidRPr="0097590C">
        <w:rPr>
          <w:rFonts w:eastAsia="Calibri"/>
          <w:spacing w:val="-2"/>
          <w:kern w:val="22"/>
          <w:lang w:val="en-GB"/>
        </w:rPr>
        <w:t xml:space="preserve"> </w:t>
      </w:r>
      <w:r w:rsidRPr="0097590C">
        <w:rPr>
          <w:rFonts w:eastAsia="Calibri"/>
          <w:spacing w:val="-2"/>
          <w:kern w:val="22"/>
          <w:lang w:val="en-GB"/>
        </w:rPr>
        <w:t>B</w:t>
      </w:r>
      <w:r w:rsidR="00D013DB" w:rsidRPr="0097590C">
        <w:rPr>
          <w:rFonts w:eastAsia="Calibri"/>
          <w:spacing w:val="-2"/>
          <w:kern w:val="22"/>
          <w:lang w:val="en-GB"/>
        </w:rPr>
        <w:t>y</w:t>
      </w:r>
      <w:r w:rsidR="00D751FB" w:rsidRPr="0097590C">
        <w:rPr>
          <w:rFonts w:eastAsia="Calibri"/>
          <w:spacing w:val="-2"/>
          <w:kern w:val="22"/>
          <w:lang w:val="en-GB"/>
        </w:rPr>
        <w:t xml:space="preserve"> the end of the third quarter </w:t>
      </w:r>
      <w:r w:rsidR="00D013DB" w:rsidRPr="0097590C">
        <w:rPr>
          <w:rFonts w:eastAsia="Calibri"/>
          <w:spacing w:val="-2"/>
          <w:kern w:val="22"/>
          <w:lang w:val="en-GB"/>
        </w:rPr>
        <w:t xml:space="preserve">of </w:t>
      </w:r>
      <w:r w:rsidR="00D751FB" w:rsidRPr="0097590C">
        <w:rPr>
          <w:rFonts w:eastAsia="Calibri"/>
          <w:spacing w:val="-2"/>
          <w:kern w:val="22"/>
          <w:lang w:val="en-GB"/>
        </w:rPr>
        <w:t>2018</w:t>
      </w:r>
      <w:r w:rsidRPr="0097590C">
        <w:rPr>
          <w:rFonts w:eastAsia="Calibri"/>
          <w:spacing w:val="-2"/>
          <w:kern w:val="22"/>
          <w:lang w:val="en-GB"/>
        </w:rPr>
        <w:t>, Tesla had 351 stores and service locations around the world</w:t>
      </w:r>
      <w:r w:rsidR="00D751FB" w:rsidRPr="0097590C">
        <w:rPr>
          <w:rFonts w:eastAsia="Calibri"/>
          <w:spacing w:val="-2"/>
          <w:kern w:val="22"/>
          <w:lang w:val="en-GB"/>
        </w:rPr>
        <w:t>.</w:t>
      </w:r>
      <w:r w:rsidR="00D013DB" w:rsidRPr="0097590C">
        <w:rPr>
          <w:rFonts w:eastAsia="Calibri"/>
          <w:spacing w:val="-2"/>
          <w:kern w:val="22"/>
          <w:lang w:val="en-GB"/>
        </w:rPr>
        <w:t xml:space="preserve"> </w:t>
      </w:r>
      <w:r w:rsidR="00D751FB" w:rsidRPr="0097590C">
        <w:rPr>
          <w:rFonts w:eastAsia="Calibri"/>
          <w:spacing w:val="-2"/>
          <w:kern w:val="22"/>
          <w:lang w:val="en-GB"/>
        </w:rPr>
        <w:t xml:space="preserve">Service was provided through service locations and </w:t>
      </w:r>
      <w:r w:rsidRPr="0097590C">
        <w:rPr>
          <w:rFonts w:eastAsia="Calibri"/>
          <w:spacing w:val="-2"/>
          <w:kern w:val="22"/>
          <w:lang w:val="en-GB"/>
        </w:rPr>
        <w:t xml:space="preserve">a </w:t>
      </w:r>
      <w:r w:rsidR="00D751FB" w:rsidRPr="0097590C">
        <w:rPr>
          <w:rFonts w:eastAsia="Calibri"/>
          <w:spacing w:val="-2"/>
          <w:kern w:val="22"/>
          <w:lang w:val="en-GB"/>
        </w:rPr>
        <w:t>unique mobile service fleet</w:t>
      </w:r>
      <w:r w:rsidR="00D013DB" w:rsidRPr="0097590C">
        <w:rPr>
          <w:rFonts w:eastAsia="Calibri"/>
          <w:spacing w:val="-2"/>
          <w:kern w:val="22"/>
          <w:lang w:val="en-GB"/>
        </w:rPr>
        <w:t xml:space="preserve"> that</w:t>
      </w:r>
      <w:r w:rsidR="00D751FB" w:rsidRPr="0097590C">
        <w:rPr>
          <w:rFonts w:eastAsia="Calibri"/>
          <w:spacing w:val="-2"/>
          <w:kern w:val="22"/>
          <w:lang w:val="en-GB"/>
        </w:rPr>
        <w:t xml:space="preserve"> expanded </w:t>
      </w:r>
      <w:r w:rsidR="00D013DB" w:rsidRPr="0097590C">
        <w:rPr>
          <w:rFonts w:eastAsia="Calibri"/>
          <w:spacing w:val="-2"/>
          <w:kern w:val="22"/>
          <w:lang w:val="en-GB"/>
        </w:rPr>
        <w:t>the number of</w:t>
      </w:r>
      <w:r w:rsidR="00D751FB" w:rsidRPr="0097590C">
        <w:rPr>
          <w:rFonts w:eastAsia="Calibri"/>
          <w:spacing w:val="-2"/>
          <w:kern w:val="22"/>
          <w:lang w:val="en-GB"/>
        </w:rPr>
        <w:t xml:space="preserve"> service locations </w:t>
      </w:r>
      <w:r w:rsidR="00D013DB" w:rsidRPr="0097590C">
        <w:rPr>
          <w:rFonts w:eastAsia="Calibri"/>
          <w:spacing w:val="-2"/>
          <w:kern w:val="22"/>
          <w:lang w:val="en-GB"/>
        </w:rPr>
        <w:t>to 373</w:t>
      </w:r>
      <w:r w:rsidR="00D751FB" w:rsidRPr="0097590C">
        <w:rPr>
          <w:rFonts w:eastAsia="Calibri"/>
          <w:spacing w:val="-2"/>
          <w:kern w:val="22"/>
          <w:lang w:val="en-GB"/>
        </w:rPr>
        <w:t>.</w:t>
      </w:r>
      <w:r w:rsidR="00D751FB" w:rsidRPr="0097590C">
        <w:rPr>
          <w:rFonts w:eastAsia="Calibri"/>
          <w:spacing w:val="-2"/>
          <w:kern w:val="22"/>
          <w:vertAlign w:val="superscript"/>
          <w:lang w:val="en-GB"/>
        </w:rPr>
        <w:endnoteReference w:id="67"/>
      </w:r>
      <w:r w:rsidR="00D751FB" w:rsidRPr="0097590C">
        <w:rPr>
          <w:rFonts w:eastAsia="Calibri"/>
          <w:spacing w:val="-2"/>
          <w:kern w:val="22"/>
          <w:lang w:val="en-GB"/>
        </w:rPr>
        <w:t xml:space="preserve"> Notably, 80 per</w:t>
      </w:r>
      <w:r w:rsidR="00D013DB" w:rsidRPr="0097590C">
        <w:rPr>
          <w:rFonts w:eastAsia="Calibri"/>
          <w:spacing w:val="-2"/>
          <w:kern w:val="22"/>
          <w:lang w:val="en-GB"/>
        </w:rPr>
        <w:t xml:space="preserve"> </w:t>
      </w:r>
      <w:r w:rsidR="00D751FB" w:rsidRPr="0097590C">
        <w:rPr>
          <w:rFonts w:eastAsia="Calibri"/>
          <w:spacing w:val="-2"/>
          <w:kern w:val="22"/>
          <w:lang w:val="en-GB"/>
        </w:rPr>
        <w:t>cent of a Tesla vehicle’s servicing could be performed without lifting the vehicle, making remote servicing through a mobile service fleet very productive.</w:t>
      </w:r>
      <w:r w:rsidR="00D751FB" w:rsidRPr="0097590C">
        <w:rPr>
          <w:rFonts w:eastAsia="Calibri"/>
          <w:spacing w:val="-2"/>
          <w:kern w:val="22"/>
          <w:vertAlign w:val="superscript"/>
          <w:lang w:val="en-GB"/>
        </w:rPr>
        <w:endnoteReference w:id="68"/>
      </w:r>
    </w:p>
    <w:p w14:paraId="025E282F" w14:textId="77777777" w:rsidR="00D751FB" w:rsidRPr="0051039E" w:rsidRDefault="00D751FB" w:rsidP="00D751FB">
      <w:pPr>
        <w:pStyle w:val="BodyTextMain"/>
        <w:rPr>
          <w:rFonts w:eastAsia="Calibri"/>
          <w:lang w:val="en-GB"/>
        </w:rPr>
      </w:pPr>
    </w:p>
    <w:p w14:paraId="71384593" w14:textId="7C003652" w:rsidR="00D751FB" w:rsidRPr="0097590C" w:rsidRDefault="00D751FB" w:rsidP="00D751FB">
      <w:pPr>
        <w:pStyle w:val="BodyTextMain"/>
        <w:rPr>
          <w:rFonts w:eastAsia="Calibri"/>
          <w:spacing w:val="-2"/>
          <w:kern w:val="22"/>
          <w:lang w:val="en-GB"/>
        </w:rPr>
      </w:pPr>
      <w:r w:rsidRPr="0097590C">
        <w:rPr>
          <w:rFonts w:eastAsia="Calibri"/>
          <w:spacing w:val="-2"/>
          <w:kern w:val="22"/>
          <w:lang w:val="en-GB"/>
        </w:rPr>
        <w:t xml:space="preserve">Battery production was supported through </w:t>
      </w:r>
      <w:r w:rsidR="007131F9" w:rsidRPr="0097590C">
        <w:rPr>
          <w:rFonts w:eastAsia="Calibri"/>
          <w:spacing w:val="-2"/>
          <w:kern w:val="22"/>
          <w:lang w:val="en-GB"/>
        </w:rPr>
        <w:t xml:space="preserve">the </w:t>
      </w:r>
      <w:r w:rsidRPr="0097590C">
        <w:rPr>
          <w:rFonts w:eastAsia="Calibri"/>
          <w:spacing w:val="-2"/>
          <w:kern w:val="22"/>
          <w:lang w:val="en-GB"/>
        </w:rPr>
        <w:t>Tesla Gigafactory in Nevada.</w:t>
      </w:r>
      <w:r w:rsidR="00382558" w:rsidRPr="0097590C">
        <w:rPr>
          <w:rFonts w:eastAsia="Calibri"/>
          <w:spacing w:val="-2"/>
          <w:kern w:val="22"/>
          <w:lang w:val="en-GB"/>
        </w:rPr>
        <w:t xml:space="preserve"> </w:t>
      </w:r>
      <w:r w:rsidRPr="0097590C">
        <w:rPr>
          <w:rFonts w:eastAsia="Calibri"/>
          <w:spacing w:val="-2"/>
          <w:kern w:val="22"/>
          <w:lang w:val="en-GB"/>
        </w:rPr>
        <w:t>By mid-2018 the factory reached an annualize</w:t>
      </w:r>
      <w:r w:rsidR="00030C20" w:rsidRPr="0097590C">
        <w:rPr>
          <w:rFonts w:eastAsia="Calibri"/>
          <w:spacing w:val="-2"/>
          <w:kern w:val="22"/>
          <w:lang w:val="en-GB"/>
        </w:rPr>
        <w:t>d</w:t>
      </w:r>
      <w:r w:rsidRPr="0097590C">
        <w:rPr>
          <w:rFonts w:eastAsia="Calibri"/>
          <w:spacing w:val="-2"/>
          <w:kern w:val="22"/>
          <w:lang w:val="en-GB"/>
        </w:rPr>
        <w:t xml:space="preserve"> battery production capacity of 20 gigawatt-hours, </w:t>
      </w:r>
      <w:r w:rsidR="00417528" w:rsidRPr="0097590C">
        <w:rPr>
          <w:rFonts w:eastAsia="Calibri"/>
          <w:spacing w:val="-2"/>
          <w:kern w:val="22"/>
          <w:lang w:val="en-GB"/>
        </w:rPr>
        <w:t>making it</w:t>
      </w:r>
      <w:r w:rsidRPr="0097590C">
        <w:rPr>
          <w:rFonts w:eastAsia="Calibri"/>
          <w:spacing w:val="-2"/>
          <w:kern w:val="22"/>
          <w:lang w:val="en-GB"/>
        </w:rPr>
        <w:t xml:space="preserve"> the highest-volume battery plant in the world.</w:t>
      </w:r>
      <w:r w:rsidR="00382558" w:rsidRPr="0097590C">
        <w:rPr>
          <w:rFonts w:eastAsia="Calibri"/>
          <w:spacing w:val="-2"/>
          <w:kern w:val="22"/>
          <w:lang w:val="en-GB"/>
        </w:rPr>
        <w:t xml:space="preserve"> It </w:t>
      </w:r>
      <w:r w:rsidRPr="0097590C">
        <w:rPr>
          <w:rFonts w:eastAsia="Calibri"/>
          <w:spacing w:val="-2"/>
          <w:kern w:val="22"/>
          <w:lang w:val="en-GB"/>
        </w:rPr>
        <w:t xml:space="preserve">was </w:t>
      </w:r>
      <w:r w:rsidR="00030C20" w:rsidRPr="0097590C">
        <w:rPr>
          <w:rFonts w:eastAsia="Calibri"/>
          <w:spacing w:val="-2"/>
          <w:kern w:val="22"/>
          <w:lang w:val="en-GB"/>
        </w:rPr>
        <w:t xml:space="preserve">considered </w:t>
      </w:r>
      <w:r w:rsidRPr="0097590C">
        <w:rPr>
          <w:rFonts w:eastAsia="Calibri"/>
          <w:spacing w:val="-2"/>
          <w:kern w:val="22"/>
          <w:lang w:val="en-GB"/>
        </w:rPr>
        <w:t>the world’s largest building</w:t>
      </w:r>
      <w:r w:rsidR="00030C20" w:rsidRPr="0097590C">
        <w:rPr>
          <w:rFonts w:eastAsia="Calibri"/>
          <w:spacing w:val="-2"/>
          <w:kern w:val="22"/>
          <w:lang w:val="en-GB"/>
        </w:rPr>
        <w:t>,</w:t>
      </w:r>
      <w:r w:rsidRPr="0097590C">
        <w:rPr>
          <w:rFonts w:eastAsia="Calibri"/>
          <w:spacing w:val="-2"/>
          <w:kern w:val="22"/>
          <w:lang w:val="en-GB"/>
        </w:rPr>
        <w:t xml:space="preserve"> </w:t>
      </w:r>
      <w:r w:rsidR="00030C20" w:rsidRPr="0097590C">
        <w:rPr>
          <w:rFonts w:eastAsia="Calibri"/>
          <w:spacing w:val="-2"/>
          <w:kern w:val="22"/>
          <w:lang w:val="en-GB"/>
        </w:rPr>
        <w:t>with</w:t>
      </w:r>
      <w:r w:rsidRPr="0097590C">
        <w:rPr>
          <w:rFonts w:eastAsia="Calibri"/>
          <w:spacing w:val="-2"/>
          <w:kern w:val="22"/>
          <w:lang w:val="en-GB"/>
        </w:rPr>
        <w:t xml:space="preserve"> 4.9 million square feet</w:t>
      </w:r>
      <w:r w:rsidR="00597F3D" w:rsidRPr="0097590C">
        <w:rPr>
          <w:rFonts w:eastAsia="Calibri"/>
          <w:spacing w:val="-2"/>
          <w:kern w:val="22"/>
          <w:lang w:val="en-GB"/>
        </w:rPr>
        <w:t xml:space="preserve"> (456,000 square metres</w:t>
      </w:r>
      <w:r w:rsidR="00030C20" w:rsidRPr="0097590C">
        <w:rPr>
          <w:rFonts w:eastAsia="Calibri"/>
          <w:spacing w:val="-2"/>
          <w:kern w:val="22"/>
          <w:lang w:val="en-GB"/>
        </w:rPr>
        <w:t>)</w:t>
      </w:r>
      <w:r w:rsidRPr="0097590C">
        <w:rPr>
          <w:rFonts w:eastAsia="Calibri"/>
          <w:spacing w:val="-2"/>
          <w:kern w:val="22"/>
          <w:lang w:val="en-GB"/>
        </w:rPr>
        <w:t xml:space="preserve"> of operational space.</w:t>
      </w:r>
      <w:r w:rsidRPr="0097590C">
        <w:rPr>
          <w:rFonts w:eastAsia="Calibri"/>
          <w:spacing w:val="-2"/>
          <w:kern w:val="22"/>
          <w:vertAlign w:val="superscript"/>
          <w:lang w:val="en-GB"/>
        </w:rPr>
        <w:endnoteReference w:id="69"/>
      </w:r>
      <w:r w:rsidR="00030C20" w:rsidRPr="0097590C">
        <w:rPr>
          <w:rFonts w:eastAsia="Calibri"/>
          <w:spacing w:val="-2"/>
          <w:kern w:val="22"/>
          <w:lang w:val="en-GB"/>
        </w:rPr>
        <w:t xml:space="preserve"> </w:t>
      </w:r>
      <w:r w:rsidRPr="0097590C">
        <w:rPr>
          <w:rFonts w:eastAsia="Calibri"/>
          <w:spacing w:val="-2"/>
          <w:kern w:val="22"/>
          <w:lang w:val="en-GB"/>
        </w:rPr>
        <w:t>Tesla’s multibillion-dollar investment in this battery factory was primarily focused on reducing the costs of battery cells through economies of scale and related R&amp;D investments.</w:t>
      </w:r>
      <w:r w:rsidRPr="0097590C">
        <w:rPr>
          <w:rFonts w:eastAsia="Calibri"/>
          <w:spacing w:val="-2"/>
          <w:kern w:val="22"/>
          <w:vertAlign w:val="superscript"/>
          <w:lang w:val="en-GB"/>
        </w:rPr>
        <w:endnoteReference w:id="70"/>
      </w:r>
    </w:p>
    <w:p w14:paraId="11B9C102" w14:textId="583F1499" w:rsidR="00D751FB" w:rsidRPr="0097590C" w:rsidRDefault="00D751FB" w:rsidP="00D751FB">
      <w:pPr>
        <w:pStyle w:val="BodyTextMain"/>
        <w:rPr>
          <w:rFonts w:eastAsia="Calibri"/>
          <w:spacing w:val="-2"/>
          <w:kern w:val="22"/>
          <w:lang w:val="en-GB"/>
        </w:rPr>
      </w:pPr>
      <w:r w:rsidRPr="0097590C">
        <w:rPr>
          <w:rFonts w:eastAsia="Calibri"/>
          <w:spacing w:val="-2"/>
          <w:kern w:val="22"/>
          <w:lang w:val="en-GB"/>
        </w:rPr>
        <w:lastRenderedPageBreak/>
        <w:t>Tes</w:t>
      </w:r>
      <w:r w:rsidR="007131F9" w:rsidRPr="0097590C">
        <w:rPr>
          <w:rFonts w:eastAsia="Calibri"/>
          <w:spacing w:val="-2"/>
          <w:kern w:val="22"/>
          <w:lang w:val="en-GB"/>
        </w:rPr>
        <w:t>l</w:t>
      </w:r>
      <w:r w:rsidRPr="0097590C">
        <w:rPr>
          <w:rFonts w:eastAsia="Calibri"/>
          <w:spacing w:val="-2"/>
          <w:kern w:val="22"/>
          <w:lang w:val="en-GB"/>
        </w:rPr>
        <w:t>a operated one of the world’s most advanced automotive manufacturing facilities in Fremont, California</w:t>
      </w:r>
      <w:r w:rsidR="00417528" w:rsidRPr="0097590C">
        <w:rPr>
          <w:rFonts w:eastAsia="Calibri"/>
          <w:spacing w:val="-2"/>
          <w:kern w:val="22"/>
          <w:lang w:val="en-GB"/>
        </w:rPr>
        <w:t>,</w:t>
      </w:r>
      <w:r w:rsidRPr="0097590C">
        <w:rPr>
          <w:rFonts w:eastAsia="Calibri"/>
          <w:spacing w:val="-2"/>
          <w:kern w:val="22"/>
          <w:lang w:val="en-GB"/>
        </w:rPr>
        <w:t xml:space="preserve"> a former GM and Toyota facility</w:t>
      </w:r>
      <w:r w:rsidR="00417528" w:rsidRPr="0097590C">
        <w:rPr>
          <w:rFonts w:eastAsia="Calibri"/>
          <w:spacing w:val="-2"/>
          <w:kern w:val="22"/>
          <w:lang w:val="en-GB"/>
        </w:rPr>
        <w:t>.</w:t>
      </w:r>
      <w:r w:rsidRPr="0097590C">
        <w:rPr>
          <w:rFonts w:eastAsia="Calibri"/>
          <w:spacing w:val="-2"/>
          <w:kern w:val="22"/>
          <w:lang w:val="en-GB"/>
        </w:rPr>
        <w:t xml:space="preserve"> </w:t>
      </w:r>
      <w:r w:rsidR="00417528" w:rsidRPr="0097590C">
        <w:rPr>
          <w:rFonts w:eastAsia="Calibri"/>
          <w:spacing w:val="-2"/>
          <w:kern w:val="22"/>
          <w:lang w:val="en-GB"/>
        </w:rPr>
        <w:t xml:space="preserve">The </w:t>
      </w:r>
      <w:r w:rsidRPr="0097590C">
        <w:rPr>
          <w:rFonts w:eastAsia="Calibri"/>
          <w:spacing w:val="-2"/>
          <w:kern w:val="22"/>
          <w:lang w:val="en-GB"/>
        </w:rPr>
        <w:t xml:space="preserve">Fremont </w:t>
      </w:r>
      <w:r w:rsidR="00417528" w:rsidRPr="0097590C">
        <w:rPr>
          <w:rFonts w:eastAsia="Calibri"/>
          <w:spacing w:val="-2"/>
          <w:kern w:val="22"/>
          <w:lang w:val="en-GB"/>
        </w:rPr>
        <w:t xml:space="preserve">site </w:t>
      </w:r>
      <w:r w:rsidRPr="0097590C">
        <w:rPr>
          <w:rFonts w:eastAsia="Calibri"/>
          <w:spacing w:val="-2"/>
          <w:kern w:val="22"/>
          <w:lang w:val="en-GB"/>
        </w:rPr>
        <w:t>offered 5.3 million square feet</w:t>
      </w:r>
      <w:r w:rsidR="00597F3D" w:rsidRPr="0097590C">
        <w:rPr>
          <w:rFonts w:eastAsia="Calibri"/>
          <w:spacing w:val="-2"/>
          <w:kern w:val="22"/>
          <w:lang w:val="en-GB"/>
        </w:rPr>
        <w:t xml:space="preserve"> (500,000 square metres</w:t>
      </w:r>
      <w:r w:rsidR="00030C20" w:rsidRPr="0097590C">
        <w:rPr>
          <w:rFonts w:eastAsia="Calibri"/>
          <w:spacing w:val="-2"/>
          <w:kern w:val="22"/>
          <w:lang w:val="en-GB"/>
        </w:rPr>
        <w:t>)</w:t>
      </w:r>
      <w:r w:rsidRPr="0097590C">
        <w:rPr>
          <w:rFonts w:eastAsia="Calibri"/>
          <w:spacing w:val="-2"/>
          <w:kern w:val="22"/>
          <w:lang w:val="en-GB"/>
        </w:rPr>
        <w:t xml:space="preserve"> of manufacturing and office space for Tesla</w:t>
      </w:r>
      <w:r w:rsidR="00030C20" w:rsidRPr="0097590C">
        <w:rPr>
          <w:rFonts w:eastAsia="Calibri"/>
          <w:spacing w:val="-2"/>
          <w:kern w:val="22"/>
          <w:lang w:val="en-GB"/>
        </w:rPr>
        <w:t>,</w:t>
      </w:r>
      <w:r w:rsidRPr="0097590C">
        <w:rPr>
          <w:rFonts w:eastAsia="Calibri"/>
          <w:spacing w:val="-2"/>
          <w:kern w:val="22"/>
          <w:lang w:val="en-GB"/>
        </w:rPr>
        <w:t xml:space="preserve"> where the</w:t>
      </w:r>
      <w:r w:rsidR="00030C20" w:rsidRPr="0097590C">
        <w:rPr>
          <w:rFonts w:eastAsia="Calibri"/>
          <w:spacing w:val="-2"/>
          <w:kern w:val="22"/>
          <w:lang w:val="en-GB"/>
        </w:rPr>
        <w:t xml:space="preserve"> compan</w:t>
      </w:r>
      <w:r w:rsidRPr="0097590C">
        <w:rPr>
          <w:rFonts w:eastAsia="Calibri"/>
          <w:spacing w:val="-2"/>
          <w:kern w:val="22"/>
          <w:lang w:val="en-GB"/>
        </w:rPr>
        <w:t xml:space="preserve">y </w:t>
      </w:r>
      <w:r w:rsidR="00417528" w:rsidRPr="0097590C">
        <w:rPr>
          <w:rFonts w:eastAsia="Calibri"/>
          <w:spacing w:val="-2"/>
          <w:kern w:val="22"/>
          <w:lang w:val="en-GB"/>
        </w:rPr>
        <w:t>made</w:t>
      </w:r>
      <w:r w:rsidRPr="0097590C">
        <w:rPr>
          <w:rFonts w:eastAsia="Calibri"/>
          <w:spacing w:val="-2"/>
          <w:kern w:val="22"/>
          <w:lang w:val="en-GB"/>
        </w:rPr>
        <w:t xml:space="preserve"> all Tesla models in one factory</w:t>
      </w:r>
      <w:r w:rsidR="00030C20" w:rsidRPr="0097590C">
        <w:rPr>
          <w:rFonts w:eastAsia="Calibri"/>
          <w:spacing w:val="-2"/>
          <w:kern w:val="22"/>
          <w:lang w:val="en-GB"/>
        </w:rPr>
        <w:t>,</w:t>
      </w:r>
      <w:r w:rsidRPr="0097590C">
        <w:rPr>
          <w:rFonts w:eastAsia="Calibri"/>
          <w:spacing w:val="-2"/>
          <w:kern w:val="22"/>
          <w:lang w:val="en-GB"/>
        </w:rPr>
        <w:t xml:space="preserve"> focus</w:t>
      </w:r>
      <w:r w:rsidR="00030C20" w:rsidRPr="0097590C">
        <w:rPr>
          <w:rFonts w:eastAsia="Calibri"/>
          <w:spacing w:val="-2"/>
          <w:kern w:val="22"/>
          <w:lang w:val="en-GB"/>
        </w:rPr>
        <w:t>ed</w:t>
      </w:r>
      <w:r w:rsidRPr="0097590C">
        <w:rPr>
          <w:rFonts w:eastAsia="Calibri"/>
          <w:spacing w:val="-2"/>
          <w:kern w:val="22"/>
          <w:lang w:val="en-GB"/>
        </w:rPr>
        <w:t xml:space="preserve"> on refining advanced automated manufacturing systems.</w:t>
      </w:r>
      <w:r w:rsidRPr="0097590C">
        <w:rPr>
          <w:rFonts w:eastAsia="Calibri"/>
          <w:spacing w:val="-2"/>
          <w:kern w:val="22"/>
          <w:vertAlign w:val="superscript"/>
          <w:lang w:val="en-GB"/>
        </w:rPr>
        <w:endnoteReference w:id="71"/>
      </w:r>
      <w:r w:rsidR="00030C20" w:rsidRPr="0097590C">
        <w:rPr>
          <w:rFonts w:eastAsia="Calibri"/>
          <w:spacing w:val="-2"/>
          <w:kern w:val="22"/>
          <w:lang w:val="en-GB"/>
        </w:rPr>
        <w:t xml:space="preserve"> The typical B</w:t>
      </w:r>
      <w:r w:rsidRPr="0097590C">
        <w:rPr>
          <w:rFonts w:eastAsia="Calibri"/>
          <w:spacing w:val="-2"/>
          <w:kern w:val="22"/>
          <w:lang w:val="en-GB"/>
        </w:rPr>
        <w:t xml:space="preserve">EV’s relatively simple powertrain design allowed for multiple vehicle production across </w:t>
      </w:r>
      <w:r w:rsidR="00417528" w:rsidRPr="0097590C">
        <w:rPr>
          <w:rFonts w:eastAsia="Calibri"/>
          <w:spacing w:val="-2"/>
          <w:kern w:val="22"/>
          <w:lang w:val="en-GB"/>
        </w:rPr>
        <w:t>several</w:t>
      </w:r>
      <w:r w:rsidRPr="0097590C">
        <w:rPr>
          <w:rFonts w:eastAsia="Calibri"/>
          <w:spacing w:val="-2"/>
          <w:kern w:val="22"/>
          <w:lang w:val="en-GB"/>
        </w:rPr>
        <w:t xml:space="preserve"> platforms in a single factory,</w:t>
      </w:r>
      <w:r w:rsidRPr="0097590C">
        <w:rPr>
          <w:rFonts w:eastAsia="Calibri"/>
          <w:spacing w:val="-2"/>
          <w:kern w:val="22"/>
          <w:vertAlign w:val="superscript"/>
          <w:lang w:val="en-GB"/>
        </w:rPr>
        <w:endnoteReference w:id="72"/>
      </w:r>
      <w:r w:rsidRPr="0097590C">
        <w:rPr>
          <w:rFonts w:eastAsia="Calibri"/>
          <w:spacing w:val="-2"/>
          <w:kern w:val="22"/>
          <w:lang w:val="en-GB"/>
        </w:rPr>
        <w:t xml:space="preserve"> unlike the single or duo, multi-factory model typically associated with ICE auto</w:t>
      </w:r>
      <w:r w:rsidR="00030C20" w:rsidRPr="0097590C">
        <w:rPr>
          <w:rFonts w:eastAsia="Calibri"/>
          <w:spacing w:val="-2"/>
          <w:kern w:val="22"/>
          <w:lang w:val="en-GB"/>
        </w:rPr>
        <w:t>mobile</w:t>
      </w:r>
      <w:r w:rsidRPr="0097590C">
        <w:rPr>
          <w:rFonts w:eastAsia="Calibri"/>
          <w:spacing w:val="-2"/>
          <w:kern w:val="22"/>
          <w:lang w:val="en-GB"/>
        </w:rPr>
        <w:t xml:space="preserve"> manufacturing.</w:t>
      </w:r>
    </w:p>
    <w:p w14:paraId="1E2E2A04" w14:textId="77777777" w:rsidR="00D751FB" w:rsidRPr="0051039E" w:rsidRDefault="00D751FB" w:rsidP="00D751FB">
      <w:pPr>
        <w:pStyle w:val="BodyTextMain"/>
        <w:rPr>
          <w:rFonts w:eastAsia="Calibri"/>
          <w:lang w:val="en-GB"/>
        </w:rPr>
      </w:pPr>
    </w:p>
    <w:p w14:paraId="6C0EAF72" w14:textId="24969753" w:rsidR="00D751FB" w:rsidRPr="0051039E" w:rsidRDefault="00D751FB" w:rsidP="00D751FB">
      <w:pPr>
        <w:pStyle w:val="BodyTextMain"/>
        <w:rPr>
          <w:rFonts w:eastAsia="Calibri"/>
          <w:lang w:val="en-GB"/>
        </w:rPr>
      </w:pPr>
      <w:r w:rsidRPr="0051039E">
        <w:rPr>
          <w:rFonts w:eastAsia="Calibri"/>
          <w:lang w:val="en-GB"/>
        </w:rPr>
        <w:t>Tesla was not yet at scale for profitability</w:t>
      </w:r>
      <w:r w:rsidR="00417528">
        <w:rPr>
          <w:rFonts w:eastAsia="Calibri"/>
          <w:lang w:val="en-GB"/>
        </w:rPr>
        <w:t>,</w:t>
      </w:r>
      <w:r w:rsidRPr="0051039E">
        <w:rPr>
          <w:rFonts w:eastAsia="Calibri"/>
          <w:lang w:val="en-GB"/>
        </w:rPr>
        <w:t xml:space="preserve"> and </w:t>
      </w:r>
      <w:r w:rsidR="00417528">
        <w:rPr>
          <w:rFonts w:eastAsia="Calibri"/>
          <w:lang w:val="en-GB"/>
        </w:rPr>
        <w:t xml:space="preserve">the company </w:t>
      </w:r>
      <w:r w:rsidRPr="0051039E">
        <w:rPr>
          <w:rFonts w:eastAsia="Calibri"/>
          <w:lang w:val="en-GB"/>
        </w:rPr>
        <w:t xml:space="preserve">had plenty of problems to </w:t>
      </w:r>
      <w:r w:rsidR="00417528">
        <w:rPr>
          <w:rFonts w:eastAsia="Calibri"/>
          <w:lang w:val="en-GB"/>
        </w:rPr>
        <w:t>re</w:t>
      </w:r>
      <w:r w:rsidRPr="0051039E">
        <w:rPr>
          <w:rFonts w:eastAsia="Calibri"/>
          <w:lang w:val="en-GB"/>
        </w:rPr>
        <w:t>solve.</w:t>
      </w:r>
      <w:r w:rsidR="00382558" w:rsidRPr="0051039E">
        <w:rPr>
          <w:rFonts w:eastAsia="Calibri"/>
          <w:lang w:val="en-GB"/>
        </w:rPr>
        <w:t xml:space="preserve"> </w:t>
      </w:r>
      <w:r w:rsidR="00030C20">
        <w:rPr>
          <w:rFonts w:eastAsia="Calibri"/>
          <w:lang w:val="en-GB"/>
        </w:rPr>
        <w:t>Although</w:t>
      </w:r>
      <w:r w:rsidR="00030C20" w:rsidRPr="0051039E">
        <w:rPr>
          <w:rFonts w:eastAsia="Calibri"/>
          <w:lang w:val="en-GB"/>
        </w:rPr>
        <w:t xml:space="preserve"> </w:t>
      </w:r>
      <w:r w:rsidRPr="0051039E">
        <w:rPr>
          <w:rFonts w:eastAsia="Calibri"/>
          <w:lang w:val="en-GB"/>
        </w:rPr>
        <w:t>gross margins were a healthy 25.8 per</w:t>
      </w:r>
      <w:r w:rsidR="00030C20">
        <w:rPr>
          <w:rFonts w:eastAsia="Calibri"/>
          <w:lang w:val="en-GB"/>
        </w:rPr>
        <w:t xml:space="preserve"> </w:t>
      </w:r>
      <w:r w:rsidRPr="0051039E">
        <w:rPr>
          <w:rFonts w:eastAsia="Calibri"/>
          <w:lang w:val="en-GB"/>
        </w:rPr>
        <w:t xml:space="preserve">cent in </w:t>
      </w:r>
      <w:r w:rsidR="00030C20">
        <w:rPr>
          <w:rFonts w:eastAsia="Calibri"/>
          <w:lang w:val="en-GB"/>
        </w:rPr>
        <w:t>the third quarter of</w:t>
      </w:r>
      <w:r w:rsidRPr="0051039E">
        <w:rPr>
          <w:rFonts w:eastAsia="Calibri"/>
          <w:lang w:val="en-GB"/>
        </w:rPr>
        <w:t xml:space="preserve"> 2018, </w:t>
      </w:r>
      <w:r w:rsidR="00030C20">
        <w:rPr>
          <w:rFonts w:eastAsia="Calibri"/>
          <w:lang w:val="en-GB"/>
        </w:rPr>
        <w:t xml:space="preserve">the company’s annual </w:t>
      </w:r>
      <w:r w:rsidRPr="0051039E">
        <w:rPr>
          <w:rFonts w:eastAsia="Calibri"/>
          <w:lang w:val="en-GB"/>
        </w:rPr>
        <w:t xml:space="preserve">net income </w:t>
      </w:r>
      <w:r w:rsidR="00030C20">
        <w:rPr>
          <w:rFonts w:eastAsia="Calibri"/>
          <w:lang w:val="en-GB"/>
        </w:rPr>
        <w:t>to date</w:t>
      </w:r>
      <w:r w:rsidRPr="0051039E">
        <w:rPr>
          <w:rFonts w:eastAsia="Calibri"/>
          <w:lang w:val="en-GB"/>
        </w:rPr>
        <w:t xml:space="preserve"> was </w:t>
      </w:r>
      <w:r w:rsidR="00417528">
        <w:rPr>
          <w:rFonts w:eastAsia="Calibri"/>
          <w:lang w:val="en-GB"/>
        </w:rPr>
        <w:t xml:space="preserve">a </w:t>
      </w:r>
      <w:r w:rsidRPr="0051039E">
        <w:rPr>
          <w:rFonts w:eastAsia="Calibri"/>
          <w:lang w:val="en-GB"/>
        </w:rPr>
        <w:t xml:space="preserve">negative </w:t>
      </w:r>
      <w:r w:rsidR="00417528">
        <w:rPr>
          <w:rFonts w:eastAsia="Calibri"/>
          <w:lang w:val="en-GB"/>
        </w:rPr>
        <w:t>amount: –</w:t>
      </w:r>
      <w:r w:rsidRPr="0051039E">
        <w:rPr>
          <w:rFonts w:eastAsia="Calibri"/>
          <w:lang w:val="en-GB"/>
        </w:rPr>
        <w:t>$1.12 billion.</w:t>
      </w:r>
      <w:r w:rsidR="000B1214" w:rsidRPr="0051039E">
        <w:rPr>
          <w:rFonts w:eastAsia="Calibri"/>
          <w:lang w:val="en-GB"/>
        </w:rPr>
        <w:t xml:space="preserve"> </w:t>
      </w:r>
      <w:r w:rsidRPr="0051039E">
        <w:rPr>
          <w:rFonts w:eastAsia="Calibri"/>
          <w:lang w:val="en-GB"/>
        </w:rPr>
        <w:t>Service revenues represented only 10 per</w:t>
      </w:r>
      <w:r w:rsidR="00030C20">
        <w:rPr>
          <w:rFonts w:eastAsia="Calibri"/>
          <w:lang w:val="en-GB"/>
        </w:rPr>
        <w:t xml:space="preserve"> </w:t>
      </w:r>
      <w:r w:rsidRPr="0051039E">
        <w:rPr>
          <w:rFonts w:eastAsia="Calibri"/>
          <w:lang w:val="en-GB"/>
        </w:rPr>
        <w:t>cent of sales</w:t>
      </w:r>
      <w:r w:rsidR="00030C20">
        <w:rPr>
          <w:rFonts w:eastAsia="Calibri"/>
          <w:lang w:val="en-GB"/>
        </w:rPr>
        <w:t>,</w:t>
      </w:r>
      <w:r w:rsidRPr="0051039E">
        <w:rPr>
          <w:rFonts w:eastAsia="Calibri"/>
          <w:lang w:val="en-GB"/>
        </w:rPr>
        <w:t xml:space="preserve"> at slightly negative margins.</w:t>
      </w:r>
      <w:r w:rsidR="00382558" w:rsidRPr="0051039E">
        <w:rPr>
          <w:rFonts w:eastAsia="Calibri"/>
          <w:lang w:val="en-GB"/>
        </w:rPr>
        <w:t xml:space="preserve"> </w:t>
      </w:r>
      <w:r w:rsidRPr="0051039E">
        <w:rPr>
          <w:rFonts w:eastAsia="Calibri"/>
          <w:lang w:val="en-GB"/>
        </w:rPr>
        <w:t>Most cars were sold outright, with leasing representing less than 3 per</w:t>
      </w:r>
      <w:r w:rsidR="00030C20">
        <w:rPr>
          <w:rFonts w:eastAsia="Calibri"/>
          <w:lang w:val="en-GB"/>
        </w:rPr>
        <w:t xml:space="preserve"> </w:t>
      </w:r>
      <w:r w:rsidRPr="0051039E">
        <w:rPr>
          <w:rFonts w:eastAsia="Calibri"/>
          <w:lang w:val="en-GB"/>
        </w:rPr>
        <w:t xml:space="preserve">cent of </w:t>
      </w:r>
      <w:r w:rsidR="00030C20">
        <w:rPr>
          <w:rFonts w:eastAsia="Calibri"/>
          <w:lang w:val="en-GB"/>
        </w:rPr>
        <w:t>third quarter</w:t>
      </w:r>
      <w:r w:rsidRPr="0051039E">
        <w:rPr>
          <w:rFonts w:eastAsia="Calibri"/>
          <w:lang w:val="en-GB"/>
        </w:rPr>
        <w:t xml:space="preserve"> sales.</w:t>
      </w:r>
      <w:r w:rsidRPr="0051039E">
        <w:rPr>
          <w:rFonts w:eastAsia="Calibri"/>
          <w:vertAlign w:val="superscript"/>
          <w:lang w:val="en-GB"/>
        </w:rPr>
        <w:endnoteReference w:id="73"/>
      </w:r>
      <w:r w:rsidR="000B1214" w:rsidRPr="0051039E">
        <w:rPr>
          <w:rFonts w:eastAsia="Calibri"/>
          <w:lang w:val="en-GB"/>
        </w:rPr>
        <w:t xml:space="preserve"> </w:t>
      </w:r>
      <w:r w:rsidR="00030C20">
        <w:rPr>
          <w:rFonts w:eastAsia="Calibri"/>
          <w:lang w:val="en-GB"/>
        </w:rPr>
        <w:t>Therefore,</w:t>
      </w:r>
      <w:r w:rsidRPr="0051039E">
        <w:rPr>
          <w:rFonts w:eastAsia="Calibri"/>
          <w:lang w:val="en-GB"/>
        </w:rPr>
        <w:t xml:space="preserve"> Tesla’s business model </w:t>
      </w:r>
      <w:r w:rsidR="00030C20">
        <w:rPr>
          <w:rFonts w:eastAsia="Calibri"/>
          <w:lang w:val="en-GB"/>
        </w:rPr>
        <w:t>was based on</w:t>
      </w:r>
      <w:r w:rsidRPr="0051039E">
        <w:rPr>
          <w:rFonts w:eastAsia="Calibri"/>
          <w:lang w:val="en-GB"/>
        </w:rPr>
        <w:t xml:space="preserve"> profits </w:t>
      </w:r>
      <w:r w:rsidR="00417528">
        <w:rPr>
          <w:rFonts w:eastAsia="Calibri"/>
          <w:lang w:val="en-GB"/>
        </w:rPr>
        <w:t>mainly from</w:t>
      </w:r>
      <w:r w:rsidRPr="0051039E">
        <w:rPr>
          <w:rFonts w:eastAsia="Calibri"/>
          <w:lang w:val="en-GB"/>
        </w:rPr>
        <w:t xml:space="preserve"> margins on outright sales of the vehicles. Tesla’s results also included distribution and service revenues (and associated costs), </w:t>
      </w:r>
      <w:r w:rsidR="00030C20">
        <w:rPr>
          <w:rFonts w:eastAsia="Calibri"/>
          <w:lang w:val="en-GB"/>
        </w:rPr>
        <w:t>unlike</w:t>
      </w:r>
      <w:r w:rsidRPr="0051039E">
        <w:rPr>
          <w:rFonts w:eastAsia="Calibri"/>
          <w:lang w:val="en-GB"/>
        </w:rPr>
        <w:t xml:space="preserve"> traditional automotive OEMs </w:t>
      </w:r>
      <w:r w:rsidR="00030C20">
        <w:rPr>
          <w:rFonts w:eastAsia="Calibri"/>
          <w:lang w:val="en-GB"/>
        </w:rPr>
        <w:t>such as</w:t>
      </w:r>
      <w:r w:rsidRPr="0051039E">
        <w:rPr>
          <w:rFonts w:eastAsia="Calibri"/>
          <w:lang w:val="en-GB"/>
        </w:rPr>
        <w:t xml:space="preserve"> GM, w</w:t>
      </w:r>
      <w:r w:rsidR="00030C20">
        <w:rPr>
          <w:rFonts w:eastAsia="Calibri"/>
          <w:lang w:val="en-GB"/>
        </w:rPr>
        <w:t>h</w:t>
      </w:r>
      <w:r w:rsidRPr="0051039E">
        <w:rPr>
          <w:rFonts w:eastAsia="Calibri"/>
          <w:lang w:val="en-GB"/>
        </w:rPr>
        <w:t>o offload</w:t>
      </w:r>
      <w:r w:rsidR="00030C20">
        <w:rPr>
          <w:rFonts w:eastAsia="Calibri"/>
          <w:lang w:val="en-GB"/>
        </w:rPr>
        <w:t>ed</w:t>
      </w:r>
      <w:r w:rsidRPr="0051039E">
        <w:rPr>
          <w:rFonts w:eastAsia="Calibri"/>
          <w:lang w:val="en-GB"/>
        </w:rPr>
        <w:t xml:space="preserve"> these revenues and related costs to their independent dealer</w:t>
      </w:r>
      <w:r w:rsidR="00E77545">
        <w:rPr>
          <w:rFonts w:eastAsia="Calibri"/>
          <w:lang w:val="en-GB"/>
        </w:rPr>
        <w:t>ship</w:t>
      </w:r>
      <w:r w:rsidRPr="0051039E">
        <w:rPr>
          <w:rFonts w:eastAsia="Calibri"/>
          <w:lang w:val="en-GB"/>
        </w:rPr>
        <w:t xml:space="preserve"> network.</w:t>
      </w:r>
      <w:r w:rsidRPr="0051039E">
        <w:rPr>
          <w:rFonts w:eastAsia="Calibri"/>
          <w:vertAlign w:val="superscript"/>
          <w:lang w:val="en-GB"/>
        </w:rPr>
        <w:endnoteReference w:id="74"/>
      </w:r>
      <w:r w:rsidRPr="0051039E">
        <w:rPr>
          <w:rFonts w:eastAsia="Calibri"/>
          <w:lang w:val="en-GB"/>
        </w:rPr>
        <w:t xml:space="preserve"> </w:t>
      </w:r>
    </w:p>
    <w:p w14:paraId="0A6D9A02" w14:textId="77777777" w:rsidR="00D751FB" w:rsidRPr="0051039E" w:rsidRDefault="00D751FB" w:rsidP="00D751FB">
      <w:pPr>
        <w:pStyle w:val="BodyTextMain"/>
        <w:rPr>
          <w:lang w:val="en-GB"/>
        </w:rPr>
      </w:pPr>
    </w:p>
    <w:p w14:paraId="442AD611" w14:textId="77777777" w:rsidR="00D751FB" w:rsidRPr="0051039E" w:rsidRDefault="00D751FB" w:rsidP="00D751FB">
      <w:pPr>
        <w:pStyle w:val="BodyTextMain"/>
        <w:rPr>
          <w:lang w:val="en-GB"/>
        </w:rPr>
      </w:pPr>
    </w:p>
    <w:p w14:paraId="29BA004A" w14:textId="77777777" w:rsidR="00D751FB" w:rsidRPr="0051039E" w:rsidRDefault="00D751FB" w:rsidP="00D751FB">
      <w:pPr>
        <w:rPr>
          <w:rFonts w:ascii="Arial" w:eastAsia="Calibri" w:hAnsi="Arial" w:cs="Arial"/>
          <w:b/>
          <w:lang w:val="en-GB"/>
        </w:rPr>
      </w:pPr>
      <w:r w:rsidRPr="0051039E">
        <w:rPr>
          <w:rFonts w:ascii="Arial" w:eastAsia="Calibri" w:hAnsi="Arial" w:cs="Arial"/>
          <w:b/>
          <w:lang w:val="en-GB"/>
        </w:rPr>
        <w:t>AUTONOMOUS VEHICLES</w:t>
      </w:r>
    </w:p>
    <w:p w14:paraId="5FA9EE3F" w14:textId="77777777" w:rsidR="00D751FB" w:rsidRPr="0051039E" w:rsidRDefault="00D751FB" w:rsidP="00D751FB">
      <w:pPr>
        <w:pStyle w:val="BodyTextMain"/>
        <w:rPr>
          <w:rFonts w:eastAsia="Calibri"/>
          <w:lang w:val="en-GB"/>
        </w:rPr>
      </w:pPr>
    </w:p>
    <w:p w14:paraId="235BF59E" w14:textId="0235CA1B" w:rsidR="004E50A5" w:rsidRDefault="00D751FB" w:rsidP="00D751FB">
      <w:pPr>
        <w:pStyle w:val="BodyTextMain"/>
        <w:rPr>
          <w:rFonts w:eastAsia="Calibri"/>
          <w:lang w:val="en-GB"/>
        </w:rPr>
      </w:pPr>
      <w:r w:rsidRPr="0051039E">
        <w:rPr>
          <w:rFonts w:eastAsia="Calibri"/>
          <w:lang w:val="en-GB"/>
        </w:rPr>
        <w:t>Autonomous vehicles represented an equally, or perhaps greater, revolutionary change for the automotive industry.</w:t>
      </w:r>
      <w:r w:rsidR="00382558" w:rsidRPr="0051039E">
        <w:rPr>
          <w:rFonts w:eastAsia="Calibri"/>
          <w:lang w:val="en-GB"/>
        </w:rPr>
        <w:t xml:space="preserve"> </w:t>
      </w:r>
      <w:r w:rsidRPr="0051039E">
        <w:rPr>
          <w:rFonts w:eastAsia="Calibri"/>
          <w:lang w:val="en-GB"/>
        </w:rPr>
        <w:t>OEMs</w:t>
      </w:r>
      <w:r w:rsidR="00417528">
        <w:rPr>
          <w:rFonts w:eastAsia="Calibri"/>
          <w:lang w:val="en-GB"/>
        </w:rPr>
        <w:t xml:space="preserve"> like</w:t>
      </w:r>
      <w:r w:rsidRPr="0051039E">
        <w:rPr>
          <w:rFonts w:eastAsia="Calibri"/>
          <w:lang w:val="en-GB"/>
        </w:rPr>
        <w:t xml:space="preserve"> GM were lining up products to support this monumental market transformation.</w:t>
      </w:r>
      <w:r w:rsidR="00382558" w:rsidRPr="0051039E">
        <w:rPr>
          <w:rFonts w:eastAsia="Calibri"/>
          <w:lang w:val="en-GB"/>
        </w:rPr>
        <w:t xml:space="preserve"> </w:t>
      </w:r>
      <w:r w:rsidR="00E77545">
        <w:rPr>
          <w:rFonts w:eastAsia="Calibri"/>
          <w:lang w:val="en-GB"/>
        </w:rPr>
        <w:t>A</w:t>
      </w:r>
      <w:r w:rsidRPr="0051039E">
        <w:rPr>
          <w:rFonts w:eastAsia="Calibri"/>
          <w:lang w:val="en-GB"/>
        </w:rPr>
        <w:t xml:space="preserve">utonomous vehicles were </w:t>
      </w:r>
      <w:r w:rsidR="00E77545">
        <w:rPr>
          <w:rFonts w:eastAsia="Calibri"/>
          <w:lang w:val="en-GB"/>
        </w:rPr>
        <w:t>expected</w:t>
      </w:r>
      <w:r w:rsidRPr="0051039E">
        <w:rPr>
          <w:rFonts w:eastAsia="Calibri"/>
          <w:lang w:val="en-GB"/>
        </w:rPr>
        <w:t xml:space="preserve"> to </w:t>
      </w:r>
      <w:r w:rsidR="00E77545">
        <w:rPr>
          <w:rFonts w:eastAsia="Calibri"/>
          <w:lang w:val="en-GB"/>
        </w:rPr>
        <w:t xml:space="preserve">have a considerable </w:t>
      </w:r>
      <w:r w:rsidRPr="0051039E">
        <w:rPr>
          <w:rFonts w:eastAsia="Calibri"/>
          <w:lang w:val="en-GB"/>
        </w:rPr>
        <w:t xml:space="preserve">impact </w:t>
      </w:r>
      <w:r w:rsidR="00E77545">
        <w:rPr>
          <w:rFonts w:eastAsia="Calibri"/>
          <w:lang w:val="en-GB"/>
        </w:rPr>
        <w:t xml:space="preserve">on </w:t>
      </w:r>
      <w:r w:rsidRPr="0051039E">
        <w:rPr>
          <w:rFonts w:eastAsia="Calibri"/>
          <w:lang w:val="en-GB"/>
        </w:rPr>
        <w:t>related industries</w:t>
      </w:r>
      <w:r w:rsidR="00E77545">
        <w:rPr>
          <w:rFonts w:eastAsia="Calibri"/>
          <w:lang w:val="en-GB"/>
        </w:rPr>
        <w:t xml:space="preserve"> such as</w:t>
      </w:r>
      <w:r w:rsidRPr="0051039E">
        <w:rPr>
          <w:rFonts w:eastAsia="Calibri"/>
          <w:lang w:val="en-GB"/>
        </w:rPr>
        <w:t xml:space="preserve"> trucking, taxi</w:t>
      </w:r>
      <w:r w:rsidR="00EF2BE2">
        <w:rPr>
          <w:rFonts w:eastAsia="Calibri"/>
          <w:lang w:val="en-GB"/>
        </w:rPr>
        <w:t>s</w:t>
      </w:r>
      <w:r w:rsidRPr="0051039E">
        <w:rPr>
          <w:rFonts w:eastAsia="Calibri"/>
          <w:lang w:val="en-GB"/>
        </w:rPr>
        <w:t>, ride-share</w:t>
      </w:r>
      <w:r w:rsidR="00EF2BE2">
        <w:rPr>
          <w:rFonts w:eastAsia="Calibri"/>
          <w:lang w:val="en-GB"/>
        </w:rPr>
        <w:t>,</w:t>
      </w:r>
      <w:r w:rsidRPr="0051039E">
        <w:rPr>
          <w:rFonts w:eastAsia="Calibri"/>
          <w:lang w:val="en-GB"/>
        </w:rPr>
        <w:t xml:space="preserve"> and delivery </w:t>
      </w:r>
      <w:r w:rsidR="00EF2BE2">
        <w:rPr>
          <w:rFonts w:eastAsia="Calibri"/>
          <w:lang w:val="en-GB"/>
        </w:rPr>
        <w:t>companies. T</w:t>
      </w:r>
      <w:r w:rsidRPr="0051039E">
        <w:rPr>
          <w:rFonts w:eastAsia="Calibri"/>
          <w:lang w:val="en-GB"/>
        </w:rPr>
        <w:t>hey w</w:t>
      </w:r>
      <w:r w:rsidR="00EF2BE2">
        <w:rPr>
          <w:rFonts w:eastAsia="Calibri"/>
          <w:lang w:val="en-GB"/>
        </w:rPr>
        <w:t>ere also expected to affect</w:t>
      </w:r>
      <w:r w:rsidRPr="0051039E">
        <w:rPr>
          <w:rFonts w:eastAsia="Calibri"/>
          <w:lang w:val="en-GB"/>
        </w:rPr>
        <w:t xml:space="preserve"> sales of all vehicles in general, including electric vehicles.</w:t>
      </w:r>
      <w:r w:rsidR="00382558" w:rsidRPr="0051039E">
        <w:rPr>
          <w:rFonts w:eastAsia="Calibri"/>
          <w:lang w:val="en-GB"/>
        </w:rPr>
        <w:t xml:space="preserve"> </w:t>
      </w:r>
      <w:r w:rsidRPr="0051039E">
        <w:rPr>
          <w:rFonts w:eastAsia="Calibri"/>
          <w:lang w:val="en-GB"/>
        </w:rPr>
        <w:t>GM</w:t>
      </w:r>
      <w:r w:rsidR="00EF2BE2">
        <w:rPr>
          <w:rFonts w:eastAsia="Calibri"/>
          <w:lang w:val="en-GB"/>
        </w:rPr>
        <w:t xml:space="preserve"> agreed with experts who saw</w:t>
      </w:r>
      <w:r w:rsidRPr="0051039E">
        <w:rPr>
          <w:rFonts w:eastAsia="Calibri"/>
          <w:lang w:val="en-GB"/>
        </w:rPr>
        <w:t xml:space="preserve"> </w:t>
      </w:r>
      <w:r w:rsidR="00EF2BE2">
        <w:rPr>
          <w:rFonts w:eastAsia="Calibri"/>
          <w:lang w:val="en-GB"/>
        </w:rPr>
        <w:t>B</w:t>
      </w:r>
      <w:r w:rsidRPr="0051039E">
        <w:rPr>
          <w:rFonts w:eastAsia="Calibri"/>
          <w:lang w:val="en-GB"/>
        </w:rPr>
        <w:t xml:space="preserve">EVs </w:t>
      </w:r>
      <w:r w:rsidR="00EF2BE2">
        <w:rPr>
          <w:rFonts w:eastAsia="Calibri"/>
          <w:lang w:val="en-GB"/>
        </w:rPr>
        <w:t>as</w:t>
      </w:r>
      <w:r w:rsidRPr="0051039E">
        <w:rPr>
          <w:rFonts w:eastAsia="Calibri"/>
          <w:lang w:val="en-GB"/>
        </w:rPr>
        <w:t xml:space="preserve"> the foundation </w:t>
      </w:r>
      <w:r w:rsidR="00EF2BE2">
        <w:rPr>
          <w:rFonts w:eastAsia="Calibri"/>
          <w:lang w:val="en-GB"/>
        </w:rPr>
        <w:t>o</w:t>
      </w:r>
      <w:r w:rsidRPr="0051039E">
        <w:rPr>
          <w:rFonts w:eastAsia="Calibri"/>
          <w:lang w:val="en-GB"/>
        </w:rPr>
        <w:t>f autonomous vehicles</w:t>
      </w:r>
      <w:r w:rsidR="00EF2BE2">
        <w:rPr>
          <w:rFonts w:eastAsia="Calibri"/>
          <w:lang w:val="en-GB"/>
        </w:rPr>
        <w:t>,</w:t>
      </w:r>
      <w:r w:rsidRPr="0051039E">
        <w:rPr>
          <w:rFonts w:eastAsia="Calibri"/>
          <w:vertAlign w:val="superscript"/>
          <w:lang w:val="en-GB"/>
        </w:rPr>
        <w:endnoteReference w:id="75"/>
      </w:r>
      <w:r w:rsidR="00EF2BE2">
        <w:rPr>
          <w:rFonts w:eastAsia="Calibri"/>
          <w:lang w:val="en-GB"/>
        </w:rPr>
        <w:t xml:space="preserve"> </w:t>
      </w:r>
      <w:r w:rsidRPr="0051039E">
        <w:rPr>
          <w:rFonts w:eastAsia="Calibri"/>
          <w:lang w:val="en-GB"/>
        </w:rPr>
        <w:t>represent</w:t>
      </w:r>
      <w:r w:rsidR="00EF2BE2">
        <w:rPr>
          <w:rFonts w:eastAsia="Calibri"/>
          <w:lang w:val="en-GB"/>
        </w:rPr>
        <w:t>ing</w:t>
      </w:r>
      <w:r w:rsidRPr="0051039E">
        <w:rPr>
          <w:rFonts w:eastAsia="Calibri"/>
          <w:lang w:val="en-GB"/>
        </w:rPr>
        <w:t xml:space="preserve"> a new multi</w:t>
      </w:r>
      <w:r w:rsidR="00EF2BE2">
        <w:rPr>
          <w:rFonts w:eastAsia="Calibri"/>
          <w:lang w:val="en-GB"/>
        </w:rPr>
        <w:t>-</w:t>
      </w:r>
      <w:r w:rsidRPr="0051039E">
        <w:rPr>
          <w:rFonts w:eastAsia="Calibri"/>
          <w:lang w:val="en-GB"/>
        </w:rPr>
        <w:t xml:space="preserve">trillion-dollar addressable market for auto manufacturers </w:t>
      </w:r>
      <w:r w:rsidR="00417528">
        <w:rPr>
          <w:rFonts w:eastAsia="Calibri"/>
          <w:lang w:val="en-GB"/>
        </w:rPr>
        <w:t>that could</w:t>
      </w:r>
      <w:r w:rsidR="00EF2BE2">
        <w:rPr>
          <w:rFonts w:eastAsia="Calibri"/>
          <w:lang w:val="en-GB"/>
        </w:rPr>
        <w:t xml:space="preserve"> potentially</w:t>
      </w:r>
      <w:r w:rsidRPr="0051039E">
        <w:rPr>
          <w:rFonts w:eastAsia="Calibri"/>
          <w:lang w:val="en-GB"/>
        </w:rPr>
        <w:t xml:space="preserve"> disrupt </w:t>
      </w:r>
      <w:r w:rsidR="00EF2BE2">
        <w:rPr>
          <w:rFonts w:eastAsia="Calibri"/>
          <w:lang w:val="en-GB"/>
        </w:rPr>
        <w:t>most related</w:t>
      </w:r>
      <w:r w:rsidR="00382558" w:rsidRPr="0051039E">
        <w:rPr>
          <w:rFonts w:eastAsia="Calibri"/>
          <w:lang w:val="en-GB"/>
        </w:rPr>
        <w:t xml:space="preserve"> </w:t>
      </w:r>
      <w:r w:rsidRPr="0051039E">
        <w:rPr>
          <w:rFonts w:eastAsia="Calibri"/>
          <w:lang w:val="en-GB"/>
        </w:rPr>
        <w:t>industries.</w:t>
      </w:r>
      <w:r w:rsidR="00382558" w:rsidRPr="0051039E">
        <w:rPr>
          <w:rFonts w:eastAsia="Calibri"/>
          <w:lang w:val="en-GB"/>
        </w:rPr>
        <w:t xml:space="preserve"> </w:t>
      </w:r>
    </w:p>
    <w:p w14:paraId="5400CEC6" w14:textId="77777777" w:rsidR="004E50A5" w:rsidRDefault="004E50A5" w:rsidP="00D751FB">
      <w:pPr>
        <w:pStyle w:val="BodyTextMain"/>
        <w:rPr>
          <w:rFonts w:eastAsia="Calibri"/>
          <w:lang w:val="en-GB"/>
        </w:rPr>
      </w:pPr>
    </w:p>
    <w:p w14:paraId="1525DF26" w14:textId="4DCEADA3" w:rsidR="00D751FB" w:rsidRPr="0051039E" w:rsidRDefault="00EF2BE2" w:rsidP="00D751FB">
      <w:pPr>
        <w:pStyle w:val="BodyTextMain"/>
        <w:rPr>
          <w:rFonts w:eastAsia="Calibri"/>
          <w:lang w:val="en-GB"/>
        </w:rPr>
      </w:pPr>
      <w:r>
        <w:rPr>
          <w:rFonts w:eastAsia="Calibri"/>
          <w:lang w:val="en-GB"/>
        </w:rPr>
        <w:t>I</w:t>
      </w:r>
      <w:r w:rsidR="00D751FB" w:rsidRPr="0051039E">
        <w:rPr>
          <w:rFonts w:eastAsia="Calibri"/>
          <w:lang w:val="en-GB"/>
        </w:rPr>
        <w:t xml:space="preserve">n a groundbreaking 2016 study, </w:t>
      </w:r>
      <w:r>
        <w:rPr>
          <w:rFonts w:eastAsia="Calibri"/>
          <w:lang w:val="en-GB"/>
        </w:rPr>
        <w:t>management consulting firm</w:t>
      </w:r>
      <w:r w:rsidRPr="0051039E">
        <w:rPr>
          <w:rFonts w:eastAsia="Calibri"/>
          <w:lang w:val="en-GB"/>
        </w:rPr>
        <w:t xml:space="preserve"> A</w:t>
      </w:r>
      <w:r>
        <w:rPr>
          <w:rFonts w:eastAsia="Calibri"/>
          <w:lang w:val="en-GB"/>
        </w:rPr>
        <w:t>.</w:t>
      </w:r>
      <w:r w:rsidRPr="0051039E">
        <w:rPr>
          <w:rFonts w:eastAsia="Calibri"/>
          <w:lang w:val="en-GB"/>
        </w:rPr>
        <w:t>T</w:t>
      </w:r>
      <w:r>
        <w:rPr>
          <w:rFonts w:eastAsia="Calibri"/>
          <w:lang w:val="en-GB"/>
        </w:rPr>
        <w:t xml:space="preserve">. </w:t>
      </w:r>
      <w:r w:rsidRPr="0051039E">
        <w:rPr>
          <w:rFonts w:eastAsia="Calibri"/>
          <w:lang w:val="en-GB"/>
        </w:rPr>
        <w:t xml:space="preserve">Kearney </w:t>
      </w:r>
      <w:r w:rsidR="00D751FB" w:rsidRPr="0051039E">
        <w:rPr>
          <w:rFonts w:eastAsia="Calibri"/>
          <w:lang w:val="en-GB"/>
        </w:rPr>
        <w:t xml:space="preserve">predicted </w:t>
      </w:r>
      <w:r>
        <w:rPr>
          <w:rFonts w:eastAsia="Calibri"/>
          <w:lang w:val="en-GB"/>
        </w:rPr>
        <w:t xml:space="preserve">that </w:t>
      </w:r>
      <w:r w:rsidR="00D751FB" w:rsidRPr="0051039E">
        <w:rPr>
          <w:rFonts w:eastAsia="Calibri"/>
          <w:lang w:val="en-GB"/>
        </w:rPr>
        <w:t>the market for autonomous driving would grow to $560 billion by 2035, including pay-per-use services outperforming equipment revenues from 2025 onward.</w:t>
      </w:r>
      <w:r w:rsidR="00D751FB" w:rsidRPr="0051039E">
        <w:rPr>
          <w:rFonts w:eastAsia="Calibri"/>
          <w:vertAlign w:val="superscript"/>
          <w:lang w:val="en-GB"/>
        </w:rPr>
        <w:endnoteReference w:id="76"/>
      </w:r>
      <w:r>
        <w:rPr>
          <w:rFonts w:eastAsia="Calibri"/>
          <w:lang w:val="en-GB"/>
        </w:rPr>
        <w:t xml:space="preserve"> </w:t>
      </w:r>
      <w:r w:rsidR="00D751FB" w:rsidRPr="0051039E">
        <w:rPr>
          <w:rFonts w:eastAsia="Calibri"/>
          <w:lang w:val="en-GB"/>
        </w:rPr>
        <w:t>The</w:t>
      </w:r>
      <w:r>
        <w:rPr>
          <w:rFonts w:eastAsia="Calibri"/>
          <w:lang w:val="en-GB"/>
        </w:rPr>
        <w:t xml:space="preserve"> stud</w:t>
      </w:r>
      <w:r w:rsidR="00D751FB" w:rsidRPr="0051039E">
        <w:rPr>
          <w:rFonts w:eastAsia="Calibri"/>
          <w:lang w:val="en-GB"/>
        </w:rPr>
        <w:t xml:space="preserve">y went on to note that </w:t>
      </w:r>
      <w:r w:rsidR="00D751FB" w:rsidRPr="00EF2BE2">
        <w:rPr>
          <w:rFonts w:eastAsia="Calibri"/>
          <w:lang w:val="en-GB"/>
        </w:rPr>
        <w:t>“</w:t>
      </w:r>
      <w:r>
        <w:rPr>
          <w:rFonts w:eastAsia="Calibri"/>
          <w:lang w:val="en-GB"/>
        </w:rPr>
        <w:t>a</w:t>
      </w:r>
      <w:r w:rsidR="00D751FB" w:rsidRPr="00114A41">
        <w:rPr>
          <w:rFonts w:eastAsia="Calibri"/>
          <w:lang w:val="en-GB"/>
        </w:rPr>
        <w:t>utonomous driving threatens the very existence of mid-level automakers as the market develops along three segments: premium, low-cost, and drones.”</w:t>
      </w:r>
      <w:r w:rsidR="00382558" w:rsidRPr="00EF2BE2">
        <w:rPr>
          <w:rFonts w:eastAsia="Calibri"/>
          <w:lang w:val="en-GB"/>
        </w:rPr>
        <w:t xml:space="preserve"> </w:t>
      </w:r>
      <w:r w:rsidRPr="00EF2BE2">
        <w:rPr>
          <w:rFonts w:eastAsia="Calibri"/>
          <w:lang w:val="en-GB"/>
        </w:rPr>
        <w:t xml:space="preserve">The </w:t>
      </w:r>
      <w:r>
        <w:rPr>
          <w:rFonts w:eastAsia="Calibri"/>
          <w:lang w:val="en-GB"/>
        </w:rPr>
        <w:t xml:space="preserve">global </w:t>
      </w:r>
      <w:r w:rsidRPr="00EF2BE2">
        <w:rPr>
          <w:rFonts w:eastAsia="Calibri"/>
          <w:lang w:val="en-GB"/>
        </w:rPr>
        <w:t>financial services</w:t>
      </w:r>
      <w:r>
        <w:rPr>
          <w:rFonts w:eastAsia="Calibri"/>
          <w:lang w:val="en-GB"/>
        </w:rPr>
        <w:t xml:space="preserve"> firm</w:t>
      </w:r>
      <w:r w:rsidRPr="00EF2BE2">
        <w:rPr>
          <w:rFonts w:eastAsia="Calibri"/>
          <w:lang w:val="en-GB"/>
        </w:rPr>
        <w:t xml:space="preserve"> </w:t>
      </w:r>
      <w:r w:rsidR="00D751FB" w:rsidRPr="0051039E">
        <w:rPr>
          <w:rFonts w:eastAsia="Calibri"/>
          <w:lang w:val="en-GB"/>
        </w:rPr>
        <w:t>KPMG i</w:t>
      </w:r>
      <w:r>
        <w:rPr>
          <w:rFonts w:eastAsia="Calibri"/>
          <w:lang w:val="en-GB"/>
        </w:rPr>
        <w:t>ssued a</w:t>
      </w:r>
      <w:r w:rsidR="00D751FB" w:rsidRPr="0051039E">
        <w:rPr>
          <w:rFonts w:eastAsia="Calibri"/>
          <w:lang w:val="en-GB"/>
        </w:rPr>
        <w:t xml:space="preserve"> 2018 study</w:t>
      </w:r>
      <w:r>
        <w:rPr>
          <w:rFonts w:eastAsia="Calibri"/>
          <w:lang w:val="en-GB"/>
        </w:rPr>
        <w:t xml:space="preserve"> titled</w:t>
      </w:r>
      <w:r w:rsidR="00D751FB" w:rsidRPr="0051039E">
        <w:rPr>
          <w:rFonts w:eastAsia="Calibri"/>
          <w:lang w:val="en-GB"/>
        </w:rPr>
        <w:t xml:space="preserve"> </w:t>
      </w:r>
      <w:r w:rsidR="00D751FB" w:rsidRPr="0051039E">
        <w:rPr>
          <w:rFonts w:eastAsia="Calibri"/>
          <w:i/>
          <w:lang w:val="en-GB"/>
        </w:rPr>
        <w:t xml:space="preserve">Will </w:t>
      </w:r>
      <w:r>
        <w:rPr>
          <w:rFonts w:eastAsia="Calibri"/>
          <w:i/>
          <w:lang w:val="en-GB"/>
        </w:rPr>
        <w:t>T</w:t>
      </w:r>
      <w:r w:rsidR="00D751FB" w:rsidRPr="0051039E">
        <w:rPr>
          <w:rFonts w:eastAsia="Calibri"/>
          <w:i/>
          <w:lang w:val="en-GB"/>
        </w:rPr>
        <w:t xml:space="preserve">his </w:t>
      </w:r>
      <w:r>
        <w:rPr>
          <w:rFonts w:eastAsia="Calibri"/>
          <w:i/>
          <w:lang w:val="en-GB"/>
        </w:rPr>
        <w:t>B</w:t>
      </w:r>
      <w:r w:rsidR="00D751FB" w:rsidRPr="0051039E">
        <w:rPr>
          <w:rFonts w:eastAsia="Calibri"/>
          <w:i/>
          <w:lang w:val="en-GB"/>
        </w:rPr>
        <w:t xml:space="preserve">e the </w:t>
      </w:r>
      <w:r>
        <w:rPr>
          <w:rFonts w:eastAsia="Calibri"/>
          <w:i/>
          <w:lang w:val="en-GB"/>
        </w:rPr>
        <w:t>E</w:t>
      </w:r>
      <w:r w:rsidR="00D751FB" w:rsidRPr="0051039E">
        <w:rPr>
          <w:rFonts w:eastAsia="Calibri"/>
          <w:i/>
          <w:lang w:val="en-GB"/>
        </w:rPr>
        <w:t xml:space="preserve">nd of </w:t>
      </w:r>
      <w:r>
        <w:rPr>
          <w:rFonts w:eastAsia="Calibri"/>
          <w:i/>
          <w:lang w:val="en-GB"/>
        </w:rPr>
        <w:t>C</w:t>
      </w:r>
      <w:r w:rsidR="00D751FB" w:rsidRPr="0051039E">
        <w:rPr>
          <w:rFonts w:eastAsia="Calibri"/>
          <w:i/>
          <w:lang w:val="en-GB"/>
        </w:rPr>
        <w:t xml:space="preserve">ar </w:t>
      </w:r>
      <w:r>
        <w:rPr>
          <w:rFonts w:eastAsia="Calibri"/>
          <w:i/>
          <w:lang w:val="en-GB"/>
        </w:rPr>
        <w:t>D</w:t>
      </w:r>
      <w:r w:rsidR="00D751FB" w:rsidRPr="0051039E">
        <w:rPr>
          <w:rFonts w:eastAsia="Calibri"/>
          <w:i/>
          <w:lang w:val="en-GB"/>
        </w:rPr>
        <w:t xml:space="preserve">ealerships as </w:t>
      </w:r>
      <w:r>
        <w:rPr>
          <w:rFonts w:eastAsia="Calibri"/>
          <w:i/>
          <w:lang w:val="en-GB"/>
        </w:rPr>
        <w:t>W</w:t>
      </w:r>
      <w:r w:rsidR="00D751FB" w:rsidRPr="0051039E">
        <w:rPr>
          <w:rFonts w:eastAsia="Calibri"/>
          <w:i/>
          <w:lang w:val="en-GB"/>
        </w:rPr>
        <w:t xml:space="preserve">e </w:t>
      </w:r>
      <w:r>
        <w:rPr>
          <w:rFonts w:eastAsia="Calibri"/>
          <w:i/>
          <w:lang w:val="en-GB"/>
        </w:rPr>
        <w:t>K</w:t>
      </w:r>
      <w:r w:rsidR="00D751FB" w:rsidRPr="0051039E">
        <w:rPr>
          <w:rFonts w:eastAsia="Calibri"/>
          <w:i/>
          <w:lang w:val="en-GB"/>
        </w:rPr>
        <w:t xml:space="preserve">now </w:t>
      </w:r>
      <w:r>
        <w:rPr>
          <w:rFonts w:eastAsia="Calibri"/>
          <w:i/>
          <w:lang w:val="en-GB"/>
        </w:rPr>
        <w:t>T</w:t>
      </w:r>
      <w:r w:rsidR="00D751FB" w:rsidRPr="0051039E">
        <w:rPr>
          <w:rFonts w:eastAsia="Calibri"/>
          <w:i/>
          <w:lang w:val="en-GB"/>
        </w:rPr>
        <w:t>hem?</w:t>
      </w:r>
      <w:r w:rsidR="00D751FB" w:rsidRPr="0051039E">
        <w:rPr>
          <w:rFonts w:eastAsia="Calibri"/>
          <w:lang w:val="en-GB"/>
        </w:rPr>
        <w:t xml:space="preserve"> </w:t>
      </w:r>
      <w:r>
        <w:rPr>
          <w:rFonts w:eastAsia="Calibri"/>
          <w:lang w:val="en-GB"/>
        </w:rPr>
        <w:t xml:space="preserve">The study </w:t>
      </w:r>
      <w:r w:rsidR="00D751FB" w:rsidRPr="0051039E">
        <w:rPr>
          <w:rFonts w:eastAsia="Calibri"/>
          <w:lang w:val="en-GB"/>
        </w:rPr>
        <w:t>predicted that all new car sales would be autonomous vehicles by 2033.</w:t>
      </w:r>
      <w:r w:rsidR="00D751FB" w:rsidRPr="0051039E">
        <w:rPr>
          <w:rFonts w:eastAsia="Calibri"/>
          <w:vertAlign w:val="superscript"/>
          <w:lang w:val="en-GB"/>
        </w:rPr>
        <w:endnoteReference w:id="77"/>
      </w:r>
    </w:p>
    <w:p w14:paraId="68EE7CBC" w14:textId="77777777" w:rsidR="00D751FB" w:rsidRPr="0051039E" w:rsidRDefault="00D751FB" w:rsidP="00D751FB">
      <w:pPr>
        <w:pStyle w:val="BodyTextMain"/>
        <w:rPr>
          <w:rFonts w:eastAsia="Calibri"/>
          <w:lang w:val="en-GB"/>
        </w:rPr>
      </w:pPr>
    </w:p>
    <w:p w14:paraId="20342086" w14:textId="5968237C" w:rsidR="00D751FB" w:rsidRPr="00152AE1" w:rsidRDefault="004E50A5" w:rsidP="00D751FB">
      <w:pPr>
        <w:pStyle w:val="BodyTextMain"/>
        <w:rPr>
          <w:lang w:val="en-GB"/>
        </w:rPr>
      </w:pPr>
      <w:r>
        <w:rPr>
          <w:lang w:val="en-GB" w:eastAsia="en-CA"/>
        </w:rPr>
        <w:t>A</w:t>
      </w:r>
      <w:r w:rsidR="00D751FB" w:rsidRPr="0051039E">
        <w:rPr>
          <w:lang w:val="en-GB" w:eastAsia="en-CA"/>
        </w:rPr>
        <w:t xml:space="preserve">utonomous vehicles </w:t>
      </w:r>
      <w:r>
        <w:rPr>
          <w:lang w:val="en-GB" w:eastAsia="en-CA"/>
        </w:rPr>
        <w:t>were expected to</w:t>
      </w:r>
      <w:r w:rsidR="00D751FB" w:rsidRPr="0051039E">
        <w:rPr>
          <w:lang w:val="en-GB" w:eastAsia="en-CA"/>
        </w:rPr>
        <w:t xml:space="preserve"> </w:t>
      </w:r>
      <w:r>
        <w:rPr>
          <w:lang w:val="en-GB" w:eastAsia="en-CA"/>
        </w:rPr>
        <w:t>push</w:t>
      </w:r>
      <w:r w:rsidR="00D751FB" w:rsidRPr="0051039E">
        <w:rPr>
          <w:lang w:val="en-GB" w:eastAsia="en-CA"/>
        </w:rPr>
        <w:t xml:space="preserve"> the ride-shar</w:t>
      </w:r>
      <w:r w:rsidR="00417528">
        <w:rPr>
          <w:lang w:val="en-GB" w:eastAsia="en-CA"/>
        </w:rPr>
        <w:t>e</w:t>
      </w:r>
      <w:r w:rsidR="00D751FB" w:rsidRPr="0051039E">
        <w:rPr>
          <w:lang w:val="en-GB" w:eastAsia="en-CA"/>
        </w:rPr>
        <w:t xml:space="preserve"> industry to tremendous growth.</w:t>
      </w:r>
      <w:r w:rsidR="00382558" w:rsidRPr="0051039E">
        <w:rPr>
          <w:lang w:val="en-GB" w:eastAsia="en-CA"/>
        </w:rPr>
        <w:t xml:space="preserve"> </w:t>
      </w:r>
      <w:r w:rsidR="00D751FB" w:rsidRPr="0051039E">
        <w:rPr>
          <w:lang w:val="en-GB" w:eastAsia="en-CA"/>
        </w:rPr>
        <w:t>AlixPartners, a Southfield, Michigan-based consulting firm who had advised GM through its bankruptcy, estimated that car-shar</w:t>
      </w:r>
      <w:r w:rsidR="00417528">
        <w:rPr>
          <w:lang w:val="en-GB" w:eastAsia="en-CA"/>
        </w:rPr>
        <w:t>e</w:t>
      </w:r>
      <w:r w:rsidR="00D751FB" w:rsidRPr="0051039E">
        <w:rPr>
          <w:lang w:val="en-GB" w:eastAsia="en-CA"/>
        </w:rPr>
        <w:t xml:space="preserve"> services </w:t>
      </w:r>
      <w:r w:rsidR="00CB1FFD">
        <w:rPr>
          <w:lang w:val="en-GB" w:eastAsia="en-CA"/>
        </w:rPr>
        <w:t xml:space="preserve">had </w:t>
      </w:r>
      <w:r w:rsidR="00D751FB" w:rsidRPr="0051039E">
        <w:rPr>
          <w:lang w:val="en-GB" w:eastAsia="en-CA"/>
        </w:rPr>
        <w:t xml:space="preserve">cost automakers 500,000 </w:t>
      </w:r>
      <w:r w:rsidR="00417528">
        <w:rPr>
          <w:lang w:val="en-GB" w:eastAsia="en-CA"/>
        </w:rPr>
        <w:t>product</w:t>
      </w:r>
      <w:r w:rsidR="00D751FB" w:rsidRPr="0051039E">
        <w:rPr>
          <w:lang w:val="en-GB" w:eastAsia="en-CA"/>
        </w:rPr>
        <w:t xml:space="preserve"> sales since 2006.</w:t>
      </w:r>
      <w:r w:rsidR="00CB1FFD">
        <w:rPr>
          <w:lang w:val="en-GB" w:eastAsia="en-CA"/>
        </w:rPr>
        <w:t xml:space="preserve"> </w:t>
      </w:r>
      <w:r w:rsidR="00D751FB" w:rsidRPr="0051039E">
        <w:rPr>
          <w:lang w:val="en-GB" w:eastAsia="en-CA"/>
        </w:rPr>
        <w:t>The</w:t>
      </w:r>
      <w:r w:rsidR="00CB1FFD">
        <w:rPr>
          <w:lang w:val="en-GB" w:eastAsia="en-CA"/>
        </w:rPr>
        <w:t xml:space="preserve"> firm</w:t>
      </w:r>
      <w:r w:rsidR="00D751FB" w:rsidRPr="0051039E">
        <w:rPr>
          <w:lang w:val="en-GB" w:eastAsia="en-CA"/>
        </w:rPr>
        <w:t xml:space="preserve"> went on to s</w:t>
      </w:r>
      <w:r w:rsidR="00CB1FFD">
        <w:rPr>
          <w:lang w:val="en-GB" w:eastAsia="en-CA"/>
        </w:rPr>
        <w:t>tate:</w:t>
      </w:r>
      <w:r w:rsidR="00D751FB" w:rsidRPr="0051039E">
        <w:rPr>
          <w:lang w:val="en-GB" w:eastAsia="en-CA"/>
        </w:rPr>
        <w:t xml:space="preserve"> </w:t>
      </w:r>
      <w:r w:rsidR="00D751FB" w:rsidRPr="00407DFA">
        <w:rPr>
          <w:lang w:val="en-GB" w:eastAsia="en-CA"/>
        </w:rPr>
        <w:t>“</w:t>
      </w:r>
      <w:r w:rsidR="00D751FB" w:rsidRPr="00152AE1">
        <w:rPr>
          <w:lang w:val="en-GB"/>
        </w:rPr>
        <w:t xml:space="preserve">Self-driving </w:t>
      </w:r>
      <w:r w:rsidR="00CB1FFD" w:rsidRPr="00152AE1">
        <w:rPr>
          <w:lang w:val="en-GB"/>
        </w:rPr>
        <w:t>‘</w:t>
      </w:r>
      <w:r w:rsidR="00D751FB" w:rsidRPr="00152AE1">
        <w:rPr>
          <w:lang w:val="en-GB"/>
        </w:rPr>
        <w:t>autonomous</w:t>
      </w:r>
      <w:r w:rsidR="00CB1FFD" w:rsidRPr="00152AE1">
        <w:rPr>
          <w:lang w:val="en-GB"/>
        </w:rPr>
        <w:t>’</w:t>
      </w:r>
      <w:r w:rsidR="00D751FB" w:rsidRPr="00152AE1">
        <w:rPr>
          <w:lang w:val="en-GB"/>
        </w:rPr>
        <w:t xml:space="preserve"> cars will be the </w:t>
      </w:r>
      <w:r w:rsidR="00CB1FFD" w:rsidRPr="00152AE1">
        <w:rPr>
          <w:lang w:val="en-GB"/>
        </w:rPr>
        <w:t>‘</w:t>
      </w:r>
      <w:r w:rsidR="00D751FB" w:rsidRPr="00152AE1">
        <w:rPr>
          <w:lang w:val="en-GB"/>
        </w:rPr>
        <w:t>killer app</w:t>
      </w:r>
      <w:r w:rsidR="00CB1FFD" w:rsidRPr="00152AE1">
        <w:rPr>
          <w:lang w:val="en-GB"/>
        </w:rPr>
        <w:t>’</w:t>
      </w:r>
      <w:r w:rsidR="00D751FB" w:rsidRPr="00152AE1">
        <w:rPr>
          <w:lang w:val="en-GB"/>
        </w:rPr>
        <w:t xml:space="preserve"> that enables car-sharing companies to blossom. By 2020, 4 million Americans will car-share, up from 1 million now.”</w:t>
      </w:r>
      <w:r w:rsidR="00382558" w:rsidRPr="00152AE1">
        <w:rPr>
          <w:lang w:val="en-GB"/>
        </w:rPr>
        <w:t xml:space="preserve"> </w:t>
      </w:r>
      <w:r w:rsidR="00CB1FFD" w:rsidRPr="00407DFA">
        <w:rPr>
          <w:lang w:val="en-GB" w:eastAsia="en-CA"/>
        </w:rPr>
        <w:t>AlixPartners also</w:t>
      </w:r>
      <w:r w:rsidR="00D751FB" w:rsidRPr="00152AE1">
        <w:rPr>
          <w:lang w:val="en-GB"/>
        </w:rPr>
        <w:t xml:space="preserve"> predicted that every vehicle sold into a car-sharing fleet would cost automakers 32 vehicle sales.</w:t>
      </w:r>
      <w:r w:rsidR="00D751FB" w:rsidRPr="00152AE1">
        <w:rPr>
          <w:vertAlign w:val="superscript"/>
          <w:lang w:val="en-GB"/>
        </w:rPr>
        <w:endnoteReference w:id="78"/>
      </w:r>
      <w:r w:rsidR="00CB1FFD" w:rsidRPr="00152AE1">
        <w:rPr>
          <w:lang w:val="en-GB"/>
        </w:rPr>
        <w:t xml:space="preserve"> </w:t>
      </w:r>
      <w:r w:rsidR="00D751FB" w:rsidRPr="00152AE1">
        <w:rPr>
          <w:lang w:val="en-GB"/>
        </w:rPr>
        <w:t xml:space="preserve">If </w:t>
      </w:r>
      <w:r w:rsidR="00CB1FFD" w:rsidRPr="00152AE1">
        <w:rPr>
          <w:lang w:val="en-GB"/>
        </w:rPr>
        <w:t xml:space="preserve">the firm’s predictions were </w:t>
      </w:r>
      <w:r w:rsidR="00D751FB" w:rsidRPr="00152AE1">
        <w:rPr>
          <w:lang w:val="en-GB"/>
        </w:rPr>
        <w:t xml:space="preserve">accurate, a </w:t>
      </w:r>
      <w:r w:rsidRPr="00152AE1">
        <w:rPr>
          <w:lang w:val="en-GB"/>
        </w:rPr>
        <w:t>serious</w:t>
      </w:r>
      <w:r w:rsidR="00D751FB" w:rsidRPr="00152AE1">
        <w:rPr>
          <w:lang w:val="en-GB"/>
        </w:rPr>
        <w:t xml:space="preserve"> threat to traditional automakers and their dealers</w:t>
      </w:r>
      <w:r w:rsidRPr="00152AE1">
        <w:rPr>
          <w:lang w:val="en-GB"/>
        </w:rPr>
        <w:t>hips was quickly approaching</w:t>
      </w:r>
      <w:r w:rsidR="00D751FB" w:rsidRPr="00152AE1">
        <w:rPr>
          <w:lang w:val="en-GB"/>
        </w:rPr>
        <w:t xml:space="preserve">. </w:t>
      </w:r>
    </w:p>
    <w:p w14:paraId="0D4B8A75" w14:textId="77777777" w:rsidR="00072234" w:rsidRPr="0051039E" w:rsidRDefault="00072234" w:rsidP="00D751FB">
      <w:pPr>
        <w:pStyle w:val="BodyTextMain"/>
        <w:rPr>
          <w:color w:val="333333"/>
          <w:lang w:val="en-GB"/>
        </w:rPr>
      </w:pPr>
    </w:p>
    <w:p w14:paraId="0AD0818F" w14:textId="0BA79604" w:rsidR="00D751FB" w:rsidRPr="0051039E" w:rsidRDefault="00D751FB" w:rsidP="00D751FB">
      <w:pPr>
        <w:pStyle w:val="BodyTextMain"/>
        <w:rPr>
          <w:rFonts w:eastAsia="Calibri"/>
          <w:lang w:val="en-GB"/>
        </w:rPr>
      </w:pPr>
      <w:r w:rsidRPr="0051039E">
        <w:rPr>
          <w:rFonts w:eastAsia="Calibri"/>
          <w:lang w:val="en-GB"/>
        </w:rPr>
        <w:t>Fiat Chrysler CEO Sergio Marchionne, one of the longest serving CEOs in the auto</w:t>
      </w:r>
      <w:r w:rsidR="00566F55">
        <w:rPr>
          <w:rFonts w:eastAsia="Calibri"/>
          <w:lang w:val="en-GB"/>
        </w:rPr>
        <w:t>mobile</w:t>
      </w:r>
      <w:r w:rsidRPr="0051039E">
        <w:rPr>
          <w:rFonts w:eastAsia="Calibri"/>
          <w:lang w:val="en-GB"/>
        </w:rPr>
        <w:t xml:space="preserve"> industry, stated at the 2018 </w:t>
      </w:r>
      <w:r w:rsidR="00417528" w:rsidRPr="00417528">
        <w:rPr>
          <w:rFonts w:eastAsia="Calibri"/>
          <w:lang w:val="en-GB"/>
        </w:rPr>
        <w:t>North American International</w:t>
      </w:r>
      <w:r w:rsidR="00417528">
        <w:rPr>
          <w:rFonts w:eastAsia="Calibri"/>
          <w:lang w:val="en-GB"/>
        </w:rPr>
        <w:t xml:space="preserve"> Auto Show in </w:t>
      </w:r>
      <w:r w:rsidRPr="0051039E">
        <w:rPr>
          <w:rFonts w:eastAsia="Calibri"/>
          <w:lang w:val="en-GB"/>
        </w:rPr>
        <w:t>Detroit that “carmakers have less than a decade to reinvent themselves or risk being commoditized amid a seismic shift in how vehicles are powered, driven and purchased.”</w:t>
      </w:r>
      <w:r w:rsidR="00382558" w:rsidRPr="0051039E">
        <w:rPr>
          <w:rFonts w:eastAsia="Calibri"/>
          <w:lang w:val="en-GB"/>
        </w:rPr>
        <w:t xml:space="preserve"> </w:t>
      </w:r>
      <w:r w:rsidRPr="0051039E">
        <w:rPr>
          <w:rFonts w:eastAsia="Calibri"/>
          <w:lang w:val="en-GB"/>
        </w:rPr>
        <w:t>He went on to state that “auto companies need to quickly separate the stuff that will be swallowed by commodity from the brand stuff.”</w:t>
      </w:r>
      <w:r w:rsidRPr="0051039E">
        <w:rPr>
          <w:rFonts w:eastAsia="Calibri"/>
          <w:vertAlign w:val="superscript"/>
          <w:lang w:val="en-GB"/>
        </w:rPr>
        <w:endnoteReference w:id="79"/>
      </w:r>
      <w:r w:rsidR="00566F55">
        <w:rPr>
          <w:rFonts w:eastAsia="Calibri"/>
          <w:lang w:val="en-GB"/>
        </w:rPr>
        <w:t xml:space="preserve"> (</w:t>
      </w:r>
      <w:r w:rsidR="00566F55" w:rsidRPr="0051039E">
        <w:rPr>
          <w:rFonts w:eastAsia="Calibri"/>
          <w:lang w:val="en-GB"/>
        </w:rPr>
        <w:t>Marchionne</w:t>
      </w:r>
      <w:r w:rsidR="00566F55">
        <w:rPr>
          <w:rFonts w:eastAsia="Calibri"/>
          <w:lang w:val="en-GB"/>
        </w:rPr>
        <w:t xml:space="preserve"> later died unexpectedly</w:t>
      </w:r>
      <w:r w:rsidR="00566F55" w:rsidRPr="0051039E">
        <w:rPr>
          <w:rFonts w:eastAsia="Calibri"/>
          <w:lang w:val="en-GB"/>
        </w:rPr>
        <w:t xml:space="preserve"> in July of that year</w:t>
      </w:r>
      <w:r w:rsidR="00566F55">
        <w:rPr>
          <w:rFonts w:eastAsia="Calibri"/>
          <w:lang w:val="en-GB"/>
        </w:rPr>
        <w:t>.)</w:t>
      </w:r>
    </w:p>
    <w:p w14:paraId="7C070C5C" w14:textId="77777777" w:rsidR="00D751FB" w:rsidRPr="0051039E" w:rsidRDefault="00D751FB" w:rsidP="00D751FB">
      <w:pPr>
        <w:pStyle w:val="BodyTextMain"/>
        <w:rPr>
          <w:rFonts w:eastAsia="Calibri"/>
          <w:lang w:val="en-GB"/>
        </w:rPr>
      </w:pPr>
    </w:p>
    <w:p w14:paraId="35721537" w14:textId="4537C2F1" w:rsidR="00D751FB" w:rsidRPr="0051039E" w:rsidRDefault="00D751FB" w:rsidP="00D751FB">
      <w:pPr>
        <w:pStyle w:val="BodyTextMain"/>
        <w:rPr>
          <w:rFonts w:eastAsia="Calibri"/>
          <w:lang w:val="en-GB"/>
        </w:rPr>
      </w:pPr>
      <w:r w:rsidRPr="0051039E">
        <w:rPr>
          <w:rFonts w:eastAsia="Calibri"/>
          <w:lang w:val="en-GB"/>
        </w:rPr>
        <w:lastRenderedPageBreak/>
        <w:t>A</w:t>
      </w:r>
      <w:r w:rsidR="003C47F0">
        <w:rPr>
          <w:rFonts w:eastAsia="Calibri"/>
          <w:lang w:val="en-GB"/>
        </w:rPr>
        <w:t>.</w:t>
      </w:r>
      <w:r w:rsidRPr="0051039E">
        <w:rPr>
          <w:rFonts w:eastAsia="Calibri"/>
          <w:lang w:val="en-GB"/>
        </w:rPr>
        <w:t>T</w:t>
      </w:r>
      <w:r w:rsidR="003C47F0">
        <w:rPr>
          <w:rFonts w:eastAsia="Calibri"/>
          <w:lang w:val="en-GB"/>
        </w:rPr>
        <w:t xml:space="preserve">. </w:t>
      </w:r>
      <w:r w:rsidRPr="0051039E">
        <w:rPr>
          <w:rFonts w:eastAsia="Calibri"/>
          <w:lang w:val="en-GB"/>
        </w:rPr>
        <w:t>Kearney also reflected that the value share of an automobile would “undergo a tectonic shift” with the autonomous vehicle.</w:t>
      </w:r>
      <w:r w:rsidR="00382558" w:rsidRPr="0051039E">
        <w:rPr>
          <w:rFonts w:eastAsia="Calibri"/>
          <w:lang w:val="en-GB"/>
        </w:rPr>
        <w:t xml:space="preserve"> </w:t>
      </w:r>
      <w:r w:rsidRPr="0051039E">
        <w:rPr>
          <w:rFonts w:eastAsia="Calibri"/>
          <w:lang w:val="en-GB"/>
        </w:rPr>
        <w:t>The value of an average automobile was 90 per</w:t>
      </w:r>
      <w:r w:rsidR="003C47F0">
        <w:rPr>
          <w:rFonts w:eastAsia="Calibri"/>
          <w:lang w:val="en-GB"/>
        </w:rPr>
        <w:t xml:space="preserve"> </w:t>
      </w:r>
      <w:r w:rsidRPr="0051039E">
        <w:rPr>
          <w:rFonts w:eastAsia="Calibri"/>
          <w:lang w:val="en-GB"/>
        </w:rPr>
        <w:t>cent hardware and 10 per</w:t>
      </w:r>
      <w:r w:rsidR="003C47F0">
        <w:rPr>
          <w:rFonts w:eastAsia="Calibri"/>
          <w:lang w:val="en-GB"/>
        </w:rPr>
        <w:t xml:space="preserve"> </w:t>
      </w:r>
      <w:r w:rsidRPr="0051039E">
        <w:rPr>
          <w:rFonts w:eastAsia="Calibri"/>
          <w:lang w:val="en-GB"/>
        </w:rPr>
        <w:t>cent software.</w:t>
      </w:r>
      <w:r w:rsidR="00382558" w:rsidRPr="0051039E">
        <w:rPr>
          <w:rFonts w:eastAsia="Calibri"/>
          <w:lang w:val="en-GB"/>
        </w:rPr>
        <w:t xml:space="preserve"> </w:t>
      </w:r>
      <w:r w:rsidRPr="0051039E">
        <w:rPr>
          <w:rFonts w:eastAsia="Calibri"/>
          <w:lang w:val="en-GB"/>
        </w:rPr>
        <w:t>In the autonomous vehicle world, the value share would shift to 40 per</w:t>
      </w:r>
      <w:r w:rsidR="003C47F0">
        <w:rPr>
          <w:rFonts w:eastAsia="Calibri"/>
          <w:lang w:val="en-GB"/>
        </w:rPr>
        <w:t xml:space="preserve"> </w:t>
      </w:r>
      <w:r w:rsidRPr="0051039E">
        <w:rPr>
          <w:rFonts w:eastAsia="Calibri"/>
          <w:lang w:val="en-GB"/>
        </w:rPr>
        <w:t>cent hardware, with its related profit pool shrinking.</w:t>
      </w:r>
      <w:r w:rsidR="00382558" w:rsidRPr="0051039E">
        <w:rPr>
          <w:rFonts w:eastAsia="Calibri"/>
          <w:lang w:val="en-GB"/>
        </w:rPr>
        <w:t xml:space="preserve"> </w:t>
      </w:r>
      <w:r w:rsidRPr="0051039E">
        <w:rPr>
          <w:rFonts w:eastAsia="Calibri"/>
          <w:lang w:val="en-GB"/>
        </w:rPr>
        <w:t>The real value, and margin, would come from the software (40 per</w:t>
      </w:r>
      <w:r w:rsidR="003C47F0">
        <w:rPr>
          <w:rFonts w:eastAsia="Calibri"/>
          <w:lang w:val="en-GB"/>
        </w:rPr>
        <w:t xml:space="preserve"> </w:t>
      </w:r>
      <w:r w:rsidRPr="0051039E">
        <w:rPr>
          <w:rFonts w:eastAsia="Calibri"/>
          <w:lang w:val="en-GB"/>
        </w:rPr>
        <w:t>cent) and the content (20 per</w:t>
      </w:r>
      <w:r w:rsidR="003C47F0">
        <w:rPr>
          <w:rFonts w:eastAsia="Calibri"/>
          <w:lang w:val="en-GB"/>
        </w:rPr>
        <w:t xml:space="preserve"> </w:t>
      </w:r>
      <w:r w:rsidRPr="0051039E">
        <w:rPr>
          <w:rFonts w:eastAsia="Calibri"/>
          <w:lang w:val="en-GB"/>
        </w:rPr>
        <w:t>cent).</w:t>
      </w:r>
      <w:r w:rsidR="003C47F0">
        <w:rPr>
          <w:rFonts w:eastAsia="Calibri"/>
          <w:lang w:val="en-GB"/>
        </w:rPr>
        <w:t xml:space="preserve"> </w:t>
      </w:r>
      <w:r w:rsidRPr="0051039E">
        <w:rPr>
          <w:rFonts w:eastAsia="Calibri"/>
          <w:lang w:val="en-GB"/>
        </w:rPr>
        <w:t xml:space="preserve">The margins and related profit in the industry would shift from traditional hardware manufactures like GM to software and content </w:t>
      </w:r>
      <w:r w:rsidR="003C47F0">
        <w:rPr>
          <w:rFonts w:eastAsia="Calibri"/>
          <w:lang w:val="en-GB"/>
        </w:rPr>
        <w:t>providers</w:t>
      </w:r>
      <w:r w:rsidRPr="0051039E">
        <w:rPr>
          <w:rFonts w:eastAsia="Calibri"/>
          <w:lang w:val="en-GB"/>
        </w:rPr>
        <w:t>.</w:t>
      </w:r>
      <w:r w:rsidR="003C47F0">
        <w:rPr>
          <w:rFonts w:eastAsia="Calibri"/>
          <w:lang w:val="en-GB"/>
        </w:rPr>
        <w:t xml:space="preserve"> </w:t>
      </w:r>
      <w:r w:rsidRPr="0051039E">
        <w:rPr>
          <w:rFonts w:eastAsia="Calibri"/>
          <w:lang w:val="en-GB"/>
        </w:rPr>
        <w:t xml:space="preserve">GM and traditional OEMs would </w:t>
      </w:r>
      <w:r w:rsidR="003C47F0">
        <w:rPr>
          <w:rFonts w:eastAsia="Calibri"/>
          <w:lang w:val="en-GB"/>
        </w:rPr>
        <w:t>have</w:t>
      </w:r>
      <w:r w:rsidRPr="0051039E">
        <w:rPr>
          <w:rFonts w:eastAsia="Calibri"/>
          <w:lang w:val="en-GB"/>
        </w:rPr>
        <w:t xml:space="preserve"> to </w:t>
      </w:r>
      <w:r w:rsidR="003C47F0">
        <w:rPr>
          <w:rFonts w:eastAsia="Calibri"/>
          <w:lang w:val="en-GB"/>
        </w:rPr>
        <w:t>undergo a strategic transformation</w:t>
      </w:r>
      <w:r w:rsidRPr="0051039E">
        <w:rPr>
          <w:rFonts w:eastAsia="Calibri"/>
          <w:lang w:val="en-GB"/>
        </w:rPr>
        <w:t xml:space="preserve"> into these </w:t>
      </w:r>
      <w:r w:rsidR="003C47F0">
        <w:rPr>
          <w:rFonts w:eastAsia="Calibri"/>
          <w:lang w:val="en-GB"/>
        </w:rPr>
        <w:t xml:space="preserve">types of </w:t>
      </w:r>
      <w:r w:rsidRPr="0051039E">
        <w:rPr>
          <w:rFonts w:eastAsia="Calibri"/>
          <w:lang w:val="en-GB"/>
        </w:rPr>
        <w:t xml:space="preserve">businesses to access the higher margin opportunities </w:t>
      </w:r>
      <w:r w:rsidR="003C47F0">
        <w:rPr>
          <w:rFonts w:eastAsia="Calibri"/>
          <w:lang w:val="en-GB"/>
        </w:rPr>
        <w:t xml:space="preserve">that the future </w:t>
      </w:r>
      <w:r w:rsidRPr="0051039E">
        <w:rPr>
          <w:rFonts w:eastAsia="Calibri"/>
          <w:lang w:val="en-GB"/>
        </w:rPr>
        <w:t>presented.</w:t>
      </w:r>
      <w:r w:rsidRPr="0051039E">
        <w:rPr>
          <w:rFonts w:eastAsia="Calibri"/>
          <w:vertAlign w:val="superscript"/>
          <w:lang w:val="en-GB"/>
        </w:rPr>
        <w:endnoteReference w:id="80"/>
      </w:r>
    </w:p>
    <w:p w14:paraId="064757B3" w14:textId="77777777" w:rsidR="00D751FB" w:rsidRPr="0051039E" w:rsidRDefault="00D751FB" w:rsidP="00D751FB">
      <w:pPr>
        <w:pStyle w:val="BodyTextMain"/>
        <w:rPr>
          <w:rFonts w:eastAsia="Calibri"/>
          <w:lang w:val="en-GB"/>
        </w:rPr>
      </w:pPr>
    </w:p>
    <w:p w14:paraId="74A4B91E" w14:textId="77777777" w:rsidR="00D751FB" w:rsidRPr="0051039E" w:rsidRDefault="00D751FB" w:rsidP="00D751FB">
      <w:pPr>
        <w:pStyle w:val="BodyTextMain"/>
        <w:rPr>
          <w:rFonts w:eastAsia="Calibri"/>
          <w:lang w:val="en-GB"/>
        </w:rPr>
      </w:pPr>
    </w:p>
    <w:p w14:paraId="6E5EA171" w14:textId="77777777" w:rsidR="00D751FB" w:rsidRPr="0051039E" w:rsidRDefault="00D751FB" w:rsidP="00D751FB">
      <w:pPr>
        <w:rPr>
          <w:rFonts w:ascii="Arial" w:eastAsia="Calibri" w:hAnsi="Arial" w:cs="Arial"/>
          <w:b/>
          <w:lang w:val="en-GB"/>
        </w:rPr>
      </w:pPr>
      <w:r w:rsidRPr="0051039E">
        <w:rPr>
          <w:rFonts w:ascii="Arial" w:eastAsia="Calibri" w:hAnsi="Arial" w:cs="Arial"/>
          <w:b/>
          <w:lang w:val="en-GB"/>
        </w:rPr>
        <w:t>MAKING MONEY IN THIS NEW WORLD</w:t>
      </w:r>
    </w:p>
    <w:p w14:paraId="79FC30C9" w14:textId="77777777" w:rsidR="00D751FB" w:rsidRPr="0051039E" w:rsidRDefault="00D751FB" w:rsidP="00D751FB">
      <w:pPr>
        <w:pStyle w:val="BodyTextMain"/>
        <w:rPr>
          <w:rFonts w:eastAsia="Calibri"/>
          <w:lang w:val="en-GB"/>
        </w:rPr>
      </w:pPr>
    </w:p>
    <w:p w14:paraId="3F645B78" w14:textId="15BA1AB4" w:rsidR="00D751FB" w:rsidRPr="0051039E" w:rsidRDefault="00D751FB" w:rsidP="00D751FB">
      <w:pPr>
        <w:pStyle w:val="BodyTextMain"/>
        <w:rPr>
          <w:lang w:val="en-GB" w:eastAsia="en-CA"/>
        </w:rPr>
      </w:pPr>
      <w:r w:rsidRPr="0051039E">
        <w:rPr>
          <w:lang w:val="en-GB" w:eastAsia="en-CA"/>
        </w:rPr>
        <w:t>In November 2017, GM</w:t>
      </w:r>
      <w:r w:rsidR="00CD2375">
        <w:rPr>
          <w:lang w:val="en-GB" w:eastAsia="en-CA"/>
        </w:rPr>
        <w:t>’s</w:t>
      </w:r>
      <w:r w:rsidRPr="0051039E">
        <w:rPr>
          <w:lang w:val="en-GB" w:eastAsia="en-CA"/>
        </w:rPr>
        <w:t xml:space="preserve"> CEO Barra told investors that GM would launch a new family of </w:t>
      </w:r>
      <w:r w:rsidR="00EE483B">
        <w:rPr>
          <w:lang w:val="en-GB" w:eastAsia="en-CA"/>
        </w:rPr>
        <w:t>e</w:t>
      </w:r>
      <w:r w:rsidRPr="0051039E">
        <w:rPr>
          <w:lang w:val="en-GB" w:eastAsia="en-CA"/>
        </w:rPr>
        <w:t xml:space="preserve">lectric </w:t>
      </w:r>
      <w:r w:rsidR="00EE483B">
        <w:rPr>
          <w:lang w:val="en-GB" w:eastAsia="en-CA"/>
        </w:rPr>
        <w:t>v</w:t>
      </w:r>
      <w:r w:rsidRPr="0051039E">
        <w:rPr>
          <w:lang w:val="en-GB" w:eastAsia="en-CA"/>
        </w:rPr>
        <w:t xml:space="preserve">ehicles that would cost less to produce than current models and </w:t>
      </w:r>
      <w:r w:rsidR="00EE483B">
        <w:rPr>
          <w:lang w:val="en-GB" w:eastAsia="en-CA"/>
        </w:rPr>
        <w:t xml:space="preserve">that would </w:t>
      </w:r>
      <w:r w:rsidRPr="0051039E">
        <w:rPr>
          <w:lang w:val="en-GB" w:eastAsia="en-CA"/>
        </w:rPr>
        <w:t>be sold at a profit</w:t>
      </w:r>
      <w:r w:rsidR="00EE483B">
        <w:rPr>
          <w:lang w:val="en-GB" w:eastAsia="en-CA"/>
        </w:rPr>
        <w:t>,</w:t>
      </w:r>
      <w:r w:rsidRPr="0051039E">
        <w:rPr>
          <w:vertAlign w:val="superscript"/>
          <w:lang w:val="en-GB" w:eastAsia="en-CA"/>
        </w:rPr>
        <w:endnoteReference w:id="81"/>
      </w:r>
      <w:r w:rsidRPr="0051039E">
        <w:rPr>
          <w:lang w:val="en-GB" w:eastAsia="en-CA"/>
        </w:rPr>
        <w:t xml:space="preserve"> effectively positioning GM to challenge Tesla.</w:t>
      </w:r>
      <w:r w:rsidR="00382558" w:rsidRPr="0051039E">
        <w:rPr>
          <w:lang w:val="en-GB" w:eastAsia="en-CA"/>
        </w:rPr>
        <w:t xml:space="preserve"> </w:t>
      </w:r>
      <w:r w:rsidRPr="0051039E">
        <w:rPr>
          <w:lang w:val="en-GB" w:eastAsia="en-CA"/>
        </w:rPr>
        <w:t xml:space="preserve">Barra also told investors </w:t>
      </w:r>
      <w:r w:rsidR="00EE483B">
        <w:rPr>
          <w:lang w:val="en-GB" w:eastAsia="en-CA"/>
        </w:rPr>
        <w:t xml:space="preserve">that </w:t>
      </w:r>
      <w:r w:rsidRPr="0051039E">
        <w:rPr>
          <w:lang w:val="en-GB" w:eastAsia="en-CA"/>
        </w:rPr>
        <w:t>GM was generating strong profit</w:t>
      </w:r>
      <w:r w:rsidR="00EE483B">
        <w:rPr>
          <w:lang w:val="en-GB" w:eastAsia="en-CA"/>
        </w:rPr>
        <w:t>s</w:t>
      </w:r>
      <w:r w:rsidRPr="0051039E">
        <w:rPr>
          <w:lang w:val="en-GB" w:eastAsia="en-CA"/>
        </w:rPr>
        <w:t xml:space="preserve"> from selling trucks and </w:t>
      </w:r>
      <w:r w:rsidR="00EE483B">
        <w:rPr>
          <w:lang w:val="en-GB" w:eastAsia="en-CA"/>
        </w:rPr>
        <w:t>SUVs</w:t>
      </w:r>
      <w:r w:rsidRPr="0051039E">
        <w:rPr>
          <w:lang w:val="en-GB" w:eastAsia="en-CA"/>
        </w:rPr>
        <w:t xml:space="preserve"> in the United States, and reaffirmed </w:t>
      </w:r>
      <w:r w:rsidR="00EE483B">
        <w:rPr>
          <w:lang w:val="en-GB" w:eastAsia="en-CA"/>
        </w:rPr>
        <w:t>her</w:t>
      </w:r>
      <w:r w:rsidRPr="0051039E">
        <w:rPr>
          <w:lang w:val="en-GB" w:eastAsia="en-CA"/>
        </w:rPr>
        <w:t xml:space="preserve"> promise that GM’s core North American vehicle business would achieve 10 per</w:t>
      </w:r>
      <w:r w:rsidR="00EE483B">
        <w:rPr>
          <w:lang w:val="en-GB" w:eastAsia="en-CA"/>
        </w:rPr>
        <w:t xml:space="preserve"> </w:t>
      </w:r>
      <w:r w:rsidRPr="0051039E">
        <w:rPr>
          <w:lang w:val="en-GB" w:eastAsia="en-CA"/>
        </w:rPr>
        <w:t>cent pre-tax profit margins</w:t>
      </w:r>
      <w:r w:rsidRPr="0051039E">
        <w:rPr>
          <w:vertAlign w:val="superscript"/>
          <w:lang w:val="en-GB" w:eastAsia="en-CA"/>
        </w:rPr>
        <w:endnoteReference w:id="82"/>
      </w:r>
      <w:r w:rsidRPr="0051039E">
        <w:rPr>
          <w:lang w:val="en-GB" w:eastAsia="en-CA"/>
        </w:rPr>
        <w:t xml:space="preserve"> (</w:t>
      </w:r>
      <w:r w:rsidR="00EE483B">
        <w:rPr>
          <w:lang w:val="en-GB" w:eastAsia="en-CA"/>
        </w:rPr>
        <w:t>see</w:t>
      </w:r>
      <w:r w:rsidRPr="0051039E">
        <w:rPr>
          <w:lang w:val="en-GB" w:eastAsia="en-CA"/>
        </w:rPr>
        <w:t xml:space="preserve"> Exhibit 4).</w:t>
      </w:r>
    </w:p>
    <w:p w14:paraId="5AE88927" w14:textId="77777777" w:rsidR="00D751FB" w:rsidRPr="0051039E" w:rsidRDefault="00D751FB" w:rsidP="00D751FB">
      <w:pPr>
        <w:pStyle w:val="BodyTextMain"/>
        <w:rPr>
          <w:lang w:val="en-GB" w:eastAsia="en-CA"/>
        </w:rPr>
      </w:pPr>
    </w:p>
    <w:p w14:paraId="0815E855" w14:textId="2FFEF8CD" w:rsidR="00D751FB" w:rsidRPr="0051039E" w:rsidRDefault="009E20A1" w:rsidP="00D751FB">
      <w:pPr>
        <w:pStyle w:val="BodyTextMain"/>
        <w:rPr>
          <w:lang w:val="en-GB" w:eastAsia="en-CA"/>
        </w:rPr>
      </w:pPr>
      <w:r>
        <w:rPr>
          <w:lang w:val="en-GB" w:eastAsia="en-CA"/>
        </w:rPr>
        <w:t>Currently</w:t>
      </w:r>
      <w:r w:rsidR="00D751FB" w:rsidRPr="0051039E">
        <w:rPr>
          <w:lang w:val="en-GB" w:eastAsia="en-CA"/>
        </w:rPr>
        <w:t>, GM’s five-year average gross margins stood at 11.74 per</w:t>
      </w:r>
      <w:r>
        <w:rPr>
          <w:lang w:val="en-GB" w:eastAsia="en-CA"/>
        </w:rPr>
        <w:t xml:space="preserve"> </w:t>
      </w:r>
      <w:r w:rsidR="00D751FB" w:rsidRPr="0051039E">
        <w:rPr>
          <w:lang w:val="en-GB" w:eastAsia="en-CA"/>
        </w:rPr>
        <w:t xml:space="preserve">cent, </w:t>
      </w:r>
      <w:r>
        <w:rPr>
          <w:lang w:val="en-GB" w:eastAsia="en-CA"/>
        </w:rPr>
        <w:t>compared to</w:t>
      </w:r>
      <w:r w:rsidR="00D751FB" w:rsidRPr="0051039E">
        <w:rPr>
          <w:lang w:val="en-GB" w:eastAsia="en-CA"/>
        </w:rPr>
        <w:t xml:space="preserve"> an industry average of 12.49 percent.</w:t>
      </w:r>
      <w:r w:rsidR="00D751FB" w:rsidRPr="0051039E">
        <w:rPr>
          <w:vertAlign w:val="superscript"/>
          <w:lang w:val="en-GB" w:eastAsia="en-CA"/>
        </w:rPr>
        <w:endnoteReference w:id="83"/>
      </w:r>
      <w:r w:rsidR="009D5222" w:rsidRPr="0051039E">
        <w:rPr>
          <w:lang w:val="en-GB" w:eastAsia="en-CA"/>
        </w:rPr>
        <w:t xml:space="preserve"> </w:t>
      </w:r>
      <w:r w:rsidR="00D751FB" w:rsidRPr="0051039E">
        <w:rPr>
          <w:lang w:val="en-GB" w:eastAsia="en-CA"/>
        </w:rPr>
        <w:t xml:space="preserve">Given the </w:t>
      </w:r>
      <w:r>
        <w:rPr>
          <w:lang w:val="en-GB" w:eastAsia="en-CA"/>
        </w:rPr>
        <w:t>financial issues</w:t>
      </w:r>
      <w:r w:rsidR="00D751FB" w:rsidRPr="0051039E">
        <w:rPr>
          <w:lang w:val="en-GB" w:eastAsia="en-CA"/>
        </w:rPr>
        <w:t xml:space="preserve"> of 2009 and GM’s cost structure, it was clear that </w:t>
      </w:r>
      <w:r>
        <w:rPr>
          <w:lang w:val="en-GB" w:eastAsia="en-CA"/>
        </w:rPr>
        <w:t>the company</w:t>
      </w:r>
      <w:r w:rsidR="00D751FB" w:rsidRPr="0051039E">
        <w:rPr>
          <w:lang w:val="en-GB" w:eastAsia="en-CA"/>
        </w:rPr>
        <w:t xml:space="preserve"> was not well positioned to effectively compete on price against </w:t>
      </w:r>
      <w:r>
        <w:rPr>
          <w:lang w:val="en-GB" w:eastAsia="en-CA"/>
        </w:rPr>
        <w:t>major</w:t>
      </w:r>
      <w:r w:rsidR="00D751FB" w:rsidRPr="0051039E">
        <w:rPr>
          <w:lang w:val="en-GB" w:eastAsia="en-CA"/>
        </w:rPr>
        <w:t xml:space="preserve"> global competitors. </w:t>
      </w:r>
    </w:p>
    <w:p w14:paraId="25E27A02" w14:textId="77777777" w:rsidR="00D751FB" w:rsidRPr="0051039E" w:rsidRDefault="00D751FB" w:rsidP="00D751FB">
      <w:pPr>
        <w:pStyle w:val="BodyTextMain"/>
        <w:rPr>
          <w:lang w:val="en-GB" w:eastAsia="en-CA"/>
        </w:rPr>
      </w:pPr>
    </w:p>
    <w:p w14:paraId="4B7EC145" w14:textId="1CA61619" w:rsidR="00D751FB" w:rsidRPr="0051039E" w:rsidRDefault="00D751FB" w:rsidP="00D751FB">
      <w:pPr>
        <w:pStyle w:val="BodyTextMain"/>
        <w:rPr>
          <w:lang w:val="en-GB" w:eastAsia="en-CA"/>
        </w:rPr>
      </w:pPr>
      <w:r w:rsidRPr="0051039E">
        <w:rPr>
          <w:lang w:val="en-GB" w:eastAsia="en-CA"/>
        </w:rPr>
        <w:t xml:space="preserve">Barra did not address the </w:t>
      </w:r>
      <w:r w:rsidR="009E20A1">
        <w:rPr>
          <w:lang w:val="en-GB" w:eastAsia="en-CA"/>
        </w:rPr>
        <w:t xml:space="preserve">evident </w:t>
      </w:r>
      <w:r w:rsidRPr="0051039E">
        <w:rPr>
          <w:lang w:val="en-GB" w:eastAsia="en-CA"/>
        </w:rPr>
        <w:t>significant threats to the company’s current</w:t>
      </w:r>
      <w:r w:rsidR="00072234" w:rsidRPr="0051039E">
        <w:rPr>
          <w:lang w:val="en-GB" w:eastAsia="en-CA"/>
        </w:rPr>
        <w:t xml:space="preserve"> </w:t>
      </w:r>
      <w:r w:rsidRPr="0051039E">
        <w:rPr>
          <w:lang w:val="en-GB" w:eastAsia="en-CA"/>
        </w:rPr>
        <w:t xml:space="preserve">business model and </w:t>
      </w:r>
      <w:r w:rsidR="009E20A1">
        <w:rPr>
          <w:lang w:val="en-GB" w:eastAsia="en-CA"/>
        </w:rPr>
        <w:t xml:space="preserve">to </w:t>
      </w:r>
      <w:r w:rsidRPr="0051039E">
        <w:rPr>
          <w:lang w:val="en-GB" w:eastAsia="en-CA"/>
        </w:rPr>
        <w:t>its supplier and dealer</w:t>
      </w:r>
      <w:r w:rsidR="009E20A1">
        <w:rPr>
          <w:lang w:val="en-GB" w:eastAsia="en-CA"/>
        </w:rPr>
        <w:t>ship</w:t>
      </w:r>
      <w:r w:rsidRPr="0051039E">
        <w:rPr>
          <w:lang w:val="en-GB" w:eastAsia="en-CA"/>
        </w:rPr>
        <w:t xml:space="preserve"> networks</w:t>
      </w:r>
      <w:r w:rsidR="009E20A1">
        <w:rPr>
          <w:lang w:val="en-GB" w:eastAsia="en-CA"/>
        </w:rPr>
        <w:t>. M</w:t>
      </w:r>
      <w:r w:rsidRPr="0051039E">
        <w:rPr>
          <w:lang w:val="en-GB" w:eastAsia="en-CA"/>
        </w:rPr>
        <w:t xml:space="preserve">any of </w:t>
      </w:r>
      <w:r w:rsidR="009E20A1">
        <w:rPr>
          <w:lang w:val="en-GB" w:eastAsia="en-CA"/>
        </w:rPr>
        <w:t>GM’s dealerships</w:t>
      </w:r>
      <w:r w:rsidRPr="0051039E">
        <w:rPr>
          <w:lang w:val="en-GB" w:eastAsia="en-CA"/>
        </w:rPr>
        <w:t xml:space="preserve"> showed little sign of </w:t>
      </w:r>
      <w:r w:rsidR="00810AE1">
        <w:rPr>
          <w:lang w:val="en-GB" w:eastAsia="en-CA"/>
        </w:rPr>
        <w:t>remaining</w:t>
      </w:r>
      <w:r w:rsidRPr="0051039E">
        <w:rPr>
          <w:lang w:val="en-GB" w:eastAsia="en-CA"/>
        </w:rPr>
        <w:t xml:space="preserve"> relevant</w:t>
      </w:r>
      <w:r w:rsidR="00810AE1">
        <w:rPr>
          <w:lang w:val="en-GB" w:eastAsia="en-CA"/>
        </w:rPr>
        <w:t>—</w:t>
      </w:r>
      <w:r w:rsidRPr="0051039E">
        <w:rPr>
          <w:lang w:val="en-GB" w:eastAsia="en-CA"/>
        </w:rPr>
        <w:t xml:space="preserve">or </w:t>
      </w:r>
      <w:r w:rsidR="00810AE1">
        <w:rPr>
          <w:lang w:val="en-GB" w:eastAsia="en-CA"/>
        </w:rPr>
        <w:t>even necessary—</w:t>
      </w:r>
      <w:r w:rsidRPr="0051039E">
        <w:rPr>
          <w:lang w:val="en-GB" w:eastAsia="en-CA"/>
        </w:rPr>
        <w:t xml:space="preserve">in a </w:t>
      </w:r>
      <w:r w:rsidR="00810AE1">
        <w:rPr>
          <w:lang w:val="en-GB" w:eastAsia="en-CA"/>
        </w:rPr>
        <w:t>transformed</w:t>
      </w:r>
      <w:r w:rsidRPr="0051039E">
        <w:rPr>
          <w:lang w:val="en-GB" w:eastAsia="en-CA"/>
        </w:rPr>
        <w:t xml:space="preserve"> industry dominated by electric vehicles</w:t>
      </w:r>
      <w:r w:rsidR="00810AE1">
        <w:rPr>
          <w:lang w:val="en-GB" w:eastAsia="en-CA"/>
        </w:rPr>
        <w:t>.</w:t>
      </w:r>
      <w:r w:rsidRPr="0051039E">
        <w:rPr>
          <w:vertAlign w:val="superscript"/>
          <w:lang w:val="en-GB" w:eastAsia="en-CA"/>
        </w:rPr>
        <w:endnoteReference w:id="84"/>
      </w:r>
      <w:r w:rsidRPr="0051039E">
        <w:rPr>
          <w:lang w:val="en-GB" w:eastAsia="en-CA"/>
        </w:rPr>
        <w:t xml:space="preserve"> </w:t>
      </w:r>
      <w:r w:rsidR="00810AE1">
        <w:rPr>
          <w:lang w:val="en-GB" w:eastAsia="en-CA"/>
        </w:rPr>
        <w:t>The automobile</w:t>
      </w:r>
      <w:r w:rsidRPr="0051039E">
        <w:rPr>
          <w:lang w:val="en-GB" w:eastAsia="en-CA"/>
        </w:rPr>
        <w:t xml:space="preserve"> industry </w:t>
      </w:r>
      <w:r w:rsidR="00810AE1">
        <w:rPr>
          <w:lang w:val="en-GB" w:eastAsia="en-CA"/>
        </w:rPr>
        <w:t xml:space="preserve">was </w:t>
      </w:r>
      <w:r w:rsidRPr="0051039E">
        <w:rPr>
          <w:lang w:val="en-GB" w:eastAsia="en-CA"/>
        </w:rPr>
        <w:t>undoubtedly</w:t>
      </w:r>
      <w:r w:rsidR="00810AE1">
        <w:rPr>
          <w:lang w:val="en-GB" w:eastAsia="en-CA"/>
        </w:rPr>
        <w:t xml:space="preserve"> expected to become</w:t>
      </w:r>
      <w:r w:rsidRPr="0051039E">
        <w:rPr>
          <w:lang w:val="en-GB" w:eastAsia="en-CA"/>
        </w:rPr>
        <w:t xml:space="preserve"> a much more competitive marketplace, with many new competitors</w:t>
      </w:r>
      <w:r w:rsidR="00810AE1">
        <w:rPr>
          <w:lang w:val="en-GB" w:eastAsia="en-CA"/>
        </w:rPr>
        <w:t xml:space="preserve"> entering the industry</w:t>
      </w:r>
      <w:r w:rsidRPr="0051039E">
        <w:rPr>
          <w:lang w:val="en-GB" w:eastAsia="en-CA"/>
        </w:rPr>
        <w:t xml:space="preserve">. </w:t>
      </w:r>
    </w:p>
    <w:p w14:paraId="7C6F5439" w14:textId="77777777" w:rsidR="00D751FB" w:rsidRPr="0051039E" w:rsidRDefault="00D751FB" w:rsidP="00D751FB">
      <w:pPr>
        <w:pStyle w:val="BodyTextMain"/>
        <w:rPr>
          <w:lang w:val="en-GB" w:eastAsia="en-CA"/>
        </w:rPr>
      </w:pPr>
    </w:p>
    <w:p w14:paraId="58C95D57" w14:textId="7B0A0C31" w:rsidR="00D751FB" w:rsidRPr="0051039E" w:rsidRDefault="00810AE1" w:rsidP="00D751FB">
      <w:pPr>
        <w:pStyle w:val="BodyTextMain"/>
        <w:rPr>
          <w:lang w:val="en-GB" w:eastAsia="en-CA"/>
        </w:rPr>
      </w:pPr>
      <w:r>
        <w:rPr>
          <w:lang w:val="en-GB" w:eastAsia="en-CA"/>
        </w:rPr>
        <w:t>H</w:t>
      </w:r>
      <w:r w:rsidR="00D751FB" w:rsidRPr="0051039E">
        <w:rPr>
          <w:lang w:val="en-GB" w:eastAsia="en-CA"/>
        </w:rPr>
        <w:t>ow and who would make money in the world of electric vehicles</w:t>
      </w:r>
      <w:r>
        <w:rPr>
          <w:lang w:val="en-GB" w:eastAsia="en-CA"/>
        </w:rPr>
        <w:t>?</w:t>
      </w:r>
      <w:r w:rsidR="00382558" w:rsidRPr="0051039E">
        <w:rPr>
          <w:lang w:val="en-GB" w:eastAsia="en-CA"/>
        </w:rPr>
        <w:t xml:space="preserve"> </w:t>
      </w:r>
      <w:r w:rsidR="00D751FB" w:rsidRPr="0051039E">
        <w:rPr>
          <w:lang w:val="en-GB" w:eastAsia="en-CA"/>
        </w:rPr>
        <w:t>How would this change impact traditional business models for vehicle manufacturers, parts manufacturers</w:t>
      </w:r>
      <w:r>
        <w:rPr>
          <w:lang w:val="en-GB" w:eastAsia="en-CA"/>
        </w:rPr>
        <w:t>,</w:t>
      </w:r>
      <w:r w:rsidR="00D751FB" w:rsidRPr="0051039E">
        <w:rPr>
          <w:lang w:val="en-GB" w:eastAsia="en-CA"/>
        </w:rPr>
        <w:t xml:space="preserve"> and dealer networks?</w:t>
      </w:r>
      <w:r w:rsidR="00382558" w:rsidRPr="0051039E">
        <w:rPr>
          <w:lang w:val="en-GB" w:eastAsia="en-CA"/>
        </w:rPr>
        <w:t xml:space="preserve"> </w:t>
      </w:r>
      <w:r w:rsidR="00D751FB" w:rsidRPr="0051039E">
        <w:rPr>
          <w:lang w:val="en-GB" w:eastAsia="en-CA"/>
        </w:rPr>
        <w:t>How would the new entrants build and support new distribution models and make them profitable?</w:t>
      </w:r>
    </w:p>
    <w:p w14:paraId="55FF0312" w14:textId="77777777" w:rsidR="00D751FB" w:rsidRPr="0051039E" w:rsidRDefault="00D751FB" w:rsidP="00D751FB">
      <w:pPr>
        <w:pStyle w:val="BodyTextMain"/>
        <w:rPr>
          <w:lang w:val="en-GB" w:eastAsia="en-CA"/>
        </w:rPr>
      </w:pPr>
    </w:p>
    <w:p w14:paraId="400EB450" w14:textId="5FD49591" w:rsidR="00D751FB" w:rsidRPr="0051039E" w:rsidRDefault="00D751FB" w:rsidP="00D751FB">
      <w:pPr>
        <w:pStyle w:val="BodyTextMain"/>
        <w:rPr>
          <w:rFonts w:eastAsia="Calibri"/>
          <w:lang w:val="en-GB"/>
        </w:rPr>
      </w:pPr>
      <w:r w:rsidRPr="0051039E">
        <w:rPr>
          <w:rFonts w:eastAsia="Calibri"/>
          <w:lang w:val="en-GB"/>
        </w:rPr>
        <w:t xml:space="preserve">The journey </w:t>
      </w:r>
      <w:r w:rsidR="00810AE1">
        <w:rPr>
          <w:rFonts w:eastAsia="Calibri"/>
          <w:lang w:val="en-GB"/>
        </w:rPr>
        <w:t>of transformation that</w:t>
      </w:r>
      <w:r w:rsidRPr="0051039E">
        <w:rPr>
          <w:rFonts w:eastAsia="Calibri"/>
          <w:lang w:val="en-GB"/>
        </w:rPr>
        <w:t xml:space="preserve"> Barra</w:t>
      </w:r>
      <w:r w:rsidR="00810AE1">
        <w:rPr>
          <w:rFonts w:eastAsia="Calibri"/>
          <w:lang w:val="en-GB"/>
        </w:rPr>
        <w:t>’s company</w:t>
      </w:r>
      <w:r w:rsidRPr="0051039E">
        <w:rPr>
          <w:rFonts w:eastAsia="Calibri"/>
          <w:lang w:val="en-GB"/>
        </w:rPr>
        <w:t xml:space="preserve"> was embarking on was unlike any other experienced in the past.</w:t>
      </w:r>
      <w:r w:rsidR="00382558" w:rsidRPr="0051039E">
        <w:rPr>
          <w:rFonts w:eastAsia="Calibri"/>
          <w:lang w:val="en-GB"/>
        </w:rPr>
        <w:t xml:space="preserve"> </w:t>
      </w:r>
      <w:r w:rsidRPr="0051039E">
        <w:rPr>
          <w:rFonts w:eastAsia="Calibri"/>
          <w:lang w:val="en-GB"/>
        </w:rPr>
        <w:t xml:space="preserve">Change had been a burden for a large company like GM. This </w:t>
      </w:r>
      <w:r w:rsidR="00810AE1">
        <w:rPr>
          <w:rFonts w:eastAsia="Calibri"/>
          <w:lang w:val="en-GB"/>
        </w:rPr>
        <w:t xml:space="preserve">scale of the industry’s </w:t>
      </w:r>
      <w:r w:rsidRPr="0051039E">
        <w:rPr>
          <w:rFonts w:eastAsia="Calibri"/>
          <w:lang w:val="en-GB"/>
        </w:rPr>
        <w:t xml:space="preserve">revolution was </w:t>
      </w:r>
      <w:r w:rsidR="00810AE1">
        <w:rPr>
          <w:rFonts w:eastAsia="Calibri"/>
          <w:lang w:val="en-GB"/>
        </w:rPr>
        <w:t>expected to be far more massive than ever before</w:t>
      </w:r>
      <w:r w:rsidRPr="0051039E">
        <w:rPr>
          <w:rFonts w:eastAsia="Calibri"/>
          <w:lang w:val="en-GB"/>
        </w:rPr>
        <w:t xml:space="preserve">. How would </w:t>
      </w:r>
      <w:r w:rsidR="00810AE1">
        <w:rPr>
          <w:rFonts w:eastAsia="Calibri"/>
          <w:lang w:val="en-GB"/>
        </w:rPr>
        <w:t>GM cope</w:t>
      </w:r>
      <w:r w:rsidRPr="0051039E">
        <w:rPr>
          <w:rFonts w:eastAsia="Calibri"/>
          <w:lang w:val="en-GB"/>
        </w:rPr>
        <w:t xml:space="preserve">? </w:t>
      </w:r>
    </w:p>
    <w:p w14:paraId="2C183161" w14:textId="7EDD1E27" w:rsidR="00D751FB" w:rsidRPr="0051039E" w:rsidRDefault="00D751FB">
      <w:pPr>
        <w:spacing w:after="200" w:line="276" w:lineRule="auto"/>
        <w:rPr>
          <w:sz w:val="22"/>
          <w:szCs w:val="22"/>
          <w:lang w:val="en-GB"/>
        </w:rPr>
      </w:pPr>
      <w:r w:rsidRPr="0051039E">
        <w:rPr>
          <w:lang w:val="en-GB"/>
        </w:rPr>
        <w:br w:type="page"/>
      </w:r>
    </w:p>
    <w:p w14:paraId="14D0D0AB" w14:textId="797ABCA1" w:rsidR="00D751FB" w:rsidRPr="0051039E" w:rsidRDefault="00D751FB" w:rsidP="00D751FB">
      <w:pPr>
        <w:pStyle w:val="ExhibitHeading"/>
        <w:rPr>
          <w:rFonts w:eastAsia="Calibri"/>
          <w:lang w:val="en-GB"/>
        </w:rPr>
      </w:pPr>
      <w:r w:rsidRPr="0051039E">
        <w:rPr>
          <w:rFonts w:eastAsia="Calibri"/>
          <w:lang w:val="en-GB"/>
        </w:rPr>
        <w:lastRenderedPageBreak/>
        <w:t>EXHIBIT 1: GENERAL MOTORS</w:t>
      </w:r>
      <w:r w:rsidR="009E558C">
        <w:rPr>
          <w:rFonts w:eastAsia="Calibri"/>
          <w:lang w:val="en-GB"/>
        </w:rPr>
        <w:t xml:space="preserve"> Company</w:t>
      </w:r>
      <w:r w:rsidRPr="0051039E">
        <w:rPr>
          <w:rFonts w:eastAsia="Calibri"/>
          <w:lang w:val="en-GB"/>
        </w:rPr>
        <w:t xml:space="preserve"> </w:t>
      </w:r>
      <w:r w:rsidR="00344194">
        <w:rPr>
          <w:rFonts w:eastAsia="Calibri"/>
          <w:lang w:val="en-GB"/>
        </w:rPr>
        <w:t xml:space="preserve">(GM) </w:t>
      </w:r>
      <w:r w:rsidRPr="0051039E">
        <w:rPr>
          <w:rFonts w:eastAsia="Calibri"/>
          <w:lang w:val="en-GB"/>
        </w:rPr>
        <w:t>2017 GLOBAL SALES</w:t>
      </w:r>
      <w:r w:rsidR="00072234" w:rsidRPr="0051039E">
        <w:rPr>
          <w:rFonts w:eastAsia="Calibri"/>
          <w:lang w:val="en-GB"/>
        </w:rPr>
        <w:t xml:space="preserve"> (in </w:t>
      </w:r>
      <w:r w:rsidR="009E558C">
        <w:rPr>
          <w:rFonts w:eastAsia="Calibri"/>
          <w:lang w:val="en-GB"/>
        </w:rPr>
        <w:t xml:space="preserve">US$ </w:t>
      </w:r>
      <w:r w:rsidR="00072234" w:rsidRPr="0051039E">
        <w:rPr>
          <w:rFonts w:eastAsia="Calibri"/>
          <w:lang w:val="en-GB"/>
        </w:rPr>
        <w:t>thousand)</w:t>
      </w:r>
    </w:p>
    <w:p w14:paraId="29E1FE6C" w14:textId="77777777" w:rsidR="00D751FB" w:rsidRPr="0051039E" w:rsidRDefault="00D751FB" w:rsidP="00D751FB">
      <w:pPr>
        <w:pStyle w:val="ExhibitText"/>
        <w:rPr>
          <w:rFonts w:eastAsia="Calibri"/>
          <w:lang w:val="en-GB"/>
        </w:rPr>
      </w:pPr>
    </w:p>
    <w:tbl>
      <w:tblPr>
        <w:tblW w:w="8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1005"/>
        <w:gridCol w:w="990"/>
        <w:gridCol w:w="1080"/>
        <w:gridCol w:w="1170"/>
        <w:gridCol w:w="900"/>
        <w:gridCol w:w="1080"/>
      </w:tblGrid>
      <w:tr w:rsidR="00E70A21" w:rsidRPr="0051039E" w14:paraId="01395E2F" w14:textId="77777777" w:rsidTr="00E70A21">
        <w:trPr>
          <w:trHeight w:val="80"/>
          <w:jc w:val="center"/>
        </w:trPr>
        <w:tc>
          <w:tcPr>
            <w:tcW w:w="2405" w:type="dxa"/>
            <w:vMerge w:val="restart"/>
            <w:shd w:val="clear" w:color="auto" w:fill="auto"/>
            <w:noWrap/>
            <w:vAlign w:val="bottom"/>
            <w:hideMark/>
          </w:tcPr>
          <w:p w14:paraId="0AC17BB6" w14:textId="77777777" w:rsidR="00E70A21" w:rsidRPr="0051039E" w:rsidRDefault="00E70A21" w:rsidP="00D751FB">
            <w:pPr>
              <w:pStyle w:val="ExhibitText"/>
              <w:rPr>
                <w:lang w:val="en-GB"/>
              </w:rPr>
            </w:pPr>
            <w:r w:rsidRPr="0051039E">
              <w:rPr>
                <w:lang w:val="en-GB"/>
              </w:rPr>
              <w:t> </w:t>
            </w:r>
          </w:p>
          <w:p w14:paraId="5DEA47F4" w14:textId="3BB3AA9E" w:rsidR="00E70A21" w:rsidRPr="0051039E" w:rsidRDefault="00E70A21" w:rsidP="00D751FB">
            <w:pPr>
              <w:pStyle w:val="ExhibitText"/>
              <w:rPr>
                <w:lang w:val="en-GB"/>
              </w:rPr>
            </w:pPr>
            <w:r w:rsidRPr="0051039E">
              <w:rPr>
                <w:lang w:val="en-GB"/>
              </w:rPr>
              <w:t> </w:t>
            </w:r>
          </w:p>
        </w:tc>
        <w:tc>
          <w:tcPr>
            <w:tcW w:w="6225" w:type="dxa"/>
            <w:gridSpan w:val="6"/>
            <w:shd w:val="clear" w:color="auto" w:fill="auto"/>
            <w:noWrap/>
            <w:vAlign w:val="center"/>
            <w:hideMark/>
          </w:tcPr>
          <w:p w14:paraId="7FD749DB" w14:textId="74A36E56" w:rsidR="00E70A21" w:rsidRPr="0051039E" w:rsidRDefault="00E70A21" w:rsidP="00D751FB">
            <w:pPr>
              <w:pStyle w:val="ExhibitText"/>
              <w:jc w:val="center"/>
              <w:rPr>
                <w:b/>
                <w:lang w:val="en-GB"/>
              </w:rPr>
            </w:pPr>
            <w:r w:rsidRPr="0051039E">
              <w:rPr>
                <w:b/>
                <w:lang w:val="en-GB"/>
              </w:rPr>
              <w:t>Year Ended December 31</w:t>
            </w:r>
          </w:p>
        </w:tc>
      </w:tr>
      <w:tr w:rsidR="00E70A21" w:rsidRPr="0051039E" w14:paraId="4C71BF05" w14:textId="77777777" w:rsidTr="00E70A21">
        <w:trPr>
          <w:trHeight w:val="56"/>
          <w:jc w:val="center"/>
        </w:trPr>
        <w:tc>
          <w:tcPr>
            <w:tcW w:w="2405" w:type="dxa"/>
            <w:vMerge/>
            <w:shd w:val="clear" w:color="auto" w:fill="auto"/>
            <w:noWrap/>
            <w:vAlign w:val="bottom"/>
            <w:hideMark/>
          </w:tcPr>
          <w:p w14:paraId="10DEDBDD" w14:textId="44018E6B" w:rsidR="00E70A21" w:rsidRPr="0051039E" w:rsidRDefault="00E70A21" w:rsidP="00D751FB">
            <w:pPr>
              <w:pStyle w:val="ExhibitText"/>
              <w:rPr>
                <w:lang w:val="en-GB"/>
              </w:rPr>
            </w:pPr>
          </w:p>
        </w:tc>
        <w:tc>
          <w:tcPr>
            <w:tcW w:w="3075" w:type="dxa"/>
            <w:gridSpan w:val="3"/>
            <w:shd w:val="clear" w:color="auto" w:fill="auto"/>
            <w:noWrap/>
            <w:vAlign w:val="center"/>
            <w:hideMark/>
          </w:tcPr>
          <w:p w14:paraId="50A555E6" w14:textId="77777777" w:rsidR="00E70A21" w:rsidRPr="0051039E" w:rsidRDefault="00E70A21" w:rsidP="00D751FB">
            <w:pPr>
              <w:pStyle w:val="ExhibitText"/>
              <w:jc w:val="center"/>
              <w:rPr>
                <w:b/>
                <w:lang w:val="en-GB"/>
              </w:rPr>
            </w:pPr>
            <w:r w:rsidRPr="0051039E">
              <w:rPr>
                <w:b/>
                <w:lang w:val="en-GB"/>
              </w:rPr>
              <w:t>2018</w:t>
            </w:r>
          </w:p>
        </w:tc>
        <w:tc>
          <w:tcPr>
            <w:tcW w:w="3150" w:type="dxa"/>
            <w:gridSpan w:val="3"/>
            <w:shd w:val="clear" w:color="auto" w:fill="auto"/>
            <w:noWrap/>
            <w:vAlign w:val="center"/>
            <w:hideMark/>
          </w:tcPr>
          <w:p w14:paraId="71DD28C3" w14:textId="77777777" w:rsidR="00E70A21" w:rsidRPr="0051039E" w:rsidRDefault="00E70A21" w:rsidP="00D751FB">
            <w:pPr>
              <w:pStyle w:val="ExhibitText"/>
              <w:jc w:val="center"/>
              <w:rPr>
                <w:b/>
                <w:lang w:val="en-GB"/>
              </w:rPr>
            </w:pPr>
            <w:r w:rsidRPr="0051039E">
              <w:rPr>
                <w:b/>
                <w:lang w:val="en-GB"/>
              </w:rPr>
              <w:t>2017</w:t>
            </w:r>
          </w:p>
        </w:tc>
      </w:tr>
      <w:tr w:rsidR="00D751FB" w:rsidRPr="0051039E" w14:paraId="666A5F5F" w14:textId="77777777" w:rsidTr="00E70A21">
        <w:trPr>
          <w:trHeight w:val="340"/>
          <w:jc w:val="center"/>
        </w:trPr>
        <w:tc>
          <w:tcPr>
            <w:tcW w:w="2405" w:type="dxa"/>
            <w:shd w:val="clear" w:color="auto" w:fill="auto"/>
            <w:vAlign w:val="bottom"/>
            <w:hideMark/>
          </w:tcPr>
          <w:p w14:paraId="42B9F829" w14:textId="77777777" w:rsidR="00D751FB" w:rsidRPr="0051039E" w:rsidRDefault="00D751FB" w:rsidP="00D751FB">
            <w:pPr>
              <w:pStyle w:val="ExhibitText"/>
              <w:rPr>
                <w:lang w:val="en-GB"/>
              </w:rPr>
            </w:pPr>
            <w:r w:rsidRPr="0051039E">
              <w:rPr>
                <w:lang w:val="en-GB"/>
              </w:rPr>
              <w:t> </w:t>
            </w:r>
          </w:p>
        </w:tc>
        <w:tc>
          <w:tcPr>
            <w:tcW w:w="1005" w:type="dxa"/>
            <w:shd w:val="clear" w:color="auto" w:fill="auto"/>
            <w:vAlign w:val="center"/>
            <w:hideMark/>
          </w:tcPr>
          <w:p w14:paraId="73721276" w14:textId="77777777" w:rsidR="00D751FB" w:rsidRPr="0051039E" w:rsidRDefault="00D751FB" w:rsidP="00D751FB">
            <w:pPr>
              <w:pStyle w:val="ExhibitText"/>
              <w:jc w:val="center"/>
              <w:rPr>
                <w:b/>
                <w:lang w:val="en-GB"/>
              </w:rPr>
            </w:pPr>
            <w:r w:rsidRPr="0051039E">
              <w:rPr>
                <w:b/>
                <w:lang w:val="en-GB"/>
              </w:rPr>
              <w:t>Industry</w:t>
            </w:r>
          </w:p>
        </w:tc>
        <w:tc>
          <w:tcPr>
            <w:tcW w:w="990" w:type="dxa"/>
            <w:shd w:val="clear" w:color="auto" w:fill="auto"/>
            <w:vAlign w:val="center"/>
            <w:hideMark/>
          </w:tcPr>
          <w:p w14:paraId="7A3B2356" w14:textId="77777777" w:rsidR="00D751FB" w:rsidRPr="0051039E" w:rsidRDefault="00D751FB" w:rsidP="00D751FB">
            <w:pPr>
              <w:pStyle w:val="ExhibitText"/>
              <w:jc w:val="center"/>
              <w:rPr>
                <w:b/>
                <w:lang w:val="en-GB"/>
              </w:rPr>
            </w:pPr>
            <w:r w:rsidRPr="0051039E">
              <w:rPr>
                <w:b/>
                <w:lang w:val="en-GB"/>
              </w:rPr>
              <w:t>GM</w:t>
            </w:r>
          </w:p>
        </w:tc>
        <w:tc>
          <w:tcPr>
            <w:tcW w:w="1080" w:type="dxa"/>
            <w:shd w:val="clear" w:color="auto" w:fill="auto"/>
            <w:vAlign w:val="center"/>
            <w:hideMark/>
          </w:tcPr>
          <w:p w14:paraId="49C79ECA" w14:textId="77777777" w:rsidR="00D751FB" w:rsidRPr="0051039E" w:rsidRDefault="00D751FB" w:rsidP="00D751FB">
            <w:pPr>
              <w:pStyle w:val="ExhibitText"/>
              <w:jc w:val="center"/>
              <w:rPr>
                <w:b/>
                <w:lang w:val="en-GB"/>
              </w:rPr>
            </w:pPr>
            <w:r w:rsidRPr="0051039E">
              <w:rPr>
                <w:b/>
                <w:lang w:val="en-GB"/>
              </w:rPr>
              <w:t>Market Share</w:t>
            </w:r>
          </w:p>
        </w:tc>
        <w:tc>
          <w:tcPr>
            <w:tcW w:w="1170" w:type="dxa"/>
            <w:shd w:val="clear" w:color="auto" w:fill="auto"/>
            <w:vAlign w:val="center"/>
            <w:hideMark/>
          </w:tcPr>
          <w:p w14:paraId="0A2391AA" w14:textId="77777777" w:rsidR="00D751FB" w:rsidRPr="0051039E" w:rsidRDefault="00D751FB" w:rsidP="00D751FB">
            <w:pPr>
              <w:pStyle w:val="ExhibitText"/>
              <w:jc w:val="center"/>
              <w:rPr>
                <w:b/>
                <w:lang w:val="en-GB"/>
              </w:rPr>
            </w:pPr>
            <w:r w:rsidRPr="0051039E">
              <w:rPr>
                <w:b/>
                <w:lang w:val="en-GB"/>
              </w:rPr>
              <w:t>Industry</w:t>
            </w:r>
          </w:p>
        </w:tc>
        <w:tc>
          <w:tcPr>
            <w:tcW w:w="900" w:type="dxa"/>
            <w:shd w:val="clear" w:color="auto" w:fill="auto"/>
            <w:vAlign w:val="center"/>
            <w:hideMark/>
          </w:tcPr>
          <w:p w14:paraId="1197D7EA" w14:textId="77777777" w:rsidR="00D751FB" w:rsidRPr="0051039E" w:rsidRDefault="00D751FB" w:rsidP="00D751FB">
            <w:pPr>
              <w:pStyle w:val="ExhibitText"/>
              <w:jc w:val="center"/>
              <w:rPr>
                <w:b/>
                <w:lang w:val="en-GB"/>
              </w:rPr>
            </w:pPr>
            <w:r w:rsidRPr="0051039E">
              <w:rPr>
                <w:b/>
                <w:lang w:val="en-GB"/>
              </w:rPr>
              <w:t>GM</w:t>
            </w:r>
          </w:p>
        </w:tc>
        <w:tc>
          <w:tcPr>
            <w:tcW w:w="1080" w:type="dxa"/>
            <w:shd w:val="clear" w:color="auto" w:fill="auto"/>
            <w:vAlign w:val="center"/>
            <w:hideMark/>
          </w:tcPr>
          <w:p w14:paraId="0942E57B" w14:textId="77777777" w:rsidR="00D751FB" w:rsidRPr="0051039E" w:rsidRDefault="00D751FB" w:rsidP="00D751FB">
            <w:pPr>
              <w:pStyle w:val="ExhibitText"/>
              <w:jc w:val="center"/>
              <w:rPr>
                <w:b/>
                <w:lang w:val="en-GB"/>
              </w:rPr>
            </w:pPr>
            <w:r w:rsidRPr="0051039E">
              <w:rPr>
                <w:b/>
                <w:lang w:val="en-GB"/>
              </w:rPr>
              <w:t>Market Share</w:t>
            </w:r>
          </w:p>
        </w:tc>
      </w:tr>
      <w:tr w:rsidR="00D751FB" w:rsidRPr="0051039E" w14:paraId="77139AA8" w14:textId="77777777" w:rsidTr="00E70A21">
        <w:trPr>
          <w:trHeight w:val="320"/>
          <w:jc w:val="center"/>
        </w:trPr>
        <w:tc>
          <w:tcPr>
            <w:tcW w:w="2405" w:type="dxa"/>
            <w:shd w:val="clear" w:color="auto" w:fill="auto"/>
            <w:noWrap/>
            <w:vAlign w:val="center"/>
            <w:hideMark/>
          </w:tcPr>
          <w:p w14:paraId="19D9A87D" w14:textId="77777777" w:rsidR="00D751FB" w:rsidRPr="00E70A21" w:rsidRDefault="00D751FB" w:rsidP="00D751FB">
            <w:pPr>
              <w:pStyle w:val="ExhibitText"/>
              <w:jc w:val="left"/>
              <w:rPr>
                <w:b/>
                <w:lang w:val="en-GB"/>
              </w:rPr>
            </w:pPr>
            <w:r w:rsidRPr="00E70A21">
              <w:rPr>
                <w:b/>
                <w:lang w:val="en-GB"/>
              </w:rPr>
              <w:t>North America</w:t>
            </w:r>
          </w:p>
        </w:tc>
        <w:tc>
          <w:tcPr>
            <w:tcW w:w="1005" w:type="dxa"/>
            <w:shd w:val="clear" w:color="auto" w:fill="auto"/>
            <w:noWrap/>
            <w:vAlign w:val="bottom"/>
            <w:hideMark/>
          </w:tcPr>
          <w:p w14:paraId="4E21893E" w14:textId="77777777" w:rsidR="00D751FB" w:rsidRPr="0051039E" w:rsidRDefault="00D751FB" w:rsidP="00D751FB">
            <w:pPr>
              <w:pStyle w:val="ExhibitText"/>
              <w:rPr>
                <w:lang w:val="en-GB"/>
              </w:rPr>
            </w:pPr>
            <w:r w:rsidRPr="0051039E">
              <w:rPr>
                <w:lang w:val="en-GB"/>
              </w:rPr>
              <w:t> </w:t>
            </w:r>
          </w:p>
        </w:tc>
        <w:tc>
          <w:tcPr>
            <w:tcW w:w="990" w:type="dxa"/>
            <w:shd w:val="clear" w:color="auto" w:fill="auto"/>
            <w:noWrap/>
            <w:vAlign w:val="bottom"/>
            <w:hideMark/>
          </w:tcPr>
          <w:p w14:paraId="779AF473" w14:textId="77777777" w:rsidR="00D751FB" w:rsidRPr="0051039E" w:rsidRDefault="00D751FB" w:rsidP="00D751FB">
            <w:pPr>
              <w:pStyle w:val="ExhibitText"/>
              <w:rPr>
                <w:lang w:val="en-GB"/>
              </w:rPr>
            </w:pPr>
          </w:p>
        </w:tc>
        <w:tc>
          <w:tcPr>
            <w:tcW w:w="1080" w:type="dxa"/>
            <w:shd w:val="clear" w:color="auto" w:fill="auto"/>
            <w:noWrap/>
            <w:vAlign w:val="bottom"/>
            <w:hideMark/>
          </w:tcPr>
          <w:p w14:paraId="0EA0D352" w14:textId="77777777" w:rsidR="00D751FB" w:rsidRPr="0051039E" w:rsidRDefault="00D751FB" w:rsidP="00D751FB">
            <w:pPr>
              <w:pStyle w:val="ExhibitText"/>
              <w:rPr>
                <w:lang w:val="en-GB"/>
              </w:rPr>
            </w:pPr>
          </w:p>
        </w:tc>
        <w:tc>
          <w:tcPr>
            <w:tcW w:w="1170" w:type="dxa"/>
            <w:shd w:val="clear" w:color="auto" w:fill="auto"/>
            <w:noWrap/>
            <w:vAlign w:val="bottom"/>
            <w:hideMark/>
          </w:tcPr>
          <w:p w14:paraId="4AD7A7DC" w14:textId="77777777" w:rsidR="00D751FB" w:rsidRPr="0051039E" w:rsidRDefault="00D751FB" w:rsidP="00D751FB">
            <w:pPr>
              <w:pStyle w:val="ExhibitText"/>
              <w:rPr>
                <w:lang w:val="en-GB"/>
              </w:rPr>
            </w:pPr>
            <w:r w:rsidRPr="0051039E">
              <w:rPr>
                <w:lang w:val="en-GB"/>
              </w:rPr>
              <w:t> </w:t>
            </w:r>
          </w:p>
        </w:tc>
        <w:tc>
          <w:tcPr>
            <w:tcW w:w="900" w:type="dxa"/>
            <w:shd w:val="clear" w:color="auto" w:fill="auto"/>
            <w:noWrap/>
            <w:vAlign w:val="bottom"/>
            <w:hideMark/>
          </w:tcPr>
          <w:p w14:paraId="4E4F902B" w14:textId="77777777" w:rsidR="00D751FB" w:rsidRPr="0051039E" w:rsidRDefault="00D751FB" w:rsidP="00D751FB">
            <w:pPr>
              <w:pStyle w:val="ExhibitText"/>
              <w:rPr>
                <w:lang w:val="en-GB"/>
              </w:rPr>
            </w:pPr>
          </w:p>
        </w:tc>
        <w:tc>
          <w:tcPr>
            <w:tcW w:w="1080" w:type="dxa"/>
            <w:shd w:val="clear" w:color="auto" w:fill="auto"/>
            <w:noWrap/>
            <w:vAlign w:val="bottom"/>
            <w:hideMark/>
          </w:tcPr>
          <w:p w14:paraId="5D5A9504" w14:textId="77777777" w:rsidR="00D751FB" w:rsidRPr="0051039E" w:rsidRDefault="00D751FB" w:rsidP="00D751FB">
            <w:pPr>
              <w:pStyle w:val="ExhibitText"/>
              <w:rPr>
                <w:lang w:val="en-GB"/>
              </w:rPr>
            </w:pPr>
            <w:r w:rsidRPr="0051039E">
              <w:rPr>
                <w:lang w:val="en-GB"/>
              </w:rPr>
              <w:t> </w:t>
            </w:r>
          </w:p>
        </w:tc>
      </w:tr>
      <w:tr w:rsidR="00D751FB" w:rsidRPr="0051039E" w14:paraId="04164B97" w14:textId="77777777" w:rsidTr="00E70A21">
        <w:trPr>
          <w:trHeight w:val="320"/>
          <w:jc w:val="center"/>
        </w:trPr>
        <w:tc>
          <w:tcPr>
            <w:tcW w:w="2405" w:type="dxa"/>
            <w:shd w:val="clear" w:color="auto" w:fill="auto"/>
            <w:noWrap/>
            <w:vAlign w:val="center"/>
            <w:hideMark/>
          </w:tcPr>
          <w:p w14:paraId="462127ED" w14:textId="5EF728A6" w:rsidR="00D751FB" w:rsidRPr="0051039E" w:rsidRDefault="00D751FB" w:rsidP="00D751FB">
            <w:pPr>
              <w:pStyle w:val="ExhibitText"/>
              <w:jc w:val="left"/>
              <w:rPr>
                <w:lang w:val="en-GB"/>
              </w:rPr>
            </w:pPr>
            <w:r w:rsidRPr="0051039E">
              <w:rPr>
                <w:lang w:val="en-GB"/>
              </w:rPr>
              <w:t>United States</w:t>
            </w:r>
          </w:p>
        </w:tc>
        <w:tc>
          <w:tcPr>
            <w:tcW w:w="1005" w:type="dxa"/>
            <w:shd w:val="clear" w:color="auto" w:fill="auto"/>
            <w:noWrap/>
            <w:vAlign w:val="center"/>
            <w:hideMark/>
          </w:tcPr>
          <w:p w14:paraId="0105838C" w14:textId="77777777" w:rsidR="00D751FB" w:rsidRPr="0051039E" w:rsidRDefault="00D751FB" w:rsidP="00D751FB">
            <w:pPr>
              <w:pStyle w:val="ExhibitText"/>
              <w:jc w:val="right"/>
              <w:rPr>
                <w:lang w:val="en-GB"/>
              </w:rPr>
            </w:pPr>
            <w:r w:rsidRPr="0051039E">
              <w:rPr>
                <w:lang w:val="en-GB"/>
              </w:rPr>
              <w:t>17,694</w:t>
            </w:r>
          </w:p>
        </w:tc>
        <w:tc>
          <w:tcPr>
            <w:tcW w:w="990" w:type="dxa"/>
            <w:shd w:val="clear" w:color="auto" w:fill="auto"/>
            <w:noWrap/>
            <w:vAlign w:val="center"/>
            <w:hideMark/>
          </w:tcPr>
          <w:p w14:paraId="4B943A2C" w14:textId="77777777" w:rsidR="00D751FB" w:rsidRPr="0051039E" w:rsidRDefault="00D751FB" w:rsidP="00D751FB">
            <w:pPr>
              <w:pStyle w:val="ExhibitText"/>
              <w:jc w:val="right"/>
              <w:rPr>
                <w:lang w:val="en-GB"/>
              </w:rPr>
            </w:pPr>
            <w:r w:rsidRPr="0051039E">
              <w:rPr>
                <w:lang w:val="en-GB"/>
              </w:rPr>
              <w:t>2,954</w:t>
            </w:r>
          </w:p>
        </w:tc>
        <w:tc>
          <w:tcPr>
            <w:tcW w:w="1080" w:type="dxa"/>
            <w:shd w:val="clear" w:color="auto" w:fill="auto"/>
            <w:noWrap/>
            <w:vAlign w:val="center"/>
            <w:hideMark/>
          </w:tcPr>
          <w:p w14:paraId="10887930" w14:textId="77777777" w:rsidR="00D751FB" w:rsidRPr="0051039E" w:rsidRDefault="00D751FB" w:rsidP="00D751FB">
            <w:pPr>
              <w:pStyle w:val="ExhibitText"/>
              <w:jc w:val="right"/>
              <w:rPr>
                <w:lang w:val="en-GB"/>
              </w:rPr>
            </w:pPr>
            <w:r w:rsidRPr="0051039E">
              <w:rPr>
                <w:lang w:val="en-GB"/>
              </w:rPr>
              <w:t>16.7%</w:t>
            </w:r>
          </w:p>
        </w:tc>
        <w:tc>
          <w:tcPr>
            <w:tcW w:w="1170" w:type="dxa"/>
            <w:shd w:val="clear" w:color="auto" w:fill="auto"/>
            <w:noWrap/>
            <w:vAlign w:val="center"/>
            <w:hideMark/>
          </w:tcPr>
          <w:p w14:paraId="5E9DE527" w14:textId="77777777" w:rsidR="00D751FB" w:rsidRPr="0051039E" w:rsidRDefault="00D751FB" w:rsidP="00D751FB">
            <w:pPr>
              <w:pStyle w:val="ExhibitText"/>
              <w:jc w:val="right"/>
              <w:rPr>
                <w:lang w:val="en-GB"/>
              </w:rPr>
            </w:pPr>
            <w:r w:rsidRPr="0051039E">
              <w:rPr>
                <w:lang w:val="en-GB"/>
              </w:rPr>
              <w:t>17,567</w:t>
            </w:r>
          </w:p>
        </w:tc>
        <w:tc>
          <w:tcPr>
            <w:tcW w:w="900" w:type="dxa"/>
            <w:shd w:val="clear" w:color="auto" w:fill="auto"/>
            <w:noWrap/>
            <w:vAlign w:val="center"/>
            <w:hideMark/>
          </w:tcPr>
          <w:p w14:paraId="6A6CE447" w14:textId="77777777" w:rsidR="00D751FB" w:rsidRPr="0051039E" w:rsidRDefault="00D751FB" w:rsidP="00D751FB">
            <w:pPr>
              <w:pStyle w:val="ExhibitText"/>
              <w:jc w:val="right"/>
              <w:rPr>
                <w:lang w:val="en-GB"/>
              </w:rPr>
            </w:pPr>
            <w:r w:rsidRPr="0051039E">
              <w:rPr>
                <w:lang w:val="en-GB"/>
              </w:rPr>
              <w:t>3,002</w:t>
            </w:r>
          </w:p>
        </w:tc>
        <w:tc>
          <w:tcPr>
            <w:tcW w:w="1080" w:type="dxa"/>
            <w:shd w:val="clear" w:color="auto" w:fill="auto"/>
            <w:noWrap/>
            <w:vAlign w:val="center"/>
            <w:hideMark/>
          </w:tcPr>
          <w:p w14:paraId="6E7E7333" w14:textId="77777777" w:rsidR="00D751FB" w:rsidRPr="0051039E" w:rsidRDefault="00D751FB" w:rsidP="00D751FB">
            <w:pPr>
              <w:pStyle w:val="ExhibitText"/>
              <w:jc w:val="right"/>
              <w:rPr>
                <w:lang w:val="en-GB"/>
              </w:rPr>
            </w:pPr>
            <w:r w:rsidRPr="0051039E">
              <w:rPr>
                <w:lang w:val="en-GB"/>
              </w:rPr>
              <w:t>17.1%</w:t>
            </w:r>
          </w:p>
        </w:tc>
      </w:tr>
      <w:tr w:rsidR="00D751FB" w:rsidRPr="0051039E" w14:paraId="467F8F9B" w14:textId="77777777" w:rsidTr="00E70A21">
        <w:trPr>
          <w:trHeight w:val="320"/>
          <w:jc w:val="center"/>
        </w:trPr>
        <w:tc>
          <w:tcPr>
            <w:tcW w:w="2405" w:type="dxa"/>
            <w:shd w:val="clear" w:color="auto" w:fill="auto"/>
            <w:noWrap/>
            <w:vAlign w:val="center"/>
            <w:hideMark/>
          </w:tcPr>
          <w:p w14:paraId="665E8E3C" w14:textId="4ADF5314" w:rsidR="00D751FB" w:rsidRPr="0051039E" w:rsidRDefault="00D751FB" w:rsidP="00D751FB">
            <w:pPr>
              <w:pStyle w:val="ExhibitText"/>
              <w:jc w:val="left"/>
              <w:rPr>
                <w:lang w:val="en-GB"/>
              </w:rPr>
            </w:pPr>
            <w:r w:rsidRPr="0051039E">
              <w:rPr>
                <w:lang w:val="en-GB"/>
              </w:rPr>
              <w:t>Other</w:t>
            </w:r>
          </w:p>
        </w:tc>
        <w:tc>
          <w:tcPr>
            <w:tcW w:w="1005" w:type="dxa"/>
            <w:shd w:val="clear" w:color="auto" w:fill="auto"/>
            <w:noWrap/>
            <w:vAlign w:val="center"/>
            <w:hideMark/>
          </w:tcPr>
          <w:p w14:paraId="54837E58" w14:textId="77777777" w:rsidR="00D751FB" w:rsidRPr="0051039E" w:rsidRDefault="00D751FB" w:rsidP="00D751FB">
            <w:pPr>
              <w:pStyle w:val="ExhibitText"/>
              <w:jc w:val="right"/>
              <w:rPr>
                <w:lang w:val="en-GB"/>
              </w:rPr>
            </w:pPr>
            <w:r w:rsidRPr="0051039E">
              <w:rPr>
                <w:lang w:val="en-GB"/>
              </w:rPr>
              <w:t>3,835</w:t>
            </w:r>
          </w:p>
        </w:tc>
        <w:tc>
          <w:tcPr>
            <w:tcW w:w="990" w:type="dxa"/>
            <w:shd w:val="clear" w:color="auto" w:fill="auto"/>
            <w:noWrap/>
            <w:vAlign w:val="center"/>
            <w:hideMark/>
          </w:tcPr>
          <w:p w14:paraId="5392DB0C" w14:textId="77777777" w:rsidR="00D751FB" w:rsidRPr="0051039E" w:rsidRDefault="00D751FB" w:rsidP="00D751FB">
            <w:pPr>
              <w:pStyle w:val="ExhibitText"/>
              <w:jc w:val="right"/>
              <w:rPr>
                <w:lang w:val="en-GB"/>
              </w:rPr>
            </w:pPr>
            <w:r w:rsidRPr="0051039E">
              <w:rPr>
                <w:lang w:val="en-GB"/>
              </w:rPr>
              <w:t>536</w:t>
            </w:r>
          </w:p>
        </w:tc>
        <w:tc>
          <w:tcPr>
            <w:tcW w:w="1080" w:type="dxa"/>
            <w:shd w:val="clear" w:color="auto" w:fill="auto"/>
            <w:noWrap/>
            <w:vAlign w:val="center"/>
            <w:hideMark/>
          </w:tcPr>
          <w:p w14:paraId="43EA3679" w14:textId="77777777" w:rsidR="00D751FB" w:rsidRPr="0051039E" w:rsidRDefault="00D751FB" w:rsidP="00D751FB">
            <w:pPr>
              <w:pStyle w:val="ExhibitText"/>
              <w:jc w:val="right"/>
              <w:rPr>
                <w:lang w:val="en-GB"/>
              </w:rPr>
            </w:pPr>
            <w:r w:rsidRPr="0051039E">
              <w:rPr>
                <w:lang w:val="en-GB"/>
              </w:rPr>
              <w:t>14.0%</w:t>
            </w:r>
          </w:p>
        </w:tc>
        <w:tc>
          <w:tcPr>
            <w:tcW w:w="1170" w:type="dxa"/>
            <w:shd w:val="clear" w:color="auto" w:fill="auto"/>
            <w:noWrap/>
            <w:vAlign w:val="center"/>
            <w:hideMark/>
          </w:tcPr>
          <w:p w14:paraId="0B389501" w14:textId="77777777" w:rsidR="00D751FB" w:rsidRPr="0051039E" w:rsidRDefault="00D751FB" w:rsidP="00D751FB">
            <w:pPr>
              <w:pStyle w:val="ExhibitText"/>
              <w:jc w:val="right"/>
              <w:rPr>
                <w:lang w:val="en-GB"/>
              </w:rPr>
            </w:pPr>
            <w:r w:rsidRPr="0051039E">
              <w:rPr>
                <w:lang w:val="en-GB"/>
              </w:rPr>
              <w:t>3,981</w:t>
            </w:r>
          </w:p>
        </w:tc>
        <w:tc>
          <w:tcPr>
            <w:tcW w:w="900" w:type="dxa"/>
            <w:shd w:val="clear" w:color="auto" w:fill="auto"/>
            <w:noWrap/>
            <w:vAlign w:val="center"/>
            <w:hideMark/>
          </w:tcPr>
          <w:p w14:paraId="14B90110" w14:textId="77777777" w:rsidR="00D751FB" w:rsidRPr="0051039E" w:rsidRDefault="00D751FB" w:rsidP="00D751FB">
            <w:pPr>
              <w:pStyle w:val="ExhibitText"/>
              <w:jc w:val="right"/>
              <w:rPr>
                <w:lang w:val="en-GB"/>
              </w:rPr>
            </w:pPr>
            <w:r w:rsidRPr="0051039E">
              <w:rPr>
                <w:lang w:val="en-GB"/>
              </w:rPr>
              <w:t>574</w:t>
            </w:r>
          </w:p>
        </w:tc>
        <w:tc>
          <w:tcPr>
            <w:tcW w:w="1080" w:type="dxa"/>
            <w:shd w:val="clear" w:color="auto" w:fill="auto"/>
            <w:noWrap/>
            <w:vAlign w:val="center"/>
            <w:hideMark/>
          </w:tcPr>
          <w:p w14:paraId="186A710C" w14:textId="77777777" w:rsidR="00D751FB" w:rsidRPr="0051039E" w:rsidRDefault="00D751FB" w:rsidP="00D751FB">
            <w:pPr>
              <w:pStyle w:val="ExhibitText"/>
              <w:jc w:val="right"/>
              <w:rPr>
                <w:lang w:val="en-GB"/>
              </w:rPr>
            </w:pPr>
            <w:r w:rsidRPr="0051039E">
              <w:rPr>
                <w:lang w:val="en-GB"/>
              </w:rPr>
              <w:t>14.4%</w:t>
            </w:r>
          </w:p>
        </w:tc>
      </w:tr>
      <w:tr w:rsidR="00D751FB" w:rsidRPr="0051039E" w14:paraId="48EA1D88" w14:textId="77777777" w:rsidTr="00E70A21">
        <w:trPr>
          <w:trHeight w:val="320"/>
          <w:jc w:val="center"/>
        </w:trPr>
        <w:tc>
          <w:tcPr>
            <w:tcW w:w="2405" w:type="dxa"/>
            <w:shd w:val="clear" w:color="auto" w:fill="auto"/>
            <w:noWrap/>
            <w:vAlign w:val="center"/>
            <w:hideMark/>
          </w:tcPr>
          <w:p w14:paraId="26B51AA1" w14:textId="7482F9E2" w:rsidR="00D751FB" w:rsidRPr="0051039E" w:rsidRDefault="00D751FB" w:rsidP="00D751FB">
            <w:pPr>
              <w:pStyle w:val="ExhibitText"/>
              <w:jc w:val="left"/>
              <w:rPr>
                <w:lang w:val="en-GB"/>
              </w:rPr>
            </w:pPr>
            <w:r w:rsidRPr="0051039E">
              <w:rPr>
                <w:lang w:val="en-GB"/>
              </w:rPr>
              <w:t>Total</w:t>
            </w:r>
          </w:p>
        </w:tc>
        <w:tc>
          <w:tcPr>
            <w:tcW w:w="1005" w:type="dxa"/>
            <w:shd w:val="clear" w:color="auto" w:fill="auto"/>
            <w:noWrap/>
            <w:vAlign w:val="center"/>
            <w:hideMark/>
          </w:tcPr>
          <w:p w14:paraId="0CCB6CDB" w14:textId="77777777" w:rsidR="00D751FB" w:rsidRPr="0051039E" w:rsidRDefault="00D751FB" w:rsidP="00D751FB">
            <w:pPr>
              <w:pStyle w:val="ExhibitText"/>
              <w:jc w:val="right"/>
              <w:rPr>
                <w:lang w:val="en-GB"/>
              </w:rPr>
            </w:pPr>
            <w:r w:rsidRPr="0051039E">
              <w:rPr>
                <w:lang w:val="en-GB"/>
              </w:rPr>
              <w:t>21,529</w:t>
            </w:r>
          </w:p>
        </w:tc>
        <w:tc>
          <w:tcPr>
            <w:tcW w:w="990" w:type="dxa"/>
            <w:shd w:val="clear" w:color="auto" w:fill="auto"/>
            <w:noWrap/>
            <w:vAlign w:val="center"/>
            <w:hideMark/>
          </w:tcPr>
          <w:p w14:paraId="731BC348" w14:textId="77777777" w:rsidR="00D751FB" w:rsidRPr="0051039E" w:rsidRDefault="00D751FB" w:rsidP="00D751FB">
            <w:pPr>
              <w:pStyle w:val="ExhibitText"/>
              <w:jc w:val="right"/>
              <w:rPr>
                <w:lang w:val="en-GB"/>
              </w:rPr>
            </w:pPr>
            <w:r w:rsidRPr="0051039E">
              <w:rPr>
                <w:lang w:val="en-GB"/>
              </w:rPr>
              <w:t>3,490</w:t>
            </w:r>
          </w:p>
        </w:tc>
        <w:tc>
          <w:tcPr>
            <w:tcW w:w="1080" w:type="dxa"/>
            <w:shd w:val="clear" w:color="auto" w:fill="auto"/>
            <w:noWrap/>
            <w:vAlign w:val="center"/>
            <w:hideMark/>
          </w:tcPr>
          <w:p w14:paraId="0B1F8411" w14:textId="77777777" w:rsidR="00D751FB" w:rsidRPr="0051039E" w:rsidRDefault="00D751FB" w:rsidP="00D751FB">
            <w:pPr>
              <w:pStyle w:val="ExhibitText"/>
              <w:jc w:val="right"/>
              <w:rPr>
                <w:lang w:val="en-GB"/>
              </w:rPr>
            </w:pPr>
            <w:r w:rsidRPr="0051039E">
              <w:rPr>
                <w:lang w:val="en-GB"/>
              </w:rPr>
              <w:t>16.2%</w:t>
            </w:r>
          </w:p>
        </w:tc>
        <w:tc>
          <w:tcPr>
            <w:tcW w:w="1170" w:type="dxa"/>
            <w:shd w:val="clear" w:color="auto" w:fill="auto"/>
            <w:noWrap/>
            <w:vAlign w:val="center"/>
            <w:hideMark/>
          </w:tcPr>
          <w:p w14:paraId="531A2AA9" w14:textId="77777777" w:rsidR="00D751FB" w:rsidRPr="0051039E" w:rsidRDefault="00D751FB" w:rsidP="00D751FB">
            <w:pPr>
              <w:pStyle w:val="ExhibitText"/>
              <w:jc w:val="right"/>
              <w:rPr>
                <w:lang w:val="en-GB"/>
              </w:rPr>
            </w:pPr>
            <w:r w:rsidRPr="0051039E">
              <w:rPr>
                <w:lang w:val="en-GB"/>
              </w:rPr>
              <w:t>21,548</w:t>
            </w:r>
          </w:p>
        </w:tc>
        <w:tc>
          <w:tcPr>
            <w:tcW w:w="900" w:type="dxa"/>
            <w:shd w:val="clear" w:color="auto" w:fill="auto"/>
            <w:noWrap/>
            <w:vAlign w:val="center"/>
            <w:hideMark/>
          </w:tcPr>
          <w:p w14:paraId="2DE36EDC" w14:textId="77777777" w:rsidR="00D751FB" w:rsidRPr="0051039E" w:rsidRDefault="00D751FB" w:rsidP="00D751FB">
            <w:pPr>
              <w:pStyle w:val="ExhibitText"/>
              <w:jc w:val="right"/>
              <w:rPr>
                <w:lang w:val="en-GB"/>
              </w:rPr>
            </w:pPr>
            <w:r w:rsidRPr="0051039E">
              <w:rPr>
                <w:lang w:val="en-GB"/>
              </w:rPr>
              <w:t>3,576</w:t>
            </w:r>
          </w:p>
        </w:tc>
        <w:tc>
          <w:tcPr>
            <w:tcW w:w="1080" w:type="dxa"/>
            <w:shd w:val="clear" w:color="auto" w:fill="auto"/>
            <w:noWrap/>
            <w:vAlign w:val="center"/>
            <w:hideMark/>
          </w:tcPr>
          <w:p w14:paraId="0920C31E" w14:textId="77777777" w:rsidR="00D751FB" w:rsidRPr="0051039E" w:rsidRDefault="00D751FB" w:rsidP="00D751FB">
            <w:pPr>
              <w:pStyle w:val="ExhibitText"/>
              <w:jc w:val="right"/>
              <w:rPr>
                <w:lang w:val="en-GB"/>
              </w:rPr>
            </w:pPr>
            <w:r w:rsidRPr="0051039E">
              <w:rPr>
                <w:lang w:val="en-GB"/>
              </w:rPr>
              <w:t>16.6%</w:t>
            </w:r>
          </w:p>
        </w:tc>
      </w:tr>
      <w:tr w:rsidR="00D751FB" w:rsidRPr="0051039E" w14:paraId="3D21216A" w14:textId="77777777" w:rsidTr="00E70A21">
        <w:trPr>
          <w:trHeight w:val="320"/>
          <w:jc w:val="center"/>
        </w:trPr>
        <w:tc>
          <w:tcPr>
            <w:tcW w:w="2405" w:type="dxa"/>
            <w:shd w:val="clear" w:color="auto" w:fill="auto"/>
            <w:noWrap/>
            <w:vAlign w:val="center"/>
            <w:hideMark/>
          </w:tcPr>
          <w:p w14:paraId="587BB6C2" w14:textId="3CCCD134" w:rsidR="00D751FB" w:rsidRPr="00E70A21" w:rsidRDefault="00D751FB" w:rsidP="00D751FB">
            <w:pPr>
              <w:pStyle w:val="ExhibitText"/>
              <w:jc w:val="left"/>
              <w:rPr>
                <w:b/>
                <w:lang w:val="en-GB"/>
              </w:rPr>
            </w:pPr>
            <w:r w:rsidRPr="00E70A21">
              <w:rPr>
                <w:b/>
                <w:lang w:val="en-GB"/>
              </w:rPr>
              <w:t xml:space="preserve">Asia/Pacific, Middle East </w:t>
            </w:r>
            <w:r w:rsidR="00344194" w:rsidRPr="00E70A21">
              <w:rPr>
                <w:b/>
                <w:lang w:val="en-GB"/>
              </w:rPr>
              <w:t>and</w:t>
            </w:r>
            <w:r w:rsidRPr="00E70A21">
              <w:rPr>
                <w:b/>
                <w:lang w:val="en-GB"/>
              </w:rPr>
              <w:t xml:space="preserve"> Africa</w:t>
            </w:r>
          </w:p>
        </w:tc>
        <w:tc>
          <w:tcPr>
            <w:tcW w:w="1005" w:type="dxa"/>
            <w:shd w:val="clear" w:color="auto" w:fill="auto"/>
            <w:noWrap/>
            <w:vAlign w:val="center"/>
            <w:hideMark/>
          </w:tcPr>
          <w:p w14:paraId="1D1F0DD7" w14:textId="77777777" w:rsidR="00D751FB" w:rsidRPr="0051039E" w:rsidRDefault="00D751FB" w:rsidP="00D751FB">
            <w:pPr>
              <w:pStyle w:val="ExhibitText"/>
              <w:jc w:val="right"/>
              <w:rPr>
                <w:lang w:val="en-GB"/>
              </w:rPr>
            </w:pPr>
          </w:p>
        </w:tc>
        <w:tc>
          <w:tcPr>
            <w:tcW w:w="990" w:type="dxa"/>
            <w:shd w:val="clear" w:color="auto" w:fill="auto"/>
            <w:noWrap/>
            <w:vAlign w:val="center"/>
            <w:hideMark/>
          </w:tcPr>
          <w:p w14:paraId="4B62B105" w14:textId="77777777" w:rsidR="00D751FB" w:rsidRPr="0051039E" w:rsidRDefault="00D751FB" w:rsidP="00D751FB">
            <w:pPr>
              <w:pStyle w:val="ExhibitText"/>
              <w:jc w:val="right"/>
              <w:rPr>
                <w:lang w:val="en-GB"/>
              </w:rPr>
            </w:pPr>
          </w:p>
        </w:tc>
        <w:tc>
          <w:tcPr>
            <w:tcW w:w="1080" w:type="dxa"/>
            <w:shd w:val="clear" w:color="auto" w:fill="auto"/>
            <w:noWrap/>
            <w:vAlign w:val="center"/>
            <w:hideMark/>
          </w:tcPr>
          <w:p w14:paraId="242DE456" w14:textId="77777777" w:rsidR="00D751FB" w:rsidRPr="0051039E" w:rsidRDefault="00D751FB" w:rsidP="00D751FB">
            <w:pPr>
              <w:pStyle w:val="ExhibitText"/>
              <w:jc w:val="right"/>
              <w:rPr>
                <w:lang w:val="en-GB"/>
              </w:rPr>
            </w:pPr>
          </w:p>
        </w:tc>
        <w:tc>
          <w:tcPr>
            <w:tcW w:w="1170" w:type="dxa"/>
            <w:shd w:val="clear" w:color="auto" w:fill="auto"/>
            <w:noWrap/>
            <w:vAlign w:val="center"/>
            <w:hideMark/>
          </w:tcPr>
          <w:p w14:paraId="0F9D70B7" w14:textId="77777777" w:rsidR="00D751FB" w:rsidRPr="0051039E" w:rsidRDefault="00D751FB" w:rsidP="00D751FB">
            <w:pPr>
              <w:pStyle w:val="ExhibitText"/>
              <w:jc w:val="right"/>
              <w:rPr>
                <w:lang w:val="en-GB"/>
              </w:rPr>
            </w:pPr>
          </w:p>
        </w:tc>
        <w:tc>
          <w:tcPr>
            <w:tcW w:w="900" w:type="dxa"/>
            <w:shd w:val="clear" w:color="auto" w:fill="auto"/>
            <w:noWrap/>
            <w:vAlign w:val="center"/>
            <w:hideMark/>
          </w:tcPr>
          <w:p w14:paraId="25F9DC2C" w14:textId="77777777" w:rsidR="00D751FB" w:rsidRPr="0051039E" w:rsidRDefault="00D751FB" w:rsidP="00D751FB">
            <w:pPr>
              <w:pStyle w:val="ExhibitText"/>
              <w:jc w:val="right"/>
              <w:rPr>
                <w:lang w:val="en-GB"/>
              </w:rPr>
            </w:pPr>
          </w:p>
        </w:tc>
        <w:tc>
          <w:tcPr>
            <w:tcW w:w="1080" w:type="dxa"/>
            <w:shd w:val="clear" w:color="auto" w:fill="auto"/>
            <w:noWrap/>
            <w:vAlign w:val="center"/>
            <w:hideMark/>
          </w:tcPr>
          <w:p w14:paraId="7D804698" w14:textId="77777777" w:rsidR="00D751FB" w:rsidRPr="0051039E" w:rsidRDefault="00D751FB" w:rsidP="00D751FB">
            <w:pPr>
              <w:pStyle w:val="ExhibitText"/>
              <w:jc w:val="right"/>
              <w:rPr>
                <w:lang w:val="en-GB"/>
              </w:rPr>
            </w:pPr>
          </w:p>
        </w:tc>
      </w:tr>
      <w:tr w:rsidR="00D751FB" w:rsidRPr="0051039E" w14:paraId="10EF3B38" w14:textId="77777777" w:rsidTr="00E70A21">
        <w:trPr>
          <w:trHeight w:val="320"/>
          <w:jc w:val="center"/>
        </w:trPr>
        <w:tc>
          <w:tcPr>
            <w:tcW w:w="2405" w:type="dxa"/>
            <w:shd w:val="clear" w:color="auto" w:fill="auto"/>
            <w:noWrap/>
            <w:vAlign w:val="center"/>
            <w:hideMark/>
          </w:tcPr>
          <w:p w14:paraId="3B0BC470" w14:textId="5FB94836" w:rsidR="00D751FB" w:rsidRPr="0051039E" w:rsidRDefault="00D751FB" w:rsidP="00D751FB">
            <w:pPr>
              <w:pStyle w:val="ExhibitText"/>
              <w:jc w:val="left"/>
              <w:rPr>
                <w:lang w:val="en-GB"/>
              </w:rPr>
            </w:pPr>
            <w:r w:rsidRPr="0051039E">
              <w:rPr>
                <w:lang w:val="en-GB"/>
              </w:rPr>
              <w:t>China</w:t>
            </w:r>
          </w:p>
        </w:tc>
        <w:tc>
          <w:tcPr>
            <w:tcW w:w="1005" w:type="dxa"/>
            <w:shd w:val="clear" w:color="auto" w:fill="auto"/>
            <w:noWrap/>
            <w:vAlign w:val="center"/>
            <w:hideMark/>
          </w:tcPr>
          <w:p w14:paraId="4D7BC9DD" w14:textId="77777777" w:rsidR="00D751FB" w:rsidRPr="0051039E" w:rsidRDefault="00D751FB" w:rsidP="00D751FB">
            <w:pPr>
              <w:pStyle w:val="ExhibitText"/>
              <w:jc w:val="right"/>
              <w:rPr>
                <w:lang w:val="en-GB"/>
              </w:rPr>
            </w:pPr>
            <w:r w:rsidRPr="0051039E">
              <w:rPr>
                <w:lang w:val="en-GB"/>
              </w:rPr>
              <w:t>26,466</w:t>
            </w:r>
          </w:p>
        </w:tc>
        <w:tc>
          <w:tcPr>
            <w:tcW w:w="990" w:type="dxa"/>
            <w:shd w:val="clear" w:color="auto" w:fill="auto"/>
            <w:noWrap/>
            <w:vAlign w:val="center"/>
            <w:hideMark/>
          </w:tcPr>
          <w:p w14:paraId="20FC0093" w14:textId="77777777" w:rsidR="00D751FB" w:rsidRPr="0051039E" w:rsidRDefault="00D751FB" w:rsidP="00D751FB">
            <w:pPr>
              <w:pStyle w:val="ExhibitText"/>
              <w:jc w:val="right"/>
              <w:rPr>
                <w:lang w:val="en-GB"/>
              </w:rPr>
            </w:pPr>
            <w:r w:rsidRPr="0051039E">
              <w:rPr>
                <w:lang w:val="en-GB"/>
              </w:rPr>
              <w:t>3,645</w:t>
            </w:r>
          </w:p>
        </w:tc>
        <w:tc>
          <w:tcPr>
            <w:tcW w:w="1080" w:type="dxa"/>
            <w:shd w:val="clear" w:color="auto" w:fill="auto"/>
            <w:noWrap/>
            <w:vAlign w:val="center"/>
            <w:hideMark/>
          </w:tcPr>
          <w:p w14:paraId="7EAEC058" w14:textId="77777777" w:rsidR="00D751FB" w:rsidRPr="0051039E" w:rsidRDefault="00D751FB" w:rsidP="00D751FB">
            <w:pPr>
              <w:pStyle w:val="ExhibitText"/>
              <w:jc w:val="right"/>
              <w:rPr>
                <w:lang w:val="en-GB"/>
              </w:rPr>
            </w:pPr>
            <w:r w:rsidRPr="0051039E">
              <w:rPr>
                <w:lang w:val="en-GB"/>
              </w:rPr>
              <w:t>13.8%</w:t>
            </w:r>
          </w:p>
        </w:tc>
        <w:tc>
          <w:tcPr>
            <w:tcW w:w="1170" w:type="dxa"/>
            <w:shd w:val="clear" w:color="auto" w:fill="auto"/>
            <w:noWrap/>
            <w:vAlign w:val="center"/>
            <w:hideMark/>
          </w:tcPr>
          <w:p w14:paraId="1115F1F9" w14:textId="77777777" w:rsidR="00D751FB" w:rsidRPr="0051039E" w:rsidRDefault="00D751FB" w:rsidP="00D751FB">
            <w:pPr>
              <w:pStyle w:val="ExhibitText"/>
              <w:jc w:val="right"/>
              <w:rPr>
                <w:lang w:val="en-GB"/>
              </w:rPr>
            </w:pPr>
            <w:r w:rsidRPr="0051039E">
              <w:rPr>
                <w:lang w:val="en-GB"/>
              </w:rPr>
              <w:t>28,250</w:t>
            </w:r>
          </w:p>
        </w:tc>
        <w:tc>
          <w:tcPr>
            <w:tcW w:w="900" w:type="dxa"/>
            <w:shd w:val="clear" w:color="auto" w:fill="auto"/>
            <w:noWrap/>
            <w:vAlign w:val="center"/>
            <w:hideMark/>
          </w:tcPr>
          <w:p w14:paraId="11F096A1" w14:textId="77777777" w:rsidR="00D751FB" w:rsidRPr="0051039E" w:rsidRDefault="00D751FB" w:rsidP="00D751FB">
            <w:pPr>
              <w:pStyle w:val="ExhibitText"/>
              <w:jc w:val="right"/>
              <w:rPr>
                <w:lang w:val="en-GB"/>
              </w:rPr>
            </w:pPr>
            <w:r w:rsidRPr="0051039E">
              <w:rPr>
                <w:lang w:val="en-GB"/>
              </w:rPr>
              <w:t>4,041</w:t>
            </w:r>
          </w:p>
        </w:tc>
        <w:tc>
          <w:tcPr>
            <w:tcW w:w="1080" w:type="dxa"/>
            <w:shd w:val="clear" w:color="auto" w:fill="auto"/>
            <w:noWrap/>
            <w:vAlign w:val="center"/>
            <w:hideMark/>
          </w:tcPr>
          <w:p w14:paraId="55CF68AB" w14:textId="77777777" w:rsidR="00D751FB" w:rsidRPr="0051039E" w:rsidRDefault="00D751FB" w:rsidP="00D751FB">
            <w:pPr>
              <w:pStyle w:val="ExhibitText"/>
              <w:jc w:val="right"/>
              <w:rPr>
                <w:lang w:val="en-GB"/>
              </w:rPr>
            </w:pPr>
            <w:r w:rsidRPr="0051039E">
              <w:rPr>
                <w:lang w:val="en-GB"/>
              </w:rPr>
              <w:t>14.3%</w:t>
            </w:r>
          </w:p>
        </w:tc>
      </w:tr>
      <w:tr w:rsidR="00D751FB" w:rsidRPr="0051039E" w14:paraId="1C080655" w14:textId="77777777" w:rsidTr="00E70A21">
        <w:trPr>
          <w:trHeight w:val="320"/>
          <w:jc w:val="center"/>
        </w:trPr>
        <w:tc>
          <w:tcPr>
            <w:tcW w:w="2405" w:type="dxa"/>
            <w:shd w:val="clear" w:color="auto" w:fill="auto"/>
            <w:noWrap/>
            <w:vAlign w:val="center"/>
            <w:hideMark/>
          </w:tcPr>
          <w:p w14:paraId="44BF97AE" w14:textId="62143C39" w:rsidR="00D751FB" w:rsidRPr="0051039E" w:rsidRDefault="00D751FB" w:rsidP="00D751FB">
            <w:pPr>
              <w:pStyle w:val="ExhibitText"/>
              <w:jc w:val="left"/>
              <w:rPr>
                <w:lang w:val="en-GB"/>
              </w:rPr>
            </w:pPr>
            <w:r w:rsidRPr="0051039E">
              <w:rPr>
                <w:lang w:val="en-GB"/>
              </w:rPr>
              <w:t>Other</w:t>
            </w:r>
          </w:p>
        </w:tc>
        <w:tc>
          <w:tcPr>
            <w:tcW w:w="1005" w:type="dxa"/>
            <w:shd w:val="clear" w:color="auto" w:fill="auto"/>
            <w:noWrap/>
            <w:vAlign w:val="center"/>
            <w:hideMark/>
          </w:tcPr>
          <w:p w14:paraId="052ABADE" w14:textId="77777777" w:rsidR="00D751FB" w:rsidRPr="0051039E" w:rsidRDefault="00D751FB" w:rsidP="00D751FB">
            <w:pPr>
              <w:pStyle w:val="ExhibitText"/>
              <w:jc w:val="right"/>
              <w:rPr>
                <w:lang w:val="en-GB"/>
              </w:rPr>
            </w:pPr>
            <w:r w:rsidRPr="0051039E">
              <w:rPr>
                <w:lang w:val="en-GB"/>
              </w:rPr>
              <w:t>22,252</w:t>
            </w:r>
          </w:p>
        </w:tc>
        <w:tc>
          <w:tcPr>
            <w:tcW w:w="990" w:type="dxa"/>
            <w:shd w:val="clear" w:color="auto" w:fill="auto"/>
            <w:noWrap/>
            <w:vAlign w:val="center"/>
            <w:hideMark/>
          </w:tcPr>
          <w:p w14:paraId="534F8328" w14:textId="77777777" w:rsidR="00D751FB" w:rsidRPr="0051039E" w:rsidRDefault="00D751FB" w:rsidP="00D751FB">
            <w:pPr>
              <w:pStyle w:val="ExhibitText"/>
              <w:jc w:val="right"/>
              <w:rPr>
                <w:lang w:val="en-GB"/>
              </w:rPr>
            </w:pPr>
            <w:r w:rsidRPr="0051039E">
              <w:rPr>
                <w:lang w:val="en-GB"/>
              </w:rPr>
              <w:t>555</w:t>
            </w:r>
          </w:p>
        </w:tc>
        <w:tc>
          <w:tcPr>
            <w:tcW w:w="1080" w:type="dxa"/>
            <w:shd w:val="clear" w:color="auto" w:fill="auto"/>
            <w:noWrap/>
            <w:vAlign w:val="center"/>
            <w:hideMark/>
          </w:tcPr>
          <w:p w14:paraId="2C676B53" w14:textId="77777777" w:rsidR="00D751FB" w:rsidRPr="0051039E" w:rsidRDefault="00D751FB" w:rsidP="00D751FB">
            <w:pPr>
              <w:pStyle w:val="ExhibitText"/>
              <w:jc w:val="right"/>
              <w:rPr>
                <w:lang w:val="en-GB"/>
              </w:rPr>
            </w:pPr>
            <w:r w:rsidRPr="0051039E">
              <w:rPr>
                <w:lang w:val="en-GB"/>
              </w:rPr>
              <w:t>2.5%</w:t>
            </w:r>
          </w:p>
        </w:tc>
        <w:tc>
          <w:tcPr>
            <w:tcW w:w="1170" w:type="dxa"/>
            <w:shd w:val="clear" w:color="auto" w:fill="auto"/>
            <w:noWrap/>
            <w:vAlign w:val="center"/>
            <w:hideMark/>
          </w:tcPr>
          <w:p w14:paraId="168D282C" w14:textId="77777777" w:rsidR="00D751FB" w:rsidRPr="0051039E" w:rsidRDefault="00D751FB" w:rsidP="00D751FB">
            <w:pPr>
              <w:pStyle w:val="ExhibitText"/>
              <w:jc w:val="right"/>
              <w:rPr>
                <w:lang w:val="en-GB"/>
              </w:rPr>
            </w:pPr>
            <w:r w:rsidRPr="0051039E">
              <w:rPr>
                <w:lang w:val="en-GB"/>
              </w:rPr>
              <w:t>21,067</w:t>
            </w:r>
          </w:p>
        </w:tc>
        <w:tc>
          <w:tcPr>
            <w:tcW w:w="900" w:type="dxa"/>
            <w:shd w:val="clear" w:color="auto" w:fill="auto"/>
            <w:noWrap/>
            <w:vAlign w:val="center"/>
            <w:hideMark/>
          </w:tcPr>
          <w:p w14:paraId="404ACB5E" w14:textId="77777777" w:rsidR="00D751FB" w:rsidRPr="0051039E" w:rsidRDefault="00D751FB" w:rsidP="00D751FB">
            <w:pPr>
              <w:pStyle w:val="ExhibitText"/>
              <w:jc w:val="right"/>
              <w:rPr>
                <w:lang w:val="en-GB"/>
              </w:rPr>
            </w:pPr>
            <w:r w:rsidRPr="0051039E">
              <w:rPr>
                <w:lang w:val="en-GB"/>
              </w:rPr>
              <w:t>629</w:t>
            </w:r>
          </w:p>
        </w:tc>
        <w:tc>
          <w:tcPr>
            <w:tcW w:w="1080" w:type="dxa"/>
            <w:shd w:val="clear" w:color="auto" w:fill="auto"/>
            <w:noWrap/>
            <w:vAlign w:val="center"/>
            <w:hideMark/>
          </w:tcPr>
          <w:p w14:paraId="1068B582" w14:textId="77777777" w:rsidR="00D751FB" w:rsidRPr="0051039E" w:rsidRDefault="00D751FB" w:rsidP="00D751FB">
            <w:pPr>
              <w:pStyle w:val="ExhibitText"/>
              <w:jc w:val="right"/>
              <w:rPr>
                <w:lang w:val="en-GB"/>
              </w:rPr>
            </w:pPr>
            <w:r w:rsidRPr="0051039E">
              <w:rPr>
                <w:lang w:val="en-GB"/>
              </w:rPr>
              <w:t>3.0%</w:t>
            </w:r>
          </w:p>
        </w:tc>
      </w:tr>
      <w:tr w:rsidR="00D751FB" w:rsidRPr="0051039E" w14:paraId="6F725EE2" w14:textId="77777777" w:rsidTr="00E70A21">
        <w:trPr>
          <w:trHeight w:val="320"/>
          <w:jc w:val="center"/>
        </w:trPr>
        <w:tc>
          <w:tcPr>
            <w:tcW w:w="2405" w:type="dxa"/>
            <w:shd w:val="clear" w:color="auto" w:fill="auto"/>
            <w:noWrap/>
            <w:vAlign w:val="center"/>
            <w:hideMark/>
          </w:tcPr>
          <w:p w14:paraId="7AE7B701" w14:textId="3D57332B" w:rsidR="00D751FB" w:rsidRPr="0051039E" w:rsidRDefault="00D751FB" w:rsidP="00D751FB">
            <w:pPr>
              <w:pStyle w:val="ExhibitText"/>
              <w:jc w:val="left"/>
              <w:rPr>
                <w:lang w:val="en-GB"/>
              </w:rPr>
            </w:pPr>
            <w:r w:rsidRPr="0051039E">
              <w:rPr>
                <w:lang w:val="en-GB"/>
              </w:rPr>
              <w:t xml:space="preserve">Total </w:t>
            </w:r>
          </w:p>
        </w:tc>
        <w:tc>
          <w:tcPr>
            <w:tcW w:w="1005" w:type="dxa"/>
            <w:shd w:val="clear" w:color="auto" w:fill="auto"/>
            <w:noWrap/>
            <w:vAlign w:val="center"/>
            <w:hideMark/>
          </w:tcPr>
          <w:p w14:paraId="2664902F" w14:textId="77777777" w:rsidR="00D751FB" w:rsidRPr="0051039E" w:rsidRDefault="00D751FB" w:rsidP="00D751FB">
            <w:pPr>
              <w:pStyle w:val="ExhibitText"/>
              <w:jc w:val="right"/>
              <w:rPr>
                <w:lang w:val="en-GB"/>
              </w:rPr>
            </w:pPr>
            <w:r w:rsidRPr="0051039E">
              <w:rPr>
                <w:lang w:val="en-GB"/>
              </w:rPr>
              <w:t>48,718</w:t>
            </w:r>
          </w:p>
        </w:tc>
        <w:tc>
          <w:tcPr>
            <w:tcW w:w="990" w:type="dxa"/>
            <w:shd w:val="clear" w:color="auto" w:fill="auto"/>
            <w:noWrap/>
            <w:vAlign w:val="center"/>
            <w:hideMark/>
          </w:tcPr>
          <w:p w14:paraId="7AFC276C" w14:textId="77777777" w:rsidR="00D751FB" w:rsidRPr="0051039E" w:rsidRDefault="00D751FB" w:rsidP="00D751FB">
            <w:pPr>
              <w:pStyle w:val="ExhibitText"/>
              <w:jc w:val="right"/>
              <w:rPr>
                <w:lang w:val="en-GB"/>
              </w:rPr>
            </w:pPr>
            <w:r w:rsidRPr="0051039E">
              <w:rPr>
                <w:lang w:val="en-GB"/>
              </w:rPr>
              <w:t>4,200</w:t>
            </w:r>
          </w:p>
        </w:tc>
        <w:tc>
          <w:tcPr>
            <w:tcW w:w="1080" w:type="dxa"/>
            <w:shd w:val="clear" w:color="auto" w:fill="auto"/>
            <w:noWrap/>
            <w:vAlign w:val="center"/>
            <w:hideMark/>
          </w:tcPr>
          <w:p w14:paraId="36815DF6" w14:textId="77777777" w:rsidR="00D751FB" w:rsidRPr="0051039E" w:rsidRDefault="00D751FB" w:rsidP="00D751FB">
            <w:pPr>
              <w:pStyle w:val="ExhibitText"/>
              <w:jc w:val="right"/>
              <w:rPr>
                <w:lang w:val="en-GB"/>
              </w:rPr>
            </w:pPr>
            <w:r w:rsidRPr="0051039E">
              <w:rPr>
                <w:lang w:val="en-GB"/>
              </w:rPr>
              <w:t>8.6%</w:t>
            </w:r>
          </w:p>
        </w:tc>
        <w:tc>
          <w:tcPr>
            <w:tcW w:w="1170" w:type="dxa"/>
            <w:shd w:val="clear" w:color="auto" w:fill="auto"/>
            <w:noWrap/>
            <w:vAlign w:val="center"/>
            <w:hideMark/>
          </w:tcPr>
          <w:p w14:paraId="1BFE666F" w14:textId="77777777" w:rsidR="00D751FB" w:rsidRPr="0051039E" w:rsidRDefault="00D751FB" w:rsidP="00D751FB">
            <w:pPr>
              <w:pStyle w:val="ExhibitText"/>
              <w:jc w:val="right"/>
              <w:rPr>
                <w:lang w:val="en-GB"/>
              </w:rPr>
            </w:pPr>
            <w:r w:rsidRPr="0051039E">
              <w:rPr>
                <w:lang w:val="en-GB"/>
              </w:rPr>
              <w:t>49,317</w:t>
            </w:r>
          </w:p>
        </w:tc>
        <w:tc>
          <w:tcPr>
            <w:tcW w:w="900" w:type="dxa"/>
            <w:shd w:val="clear" w:color="auto" w:fill="auto"/>
            <w:noWrap/>
            <w:vAlign w:val="center"/>
            <w:hideMark/>
          </w:tcPr>
          <w:p w14:paraId="09AC6F6B" w14:textId="77777777" w:rsidR="00D751FB" w:rsidRPr="0051039E" w:rsidRDefault="00D751FB" w:rsidP="00D751FB">
            <w:pPr>
              <w:pStyle w:val="ExhibitText"/>
              <w:jc w:val="right"/>
              <w:rPr>
                <w:lang w:val="en-GB"/>
              </w:rPr>
            </w:pPr>
            <w:r w:rsidRPr="0051039E">
              <w:rPr>
                <w:lang w:val="en-GB"/>
              </w:rPr>
              <w:t>4,670</w:t>
            </w:r>
          </w:p>
        </w:tc>
        <w:tc>
          <w:tcPr>
            <w:tcW w:w="1080" w:type="dxa"/>
            <w:shd w:val="clear" w:color="auto" w:fill="auto"/>
            <w:noWrap/>
            <w:vAlign w:val="center"/>
            <w:hideMark/>
          </w:tcPr>
          <w:p w14:paraId="373B0D1A" w14:textId="77777777" w:rsidR="00D751FB" w:rsidRPr="0051039E" w:rsidRDefault="00D751FB" w:rsidP="00D751FB">
            <w:pPr>
              <w:pStyle w:val="ExhibitText"/>
              <w:jc w:val="right"/>
              <w:rPr>
                <w:lang w:val="en-GB"/>
              </w:rPr>
            </w:pPr>
            <w:r w:rsidRPr="0051039E">
              <w:rPr>
                <w:lang w:val="en-GB"/>
              </w:rPr>
              <w:t>9.5%</w:t>
            </w:r>
          </w:p>
        </w:tc>
      </w:tr>
      <w:tr w:rsidR="00D751FB" w:rsidRPr="0051039E" w14:paraId="083923C4" w14:textId="77777777" w:rsidTr="00E70A21">
        <w:trPr>
          <w:trHeight w:val="320"/>
          <w:jc w:val="center"/>
        </w:trPr>
        <w:tc>
          <w:tcPr>
            <w:tcW w:w="2405" w:type="dxa"/>
            <w:shd w:val="clear" w:color="auto" w:fill="auto"/>
            <w:noWrap/>
            <w:vAlign w:val="center"/>
            <w:hideMark/>
          </w:tcPr>
          <w:p w14:paraId="11AEE609" w14:textId="77777777" w:rsidR="00D751FB" w:rsidRPr="00E70A21" w:rsidRDefault="00D751FB" w:rsidP="00D751FB">
            <w:pPr>
              <w:pStyle w:val="ExhibitText"/>
              <w:jc w:val="left"/>
              <w:rPr>
                <w:b/>
                <w:lang w:val="en-GB"/>
              </w:rPr>
            </w:pPr>
            <w:r w:rsidRPr="00E70A21">
              <w:rPr>
                <w:b/>
                <w:lang w:val="en-GB"/>
              </w:rPr>
              <w:t>South America</w:t>
            </w:r>
          </w:p>
        </w:tc>
        <w:tc>
          <w:tcPr>
            <w:tcW w:w="1005" w:type="dxa"/>
            <w:shd w:val="clear" w:color="auto" w:fill="auto"/>
            <w:noWrap/>
            <w:vAlign w:val="center"/>
            <w:hideMark/>
          </w:tcPr>
          <w:p w14:paraId="7DBBAA54" w14:textId="77777777" w:rsidR="00D751FB" w:rsidRPr="0051039E" w:rsidRDefault="00D751FB" w:rsidP="00D751FB">
            <w:pPr>
              <w:pStyle w:val="ExhibitText"/>
              <w:jc w:val="right"/>
              <w:rPr>
                <w:lang w:val="en-GB"/>
              </w:rPr>
            </w:pPr>
          </w:p>
        </w:tc>
        <w:tc>
          <w:tcPr>
            <w:tcW w:w="990" w:type="dxa"/>
            <w:shd w:val="clear" w:color="auto" w:fill="auto"/>
            <w:noWrap/>
            <w:vAlign w:val="center"/>
            <w:hideMark/>
          </w:tcPr>
          <w:p w14:paraId="23824829" w14:textId="77777777" w:rsidR="00D751FB" w:rsidRPr="0051039E" w:rsidRDefault="00D751FB" w:rsidP="00D751FB">
            <w:pPr>
              <w:pStyle w:val="ExhibitText"/>
              <w:jc w:val="right"/>
              <w:rPr>
                <w:lang w:val="en-GB"/>
              </w:rPr>
            </w:pPr>
          </w:p>
        </w:tc>
        <w:tc>
          <w:tcPr>
            <w:tcW w:w="1080" w:type="dxa"/>
            <w:shd w:val="clear" w:color="auto" w:fill="auto"/>
            <w:noWrap/>
            <w:vAlign w:val="center"/>
            <w:hideMark/>
          </w:tcPr>
          <w:p w14:paraId="5817193F" w14:textId="77777777" w:rsidR="00D751FB" w:rsidRPr="0051039E" w:rsidRDefault="00D751FB" w:rsidP="00D751FB">
            <w:pPr>
              <w:pStyle w:val="ExhibitText"/>
              <w:jc w:val="right"/>
              <w:rPr>
                <w:lang w:val="en-GB"/>
              </w:rPr>
            </w:pPr>
          </w:p>
        </w:tc>
        <w:tc>
          <w:tcPr>
            <w:tcW w:w="1170" w:type="dxa"/>
            <w:shd w:val="clear" w:color="auto" w:fill="auto"/>
            <w:noWrap/>
            <w:vAlign w:val="center"/>
            <w:hideMark/>
          </w:tcPr>
          <w:p w14:paraId="09306340" w14:textId="77777777" w:rsidR="00D751FB" w:rsidRPr="0051039E" w:rsidRDefault="00D751FB" w:rsidP="00D751FB">
            <w:pPr>
              <w:pStyle w:val="ExhibitText"/>
              <w:jc w:val="right"/>
              <w:rPr>
                <w:lang w:val="en-GB"/>
              </w:rPr>
            </w:pPr>
          </w:p>
        </w:tc>
        <w:tc>
          <w:tcPr>
            <w:tcW w:w="900" w:type="dxa"/>
            <w:shd w:val="clear" w:color="auto" w:fill="auto"/>
            <w:noWrap/>
            <w:vAlign w:val="center"/>
            <w:hideMark/>
          </w:tcPr>
          <w:p w14:paraId="205C4E2B" w14:textId="77777777" w:rsidR="00D751FB" w:rsidRPr="0051039E" w:rsidRDefault="00D751FB" w:rsidP="00D751FB">
            <w:pPr>
              <w:pStyle w:val="ExhibitText"/>
              <w:jc w:val="right"/>
              <w:rPr>
                <w:lang w:val="en-GB"/>
              </w:rPr>
            </w:pPr>
          </w:p>
        </w:tc>
        <w:tc>
          <w:tcPr>
            <w:tcW w:w="1080" w:type="dxa"/>
            <w:shd w:val="clear" w:color="auto" w:fill="auto"/>
            <w:noWrap/>
            <w:vAlign w:val="center"/>
            <w:hideMark/>
          </w:tcPr>
          <w:p w14:paraId="102F78C7" w14:textId="77777777" w:rsidR="00D751FB" w:rsidRPr="0051039E" w:rsidRDefault="00D751FB" w:rsidP="00D751FB">
            <w:pPr>
              <w:pStyle w:val="ExhibitText"/>
              <w:jc w:val="right"/>
              <w:rPr>
                <w:lang w:val="en-GB"/>
              </w:rPr>
            </w:pPr>
          </w:p>
        </w:tc>
      </w:tr>
      <w:tr w:rsidR="00D751FB" w:rsidRPr="0051039E" w14:paraId="0E2C3F3E" w14:textId="77777777" w:rsidTr="00E70A21">
        <w:trPr>
          <w:trHeight w:val="320"/>
          <w:jc w:val="center"/>
        </w:trPr>
        <w:tc>
          <w:tcPr>
            <w:tcW w:w="2405" w:type="dxa"/>
            <w:shd w:val="clear" w:color="auto" w:fill="auto"/>
            <w:noWrap/>
            <w:vAlign w:val="center"/>
            <w:hideMark/>
          </w:tcPr>
          <w:p w14:paraId="131DD5E5" w14:textId="5552D801" w:rsidR="00D751FB" w:rsidRPr="0051039E" w:rsidRDefault="00D751FB" w:rsidP="00D751FB">
            <w:pPr>
              <w:pStyle w:val="ExhibitText"/>
              <w:jc w:val="left"/>
              <w:rPr>
                <w:lang w:val="en-GB"/>
              </w:rPr>
            </w:pPr>
            <w:r w:rsidRPr="0051039E">
              <w:rPr>
                <w:lang w:val="en-GB"/>
              </w:rPr>
              <w:t>Brazil</w:t>
            </w:r>
          </w:p>
        </w:tc>
        <w:tc>
          <w:tcPr>
            <w:tcW w:w="1005" w:type="dxa"/>
            <w:shd w:val="clear" w:color="auto" w:fill="auto"/>
            <w:noWrap/>
            <w:vAlign w:val="center"/>
            <w:hideMark/>
          </w:tcPr>
          <w:p w14:paraId="7AA374CD" w14:textId="77777777" w:rsidR="00D751FB" w:rsidRPr="0051039E" w:rsidRDefault="00D751FB" w:rsidP="00D751FB">
            <w:pPr>
              <w:pStyle w:val="ExhibitText"/>
              <w:jc w:val="right"/>
              <w:rPr>
                <w:lang w:val="en-GB"/>
              </w:rPr>
            </w:pPr>
            <w:r w:rsidRPr="0051039E">
              <w:rPr>
                <w:lang w:val="en-GB"/>
              </w:rPr>
              <w:t>2,566</w:t>
            </w:r>
          </w:p>
        </w:tc>
        <w:tc>
          <w:tcPr>
            <w:tcW w:w="990" w:type="dxa"/>
            <w:shd w:val="clear" w:color="auto" w:fill="auto"/>
            <w:noWrap/>
            <w:vAlign w:val="center"/>
            <w:hideMark/>
          </w:tcPr>
          <w:p w14:paraId="6BC4C8AB" w14:textId="77777777" w:rsidR="00D751FB" w:rsidRPr="0051039E" w:rsidRDefault="00D751FB" w:rsidP="00D751FB">
            <w:pPr>
              <w:pStyle w:val="ExhibitText"/>
              <w:jc w:val="right"/>
              <w:rPr>
                <w:lang w:val="en-GB"/>
              </w:rPr>
            </w:pPr>
            <w:r w:rsidRPr="0051039E">
              <w:rPr>
                <w:lang w:val="en-GB"/>
              </w:rPr>
              <w:t>434</w:t>
            </w:r>
          </w:p>
        </w:tc>
        <w:tc>
          <w:tcPr>
            <w:tcW w:w="1080" w:type="dxa"/>
            <w:shd w:val="clear" w:color="auto" w:fill="auto"/>
            <w:noWrap/>
            <w:vAlign w:val="center"/>
            <w:hideMark/>
          </w:tcPr>
          <w:p w14:paraId="77532D0C" w14:textId="77777777" w:rsidR="00D751FB" w:rsidRPr="0051039E" w:rsidRDefault="00D751FB" w:rsidP="00D751FB">
            <w:pPr>
              <w:pStyle w:val="ExhibitText"/>
              <w:jc w:val="right"/>
              <w:rPr>
                <w:lang w:val="en-GB"/>
              </w:rPr>
            </w:pPr>
            <w:r w:rsidRPr="0051039E">
              <w:rPr>
                <w:lang w:val="en-GB"/>
              </w:rPr>
              <w:t>16.9%</w:t>
            </w:r>
          </w:p>
        </w:tc>
        <w:tc>
          <w:tcPr>
            <w:tcW w:w="1170" w:type="dxa"/>
            <w:shd w:val="clear" w:color="auto" w:fill="auto"/>
            <w:noWrap/>
            <w:vAlign w:val="center"/>
            <w:hideMark/>
          </w:tcPr>
          <w:p w14:paraId="4CF418F9" w14:textId="77777777" w:rsidR="00D751FB" w:rsidRPr="0051039E" w:rsidRDefault="00D751FB" w:rsidP="00D751FB">
            <w:pPr>
              <w:pStyle w:val="ExhibitText"/>
              <w:jc w:val="right"/>
              <w:rPr>
                <w:lang w:val="en-GB"/>
              </w:rPr>
            </w:pPr>
            <w:r w:rsidRPr="0051039E">
              <w:rPr>
                <w:lang w:val="en-GB"/>
              </w:rPr>
              <w:t>2,239</w:t>
            </w:r>
          </w:p>
        </w:tc>
        <w:tc>
          <w:tcPr>
            <w:tcW w:w="900" w:type="dxa"/>
            <w:shd w:val="clear" w:color="auto" w:fill="auto"/>
            <w:noWrap/>
            <w:vAlign w:val="center"/>
            <w:hideMark/>
          </w:tcPr>
          <w:p w14:paraId="4B6EECC9" w14:textId="77777777" w:rsidR="00D751FB" w:rsidRPr="0051039E" w:rsidRDefault="00D751FB" w:rsidP="00D751FB">
            <w:pPr>
              <w:pStyle w:val="ExhibitText"/>
              <w:jc w:val="right"/>
              <w:rPr>
                <w:lang w:val="en-GB"/>
              </w:rPr>
            </w:pPr>
            <w:r w:rsidRPr="0051039E">
              <w:rPr>
                <w:lang w:val="en-GB"/>
              </w:rPr>
              <w:t>394</w:t>
            </w:r>
          </w:p>
        </w:tc>
        <w:tc>
          <w:tcPr>
            <w:tcW w:w="1080" w:type="dxa"/>
            <w:shd w:val="clear" w:color="auto" w:fill="auto"/>
            <w:noWrap/>
            <w:vAlign w:val="center"/>
            <w:hideMark/>
          </w:tcPr>
          <w:p w14:paraId="797EBD2C" w14:textId="77777777" w:rsidR="00D751FB" w:rsidRPr="0051039E" w:rsidRDefault="00D751FB" w:rsidP="00D751FB">
            <w:pPr>
              <w:pStyle w:val="ExhibitText"/>
              <w:jc w:val="right"/>
              <w:rPr>
                <w:lang w:val="en-GB"/>
              </w:rPr>
            </w:pPr>
            <w:r w:rsidRPr="0051039E">
              <w:rPr>
                <w:lang w:val="en-GB"/>
              </w:rPr>
              <w:t>17.6%</w:t>
            </w:r>
          </w:p>
        </w:tc>
      </w:tr>
      <w:tr w:rsidR="00D751FB" w:rsidRPr="0051039E" w14:paraId="6EB4C830" w14:textId="77777777" w:rsidTr="00E70A21">
        <w:trPr>
          <w:trHeight w:val="320"/>
          <w:jc w:val="center"/>
        </w:trPr>
        <w:tc>
          <w:tcPr>
            <w:tcW w:w="2405" w:type="dxa"/>
            <w:shd w:val="clear" w:color="auto" w:fill="auto"/>
            <w:noWrap/>
            <w:vAlign w:val="center"/>
            <w:hideMark/>
          </w:tcPr>
          <w:p w14:paraId="5282E38C" w14:textId="663580F8" w:rsidR="00D751FB" w:rsidRPr="0051039E" w:rsidRDefault="00D751FB" w:rsidP="00D751FB">
            <w:pPr>
              <w:pStyle w:val="ExhibitText"/>
              <w:jc w:val="left"/>
              <w:rPr>
                <w:lang w:val="en-GB"/>
              </w:rPr>
            </w:pPr>
            <w:r w:rsidRPr="0051039E">
              <w:rPr>
                <w:lang w:val="en-GB"/>
              </w:rPr>
              <w:t>Other</w:t>
            </w:r>
          </w:p>
        </w:tc>
        <w:tc>
          <w:tcPr>
            <w:tcW w:w="1005" w:type="dxa"/>
            <w:shd w:val="clear" w:color="auto" w:fill="auto"/>
            <w:noWrap/>
            <w:vAlign w:val="center"/>
            <w:hideMark/>
          </w:tcPr>
          <w:p w14:paraId="02604A47" w14:textId="77777777" w:rsidR="00D751FB" w:rsidRPr="0051039E" w:rsidRDefault="00D751FB" w:rsidP="00D751FB">
            <w:pPr>
              <w:pStyle w:val="ExhibitText"/>
              <w:jc w:val="right"/>
              <w:rPr>
                <w:lang w:val="en-GB"/>
              </w:rPr>
            </w:pPr>
            <w:r w:rsidRPr="0051039E">
              <w:rPr>
                <w:lang w:val="en-GB"/>
              </w:rPr>
              <w:t>1,919</w:t>
            </w:r>
          </w:p>
        </w:tc>
        <w:tc>
          <w:tcPr>
            <w:tcW w:w="990" w:type="dxa"/>
            <w:shd w:val="clear" w:color="auto" w:fill="auto"/>
            <w:noWrap/>
            <w:vAlign w:val="center"/>
            <w:hideMark/>
          </w:tcPr>
          <w:p w14:paraId="430E4628" w14:textId="77777777" w:rsidR="00D751FB" w:rsidRPr="0051039E" w:rsidRDefault="00D751FB" w:rsidP="00D751FB">
            <w:pPr>
              <w:pStyle w:val="ExhibitText"/>
              <w:jc w:val="right"/>
              <w:rPr>
                <w:lang w:val="en-GB"/>
              </w:rPr>
            </w:pPr>
            <w:r w:rsidRPr="0051039E">
              <w:rPr>
                <w:lang w:val="en-GB"/>
              </w:rPr>
              <w:t>256</w:t>
            </w:r>
          </w:p>
        </w:tc>
        <w:tc>
          <w:tcPr>
            <w:tcW w:w="1080" w:type="dxa"/>
            <w:shd w:val="clear" w:color="auto" w:fill="auto"/>
            <w:noWrap/>
            <w:vAlign w:val="center"/>
            <w:hideMark/>
          </w:tcPr>
          <w:p w14:paraId="15A64780" w14:textId="77777777" w:rsidR="00D751FB" w:rsidRPr="0051039E" w:rsidRDefault="00D751FB" w:rsidP="00D751FB">
            <w:pPr>
              <w:pStyle w:val="ExhibitText"/>
              <w:jc w:val="right"/>
              <w:rPr>
                <w:lang w:val="en-GB"/>
              </w:rPr>
            </w:pPr>
            <w:r w:rsidRPr="0051039E">
              <w:rPr>
                <w:lang w:val="en-GB"/>
              </w:rPr>
              <w:t>13.3%</w:t>
            </w:r>
          </w:p>
        </w:tc>
        <w:tc>
          <w:tcPr>
            <w:tcW w:w="1170" w:type="dxa"/>
            <w:shd w:val="clear" w:color="auto" w:fill="auto"/>
            <w:noWrap/>
            <w:vAlign w:val="center"/>
            <w:hideMark/>
          </w:tcPr>
          <w:p w14:paraId="2711B140" w14:textId="77777777" w:rsidR="00D751FB" w:rsidRPr="0051039E" w:rsidRDefault="00D751FB" w:rsidP="00D751FB">
            <w:pPr>
              <w:pStyle w:val="ExhibitText"/>
              <w:jc w:val="right"/>
              <w:rPr>
                <w:lang w:val="en-GB"/>
              </w:rPr>
            </w:pPr>
            <w:r w:rsidRPr="0051039E">
              <w:rPr>
                <w:lang w:val="en-GB"/>
              </w:rPr>
              <w:t>1,927</w:t>
            </w:r>
          </w:p>
        </w:tc>
        <w:tc>
          <w:tcPr>
            <w:tcW w:w="900" w:type="dxa"/>
            <w:shd w:val="clear" w:color="auto" w:fill="auto"/>
            <w:noWrap/>
            <w:vAlign w:val="center"/>
            <w:hideMark/>
          </w:tcPr>
          <w:p w14:paraId="6CC99D1E" w14:textId="77777777" w:rsidR="00D751FB" w:rsidRPr="0051039E" w:rsidRDefault="00D751FB" w:rsidP="00D751FB">
            <w:pPr>
              <w:pStyle w:val="ExhibitText"/>
              <w:jc w:val="right"/>
              <w:rPr>
                <w:lang w:val="en-GB"/>
              </w:rPr>
            </w:pPr>
            <w:r w:rsidRPr="0051039E">
              <w:rPr>
                <w:lang w:val="en-GB"/>
              </w:rPr>
              <w:t>275</w:t>
            </w:r>
          </w:p>
        </w:tc>
        <w:tc>
          <w:tcPr>
            <w:tcW w:w="1080" w:type="dxa"/>
            <w:shd w:val="clear" w:color="auto" w:fill="auto"/>
            <w:noWrap/>
            <w:vAlign w:val="center"/>
            <w:hideMark/>
          </w:tcPr>
          <w:p w14:paraId="0D9D82EF" w14:textId="77777777" w:rsidR="00D751FB" w:rsidRPr="0051039E" w:rsidRDefault="00D751FB" w:rsidP="00D751FB">
            <w:pPr>
              <w:pStyle w:val="ExhibitText"/>
              <w:jc w:val="right"/>
              <w:rPr>
                <w:lang w:val="en-GB"/>
              </w:rPr>
            </w:pPr>
            <w:r w:rsidRPr="0051039E">
              <w:rPr>
                <w:lang w:val="en-GB"/>
              </w:rPr>
              <w:t>14.3%</w:t>
            </w:r>
          </w:p>
        </w:tc>
      </w:tr>
      <w:tr w:rsidR="00D751FB" w:rsidRPr="0051039E" w14:paraId="101C687A" w14:textId="77777777" w:rsidTr="00E70A21">
        <w:trPr>
          <w:trHeight w:val="320"/>
          <w:jc w:val="center"/>
        </w:trPr>
        <w:tc>
          <w:tcPr>
            <w:tcW w:w="2405" w:type="dxa"/>
            <w:shd w:val="clear" w:color="auto" w:fill="auto"/>
            <w:noWrap/>
            <w:vAlign w:val="center"/>
            <w:hideMark/>
          </w:tcPr>
          <w:p w14:paraId="2870D093" w14:textId="2DA1856F" w:rsidR="00D751FB" w:rsidRPr="0051039E" w:rsidRDefault="00D751FB" w:rsidP="00D751FB">
            <w:pPr>
              <w:pStyle w:val="ExhibitText"/>
              <w:jc w:val="left"/>
              <w:rPr>
                <w:lang w:val="en-GB"/>
              </w:rPr>
            </w:pPr>
            <w:r w:rsidRPr="0051039E">
              <w:rPr>
                <w:lang w:val="en-GB"/>
              </w:rPr>
              <w:t>Total</w:t>
            </w:r>
          </w:p>
        </w:tc>
        <w:tc>
          <w:tcPr>
            <w:tcW w:w="1005" w:type="dxa"/>
            <w:shd w:val="clear" w:color="auto" w:fill="auto"/>
            <w:noWrap/>
            <w:vAlign w:val="center"/>
            <w:hideMark/>
          </w:tcPr>
          <w:p w14:paraId="0AFE6A0D" w14:textId="77777777" w:rsidR="00D751FB" w:rsidRPr="0051039E" w:rsidRDefault="00D751FB" w:rsidP="00D751FB">
            <w:pPr>
              <w:pStyle w:val="ExhibitText"/>
              <w:jc w:val="right"/>
              <w:rPr>
                <w:lang w:val="en-GB"/>
              </w:rPr>
            </w:pPr>
            <w:r w:rsidRPr="0051039E">
              <w:rPr>
                <w:lang w:val="en-GB"/>
              </w:rPr>
              <w:t>4,485</w:t>
            </w:r>
          </w:p>
        </w:tc>
        <w:tc>
          <w:tcPr>
            <w:tcW w:w="990" w:type="dxa"/>
            <w:shd w:val="clear" w:color="auto" w:fill="auto"/>
            <w:noWrap/>
            <w:vAlign w:val="center"/>
            <w:hideMark/>
          </w:tcPr>
          <w:p w14:paraId="5D37359C" w14:textId="77777777" w:rsidR="00D751FB" w:rsidRPr="0051039E" w:rsidRDefault="00D751FB" w:rsidP="00D751FB">
            <w:pPr>
              <w:pStyle w:val="ExhibitText"/>
              <w:jc w:val="right"/>
              <w:rPr>
                <w:lang w:val="en-GB"/>
              </w:rPr>
            </w:pPr>
            <w:r w:rsidRPr="0051039E">
              <w:rPr>
                <w:lang w:val="en-GB"/>
              </w:rPr>
              <w:t>690</w:t>
            </w:r>
          </w:p>
        </w:tc>
        <w:tc>
          <w:tcPr>
            <w:tcW w:w="1080" w:type="dxa"/>
            <w:shd w:val="clear" w:color="auto" w:fill="auto"/>
            <w:noWrap/>
            <w:vAlign w:val="center"/>
            <w:hideMark/>
          </w:tcPr>
          <w:p w14:paraId="2A10870D" w14:textId="77777777" w:rsidR="00D751FB" w:rsidRPr="0051039E" w:rsidRDefault="00D751FB" w:rsidP="00D751FB">
            <w:pPr>
              <w:pStyle w:val="ExhibitText"/>
              <w:jc w:val="right"/>
              <w:rPr>
                <w:lang w:val="en-GB"/>
              </w:rPr>
            </w:pPr>
            <w:r w:rsidRPr="0051039E">
              <w:rPr>
                <w:lang w:val="en-GB"/>
              </w:rPr>
              <w:t>15.4%</w:t>
            </w:r>
          </w:p>
        </w:tc>
        <w:tc>
          <w:tcPr>
            <w:tcW w:w="1170" w:type="dxa"/>
            <w:shd w:val="clear" w:color="auto" w:fill="auto"/>
            <w:noWrap/>
            <w:vAlign w:val="center"/>
            <w:hideMark/>
          </w:tcPr>
          <w:p w14:paraId="5719CE58" w14:textId="77777777" w:rsidR="00D751FB" w:rsidRPr="0051039E" w:rsidRDefault="00D751FB" w:rsidP="00D751FB">
            <w:pPr>
              <w:pStyle w:val="ExhibitText"/>
              <w:jc w:val="right"/>
              <w:rPr>
                <w:lang w:val="en-GB"/>
              </w:rPr>
            </w:pPr>
            <w:r w:rsidRPr="0051039E">
              <w:rPr>
                <w:lang w:val="en-GB"/>
              </w:rPr>
              <w:t>4,166</w:t>
            </w:r>
          </w:p>
        </w:tc>
        <w:tc>
          <w:tcPr>
            <w:tcW w:w="900" w:type="dxa"/>
            <w:shd w:val="clear" w:color="auto" w:fill="auto"/>
            <w:noWrap/>
            <w:vAlign w:val="center"/>
            <w:hideMark/>
          </w:tcPr>
          <w:p w14:paraId="140DF0E5" w14:textId="77777777" w:rsidR="00D751FB" w:rsidRPr="0051039E" w:rsidRDefault="00D751FB" w:rsidP="00D751FB">
            <w:pPr>
              <w:pStyle w:val="ExhibitText"/>
              <w:jc w:val="right"/>
              <w:rPr>
                <w:lang w:val="en-GB"/>
              </w:rPr>
            </w:pPr>
            <w:r w:rsidRPr="0051039E">
              <w:rPr>
                <w:lang w:val="en-GB"/>
              </w:rPr>
              <w:t>669</w:t>
            </w:r>
          </w:p>
        </w:tc>
        <w:tc>
          <w:tcPr>
            <w:tcW w:w="1080" w:type="dxa"/>
            <w:shd w:val="clear" w:color="auto" w:fill="auto"/>
            <w:noWrap/>
            <w:vAlign w:val="center"/>
            <w:hideMark/>
          </w:tcPr>
          <w:p w14:paraId="75DF3C62" w14:textId="77777777" w:rsidR="00D751FB" w:rsidRPr="0051039E" w:rsidRDefault="00D751FB" w:rsidP="00D751FB">
            <w:pPr>
              <w:pStyle w:val="ExhibitText"/>
              <w:jc w:val="right"/>
              <w:rPr>
                <w:lang w:val="en-GB"/>
              </w:rPr>
            </w:pPr>
            <w:r w:rsidRPr="0051039E">
              <w:rPr>
                <w:lang w:val="en-GB"/>
              </w:rPr>
              <w:t>16.1%</w:t>
            </w:r>
          </w:p>
        </w:tc>
      </w:tr>
      <w:tr w:rsidR="00D751FB" w:rsidRPr="0051039E" w14:paraId="52788610" w14:textId="77777777" w:rsidTr="00E70A21">
        <w:trPr>
          <w:trHeight w:val="340"/>
          <w:jc w:val="center"/>
        </w:trPr>
        <w:tc>
          <w:tcPr>
            <w:tcW w:w="2405" w:type="dxa"/>
            <w:shd w:val="clear" w:color="auto" w:fill="auto"/>
            <w:noWrap/>
            <w:vAlign w:val="center"/>
            <w:hideMark/>
          </w:tcPr>
          <w:p w14:paraId="2CE0C0F3" w14:textId="77777777" w:rsidR="00D751FB" w:rsidRPr="00E70A21" w:rsidRDefault="00D751FB" w:rsidP="00D751FB">
            <w:pPr>
              <w:pStyle w:val="ExhibitText"/>
              <w:jc w:val="left"/>
              <w:rPr>
                <w:b/>
                <w:lang w:val="en-GB"/>
              </w:rPr>
            </w:pPr>
            <w:r w:rsidRPr="00E70A21">
              <w:rPr>
                <w:b/>
                <w:lang w:val="en-GB"/>
              </w:rPr>
              <w:t>Total in GM Markets</w:t>
            </w:r>
          </w:p>
        </w:tc>
        <w:tc>
          <w:tcPr>
            <w:tcW w:w="1005" w:type="dxa"/>
            <w:shd w:val="clear" w:color="auto" w:fill="auto"/>
            <w:noWrap/>
            <w:vAlign w:val="center"/>
            <w:hideMark/>
          </w:tcPr>
          <w:p w14:paraId="4556FFB2" w14:textId="77777777" w:rsidR="00D751FB" w:rsidRPr="0051039E" w:rsidRDefault="00D751FB" w:rsidP="00D751FB">
            <w:pPr>
              <w:pStyle w:val="ExhibitText"/>
              <w:jc w:val="right"/>
              <w:rPr>
                <w:lang w:val="en-GB"/>
              </w:rPr>
            </w:pPr>
            <w:r w:rsidRPr="0051039E">
              <w:rPr>
                <w:lang w:val="en-GB"/>
              </w:rPr>
              <w:t>74,732</w:t>
            </w:r>
          </w:p>
        </w:tc>
        <w:tc>
          <w:tcPr>
            <w:tcW w:w="990" w:type="dxa"/>
            <w:shd w:val="clear" w:color="auto" w:fill="auto"/>
            <w:noWrap/>
            <w:vAlign w:val="center"/>
            <w:hideMark/>
          </w:tcPr>
          <w:p w14:paraId="359C2C34" w14:textId="77777777" w:rsidR="00D751FB" w:rsidRPr="0051039E" w:rsidRDefault="00D751FB" w:rsidP="00D751FB">
            <w:pPr>
              <w:pStyle w:val="ExhibitText"/>
              <w:jc w:val="right"/>
              <w:rPr>
                <w:lang w:val="en-GB"/>
              </w:rPr>
            </w:pPr>
            <w:r w:rsidRPr="0051039E">
              <w:rPr>
                <w:lang w:val="en-GB"/>
              </w:rPr>
              <w:t>8,380</w:t>
            </w:r>
          </w:p>
        </w:tc>
        <w:tc>
          <w:tcPr>
            <w:tcW w:w="1080" w:type="dxa"/>
            <w:shd w:val="clear" w:color="auto" w:fill="auto"/>
            <w:noWrap/>
            <w:vAlign w:val="center"/>
            <w:hideMark/>
          </w:tcPr>
          <w:p w14:paraId="435886E1" w14:textId="77777777" w:rsidR="00D751FB" w:rsidRPr="0051039E" w:rsidRDefault="00D751FB" w:rsidP="00D751FB">
            <w:pPr>
              <w:pStyle w:val="ExhibitText"/>
              <w:jc w:val="right"/>
              <w:rPr>
                <w:lang w:val="en-GB"/>
              </w:rPr>
            </w:pPr>
            <w:r w:rsidRPr="0051039E">
              <w:rPr>
                <w:lang w:val="en-GB"/>
              </w:rPr>
              <w:t>11.2%</w:t>
            </w:r>
          </w:p>
        </w:tc>
        <w:tc>
          <w:tcPr>
            <w:tcW w:w="1170" w:type="dxa"/>
            <w:shd w:val="clear" w:color="auto" w:fill="auto"/>
            <w:noWrap/>
            <w:vAlign w:val="center"/>
            <w:hideMark/>
          </w:tcPr>
          <w:p w14:paraId="363B4439" w14:textId="77777777" w:rsidR="00D751FB" w:rsidRPr="0051039E" w:rsidRDefault="00D751FB" w:rsidP="00D751FB">
            <w:pPr>
              <w:pStyle w:val="ExhibitText"/>
              <w:jc w:val="right"/>
              <w:rPr>
                <w:lang w:val="en-GB"/>
              </w:rPr>
            </w:pPr>
            <w:r w:rsidRPr="0051039E">
              <w:rPr>
                <w:lang w:val="en-GB"/>
              </w:rPr>
              <w:t>75,031</w:t>
            </w:r>
          </w:p>
        </w:tc>
        <w:tc>
          <w:tcPr>
            <w:tcW w:w="900" w:type="dxa"/>
            <w:shd w:val="clear" w:color="auto" w:fill="auto"/>
            <w:noWrap/>
            <w:vAlign w:val="center"/>
            <w:hideMark/>
          </w:tcPr>
          <w:p w14:paraId="1AB51A6C" w14:textId="77777777" w:rsidR="00D751FB" w:rsidRPr="0051039E" w:rsidRDefault="00D751FB" w:rsidP="00D751FB">
            <w:pPr>
              <w:pStyle w:val="ExhibitText"/>
              <w:jc w:val="right"/>
              <w:rPr>
                <w:lang w:val="en-GB"/>
              </w:rPr>
            </w:pPr>
            <w:r w:rsidRPr="0051039E">
              <w:rPr>
                <w:lang w:val="en-GB"/>
              </w:rPr>
              <w:t>8,915</w:t>
            </w:r>
          </w:p>
        </w:tc>
        <w:tc>
          <w:tcPr>
            <w:tcW w:w="1080" w:type="dxa"/>
            <w:shd w:val="clear" w:color="auto" w:fill="auto"/>
            <w:noWrap/>
            <w:vAlign w:val="center"/>
            <w:hideMark/>
          </w:tcPr>
          <w:p w14:paraId="30C3614D" w14:textId="77777777" w:rsidR="00D751FB" w:rsidRPr="0051039E" w:rsidRDefault="00D751FB" w:rsidP="00D751FB">
            <w:pPr>
              <w:pStyle w:val="ExhibitText"/>
              <w:jc w:val="right"/>
              <w:rPr>
                <w:lang w:val="en-GB"/>
              </w:rPr>
            </w:pPr>
            <w:r w:rsidRPr="0051039E">
              <w:rPr>
                <w:lang w:val="en-GB"/>
              </w:rPr>
              <w:t>11.9%</w:t>
            </w:r>
          </w:p>
        </w:tc>
      </w:tr>
      <w:tr w:rsidR="00D751FB" w:rsidRPr="0051039E" w14:paraId="325AF16A" w14:textId="77777777" w:rsidTr="00E70A21">
        <w:trPr>
          <w:trHeight w:val="320"/>
          <w:jc w:val="center"/>
        </w:trPr>
        <w:tc>
          <w:tcPr>
            <w:tcW w:w="2405" w:type="dxa"/>
            <w:shd w:val="clear" w:color="auto" w:fill="auto"/>
            <w:noWrap/>
            <w:vAlign w:val="center"/>
            <w:hideMark/>
          </w:tcPr>
          <w:p w14:paraId="74BBEB67" w14:textId="008D823E" w:rsidR="00D751FB" w:rsidRPr="00E70A21" w:rsidRDefault="00D751FB" w:rsidP="00D751FB">
            <w:pPr>
              <w:pStyle w:val="ExhibitText"/>
              <w:jc w:val="left"/>
              <w:rPr>
                <w:b/>
                <w:lang w:val="en-GB"/>
              </w:rPr>
            </w:pPr>
            <w:r w:rsidRPr="00E70A21">
              <w:rPr>
                <w:b/>
                <w:lang w:val="en-GB"/>
              </w:rPr>
              <w:t>Total</w:t>
            </w:r>
            <w:r w:rsidR="00344194" w:rsidRPr="00E70A21">
              <w:rPr>
                <w:b/>
                <w:lang w:val="en-GB"/>
              </w:rPr>
              <w:t xml:space="preserve"> in</w:t>
            </w:r>
            <w:r w:rsidRPr="00E70A21">
              <w:rPr>
                <w:b/>
                <w:lang w:val="en-GB"/>
              </w:rPr>
              <w:t xml:space="preserve"> Europe</w:t>
            </w:r>
          </w:p>
        </w:tc>
        <w:tc>
          <w:tcPr>
            <w:tcW w:w="1005" w:type="dxa"/>
            <w:shd w:val="clear" w:color="auto" w:fill="auto"/>
            <w:noWrap/>
            <w:vAlign w:val="center"/>
            <w:hideMark/>
          </w:tcPr>
          <w:p w14:paraId="6842B538" w14:textId="77777777" w:rsidR="00D751FB" w:rsidRPr="0051039E" w:rsidRDefault="00D751FB" w:rsidP="00D751FB">
            <w:pPr>
              <w:pStyle w:val="ExhibitText"/>
              <w:jc w:val="right"/>
              <w:rPr>
                <w:lang w:val="en-GB"/>
              </w:rPr>
            </w:pPr>
            <w:r w:rsidRPr="0051039E">
              <w:rPr>
                <w:lang w:val="en-GB"/>
              </w:rPr>
              <w:t>19,045</w:t>
            </w:r>
          </w:p>
        </w:tc>
        <w:tc>
          <w:tcPr>
            <w:tcW w:w="990" w:type="dxa"/>
            <w:shd w:val="clear" w:color="auto" w:fill="auto"/>
            <w:noWrap/>
            <w:vAlign w:val="center"/>
            <w:hideMark/>
          </w:tcPr>
          <w:p w14:paraId="622F0746" w14:textId="77777777" w:rsidR="00D751FB" w:rsidRPr="0051039E" w:rsidRDefault="00D751FB" w:rsidP="00D751FB">
            <w:pPr>
              <w:pStyle w:val="ExhibitText"/>
              <w:jc w:val="right"/>
              <w:rPr>
                <w:lang w:val="en-GB"/>
              </w:rPr>
            </w:pPr>
            <w:r w:rsidRPr="0051039E">
              <w:rPr>
                <w:lang w:val="en-GB"/>
              </w:rPr>
              <w:t>4</w:t>
            </w:r>
          </w:p>
        </w:tc>
        <w:tc>
          <w:tcPr>
            <w:tcW w:w="1080" w:type="dxa"/>
            <w:shd w:val="clear" w:color="auto" w:fill="auto"/>
            <w:noWrap/>
            <w:vAlign w:val="center"/>
            <w:hideMark/>
          </w:tcPr>
          <w:p w14:paraId="4136F1C7" w14:textId="77777777" w:rsidR="00D751FB" w:rsidRPr="0051039E" w:rsidRDefault="00D751FB" w:rsidP="00D751FB">
            <w:pPr>
              <w:pStyle w:val="ExhibitText"/>
              <w:jc w:val="right"/>
              <w:rPr>
                <w:lang w:val="en-GB"/>
              </w:rPr>
            </w:pPr>
            <w:r w:rsidRPr="0051039E">
              <w:rPr>
                <w:lang w:val="en-GB"/>
              </w:rPr>
              <w:t>0.0%</w:t>
            </w:r>
          </w:p>
        </w:tc>
        <w:tc>
          <w:tcPr>
            <w:tcW w:w="1170" w:type="dxa"/>
            <w:shd w:val="clear" w:color="auto" w:fill="auto"/>
            <w:noWrap/>
            <w:vAlign w:val="center"/>
            <w:hideMark/>
          </w:tcPr>
          <w:p w14:paraId="73E647F7" w14:textId="77777777" w:rsidR="00D751FB" w:rsidRPr="0051039E" w:rsidRDefault="00D751FB" w:rsidP="00D751FB">
            <w:pPr>
              <w:pStyle w:val="ExhibitText"/>
              <w:jc w:val="right"/>
              <w:rPr>
                <w:lang w:val="en-GB"/>
              </w:rPr>
            </w:pPr>
            <w:r w:rsidRPr="0051039E">
              <w:rPr>
                <w:lang w:val="en-GB"/>
              </w:rPr>
              <w:t>19,149</w:t>
            </w:r>
          </w:p>
        </w:tc>
        <w:tc>
          <w:tcPr>
            <w:tcW w:w="900" w:type="dxa"/>
            <w:shd w:val="clear" w:color="auto" w:fill="auto"/>
            <w:noWrap/>
            <w:vAlign w:val="center"/>
            <w:hideMark/>
          </w:tcPr>
          <w:p w14:paraId="6463C56A" w14:textId="77777777" w:rsidR="00D751FB" w:rsidRPr="0051039E" w:rsidRDefault="00D751FB" w:rsidP="00D751FB">
            <w:pPr>
              <w:pStyle w:val="ExhibitText"/>
              <w:jc w:val="right"/>
              <w:rPr>
                <w:lang w:val="en-GB"/>
              </w:rPr>
            </w:pPr>
            <w:r w:rsidRPr="0051039E">
              <w:rPr>
                <w:lang w:val="en-GB"/>
              </w:rPr>
              <w:t>685</w:t>
            </w:r>
          </w:p>
        </w:tc>
        <w:tc>
          <w:tcPr>
            <w:tcW w:w="1080" w:type="dxa"/>
            <w:shd w:val="clear" w:color="auto" w:fill="auto"/>
            <w:noWrap/>
            <w:vAlign w:val="center"/>
            <w:hideMark/>
          </w:tcPr>
          <w:p w14:paraId="629968EB" w14:textId="77777777" w:rsidR="00D751FB" w:rsidRPr="0051039E" w:rsidRDefault="00D751FB" w:rsidP="00D751FB">
            <w:pPr>
              <w:pStyle w:val="ExhibitText"/>
              <w:jc w:val="right"/>
              <w:rPr>
                <w:lang w:val="en-GB"/>
              </w:rPr>
            </w:pPr>
            <w:r w:rsidRPr="0051039E">
              <w:rPr>
                <w:lang w:val="en-GB"/>
              </w:rPr>
              <w:t>3.6%</w:t>
            </w:r>
          </w:p>
        </w:tc>
      </w:tr>
      <w:tr w:rsidR="00D751FB" w:rsidRPr="0051039E" w14:paraId="79B549F9" w14:textId="77777777" w:rsidTr="00E70A21">
        <w:trPr>
          <w:trHeight w:val="340"/>
          <w:jc w:val="center"/>
        </w:trPr>
        <w:tc>
          <w:tcPr>
            <w:tcW w:w="2405" w:type="dxa"/>
            <w:shd w:val="clear" w:color="auto" w:fill="auto"/>
            <w:noWrap/>
            <w:vAlign w:val="center"/>
            <w:hideMark/>
          </w:tcPr>
          <w:p w14:paraId="65EC3484" w14:textId="77777777" w:rsidR="00D751FB" w:rsidRPr="00E70A21" w:rsidRDefault="00D751FB" w:rsidP="00D751FB">
            <w:pPr>
              <w:pStyle w:val="ExhibitText"/>
              <w:jc w:val="left"/>
              <w:rPr>
                <w:b/>
                <w:lang w:val="en-GB"/>
              </w:rPr>
            </w:pPr>
            <w:r w:rsidRPr="00E70A21">
              <w:rPr>
                <w:b/>
                <w:lang w:val="en-GB"/>
              </w:rPr>
              <w:t>Total Worldwide</w:t>
            </w:r>
          </w:p>
        </w:tc>
        <w:tc>
          <w:tcPr>
            <w:tcW w:w="1005" w:type="dxa"/>
            <w:shd w:val="clear" w:color="auto" w:fill="auto"/>
            <w:noWrap/>
            <w:vAlign w:val="center"/>
            <w:hideMark/>
          </w:tcPr>
          <w:p w14:paraId="31A790F5" w14:textId="77777777" w:rsidR="00D751FB" w:rsidRPr="0051039E" w:rsidRDefault="00D751FB" w:rsidP="00D751FB">
            <w:pPr>
              <w:pStyle w:val="ExhibitText"/>
              <w:jc w:val="right"/>
              <w:rPr>
                <w:lang w:val="en-GB"/>
              </w:rPr>
            </w:pPr>
            <w:r w:rsidRPr="0051039E">
              <w:rPr>
                <w:lang w:val="en-GB"/>
              </w:rPr>
              <w:t>93,777</w:t>
            </w:r>
          </w:p>
        </w:tc>
        <w:tc>
          <w:tcPr>
            <w:tcW w:w="990" w:type="dxa"/>
            <w:shd w:val="clear" w:color="auto" w:fill="auto"/>
            <w:noWrap/>
            <w:vAlign w:val="center"/>
            <w:hideMark/>
          </w:tcPr>
          <w:p w14:paraId="0470DB27" w14:textId="77777777" w:rsidR="00D751FB" w:rsidRPr="0051039E" w:rsidRDefault="00D751FB" w:rsidP="00D751FB">
            <w:pPr>
              <w:pStyle w:val="ExhibitText"/>
              <w:jc w:val="right"/>
              <w:rPr>
                <w:lang w:val="en-GB"/>
              </w:rPr>
            </w:pPr>
            <w:r w:rsidRPr="0051039E">
              <w:rPr>
                <w:lang w:val="en-GB"/>
              </w:rPr>
              <w:t>8,384</w:t>
            </w:r>
          </w:p>
        </w:tc>
        <w:tc>
          <w:tcPr>
            <w:tcW w:w="1080" w:type="dxa"/>
            <w:shd w:val="clear" w:color="auto" w:fill="auto"/>
            <w:noWrap/>
            <w:vAlign w:val="center"/>
            <w:hideMark/>
          </w:tcPr>
          <w:p w14:paraId="789419F7" w14:textId="77777777" w:rsidR="00D751FB" w:rsidRPr="0051039E" w:rsidRDefault="00D751FB" w:rsidP="00D751FB">
            <w:pPr>
              <w:pStyle w:val="ExhibitText"/>
              <w:jc w:val="right"/>
              <w:rPr>
                <w:lang w:val="en-GB"/>
              </w:rPr>
            </w:pPr>
            <w:r w:rsidRPr="0051039E">
              <w:rPr>
                <w:lang w:val="en-GB"/>
              </w:rPr>
              <w:t>8.9%</w:t>
            </w:r>
          </w:p>
        </w:tc>
        <w:tc>
          <w:tcPr>
            <w:tcW w:w="1170" w:type="dxa"/>
            <w:shd w:val="clear" w:color="auto" w:fill="auto"/>
            <w:noWrap/>
            <w:vAlign w:val="center"/>
            <w:hideMark/>
          </w:tcPr>
          <w:p w14:paraId="64B51EC6" w14:textId="77777777" w:rsidR="00D751FB" w:rsidRPr="0051039E" w:rsidRDefault="00D751FB" w:rsidP="00D751FB">
            <w:pPr>
              <w:pStyle w:val="ExhibitText"/>
              <w:jc w:val="right"/>
              <w:rPr>
                <w:lang w:val="en-GB"/>
              </w:rPr>
            </w:pPr>
            <w:r w:rsidRPr="0051039E">
              <w:rPr>
                <w:lang w:val="en-GB"/>
              </w:rPr>
              <w:t>94,180</w:t>
            </w:r>
          </w:p>
        </w:tc>
        <w:tc>
          <w:tcPr>
            <w:tcW w:w="900" w:type="dxa"/>
            <w:shd w:val="clear" w:color="auto" w:fill="auto"/>
            <w:noWrap/>
            <w:vAlign w:val="center"/>
            <w:hideMark/>
          </w:tcPr>
          <w:p w14:paraId="136A907D" w14:textId="77777777" w:rsidR="00D751FB" w:rsidRPr="0051039E" w:rsidRDefault="00D751FB" w:rsidP="00D751FB">
            <w:pPr>
              <w:pStyle w:val="ExhibitText"/>
              <w:jc w:val="right"/>
              <w:rPr>
                <w:lang w:val="en-GB"/>
              </w:rPr>
            </w:pPr>
            <w:r w:rsidRPr="0051039E">
              <w:rPr>
                <w:lang w:val="en-GB"/>
              </w:rPr>
              <w:t>9,600</w:t>
            </w:r>
          </w:p>
        </w:tc>
        <w:tc>
          <w:tcPr>
            <w:tcW w:w="1080" w:type="dxa"/>
            <w:shd w:val="clear" w:color="auto" w:fill="auto"/>
            <w:noWrap/>
            <w:vAlign w:val="center"/>
            <w:hideMark/>
          </w:tcPr>
          <w:p w14:paraId="7A35B6DE" w14:textId="77777777" w:rsidR="00D751FB" w:rsidRPr="0051039E" w:rsidRDefault="00D751FB" w:rsidP="00D751FB">
            <w:pPr>
              <w:pStyle w:val="ExhibitText"/>
              <w:jc w:val="right"/>
              <w:rPr>
                <w:lang w:val="en-GB"/>
              </w:rPr>
            </w:pPr>
            <w:r w:rsidRPr="0051039E">
              <w:rPr>
                <w:lang w:val="en-GB"/>
              </w:rPr>
              <w:t>10.2%</w:t>
            </w:r>
          </w:p>
        </w:tc>
      </w:tr>
      <w:tr w:rsidR="00D751FB" w:rsidRPr="0051039E" w14:paraId="75FD2798" w14:textId="77777777" w:rsidTr="00E70A21">
        <w:trPr>
          <w:trHeight w:val="320"/>
          <w:jc w:val="center"/>
        </w:trPr>
        <w:tc>
          <w:tcPr>
            <w:tcW w:w="2405" w:type="dxa"/>
            <w:shd w:val="clear" w:color="auto" w:fill="auto"/>
            <w:noWrap/>
            <w:vAlign w:val="center"/>
            <w:hideMark/>
          </w:tcPr>
          <w:p w14:paraId="3AE3C1E1" w14:textId="77777777" w:rsidR="00D751FB" w:rsidRPr="00E70A21" w:rsidRDefault="00D751FB" w:rsidP="00D751FB">
            <w:pPr>
              <w:pStyle w:val="ExhibitText"/>
              <w:jc w:val="left"/>
              <w:rPr>
                <w:b/>
                <w:lang w:val="en-GB"/>
              </w:rPr>
            </w:pPr>
            <w:r w:rsidRPr="00E70A21">
              <w:rPr>
                <w:b/>
                <w:lang w:val="en-GB"/>
              </w:rPr>
              <w:t>United States</w:t>
            </w:r>
          </w:p>
        </w:tc>
        <w:tc>
          <w:tcPr>
            <w:tcW w:w="1005" w:type="dxa"/>
            <w:shd w:val="clear" w:color="auto" w:fill="auto"/>
            <w:noWrap/>
            <w:vAlign w:val="center"/>
            <w:hideMark/>
          </w:tcPr>
          <w:p w14:paraId="4E91A848" w14:textId="77777777" w:rsidR="00D751FB" w:rsidRPr="0051039E" w:rsidRDefault="00D751FB" w:rsidP="00D751FB">
            <w:pPr>
              <w:pStyle w:val="ExhibitText"/>
              <w:jc w:val="right"/>
              <w:rPr>
                <w:lang w:val="en-GB"/>
              </w:rPr>
            </w:pPr>
          </w:p>
        </w:tc>
        <w:tc>
          <w:tcPr>
            <w:tcW w:w="990" w:type="dxa"/>
            <w:shd w:val="clear" w:color="auto" w:fill="auto"/>
            <w:noWrap/>
            <w:vAlign w:val="center"/>
            <w:hideMark/>
          </w:tcPr>
          <w:p w14:paraId="44F1C04D" w14:textId="77777777" w:rsidR="00D751FB" w:rsidRPr="0051039E" w:rsidRDefault="00D751FB" w:rsidP="00D751FB">
            <w:pPr>
              <w:pStyle w:val="ExhibitText"/>
              <w:jc w:val="right"/>
              <w:rPr>
                <w:lang w:val="en-GB"/>
              </w:rPr>
            </w:pPr>
          </w:p>
        </w:tc>
        <w:tc>
          <w:tcPr>
            <w:tcW w:w="1080" w:type="dxa"/>
            <w:shd w:val="clear" w:color="auto" w:fill="auto"/>
            <w:noWrap/>
            <w:vAlign w:val="center"/>
            <w:hideMark/>
          </w:tcPr>
          <w:p w14:paraId="096B2444" w14:textId="77777777" w:rsidR="00D751FB" w:rsidRPr="0051039E" w:rsidRDefault="00D751FB" w:rsidP="00D751FB">
            <w:pPr>
              <w:pStyle w:val="ExhibitText"/>
              <w:jc w:val="right"/>
              <w:rPr>
                <w:lang w:val="en-GB"/>
              </w:rPr>
            </w:pPr>
          </w:p>
        </w:tc>
        <w:tc>
          <w:tcPr>
            <w:tcW w:w="1170" w:type="dxa"/>
            <w:shd w:val="clear" w:color="auto" w:fill="auto"/>
            <w:noWrap/>
            <w:vAlign w:val="center"/>
            <w:hideMark/>
          </w:tcPr>
          <w:p w14:paraId="6E5AF375" w14:textId="77777777" w:rsidR="00D751FB" w:rsidRPr="0051039E" w:rsidRDefault="00D751FB" w:rsidP="00D751FB">
            <w:pPr>
              <w:pStyle w:val="ExhibitText"/>
              <w:jc w:val="right"/>
              <w:rPr>
                <w:lang w:val="en-GB"/>
              </w:rPr>
            </w:pPr>
          </w:p>
        </w:tc>
        <w:tc>
          <w:tcPr>
            <w:tcW w:w="900" w:type="dxa"/>
            <w:shd w:val="clear" w:color="auto" w:fill="auto"/>
            <w:noWrap/>
            <w:vAlign w:val="center"/>
            <w:hideMark/>
          </w:tcPr>
          <w:p w14:paraId="323AB688" w14:textId="77777777" w:rsidR="00D751FB" w:rsidRPr="0051039E" w:rsidRDefault="00D751FB" w:rsidP="00D751FB">
            <w:pPr>
              <w:pStyle w:val="ExhibitText"/>
              <w:jc w:val="right"/>
              <w:rPr>
                <w:lang w:val="en-GB"/>
              </w:rPr>
            </w:pPr>
          </w:p>
        </w:tc>
        <w:tc>
          <w:tcPr>
            <w:tcW w:w="1080" w:type="dxa"/>
            <w:shd w:val="clear" w:color="auto" w:fill="auto"/>
            <w:noWrap/>
            <w:vAlign w:val="center"/>
            <w:hideMark/>
          </w:tcPr>
          <w:p w14:paraId="11794FF5" w14:textId="77777777" w:rsidR="00D751FB" w:rsidRPr="0051039E" w:rsidRDefault="00D751FB" w:rsidP="00D751FB">
            <w:pPr>
              <w:pStyle w:val="ExhibitText"/>
              <w:jc w:val="right"/>
              <w:rPr>
                <w:lang w:val="en-GB"/>
              </w:rPr>
            </w:pPr>
          </w:p>
        </w:tc>
      </w:tr>
      <w:tr w:rsidR="00D751FB" w:rsidRPr="0051039E" w14:paraId="2BF1E583" w14:textId="77777777" w:rsidTr="00E70A21">
        <w:trPr>
          <w:trHeight w:val="320"/>
          <w:jc w:val="center"/>
        </w:trPr>
        <w:tc>
          <w:tcPr>
            <w:tcW w:w="2405" w:type="dxa"/>
            <w:shd w:val="clear" w:color="auto" w:fill="auto"/>
            <w:noWrap/>
            <w:vAlign w:val="center"/>
            <w:hideMark/>
          </w:tcPr>
          <w:p w14:paraId="0BE4D7E6" w14:textId="2888B6E9" w:rsidR="00D751FB" w:rsidRPr="0051039E" w:rsidRDefault="00D751FB" w:rsidP="00D751FB">
            <w:pPr>
              <w:pStyle w:val="ExhibitText"/>
              <w:jc w:val="left"/>
              <w:rPr>
                <w:lang w:val="en-GB"/>
              </w:rPr>
            </w:pPr>
            <w:r w:rsidRPr="0051039E">
              <w:rPr>
                <w:lang w:val="en-GB"/>
              </w:rPr>
              <w:t>Cars</w:t>
            </w:r>
          </w:p>
        </w:tc>
        <w:tc>
          <w:tcPr>
            <w:tcW w:w="1005" w:type="dxa"/>
            <w:shd w:val="clear" w:color="auto" w:fill="auto"/>
            <w:noWrap/>
            <w:vAlign w:val="center"/>
            <w:hideMark/>
          </w:tcPr>
          <w:p w14:paraId="653B58C3" w14:textId="77777777" w:rsidR="00D751FB" w:rsidRPr="0051039E" w:rsidRDefault="00D751FB" w:rsidP="00D751FB">
            <w:pPr>
              <w:pStyle w:val="ExhibitText"/>
              <w:jc w:val="right"/>
              <w:rPr>
                <w:lang w:val="en-GB"/>
              </w:rPr>
            </w:pPr>
            <w:r w:rsidRPr="0051039E">
              <w:rPr>
                <w:lang w:val="en-GB"/>
              </w:rPr>
              <w:t>5,361</w:t>
            </w:r>
          </w:p>
        </w:tc>
        <w:tc>
          <w:tcPr>
            <w:tcW w:w="990" w:type="dxa"/>
            <w:shd w:val="clear" w:color="auto" w:fill="auto"/>
            <w:noWrap/>
            <w:vAlign w:val="center"/>
            <w:hideMark/>
          </w:tcPr>
          <w:p w14:paraId="30C9123F" w14:textId="77777777" w:rsidR="00D751FB" w:rsidRPr="0051039E" w:rsidRDefault="00D751FB" w:rsidP="00D751FB">
            <w:pPr>
              <w:pStyle w:val="ExhibitText"/>
              <w:jc w:val="right"/>
              <w:rPr>
                <w:lang w:val="en-GB"/>
              </w:rPr>
            </w:pPr>
            <w:r w:rsidRPr="0051039E">
              <w:rPr>
                <w:lang w:val="en-GB"/>
              </w:rPr>
              <w:t>560</w:t>
            </w:r>
          </w:p>
        </w:tc>
        <w:tc>
          <w:tcPr>
            <w:tcW w:w="1080" w:type="dxa"/>
            <w:shd w:val="clear" w:color="auto" w:fill="auto"/>
            <w:noWrap/>
            <w:vAlign w:val="center"/>
            <w:hideMark/>
          </w:tcPr>
          <w:p w14:paraId="2CCDD9D3" w14:textId="77777777" w:rsidR="00D751FB" w:rsidRPr="0051039E" w:rsidRDefault="00D751FB" w:rsidP="00D751FB">
            <w:pPr>
              <w:pStyle w:val="ExhibitText"/>
              <w:jc w:val="right"/>
              <w:rPr>
                <w:lang w:val="en-GB"/>
              </w:rPr>
            </w:pPr>
            <w:r w:rsidRPr="0051039E">
              <w:rPr>
                <w:lang w:val="en-GB"/>
              </w:rPr>
              <w:t>10.4%</w:t>
            </w:r>
          </w:p>
        </w:tc>
        <w:tc>
          <w:tcPr>
            <w:tcW w:w="1170" w:type="dxa"/>
            <w:shd w:val="clear" w:color="auto" w:fill="auto"/>
            <w:noWrap/>
            <w:vAlign w:val="center"/>
            <w:hideMark/>
          </w:tcPr>
          <w:p w14:paraId="702A2C72" w14:textId="77777777" w:rsidR="00D751FB" w:rsidRPr="0051039E" w:rsidRDefault="00D751FB" w:rsidP="00D751FB">
            <w:pPr>
              <w:pStyle w:val="ExhibitText"/>
              <w:jc w:val="right"/>
              <w:rPr>
                <w:lang w:val="en-GB"/>
              </w:rPr>
            </w:pPr>
            <w:r w:rsidRPr="0051039E">
              <w:rPr>
                <w:lang w:val="en-GB"/>
              </w:rPr>
              <w:t>6,145</w:t>
            </w:r>
          </w:p>
        </w:tc>
        <w:tc>
          <w:tcPr>
            <w:tcW w:w="900" w:type="dxa"/>
            <w:shd w:val="clear" w:color="auto" w:fill="auto"/>
            <w:noWrap/>
            <w:vAlign w:val="center"/>
            <w:hideMark/>
          </w:tcPr>
          <w:p w14:paraId="1CF8057B" w14:textId="77777777" w:rsidR="00D751FB" w:rsidRPr="0051039E" w:rsidRDefault="00D751FB" w:rsidP="00D751FB">
            <w:pPr>
              <w:pStyle w:val="ExhibitText"/>
              <w:jc w:val="right"/>
              <w:rPr>
                <w:lang w:val="en-GB"/>
              </w:rPr>
            </w:pPr>
            <w:r w:rsidRPr="0051039E">
              <w:rPr>
                <w:lang w:val="en-GB"/>
              </w:rPr>
              <w:t>709</w:t>
            </w:r>
          </w:p>
        </w:tc>
        <w:tc>
          <w:tcPr>
            <w:tcW w:w="1080" w:type="dxa"/>
            <w:shd w:val="clear" w:color="auto" w:fill="auto"/>
            <w:noWrap/>
            <w:vAlign w:val="center"/>
            <w:hideMark/>
          </w:tcPr>
          <w:p w14:paraId="71F70118" w14:textId="77777777" w:rsidR="00D751FB" w:rsidRPr="0051039E" w:rsidRDefault="00D751FB" w:rsidP="00D751FB">
            <w:pPr>
              <w:pStyle w:val="ExhibitText"/>
              <w:jc w:val="right"/>
              <w:rPr>
                <w:lang w:val="en-GB"/>
              </w:rPr>
            </w:pPr>
            <w:r w:rsidRPr="0051039E">
              <w:rPr>
                <w:lang w:val="en-GB"/>
              </w:rPr>
              <w:t>11.5%</w:t>
            </w:r>
          </w:p>
        </w:tc>
      </w:tr>
      <w:tr w:rsidR="00D751FB" w:rsidRPr="0051039E" w14:paraId="0887F63C" w14:textId="77777777" w:rsidTr="00E70A21">
        <w:trPr>
          <w:trHeight w:val="320"/>
          <w:jc w:val="center"/>
        </w:trPr>
        <w:tc>
          <w:tcPr>
            <w:tcW w:w="2405" w:type="dxa"/>
            <w:shd w:val="clear" w:color="auto" w:fill="auto"/>
            <w:noWrap/>
            <w:vAlign w:val="center"/>
            <w:hideMark/>
          </w:tcPr>
          <w:p w14:paraId="79FEACBA" w14:textId="1FDDDC57" w:rsidR="00D751FB" w:rsidRPr="0051039E" w:rsidRDefault="00D751FB" w:rsidP="00D751FB">
            <w:pPr>
              <w:pStyle w:val="ExhibitText"/>
              <w:jc w:val="left"/>
              <w:rPr>
                <w:lang w:val="en-GB"/>
              </w:rPr>
            </w:pPr>
            <w:r w:rsidRPr="0051039E">
              <w:rPr>
                <w:lang w:val="en-GB"/>
              </w:rPr>
              <w:t>Trucks</w:t>
            </w:r>
          </w:p>
        </w:tc>
        <w:tc>
          <w:tcPr>
            <w:tcW w:w="1005" w:type="dxa"/>
            <w:shd w:val="clear" w:color="auto" w:fill="auto"/>
            <w:noWrap/>
            <w:vAlign w:val="center"/>
            <w:hideMark/>
          </w:tcPr>
          <w:p w14:paraId="3A35491E" w14:textId="77777777" w:rsidR="00D751FB" w:rsidRPr="0051039E" w:rsidRDefault="00D751FB" w:rsidP="00D751FB">
            <w:pPr>
              <w:pStyle w:val="ExhibitText"/>
              <w:jc w:val="right"/>
              <w:rPr>
                <w:lang w:val="en-GB"/>
              </w:rPr>
            </w:pPr>
            <w:r w:rsidRPr="0051039E">
              <w:rPr>
                <w:lang w:val="en-GB"/>
              </w:rPr>
              <w:t>5,361</w:t>
            </w:r>
          </w:p>
        </w:tc>
        <w:tc>
          <w:tcPr>
            <w:tcW w:w="990" w:type="dxa"/>
            <w:shd w:val="clear" w:color="auto" w:fill="auto"/>
            <w:noWrap/>
            <w:vAlign w:val="center"/>
            <w:hideMark/>
          </w:tcPr>
          <w:p w14:paraId="2942CCF5" w14:textId="77777777" w:rsidR="00D751FB" w:rsidRPr="0051039E" w:rsidRDefault="00D751FB" w:rsidP="00D751FB">
            <w:pPr>
              <w:pStyle w:val="ExhibitText"/>
              <w:jc w:val="right"/>
              <w:rPr>
                <w:lang w:val="en-GB"/>
              </w:rPr>
            </w:pPr>
            <w:r w:rsidRPr="0051039E">
              <w:rPr>
                <w:lang w:val="en-GB"/>
              </w:rPr>
              <w:t>1,360</w:t>
            </w:r>
          </w:p>
        </w:tc>
        <w:tc>
          <w:tcPr>
            <w:tcW w:w="1080" w:type="dxa"/>
            <w:shd w:val="clear" w:color="auto" w:fill="auto"/>
            <w:noWrap/>
            <w:vAlign w:val="center"/>
            <w:hideMark/>
          </w:tcPr>
          <w:p w14:paraId="02BD8A4E" w14:textId="77777777" w:rsidR="00D751FB" w:rsidRPr="0051039E" w:rsidRDefault="00D751FB" w:rsidP="00D751FB">
            <w:pPr>
              <w:pStyle w:val="ExhibitText"/>
              <w:jc w:val="right"/>
              <w:rPr>
                <w:lang w:val="en-GB"/>
              </w:rPr>
            </w:pPr>
            <w:r w:rsidRPr="0051039E">
              <w:rPr>
                <w:lang w:val="en-GB"/>
              </w:rPr>
              <w:t>25.4%</w:t>
            </w:r>
          </w:p>
        </w:tc>
        <w:tc>
          <w:tcPr>
            <w:tcW w:w="1170" w:type="dxa"/>
            <w:shd w:val="clear" w:color="auto" w:fill="auto"/>
            <w:noWrap/>
            <w:vAlign w:val="center"/>
            <w:hideMark/>
          </w:tcPr>
          <w:p w14:paraId="3C6F87C3" w14:textId="77777777" w:rsidR="00D751FB" w:rsidRPr="0051039E" w:rsidRDefault="00D751FB" w:rsidP="00D751FB">
            <w:pPr>
              <w:pStyle w:val="ExhibitText"/>
              <w:jc w:val="right"/>
              <w:rPr>
                <w:lang w:val="en-GB"/>
              </w:rPr>
            </w:pPr>
            <w:r w:rsidRPr="0051039E">
              <w:rPr>
                <w:lang w:val="en-GB"/>
              </w:rPr>
              <w:t>5,039</w:t>
            </w:r>
          </w:p>
        </w:tc>
        <w:tc>
          <w:tcPr>
            <w:tcW w:w="900" w:type="dxa"/>
            <w:shd w:val="clear" w:color="auto" w:fill="auto"/>
            <w:noWrap/>
            <w:vAlign w:val="center"/>
            <w:hideMark/>
          </w:tcPr>
          <w:p w14:paraId="1DB80AE0" w14:textId="77777777" w:rsidR="00D751FB" w:rsidRPr="0051039E" w:rsidRDefault="00D751FB" w:rsidP="00D751FB">
            <w:pPr>
              <w:pStyle w:val="ExhibitText"/>
              <w:jc w:val="right"/>
              <w:rPr>
                <w:lang w:val="en-GB"/>
              </w:rPr>
            </w:pPr>
            <w:r w:rsidRPr="0051039E">
              <w:rPr>
                <w:lang w:val="en-GB"/>
              </w:rPr>
              <w:t>1,328</w:t>
            </w:r>
          </w:p>
        </w:tc>
        <w:tc>
          <w:tcPr>
            <w:tcW w:w="1080" w:type="dxa"/>
            <w:shd w:val="clear" w:color="auto" w:fill="auto"/>
            <w:noWrap/>
            <w:vAlign w:val="center"/>
            <w:hideMark/>
          </w:tcPr>
          <w:p w14:paraId="38860559" w14:textId="77777777" w:rsidR="00D751FB" w:rsidRPr="0051039E" w:rsidRDefault="00D751FB" w:rsidP="00D751FB">
            <w:pPr>
              <w:pStyle w:val="ExhibitText"/>
              <w:jc w:val="right"/>
              <w:rPr>
                <w:lang w:val="en-GB"/>
              </w:rPr>
            </w:pPr>
            <w:r w:rsidRPr="0051039E">
              <w:rPr>
                <w:lang w:val="en-GB"/>
              </w:rPr>
              <w:t>26.4%</w:t>
            </w:r>
          </w:p>
        </w:tc>
      </w:tr>
      <w:tr w:rsidR="00D751FB" w:rsidRPr="0051039E" w14:paraId="63E192C3" w14:textId="77777777" w:rsidTr="00E70A21">
        <w:trPr>
          <w:trHeight w:val="320"/>
          <w:jc w:val="center"/>
        </w:trPr>
        <w:tc>
          <w:tcPr>
            <w:tcW w:w="2405" w:type="dxa"/>
            <w:shd w:val="clear" w:color="auto" w:fill="auto"/>
            <w:noWrap/>
            <w:vAlign w:val="center"/>
            <w:hideMark/>
          </w:tcPr>
          <w:p w14:paraId="62FE1989" w14:textId="1D5ACB53" w:rsidR="00D751FB" w:rsidRPr="0051039E" w:rsidRDefault="00D751FB" w:rsidP="00D751FB">
            <w:pPr>
              <w:pStyle w:val="ExhibitText"/>
              <w:jc w:val="left"/>
              <w:rPr>
                <w:lang w:val="en-GB"/>
              </w:rPr>
            </w:pPr>
            <w:r w:rsidRPr="0051039E">
              <w:rPr>
                <w:lang w:val="en-GB"/>
              </w:rPr>
              <w:t>Crossovers</w:t>
            </w:r>
          </w:p>
        </w:tc>
        <w:tc>
          <w:tcPr>
            <w:tcW w:w="1005" w:type="dxa"/>
            <w:shd w:val="clear" w:color="auto" w:fill="auto"/>
            <w:noWrap/>
            <w:vAlign w:val="center"/>
            <w:hideMark/>
          </w:tcPr>
          <w:p w14:paraId="49269062" w14:textId="77777777" w:rsidR="00D751FB" w:rsidRPr="0051039E" w:rsidRDefault="00D751FB" w:rsidP="00D751FB">
            <w:pPr>
              <w:pStyle w:val="ExhibitText"/>
              <w:jc w:val="right"/>
              <w:rPr>
                <w:lang w:val="en-GB"/>
              </w:rPr>
            </w:pPr>
            <w:r w:rsidRPr="0051039E">
              <w:rPr>
                <w:lang w:val="en-GB"/>
              </w:rPr>
              <w:t>6,972</w:t>
            </w:r>
          </w:p>
        </w:tc>
        <w:tc>
          <w:tcPr>
            <w:tcW w:w="990" w:type="dxa"/>
            <w:shd w:val="clear" w:color="auto" w:fill="auto"/>
            <w:noWrap/>
            <w:vAlign w:val="center"/>
            <w:hideMark/>
          </w:tcPr>
          <w:p w14:paraId="677DE3DB" w14:textId="77777777" w:rsidR="00D751FB" w:rsidRPr="0051039E" w:rsidRDefault="00D751FB" w:rsidP="00D751FB">
            <w:pPr>
              <w:pStyle w:val="ExhibitText"/>
              <w:jc w:val="right"/>
              <w:rPr>
                <w:lang w:val="en-GB"/>
              </w:rPr>
            </w:pPr>
            <w:r w:rsidRPr="0051039E">
              <w:rPr>
                <w:lang w:val="en-GB"/>
              </w:rPr>
              <w:t>1,034</w:t>
            </w:r>
          </w:p>
        </w:tc>
        <w:tc>
          <w:tcPr>
            <w:tcW w:w="1080" w:type="dxa"/>
            <w:shd w:val="clear" w:color="auto" w:fill="auto"/>
            <w:noWrap/>
            <w:vAlign w:val="center"/>
            <w:hideMark/>
          </w:tcPr>
          <w:p w14:paraId="639B23BF" w14:textId="77777777" w:rsidR="00D751FB" w:rsidRPr="0051039E" w:rsidRDefault="00D751FB" w:rsidP="00D751FB">
            <w:pPr>
              <w:pStyle w:val="ExhibitText"/>
              <w:jc w:val="right"/>
              <w:rPr>
                <w:lang w:val="en-GB"/>
              </w:rPr>
            </w:pPr>
            <w:r w:rsidRPr="0051039E">
              <w:rPr>
                <w:lang w:val="en-GB"/>
              </w:rPr>
              <w:t>14.8%</w:t>
            </w:r>
          </w:p>
        </w:tc>
        <w:tc>
          <w:tcPr>
            <w:tcW w:w="1170" w:type="dxa"/>
            <w:shd w:val="clear" w:color="auto" w:fill="auto"/>
            <w:noWrap/>
            <w:vAlign w:val="center"/>
            <w:hideMark/>
          </w:tcPr>
          <w:p w14:paraId="51B73266" w14:textId="77777777" w:rsidR="00D751FB" w:rsidRPr="0051039E" w:rsidRDefault="00D751FB" w:rsidP="00D751FB">
            <w:pPr>
              <w:pStyle w:val="ExhibitText"/>
              <w:jc w:val="right"/>
              <w:rPr>
                <w:lang w:val="en-GB"/>
              </w:rPr>
            </w:pPr>
            <w:r w:rsidRPr="0051039E">
              <w:rPr>
                <w:lang w:val="en-GB"/>
              </w:rPr>
              <w:t>6,383</w:t>
            </w:r>
          </w:p>
        </w:tc>
        <w:tc>
          <w:tcPr>
            <w:tcW w:w="900" w:type="dxa"/>
            <w:shd w:val="clear" w:color="auto" w:fill="auto"/>
            <w:noWrap/>
            <w:vAlign w:val="center"/>
            <w:hideMark/>
          </w:tcPr>
          <w:p w14:paraId="7C154EFD" w14:textId="77777777" w:rsidR="00D751FB" w:rsidRPr="0051039E" w:rsidRDefault="00D751FB" w:rsidP="00D751FB">
            <w:pPr>
              <w:pStyle w:val="ExhibitText"/>
              <w:jc w:val="right"/>
              <w:rPr>
                <w:lang w:val="en-GB"/>
              </w:rPr>
            </w:pPr>
            <w:r w:rsidRPr="0051039E">
              <w:rPr>
                <w:lang w:val="en-GB"/>
              </w:rPr>
              <w:t>965</w:t>
            </w:r>
          </w:p>
        </w:tc>
        <w:tc>
          <w:tcPr>
            <w:tcW w:w="1080" w:type="dxa"/>
            <w:shd w:val="clear" w:color="auto" w:fill="auto"/>
            <w:noWrap/>
            <w:vAlign w:val="center"/>
            <w:hideMark/>
          </w:tcPr>
          <w:p w14:paraId="58843B3E" w14:textId="77777777" w:rsidR="00D751FB" w:rsidRPr="0051039E" w:rsidRDefault="00D751FB" w:rsidP="00D751FB">
            <w:pPr>
              <w:pStyle w:val="ExhibitText"/>
              <w:jc w:val="right"/>
              <w:rPr>
                <w:lang w:val="en-GB"/>
              </w:rPr>
            </w:pPr>
            <w:r w:rsidRPr="0051039E">
              <w:rPr>
                <w:lang w:val="en-GB"/>
              </w:rPr>
              <w:t>15.1%</w:t>
            </w:r>
          </w:p>
        </w:tc>
      </w:tr>
      <w:tr w:rsidR="00D751FB" w:rsidRPr="0051039E" w14:paraId="4EACC708" w14:textId="77777777" w:rsidTr="00E70A21">
        <w:trPr>
          <w:trHeight w:val="340"/>
          <w:jc w:val="center"/>
        </w:trPr>
        <w:tc>
          <w:tcPr>
            <w:tcW w:w="2405" w:type="dxa"/>
            <w:shd w:val="clear" w:color="auto" w:fill="auto"/>
            <w:noWrap/>
            <w:vAlign w:val="center"/>
            <w:hideMark/>
          </w:tcPr>
          <w:p w14:paraId="5FC8297D" w14:textId="1FC99061" w:rsidR="00D751FB" w:rsidRPr="00E70A21" w:rsidRDefault="00D751FB" w:rsidP="00D751FB">
            <w:pPr>
              <w:pStyle w:val="ExhibitText"/>
              <w:jc w:val="left"/>
              <w:rPr>
                <w:b/>
                <w:lang w:val="en-GB"/>
              </w:rPr>
            </w:pPr>
            <w:r w:rsidRPr="00E70A21">
              <w:rPr>
                <w:b/>
                <w:lang w:val="en-GB"/>
              </w:rPr>
              <w:t xml:space="preserve">Total </w:t>
            </w:r>
            <w:r w:rsidR="009E558C" w:rsidRPr="00E70A21">
              <w:rPr>
                <w:b/>
                <w:lang w:val="en-GB"/>
              </w:rPr>
              <w:t xml:space="preserve">in </w:t>
            </w:r>
            <w:r w:rsidRPr="00E70A21">
              <w:rPr>
                <w:b/>
                <w:lang w:val="en-GB"/>
              </w:rPr>
              <w:t>United States</w:t>
            </w:r>
          </w:p>
        </w:tc>
        <w:tc>
          <w:tcPr>
            <w:tcW w:w="1005" w:type="dxa"/>
            <w:shd w:val="clear" w:color="auto" w:fill="auto"/>
            <w:noWrap/>
            <w:vAlign w:val="center"/>
            <w:hideMark/>
          </w:tcPr>
          <w:p w14:paraId="1CEC9AC5" w14:textId="77777777" w:rsidR="00D751FB" w:rsidRPr="0051039E" w:rsidRDefault="00D751FB" w:rsidP="00D751FB">
            <w:pPr>
              <w:pStyle w:val="ExhibitText"/>
              <w:jc w:val="right"/>
              <w:rPr>
                <w:lang w:val="en-GB"/>
              </w:rPr>
            </w:pPr>
            <w:r w:rsidRPr="0051039E">
              <w:rPr>
                <w:lang w:val="en-GB"/>
              </w:rPr>
              <w:t>17,694</w:t>
            </w:r>
          </w:p>
        </w:tc>
        <w:tc>
          <w:tcPr>
            <w:tcW w:w="990" w:type="dxa"/>
            <w:shd w:val="clear" w:color="auto" w:fill="auto"/>
            <w:noWrap/>
            <w:vAlign w:val="center"/>
            <w:hideMark/>
          </w:tcPr>
          <w:p w14:paraId="3BFA42CC" w14:textId="77777777" w:rsidR="00D751FB" w:rsidRPr="0051039E" w:rsidRDefault="00D751FB" w:rsidP="00D751FB">
            <w:pPr>
              <w:pStyle w:val="ExhibitText"/>
              <w:jc w:val="right"/>
              <w:rPr>
                <w:lang w:val="en-GB"/>
              </w:rPr>
            </w:pPr>
            <w:r w:rsidRPr="0051039E">
              <w:rPr>
                <w:lang w:val="en-GB"/>
              </w:rPr>
              <w:t>2,954</w:t>
            </w:r>
          </w:p>
        </w:tc>
        <w:tc>
          <w:tcPr>
            <w:tcW w:w="1080" w:type="dxa"/>
            <w:shd w:val="clear" w:color="auto" w:fill="auto"/>
            <w:noWrap/>
            <w:vAlign w:val="center"/>
            <w:hideMark/>
          </w:tcPr>
          <w:p w14:paraId="0AE14DAD" w14:textId="77777777" w:rsidR="00D751FB" w:rsidRPr="0051039E" w:rsidRDefault="00D751FB" w:rsidP="00D751FB">
            <w:pPr>
              <w:pStyle w:val="ExhibitText"/>
              <w:jc w:val="right"/>
              <w:rPr>
                <w:lang w:val="en-GB"/>
              </w:rPr>
            </w:pPr>
            <w:r w:rsidRPr="0051039E">
              <w:rPr>
                <w:lang w:val="en-GB"/>
              </w:rPr>
              <w:t>16.7%</w:t>
            </w:r>
          </w:p>
        </w:tc>
        <w:tc>
          <w:tcPr>
            <w:tcW w:w="1170" w:type="dxa"/>
            <w:shd w:val="clear" w:color="auto" w:fill="auto"/>
            <w:noWrap/>
            <w:vAlign w:val="center"/>
            <w:hideMark/>
          </w:tcPr>
          <w:p w14:paraId="006D96DB" w14:textId="77777777" w:rsidR="00D751FB" w:rsidRPr="0051039E" w:rsidRDefault="00D751FB" w:rsidP="00D751FB">
            <w:pPr>
              <w:pStyle w:val="ExhibitText"/>
              <w:jc w:val="right"/>
              <w:rPr>
                <w:lang w:val="en-GB"/>
              </w:rPr>
            </w:pPr>
            <w:r w:rsidRPr="0051039E">
              <w:rPr>
                <w:lang w:val="en-GB"/>
              </w:rPr>
              <w:t>17,567</w:t>
            </w:r>
          </w:p>
        </w:tc>
        <w:tc>
          <w:tcPr>
            <w:tcW w:w="900" w:type="dxa"/>
            <w:shd w:val="clear" w:color="auto" w:fill="auto"/>
            <w:noWrap/>
            <w:vAlign w:val="center"/>
            <w:hideMark/>
          </w:tcPr>
          <w:p w14:paraId="0740FB19" w14:textId="77777777" w:rsidR="00D751FB" w:rsidRPr="0051039E" w:rsidRDefault="00D751FB" w:rsidP="00D751FB">
            <w:pPr>
              <w:pStyle w:val="ExhibitText"/>
              <w:jc w:val="right"/>
              <w:rPr>
                <w:lang w:val="en-GB"/>
              </w:rPr>
            </w:pPr>
            <w:r w:rsidRPr="0051039E">
              <w:rPr>
                <w:lang w:val="en-GB"/>
              </w:rPr>
              <w:t>3,002</w:t>
            </w:r>
          </w:p>
        </w:tc>
        <w:tc>
          <w:tcPr>
            <w:tcW w:w="1080" w:type="dxa"/>
            <w:shd w:val="clear" w:color="auto" w:fill="auto"/>
            <w:noWrap/>
            <w:vAlign w:val="center"/>
            <w:hideMark/>
          </w:tcPr>
          <w:p w14:paraId="62ED8FA6" w14:textId="77777777" w:rsidR="00D751FB" w:rsidRPr="0051039E" w:rsidRDefault="00D751FB" w:rsidP="00D751FB">
            <w:pPr>
              <w:pStyle w:val="ExhibitText"/>
              <w:jc w:val="right"/>
              <w:rPr>
                <w:lang w:val="en-GB"/>
              </w:rPr>
            </w:pPr>
            <w:r w:rsidRPr="0051039E">
              <w:rPr>
                <w:lang w:val="en-GB"/>
              </w:rPr>
              <w:t>17.1%</w:t>
            </w:r>
          </w:p>
        </w:tc>
      </w:tr>
      <w:tr w:rsidR="00D751FB" w:rsidRPr="0051039E" w14:paraId="0E7FDA4F" w14:textId="77777777" w:rsidTr="00E70A21">
        <w:trPr>
          <w:trHeight w:val="320"/>
          <w:jc w:val="center"/>
        </w:trPr>
        <w:tc>
          <w:tcPr>
            <w:tcW w:w="2405" w:type="dxa"/>
            <w:shd w:val="clear" w:color="auto" w:fill="auto"/>
            <w:noWrap/>
            <w:vAlign w:val="center"/>
            <w:hideMark/>
          </w:tcPr>
          <w:p w14:paraId="555C5978" w14:textId="77777777" w:rsidR="00D751FB" w:rsidRPr="0051039E" w:rsidRDefault="00D751FB" w:rsidP="00D751FB">
            <w:pPr>
              <w:pStyle w:val="ExhibitText"/>
              <w:jc w:val="left"/>
              <w:rPr>
                <w:lang w:val="en-GB"/>
              </w:rPr>
            </w:pPr>
            <w:r w:rsidRPr="0051039E">
              <w:rPr>
                <w:lang w:val="en-GB"/>
              </w:rPr>
              <w:t>China</w:t>
            </w:r>
          </w:p>
        </w:tc>
        <w:tc>
          <w:tcPr>
            <w:tcW w:w="1005" w:type="dxa"/>
            <w:shd w:val="clear" w:color="auto" w:fill="auto"/>
            <w:noWrap/>
            <w:vAlign w:val="center"/>
            <w:hideMark/>
          </w:tcPr>
          <w:p w14:paraId="52E12915" w14:textId="77777777" w:rsidR="00D751FB" w:rsidRPr="0051039E" w:rsidRDefault="00D751FB" w:rsidP="00D751FB">
            <w:pPr>
              <w:pStyle w:val="ExhibitText"/>
              <w:jc w:val="right"/>
              <w:rPr>
                <w:lang w:val="en-GB"/>
              </w:rPr>
            </w:pPr>
          </w:p>
        </w:tc>
        <w:tc>
          <w:tcPr>
            <w:tcW w:w="990" w:type="dxa"/>
            <w:shd w:val="clear" w:color="auto" w:fill="auto"/>
            <w:noWrap/>
            <w:vAlign w:val="center"/>
            <w:hideMark/>
          </w:tcPr>
          <w:p w14:paraId="22F1F853" w14:textId="77777777" w:rsidR="00D751FB" w:rsidRPr="0051039E" w:rsidRDefault="00D751FB" w:rsidP="00D751FB">
            <w:pPr>
              <w:pStyle w:val="ExhibitText"/>
              <w:jc w:val="right"/>
              <w:rPr>
                <w:lang w:val="en-GB"/>
              </w:rPr>
            </w:pPr>
          </w:p>
        </w:tc>
        <w:tc>
          <w:tcPr>
            <w:tcW w:w="1080" w:type="dxa"/>
            <w:shd w:val="clear" w:color="auto" w:fill="auto"/>
            <w:noWrap/>
            <w:vAlign w:val="center"/>
            <w:hideMark/>
          </w:tcPr>
          <w:p w14:paraId="37D05EFF" w14:textId="77777777" w:rsidR="00D751FB" w:rsidRPr="0051039E" w:rsidRDefault="00D751FB" w:rsidP="00D751FB">
            <w:pPr>
              <w:pStyle w:val="ExhibitText"/>
              <w:jc w:val="right"/>
              <w:rPr>
                <w:lang w:val="en-GB"/>
              </w:rPr>
            </w:pPr>
          </w:p>
        </w:tc>
        <w:tc>
          <w:tcPr>
            <w:tcW w:w="1170" w:type="dxa"/>
            <w:shd w:val="clear" w:color="auto" w:fill="auto"/>
            <w:noWrap/>
            <w:vAlign w:val="center"/>
            <w:hideMark/>
          </w:tcPr>
          <w:p w14:paraId="4FD9241E" w14:textId="77777777" w:rsidR="00D751FB" w:rsidRPr="0051039E" w:rsidRDefault="00D751FB" w:rsidP="00D751FB">
            <w:pPr>
              <w:pStyle w:val="ExhibitText"/>
              <w:jc w:val="right"/>
              <w:rPr>
                <w:lang w:val="en-GB"/>
              </w:rPr>
            </w:pPr>
          </w:p>
        </w:tc>
        <w:tc>
          <w:tcPr>
            <w:tcW w:w="900" w:type="dxa"/>
            <w:shd w:val="clear" w:color="auto" w:fill="auto"/>
            <w:noWrap/>
            <w:vAlign w:val="center"/>
            <w:hideMark/>
          </w:tcPr>
          <w:p w14:paraId="584B77AD" w14:textId="77777777" w:rsidR="00D751FB" w:rsidRPr="0051039E" w:rsidRDefault="00D751FB" w:rsidP="00D751FB">
            <w:pPr>
              <w:pStyle w:val="ExhibitText"/>
              <w:jc w:val="right"/>
              <w:rPr>
                <w:lang w:val="en-GB"/>
              </w:rPr>
            </w:pPr>
          </w:p>
        </w:tc>
        <w:tc>
          <w:tcPr>
            <w:tcW w:w="1080" w:type="dxa"/>
            <w:shd w:val="clear" w:color="auto" w:fill="auto"/>
            <w:noWrap/>
            <w:vAlign w:val="center"/>
            <w:hideMark/>
          </w:tcPr>
          <w:p w14:paraId="623B0D73" w14:textId="77777777" w:rsidR="00D751FB" w:rsidRPr="0051039E" w:rsidRDefault="00D751FB" w:rsidP="00D751FB">
            <w:pPr>
              <w:pStyle w:val="ExhibitText"/>
              <w:jc w:val="right"/>
              <w:rPr>
                <w:lang w:val="en-GB"/>
              </w:rPr>
            </w:pPr>
          </w:p>
        </w:tc>
      </w:tr>
      <w:tr w:rsidR="00D751FB" w:rsidRPr="0051039E" w14:paraId="324B0E41" w14:textId="77777777" w:rsidTr="00E70A21">
        <w:trPr>
          <w:trHeight w:val="320"/>
          <w:jc w:val="center"/>
        </w:trPr>
        <w:tc>
          <w:tcPr>
            <w:tcW w:w="2405" w:type="dxa"/>
            <w:shd w:val="clear" w:color="auto" w:fill="auto"/>
            <w:noWrap/>
            <w:vAlign w:val="center"/>
            <w:hideMark/>
          </w:tcPr>
          <w:p w14:paraId="59E6C0E5" w14:textId="3F370133" w:rsidR="00D751FB" w:rsidRPr="0051039E" w:rsidRDefault="00D751FB" w:rsidP="00D751FB">
            <w:pPr>
              <w:pStyle w:val="ExhibitText"/>
              <w:jc w:val="left"/>
              <w:rPr>
                <w:lang w:val="en-GB"/>
              </w:rPr>
            </w:pPr>
            <w:r w:rsidRPr="0051039E">
              <w:rPr>
                <w:lang w:val="en-GB"/>
              </w:rPr>
              <w:t>SGMS</w:t>
            </w:r>
          </w:p>
        </w:tc>
        <w:tc>
          <w:tcPr>
            <w:tcW w:w="1005" w:type="dxa"/>
            <w:shd w:val="clear" w:color="auto" w:fill="auto"/>
            <w:noWrap/>
            <w:vAlign w:val="center"/>
            <w:hideMark/>
          </w:tcPr>
          <w:p w14:paraId="0482F3E0" w14:textId="77777777" w:rsidR="00D751FB" w:rsidRPr="0051039E" w:rsidRDefault="00D751FB" w:rsidP="00D751FB">
            <w:pPr>
              <w:pStyle w:val="ExhibitText"/>
              <w:jc w:val="right"/>
              <w:rPr>
                <w:lang w:val="en-GB"/>
              </w:rPr>
            </w:pPr>
          </w:p>
        </w:tc>
        <w:tc>
          <w:tcPr>
            <w:tcW w:w="990" w:type="dxa"/>
            <w:shd w:val="clear" w:color="auto" w:fill="auto"/>
            <w:noWrap/>
            <w:vAlign w:val="center"/>
            <w:hideMark/>
          </w:tcPr>
          <w:p w14:paraId="2ED29452" w14:textId="77777777" w:rsidR="00D751FB" w:rsidRPr="0051039E" w:rsidRDefault="00D751FB" w:rsidP="00D751FB">
            <w:pPr>
              <w:pStyle w:val="ExhibitText"/>
              <w:jc w:val="right"/>
              <w:rPr>
                <w:lang w:val="en-GB"/>
              </w:rPr>
            </w:pPr>
            <w:r w:rsidRPr="0051039E">
              <w:rPr>
                <w:lang w:val="en-GB"/>
              </w:rPr>
              <w:t>1,749</w:t>
            </w:r>
          </w:p>
        </w:tc>
        <w:tc>
          <w:tcPr>
            <w:tcW w:w="1080" w:type="dxa"/>
            <w:shd w:val="clear" w:color="auto" w:fill="auto"/>
            <w:noWrap/>
            <w:vAlign w:val="center"/>
            <w:hideMark/>
          </w:tcPr>
          <w:p w14:paraId="5F90CD40" w14:textId="77777777" w:rsidR="00D751FB" w:rsidRPr="0051039E" w:rsidRDefault="00D751FB" w:rsidP="00D751FB">
            <w:pPr>
              <w:pStyle w:val="ExhibitText"/>
              <w:jc w:val="right"/>
              <w:rPr>
                <w:lang w:val="en-GB"/>
              </w:rPr>
            </w:pPr>
          </w:p>
        </w:tc>
        <w:tc>
          <w:tcPr>
            <w:tcW w:w="1170" w:type="dxa"/>
            <w:shd w:val="clear" w:color="auto" w:fill="auto"/>
            <w:noWrap/>
            <w:vAlign w:val="center"/>
            <w:hideMark/>
          </w:tcPr>
          <w:p w14:paraId="511F0AAF" w14:textId="77777777" w:rsidR="00D751FB" w:rsidRPr="0051039E" w:rsidRDefault="00D751FB" w:rsidP="00D751FB">
            <w:pPr>
              <w:pStyle w:val="ExhibitText"/>
              <w:jc w:val="right"/>
              <w:rPr>
                <w:lang w:val="en-GB"/>
              </w:rPr>
            </w:pPr>
          </w:p>
        </w:tc>
        <w:tc>
          <w:tcPr>
            <w:tcW w:w="900" w:type="dxa"/>
            <w:shd w:val="clear" w:color="auto" w:fill="auto"/>
            <w:noWrap/>
            <w:vAlign w:val="center"/>
            <w:hideMark/>
          </w:tcPr>
          <w:p w14:paraId="2EE9ADC6" w14:textId="77777777" w:rsidR="00D751FB" w:rsidRPr="0051039E" w:rsidRDefault="00D751FB" w:rsidP="00D751FB">
            <w:pPr>
              <w:pStyle w:val="ExhibitText"/>
              <w:jc w:val="right"/>
              <w:rPr>
                <w:lang w:val="en-GB"/>
              </w:rPr>
            </w:pPr>
            <w:r w:rsidRPr="0051039E">
              <w:rPr>
                <w:lang w:val="en-GB"/>
              </w:rPr>
              <w:t>1,906</w:t>
            </w:r>
          </w:p>
        </w:tc>
        <w:tc>
          <w:tcPr>
            <w:tcW w:w="1080" w:type="dxa"/>
            <w:shd w:val="clear" w:color="auto" w:fill="auto"/>
            <w:noWrap/>
            <w:vAlign w:val="center"/>
            <w:hideMark/>
          </w:tcPr>
          <w:p w14:paraId="55BC425F" w14:textId="77777777" w:rsidR="00D751FB" w:rsidRPr="0051039E" w:rsidRDefault="00D751FB" w:rsidP="00D751FB">
            <w:pPr>
              <w:pStyle w:val="ExhibitText"/>
              <w:jc w:val="right"/>
              <w:rPr>
                <w:lang w:val="en-GB"/>
              </w:rPr>
            </w:pPr>
          </w:p>
        </w:tc>
      </w:tr>
      <w:tr w:rsidR="00D751FB" w:rsidRPr="0051039E" w14:paraId="502CDAB0" w14:textId="77777777" w:rsidTr="00E70A21">
        <w:trPr>
          <w:trHeight w:val="320"/>
          <w:jc w:val="center"/>
        </w:trPr>
        <w:tc>
          <w:tcPr>
            <w:tcW w:w="2405" w:type="dxa"/>
            <w:shd w:val="clear" w:color="auto" w:fill="auto"/>
            <w:noWrap/>
            <w:vAlign w:val="center"/>
            <w:hideMark/>
          </w:tcPr>
          <w:p w14:paraId="046EA1FE" w14:textId="3C35D765" w:rsidR="00D751FB" w:rsidRPr="0051039E" w:rsidRDefault="00D751FB" w:rsidP="00D751FB">
            <w:pPr>
              <w:pStyle w:val="ExhibitText"/>
              <w:jc w:val="left"/>
              <w:rPr>
                <w:lang w:val="en-GB"/>
              </w:rPr>
            </w:pPr>
            <w:r w:rsidRPr="0051039E">
              <w:rPr>
                <w:lang w:val="en-GB"/>
              </w:rPr>
              <w:t>SGMW and FAW-GM</w:t>
            </w:r>
          </w:p>
        </w:tc>
        <w:tc>
          <w:tcPr>
            <w:tcW w:w="1005" w:type="dxa"/>
            <w:shd w:val="clear" w:color="auto" w:fill="auto"/>
            <w:noWrap/>
            <w:vAlign w:val="center"/>
            <w:hideMark/>
          </w:tcPr>
          <w:p w14:paraId="2349409A" w14:textId="77777777" w:rsidR="00D751FB" w:rsidRPr="0051039E" w:rsidRDefault="00D751FB" w:rsidP="00D751FB">
            <w:pPr>
              <w:pStyle w:val="ExhibitText"/>
              <w:jc w:val="right"/>
              <w:rPr>
                <w:lang w:val="en-GB"/>
              </w:rPr>
            </w:pPr>
          </w:p>
        </w:tc>
        <w:tc>
          <w:tcPr>
            <w:tcW w:w="990" w:type="dxa"/>
            <w:shd w:val="clear" w:color="auto" w:fill="auto"/>
            <w:noWrap/>
            <w:vAlign w:val="center"/>
            <w:hideMark/>
          </w:tcPr>
          <w:p w14:paraId="4C4017AE" w14:textId="77777777" w:rsidR="00D751FB" w:rsidRPr="0051039E" w:rsidRDefault="00D751FB" w:rsidP="00D751FB">
            <w:pPr>
              <w:pStyle w:val="ExhibitText"/>
              <w:jc w:val="right"/>
              <w:rPr>
                <w:lang w:val="en-GB"/>
              </w:rPr>
            </w:pPr>
            <w:r w:rsidRPr="0051039E">
              <w:rPr>
                <w:lang w:val="en-GB"/>
              </w:rPr>
              <w:t>1,896</w:t>
            </w:r>
          </w:p>
        </w:tc>
        <w:tc>
          <w:tcPr>
            <w:tcW w:w="1080" w:type="dxa"/>
            <w:shd w:val="clear" w:color="auto" w:fill="auto"/>
            <w:noWrap/>
            <w:vAlign w:val="center"/>
            <w:hideMark/>
          </w:tcPr>
          <w:p w14:paraId="51D94FD7" w14:textId="77777777" w:rsidR="00D751FB" w:rsidRPr="0051039E" w:rsidRDefault="00D751FB" w:rsidP="00D751FB">
            <w:pPr>
              <w:pStyle w:val="ExhibitText"/>
              <w:jc w:val="right"/>
              <w:rPr>
                <w:lang w:val="en-GB"/>
              </w:rPr>
            </w:pPr>
          </w:p>
        </w:tc>
        <w:tc>
          <w:tcPr>
            <w:tcW w:w="1170" w:type="dxa"/>
            <w:shd w:val="clear" w:color="auto" w:fill="auto"/>
            <w:noWrap/>
            <w:vAlign w:val="center"/>
            <w:hideMark/>
          </w:tcPr>
          <w:p w14:paraId="18D8DEF3" w14:textId="77777777" w:rsidR="00D751FB" w:rsidRPr="0051039E" w:rsidRDefault="00D751FB" w:rsidP="00D751FB">
            <w:pPr>
              <w:pStyle w:val="ExhibitText"/>
              <w:jc w:val="right"/>
              <w:rPr>
                <w:lang w:val="en-GB"/>
              </w:rPr>
            </w:pPr>
          </w:p>
        </w:tc>
        <w:tc>
          <w:tcPr>
            <w:tcW w:w="900" w:type="dxa"/>
            <w:shd w:val="clear" w:color="auto" w:fill="auto"/>
            <w:noWrap/>
            <w:vAlign w:val="center"/>
            <w:hideMark/>
          </w:tcPr>
          <w:p w14:paraId="52EDBCB6" w14:textId="77777777" w:rsidR="00D751FB" w:rsidRPr="0051039E" w:rsidRDefault="00D751FB" w:rsidP="00D751FB">
            <w:pPr>
              <w:pStyle w:val="ExhibitText"/>
              <w:jc w:val="right"/>
              <w:rPr>
                <w:lang w:val="en-GB"/>
              </w:rPr>
            </w:pPr>
            <w:r w:rsidRPr="0051039E">
              <w:rPr>
                <w:lang w:val="en-GB"/>
              </w:rPr>
              <w:t>2,135</w:t>
            </w:r>
          </w:p>
        </w:tc>
        <w:tc>
          <w:tcPr>
            <w:tcW w:w="1080" w:type="dxa"/>
            <w:shd w:val="clear" w:color="auto" w:fill="auto"/>
            <w:noWrap/>
            <w:vAlign w:val="center"/>
            <w:hideMark/>
          </w:tcPr>
          <w:p w14:paraId="056D60F2" w14:textId="77777777" w:rsidR="00D751FB" w:rsidRPr="0051039E" w:rsidRDefault="00D751FB" w:rsidP="00D751FB">
            <w:pPr>
              <w:pStyle w:val="ExhibitText"/>
              <w:jc w:val="right"/>
              <w:rPr>
                <w:lang w:val="en-GB"/>
              </w:rPr>
            </w:pPr>
          </w:p>
        </w:tc>
      </w:tr>
      <w:tr w:rsidR="00D751FB" w:rsidRPr="0051039E" w14:paraId="5DB6196B" w14:textId="77777777" w:rsidTr="00E70A21">
        <w:trPr>
          <w:trHeight w:val="340"/>
          <w:jc w:val="center"/>
        </w:trPr>
        <w:tc>
          <w:tcPr>
            <w:tcW w:w="2405" w:type="dxa"/>
            <w:shd w:val="clear" w:color="auto" w:fill="auto"/>
            <w:noWrap/>
            <w:vAlign w:val="center"/>
            <w:hideMark/>
          </w:tcPr>
          <w:p w14:paraId="63CE634F" w14:textId="6AC3D217" w:rsidR="00D751FB" w:rsidRPr="00E70A21" w:rsidRDefault="00D751FB" w:rsidP="00D751FB">
            <w:pPr>
              <w:pStyle w:val="ExhibitText"/>
              <w:jc w:val="left"/>
              <w:rPr>
                <w:b/>
                <w:lang w:val="en-GB"/>
              </w:rPr>
            </w:pPr>
            <w:r w:rsidRPr="00E70A21">
              <w:rPr>
                <w:b/>
                <w:lang w:val="en-GB"/>
              </w:rPr>
              <w:t xml:space="preserve">Total </w:t>
            </w:r>
            <w:r w:rsidR="009E558C" w:rsidRPr="00E70A21">
              <w:rPr>
                <w:b/>
                <w:lang w:val="en-GB"/>
              </w:rPr>
              <w:t xml:space="preserve">in </w:t>
            </w:r>
            <w:r w:rsidRPr="00E70A21">
              <w:rPr>
                <w:b/>
                <w:lang w:val="en-GB"/>
              </w:rPr>
              <w:t>China</w:t>
            </w:r>
          </w:p>
        </w:tc>
        <w:tc>
          <w:tcPr>
            <w:tcW w:w="1005" w:type="dxa"/>
            <w:shd w:val="clear" w:color="auto" w:fill="auto"/>
            <w:noWrap/>
            <w:vAlign w:val="center"/>
            <w:hideMark/>
          </w:tcPr>
          <w:p w14:paraId="7FC4B193" w14:textId="77777777" w:rsidR="00D751FB" w:rsidRPr="0051039E" w:rsidRDefault="00D751FB" w:rsidP="00D751FB">
            <w:pPr>
              <w:pStyle w:val="ExhibitText"/>
              <w:jc w:val="right"/>
              <w:rPr>
                <w:lang w:val="en-GB"/>
              </w:rPr>
            </w:pPr>
            <w:r w:rsidRPr="0051039E">
              <w:rPr>
                <w:lang w:val="en-GB"/>
              </w:rPr>
              <w:t>26,466</w:t>
            </w:r>
          </w:p>
        </w:tc>
        <w:tc>
          <w:tcPr>
            <w:tcW w:w="990" w:type="dxa"/>
            <w:shd w:val="clear" w:color="auto" w:fill="auto"/>
            <w:noWrap/>
            <w:vAlign w:val="center"/>
            <w:hideMark/>
          </w:tcPr>
          <w:p w14:paraId="37DD597A" w14:textId="77777777" w:rsidR="00D751FB" w:rsidRPr="0051039E" w:rsidRDefault="00D751FB" w:rsidP="00D751FB">
            <w:pPr>
              <w:pStyle w:val="ExhibitText"/>
              <w:jc w:val="right"/>
              <w:rPr>
                <w:lang w:val="en-GB"/>
              </w:rPr>
            </w:pPr>
            <w:r w:rsidRPr="0051039E">
              <w:rPr>
                <w:lang w:val="en-GB"/>
              </w:rPr>
              <w:t>3,645</w:t>
            </w:r>
          </w:p>
        </w:tc>
        <w:tc>
          <w:tcPr>
            <w:tcW w:w="1080" w:type="dxa"/>
            <w:shd w:val="clear" w:color="auto" w:fill="auto"/>
            <w:noWrap/>
            <w:vAlign w:val="center"/>
            <w:hideMark/>
          </w:tcPr>
          <w:p w14:paraId="41BE6793" w14:textId="77777777" w:rsidR="00D751FB" w:rsidRPr="0051039E" w:rsidRDefault="00D751FB" w:rsidP="00D751FB">
            <w:pPr>
              <w:pStyle w:val="ExhibitText"/>
              <w:jc w:val="right"/>
              <w:rPr>
                <w:lang w:val="en-GB"/>
              </w:rPr>
            </w:pPr>
            <w:r w:rsidRPr="0051039E">
              <w:rPr>
                <w:lang w:val="en-GB"/>
              </w:rPr>
              <w:t>13.8%</w:t>
            </w:r>
          </w:p>
        </w:tc>
        <w:tc>
          <w:tcPr>
            <w:tcW w:w="1170" w:type="dxa"/>
            <w:shd w:val="clear" w:color="auto" w:fill="auto"/>
            <w:noWrap/>
            <w:vAlign w:val="center"/>
            <w:hideMark/>
          </w:tcPr>
          <w:p w14:paraId="40984C77" w14:textId="77777777" w:rsidR="00D751FB" w:rsidRPr="0051039E" w:rsidRDefault="00D751FB" w:rsidP="00D751FB">
            <w:pPr>
              <w:pStyle w:val="ExhibitText"/>
              <w:jc w:val="right"/>
              <w:rPr>
                <w:lang w:val="en-GB"/>
              </w:rPr>
            </w:pPr>
            <w:r w:rsidRPr="0051039E">
              <w:rPr>
                <w:lang w:val="en-GB"/>
              </w:rPr>
              <w:t>28,250</w:t>
            </w:r>
          </w:p>
        </w:tc>
        <w:tc>
          <w:tcPr>
            <w:tcW w:w="900" w:type="dxa"/>
            <w:shd w:val="clear" w:color="auto" w:fill="auto"/>
            <w:noWrap/>
            <w:vAlign w:val="center"/>
            <w:hideMark/>
          </w:tcPr>
          <w:p w14:paraId="2DBA57CF" w14:textId="77777777" w:rsidR="00D751FB" w:rsidRPr="0051039E" w:rsidRDefault="00D751FB" w:rsidP="00D751FB">
            <w:pPr>
              <w:pStyle w:val="ExhibitText"/>
              <w:jc w:val="right"/>
              <w:rPr>
                <w:lang w:val="en-GB"/>
              </w:rPr>
            </w:pPr>
            <w:r w:rsidRPr="0051039E">
              <w:rPr>
                <w:lang w:val="en-GB"/>
              </w:rPr>
              <w:t>4,041</w:t>
            </w:r>
          </w:p>
        </w:tc>
        <w:tc>
          <w:tcPr>
            <w:tcW w:w="1080" w:type="dxa"/>
            <w:shd w:val="clear" w:color="auto" w:fill="auto"/>
            <w:noWrap/>
            <w:vAlign w:val="center"/>
            <w:hideMark/>
          </w:tcPr>
          <w:p w14:paraId="60C76D39" w14:textId="77777777" w:rsidR="00D751FB" w:rsidRPr="0051039E" w:rsidRDefault="00D751FB" w:rsidP="00D751FB">
            <w:pPr>
              <w:pStyle w:val="ExhibitText"/>
              <w:jc w:val="right"/>
              <w:rPr>
                <w:lang w:val="en-GB"/>
              </w:rPr>
            </w:pPr>
            <w:r w:rsidRPr="0051039E">
              <w:rPr>
                <w:lang w:val="en-GB"/>
              </w:rPr>
              <w:t>14.3%</w:t>
            </w:r>
          </w:p>
        </w:tc>
      </w:tr>
    </w:tbl>
    <w:p w14:paraId="279CB496" w14:textId="77777777" w:rsidR="00D751FB" w:rsidRPr="0051039E" w:rsidRDefault="00D751FB" w:rsidP="00D751FB">
      <w:pPr>
        <w:pStyle w:val="ExhibitText"/>
        <w:rPr>
          <w:rFonts w:eastAsia="Calibri"/>
          <w:lang w:val="en-GB"/>
        </w:rPr>
      </w:pPr>
    </w:p>
    <w:p w14:paraId="75201AF0" w14:textId="724B88AE" w:rsidR="00D751FB" w:rsidRPr="0051039E" w:rsidRDefault="00D751FB" w:rsidP="00D751FB">
      <w:pPr>
        <w:pStyle w:val="Footnote"/>
        <w:rPr>
          <w:rFonts w:eastAsia="Calibri"/>
          <w:lang w:val="en-GB"/>
        </w:rPr>
      </w:pPr>
      <w:r w:rsidRPr="0051039E">
        <w:rPr>
          <w:rFonts w:eastAsia="Calibri"/>
          <w:lang w:val="en-GB"/>
        </w:rPr>
        <w:t xml:space="preserve">Note: </w:t>
      </w:r>
      <w:r w:rsidRPr="0051039E">
        <w:rPr>
          <w:lang w:val="en-GB"/>
        </w:rPr>
        <w:t xml:space="preserve">SGMS </w:t>
      </w:r>
      <w:r w:rsidR="00344194">
        <w:rPr>
          <w:lang w:val="en-GB"/>
        </w:rPr>
        <w:t>=</w:t>
      </w:r>
      <w:r w:rsidRPr="0051039E">
        <w:rPr>
          <w:lang w:val="en-GB"/>
        </w:rPr>
        <w:t xml:space="preserve"> SAIC General Motors Sales Co. </w:t>
      </w:r>
      <w:r w:rsidR="00344194">
        <w:rPr>
          <w:lang w:val="en-GB"/>
        </w:rPr>
        <w:t>(a j</w:t>
      </w:r>
      <w:r w:rsidRPr="0051039E">
        <w:rPr>
          <w:lang w:val="en-GB"/>
        </w:rPr>
        <w:t xml:space="preserve">oint </w:t>
      </w:r>
      <w:r w:rsidR="00344194">
        <w:rPr>
          <w:lang w:val="en-GB"/>
        </w:rPr>
        <w:t>v</w:t>
      </w:r>
      <w:r w:rsidRPr="0051039E">
        <w:rPr>
          <w:lang w:val="en-GB"/>
        </w:rPr>
        <w:t>enture between GM and SAIC Motor that manufactures and sells Chevrolet, Buick</w:t>
      </w:r>
      <w:r w:rsidR="00F018F1">
        <w:rPr>
          <w:lang w:val="en-GB"/>
        </w:rPr>
        <w:t>,</w:t>
      </w:r>
      <w:r w:rsidRPr="0051039E">
        <w:rPr>
          <w:lang w:val="en-GB"/>
        </w:rPr>
        <w:t xml:space="preserve"> an</w:t>
      </w:r>
      <w:r w:rsidRPr="0051039E">
        <w:rPr>
          <w:rFonts w:eastAsia="Calibri"/>
          <w:lang w:val="en-GB"/>
        </w:rPr>
        <w:t>d Cadillac automobiles in China</w:t>
      </w:r>
      <w:r w:rsidR="00344194">
        <w:rPr>
          <w:rFonts w:eastAsia="Calibri"/>
          <w:lang w:val="en-GB"/>
        </w:rPr>
        <w:t>)</w:t>
      </w:r>
      <w:r w:rsidRPr="0051039E">
        <w:rPr>
          <w:rFonts w:eastAsia="Calibri"/>
          <w:lang w:val="en-GB"/>
        </w:rPr>
        <w:t xml:space="preserve">; </w:t>
      </w:r>
      <w:r w:rsidRPr="0051039E">
        <w:rPr>
          <w:lang w:val="en-GB"/>
        </w:rPr>
        <w:t xml:space="preserve">SGMW </w:t>
      </w:r>
      <w:r w:rsidR="00344194">
        <w:rPr>
          <w:lang w:val="en-GB"/>
        </w:rPr>
        <w:t>=</w:t>
      </w:r>
      <w:r w:rsidRPr="0051039E">
        <w:rPr>
          <w:lang w:val="en-GB"/>
        </w:rPr>
        <w:t xml:space="preserve"> SAIC-GM-Wuling Automobile </w:t>
      </w:r>
      <w:r w:rsidR="00344194">
        <w:rPr>
          <w:lang w:val="en-GB"/>
        </w:rPr>
        <w:t>(a j</w:t>
      </w:r>
      <w:r w:rsidRPr="0051039E">
        <w:rPr>
          <w:lang w:val="en-GB"/>
        </w:rPr>
        <w:t xml:space="preserve">oint </w:t>
      </w:r>
      <w:r w:rsidR="00344194">
        <w:rPr>
          <w:lang w:val="en-GB"/>
        </w:rPr>
        <w:t>v</w:t>
      </w:r>
      <w:r w:rsidRPr="0051039E">
        <w:rPr>
          <w:lang w:val="en-GB"/>
        </w:rPr>
        <w:t>enture between SAIC Motor, GM</w:t>
      </w:r>
      <w:r w:rsidR="00344194">
        <w:rPr>
          <w:lang w:val="en-GB"/>
        </w:rPr>
        <w:t>,</w:t>
      </w:r>
      <w:r w:rsidRPr="0051039E">
        <w:rPr>
          <w:lang w:val="en-GB"/>
        </w:rPr>
        <w:t xml:space="preserve"> and Liuzhou Wuling Motors Co Ltd.</w:t>
      </w:r>
      <w:r w:rsidR="00344194">
        <w:rPr>
          <w:lang w:val="en-GB"/>
        </w:rPr>
        <w:t>,</w:t>
      </w:r>
      <w:r w:rsidRPr="0051039E">
        <w:rPr>
          <w:lang w:val="en-GB"/>
        </w:rPr>
        <w:t xml:space="preserve"> </w:t>
      </w:r>
      <w:r w:rsidR="00344194">
        <w:rPr>
          <w:lang w:val="en-GB"/>
        </w:rPr>
        <w:t>b</w:t>
      </w:r>
      <w:r w:rsidRPr="0051039E">
        <w:rPr>
          <w:lang w:val="en-GB"/>
        </w:rPr>
        <w:t>ased in Liuzhou, Guangxi Zhuang Autono</w:t>
      </w:r>
      <w:r w:rsidRPr="0051039E">
        <w:rPr>
          <w:rFonts w:eastAsia="Calibri"/>
          <w:lang w:val="en-GB"/>
        </w:rPr>
        <w:t>mous Region, in southwest China</w:t>
      </w:r>
      <w:r w:rsidR="00344194">
        <w:rPr>
          <w:rFonts w:eastAsia="Calibri"/>
          <w:lang w:val="en-GB"/>
        </w:rPr>
        <w:t>)</w:t>
      </w:r>
      <w:r w:rsidRPr="0051039E">
        <w:rPr>
          <w:rFonts w:eastAsia="Calibri"/>
          <w:lang w:val="en-GB"/>
        </w:rPr>
        <w:t xml:space="preserve">; </w:t>
      </w:r>
      <w:r w:rsidRPr="0051039E">
        <w:rPr>
          <w:lang w:val="en-GB"/>
        </w:rPr>
        <w:t xml:space="preserve">FAW-GM </w:t>
      </w:r>
      <w:r w:rsidR="00344194">
        <w:rPr>
          <w:lang w:val="en-GB"/>
        </w:rPr>
        <w:t>=</w:t>
      </w:r>
      <w:r w:rsidRPr="0051039E">
        <w:rPr>
          <w:lang w:val="en-GB"/>
        </w:rPr>
        <w:t xml:space="preserve"> Light Duty Commercial Vehicle </w:t>
      </w:r>
      <w:r w:rsidR="000360DD">
        <w:rPr>
          <w:lang w:val="en-GB"/>
        </w:rPr>
        <w:t>(a c</w:t>
      </w:r>
      <w:r w:rsidRPr="0051039E">
        <w:rPr>
          <w:lang w:val="en-GB"/>
        </w:rPr>
        <w:t xml:space="preserve">ommercial </w:t>
      </w:r>
      <w:r w:rsidR="000360DD">
        <w:rPr>
          <w:lang w:val="en-GB"/>
        </w:rPr>
        <w:t>v</w:t>
      </w:r>
      <w:r w:rsidRPr="0051039E">
        <w:rPr>
          <w:lang w:val="en-GB"/>
        </w:rPr>
        <w:t>ehicle manufacturing company headquartered in Changchun, China and a 50:50 joint venture between FAW Group and GM</w:t>
      </w:r>
      <w:r w:rsidR="000360DD">
        <w:rPr>
          <w:lang w:val="en-GB"/>
        </w:rPr>
        <w:t>)</w:t>
      </w:r>
      <w:r w:rsidR="00F018F1">
        <w:rPr>
          <w:lang w:val="en-GB"/>
        </w:rPr>
        <w:t>.</w:t>
      </w:r>
    </w:p>
    <w:p w14:paraId="2DFA056C" w14:textId="3CC26FAC" w:rsidR="00D751FB" w:rsidRPr="0051039E" w:rsidRDefault="00D751FB" w:rsidP="00D751FB">
      <w:pPr>
        <w:pStyle w:val="Footnote"/>
        <w:rPr>
          <w:lang w:val="en-GB"/>
        </w:rPr>
      </w:pPr>
      <w:r w:rsidRPr="0051039E">
        <w:rPr>
          <w:rFonts w:eastAsia="Calibri"/>
          <w:lang w:val="en-GB"/>
        </w:rPr>
        <w:t xml:space="preserve">Source: </w:t>
      </w:r>
      <w:r w:rsidRPr="0051039E">
        <w:rPr>
          <w:lang w:val="en-GB"/>
        </w:rPr>
        <w:t xml:space="preserve">Created by the </w:t>
      </w:r>
      <w:r w:rsidR="00F018F1">
        <w:rPr>
          <w:lang w:val="en-GB"/>
        </w:rPr>
        <w:t xml:space="preserve">case </w:t>
      </w:r>
      <w:r w:rsidRPr="0051039E">
        <w:rPr>
          <w:lang w:val="en-GB"/>
        </w:rPr>
        <w:t>author</w:t>
      </w:r>
      <w:r w:rsidR="00F018F1">
        <w:rPr>
          <w:lang w:val="en-GB"/>
        </w:rPr>
        <w:t>s</w:t>
      </w:r>
      <w:r w:rsidRPr="0051039E">
        <w:rPr>
          <w:lang w:val="en-GB"/>
        </w:rPr>
        <w:t xml:space="preserve"> </w:t>
      </w:r>
      <w:r w:rsidR="000360DD">
        <w:rPr>
          <w:lang w:val="en-GB"/>
        </w:rPr>
        <w:t>with information from</w:t>
      </w:r>
      <w:r w:rsidRPr="0051039E">
        <w:rPr>
          <w:lang w:val="en-GB"/>
        </w:rPr>
        <w:t xml:space="preserve"> </w:t>
      </w:r>
      <w:r w:rsidR="000360DD">
        <w:rPr>
          <w:lang w:val="en-GB"/>
        </w:rPr>
        <w:t>United States Securities and Exchange Commission,</w:t>
      </w:r>
      <w:r w:rsidRPr="0051039E">
        <w:rPr>
          <w:lang w:val="en-GB"/>
        </w:rPr>
        <w:t xml:space="preserve"> </w:t>
      </w:r>
      <w:r w:rsidRPr="000360DD">
        <w:rPr>
          <w:i/>
          <w:lang w:val="en-GB"/>
        </w:rPr>
        <w:t>Form 10K</w:t>
      </w:r>
      <w:r w:rsidR="000360DD" w:rsidRPr="000360DD">
        <w:rPr>
          <w:i/>
          <w:lang w:val="en-GB"/>
        </w:rPr>
        <w:t>,</w:t>
      </w:r>
      <w:r w:rsidRPr="000360DD">
        <w:rPr>
          <w:i/>
          <w:lang w:val="en-GB"/>
        </w:rPr>
        <w:t xml:space="preserve"> General Motors</w:t>
      </w:r>
      <w:r w:rsidR="000360DD" w:rsidRPr="000360DD">
        <w:rPr>
          <w:i/>
          <w:lang w:val="en-GB"/>
        </w:rPr>
        <w:t xml:space="preserve"> Company</w:t>
      </w:r>
      <w:r w:rsidR="000360DD">
        <w:rPr>
          <w:lang w:val="en-GB"/>
        </w:rPr>
        <w:t>, December 31, 2017, accessed</w:t>
      </w:r>
      <w:r w:rsidRPr="0051039E">
        <w:rPr>
          <w:lang w:val="en-GB"/>
        </w:rPr>
        <w:t xml:space="preserve"> May 2, 2018, </w:t>
      </w:r>
      <w:r w:rsidR="000360DD" w:rsidRPr="000360DD">
        <w:rPr>
          <w:lang w:val="en-GB"/>
        </w:rPr>
        <w:t>https://investor.gm.com/static-files/54070a3d-55d9-4a0c-9913-7ba9b4d366de</w:t>
      </w:r>
      <w:r w:rsidR="000360DD">
        <w:rPr>
          <w:lang w:val="en-GB"/>
        </w:rPr>
        <w:t>, 2</w:t>
      </w:r>
      <w:r w:rsidRPr="0051039E">
        <w:rPr>
          <w:lang w:val="en-GB"/>
        </w:rPr>
        <w:t xml:space="preserve">. </w:t>
      </w:r>
    </w:p>
    <w:p w14:paraId="6BAEDB1F" w14:textId="77777777" w:rsidR="00D751FB" w:rsidRPr="0051039E" w:rsidRDefault="00D751FB" w:rsidP="00D751FB">
      <w:pPr>
        <w:pStyle w:val="ExhibitText"/>
        <w:rPr>
          <w:rFonts w:eastAsia="Calibri"/>
          <w:lang w:val="en-GB"/>
        </w:rPr>
      </w:pPr>
    </w:p>
    <w:p w14:paraId="5ACBB8CF" w14:textId="1F5AB009" w:rsidR="00D751FB" w:rsidRPr="0051039E" w:rsidRDefault="00D751FB" w:rsidP="00D751FB">
      <w:pPr>
        <w:pStyle w:val="Footnote"/>
        <w:rPr>
          <w:lang w:val="en-GB"/>
        </w:rPr>
      </w:pPr>
      <w:r w:rsidRPr="0051039E">
        <w:rPr>
          <w:lang w:val="en-GB"/>
        </w:rPr>
        <w:br w:type="page"/>
      </w:r>
    </w:p>
    <w:p w14:paraId="547DC460" w14:textId="7CBBDF7F" w:rsidR="00D751FB" w:rsidRPr="0051039E" w:rsidRDefault="00D751FB" w:rsidP="00D751FB">
      <w:pPr>
        <w:pStyle w:val="ExhibitHeading"/>
        <w:rPr>
          <w:shd w:val="clear" w:color="auto" w:fill="FFFFFF"/>
          <w:lang w:val="en-GB" w:eastAsia="en-CA"/>
        </w:rPr>
      </w:pPr>
      <w:r w:rsidRPr="0051039E">
        <w:rPr>
          <w:shd w:val="clear" w:color="auto" w:fill="FFFFFF"/>
          <w:lang w:val="en-GB" w:eastAsia="en-CA"/>
        </w:rPr>
        <w:lastRenderedPageBreak/>
        <w:t xml:space="preserve">EXHIBIT 2: SAMPLE NEW ENTRANT IN </w:t>
      </w:r>
      <w:r w:rsidR="00BF607D">
        <w:rPr>
          <w:shd w:val="clear" w:color="auto" w:fill="FFFFFF"/>
          <w:lang w:val="en-GB" w:eastAsia="en-CA"/>
        </w:rPr>
        <w:t xml:space="preserve">the </w:t>
      </w:r>
      <w:r w:rsidR="00E70A21">
        <w:rPr>
          <w:shd w:val="clear" w:color="auto" w:fill="FFFFFF"/>
          <w:lang w:val="en-GB" w:eastAsia="en-CA"/>
        </w:rPr>
        <w:t>US</w:t>
      </w:r>
      <w:r w:rsidRPr="0051039E">
        <w:rPr>
          <w:shd w:val="clear" w:color="auto" w:fill="FFFFFF"/>
          <w:lang w:val="en-GB" w:eastAsia="en-CA"/>
        </w:rPr>
        <w:t xml:space="preserve"> E</w:t>
      </w:r>
      <w:r w:rsidR="00BF607D">
        <w:rPr>
          <w:shd w:val="clear" w:color="auto" w:fill="FFFFFF"/>
          <w:lang w:val="en-GB" w:eastAsia="en-CA"/>
        </w:rPr>
        <w:t xml:space="preserve">lectric </w:t>
      </w:r>
      <w:r w:rsidRPr="0051039E">
        <w:rPr>
          <w:shd w:val="clear" w:color="auto" w:fill="FFFFFF"/>
          <w:lang w:val="en-GB" w:eastAsia="en-CA"/>
        </w:rPr>
        <w:t>V</w:t>
      </w:r>
      <w:r w:rsidR="00BF607D">
        <w:rPr>
          <w:shd w:val="clear" w:color="auto" w:fill="FFFFFF"/>
          <w:lang w:val="en-GB" w:eastAsia="en-CA"/>
        </w:rPr>
        <w:t>ehicle</w:t>
      </w:r>
      <w:r w:rsidRPr="0051039E">
        <w:rPr>
          <w:shd w:val="clear" w:color="auto" w:fill="FFFFFF"/>
          <w:lang w:val="en-GB" w:eastAsia="en-CA"/>
        </w:rPr>
        <w:t xml:space="preserve"> MARKET</w:t>
      </w:r>
    </w:p>
    <w:p w14:paraId="6C174643" w14:textId="77777777" w:rsidR="00D751FB" w:rsidRPr="0051039E" w:rsidRDefault="00D751FB" w:rsidP="00D751FB">
      <w:pPr>
        <w:pStyle w:val="ExhibitText"/>
        <w:rPr>
          <w:rFonts w:eastAsia="Calibri"/>
          <w:lang w:val="en-GB"/>
        </w:rPr>
      </w:pPr>
    </w:p>
    <w:p w14:paraId="53EF62F6" w14:textId="77777777" w:rsidR="00D751FB" w:rsidRPr="0051039E" w:rsidRDefault="00D751FB" w:rsidP="00D751FB">
      <w:pPr>
        <w:pStyle w:val="Casehead2"/>
        <w:jc w:val="center"/>
        <w:rPr>
          <w:rFonts w:eastAsia="Calibri"/>
          <w:lang w:val="en-GB"/>
        </w:rPr>
      </w:pPr>
      <w:r w:rsidRPr="0051039E">
        <w:rPr>
          <w:rFonts w:eastAsia="Calibri"/>
          <w:lang w:val="en-GB"/>
        </w:rPr>
        <w:t>Workhorse W15</w:t>
      </w:r>
    </w:p>
    <w:p w14:paraId="21B4637E" w14:textId="77777777" w:rsidR="00D751FB" w:rsidRPr="0051039E" w:rsidRDefault="00D751FB" w:rsidP="00D751FB">
      <w:pPr>
        <w:pStyle w:val="ExhibitText"/>
        <w:rPr>
          <w:rFonts w:eastAsia="Calibri"/>
          <w:lang w:val="en-GB"/>
        </w:rPr>
      </w:pPr>
    </w:p>
    <w:p w14:paraId="2059905F" w14:textId="77777777" w:rsidR="00D751FB" w:rsidRPr="0051039E" w:rsidRDefault="00D751FB" w:rsidP="00D751FB">
      <w:pPr>
        <w:jc w:val="center"/>
        <w:rPr>
          <w:rFonts w:ascii="Calibri" w:eastAsia="Calibri" w:hAnsi="Calibri" w:cs="Calibri"/>
          <w:sz w:val="24"/>
          <w:szCs w:val="24"/>
          <w:lang w:val="en-GB"/>
        </w:rPr>
      </w:pPr>
      <w:r w:rsidRPr="0051039E">
        <w:rPr>
          <w:rFonts w:ascii="Calibri" w:eastAsia="Calibri" w:hAnsi="Calibri" w:cs="Calibri"/>
          <w:noProof/>
          <w:sz w:val="24"/>
          <w:szCs w:val="24"/>
          <w:lang w:val="en-CA" w:eastAsia="en-CA"/>
        </w:rPr>
        <w:drawing>
          <wp:inline distT="0" distB="0" distL="0" distR="0" wp14:anchorId="2D99107A" wp14:editId="6419F228">
            <wp:extent cx="3497580" cy="2331720"/>
            <wp:effectExtent l="12700" t="12700" r="7620"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BEBA8EAE-BF5A-486C-A8C5-ECC9F3942E4B}">
                          <a14:imgProps xmlns:a14="http://schemas.microsoft.com/office/drawing/2010/main">
                            <a14:imgLayer r:embed="rId10">
                              <a14:imgEffect>
                                <a14:saturation sat="0"/>
                              </a14:imgEffect>
                            </a14:imgLayer>
                          </a14:imgProps>
                        </a:ext>
                      </a:extLst>
                    </a:blip>
                    <a:stretch>
                      <a:fillRect/>
                    </a:stretch>
                  </pic:blipFill>
                  <pic:spPr>
                    <a:xfrm>
                      <a:off x="0" y="0"/>
                      <a:ext cx="3497580" cy="2331720"/>
                    </a:xfrm>
                    <a:prstGeom prst="rect">
                      <a:avLst/>
                    </a:prstGeom>
                    <a:ln>
                      <a:solidFill>
                        <a:sysClr val="windowText" lastClr="000000"/>
                      </a:solidFill>
                    </a:ln>
                  </pic:spPr>
                </pic:pic>
              </a:graphicData>
            </a:graphic>
          </wp:inline>
        </w:drawing>
      </w:r>
    </w:p>
    <w:p w14:paraId="5AFED319" w14:textId="77777777" w:rsidR="00D751FB" w:rsidRPr="0051039E" w:rsidRDefault="00D751FB" w:rsidP="00D751FB">
      <w:pPr>
        <w:pStyle w:val="ExhibitText"/>
        <w:rPr>
          <w:rFonts w:eastAsia="Calibri"/>
          <w:lang w:val="en-GB"/>
        </w:rPr>
      </w:pPr>
    </w:p>
    <w:p w14:paraId="27045DD0" w14:textId="5D336727" w:rsidR="00D751FB" w:rsidRPr="0051039E" w:rsidRDefault="00D751FB" w:rsidP="00D751FB">
      <w:pPr>
        <w:pStyle w:val="Footnote"/>
        <w:rPr>
          <w:lang w:val="en-GB"/>
        </w:rPr>
      </w:pPr>
      <w:r w:rsidRPr="0051039E">
        <w:rPr>
          <w:lang w:val="en-GB"/>
        </w:rPr>
        <w:t xml:space="preserve">Source: </w:t>
      </w:r>
      <w:r w:rsidR="009E558C">
        <w:rPr>
          <w:lang w:val="en-GB"/>
        </w:rPr>
        <w:t>“</w:t>
      </w:r>
      <w:r w:rsidRPr="0051039E">
        <w:rPr>
          <w:lang w:val="en-GB"/>
        </w:rPr>
        <w:t>W15 Electric Pickup Truck with Extended Range</w:t>
      </w:r>
      <w:r w:rsidR="009E558C">
        <w:rPr>
          <w:lang w:val="en-GB"/>
        </w:rPr>
        <w:t>,” Workhorse, accessed</w:t>
      </w:r>
      <w:r w:rsidRPr="0051039E">
        <w:rPr>
          <w:lang w:val="en-GB"/>
        </w:rPr>
        <w:t xml:space="preserve"> May 2, 2018, </w:t>
      </w:r>
      <w:r w:rsidR="009E558C" w:rsidRPr="00114A41">
        <w:t>http://workhorse.com/pickup</w:t>
      </w:r>
      <w:r w:rsidR="009E558C">
        <w:rPr>
          <w:lang w:val="en-GB"/>
        </w:rPr>
        <w:t>; image used with permission.</w:t>
      </w:r>
      <w:r w:rsidRPr="0051039E">
        <w:rPr>
          <w:lang w:val="en-GB"/>
        </w:rPr>
        <w:t xml:space="preserve"> </w:t>
      </w:r>
    </w:p>
    <w:p w14:paraId="6D8FAB1C" w14:textId="77777777" w:rsidR="00D751FB" w:rsidRPr="0051039E" w:rsidRDefault="00D751FB" w:rsidP="007D3B30">
      <w:pPr>
        <w:pStyle w:val="ExhibitText"/>
        <w:rPr>
          <w:rFonts w:eastAsia="Calibri"/>
          <w:lang w:val="en-GB"/>
        </w:rPr>
      </w:pPr>
    </w:p>
    <w:p w14:paraId="273AE5A2" w14:textId="56F955B1" w:rsidR="00240246" w:rsidRPr="0051039E" w:rsidRDefault="00240246" w:rsidP="007D3B30">
      <w:pPr>
        <w:pStyle w:val="ExhibitText"/>
        <w:rPr>
          <w:rFonts w:ascii="Calibri" w:eastAsia="Calibri" w:hAnsi="Calibri" w:cs="Calibri"/>
          <w:sz w:val="24"/>
          <w:szCs w:val="24"/>
          <w:lang w:val="en-GB"/>
        </w:rPr>
      </w:pPr>
    </w:p>
    <w:p w14:paraId="5A824D5A" w14:textId="18092C85" w:rsidR="00D751FB" w:rsidRPr="0051039E" w:rsidRDefault="00D751FB" w:rsidP="00240246">
      <w:pPr>
        <w:pStyle w:val="ExhibitHeading"/>
        <w:rPr>
          <w:lang w:val="en-GB" w:eastAsia="en-CA"/>
        </w:rPr>
      </w:pPr>
      <w:r w:rsidRPr="0051039E">
        <w:rPr>
          <w:lang w:val="en-GB" w:eastAsia="en-CA"/>
        </w:rPr>
        <w:t>EXHIBIT 3: JAGUAR I-PACE BATTERY ELECTRIC VEHICLE DRIVETRAIN</w:t>
      </w:r>
    </w:p>
    <w:p w14:paraId="16B45D5F" w14:textId="77777777" w:rsidR="00D751FB" w:rsidRPr="0051039E" w:rsidRDefault="00D751FB" w:rsidP="00240246">
      <w:pPr>
        <w:pStyle w:val="ExhibitText"/>
        <w:rPr>
          <w:rFonts w:eastAsia="Calibri"/>
          <w:lang w:val="en-GB"/>
        </w:rPr>
      </w:pPr>
    </w:p>
    <w:p w14:paraId="206EB4A5" w14:textId="77777777" w:rsidR="00D751FB" w:rsidRPr="0051039E" w:rsidRDefault="00D751FB" w:rsidP="00240246">
      <w:pPr>
        <w:jc w:val="center"/>
        <w:rPr>
          <w:rFonts w:ascii="Calibri" w:eastAsia="Calibri" w:hAnsi="Calibri" w:cs="Calibri"/>
          <w:sz w:val="24"/>
          <w:szCs w:val="24"/>
          <w:lang w:val="en-GB"/>
        </w:rPr>
      </w:pPr>
      <w:r w:rsidRPr="0051039E">
        <w:rPr>
          <w:rFonts w:ascii="Calibri" w:hAnsi="Calibri" w:cs="Calibri"/>
          <w:noProof/>
          <w:color w:val="333333"/>
          <w:sz w:val="24"/>
          <w:szCs w:val="24"/>
          <w:shd w:val="clear" w:color="auto" w:fill="FFFFFF"/>
          <w:lang w:val="en-CA" w:eastAsia="en-CA"/>
        </w:rPr>
        <w:drawing>
          <wp:inline distT="0" distB="0" distL="0" distR="0" wp14:anchorId="13A9FE67" wp14:editId="15903466">
            <wp:extent cx="5214259" cy="3452774"/>
            <wp:effectExtent l="19050" t="19050" r="24765"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aturation sat="0"/>
                              </a14:imgEffect>
                            </a14:imgLayer>
                          </a14:imgProps>
                        </a:ext>
                      </a:extLst>
                    </a:blip>
                    <a:stretch>
                      <a:fillRect/>
                    </a:stretch>
                  </pic:blipFill>
                  <pic:spPr>
                    <a:xfrm>
                      <a:off x="0" y="0"/>
                      <a:ext cx="5252687" cy="3478220"/>
                    </a:xfrm>
                    <a:prstGeom prst="rect">
                      <a:avLst/>
                    </a:prstGeom>
                    <a:ln>
                      <a:solidFill>
                        <a:sysClr val="windowText" lastClr="000000"/>
                      </a:solidFill>
                    </a:ln>
                  </pic:spPr>
                </pic:pic>
              </a:graphicData>
            </a:graphic>
          </wp:inline>
        </w:drawing>
      </w:r>
    </w:p>
    <w:p w14:paraId="5214DB15" w14:textId="77777777" w:rsidR="00D751FB" w:rsidRPr="0051039E" w:rsidRDefault="00D751FB" w:rsidP="00240246">
      <w:pPr>
        <w:pStyle w:val="ExhibitText"/>
        <w:rPr>
          <w:rFonts w:eastAsia="Calibri"/>
          <w:lang w:val="en-GB"/>
        </w:rPr>
      </w:pPr>
    </w:p>
    <w:p w14:paraId="0E1954C9" w14:textId="22AF8B51" w:rsidR="00D751FB" w:rsidRPr="0051039E" w:rsidRDefault="00D751FB" w:rsidP="007D3B30">
      <w:pPr>
        <w:pStyle w:val="Footnote"/>
        <w:rPr>
          <w:lang w:val="en-GB" w:bidi="en-US"/>
        </w:rPr>
      </w:pPr>
      <w:r w:rsidRPr="0051039E">
        <w:rPr>
          <w:lang w:val="en-GB" w:bidi="en-US"/>
        </w:rPr>
        <w:t xml:space="preserve">Source: </w:t>
      </w:r>
      <w:r w:rsidR="00BF607D">
        <w:rPr>
          <w:lang w:val="en-GB" w:bidi="en-US"/>
        </w:rPr>
        <w:t>Matt Burt,</w:t>
      </w:r>
      <w:r w:rsidRPr="0051039E">
        <w:rPr>
          <w:lang w:val="en-GB" w:bidi="en-US"/>
        </w:rPr>
        <w:t xml:space="preserve"> </w:t>
      </w:r>
      <w:r w:rsidR="00BF607D">
        <w:rPr>
          <w:lang w:val="en-GB" w:bidi="en-US"/>
        </w:rPr>
        <w:t>“</w:t>
      </w:r>
      <w:r w:rsidRPr="0051039E">
        <w:rPr>
          <w:lang w:val="en-GB" w:bidi="en-US"/>
        </w:rPr>
        <w:t xml:space="preserve">New Jaguar I-Pace’s </w:t>
      </w:r>
      <w:r w:rsidR="00BF607D">
        <w:rPr>
          <w:lang w:val="en-GB" w:bidi="en-US"/>
        </w:rPr>
        <w:t>B</w:t>
      </w:r>
      <w:r w:rsidRPr="0051039E">
        <w:rPr>
          <w:lang w:val="en-GB" w:bidi="en-US"/>
        </w:rPr>
        <w:t xml:space="preserve">attery </w:t>
      </w:r>
      <w:r w:rsidR="00BF607D">
        <w:rPr>
          <w:lang w:val="en-GB" w:bidi="en-US"/>
        </w:rPr>
        <w:t>E</w:t>
      </w:r>
      <w:r w:rsidRPr="0051039E">
        <w:rPr>
          <w:lang w:val="en-GB" w:bidi="en-US"/>
        </w:rPr>
        <w:t xml:space="preserve">lectric </w:t>
      </w:r>
      <w:r w:rsidR="00BF607D">
        <w:rPr>
          <w:lang w:val="en-GB" w:bidi="en-US"/>
        </w:rPr>
        <w:t>V</w:t>
      </w:r>
      <w:r w:rsidRPr="0051039E">
        <w:rPr>
          <w:lang w:val="en-GB" w:bidi="en-US"/>
        </w:rPr>
        <w:t xml:space="preserve">ehicle </w:t>
      </w:r>
      <w:r w:rsidR="00BF607D">
        <w:rPr>
          <w:lang w:val="en-GB" w:bidi="en-US"/>
        </w:rPr>
        <w:t>T</w:t>
      </w:r>
      <w:r w:rsidRPr="0051039E">
        <w:rPr>
          <w:lang w:val="en-GB" w:bidi="en-US"/>
        </w:rPr>
        <w:t xml:space="preserve">echnology at a </w:t>
      </w:r>
      <w:r w:rsidR="00BF607D">
        <w:rPr>
          <w:lang w:val="en-GB" w:bidi="en-US"/>
        </w:rPr>
        <w:t>G</w:t>
      </w:r>
      <w:r w:rsidRPr="0051039E">
        <w:rPr>
          <w:lang w:val="en-GB" w:bidi="en-US"/>
        </w:rPr>
        <w:t>lance</w:t>
      </w:r>
      <w:r w:rsidR="00BF607D">
        <w:rPr>
          <w:lang w:val="en-GB" w:bidi="en-US"/>
        </w:rPr>
        <w:t>,”</w:t>
      </w:r>
      <w:r w:rsidRPr="0051039E">
        <w:rPr>
          <w:lang w:val="en-GB" w:bidi="en-US"/>
        </w:rPr>
        <w:t xml:space="preserve"> Autocar</w:t>
      </w:r>
      <w:r w:rsidR="00BF607D">
        <w:rPr>
          <w:lang w:val="en-GB" w:bidi="en-US"/>
        </w:rPr>
        <w:t xml:space="preserve">, </w:t>
      </w:r>
      <w:r w:rsidR="00BF607D" w:rsidRPr="0051039E">
        <w:rPr>
          <w:lang w:val="en-GB" w:bidi="en-US"/>
        </w:rPr>
        <w:t>November 16</w:t>
      </w:r>
      <w:r w:rsidR="00BF607D">
        <w:rPr>
          <w:lang w:val="en-GB" w:bidi="en-US"/>
        </w:rPr>
        <w:t>, 2016, accessed</w:t>
      </w:r>
      <w:r w:rsidRPr="0051039E">
        <w:rPr>
          <w:lang w:val="en-GB" w:bidi="en-US"/>
        </w:rPr>
        <w:t xml:space="preserve"> May 2, 2018, </w:t>
      </w:r>
      <w:r w:rsidR="00BF607D" w:rsidRPr="00114A41">
        <w:t>www.autocar.co.uk/car-news/motor-shows-la-motor-show/new-jaguar-i-pace%E2%80%99s-battery-electric-vehicle-technology-glance</w:t>
      </w:r>
      <w:r w:rsidR="00BF607D">
        <w:rPr>
          <w:lang w:val="en-GB" w:bidi="en-US"/>
        </w:rPr>
        <w:t>; image used with permission.</w:t>
      </w:r>
      <w:r w:rsidRPr="0051039E">
        <w:rPr>
          <w:rFonts w:ascii="Calibri" w:eastAsia="Calibri" w:hAnsi="Calibri" w:cs="Calibri"/>
          <w:sz w:val="24"/>
          <w:szCs w:val="24"/>
          <w:lang w:val="en-GB"/>
        </w:rPr>
        <w:br w:type="page"/>
      </w:r>
    </w:p>
    <w:p w14:paraId="7CD654D8" w14:textId="133E00C4" w:rsidR="00D751FB" w:rsidRPr="0051039E" w:rsidRDefault="00D751FB" w:rsidP="00240246">
      <w:pPr>
        <w:pStyle w:val="ExhibitHeading"/>
        <w:rPr>
          <w:rFonts w:eastAsia="Calibri"/>
          <w:lang w:val="en-GB"/>
        </w:rPr>
      </w:pPr>
      <w:r w:rsidRPr="0051039E">
        <w:rPr>
          <w:rFonts w:eastAsia="Calibri"/>
          <w:lang w:val="en-GB"/>
        </w:rPr>
        <w:lastRenderedPageBreak/>
        <w:t xml:space="preserve">EXHIBIT 4: GENERAL MOTORS </w:t>
      </w:r>
      <w:r w:rsidR="00BF607D">
        <w:rPr>
          <w:rFonts w:eastAsia="Calibri"/>
          <w:lang w:val="en-GB"/>
        </w:rPr>
        <w:t>Company</w:t>
      </w:r>
      <w:r w:rsidR="00D93081">
        <w:rPr>
          <w:rFonts w:eastAsia="Calibri"/>
          <w:lang w:val="en-GB"/>
        </w:rPr>
        <w:t xml:space="preserve"> (GM)</w:t>
      </w:r>
      <w:r w:rsidR="00BF607D">
        <w:rPr>
          <w:rFonts w:eastAsia="Calibri"/>
          <w:lang w:val="en-GB"/>
        </w:rPr>
        <w:t xml:space="preserve"> </w:t>
      </w:r>
      <w:r w:rsidRPr="0051039E">
        <w:rPr>
          <w:rFonts w:eastAsia="Calibri"/>
          <w:lang w:val="en-GB"/>
        </w:rPr>
        <w:t>FINANCIAL RESULTS</w:t>
      </w:r>
      <w:r w:rsidR="00BF607D">
        <w:rPr>
          <w:rFonts w:eastAsia="Calibri"/>
          <w:lang w:val="en-GB"/>
        </w:rPr>
        <w:t>,</w:t>
      </w:r>
      <w:r w:rsidRPr="0051039E">
        <w:rPr>
          <w:rFonts w:eastAsia="Calibri"/>
          <w:lang w:val="en-GB"/>
        </w:rPr>
        <w:t xml:space="preserve"> 2015</w:t>
      </w:r>
      <w:r w:rsidR="00BF607D">
        <w:rPr>
          <w:rFonts w:eastAsia="Calibri"/>
          <w:lang w:val="en-GB"/>
        </w:rPr>
        <w:t>–</w:t>
      </w:r>
      <w:r w:rsidRPr="0051039E">
        <w:rPr>
          <w:rFonts w:eastAsia="Calibri"/>
          <w:lang w:val="en-GB"/>
        </w:rPr>
        <w:t>2018</w:t>
      </w:r>
      <w:r w:rsidR="002E33DE" w:rsidRPr="0051039E">
        <w:rPr>
          <w:rFonts w:eastAsia="Calibri"/>
          <w:lang w:val="en-GB"/>
        </w:rPr>
        <w:t xml:space="preserve"> </w:t>
      </w:r>
      <w:r w:rsidR="00D93081">
        <w:rPr>
          <w:rFonts w:eastAsia="Calibri"/>
          <w:lang w:val="en-GB"/>
        </w:rPr>
        <w:br/>
      </w:r>
      <w:r w:rsidR="002E33DE" w:rsidRPr="0051039E">
        <w:rPr>
          <w:rFonts w:eastAsia="Calibri"/>
          <w:lang w:val="en-GB"/>
        </w:rPr>
        <w:t xml:space="preserve">(in </w:t>
      </w:r>
      <w:r w:rsidR="00BF607D">
        <w:rPr>
          <w:rFonts w:eastAsia="Calibri"/>
          <w:lang w:val="en-GB"/>
        </w:rPr>
        <w:t xml:space="preserve">US$ </w:t>
      </w:r>
      <w:r w:rsidR="002E33DE" w:rsidRPr="0051039E">
        <w:rPr>
          <w:rFonts w:eastAsia="Calibri"/>
          <w:lang w:val="en-GB"/>
        </w:rPr>
        <w:t>million)</w:t>
      </w:r>
    </w:p>
    <w:p w14:paraId="4581DAA7" w14:textId="77777777" w:rsidR="00D751FB" w:rsidRPr="0051039E" w:rsidRDefault="00D751FB" w:rsidP="00240246">
      <w:pPr>
        <w:pStyle w:val="ExhibitText"/>
        <w:rPr>
          <w:rFonts w:eastAsia="Calibri"/>
          <w:lang w:val="en-GB"/>
        </w:rPr>
      </w:pPr>
    </w:p>
    <w:tbl>
      <w:tblPr>
        <w:tblW w:w="900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48"/>
        <w:gridCol w:w="1572"/>
        <w:gridCol w:w="1260"/>
        <w:gridCol w:w="1260"/>
        <w:gridCol w:w="1260"/>
      </w:tblGrid>
      <w:tr w:rsidR="00BF607D" w:rsidRPr="0051039E" w14:paraId="5F5D9A84" w14:textId="77777777" w:rsidTr="00904E29">
        <w:trPr>
          <w:trHeight w:val="260"/>
        </w:trPr>
        <w:tc>
          <w:tcPr>
            <w:tcW w:w="9000" w:type="dxa"/>
            <w:gridSpan w:val="5"/>
            <w:tcBorders>
              <w:top w:val="nil"/>
              <w:left w:val="nil"/>
              <w:bottom w:val="single" w:sz="4" w:space="0" w:color="auto"/>
              <w:right w:val="nil"/>
            </w:tcBorders>
            <w:shd w:val="clear" w:color="auto" w:fill="auto"/>
            <w:noWrap/>
            <w:vAlign w:val="center"/>
            <w:hideMark/>
          </w:tcPr>
          <w:p w14:paraId="25F974F2" w14:textId="77777777" w:rsidR="00BF607D" w:rsidRDefault="00BF607D" w:rsidP="00BF607D">
            <w:pPr>
              <w:pStyle w:val="ExhibitText"/>
              <w:jc w:val="center"/>
              <w:rPr>
                <w:b/>
                <w:lang w:val="en-GB"/>
              </w:rPr>
            </w:pPr>
          </w:p>
          <w:p w14:paraId="40B6264A" w14:textId="4CB01500" w:rsidR="00BF607D" w:rsidRDefault="00BF607D" w:rsidP="00BF607D">
            <w:pPr>
              <w:pStyle w:val="ExhibitText"/>
              <w:jc w:val="center"/>
              <w:rPr>
                <w:b/>
                <w:lang w:val="en-GB"/>
              </w:rPr>
            </w:pPr>
            <w:r w:rsidRPr="0051039E">
              <w:rPr>
                <w:b/>
                <w:lang w:val="en-GB"/>
              </w:rPr>
              <w:t>Annual Income Statement</w:t>
            </w:r>
            <w:r>
              <w:rPr>
                <w:b/>
                <w:lang w:val="en-GB"/>
              </w:rPr>
              <w:t xml:space="preserve"> (Year Ended December 31)</w:t>
            </w:r>
          </w:p>
          <w:p w14:paraId="133B2741" w14:textId="50575073" w:rsidR="00BF607D" w:rsidRPr="00BF607D" w:rsidRDefault="00BF607D" w:rsidP="00BF607D">
            <w:pPr>
              <w:pStyle w:val="ExhibitText"/>
              <w:rPr>
                <w:b/>
                <w:lang w:val="en-GB"/>
              </w:rPr>
            </w:pPr>
          </w:p>
        </w:tc>
      </w:tr>
      <w:tr w:rsidR="000070BB" w:rsidRPr="0051039E" w14:paraId="5E09333F" w14:textId="77777777" w:rsidTr="00904E29">
        <w:trPr>
          <w:trHeight w:val="152"/>
        </w:trPr>
        <w:tc>
          <w:tcPr>
            <w:tcW w:w="3648" w:type="dxa"/>
            <w:tcBorders>
              <w:top w:val="single" w:sz="4" w:space="0" w:color="auto"/>
            </w:tcBorders>
            <w:shd w:val="clear" w:color="auto" w:fill="auto"/>
            <w:noWrap/>
            <w:vAlign w:val="center"/>
            <w:hideMark/>
          </w:tcPr>
          <w:p w14:paraId="24FD92BF" w14:textId="1CD93C83" w:rsidR="00D751FB" w:rsidRPr="0051039E" w:rsidRDefault="00D751FB" w:rsidP="000070BB">
            <w:pPr>
              <w:pStyle w:val="ExhibitText"/>
              <w:jc w:val="left"/>
              <w:rPr>
                <w:lang w:val="en-GB"/>
              </w:rPr>
            </w:pPr>
          </w:p>
        </w:tc>
        <w:tc>
          <w:tcPr>
            <w:tcW w:w="1572" w:type="dxa"/>
            <w:tcBorders>
              <w:top w:val="single" w:sz="4" w:space="0" w:color="auto"/>
            </w:tcBorders>
            <w:shd w:val="clear" w:color="auto" w:fill="auto"/>
            <w:noWrap/>
            <w:vAlign w:val="bottom"/>
            <w:hideMark/>
          </w:tcPr>
          <w:p w14:paraId="2EF3663B" w14:textId="1A228AE0" w:rsidR="00D751FB" w:rsidRPr="0051039E" w:rsidRDefault="00D751FB" w:rsidP="00BF607D">
            <w:pPr>
              <w:pStyle w:val="ExhibitText"/>
              <w:jc w:val="center"/>
              <w:rPr>
                <w:b/>
                <w:lang w:val="en-GB"/>
              </w:rPr>
            </w:pPr>
            <w:r w:rsidRPr="0051039E">
              <w:rPr>
                <w:b/>
                <w:lang w:val="en-GB"/>
              </w:rPr>
              <w:t>2018</w:t>
            </w:r>
          </w:p>
        </w:tc>
        <w:tc>
          <w:tcPr>
            <w:tcW w:w="1260" w:type="dxa"/>
            <w:tcBorders>
              <w:top w:val="single" w:sz="4" w:space="0" w:color="auto"/>
            </w:tcBorders>
            <w:shd w:val="clear" w:color="auto" w:fill="auto"/>
            <w:noWrap/>
            <w:vAlign w:val="bottom"/>
            <w:hideMark/>
          </w:tcPr>
          <w:p w14:paraId="4AA5ABCA" w14:textId="3A36801A" w:rsidR="00D751FB" w:rsidRPr="0051039E" w:rsidRDefault="00D751FB" w:rsidP="00BF607D">
            <w:pPr>
              <w:pStyle w:val="ExhibitText"/>
              <w:jc w:val="center"/>
              <w:rPr>
                <w:b/>
                <w:lang w:val="en-GB"/>
              </w:rPr>
            </w:pPr>
            <w:r w:rsidRPr="0051039E">
              <w:rPr>
                <w:b/>
                <w:lang w:val="en-GB"/>
              </w:rPr>
              <w:t>2017</w:t>
            </w:r>
          </w:p>
        </w:tc>
        <w:tc>
          <w:tcPr>
            <w:tcW w:w="1260" w:type="dxa"/>
            <w:tcBorders>
              <w:top w:val="single" w:sz="4" w:space="0" w:color="auto"/>
            </w:tcBorders>
            <w:shd w:val="clear" w:color="auto" w:fill="auto"/>
            <w:noWrap/>
            <w:vAlign w:val="bottom"/>
            <w:hideMark/>
          </w:tcPr>
          <w:p w14:paraId="50BC53BA" w14:textId="57DD3F49" w:rsidR="00D751FB" w:rsidRPr="0051039E" w:rsidRDefault="00D751FB" w:rsidP="00BF607D">
            <w:pPr>
              <w:pStyle w:val="ExhibitText"/>
              <w:jc w:val="center"/>
              <w:rPr>
                <w:b/>
                <w:lang w:val="en-GB"/>
              </w:rPr>
            </w:pPr>
            <w:r w:rsidRPr="0051039E">
              <w:rPr>
                <w:b/>
                <w:lang w:val="en-GB"/>
              </w:rPr>
              <w:t>2016</w:t>
            </w:r>
          </w:p>
        </w:tc>
        <w:tc>
          <w:tcPr>
            <w:tcW w:w="1260" w:type="dxa"/>
            <w:tcBorders>
              <w:top w:val="single" w:sz="4" w:space="0" w:color="auto"/>
            </w:tcBorders>
            <w:shd w:val="clear" w:color="auto" w:fill="auto"/>
            <w:noWrap/>
            <w:vAlign w:val="bottom"/>
            <w:hideMark/>
          </w:tcPr>
          <w:p w14:paraId="63E4DD43" w14:textId="5DD1A531" w:rsidR="00D751FB" w:rsidRPr="0051039E" w:rsidRDefault="00D751FB" w:rsidP="00BF607D">
            <w:pPr>
              <w:pStyle w:val="ExhibitText"/>
              <w:jc w:val="center"/>
              <w:rPr>
                <w:b/>
                <w:lang w:val="en-GB"/>
              </w:rPr>
            </w:pPr>
            <w:r w:rsidRPr="0051039E">
              <w:rPr>
                <w:b/>
                <w:lang w:val="en-GB"/>
              </w:rPr>
              <w:t>2015</w:t>
            </w:r>
          </w:p>
        </w:tc>
      </w:tr>
      <w:tr w:rsidR="000070BB" w:rsidRPr="0051039E" w14:paraId="502B0824" w14:textId="77777777" w:rsidTr="00BF607D">
        <w:trPr>
          <w:trHeight w:val="179"/>
        </w:trPr>
        <w:tc>
          <w:tcPr>
            <w:tcW w:w="3648" w:type="dxa"/>
            <w:shd w:val="clear" w:color="auto" w:fill="auto"/>
            <w:noWrap/>
            <w:vAlign w:val="center"/>
            <w:hideMark/>
          </w:tcPr>
          <w:p w14:paraId="21FFE4E9" w14:textId="77777777" w:rsidR="00D751FB" w:rsidRPr="0051039E" w:rsidRDefault="00D751FB" w:rsidP="000070BB">
            <w:pPr>
              <w:pStyle w:val="ExhibitText"/>
              <w:jc w:val="left"/>
              <w:rPr>
                <w:lang w:val="en-GB"/>
              </w:rPr>
            </w:pPr>
            <w:r w:rsidRPr="0051039E">
              <w:rPr>
                <w:lang w:val="en-GB"/>
              </w:rPr>
              <w:t>Revenue</w:t>
            </w:r>
          </w:p>
        </w:tc>
        <w:tc>
          <w:tcPr>
            <w:tcW w:w="1572" w:type="dxa"/>
            <w:shd w:val="clear" w:color="auto" w:fill="auto"/>
            <w:noWrap/>
            <w:vAlign w:val="center"/>
            <w:hideMark/>
          </w:tcPr>
          <w:p w14:paraId="70FD7D22" w14:textId="1C16072F" w:rsidR="00D751FB" w:rsidRPr="0051039E" w:rsidRDefault="00D751FB" w:rsidP="000070BB">
            <w:pPr>
              <w:pStyle w:val="ExhibitText"/>
              <w:jc w:val="right"/>
              <w:rPr>
                <w:lang w:val="en-GB"/>
              </w:rPr>
            </w:pPr>
            <w:r w:rsidRPr="0051039E">
              <w:rPr>
                <w:lang w:val="en-GB"/>
              </w:rPr>
              <w:t xml:space="preserve">147,049 </w:t>
            </w:r>
          </w:p>
        </w:tc>
        <w:tc>
          <w:tcPr>
            <w:tcW w:w="1260" w:type="dxa"/>
            <w:shd w:val="clear" w:color="auto" w:fill="auto"/>
            <w:noWrap/>
            <w:vAlign w:val="center"/>
            <w:hideMark/>
          </w:tcPr>
          <w:p w14:paraId="47B66DEC" w14:textId="0F3BD39D" w:rsidR="00D751FB" w:rsidRPr="0051039E" w:rsidRDefault="00D751FB" w:rsidP="000070BB">
            <w:pPr>
              <w:pStyle w:val="ExhibitText"/>
              <w:jc w:val="right"/>
              <w:rPr>
                <w:lang w:val="en-GB"/>
              </w:rPr>
            </w:pPr>
            <w:r w:rsidRPr="0051039E">
              <w:rPr>
                <w:lang w:val="en-GB"/>
              </w:rPr>
              <w:t xml:space="preserve">145,588 </w:t>
            </w:r>
          </w:p>
        </w:tc>
        <w:tc>
          <w:tcPr>
            <w:tcW w:w="1260" w:type="dxa"/>
            <w:shd w:val="clear" w:color="auto" w:fill="auto"/>
            <w:noWrap/>
            <w:vAlign w:val="center"/>
            <w:hideMark/>
          </w:tcPr>
          <w:p w14:paraId="3CA3D837" w14:textId="0531F37F" w:rsidR="00D751FB" w:rsidRPr="0051039E" w:rsidRDefault="00D751FB" w:rsidP="000070BB">
            <w:pPr>
              <w:pStyle w:val="ExhibitText"/>
              <w:jc w:val="right"/>
              <w:rPr>
                <w:lang w:val="en-GB"/>
              </w:rPr>
            </w:pPr>
            <w:r w:rsidRPr="0051039E">
              <w:rPr>
                <w:lang w:val="en-GB"/>
              </w:rPr>
              <w:t xml:space="preserve">149,184 </w:t>
            </w:r>
          </w:p>
        </w:tc>
        <w:tc>
          <w:tcPr>
            <w:tcW w:w="1260" w:type="dxa"/>
            <w:shd w:val="clear" w:color="auto" w:fill="auto"/>
            <w:noWrap/>
            <w:vAlign w:val="center"/>
            <w:hideMark/>
          </w:tcPr>
          <w:p w14:paraId="74AA9BE1" w14:textId="68571139" w:rsidR="00D751FB" w:rsidRPr="0051039E" w:rsidRDefault="00D751FB" w:rsidP="000070BB">
            <w:pPr>
              <w:pStyle w:val="ExhibitText"/>
              <w:jc w:val="right"/>
              <w:rPr>
                <w:lang w:val="en-GB"/>
              </w:rPr>
            </w:pPr>
            <w:r w:rsidRPr="0051039E">
              <w:rPr>
                <w:lang w:val="en-GB"/>
              </w:rPr>
              <w:t xml:space="preserve">135,725 </w:t>
            </w:r>
          </w:p>
        </w:tc>
      </w:tr>
      <w:tr w:rsidR="000070BB" w:rsidRPr="0051039E" w14:paraId="1691CB29" w14:textId="77777777" w:rsidTr="00BF607D">
        <w:trPr>
          <w:trHeight w:val="125"/>
        </w:trPr>
        <w:tc>
          <w:tcPr>
            <w:tcW w:w="3648" w:type="dxa"/>
            <w:shd w:val="clear" w:color="auto" w:fill="auto"/>
            <w:noWrap/>
            <w:vAlign w:val="center"/>
            <w:hideMark/>
          </w:tcPr>
          <w:p w14:paraId="1DE41B3B" w14:textId="109C35DA" w:rsidR="00D751FB" w:rsidRPr="0051039E" w:rsidRDefault="00D751FB" w:rsidP="000070BB">
            <w:pPr>
              <w:pStyle w:val="ExhibitText"/>
              <w:jc w:val="left"/>
              <w:rPr>
                <w:lang w:val="en-GB"/>
              </w:rPr>
            </w:pPr>
            <w:r w:rsidRPr="0051039E">
              <w:rPr>
                <w:lang w:val="en-GB"/>
              </w:rPr>
              <w:t xml:space="preserve">Cost of </w:t>
            </w:r>
            <w:r w:rsidR="00F018F1">
              <w:rPr>
                <w:lang w:val="en-GB"/>
              </w:rPr>
              <w:t>r</w:t>
            </w:r>
            <w:r w:rsidRPr="0051039E">
              <w:rPr>
                <w:lang w:val="en-GB"/>
              </w:rPr>
              <w:t>evenue</w:t>
            </w:r>
          </w:p>
        </w:tc>
        <w:tc>
          <w:tcPr>
            <w:tcW w:w="1572" w:type="dxa"/>
            <w:shd w:val="clear" w:color="auto" w:fill="auto"/>
            <w:noWrap/>
            <w:vAlign w:val="center"/>
            <w:hideMark/>
          </w:tcPr>
          <w:p w14:paraId="52F56B38" w14:textId="141E65E0" w:rsidR="00D751FB" w:rsidRPr="0051039E" w:rsidRDefault="00D751FB" w:rsidP="000070BB">
            <w:pPr>
              <w:pStyle w:val="ExhibitText"/>
              <w:jc w:val="right"/>
              <w:rPr>
                <w:lang w:val="en-GB"/>
              </w:rPr>
            </w:pPr>
            <w:r w:rsidRPr="0051039E">
              <w:rPr>
                <w:lang w:val="en-GB"/>
              </w:rPr>
              <w:t xml:space="preserve">132,954 </w:t>
            </w:r>
          </w:p>
        </w:tc>
        <w:tc>
          <w:tcPr>
            <w:tcW w:w="1260" w:type="dxa"/>
            <w:shd w:val="clear" w:color="auto" w:fill="auto"/>
            <w:noWrap/>
            <w:vAlign w:val="center"/>
            <w:hideMark/>
          </w:tcPr>
          <w:p w14:paraId="2C1F1372" w14:textId="49B00B3D" w:rsidR="00D751FB" w:rsidRPr="0051039E" w:rsidRDefault="00D751FB" w:rsidP="000070BB">
            <w:pPr>
              <w:pStyle w:val="ExhibitText"/>
              <w:jc w:val="right"/>
              <w:rPr>
                <w:lang w:val="en-GB"/>
              </w:rPr>
            </w:pPr>
            <w:r w:rsidRPr="0051039E">
              <w:rPr>
                <w:lang w:val="en-GB"/>
              </w:rPr>
              <w:t xml:space="preserve">125,997 </w:t>
            </w:r>
          </w:p>
        </w:tc>
        <w:tc>
          <w:tcPr>
            <w:tcW w:w="1260" w:type="dxa"/>
            <w:shd w:val="clear" w:color="auto" w:fill="auto"/>
            <w:noWrap/>
            <w:vAlign w:val="center"/>
            <w:hideMark/>
          </w:tcPr>
          <w:p w14:paraId="3F39B68F" w14:textId="01AC04F2" w:rsidR="00D751FB" w:rsidRPr="0051039E" w:rsidRDefault="00D751FB" w:rsidP="000070BB">
            <w:pPr>
              <w:pStyle w:val="ExhibitText"/>
              <w:jc w:val="right"/>
              <w:rPr>
                <w:lang w:val="en-GB"/>
              </w:rPr>
            </w:pPr>
            <w:r w:rsidRPr="0051039E">
              <w:rPr>
                <w:lang w:val="en-GB"/>
              </w:rPr>
              <w:t xml:space="preserve">128,868 </w:t>
            </w:r>
          </w:p>
        </w:tc>
        <w:tc>
          <w:tcPr>
            <w:tcW w:w="1260" w:type="dxa"/>
            <w:shd w:val="clear" w:color="auto" w:fill="auto"/>
            <w:noWrap/>
            <w:vAlign w:val="center"/>
            <w:hideMark/>
          </w:tcPr>
          <w:p w14:paraId="241D63FE" w14:textId="3F466CF7" w:rsidR="00D751FB" w:rsidRPr="0051039E" w:rsidRDefault="00D751FB" w:rsidP="000070BB">
            <w:pPr>
              <w:pStyle w:val="ExhibitText"/>
              <w:jc w:val="right"/>
              <w:rPr>
                <w:lang w:val="en-GB"/>
              </w:rPr>
            </w:pPr>
            <w:r w:rsidRPr="0051039E">
              <w:rPr>
                <w:lang w:val="en-GB"/>
              </w:rPr>
              <w:t xml:space="preserve">118,299 </w:t>
            </w:r>
          </w:p>
        </w:tc>
      </w:tr>
      <w:tr w:rsidR="000070BB" w:rsidRPr="0051039E" w14:paraId="184AA6D3" w14:textId="77777777" w:rsidTr="00BF607D">
        <w:trPr>
          <w:trHeight w:val="71"/>
        </w:trPr>
        <w:tc>
          <w:tcPr>
            <w:tcW w:w="3648" w:type="dxa"/>
            <w:shd w:val="clear" w:color="auto" w:fill="auto"/>
            <w:noWrap/>
            <w:vAlign w:val="center"/>
            <w:hideMark/>
          </w:tcPr>
          <w:p w14:paraId="722BAD19" w14:textId="53CAA13E" w:rsidR="00D751FB" w:rsidRPr="0051039E" w:rsidRDefault="00D751FB" w:rsidP="000070BB">
            <w:pPr>
              <w:pStyle w:val="ExhibitText"/>
              <w:jc w:val="left"/>
              <w:rPr>
                <w:lang w:val="en-GB"/>
              </w:rPr>
            </w:pPr>
            <w:r w:rsidRPr="0051039E">
              <w:rPr>
                <w:lang w:val="en-GB"/>
              </w:rPr>
              <w:t xml:space="preserve">Gross </w:t>
            </w:r>
            <w:r w:rsidR="00F018F1">
              <w:rPr>
                <w:lang w:val="en-GB"/>
              </w:rPr>
              <w:t>p</w:t>
            </w:r>
            <w:r w:rsidRPr="0051039E">
              <w:rPr>
                <w:lang w:val="en-GB"/>
              </w:rPr>
              <w:t>rofit</w:t>
            </w:r>
          </w:p>
        </w:tc>
        <w:tc>
          <w:tcPr>
            <w:tcW w:w="1572" w:type="dxa"/>
            <w:shd w:val="clear" w:color="auto" w:fill="auto"/>
            <w:noWrap/>
            <w:vAlign w:val="center"/>
            <w:hideMark/>
          </w:tcPr>
          <w:p w14:paraId="109C83AF" w14:textId="0BCF0A4A" w:rsidR="00D751FB" w:rsidRPr="0051039E" w:rsidRDefault="00D751FB" w:rsidP="000070BB">
            <w:pPr>
              <w:pStyle w:val="ExhibitText"/>
              <w:jc w:val="right"/>
              <w:rPr>
                <w:lang w:val="en-GB"/>
              </w:rPr>
            </w:pPr>
            <w:r w:rsidRPr="0051039E">
              <w:rPr>
                <w:lang w:val="en-GB"/>
              </w:rPr>
              <w:t xml:space="preserve">14,095 </w:t>
            </w:r>
          </w:p>
        </w:tc>
        <w:tc>
          <w:tcPr>
            <w:tcW w:w="1260" w:type="dxa"/>
            <w:shd w:val="clear" w:color="auto" w:fill="auto"/>
            <w:noWrap/>
            <w:vAlign w:val="center"/>
            <w:hideMark/>
          </w:tcPr>
          <w:p w14:paraId="5F747DC1" w14:textId="20CA7919" w:rsidR="00D751FB" w:rsidRPr="0051039E" w:rsidRDefault="00D751FB" w:rsidP="000070BB">
            <w:pPr>
              <w:pStyle w:val="ExhibitText"/>
              <w:jc w:val="right"/>
              <w:rPr>
                <w:lang w:val="en-GB"/>
              </w:rPr>
            </w:pPr>
            <w:r w:rsidRPr="0051039E">
              <w:rPr>
                <w:lang w:val="en-GB"/>
              </w:rPr>
              <w:t xml:space="preserve">19,591 </w:t>
            </w:r>
          </w:p>
        </w:tc>
        <w:tc>
          <w:tcPr>
            <w:tcW w:w="1260" w:type="dxa"/>
            <w:shd w:val="clear" w:color="auto" w:fill="auto"/>
            <w:noWrap/>
            <w:vAlign w:val="center"/>
            <w:hideMark/>
          </w:tcPr>
          <w:p w14:paraId="13094343" w14:textId="1294811D" w:rsidR="00D751FB" w:rsidRPr="0051039E" w:rsidRDefault="00D751FB" w:rsidP="000070BB">
            <w:pPr>
              <w:pStyle w:val="ExhibitText"/>
              <w:jc w:val="right"/>
              <w:rPr>
                <w:lang w:val="en-GB"/>
              </w:rPr>
            </w:pPr>
            <w:r w:rsidRPr="0051039E">
              <w:rPr>
                <w:lang w:val="en-GB"/>
              </w:rPr>
              <w:t xml:space="preserve">20,316 </w:t>
            </w:r>
          </w:p>
        </w:tc>
        <w:tc>
          <w:tcPr>
            <w:tcW w:w="1260" w:type="dxa"/>
            <w:shd w:val="clear" w:color="auto" w:fill="auto"/>
            <w:noWrap/>
            <w:vAlign w:val="center"/>
            <w:hideMark/>
          </w:tcPr>
          <w:p w14:paraId="65661543" w14:textId="6629DE85" w:rsidR="00D751FB" w:rsidRPr="0051039E" w:rsidRDefault="00D751FB" w:rsidP="000070BB">
            <w:pPr>
              <w:pStyle w:val="ExhibitText"/>
              <w:jc w:val="right"/>
              <w:rPr>
                <w:lang w:val="en-GB"/>
              </w:rPr>
            </w:pPr>
            <w:r w:rsidRPr="0051039E">
              <w:rPr>
                <w:lang w:val="en-GB"/>
              </w:rPr>
              <w:t xml:space="preserve">17,426 </w:t>
            </w:r>
          </w:p>
        </w:tc>
      </w:tr>
      <w:tr w:rsidR="000070BB" w:rsidRPr="0051039E" w14:paraId="0E0B6B87" w14:textId="77777777" w:rsidTr="00BF607D">
        <w:trPr>
          <w:trHeight w:val="188"/>
        </w:trPr>
        <w:tc>
          <w:tcPr>
            <w:tcW w:w="3648" w:type="dxa"/>
            <w:shd w:val="clear" w:color="auto" w:fill="auto"/>
            <w:noWrap/>
            <w:vAlign w:val="center"/>
            <w:hideMark/>
          </w:tcPr>
          <w:p w14:paraId="02EEAD52" w14:textId="77777777" w:rsidR="00D751FB" w:rsidRPr="0051039E" w:rsidRDefault="00D751FB" w:rsidP="000070BB">
            <w:pPr>
              <w:pStyle w:val="ExhibitText"/>
              <w:jc w:val="left"/>
              <w:rPr>
                <w:lang w:val="en-GB"/>
              </w:rPr>
            </w:pPr>
            <w:r w:rsidRPr="0051039E">
              <w:rPr>
                <w:lang w:val="en-GB"/>
              </w:rPr>
              <w:t> </w:t>
            </w:r>
          </w:p>
        </w:tc>
        <w:tc>
          <w:tcPr>
            <w:tcW w:w="1572" w:type="dxa"/>
            <w:shd w:val="clear" w:color="auto" w:fill="auto"/>
            <w:noWrap/>
            <w:vAlign w:val="center"/>
            <w:hideMark/>
          </w:tcPr>
          <w:p w14:paraId="197BCCE7" w14:textId="77777777" w:rsidR="00D751FB" w:rsidRPr="0051039E" w:rsidRDefault="00D751FB" w:rsidP="000070BB">
            <w:pPr>
              <w:pStyle w:val="ExhibitText"/>
              <w:jc w:val="right"/>
              <w:rPr>
                <w:lang w:val="en-GB"/>
              </w:rPr>
            </w:pPr>
            <w:r w:rsidRPr="0051039E">
              <w:rPr>
                <w:lang w:val="en-GB"/>
              </w:rPr>
              <w:t>9.6%</w:t>
            </w:r>
          </w:p>
        </w:tc>
        <w:tc>
          <w:tcPr>
            <w:tcW w:w="1260" w:type="dxa"/>
            <w:shd w:val="clear" w:color="auto" w:fill="auto"/>
            <w:noWrap/>
            <w:vAlign w:val="center"/>
            <w:hideMark/>
          </w:tcPr>
          <w:p w14:paraId="3D70708B" w14:textId="77777777" w:rsidR="00D751FB" w:rsidRPr="0051039E" w:rsidRDefault="00D751FB" w:rsidP="000070BB">
            <w:pPr>
              <w:pStyle w:val="ExhibitText"/>
              <w:jc w:val="right"/>
              <w:rPr>
                <w:lang w:val="en-GB"/>
              </w:rPr>
            </w:pPr>
            <w:r w:rsidRPr="0051039E">
              <w:rPr>
                <w:lang w:val="en-GB"/>
              </w:rPr>
              <w:t>13.5%</w:t>
            </w:r>
          </w:p>
        </w:tc>
        <w:tc>
          <w:tcPr>
            <w:tcW w:w="1260" w:type="dxa"/>
            <w:shd w:val="clear" w:color="auto" w:fill="auto"/>
            <w:noWrap/>
            <w:vAlign w:val="center"/>
            <w:hideMark/>
          </w:tcPr>
          <w:p w14:paraId="1D9A5EF0" w14:textId="77777777" w:rsidR="00D751FB" w:rsidRPr="0051039E" w:rsidRDefault="00D751FB" w:rsidP="000070BB">
            <w:pPr>
              <w:pStyle w:val="ExhibitText"/>
              <w:jc w:val="right"/>
              <w:rPr>
                <w:lang w:val="en-GB"/>
              </w:rPr>
            </w:pPr>
            <w:r w:rsidRPr="0051039E">
              <w:rPr>
                <w:lang w:val="en-GB"/>
              </w:rPr>
              <w:t>13.6%</w:t>
            </w:r>
          </w:p>
        </w:tc>
        <w:tc>
          <w:tcPr>
            <w:tcW w:w="1260" w:type="dxa"/>
            <w:shd w:val="clear" w:color="auto" w:fill="auto"/>
            <w:noWrap/>
            <w:vAlign w:val="center"/>
            <w:hideMark/>
          </w:tcPr>
          <w:p w14:paraId="4638D9E1" w14:textId="77777777" w:rsidR="00D751FB" w:rsidRPr="0051039E" w:rsidRDefault="00D751FB" w:rsidP="000070BB">
            <w:pPr>
              <w:pStyle w:val="ExhibitText"/>
              <w:jc w:val="right"/>
              <w:rPr>
                <w:lang w:val="en-GB"/>
              </w:rPr>
            </w:pPr>
            <w:r w:rsidRPr="0051039E">
              <w:rPr>
                <w:lang w:val="en-GB"/>
              </w:rPr>
              <w:t>12.8%</w:t>
            </w:r>
          </w:p>
        </w:tc>
      </w:tr>
      <w:tr w:rsidR="000070BB" w:rsidRPr="0051039E" w14:paraId="4485D6E5" w14:textId="77777777" w:rsidTr="00BF607D">
        <w:trPr>
          <w:trHeight w:val="125"/>
        </w:trPr>
        <w:tc>
          <w:tcPr>
            <w:tcW w:w="3648" w:type="dxa"/>
            <w:shd w:val="clear" w:color="auto" w:fill="auto"/>
            <w:noWrap/>
            <w:vAlign w:val="center"/>
            <w:hideMark/>
          </w:tcPr>
          <w:p w14:paraId="6728C4E6" w14:textId="1F98B871" w:rsidR="00D751FB" w:rsidRPr="00152AE1" w:rsidRDefault="00D751FB" w:rsidP="000070BB">
            <w:pPr>
              <w:pStyle w:val="ExhibitText"/>
              <w:jc w:val="left"/>
              <w:rPr>
                <w:b/>
                <w:lang w:val="en-GB"/>
              </w:rPr>
            </w:pPr>
            <w:r w:rsidRPr="00152AE1">
              <w:rPr>
                <w:b/>
                <w:lang w:val="en-GB"/>
              </w:rPr>
              <w:t xml:space="preserve">Operating </w:t>
            </w:r>
            <w:r w:rsidR="00F018F1" w:rsidRPr="00152AE1">
              <w:rPr>
                <w:b/>
                <w:lang w:val="en-GB"/>
              </w:rPr>
              <w:t>e</w:t>
            </w:r>
            <w:r w:rsidRPr="00152AE1">
              <w:rPr>
                <w:b/>
                <w:lang w:val="en-GB"/>
              </w:rPr>
              <w:t>xpenses</w:t>
            </w:r>
          </w:p>
        </w:tc>
        <w:tc>
          <w:tcPr>
            <w:tcW w:w="1572" w:type="dxa"/>
            <w:shd w:val="clear" w:color="auto" w:fill="auto"/>
            <w:noWrap/>
            <w:vAlign w:val="center"/>
            <w:hideMark/>
          </w:tcPr>
          <w:p w14:paraId="2216A7DD" w14:textId="77777777" w:rsidR="00D751FB" w:rsidRPr="0051039E" w:rsidRDefault="00D751FB" w:rsidP="000070BB">
            <w:pPr>
              <w:pStyle w:val="ExhibitText"/>
              <w:jc w:val="right"/>
              <w:rPr>
                <w:lang w:val="en-GB"/>
              </w:rPr>
            </w:pPr>
            <w:r w:rsidRPr="0051039E">
              <w:rPr>
                <w:lang w:val="en-GB"/>
              </w:rPr>
              <w:t> </w:t>
            </w:r>
          </w:p>
        </w:tc>
        <w:tc>
          <w:tcPr>
            <w:tcW w:w="1260" w:type="dxa"/>
            <w:shd w:val="clear" w:color="auto" w:fill="auto"/>
            <w:noWrap/>
            <w:vAlign w:val="center"/>
            <w:hideMark/>
          </w:tcPr>
          <w:p w14:paraId="5A3289DF" w14:textId="77777777" w:rsidR="00D751FB" w:rsidRPr="0051039E" w:rsidRDefault="00D751FB" w:rsidP="000070BB">
            <w:pPr>
              <w:pStyle w:val="ExhibitText"/>
              <w:jc w:val="right"/>
              <w:rPr>
                <w:lang w:val="en-GB"/>
              </w:rPr>
            </w:pPr>
          </w:p>
        </w:tc>
        <w:tc>
          <w:tcPr>
            <w:tcW w:w="1260" w:type="dxa"/>
            <w:shd w:val="clear" w:color="auto" w:fill="auto"/>
            <w:noWrap/>
            <w:vAlign w:val="center"/>
            <w:hideMark/>
          </w:tcPr>
          <w:p w14:paraId="5FE01FE1" w14:textId="77777777" w:rsidR="00D751FB" w:rsidRPr="0051039E" w:rsidRDefault="00D751FB" w:rsidP="000070BB">
            <w:pPr>
              <w:pStyle w:val="ExhibitText"/>
              <w:jc w:val="right"/>
              <w:rPr>
                <w:lang w:val="en-GB"/>
              </w:rPr>
            </w:pPr>
          </w:p>
        </w:tc>
        <w:tc>
          <w:tcPr>
            <w:tcW w:w="1260" w:type="dxa"/>
            <w:shd w:val="clear" w:color="auto" w:fill="auto"/>
            <w:noWrap/>
            <w:vAlign w:val="center"/>
            <w:hideMark/>
          </w:tcPr>
          <w:p w14:paraId="3433DBD9" w14:textId="77777777" w:rsidR="00D751FB" w:rsidRPr="0051039E" w:rsidRDefault="00D751FB" w:rsidP="000070BB">
            <w:pPr>
              <w:pStyle w:val="ExhibitText"/>
              <w:jc w:val="right"/>
              <w:rPr>
                <w:lang w:val="en-GB"/>
              </w:rPr>
            </w:pPr>
            <w:r w:rsidRPr="0051039E">
              <w:rPr>
                <w:lang w:val="en-GB"/>
              </w:rPr>
              <w:t> </w:t>
            </w:r>
          </w:p>
        </w:tc>
      </w:tr>
      <w:tr w:rsidR="000070BB" w:rsidRPr="0051039E" w14:paraId="0FBACF17" w14:textId="77777777" w:rsidTr="00BF607D">
        <w:trPr>
          <w:trHeight w:val="242"/>
        </w:trPr>
        <w:tc>
          <w:tcPr>
            <w:tcW w:w="3648" w:type="dxa"/>
            <w:shd w:val="clear" w:color="auto" w:fill="auto"/>
            <w:noWrap/>
            <w:vAlign w:val="center"/>
            <w:hideMark/>
          </w:tcPr>
          <w:p w14:paraId="5D91D878" w14:textId="35E74E38" w:rsidR="00D751FB" w:rsidRPr="0051039E" w:rsidRDefault="00D751FB" w:rsidP="000070BB">
            <w:pPr>
              <w:pStyle w:val="ExhibitText"/>
              <w:jc w:val="left"/>
              <w:rPr>
                <w:lang w:val="en-GB"/>
              </w:rPr>
            </w:pPr>
            <w:r w:rsidRPr="0051039E">
              <w:rPr>
                <w:lang w:val="en-GB"/>
              </w:rPr>
              <w:t xml:space="preserve">Sales, </w:t>
            </w:r>
            <w:r w:rsidR="00F018F1">
              <w:rPr>
                <w:lang w:val="en-GB"/>
              </w:rPr>
              <w:t>g</w:t>
            </w:r>
            <w:r w:rsidRPr="0051039E">
              <w:rPr>
                <w:lang w:val="en-GB"/>
              </w:rPr>
              <w:t>eneral</w:t>
            </w:r>
            <w:r w:rsidR="00BF607D">
              <w:rPr>
                <w:lang w:val="en-GB"/>
              </w:rPr>
              <w:t>,</w:t>
            </w:r>
            <w:r w:rsidRPr="0051039E">
              <w:rPr>
                <w:lang w:val="en-GB"/>
              </w:rPr>
              <w:t xml:space="preserve"> and </w:t>
            </w:r>
            <w:r w:rsidR="00F018F1">
              <w:rPr>
                <w:lang w:val="en-GB"/>
              </w:rPr>
              <w:t>a</w:t>
            </w:r>
            <w:r w:rsidRPr="0051039E">
              <w:rPr>
                <w:lang w:val="en-GB"/>
              </w:rPr>
              <w:t>dministrative</w:t>
            </w:r>
          </w:p>
        </w:tc>
        <w:tc>
          <w:tcPr>
            <w:tcW w:w="1572" w:type="dxa"/>
            <w:shd w:val="clear" w:color="auto" w:fill="auto"/>
            <w:noWrap/>
            <w:vAlign w:val="center"/>
            <w:hideMark/>
          </w:tcPr>
          <w:p w14:paraId="3F2A6629" w14:textId="3646F73D" w:rsidR="00D751FB" w:rsidRPr="0051039E" w:rsidRDefault="00D751FB" w:rsidP="000070BB">
            <w:pPr>
              <w:pStyle w:val="ExhibitText"/>
              <w:jc w:val="right"/>
              <w:rPr>
                <w:lang w:val="en-GB"/>
              </w:rPr>
            </w:pPr>
            <w:r w:rsidRPr="0051039E">
              <w:rPr>
                <w:lang w:val="en-GB"/>
              </w:rPr>
              <w:t xml:space="preserve">9,650 </w:t>
            </w:r>
          </w:p>
        </w:tc>
        <w:tc>
          <w:tcPr>
            <w:tcW w:w="1260" w:type="dxa"/>
            <w:shd w:val="clear" w:color="auto" w:fill="auto"/>
            <w:noWrap/>
            <w:vAlign w:val="center"/>
            <w:hideMark/>
          </w:tcPr>
          <w:p w14:paraId="589E0251" w14:textId="5B87AD02" w:rsidR="00D751FB" w:rsidRPr="0051039E" w:rsidRDefault="00D751FB" w:rsidP="000070BB">
            <w:pPr>
              <w:pStyle w:val="ExhibitText"/>
              <w:jc w:val="right"/>
              <w:rPr>
                <w:lang w:val="en-GB"/>
              </w:rPr>
            </w:pPr>
            <w:r w:rsidRPr="0051039E">
              <w:rPr>
                <w:lang w:val="en-GB"/>
              </w:rPr>
              <w:t xml:space="preserve">9,575 </w:t>
            </w:r>
          </w:p>
        </w:tc>
        <w:tc>
          <w:tcPr>
            <w:tcW w:w="1260" w:type="dxa"/>
            <w:shd w:val="clear" w:color="auto" w:fill="auto"/>
            <w:noWrap/>
            <w:vAlign w:val="center"/>
            <w:hideMark/>
          </w:tcPr>
          <w:p w14:paraId="40CBCBF2" w14:textId="6F4A7BDD" w:rsidR="00D751FB" w:rsidRPr="0051039E" w:rsidRDefault="00D751FB" w:rsidP="000070BB">
            <w:pPr>
              <w:pStyle w:val="ExhibitText"/>
              <w:jc w:val="right"/>
              <w:rPr>
                <w:lang w:val="en-GB"/>
              </w:rPr>
            </w:pPr>
            <w:r w:rsidRPr="0051039E">
              <w:rPr>
                <w:lang w:val="en-GB"/>
              </w:rPr>
              <w:t xml:space="preserve">10,354 </w:t>
            </w:r>
          </w:p>
        </w:tc>
        <w:tc>
          <w:tcPr>
            <w:tcW w:w="1260" w:type="dxa"/>
            <w:shd w:val="clear" w:color="auto" w:fill="auto"/>
            <w:noWrap/>
            <w:vAlign w:val="center"/>
            <w:hideMark/>
          </w:tcPr>
          <w:p w14:paraId="655BD9AE" w14:textId="177ECE8A" w:rsidR="00D751FB" w:rsidRPr="0051039E" w:rsidRDefault="00D751FB" w:rsidP="000070BB">
            <w:pPr>
              <w:pStyle w:val="ExhibitText"/>
              <w:jc w:val="right"/>
              <w:rPr>
                <w:lang w:val="en-GB"/>
              </w:rPr>
            </w:pPr>
            <w:r w:rsidRPr="0051039E">
              <w:rPr>
                <w:lang w:val="en-GB"/>
              </w:rPr>
              <w:t xml:space="preserve">11,888 </w:t>
            </w:r>
          </w:p>
        </w:tc>
      </w:tr>
      <w:tr w:rsidR="000070BB" w:rsidRPr="0051039E" w14:paraId="47962664" w14:textId="77777777" w:rsidTr="00BF607D">
        <w:trPr>
          <w:trHeight w:val="80"/>
        </w:trPr>
        <w:tc>
          <w:tcPr>
            <w:tcW w:w="3648" w:type="dxa"/>
            <w:shd w:val="clear" w:color="auto" w:fill="auto"/>
            <w:noWrap/>
            <w:vAlign w:val="center"/>
            <w:hideMark/>
          </w:tcPr>
          <w:p w14:paraId="0CA767E5" w14:textId="05B088DF" w:rsidR="00D751FB" w:rsidRPr="0051039E" w:rsidRDefault="00D751FB" w:rsidP="000070BB">
            <w:pPr>
              <w:pStyle w:val="ExhibitText"/>
              <w:jc w:val="left"/>
              <w:rPr>
                <w:lang w:val="en-GB"/>
              </w:rPr>
            </w:pPr>
            <w:r w:rsidRPr="0051039E">
              <w:rPr>
                <w:lang w:val="en-GB"/>
              </w:rPr>
              <w:t xml:space="preserve">Operating </w:t>
            </w:r>
            <w:r w:rsidR="00F018F1">
              <w:rPr>
                <w:lang w:val="en-GB"/>
              </w:rPr>
              <w:t>i</w:t>
            </w:r>
            <w:r w:rsidRPr="0051039E">
              <w:rPr>
                <w:lang w:val="en-GB"/>
              </w:rPr>
              <w:t>ncome</w:t>
            </w:r>
          </w:p>
        </w:tc>
        <w:tc>
          <w:tcPr>
            <w:tcW w:w="1572" w:type="dxa"/>
            <w:shd w:val="clear" w:color="auto" w:fill="auto"/>
            <w:noWrap/>
            <w:vAlign w:val="center"/>
            <w:hideMark/>
          </w:tcPr>
          <w:p w14:paraId="0D497B0F" w14:textId="7F051B5C" w:rsidR="00D751FB" w:rsidRPr="0051039E" w:rsidRDefault="00D751FB" w:rsidP="000070BB">
            <w:pPr>
              <w:pStyle w:val="ExhibitText"/>
              <w:jc w:val="right"/>
              <w:rPr>
                <w:lang w:val="en-GB"/>
              </w:rPr>
            </w:pPr>
            <w:r w:rsidRPr="0051039E">
              <w:rPr>
                <w:lang w:val="en-GB"/>
              </w:rPr>
              <w:t xml:space="preserve">4,445 </w:t>
            </w:r>
          </w:p>
        </w:tc>
        <w:tc>
          <w:tcPr>
            <w:tcW w:w="1260" w:type="dxa"/>
            <w:shd w:val="clear" w:color="auto" w:fill="auto"/>
            <w:noWrap/>
            <w:vAlign w:val="center"/>
            <w:hideMark/>
          </w:tcPr>
          <w:p w14:paraId="5702B122" w14:textId="76C64458" w:rsidR="00D751FB" w:rsidRPr="0051039E" w:rsidRDefault="00D751FB" w:rsidP="000070BB">
            <w:pPr>
              <w:pStyle w:val="ExhibitText"/>
              <w:jc w:val="right"/>
              <w:rPr>
                <w:lang w:val="en-GB"/>
              </w:rPr>
            </w:pPr>
            <w:r w:rsidRPr="0051039E">
              <w:rPr>
                <w:lang w:val="en-GB"/>
              </w:rPr>
              <w:t xml:space="preserve">10,016 </w:t>
            </w:r>
          </w:p>
        </w:tc>
        <w:tc>
          <w:tcPr>
            <w:tcW w:w="1260" w:type="dxa"/>
            <w:shd w:val="clear" w:color="auto" w:fill="auto"/>
            <w:noWrap/>
            <w:vAlign w:val="center"/>
            <w:hideMark/>
          </w:tcPr>
          <w:p w14:paraId="1D525885" w14:textId="01F79F5F" w:rsidR="00D751FB" w:rsidRPr="0051039E" w:rsidRDefault="00D751FB" w:rsidP="000070BB">
            <w:pPr>
              <w:pStyle w:val="ExhibitText"/>
              <w:jc w:val="right"/>
              <w:rPr>
                <w:lang w:val="en-GB"/>
              </w:rPr>
            </w:pPr>
            <w:r w:rsidRPr="0051039E">
              <w:rPr>
                <w:lang w:val="en-GB"/>
              </w:rPr>
              <w:t xml:space="preserve">9,962 </w:t>
            </w:r>
          </w:p>
        </w:tc>
        <w:tc>
          <w:tcPr>
            <w:tcW w:w="1260" w:type="dxa"/>
            <w:shd w:val="clear" w:color="auto" w:fill="auto"/>
            <w:noWrap/>
            <w:vAlign w:val="center"/>
            <w:hideMark/>
          </w:tcPr>
          <w:p w14:paraId="7B1AA0C2" w14:textId="13A9B83C" w:rsidR="00D751FB" w:rsidRPr="0051039E" w:rsidRDefault="00D751FB" w:rsidP="000070BB">
            <w:pPr>
              <w:pStyle w:val="ExhibitText"/>
              <w:jc w:val="right"/>
              <w:rPr>
                <w:lang w:val="en-GB"/>
              </w:rPr>
            </w:pPr>
            <w:r w:rsidRPr="0051039E">
              <w:rPr>
                <w:lang w:val="en-GB"/>
              </w:rPr>
              <w:t xml:space="preserve">5,538 </w:t>
            </w:r>
          </w:p>
        </w:tc>
      </w:tr>
      <w:tr w:rsidR="000070BB" w:rsidRPr="0051039E" w14:paraId="0C72EEB5" w14:textId="77777777" w:rsidTr="00BF607D">
        <w:trPr>
          <w:trHeight w:val="116"/>
        </w:trPr>
        <w:tc>
          <w:tcPr>
            <w:tcW w:w="3648" w:type="dxa"/>
            <w:shd w:val="clear" w:color="auto" w:fill="auto"/>
            <w:noWrap/>
            <w:vAlign w:val="center"/>
            <w:hideMark/>
          </w:tcPr>
          <w:p w14:paraId="664BA42A" w14:textId="1968234A" w:rsidR="00D751FB" w:rsidRPr="0051039E" w:rsidRDefault="00D751FB" w:rsidP="000070BB">
            <w:pPr>
              <w:pStyle w:val="ExhibitText"/>
              <w:jc w:val="left"/>
              <w:rPr>
                <w:lang w:val="en-GB"/>
              </w:rPr>
            </w:pPr>
            <w:r w:rsidRPr="0051039E">
              <w:rPr>
                <w:lang w:val="en-GB"/>
              </w:rPr>
              <w:t>Add</w:t>
            </w:r>
            <w:r w:rsidR="00BF607D">
              <w:rPr>
                <w:lang w:val="en-GB"/>
              </w:rPr>
              <w:t>itiona</w:t>
            </w:r>
            <w:r w:rsidRPr="0051039E">
              <w:rPr>
                <w:lang w:val="en-GB"/>
              </w:rPr>
              <w:t xml:space="preserve">l </w:t>
            </w:r>
            <w:r w:rsidR="00F018F1">
              <w:rPr>
                <w:lang w:val="en-GB"/>
              </w:rPr>
              <w:t>i</w:t>
            </w:r>
            <w:r w:rsidRPr="0051039E">
              <w:rPr>
                <w:lang w:val="en-GB"/>
              </w:rPr>
              <w:t>ncome/</w:t>
            </w:r>
            <w:r w:rsidR="00F018F1">
              <w:rPr>
                <w:lang w:val="en-GB"/>
              </w:rPr>
              <w:t>e</w:t>
            </w:r>
            <w:r w:rsidRPr="0051039E">
              <w:rPr>
                <w:lang w:val="en-GB"/>
              </w:rPr>
              <w:t>xpense</w:t>
            </w:r>
          </w:p>
        </w:tc>
        <w:tc>
          <w:tcPr>
            <w:tcW w:w="1572" w:type="dxa"/>
            <w:shd w:val="clear" w:color="auto" w:fill="auto"/>
            <w:noWrap/>
            <w:vAlign w:val="center"/>
            <w:hideMark/>
          </w:tcPr>
          <w:p w14:paraId="7EE5D74A" w14:textId="710D9C87" w:rsidR="00D751FB" w:rsidRPr="0051039E" w:rsidRDefault="00D751FB" w:rsidP="000070BB">
            <w:pPr>
              <w:pStyle w:val="ExhibitText"/>
              <w:jc w:val="right"/>
              <w:rPr>
                <w:lang w:val="en-GB"/>
              </w:rPr>
            </w:pPr>
            <w:r w:rsidRPr="0051039E">
              <w:rPr>
                <w:lang w:val="en-GB"/>
              </w:rPr>
              <w:t xml:space="preserve">2,596 </w:t>
            </w:r>
          </w:p>
        </w:tc>
        <w:tc>
          <w:tcPr>
            <w:tcW w:w="1260" w:type="dxa"/>
            <w:shd w:val="clear" w:color="auto" w:fill="auto"/>
            <w:noWrap/>
            <w:vAlign w:val="center"/>
            <w:hideMark/>
          </w:tcPr>
          <w:p w14:paraId="528131A2" w14:textId="2C64F63E" w:rsidR="00D751FB" w:rsidRPr="0051039E" w:rsidRDefault="00D751FB" w:rsidP="000070BB">
            <w:pPr>
              <w:pStyle w:val="ExhibitText"/>
              <w:jc w:val="right"/>
              <w:rPr>
                <w:lang w:val="en-GB"/>
              </w:rPr>
            </w:pPr>
            <w:r w:rsidRPr="0051039E">
              <w:rPr>
                <w:lang w:val="en-GB"/>
              </w:rPr>
              <w:t xml:space="preserve">290 </w:t>
            </w:r>
          </w:p>
        </w:tc>
        <w:tc>
          <w:tcPr>
            <w:tcW w:w="1260" w:type="dxa"/>
            <w:shd w:val="clear" w:color="auto" w:fill="auto"/>
            <w:noWrap/>
            <w:vAlign w:val="center"/>
            <w:hideMark/>
          </w:tcPr>
          <w:p w14:paraId="415A0884" w14:textId="25E8EEEE" w:rsidR="00D751FB" w:rsidRPr="0051039E" w:rsidRDefault="00D751FB" w:rsidP="000070BB">
            <w:pPr>
              <w:pStyle w:val="ExhibitText"/>
              <w:jc w:val="right"/>
              <w:rPr>
                <w:lang w:val="en-GB"/>
              </w:rPr>
            </w:pPr>
            <w:r w:rsidRPr="0051039E">
              <w:rPr>
                <w:lang w:val="en-GB"/>
              </w:rPr>
              <w:t xml:space="preserve">327 </w:t>
            </w:r>
          </w:p>
        </w:tc>
        <w:tc>
          <w:tcPr>
            <w:tcW w:w="1260" w:type="dxa"/>
            <w:shd w:val="clear" w:color="auto" w:fill="auto"/>
            <w:noWrap/>
            <w:vAlign w:val="center"/>
            <w:hideMark/>
          </w:tcPr>
          <w:p w14:paraId="360582AD" w14:textId="323AE9DE" w:rsidR="00D751FB" w:rsidRPr="0051039E" w:rsidRDefault="00D751FB" w:rsidP="000070BB">
            <w:pPr>
              <w:pStyle w:val="ExhibitText"/>
              <w:jc w:val="right"/>
              <w:rPr>
                <w:lang w:val="en-GB"/>
              </w:rPr>
            </w:pPr>
            <w:r w:rsidRPr="0051039E">
              <w:rPr>
                <w:lang w:val="en-GB"/>
              </w:rPr>
              <w:t xml:space="preserve">1,063 </w:t>
            </w:r>
          </w:p>
        </w:tc>
      </w:tr>
      <w:tr w:rsidR="000070BB" w:rsidRPr="0051039E" w14:paraId="0B98F45E" w14:textId="77777777" w:rsidTr="00BF607D">
        <w:trPr>
          <w:trHeight w:val="56"/>
        </w:trPr>
        <w:tc>
          <w:tcPr>
            <w:tcW w:w="3648" w:type="dxa"/>
            <w:shd w:val="clear" w:color="auto" w:fill="auto"/>
            <w:noWrap/>
            <w:vAlign w:val="center"/>
            <w:hideMark/>
          </w:tcPr>
          <w:p w14:paraId="303C50A6" w14:textId="77777777" w:rsidR="00D751FB" w:rsidRPr="0051039E" w:rsidRDefault="00D751FB" w:rsidP="000070BB">
            <w:pPr>
              <w:pStyle w:val="ExhibitText"/>
              <w:jc w:val="left"/>
              <w:rPr>
                <w:lang w:val="en-GB"/>
              </w:rPr>
            </w:pPr>
            <w:r w:rsidRPr="0051039E">
              <w:rPr>
                <w:lang w:val="en-GB"/>
              </w:rPr>
              <w:t>EBIT</w:t>
            </w:r>
          </w:p>
        </w:tc>
        <w:tc>
          <w:tcPr>
            <w:tcW w:w="1572" w:type="dxa"/>
            <w:shd w:val="clear" w:color="auto" w:fill="auto"/>
            <w:noWrap/>
            <w:vAlign w:val="center"/>
            <w:hideMark/>
          </w:tcPr>
          <w:p w14:paraId="14EEC14E" w14:textId="192AC92F" w:rsidR="00D751FB" w:rsidRPr="0051039E" w:rsidRDefault="00D751FB" w:rsidP="000070BB">
            <w:pPr>
              <w:pStyle w:val="ExhibitText"/>
              <w:jc w:val="right"/>
              <w:rPr>
                <w:lang w:val="en-GB"/>
              </w:rPr>
            </w:pPr>
            <w:r w:rsidRPr="0051039E">
              <w:rPr>
                <w:lang w:val="en-GB"/>
              </w:rPr>
              <w:t xml:space="preserve">9,204 </w:t>
            </w:r>
          </w:p>
        </w:tc>
        <w:tc>
          <w:tcPr>
            <w:tcW w:w="1260" w:type="dxa"/>
            <w:shd w:val="clear" w:color="auto" w:fill="auto"/>
            <w:noWrap/>
            <w:vAlign w:val="center"/>
            <w:hideMark/>
          </w:tcPr>
          <w:p w14:paraId="267A8E60" w14:textId="2F38D75C" w:rsidR="00D751FB" w:rsidRPr="0051039E" w:rsidRDefault="00D751FB" w:rsidP="000070BB">
            <w:pPr>
              <w:pStyle w:val="ExhibitText"/>
              <w:jc w:val="right"/>
              <w:rPr>
                <w:lang w:val="en-GB"/>
              </w:rPr>
            </w:pPr>
            <w:r w:rsidRPr="0051039E">
              <w:rPr>
                <w:lang w:val="en-GB"/>
              </w:rPr>
              <w:t xml:space="preserve">12,438 </w:t>
            </w:r>
          </w:p>
        </w:tc>
        <w:tc>
          <w:tcPr>
            <w:tcW w:w="1260" w:type="dxa"/>
            <w:shd w:val="clear" w:color="auto" w:fill="auto"/>
            <w:noWrap/>
            <w:vAlign w:val="center"/>
            <w:hideMark/>
          </w:tcPr>
          <w:p w14:paraId="46B4C5D4" w14:textId="32AAB3C6" w:rsidR="00D751FB" w:rsidRPr="0051039E" w:rsidRDefault="00D751FB" w:rsidP="000070BB">
            <w:pPr>
              <w:pStyle w:val="ExhibitText"/>
              <w:jc w:val="right"/>
              <w:rPr>
                <w:lang w:val="en-GB"/>
              </w:rPr>
            </w:pPr>
            <w:r w:rsidRPr="0051039E">
              <w:rPr>
                <w:lang w:val="en-GB"/>
              </w:rPr>
              <w:t xml:space="preserve">12,571 </w:t>
            </w:r>
          </w:p>
        </w:tc>
        <w:tc>
          <w:tcPr>
            <w:tcW w:w="1260" w:type="dxa"/>
            <w:shd w:val="clear" w:color="auto" w:fill="auto"/>
            <w:noWrap/>
            <w:vAlign w:val="center"/>
            <w:hideMark/>
          </w:tcPr>
          <w:p w14:paraId="20161E66" w14:textId="1974DA42" w:rsidR="00D751FB" w:rsidRPr="0051039E" w:rsidRDefault="00D751FB" w:rsidP="000070BB">
            <w:pPr>
              <w:pStyle w:val="ExhibitText"/>
              <w:jc w:val="right"/>
              <w:rPr>
                <w:lang w:val="en-GB"/>
              </w:rPr>
            </w:pPr>
            <w:r w:rsidRPr="0051039E">
              <w:rPr>
                <w:lang w:val="en-GB"/>
              </w:rPr>
              <w:t xml:space="preserve">8,794 </w:t>
            </w:r>
          </w:p>
        </w:tc>
      </w:tr>
      <w:tr w:rsidR="000070BB" w:rsidRPr="0051039E" w14:paraId="057B8871" w14:textId="77777777" w:rsidTr="00BF607D">
        <w:trPr>
          <w:trHeight w:val="80"/>
        </w:trPr>
        <w:tc>
          <w:tcPr>
            <w:tcW w:w="3648" w:type="dxa"/>
            <w:shd w:val="clear" w:color="auto" w:fill="auto"/>
            <w:noWrap/>
            <w:vAlign w:val="center"/>
            <w:hideMark/>
          </w:tcPr>
          <w:p w14:paraId="05E36E4D" w14:textId="4B1E89E6" w:rsidR="00D751FB" w:rsidRPr="0051039E" w:rsidRDefault="00D751FB" w:rsidP="000070BB">
            <w:pPr>
              <w:pStyle w:val="ExhibitText"/>
              <w:jc w:val="left"/>
              <w:rPr>
                <w:lang w:val="en-GB"/>
              </w:rPr>
            </w:pPr>
            <w:r w:rsidRPr="0051039E">
              <w:rPr>
                <w:lang w:val="en-GB"/>
              </w:rPr>
              <w:t xml:space="preserve">Interest </w:t>
            </w:r>
            <w:r w:rsidR="00F018F1">
              <w:rPr>
                <w:lang w:val="en-GB"/>
              </w:rPr>
              <w:t>e</w:t>
            </w:r>
            <w:r w:rsidRPr="0051039E">
              <w:rPr>
                <w:lang w:val="en-GB"/>
              </w:rPr>
              <w:t>xpense</w:t>
            </w:r>
          </w:p>
        </w:tc>
        <w:tc>
          <w:tcPr>
            <w:tcW w:w="1572" w:type="dxa"/>
            <w:shd w:val="clear" w:color="auto" w:fill="auto"/>
            <w:noWrap/>
            <w:vAlign w:val="center"/>
            <w:hideMark/>
          </w:tcPr>
          <w:p w14:paraId="010B43A3" w14:textId="6E77F451" w:rsidR="00D751FB" w:rsidRPr="0051039E" w:rsidRDefault="00D751FB" w:rsidP="000070BB">
            <w:pPr>
              <w:pStyle w:val="ExhibitText"/>
              <w:jc w:val="right"/>
              <w:rPr>
                <w:lang w:val="en-GB"/>
              </w:rPr>
            </w:pPr>
            <w:r w:rsidRPr="0051039E">
              <w:rPr>
                <w:lang w:val="en-GB"/>
              </w:rPr>
              <w:t xml:space="preserve">655 </w:t>
            </w:r>
          </w:p>
        </w:tc>
        <w:tc>
          <w:tcPr>
            <w:tcW w:w="1260" w:type="dxa"/>
            <w:shd w:val="clear" w:color="auto" w:fill="auto"/>
            <w:noWrap/>
            <w:vAlign w:val="center"/>
            <w:hideMark/>
          </w:tcPr>
          <w:p w14:paraId="282E7884" w14:textId="01A96CD5" w:rsidR="00D751FB" w:rsidRPr="0051039E" w:rsidRDefault="00D751FB" w:rsidP="000070BB">
            <w:pPr>
              <w:pStyle w:val="ExhibitText"/>
              <w:jc w:val="right"/>
              <w:rPr>
                <w:lang w:val="en-GB"/>
              </w:rPr>
            </w:pPr>
            <w:r w:rsidRPr="0051039E">
              <w:rPr>
                <w:lang w:val="en-GB"/>
              </w:rPr>
              <w:t xml:space="preserve">575 </w:t>
            </w:r>
          </w:p>
        </w:tc>
        <w:tc>
          <w:tcPr>
            <w:tcW w:w="1260" w:type="dxa"/>
            <w:shd w:val="clear" w:color="auto" w:fill="auto"/>
            <w:noWrap/>
            <w:vAlign w:val="center"/>
            <w:hideMark/>
          </w:tcPr>
          <w:p w14:paraId="19D2318E" w14:textId="0EE10906" w:rsidR="00D751FB" w:rsidRPr="0051039E" w:rsidRDefault="00D751FB" w:rsidP="000070BB">
            <w:pPr>
              <w:pStyle w:val="ExhibitText"/>
              <w:jc w:val="right"/>
              <w:rPr>
                <w:lang w:val="en-GB"/>
              </w:rPr>
            </w:pPr>
            <w:r w:rsidRPr="0051039E">
              <w:rPr>
                <w:lang w:val="en-GB"/>
              </w:rPr>
              <w:t xml:space="preserve">563 </w:t>
            </w:r>
          </w:p>
        </w:tc>
        <w:tc>
          <w:tcPr>
            <w:tcW w:w="1260" w:type="dxa"/>
            <w:shd w:val="clear" w:color="auto" w:fill="auto"/>
            <w:noWrap/>
            <w:vAlign w:val="center"/>
            <w:hideMark/>
          </w:tcPr>
          <w:p w14:paraId="2FC3CC26" w14:textId="7B897710" w:rsidR="00D751FB" w:rsidRPr="0051039E" w:rsidRDefault="00D751FB" w:rsidP="000070BB">
            <w:pPr>
              <w:pStyle w:val="ExhibitText"/>
              <w:jc w:val="right"/>
              <w:rPr>
                <w:lang w:val="en-GB"/>
              </w:rPr>
            </w:pPr>
            <w:r w:rsidRPr="0051039E">
              <w:rPr>
                <w:lang w:val="en-GB"/>
              </w:rPr>
              <w:t xml:space="preserve">423 </w:t>
            </w:r>
          </w:p>
        </w:tc>
      </w:tr>
      <w:tr w:rsidR="000070BB" w:rsidRPr="0051039E" w14:paraId="47854F55" w14:textId="77777777" w:rsidTr="00BF607D">
        <w:trPr>
          <w:trHeight w:val="116"/>
        </w:trPr>
        <w:tc>
          <w:tcPr>
            <w:tcW w:w="3648" w:type="dxa"/>
            <w:shd w:val="clear" w:color="auto" w:fill="auto"/>
            <w:noWrap/>
            <w:vAlign w:val="center"/>
            <w:hideMark/>
          </w:tcPr>
          <w:p w14:paraId="6F2DFC7A" w14:textId="6D9D2959" w:rsidR="00D751FB" w:rsidRPr="0051039E" w:rsidRDefault="00D751FB" w:rsidP="000070BB">
            <w:pPr>
              <w:pStyle w:val="ExhibitText"/>
              <w:jc w:val="left"/>
              <w:rPr>
                <w:lang w:val="en-GB"/>
              </w:rPr>
            </w:pPr>
            <w:r w:rsidRPr="0051039E">
              <w:rPr>
                <w:lang w:val="en-GB"/>
              </w:rPr>
              <w:t xml:space="preserve">Earnings before </w:t>
            </w:r>
            <w:r w:rsidR="00F018F1">
              <w:rPr>
                <w:lang w:val="en-GB"/>
              </w:rPr>
              <w:t>t</w:t>
            </w:r>
            <w:r w:rsidRPr="0051039E">
              <w:rPr>
                <w:lang w:val="en-GB"/>
              </w:rPr>
              <w:t>ax</w:t>
            </w:r>
          </w:p>
        </w:tc>
        <w:tc>
          <w:tcPr>
            <w:tcW w:w="1572" w:type="dxa"/>
            <w:shd w:val="clear" w:color="auto" w:fill="auto"/>
            <w:noWrap/>
            <w:vAlign w:val="center"/>
            <w:hideMark/>
          </w:tcPr>
          <w:p w14:paraId="523BB6F6" w14:textId="32E5C2B6" w:rsidR="00D751FB" w:rsidRPr="0051039E" w:rsidRDefault="00D751FB" w:rsidP="000070BB">
            <w:pPr>
              <w:pStyle w:val="ExhibitText"/>
              <w:jc w:val="right"/>
              <w:rPr>
                <w:lang w:val="en-GB"/>
              </w:rPr>
            </w:pPr>
            <w:r w:rsidRPr="0051039E">
              <w:rPr>
                <w:lang w:val="en-GB"/>
              </w:rPr>
              <w:t xml:space="preserve">8,549 </w:t>
            </w:r>
          </w:p>
        </w:tc>
        <w:tc>
          <w:tcPr>
            <w:tcW w:w="1260" w:type="dxa"/>
            <w:shd w:val="clear" w:color="auto" w:fill="auto"/>
            <w:noWrap/>
            <w:vAlign w:val="center"/>
            <w:hideMark/>
          </w:tcPr>
          <w:p w14:paraId="57E6ED7B" w14:textId="59BF741E" w:rsidR="00D751FB" w:rsidRPr="0051039E" w:rsidRDefault="00D751FB" w:rsidP="000070BB">
            <w:pPr>
              <w:pStyle w:val="ExhibitText"/>
              <w:jc w:val="right"/>
              <w:rPr>
                <w:lang w:val="en-GB"/>
              </w:rPr>
            </w:pPr>
            <w:r w:rsidRPr="0051039E">
              <w:rPr>
                <w:lang w:val="en-GB"/>
              </w:rPr>
              <w:t xml:space="preserve">11,863 </w:t>
            </w:r>
          </w:p>
        </w:tc>
        <w:tc>
          <w:tcPr>
            <w:tcW w:w="1260" w:type="dxa"/>
            <w:shd w:val="clear" w:color="auto" w:fill="auto"/>
            <w:noWrap/>
            <w:vAlign w:val="center"/>
            <w:hideMark/>
          </w:tcPr>
          <w:p w14:paraId="51317A06" w14:textId="20D67DCA" w:rsidR="00D751FB" w:rsidRPr="0051039E" w:rsidRDefault="00D751FB" w:rsidP="000070BB">
            <w:pPr>
              <w:pStyle w:val="ExhibitText"/>
              <w:jc w:val="right"/>
              <w:rPr>
                <w:lang w:val="en-GB"/>
              </w:rPr>
            </w:pPr>
            <w:r w:rsidRPr="0051039E">
              <w:rPr>
                <w:lang w:val="en-GB"/>
              </w:rPr>
              <w:t xml:space="preserve">12,008 </w:t>
            </w:r>
          </w:p>
        </w:tc>
        <w:tc>
          <w:tcPr>
            <w:tcW w:w="1260" w:type="dxa"/>
            <w:shd w:val="clear" w:color="auto" w:fill="auto"/>
            <w:noWrap/>
            <w:vAlign w:val="center"/>
            <w:hideMark/>
          </w:tcPr>
          <w:p w14:paraId="7223190F" w14:textId="336B8474" w:rsidR="00D751FB" w:rsidRPr="0051039E" w:rsidRDefault="00D751FB" w:rsidP="000070BB">
            <w:pPr>
              <w:pStyle w:val="ExhibitText"/>
              <w:jc w:val="right"/>
              <w:rPr>
                <w:lang w:val="en-GB"/>
              </w:rPr>
            </w:pPr>
            <w:r w:rsidRPr="0051039E">
              <w:rPr>
                <w:lang w:val="en-GB"/>
              </w:rPr>
              <w:t xml:space="preserve">8,371 </w:t>
            </w:r>
          </w:p>
        </w:tc>
      </w:tr>
      <w:tr w:rsidR="000070BB" w:rsidRPr="0051039E" w14:paraId="68A1B196" w14:textId="77777777" w:rsidTr="00BF607D">
        <w:trPr>
          <w:trHeight w:val="56"/>
        </w:trPr>
        <w:tc>
          <w:tcPr>
            <w:tcW w:w="3648" w:type="dxa"/>
            <w:shd w:val="clear" w:color="auto" w:fill="auto"/>
            <w:noWrap/>
            <w:vAlign w:val="center"/>
            <w:hideMark/>
          </w:tcPr>
          <w:p w14:paraId="60414585" w14:textId="414831A5" w:rsidR="00D751FB" w:rsidRPr="0051039E" w:rsidRDefault="00D751FB" w:rsidP="000070BB">
            <w:pPr>
              <w:pStyle w:val="ExhibitText"/>
              <w:jc w:val="left"/>
              <w:rPr>
                <w:lang w:val="en-GB"/>
              </w:rPr>
            </w:pPr>
            <w:r w:rsidRPr="0051039E">
              <w:rPr>
                <w:lang w:val="en-GB"/>
              </w:rPr>
              <w:t xml:space="preserve">Income </w:t>
            </w:r>
            <w:r w:rsidR="00F018F1">
              <w:rPr>
                <w:lang w:val="en-GB"/>
              </w:rPr>
              <w:t>t</w:t>
            </w:r>
            <w:r w:rsidRPr="0051039E">
              <w:rPr>
                <w:lang w:val="en-GB"/>
              </w:rPr>
              <w:t>ax</w:t>
            </w:r>
          </w:p>
        </w:tc>
        <w:tc>
          <w:tcPr>
            <w:tcW w:w="1572" w:type="dxa"/>
            <w:shd w:val="clear" w:color="auto" w:fill="auto"/>
            <w:noWrap/>
            <w:vAlign w:val="center"/>
            <w:hideMark/>
          </w:tcPr>
          <w:p w14:paraId="4314F0C2" w14:textId="1D15E921" w:rsidR="00D751FB" w:rsidRPr="0051039E" w:rsidRDefault="00D751FB" w:rsidP="000070BB">
            <w:pPr>
              <w:pStyle w:val="ExhibitText"/>
              <w:jc w:val="right"/>
              <w:rPr>
                <w:lang w:val="en-GB"/>
              </w:rPr>
            </w:pPr>
            <w:r w:rsidRPr="0051039E">
              <w:rPr>
                <w:lang w:val="en-GB"/>
              </w:rPr>
              <w:t xml:space="preserve">474 </w:t>
            </w:r>
          </w:p>
        </w:tc>
        <w:tc>
          <w:tcPr>
            <w:tcW w:w="1260" w:type="dxa"/>
            <w:shd w:val="clear" w:color="auto" w:fill="auto"/>
            <w:noWrap/>
            <w:vAlign w:val="center"/>
            <w:hideMark/>
          </w:tcPr>
          <w:p w14:paraId="15651C78" w14:textId="5FA46E85" w:rsidR="00D751FB" w:rsidRPr="0051039E" w:rsidRDefault="00D751FB" w:rsidP="000070BB">
            <w:pPr>
              <w:pStyle w:val="ExhibitText"/>
              <w:jc w:val="right"/>
              <w:rPr>
                <w:lang w:val="en-GB"/>
              </w:rPr>
            </w:pPr>
            <w:r w:rsidRPr="0051039E">
              <w:rPr>
                <w:lang w:val="en-GB"/>
              </w:rPr>
              <w:t xml:space="preserve">11,533 </w:t>
            </w:r>
          </w:p>
        </w:tc>
        <w:tc>
          <w:tcPr>
            <w:tcW w:w="1260" w:type="dxa"/>
            <w:shd w:val="clear" w:color="auto" w:fill="auto"/>
            <w:noWrap/>
            <w:vAlign w:val="center"/>
            <w:hideMark/>
          </w:tcPr>
          <w:p w14:paraId="6301E0D6" w14:textId="3EC522CB" w:rsidR="00D751FB" w:rsidRPr="0051039E" w:rsidRDefault="00D751FB" w:rsidP="000070BB">
            <w:pPr>
              <w:pStyle w:val="ExhibitText"/>
              <w:jc w:val="right"/>
              <w:rPr>
                <w:lang w:val="en-GB"/>
              </w:rPr>
            </w:pPr>
            <w:r w:rsidRPr="0051039E">
              <w:rPr>
                <w:lang w:val="en-GB"/>
              </w:rPr>
              <w:t xml:space="preserve">2,739 </w:t>
            </w:r>
          </w:p>
        </w:tc>
        <w:tc>
          <w:tcPr>
            <w:tcW w:w="1260" w:type="dxa"/>
            <w:shd w:val="clear" w:color="auto" w:fill="auto"/>
            <w:noWrap/>
            <w:vAlign w:val="center"/>
            <w:hideMark/>
          </w:tcPr>
          <w:p w14:paraId="5A1B6940" w14:textId="3E0194E8" w:rsidR="00D751FB" w:rsidRPr="0051039E" w:rsidRDefault="00D751FB" w:rsidP="000070BB">
            <w:pPr>
              <w:pStyle w:val="ExhibitText"/>
              <w:jc w:val="right"/>
              <w:rPr>
                <w:lang w:val="en-GB"/>
              </w:rPr>
            </w:pPr>
            <w:r w:rsidRPr="0051039E">
              <w:rPr>
                <w:lang w:val="en-GB"/>
              </w:rPr>
              <w:t>(1,219)</w:t>
            </w:r>
          </w:p>
        </w:tc>
      </w:tr>
      <w:tr w:rsidR="000070BB" w:rsidRPr="0051039E" w14:paraId="6E3FD92D" w14:textId="77777777" w:rsidTr="00BF607D">
        <w:trPr>
          <w:trHeight w:val="260"/>
        </w:trPr>
        <w:tc>
          <w:tcPr>
            <w:tcW w:w="3648" w:type="dxa"/>
            <w:shd w:val="clear" w:color="auto" w:fill="auto"/>
            <w:noWrap/>
            <w:vAlign w:val="center"/>
            <w:hideMark/>
          </w:tcPr>
          <w:p w14:paraId="1E26B291" w14:textId="43F17C67" w:rsidR="00D751FB" w:rsidRPr="0051039E" w:rsidRDefault="00D751FB" w:rsidP="000070BB">
            <w:pPr>
              <w:pStyle w:val="ExhibitText"/>
              <w:jc w:val="left"/>
              <w:rPr>
                <w:lang w:val="en-GB"/>
              </w:rPr>
            </w:pPr>
            <w:r w:rsidRPr="0051039E">
              <w:rPr>
                <w:lang w:val="en-GB"/>
              </w:rPr>
              <w:t xml:space="preserve">Net </w:t>
            </w:r>
            <w:r w:rsidR="00F018F1">
              <w:rPr>
                <w:lang w:val="en-GB"/>
              </w:rPr>
              <w:t>i</w:t>
            </w:r>
            <w:r w:rsidRPr="0051039E">
              <w:rPr>
                <w:lang w:val="en-GB"/>
              </w:rPr>
              <w:t xml:space="preserve">ncome from </w:t>
            </w:r>
            <w:r w:rsidR="00F018F1">
              <w:rPr>
                <w:lang w:val="en-GB"/>
              </w:rPr>
              <w:t>c</w:t>
            </w:r>
            <w:r w:rsidRPr="0051039E">
              <w:rPr>
                <w:lang w:val="en-GB"/>
              </w:rPr>
              <w:t xml:space="preserve">ontinuing </w:t>
            </w:r>
            <w:r w:rsidR="00F018F1">
              <w:rPr>
                <w:lang w:val="en-GB"/>
              </w:rPr>
              <w:t>o</w:t>
            </w:r>
            <w:r w:rsidRPr="0051039E">
              <w:rPr>
                <w:lang w:val="en-GB"/>
              </w:rPr>
              <w:t>perations</w:t>
            </w:r>
          </w:p>
        </w:tc>
        <w:tc>
          <w:tcPr>
            <w:tcW w:w="1572" w:type="dxa"/>
            <w:shd w:val="clear" w:color="auto" w:fill="auto"/>
            <w:noWrap/>
            <w:vAlign w:val="center"/>
            <w:hideMark/>
          </w:tcPr>
          <w:p w14:paraId="4D9D2DCE" w14:textId="2BD4989E" w:rsidR="00D751FB" w:rsidRPr="0051039E" w:rsidRDefault="00D751FB" w:rsidP="000070BB">
            <w:pPr>
              <w:pStyle w:val="ExhibitText"/>
              <w:jc w:val="right"/>
              <w:rPr>
                <w:lang w:val="en-GB"/>
              </w:rPr>
            </w:pPr>
            <w:r w:rsidRPr="0051039E">
              <w:rPr>
                <w:lang w:val="en-GB"/>
              </w:rPr>
              <w:t xml:space="preserve">8,075 </w:t>
            </w:r>
          </w:p>
        </w:tc>
        <w:tc>
          <w:tcPr>
            <w:tcW w:w="1260" w:type="dxa"/>
            <w:shd w:val="clear" w:color="auto" w:fill="auto"/>
            <w:noWrap/>
            <w:vAlign w:val="center"/>
            <w:hideMark/>
          </w:tcPr>
          <w:p w14:paraId="21F31C77" w14:textId="14A4E9E8" w:rsidR="00D751FB" w:rsidRPr="0051039E" w:rsidRDefault="00D751FB" w:rsidP="000070BB">
            <w:pPr>
              <w:pStyle w:val="ExhibitText"/>
              <w:jc w:val="right"/>
              <w:rPr>
                <w:lang w:val="en-GB"/>
              </w:rPr>
            </w:pPr>
            <w:r w:rsidRPr="0051039E">
              <w:rPr>
                <w:lang w:val="en-GB"/>
              </w:rPr>
              <w:t xml:space="preserve">330 </w:t>
            </w:r>
          </w:p>
        </w:tc>
        <w:tc>
          <w:tcPr>
            <w:tcW w:w="1260" w:type="dxa"/>
            <w:shd w:val="clear" w:color="auto" w:fill="auto"/>
            <w:noWrap/>
            <w:vAlign w:val="center"/>
            <w:hideMark/>
          </w:tcPr>
          <w:p w14:paraId="0697D8E7" w14:textId="15EFBB32" w:rsidR="00D751FB" w:rsidRPr="0051039E" w:rsidRDefault="00D751FB" w:rsidP="000070BB">
            <w:pPr>
              <w:pStyle w:val="ExhibitText"/>
              <w:jc w:val="right"/>
              <w:rPr>
                <w:lang w:val="en-GB"/>
              </w:rPr>
            </w:pPr>
            <w:r w:rsidRPr="0051039E">
              <w:rPr>
                <w:lang w:val="en-GB"/>
              </w:rPr>
              <w:t xml:space="preserve">9,269 </w:t>
            </w:r>
          </w:p>
        </w:tc>
        <w:tc>
          <w:tcPr>
            <w:tcW w:w="1260" w:type="dxa"/>
            <w:shd w:val="clear" w:color="auto" w:fill="auto"/>
            <w:noWrap/>
            <w:vAlign w:val="center"/>
            <w:hideMark/>
          </w:tcPr>
          <w:p w14:paraId="0A68B6F7" w14:textId="28ED1FD1" w:rsidR="00D751FB" w:rsidRPr="0051039E" w:rsidRDefault="00D751FB" w:rsidP="000070BB">
            <w:pPr>
              <w:pStyle w:val="ExhibitText"/>
              <w:jc w:val="right"/>
              <w:rPr>
                <w:lang w:val="en-GB"/>
              </w:rPr>
            </w:pPr>
            <w:r w:rsidRPr="0051039E">
              <w:rPr>
                <w:lang w:val="en-GB"/>
              </w:rPr>
              <w:t xml:space="preserve">9,590 </w:t>
            </w:r>
          </w:p>
        </w:tc>
      </w:tr>
      <w:tr w:rsidR="000070BB" w:rsidRPr="0051039E" w14:paraId="2C4C5DC2" w14:textId="77777777" w:rsidTr="00BF607D">
        <w:trPr>
          <w:trHeight w:val="161"/>
        </w:trPr>
        <w:tc>
          <w:tcPr>
            <w:tcW w:w="3648" w:type="dxa"/>
            <w:shd w:val="clear" w:color="auto" w:fill="auto"/>
            <w:noWrap/>
            <w:vAlign w:val="center"/>
            <w:hideMark/>
          </w:tcPr>
          <w:p w14:paraId="227B7D13" w14:textId="223E4C0B" w:rsidR="00D751FB" w:rsidRPr="0051039E" w:rsidRDefault="00D751FB" w:rsidP="000070BB">
            <w:pPr>
              <w:pStyle w:val="ExhibitText"/>
              <w:jc w:val="left"/>
              <w:rPr>
                <w:lang w:val="en-GB"/>
              </w:rPr>
            </w:pPr>
            <w:r w:rsidRPr="0051039E">
              <w:rPr>
                <w:lang w:val="en-GB"/>
              </w:rPr>
              <w:t xml:space="preserve">Net </w:t>
            </w:r>
            <w:r w:rsidR="00F018F1">
              <w:rPr>
                <w:lang w:val="en-GB"/>
              </w:rPr>
              <w:t>i</w:t>
            </w:r>
            <w:r w:rsidRPr="0051039E">
              <w:rPr>
                <w:lang w:val="en-GB"/>
              </w:rPr>
              <w:t>ncome</w:t>
            </w:r>
          </w:p>
        </w:tc>
        <w:tc>
          <w:tcPr>
            <w:tcW w:w="1572" w:type="dxa"/>
            <w:shd w:val="clear" w:color="auto" w:fill="auto"/>
            <w:noWrap/>
            <w:vAlign w:val="center"/>
            <w:hideMark/>
          </w:tcPr>
          <w:p w14:paraId="767A00C4" w14:textId="2BEA66AD" w:rsidR="00D751FB" w:rsidRPr="0051039E" w:rsidRDefault="00D751FB" w:rsidP="000070BB">
            <w:pPr>
              <w:pStyle w:val="ExhibitText"/>
              <w:jc w:val="right"/>
              <w:rPr>
                <w:lang w:val="en-GB"/>
              </w:rPr>
            </w:pPr>
            <w:r w:rsidRPr="0051039E">
              <w:rPr>
                <w:lang w:val="en-GB"/>
              </w:rPr>
              <w:t xml:space="preserve">8,014 </w:t>
            </w:r>
          </w:p>
        </w:tc>
        <w:tc>
          <w:tcPr>
            <w:tcW w:w="1260" w:type="dxa"/>
            <w:shd w:val="clear" w:color="auto" w:fill="auto"/>
            <w:noWrap/>
            <w:vAlign w:val="center"/>
            <w:hideMark/>
          </w:tcPr>
          <w:p w14:paraId="417C4841" w14:textId="7B03D902" w:rsidR="00D751FB" w:rsidRPr="0051039E" w:rsidRDefault="00D751FB" w:rsidP="000070BB">
            <w:pPr>
              <w:pStyle w:val="ExhibitText"/>
              <w:jc w:val="right"/>
              <w:rPr>
                <w:lang w:val="en-GB"/>
              </w:rPr>
            </w:pPr>
            <w:r w:rsidRPr="0051039E">
              <w:rPr>
                <w:lang w:val="en-GB"/>
              </w:rPr>
              <w:t xml:space="preserve"> (3,864)</w:t>
            </w:r>
          </w:p>
        </w:tc>
        <w:tc>
          <w:tcPr>
            <w:tcW w:w="1260" w:type="dxa"/>
            <w:shd w:val="clear" w:color="auto" w:fill="auto"/>
            <w:noWrap/>
            <w:vAlign w:val="center"/>
            <w:hideMark/>
          </w:tcPr>
          <w:p w14:paraId="57ECB290" w14:textId="5A71B4D7" w:rsidR="00D751FB" w:rsidRPr="0051039E" w:rsidRDefault="00D751FB" w:rsidP="000070BB">
            <w:pPr>
              <w:pStyle w:val="ExhibitText"/>
              <w:jc w:val="right"/>
              <w:rPr>
                <w:lang w:val="en-GB"/>
              </w:rPr>
            </w:pPr>
            <w:r w:rsidRPr="0051039E">
              <w:rPr>
                <w:lang w:val="en-GB"/>
              </w:rPr>
              <w:t xml:space="preserve">9,427 </w:t>
            </w:r>
          </w:p>
        </w:tc>
        <w:tc>
          <w:tcPr>
            <w:tcW w:w="1260" w:type="dxa"/>
            <w:shd w:val="clear" w:color="auto" w:fill="auto"/>
            <w:noWrap/>
            <w:vAlign w:val="center"/>
            <w:hideMark/>
          </w:tcPr>
          <w:p w14:paraId="2E8B2D0F" w14:textId="57338C92" w:rsidR="00D751FB" w:rsidRPr="0051039E" w:rsidRDefault="00D751FB" w:rsidP="000070BB">
            <w:pPr>
              <w:pStyle w:val="ExhibitText"/>
              <w:jc w:val="right"/>
              <w:rPr>
                <w:lang w:val="en-GB"/>
              </w:rPr>
            </w:pPr>
            <w:r w:rsidRPr="0051039E">
              <w:rPr>
                <w:lang w:val="en-GB"/>
              </w:rPr>
              <w:t xml:space="preserve">9,687 </w:t>
            </w:r>
          </w:p>
        </w:tc>
      </w:tr>
      <w:tr w:rsidR="000070BB" w:rsidRPr="0051039E" w14:paraId="3862A727" w14:textId="77777777" w:rsidTr="00904E29">
        <w:trPr>
          <w:trHeight w:val="98"/>
        </w:trPr>
        <w:tc>
          <w:tcPr>
            <w:tcW w:w="3648" w:type="dxa"/>
            <w:tcBorders>
              <w:bottom w:val="single" w:sz="4" w:space="0" w:color="auto"/>
            </w:tcBorders>
            <w:shd w:val="clear" w:color="auto" w:fill="auto"/>
            <w:noWrap/>
            <w:vAlign w:val="center"/>
            <w:hideMark/>
          </w:tcPr>
          <w:p w14:paraId="08B5B5FE" w14:textId="77777777" w:rsidR="00D751FB" w:rsidRPr="0051039E" w:rsidRDefault="00D751FB" w:rsidP="000070BB">
            <w:pPr>
              <w:pStyle w:val="ExhibitText"/>
              <w:jc w:val="left"/>
              <w:rPr>
                <w:lang w:val="en-GB"/>
              </w:rPr>
            </w:pPr>
            <w:r w:rsidRPr="0051039E">
              <w:rPr>
                <w:lang w:val="en-GB"/>
              </w:rPr>
              <w:t>EBITDA</w:t>
            </w:r>
          </w:p>
        </w:tc>
        <w:tc>
          <w:tcPr>
            <w:tcW w:w="1572" w:type="dxa"/>
            <w:tcBorders>
              <w:bottom w:val="single" w:sz="4" w:space="0" w:color="auto"/>
            </w:tcBorders>
            <w:shd w:val="clear" w:color="auto" w:fill="auto"/>
            <w:noWrap/>
            <w:vAlign w:val="center"/>
            <w:hideMark/>
          </w:tcPr>
          <w:p w14:paraId="3E1394EF" w14:textId="4230D0BD" w:rsidR="00D751FB" w:rsidRPr="0051039E" w:rsidRDefault="00D751FB" w:rsidP="000070BB">
            <w:pPr>
              <w:pStyle w:val="ExhibitText"/>
              <w:jc w:val="right"/>
              <w:rPr>
                <w:lang w:val="en-GB"/>
              </w:rPr>
            </w:pPr>
            <w:r w:rsidRPr="0051039E">
              <w:rPr>
                <w:lang w:val="en-GB"/>
              </w:rPr>
              <w:t xml:space="preserve">22,873 </w:t>
            </w:r>
          </w:p>
        </w:tc>
        <w:tc>
          <w:tcPr>
            <w:tcW w:w="1260" w:type="dxa"/>
            <w:tcBorders>
              <w:bottom w:val="single" w:sz="4" w:space="0" w:color="auto"/>
            </w:tcBorders>
            <w:shd w:val="clear" w:color="auto" w:fill="auto"/>
            <w:noWrap/>
            <w:vAlign w:val="center"/>
            <w:hideMark/>
          </w:tcPr>
          <w:p w14:paraId="10456F7E" w14:textId="65C4B621" w:rsidR="00D751FB" w:rsidRPr="0051039E" w:rsidRDefault="00D751FB" w:rsidP="000070BB">
            <w:pPr>
              <w:pStyle w:val="ExhibitText"/>
              <w:jc w:val="right"/>
              <w:rPr>
                <w:lang w:val="en-GB"/>
              </w:rPr>
            </w:pPr>
            <w:r w:rsidRPr="0051039E">
              <w:rPr>
                <w:lang w:val="en-GB"/>
              </w:rPr>
              <w:t xml:space="preserve">24,699 </w:t>
            </w:r>
          </w:p>
        </w:tc>
        <w:tc>
          <w:tcPr>
            <w:tcW w:w="1260" w:type="dxa"/>
            <w:tcBorders>
              <w:bottom w:val="single" w:sz="4" w:space="0" w:color="auto"/>
            </w:tcBorders>
            <w:shd w:val="clear" w:color="auto" w:fill="auto"/>
            <w:noWrap/>
            <w:vAlign w:val="center"/>
            <w:hideMark/>
          </w:tcPr>
          <w:p w14:paraId="52D2E002" w14:textId="468BF72A" w:rsidR="00D751FB" w:rsidRPr="0051039E" w:rsidRDefault="00D751FB" w:rsidP="000070BB">
            <w:pPr>
              <w:pStyle w:val="ExhibitText"/>
              <w:jc w:val="right"/>
              <w:rPr>
                <w:lang w:val="en-GB"/>
              </w:rPr>
            </w:pPr>
            <w:r w:rsidRPr="0051039E">
              <w:rPr>
                <w:lang w:val="en-GB"/>
              </w:rPr>
              <w:t xml:space="preserve">22,664 </w:t>
            </w:r>
          </w:p>
        </w:tc>
        <w:tc>
          <w:tcPr>
            <w:tcW w:w="1260" w:type="dxa"/>
            <w:tcBorders>
              <w:bottom w:val="single" w:sz="4" w:space="0" w:color="auto"/>
            </w:tcBorders>
            <w:shd w:val="clear" w:color="auto" w:fill="auto"/>
            <w:noWrap/>
            <w:vAlign w:val="center"/>
            <w:hideMark/>
          </w:tcPr>
          <w:p w14:paraId="7EE87F25" w14:textId="77777777" w:rsidR="00D751FB" w:rsidRPr="0051039E" w:rsidRDefault="00D751FB" w:rsidP="000070BB">
            <w:pPr>
              <w:pStyle w:val="ExhibitText"/>
              <w:jc w:val="right"/>
              <w:rPr>
                <w:lang w:val="en-GB"/>
              </w:rPr>
            </w:pPr>
            <w:r w:rsidRPr="0051039E">
              <w:rPr>
                <w:lang w:val="en-GB"/>
              </w:rPr>
              <w:t xml:space="preserve">16,178 </w:t>
            </w:r>
          </w:p>
        </w:tc>
      </w:tr>
      <w:tr w:rsidR="00BF607D" w:rsidRPr="0051039E" w14:paraId="56629FC9" w14:textId="77777777" w:rsidTr="00904E29">
        <w:trPr>
          <w:trHeight w:val="305"/>
        </w:trPr>
        <w:tc>
          <w:tcPr>
            <w:tcW w:w="9000" w:type="dxa"/>
            <w:gridSpan w:val="5"/>
            <w:tcBorders>
              <w:top w:val="single" w:sz="4" w:space="0" w:color="auto"/>
              <w:left w:val="nil"/>
              <w:bottom w:val="single" w:sz="4" w:space="0" w:color="auto"/>
              <w:right w:val="nil"/>
            </w:tcBorders>
            <w:shd w:val="clear" w:color="auto" w:fill="auto"/>
            <w:noWrap/>
            <w:vAlign w:val="center"/>
            <w:hideMark/>
          </w:tcPr>
          <w:p w14:paraId="75E3A1AE" w14:textId="77777777" w:rsidR="00BF607D" w:rsidRDefault="00BF607D" w:rsidP="00BF607D">
            <w:pPr>
              <w:pStyle w:val="ExhibitText"/>
              <w:jc w:val="center"/>
              <w:rPr>
                <w:b/>
                <w:lang w:val="en-GB"/>
              </w:rPr>
            </w:pPr>
          </w:p>
          <w:p w14:paraId="5B696011" w14:textId="77777777" w:rsidR="00904E29" w:rsidRDefault="00904E29" w:rsidP="00BF607D">
            <w:pPr>
              <w:pStyle w:val="ExhibitText"/>
              <w:jc w:val="center"/>
              <w:rPr>
                <w:b/>
                <w:lang w:val="en-GB"/>
              </w:rPr>
            </w:pPr>
          </w:p>
          <w:p w14:paraId="7DF12FB4" w14:textId="7540B726" w:rsidR="00BF607D" w:rsidRDefault="00BF607D" w:rsidP="00BF607D">
            <w:pPr>
              <w:pStyle w:val="ExhibitText"/>
              <w:jc w:val="center"/>
              <w:rPr>
                <w:b/>
                <w:lang w:val="en-GB"/>
              </w:rPr>
            </w:pPr>
            <w:r w:rsidRPr="0051039E">
              <w:rPr>
                <w:b/>
                <w:lang w:val="en-GB"/>
              </w:rPr>
              <w:t>Statement of Cash Flow</w:t>
            </w:r>
          </w:p>
          <w:p w14:paraId="476059D2" w14:textId="38BE773D" w:rsidR="00BF607D" w:rsidRPr="0051039E" w:rsidRDefault="00BF607D" w:rsidP="00BF607D">
            <w:pPr>
              <w:pStyle w:val="ExhibitText"/>
              <w:jc w:val="center"/>
              <w:rPr>
                <w:b/>
                <w:lang w:val="en-GB"/>
              </w:rPr>
            </w:pPr>
          </w:p>
        </w:tc>
      </w:tr>
      <w:tr w:rsidR="00D751FB" w:rsidRPr="0051039E" w14:paraId="3FF6E521" w14:textId="77777777" w:rsidTr="00904E29">
        <w:trPr>
          <w:trHeight w:val="125"/>
        </w:trPr>
        <w:tc>
          <w:tcPr>
            <w:tcW w:w="3648" w:type="dxa"/>
            <w:tcBorders>
              <w:top w:val="single" w:sz="4" w:space="0" w:color="auto"/>
            </w:tcBorders>
            <w:shd w:val="clear" w:color="auto" w:fill="auto"/>
            <w:noWrap/>
            <w:vAlign w:val="center"/>
            <w:hideMark/>
          </w:tcPr>
          <w:p w14:paraId="7F1ADFA5" w14:textId="4AF8068E" w:rsidR="00D751FB" w:rsidRPr="0051039E" w:rsidRDefault="00D751FB" w:rsidP="000070BB">
            <w:pPr>
              <w:pStyle w:val="ExhibitText"/>
              <w:jc w:val="left"/>
              <w:rPr>
                <w:lang w:val="en-GB"/>
              </w:rPr>
            </w:pPr>
            <w:r w:rsidRPr="0051039E">
              <w:rPr>
                <w:lang w:val="en-GB"/>
              </w:rPr>
              <w:t xml:space="preserve">Net </w:t>
            </w:r>
            <w:r w:rsidR="00CE0483">
              <w:rPr>
                <w:lang w:val="en-GB"/>
              </w:rPr>
              <w:t>i</w:t>
            </w:r>
            <w:r w:rsidRPr="0051039E">
              <w:rPr>
                <w:lang w:val="en-GB"/>
              </w:rPr>
              <w:t>ncome</w:t>
            </w:r>
          </w:p>
        </w:tc>
        <w:tc>
          <w:tcPr>
            <w:tcW w:w="1572" w:type="dxa"/>
            <w:tcBorders>
              <w:top w:val="single" w:sz="4" w:space="0" w:color="auto"/>
            </w:tcBorders>
            <w:shd w:val="clear" w:color="auto" w:fill="auto"/>
            <w:noWrap/>
            <w:vAlign w:val="center"/>
            <w:hideMark/>
          </w:tcPr>
          <w:p w14:paraId="4502BFFE" w14:textId="29F0E0AE" w:rsidR="00D751FB" w:rsidRPr="0051039E" w:rsidRDefault="00D751FB" w:rsidP="000070BB">
            <w:pPr>
              <w:pStyle w:val="ExhibitText"/>
              <w:jc w:val="right"/>
              <w:rPr>
                <w:lang w:val="en-GB"/>
              </w:rPr>
            </w:pPr>
            <w:r w:rsidRPr="0051039E">
              <w:rPr>
                <w:lang w:val="en-GB"/>
              </w:rPr>
              <w:t xml:space="preserve">8,014 </w:t>
            </w:r>
          </w:p>
        </w:tc>
        <w:tc>
          <w:tcPr>
            <w:tcW w:w="1260" w:type="dxa"/>
            <w:tcBorders>
              <w:top w:val="single" w:sz="4" w:space="0" w:color="auto"/>
            </w:tcBorders>
            <w:shd w:val="clear" w:color="auto" w:fill="auto"/>
            <w:noWrap/>
            <w:vAlign w:val="center"/>
            <w:hideMark/>
          </w:tcPr>
          <w:p w14:paraId="158C4147" w14:textId="18E849FB" w:rsidR="00D751FB" w:rsidRPr="0051039E" w:rsidRDefault="00D751FB" w:rsidP="000070BB">
            <w:pPr>
              <w:pStyle w:val="ExhibitText"/>
              <w:jc w:val="right"/>
              <w:rPr>
                <w:lang w:val="en-GB"/>
              </w:rPr>
            </w:pPr>
            <w:r w:rsidRPr="0051039E">
              <w:rPr>
                <w:lang w:val="en-GB"/>
              </w:rPr>
              <w:t>(3,864)</w:t>
            </w:r>
          </w:p>
        </w:tc>
        <w:tc>
          <w:tcPr>
            <w:tcW w:w="1260" w:type="dxa"/>
            <w:tcBorders>
              <w:top w:val="single" w:sz="4" w:space="0" w:color="auto"/>
            </w:tcBorders>
            <w:shd w:val="clear" w:color="auto" w:fill="auto"/>
            <w:noWrap/>
            <w:vAlign w:val="center"/>
            <w:hideMark/>
          </w:tcPr>
          <w:p w14:paraId="40B0F7A4" w14:textId="226AE2B3" w:rsidR="00D751FB" w:rsidRPr="0051039E" w:rsidRDefault="00D751FB" w:rsidP="000070BB">
            <w:pPr>
              <w:pStyle w:val="ExhibitText"/>
              <w:jc w:val="right"/>
              <w:rPr>
                <w:lang w:val="en-GB"/>
              </w:rPr>
            </w:pPr>
            <w:r w:rsidRPr="0051039E">
              <w:rPr>
                <w:lang w:val="en-GB"/>
              </w:rPr>
              <w:t xml:space="preserve"> 9,427 </w:t>
            </w:r>
          </w:p>
        </w:tc>
        <w:tc>
          <w:tcPr>
            <w:tcW w:w="1260" w:type="dxa"/>
            <w:tcBorders>
              <w:top w:val="single" w:sz="4" w:space="0" w:color="auto"/>
            </w:tcBorders>
            <w:shd w:val="clear" w:color="auto" w:fill="auto"/>
            <w:noWrap/>
            <w:vAlign w:val="center"/>
            <w:hideMark/>
          </w:tcPr>
          <w:p w14:paraId="601926EB" w14:textId="0295E4AC" w:rsidR="00D751FB" w:rsidRPr="0051039E" w:rsidRDefault="00D751FB" w:rsidP="000070BB">
            <w:pPr>
              <w:pStyle w:val="ExhibitText"/>
              <w:jc w:val="right"/>
              <w:rPr>
                <w:lang w:val="en-GB"/>
              </w:rPr>
            </w:pPr>
            <w:r w:rsidRPr="0051039E">
              <w:rPr>
                <w:lang w:val="en-GB"/>
              </w:rPr>
              <w:t xml:space="preserve">9,687 </w:t>
            </w:r>
          </w:p>
        </w:tc>
      </w:tr>
      <w:tr w:rsidR="00D751FB" w:rsidRPr="0051039E" w14:paraId="69094A7B" w14:textId="77777777" w:rsidTr="00BF607D">
        <w:trPr>
          <w:trHeight w:val="161"/>
        </w:trPr>
        <w:tc>
          <w:tcPr>
            <w:tcW w:w="3648" w:type="dxa"/>
            <w:shd w:val="clear" w:color="auto" w:fill="auto"/>
            <w:noWrap/>
            <w:vAlign w:val="center"/>
            <w:hideMark/>
          </w:tcPr>
          <w:p w14:paraId="7DC10212" w14:textId="7BBBECF2" w:rsidR="00D751FB" w:rsidRPr="00152AE1" w:rsidRDefault="00D751FB" w:rsidP="000070BB">
            <w:pPr>
              <w:pStyle w:val="ExhibitText"/>
              <w:jc w:val="left"/>
              <w:rPr>
                <w:b/>
                <w:lang w:val="en-GB"/>
              </w:rPr>
            </w:pPr>
            <w:r w:rsidRPr="00152AE1">
              <w:rPr>
                <w:b/>
                <w:lang w:val="en-GB"/>
              </w:rPr>
              <w:t xml:space="preserve">Cash </w:t>
            </w:r>
            <w:r w:rsidR="00CE0483" w:rsidRPr="00152AE1">
              <w:rPr>
                <w:b/>
                <w:lang w:val="en-GB"/>
              </w:rPr>
              <w:t>f</w:t>
            </w:r>
            <w:r w:rsidRPr="00152AE1">
              <w:rPr>
                <w:b/>
                <w:lang w:val="en-GB"/>
              </w:rPr>
              <w:t>low</w:t>
            </w:r>
            <w:r w:rsidR="00BF607D" w:rsidRPr="00152AE1">
              <w:rPr>
                <w:b/>
                <w:lang w:val="en-GB"/>
              </w:rPr>
              <w:t>—</w:t>
            </w:r>
            <w:r w:rsidRPr="00152AE1">
              <w:rPr>
                <w:b/>
                <w:lang w:val="en-GB"/>
              </w:rPr>
              <w:t xml:space="preserve">Operating </w:t>
            </w:r>
            <w:r w:rsidR="00CE0483" w:rsidRPr="00152AE1">
              <w:rPr>
                <w:b/>
                <w:lang w:val="en-GB"/>
              </w:rPr>
              <w:t>a</w:t>
            </w:r>
            <w:r w:rsidRPr="00152AE1">
              <w:rPr>
                <w:b/>
                <w:lang w:val="en-GB"/>
              </w:rPr>
              <w:t>ctivities</w:t>
            </w:r>
          </w:p>
        </w:tc>
        <w:tc>
          <w:tcPr>
            <w:tcW w:w="1572" w:type="dxa"/>
            <w:shd w:val="clear" w:color="auto" w:fill="auto"/>
            <w:noWrap/>
            <w:vAlign w:val="center"/>
            <w:hideMark/>
          </w:tcPr>
          <w:p w14:paraId="707959A2" w14:textId="77777777" w:rsidR="00D751FB" w:rsidRPr="0051039E" w:rsidRDefault="00D751FB" w:rsidP="000070BB">
            <w:pPr>
              <w:pStyle w:val="ExhibitText"/>
              <w:jc w:val="right"/>
              <w:rPr>
                <w:lang w:val="en-GB"/>
              </w:rPr>
            </w:pPr>
            <w:r w:rsidRPr="0051039E">
              <w:rPr>
                <w:lang w:val="en-GB"/>
              </w:rPr>
              <w:t> </w:t>
            </w:r>
          </w:p>
        </w:tc>
        <w:tc>
          <w:tcPr>
            <w:tcW w:w="1260" w:type="dxa"/>
            <w:shd w:val="clear" w:color="auto" w:fill="auto"/>
            <w:noWrap/>
            <w:vAlign w:val="center"/>
            <w:hideMark/>
          </w:tcPr>
          <w:p w14:paraId="7A7087AC" w14:textId="77777777" w:rsidR="00D751FB" w:rsidRPr="0051039E" w:rsidRDefault="00D751FB" w:rsidP="000070BB">
            <w:pPr>
              <w:pStyle w:val="ExhibitText"/>
              <w:jc w:val="right"/>
              <w:rPr>
                <w:lang w:val="en-GB"/>
              </w:rPr>
            </w:pPr>
          </w:p>
        </w:tc>
        <w:tc>
          <w:tcPr>
            <w:tcW w:w="1260" w:type="dxa"/>
            <w:shd w:val="clear" w:color="auto" w:fill="auto"/>
            <w:noWrap/>
            <w:vAlign w:val="center"/>
            <w:hideMark/>
          </w:tcPr>
          <w:p w14:paraId="4A11BA02" w14:textId="77777777" w:rsidR="00D751FB" w:rsidRPr="0051039E" w:rsidRDefault="00D751FB" w:rsidP="000070BB">
            <w:pPr>
              <w:pStyle w:val="ExhibitText"/>
              <w:jc w:val="right"/>
              <w:rPr>
                <w:lang w:val="en-GB"/>
              </w:rPr>
            </w:pPr>
          </w:p>
        </w:tc>
        <w:tc>
          <w:tcPr>
            <w:tcW w:w="1260" w:type="dxa"/>
            <w:shd w:val="clear" w:color="auto" w:fill="auto"/>
            <w:noWrap/>
            <w:vAlign w:val="center"/>
            <w:hideMark/>
          </w:tcPr>
          <w:p w14:paraId="2519C78E" w14:textId="77777777" w:rsidR="00D751FB" w:rsidRPr="0051039E" w:rsidRDefault="00D751FB" w:rsidP="000070BB">
            <w:pPr>
              <w:pStyle w:val="ExhibitText"/>
              <w:jc w:val="right"/>
              <w:rPr>
                <w:lang w:val="en-GB"/>
              </w:rPr>
            </w:pPr>
            <w:r w:rsidRPr="0051039E">
              <w:rPr>
                <w:lang w:val="en-GB"/>
              </w:rPr>
              <w:t> </w:t>
            </w:r>
          </w:p>
        </w:tc>
      </w:tr>
      <w:tr w:rsidR="00D751FB" w:rsidRPr="0051039E" w14:paraId="7AC028FE" w14:textId="77777777" w:rsidTr="00BF607D">
        <w:trPr>
          <w:trHeight w:val="107"/>
        </w:trPr>
        <w:tc>
          <w:tcPr>
            <w:tcW w:w="3648" w:type="dxa"/>
            <w:shd w:val="clear" w:color="auto" w:fill="auto"/>
            <w:noWrap/>
            <w:vAlign w:val="center"/>
            <w:hideMark/>
          </w:tcPr>
          <w:p w14:paraId="247B3DDB" w14:textId="77777777" w:rsidR="00D751FB" w:rsidRPr="0051039E" w:rsidRDefault="00D751FB" w:rsidP="000070BB">
            <w:pPr>
              <w:pStyle w:val="ExhibitText"/>
              <w:jc w:val="left"/>
              <w:rPr>
                <w:lang w:val="en-GB"/>
              </w:rPr>
            </w:pPr>
            <w:r w:rsidRPr="0051039E">
              <w:rPr>
                <w:lang w:val="en-GB"/>
              </w:rPr>
              <w:t>Depreciation</w:t>
            </w:r>
          </w:p>
        </w:tc>
        <w:tc>
          <w:tcPr>
            <w:tcW w:w="1572" w:type="dxa"/>
            <w:shd w:val="clear" w:color="auto" w:fill="auto"/>
            <w:noWrap/>
            <w:vAlign w:val="center"/>
            <w:hideMark/>
          </w:tcPr>
          <w:p w14:paraId="2700C6FD" w14:textId="4B7248DD" w:rsidR="00D751FB" w:rsidRPr="0051039E" w:rsidRDefault="00D751FB" w:rsidP="000070BB">
            <w:pPr>
              <w:pStyle w:val="ExhibitText"/>
              <w:jc w:val="right"/>
              <w:rPr>
                <w:lang w:val="en-GB"/>
              </w:rPr>
            </w:pPr>
            <w:r w:rsidRPr="0051039E">
              <w:rPr>
                <w:lang w:val="en-GB"/>
              </w:rPr>
              <w:t xml:space="preserve"> 13,669 </w:t>
            </w:r>
          </w:p>
        </w:tc>
        <w:tc>
          <w:tcPr>
            <w:tcW w:w="1260" w:type="dxa"/>
            <w:shd w:val="clear" w:color="auto" w:fill="auto"/>
            <w:noWrap/>
            <w:vAlign w:val="center"/>
            <w:hideMark/>
          </w:tcPr>
          <w:p w14:paraId="63DE95E0" w14:textId="7A6230D5" w:rsidR="00D751FB" w:rsidRPr="0051039E" w:rsidRDefault="00D751FB" w:rsidP="000070BB">
            <w:pPr>
              <w:pStyle w:val="ExhibitText"/>
              <w:jc w:val="right"/>
              <w:rPr>
                <w:lang w:val="en-GB"/>
              </w:rPr>
            </w:pPr>
            <w:r w:rsidRPr="0051039E">
              <w:rPr>
                <w:lang w:val="en-GB"/>
              </w:rPr>
              <w:t xml:space="preserve">12,261 </w:t>
            </w:r>
          </w:p>
        </w:tc>
        <w:tc>
          <w:tcPr>
            <w:tcW w:w="1260" w:type="dxa"/>
            <w:shd w:val="clear" w:color="auto" w:fill="auto"/>
            <w:noWrap/>
            <w:vAlign w:val="center"/>
            <w:hideMark/>
          </w:tcPr>
          <w:p w14:paraId="6D289487" w14:textId="23F85776" w:rsidR="00D751FB" w:rsidRPr="0051039E" w:rsidRDefault="00D751FB" w:rsidP="000070BB">
            <w:pPr>
              <w:pStyle w:val="ExhibitText"/>
              <w:jc w:val="right"/>
              <w:rPr>
                <w:lang w:val="en-GB"/>
              </w:rPr>
            </w:pPr>
            <w:r w:rsidRPr="0051039E">
              <w:rPr>
                <w:lang w:val="en-GB"/>
              </w:rPr>
              <w:t xml:space="preserve">9,819 </w:t>
            </w:r>
          </w:p>
        </w:tc>
        <w:tc>
          <w:tcPr>
            <w:tcW w:w="1260" w:type="dxa"/>
            <w:shd w:val="clear" w:color="auto" w:fill="auto"/>
            <w:noWrap/>
            <w:vAlign w:val="center"/>
            <w:hideMark/>
          </w:tcPr>
          <w:p w14:paraId="48D6FD4C" w14:textId="09401BEB" w:rsidR="00D751FB" w:rsidRPr="0051039E" w:rsidRDefault="00D751FB" w:rsidP="000070BB">
            <w:pPr>
              <w:pStyle w:val="ExhibitText"/>
              <w:jc w:val="right"/>
              <w:rPr>
                <w:lang w:val="en-GB"/>
              </w:rPr>
            </w:pPr>
            <w:r w:rsidRPr="0051039E">
              <w:rPr>
                <w:lang w:val="en-GB"/>
              </w:rPr>
              <w:t xml:space="preserve"> 7,487 </w:t>
            </w:r>
          </w:p>
        </w:tc>
      </w:tr>
      <w:tr w:rsidR="00D751FB" w:rsidRPr="0051039E" w14:paraId="3E54BEBA" w14:textId="77777777" w:rsidTr="00BF607D">
        <w:trPr>
          <w:trHeight w:val="134"/>
        </w:trPr>
        <w:tc>
          <w:tcPr>
            <w:tcW w:w="3648" w:type="dxa"/>
            <w:shd w:val="clear" w:color="auto" w:fill="auto"/>
            <w:noWrap/>
            <w:vAlign w:val="center"/>
            <w:hideMark/>
          </w:tcPr>
          <w:p w14:paraId="38F1970E" w14:textId="4367359D" w:rsidR="00D751FB" w:rsidRPr="0051039E" w:rsidRDefault="00D751FB" w:rsidP="000070BB">
            <w:pPr>
              <w:pStyle w:val="ExhibitText"/>
              <w:jc w:val="left"/>
              <w:rPr>
                <w:lang w:val="en-GB"/>
              </w:rPr>
            </w:pPr>
            <w:r w:rsidRPr="0051039E">
              <w:rPr>
                <w:lang w:val="en-GB"/>
              </w:rPr>
              <w:t xml:space="preserve">Net </w:t>
            </w:r>
            <w:r w:rsidR="00CE0483">
              <w:rPr>
                <w:lang w:val="en-GB"/>
              </w:rPr>
              <w:t>i</w:t>
            </w:r>
            <w:r w:rsidRPr="0051039E">
              <w:rPr>
                <w:lang w:val="en-GB"/>
              </w:rPr>
              <w:t xml:space="preserve">ncome </w:t>
            </w:r>
            <w:r w:rsidR="00CE0483">
              <w:rPr>
                <w:lang w:val="en-GB"/>
              </w:rPr>
              <w:t>a</w:t>
            </w:r>
            <w:r w:rsidRPr="0051039E">
              <w:rPr>
                <w:lang w:val="en-GB"/>
              </w:rPr>
              <w:t>djustments</w:t>
            </w:r>
          </w:p>
        </w:tc>
        <w:tc>
          <w:tcPr>
            <w:tcW w:w="1572" w:type="dxa"/>
            <w:shd w:val="clear" w:color="auto" w:fill="auto"/>
            <w:noWrap/>
            <w:vAlign w:val="center"/>
            <w:hideMark/>
          </w:tcPr>
          <w:p w14:paraId="273CB474" w14:textId="74D1C212" w:rsidR="00D751FB" w:rsidRPr="0051039E" w:rsidRDefault="00D751FB" w:rsidP="000070BB">
            <w:pPr>
              <w:pStyle w:val="ExhibitText"/>
              <w:jc w:val="right"/>
              <w:rPr>
                <w:lang w:val="en-GB"/>
              </w:rPr>
            </w:pPr>
            <w:r w:rsidRPr="0051039E">
              <w:rPr>
                <w:lang w:val="en-GB"/>
              </w:rPr>
              <w:t xml:space="preserve"> (3,434)</w:t>
            </w:r>
          </w:p>
        </w:tc>
        <w:tc>
          <w:tcPr>
            <w:tcW w:w="1260" w:type="dxa"/>
            <w:shd w:val="clear" w:color="auto" w:fill="auto"/>
            <w:noWrap/>
            <w:vAlign w:val="center"/>
            <w:hideMark/>
          </w:tcPr>
          <w:p w14:paraId="5EE37ABD" w14:textId="7B7BB5DF" w:rsidR="00D751FB" w:rsidRPr="0051039E" w:rsidRDefault="00D751FB" w:rsidP="000070BB">
            <w:pPr>
              <w:pStyle w:val="ExhibitText"/>
              <w:jc w:val="right"/>
              <w:rPr>
                <w:lang w:val="en-GB"/>
              </w:rPr>
            </w:pPr>
            <w:r w:rsidRPr="0051039E">
              <w:rPr>
                <w:lang w:val="en-GB"/>
              </w:rPr>
              <w:t xml:space="preserve"> 8,230 </w:t>
            </w:r>
          </w:p>
        </w:tc>
        <w:tc>
          <w:tcPr>
            <w:tcW w:w="1260" w:type="dxa"/>
            <w:shd w:val="clear" w:color="auto" w:fill="auto"/>
            <w:noWrap/>
            <w:vAlign w:val="center"/>
            <w:hideMark/>
          </w:tcPr>
          <w:p w14:paraId="57E89221" w14:textId="156B3B43" w:rsidR="00D751FB" w:rsidRPr="0051039E" w:rsidRDefault="00D751FB" w:rsidP="000070BB">
            <w:pPr>
              <w:pStyle w:val="ExhibitText"/>
              <w:jc w:val="right"/>
              <w:rPr>
                <w:lang w:val="en-GB"/>
              </w:rPr>
            </w:pPr>
            <w:r w:rsidRPr="0051039E">
              <w:rPr>
                <w:lang w:val="en-GB"/>
              </w:rPr>
              <w:t xml:space="preserve"> (1,781)</w:t>
            </w:r>
          </w:p>
        </w:tc>
        <w:tc>
          <w:tcPr>
            <w:tcW w:w="1260" w:type="dxa"/>
            <w:shd w:val="clear" w:color="auto" w:fill="auto"/>
            <w:noWrap/>
            <w:vAlign w:val="center"/>
            <w:hideMark/>
          </w:tcPr>
          <w:p w14:paraId="103AE44B" w14:textId="4DCD2F70" w:rsidR="00D751FB" w:rsidRPr="0051039E" w:rsidRDefault="00D751FB" w:rsidP="000070BB">
            <w:pPr>
              <w:pStyle w:val="ExhibitText"/>
              <w:jc w:val="right"/>
              <w:rPr>
                <w:lang w:val="en-GB"/>
              </w:rPr>
            </w:pPr>
            <w:r w:rsidRPr="0051039E">
              <w:rPr>
                <w:lang w:val="en-GB"/>
              </w:rPr>
              <w:t>(2,889)</w:t>
            </w:r>
          </w:p>
        </w:tc>
      </w:tr>
      <w:tr w:rsidR="00D751FB" w:rsidRPr="0051039E" w14:paraId="4B9181F4" w14:textId="77777777" w:rsidTr="00BF607D">
        <w:trPr>
          <w:trHeight w:val="71"/>
        </w:trPr>
        <w:tc>
          <w:tcPr>
            <w:tcW w:w="3648" w:type="dxa"/>
            <w:shd w:val="clear" w:color="auto" w:fill="auto"/>
            <w:noWrap/>
            <w:vAlign w:val="center"/>
            <w:hideMark/>
          </w:tcPr>
          <w:p w14:paraId="5425C939" w14:textId="07D75427" w:rsidR="00D751FB" w:rsidRPr="0051039E" w:rsidRDefault="00D751FB" w:rsidP="000070BB">
            <w:pPr>
              <w:pStyle w:val="ExhibitText"/>
              <w:jc w:val="left"/>
              <w:rPr>
                <w:lang w:val="en-GB"/>
              </w:rPr>
            </w:pPr>
            <w:r w:rsidRPr="0051039E">
              <w:rPr>
                <w:lang w:val="en-GB"/>
              </w:rPr>
              <w:t xml:space="preserve">Other </w:t>
            </w:r>
            <w:r w:rsidR="00CE0483">
              <w:rPr>
                <w:lang w:val="en-GB"/>
              </w:rPr>
              <w:t>o</w:t>
            </w:r>
            <w:r w:rsidRPr="0051039E">
              <w:rPr>
                <w:lang w:val="en-GB"/>
              </w:rPr>
              <w:t xml:space="preserve">perating </w:t>
            </w:r>
            <w:r w:rsidR="00CE0483">
              <w:rPr>
                <w:lang w:val="en-GB"/>
              </w:rPr>
              <w:t>a</w:t>
            </w:r>
            <w:r w:rsidRPr="0051039E">
              <w:rPr>
                <w:lang w:val="en-GB"/>
              </w:rPr>
              <w:t>ctivities</w:t>
            </w:r>
          </w:p>
        </w:tc>
        <w:tc>
          <w:tcPr>
            <w:tcW w:w="1572" w:type="dxa"/>
            <w:shd w:val="clear" w:color="auto" w:fill="auto"/>
            <w:noWrap/>
            <w:vAlign w:val="center"/>
            <w:hideMark/>
          </w:tcPr>
          <w:p w14:paraId="48A57FE0" w14:textId="53A1BB12" w:rsidR="00D751FB" w:rsidRPr="0051039E" w:rsidRDefault="00D751FB" w:rsidP="000070BB">
            <w:pPr>
              <w:pStyle w:val="ExhibitText"/>
              <w:jc w:val="right"/>
              <w:rPr>
                <w:lang w:val="en-GB"/>
              </w:rPr>
            </w:pPr>
            <w:r w:rsidRPr="0051039E">
              <w:rPr>
                <w:lang w:val="en-GB"/>
              </w:rPr>
              <w:t>(3,054)</w:t>
            </w:r>
          </w:p>
        </w:tc>
        <w:tc>
          <w:tcPr>
            <w:tcW w:w="1260" w:type="dxa"/>
            <w:shd w:val="clear" w:color="auto" w:fill="auto"/>
            <w:noWrap/>
            <w:vAlign w:val="center"/>
            <w:hideMark/>
          </w:tcPr>
          <w:p w14:paraId="10278AFF" w14:textId="7E928424" w:rsidR="00D751FB" w:rsidRPr="0051039E" w:rsidRDefault="00D751FB" w:rsidP="000070BB">
            <w:pPr>
              <w:pStyle w:val="ExhibitText"/>
              <w:jc w:val="right"/>
              <w:rPr>
                <w:lang w:val="en-GB"/>
              </w:rPr>
            </w:pPr>
            <w:r w:rsidRPr="0051039E">
              <w:rPr>
                <w:lang w:val="en-GB"/>
              </w:rPr>
              <w:t xml:space="preserve"> (3,483)</w:t>
            </w:r>
          </w:p>
        </w:tc>
        <w:tc>
          <w:tcPr>
            <w:tcW w:w="1260" w:type="dxa"/>
            <w:shd w:val="clear" w:color="auto" w:fill="auto"/>
            <w:noWrap/>
            <w:vAlign w:val="center"/>
            <w:hideMark/>
          </w:tcPr>
          <w:p w14:paraId="580C0B36" w14:textId="1BEEBCDD" w:rsidR="00D751FB" w:rsidRPr="0051039E" w:rsidRDefault="00D751FB" w:rsidP="000070BB">
            <w:pPr>
              <w:pStyle w:val="ExhibitText"/>
              <w:jc w:val="right"/>
              <w:rPr>
                <w:lang w:val="en-GB"/>
              </w:rPr>
            </w:pPr>
            <w:r w:rsidRPr="0051039E">
              <w:rPr>
                <w:lang w:val="en-GB"/>
              </w:rPr>
              <w:t>(314)</w:t>
            </w:r>
          </w:p>
        </w:tc>
        <w:tc>
          <w:tcPr>
            <w:tcW w:w="1260" w:type="dxa"/>
            <w:shd w:val="clear" w:color="auto" w:fill="auto"/>
            <w:noWrap/>
            <w:vAlign w:val="center"/>
            <w:hideMark/>
          </w:tcPr>
          <w:p w14:paraId="611707C2" w14:textId="347B6E51" w:rsidR="00D751FB" w:rsidRPr="0051039E" w:rsidRDefault="00D751FB" w:rsidP="000070BB">
            <w:pPr>
              <w:pStyle w:val="ExhibitText"/>
              <w:jc w:val="right"/>
              <w:rPr>
                <w:lang w:val="en-GB"/>
              </w:rPr>
            </w:pPr>
            <w:r w:rsidRPr="0051039E">
              <w:rPr>
                <w:lang w:val="en-GB"/>
              </w:rPr>
              <w:t xml:space="preserve"> (1,578)</w:t>
            </w:r>
          </w:p>
        </w:tc>
      </w:tr>
      <w:tr w:rsidR="00D751FB" w:rsidRPr="0051039E" w14:paraId="0C93F4F6" w14:textId="77777777" w:rsidTr="00BF607D">
        <w:trPr>
          <w:trHeight w:val="98"/>
        </w:trPr>
        <w:tc>
          <w:tcPr>
            <w:tcW w:w="3648" w:type="dxa"/>
            <w:shd w:val="clear" w:color="auto" w:fill="auto"/>
            <w:noWrap/>
            <w:vAlign w:val="center"/>
            <w:hideMark/>
          </w:tcPr>
          <w:p w14:paraId="28335DBC" w14:textId="1146FC86" w:rsidR="00D751FB" w:rsidRPr="0051039E" w:rsidRDefault="00D751FB" w:rsidP="000070BB">
            <w:pPr>
              <w:pStyle w:val="ExhibitText"/>
              <w:jc w:val="left"/>
              <w:rPr>
                <w:lang w:val="en-GB"/>
              </w:rPr>
            </w:pPr>
            <w:r w:rsidRPr="0051039E">
              <w:rPr>
                <w:lang w:val="en-GB"/>
              </w:rPr>
              <w:t xml:space="preserve">Net </w:t>
            </w:r>
            <w:r w:rsidR="00CE0483">
              <w:rPr>
                <w:lang w:val="en-GB"/>
              </w:rPr>
              <w:t>c</w:t>
            </w:r>
            <w:r w:rsidRPr="0051039E">
              <w:rPr>
                <w:lang w:val="en-GB"/>
              </w:rPr>
              <w:t xml:space="preserve">ash </w:t>
            </w:r>
            <w:r w:rsidR="00CE0483">
              <w:rPr>
                <w:lang w:val="en-GB"/>
              </w:rPr>
              <w:t>f</w:t>
            </w:r>
            <w:r w:rsidRPr="0051039E">
              <w:rPr>
                <w:lang w:val="en-GB"/>
              </w:rPr>
              <w:t>low</w:t>
            </w:r>
            <w:r w:rsidR="00BF607D">
              <w:rPr>
                <w:lang w:val="en-GB"/>
              </w:rPr>
              <w:t>—</w:t>
            </w:r>
            <w:r w:rsidRPr="0051039E">
              <w:rPr>
                <w:lang w:val="en-GB"/>
              </w:rPr>
              <w:t>Operating</w:t>
            </w:r>
            <w:r w:rsidR="00BF607D">
              <w:rPr>
                <w:lang w:val="en-GB"/>
              </w:rPr>
              <w:t xml:space="preserve"> </w:t>
            </w:r>
            <w:r w:rsidR="00CE0483">
              <w:rPr>
                <w:lang w:val="en-GB"/>
              </w:rPr>
              <w:t>a</w:t>
            </w:r>
            <w:r w:rsidR="00BF607D">
              <w:rPr>
                <w:lang w:val="en-GB"/>
              </w:rPr>
              <w:t>ctivities</w:t>
            </w:r>
          </w:p>
        </w:tc>
        <w:tc>
          <w:tcPr>
            <w:tcW w:w="1572" w:type="dxa"/>
            <w:shd w:val="clear" w:color="auto" w:fill="auto"/>
            <w:noWrap/>
            <w:vAlign w:val="center"/>
            <w:hideMark/>
          </w:tcPr>
          <w:p w14:paraId="559FC4F2" w14:textId="53FD325B" w:rsidR="00D751FB" w:rsidRPr="0051039E" w:rsidRDefault="00D751FB" w:rsidP="000070BB">
            <w:pPr>
              <w:pStyle w:val="ExhibitText"/>
              <w:jc w:val="right"/>
              <w:rPr>
                <w:lang w:val="en-GB"/>
              </w:rPr>
            </w:pPr>
            <w:r w:rsidRPr="0051039E">
              <w:rPr>
                <w:lang w:val="en-GB"/>
              </w:rPr>
              <w:t xml:space="preserve">15,256 </w:t>
            </w:r>
          </w:p>
        </w:tc>
        <w:tc>
          <w:tcPr>
            <w:tcW w:w="1260" w:type="dxa"/>
            <w:shd w:val="clear" w:color="auto" w:fill="auto"/>
            <w:noWrap/>
            <w:vAlign w:val="center"/>
            <w:hideMark/>
          </w:tcPr>
          <w:p w14:paraId="6D5354F9" w14:textId="0FF7E7F5" w:rsidR="00D751FB" w:rsidRPr="0051039E" w:rsidRDefault="00D751FB" w:rsidP="000070BB">
            <w:pPr>
              <w:pStyle w:val="ExhibitText"/>
              <w:jc w:val="right"/>
              <w:rPr>
                <w:lang w:val="en-GB"/>
              </w:rPr>
            </w:pPr>
            <w:r w:rsidRPr="0051039E">
              <w:rPr>
                <w:lang w:val="en-GB"/>
              </w:rPr>
              <w:t xml:space="preserve"> 17,328 </w:t>
            </w:r>
          </w:p>
        </w:tc>
        <w:tc>
          <w:tcPr>
            <w:tcW w:w="1260" w:type="dxa"/>
            <w:shd w:val="clear" w:color="auto" w:fill="auto"/>
            <w:noWrap/>
            <w:vAlign w:val="center"/>
            <w:hideMark/>
          </w:tcPr>
          <w:p w14:paraId="30EFC53A" w14:textId="348A4E23" w:rsidR="00D751FB" w:rsidRPr="0051039E" w:rsidRDefault="00D751FB" w:rsidP="000070BB">
            <w:pPr>
              <w:pStyle w:val="ExhibitText"/>
              <w:jc w:val="right"/>
              <w:rPr>
                <w:lang w:val="en-GB"/>
              </w:rPr>
            </w:pPr>
            <w:r w:rsidRPr="0051039E">
              <w:rPr>
                <w:lang w:val="en-GB"/>
              </w:rPr>
              <w:t xml:space="preserve"> 16,607 </w:t>
            </w:r>
          </w:p>
        </w:tc>
        <w:tc>
          <w:tcPr>
            <w:tcW w:w="1260" w:type="dxa"/>
            <w:shd w:val="clear" w:color="auto" w:fill="auto"/>
            <w:noWrap/>
            <w:vAlign w:val="center"/>
            <w:hideMark/>
          </w:tcPr>
          <w:p w14:paraId="796E03C7" w14:textId="38E46E08" w:rsidR="00D751FB" w:rsidRPr="0051039E" w:rsidRDefault="00D751FB" w:rsidP="000070BB">
            <w:pPr>
              <w:pStyle w:val="ExhibitText"/>
              <w:jc w:val="right"/>
              <w:rPr>
                <w:lang w:val="en-GB"/>
              </w:rPr>
            </w:pPr>
            <w:r w:rsidRPr="0051039E">
              <w:rPr>
                <w:lang w:val="en-GB"/>
              </w:rPr>
              <w:t xml:space="preserve"> 11,769 </w:t>
            </w:r>
          </w:p>
        </w:tc>
      </w:tr>
      <w:tr w:rsidR="00D751FB" w:rsidRPr="0051039E" w14:paraId="29CFF991" w14:textId="77777777" w:rsidTr="00BF607D">
        <w:trPr>
          <w:trHeight w:val="125"/>
        </w:trPr>
        <w:tc>
          <w:tcPr>
            <w:tcW w:w="3648" w:type="dxa"/>
            <w:shd w:val="clear" w:color="auto" w:fill="auto"/>
            <w:noWrap/>
            <w:vAlign w:val="center"/>
            <w:hideMark/>
          </w:tcPr>
          <w:p w14:paraId="23294B06" w14:textId="51C0C533" w:rsidR="00D751FB" w:rsidRPr="00152AE1" w:rsidRDefault="00D751FB" w:rsidP="000070BB">
            <w:pPr>
              <w:pStyle w:val="ExhibitText"/>
              <w:jc w:val="left"/>
              <w:rPr>
                <w:b/>
                <w:lang w:val="en-GB"/>
              </w:rPr>
            </w:pPr>
            <w:r w:rsidRPr="00152AE1">
              <w:rPr>
                <w:b/>
                <w:lang w:val="en-GB"/>
              </w:rPr>
              <w:t xml:space="preserve">Cash </w:t>
            </w:r>
            <w:r w:rsidR="00CE0483" w:rsidRPr="00152AE1">
              <w:rPr>
                <w:b/>
                <w:lang w:val="en-GB"/>
              </w:rPr>
              <w:t>f</w:t>
            </w:r>
            <w:r w:rsidRPr="00152AE1">
              <w:rPr>
                <w:b/>
                <w:lang w:val="en-GB"/>
              </w:rPr>
              <w:t>lows</w:t>
            </w:r>
            <w:r w:rsidR="00BF607D" w:rsidRPr="00152AE1">
              <w:rPr>
                <w:b/>
                <w:lang w:val="en-GB"/>
              </w:rPr>
              <w:t>—</w:t>
            </w:r>
            <w:r w:rsidRPr="00152AE1">
              <w:rPr>
                <w:b/>
                <w:lang w:val="en-GB"/>
              </w:rPr>
              <w:t xml:space="preserve">Investing </w:t>
            </w:r>
            <w:r w:rsidR="00CE0483" w:rsidRPr="00152AE1">
              <w:rPr>
                <w:b/>
                <w:lang w:val="en-GB"/>
              </w:rPr>
              <w:t>a</w:t>
            </w:r>
            <w:r w:rsidRPr="00152AE1">
              <w:rPr>
                <w:b/>
                <w:lang w:val="en-GB"/>
              </w:rPr>
              <w:t>ctivities</w:t>
            </w:r>
          </w:p>
        </w:tc>
        <w:tc>
          <w:tcPr>
            <w:tcW w:w="1572" w:type="dxa"/>
            <w:shd w:val="clear" w:color="auto" w:fill="auto"/>
            <w:noWrap/>
            <w:vAlign w:val="center"/>
            <w:hideMark/>
          </w:tcPr>
          <w:p w14:paraId="022FEDDD" w14:textId="77777777" w:rsidR="00D751FB" w:rsidRPr="0051039E" w:rsidRDefault="00D751FB" w:rsidP="000070BB">
            <w:pPr>
              <w:pStyle w:val="ExhibitText"/>
              <w:jc w:val="right"/>
              <w:rPr>
                <w:lang w:val="en-GB"/>
              </w:rPr>
            </w:pPr>
            <w:r w:rsidRPr="0051039E">
              <w:rPr>
                <w:lang w:val="en-GB"/>
              </w:rPr>
              <w:t> </w:t>
            </w:r>
          </w:p>
        </w:tc>
        <w:tc>
          <w:tcPr>
            <w:tcW w:w="1260" w:type="dxa"/>
            <w:shd w:val="clear" w:color="auto" w:fill="auto"/>
            <w:noWrap/>
            <w:vAlign w:val="center"/>
            <w:hideMark/>
          </w:tcPr>
          <w:p w14:paraId="03C4F21C" w14:textId="77777777" w:rsidR="00D751FB" w:rsidRPr="0051039E" w:rsidRDefault="00D751FB" w:rsidP="000070BB">
            <w:pPr>
              <w:pStyle w:val="ExhibitText"/>
              <w:jc w:val="right"/>
              <w:rPr>
                <w:lang w:val="en-GB"/>
              </w:rPr>
            </w:pPr>
          </w:p>
        </w:tc>
        <w:tc>
          <w:tcPr>
            <w:tcW w:w="1260" w:type="dxa"/>
            <w:shd w:val="clear" w:color="auto" w:fill="auto"/>
            <w:noWrap/>
            <w:vAlign w:val="center"/>
            <w:hideMark/>
          </w:tcPr>
          <w:p w14:paraId="3588BFD7" w14:textId="77777777" w:rsidR="00D751FB" w:rsidRPr="0051039E" w:rsidRDefault="00D751FB" w:rsidP="000070BB">
            <w:pPr>
              <w:pStyle w:val="ExhibitText"/>
              <w:jc w:val="right"/>
              <w:rPr>
                <w:lang w:val="en-GB"/>
              </w:rPr>
            </w:pPr>
          </w:p>
        </w:tc>
        <w:tc>
          <w:tcPr>
            <w:tcW w:w="1260" w:type="dxa"/>
            <w:shd w:val="clear" w:color="auto" w:fill="auto"/>
            <w:noWrap/>
            <w:vAlign w:val="center"/>
            <w:hideMark/>
          </w:tcPr>
          <w:p w14:paraId="5A347742" w14:textId="77777777" w:rsidR="00D751FB" w:rsidRPr="0051039E" w:rsidRDefault="00D751FB" w:rsidP="000070BB">
            <w:pPr>
              <w:pStyle w:val="ExhibitText"/>
              <w:jc w:val="right"/>
              <w:rPr>
                <w:lang w:val="en-GB"/>
              </w:rPr>
            </w:pPr>
            <w:r w:rsidRPr="0051039E">
              <w:rPr>
                <w:lang w:val="en-GB"/>
              </w:rPr>
              <w:t> </w:t>
            </w:r>
          </w:p>
        </w:tc>
      </w:tr>
      <w:tr w:rsidR="00D751FB" w:rsidRPr="0051039E" w14:paraId="5AB0A633" w14:textId="77777777" w:rsidTr="00BF607D">
        <w:trPr>
          <w:trHeight w:val="161"/>
        </w:trPr>
        <w:tc>
          <w:tcPr>
            <w:tcW w:w="3648" w:type="dxa"/>
            <w:shd w:val="clear" w:color="auto" w:fill="auto"/>
            <w:noWrap/>
            <w:vAlign w:val="center"/>
            <w:hideMark/>
          </w:tcPr>
          <w:p w14:paraId="2AA5FA4E" w14:textId="6B5A23BF" w:rsidR="00D751FB" w:rsidRPr="0051039E" w:rsidRDefault="00D751FB" w:rsidP="000070BB">
            <w:pPr>
              <w:pStyle w:val="ExhibitText"/>
              <w:jc w:val="left"/>
              <w:rPr>
                <w:lang w:val="en-GB"/>
              </w:rPr>
            </w:pPr>
            <w:r w:rsidRPr="0051039E">
              <w:rPr>
                <w:lang w:val="en-GB"/>
              </w:rPr>
              <w:t xml:space="preserve">Capital </w:t>
            </w:r>
            <w:r w:rsidR="00CE0483">
              <w:rPr>
                <w:lang w:val="en-GB"/>
              </w:rPr>
              <w:t>e</w:t>
            </w:r>
            <w:r w:rsidRPr="0051039E">
              <w:rPr>
                <w:lang w:val="en-GB"/>
              </w:rPr>
              <w:t>xpenditures</w:t>
            </w:r>
          </w:p>
        </w:tc>
        <w:tc>
          <w:tcPr>
            <w:tcW w:w="1572" w:type="dxa"/>
            <w:shd w:val="clear" w:color="auto" w:fill="auto"/>
            <w:noWrap/>
            <w:vAlign w:val="center"/>
            <w:hideMark/>
          </w:tcPr>
          <w:p w14:paraId="3C8058E1" w14:textId="2E5DF02A" w:rsidR="00D751FB" w:rsidRPr="0051039E" w:rsidRDefault="00D751FB" w:rsidP="000070BB">
            <w:pPr>
              <w:pStyle w:val="ExhibitText"/>
              <w:jc w:val="right"/>
              <w:rPr>
                <w:lang w:val="en-GB"/>
              </w:rPr>
            </w:pPr>
            <w:r w:rsidRPr="0051039E">
              <w:rPr>
                <w:lang w:val="en-GB"/>
              </w:rPr>
              <w:t xml:space="preserve"> (8,761)</w:t>
            </w:r>
          </w:p>
        </w:tc>
        <w:tc>
          <w:tcPr>
            <w:tcW w:w="1260" w:type="dxa"/>
            <w:shd w:val="clear" w:color="auto" w:fill="auto"/>
            <w:noWrap/>
            <w:vAlign w:val="center"/>
            <w:hideMark/>
          </w:tcPr>
          <w:p w14:paraId="22DE81B6" w14:textId="64D34B21" w:rsidR="00D751FB" w:rsidRPr="0051039E" w:rsidRDefault="00D751FB" w:rsidP="000070BB">
            <w:pPr>
              <w:pStyle w:val="ExhibitText"/>
              <w:jc w:val="right"/>
              <w:rPr>
                <w:lang w:val="en-GB"/>
              </w:rPr>
            </w:pPr>
            <w:r w:rsidRPr="0051039E">
              <w:rPr>
                <w:lang w:val="en-GB"/>
              </w:rPr>
              <w:t xml:space="preserve"> (8,453)</w:t>
            </w:r>
          </w:p>
        </w:tc>
        <w:tc>
          <w:tcPr>
            <w:tcW w:w="1260" w:type="dxa"/>
            <w:shd w:val="clear" w:color="auto" w:fill="auto"/>
            <w:noWrap/>
            <w:vAlign w:val="center"/>
            <w:hideMark/>
          </w:tcPr>
          <w:p w14:paraId="4D22F204" w14:textId="18F622F5" w:rsidR="00D751FB" w:rsidRPr="0051039E" w:rsidRDefault="00D751FB" w:rsidP="000070BB">
            <w:pPr>
              <w:pStyle w:val="ExhibitText"/>
              <w:jc w:val="right"/>
              <w:rPr>
                <w:lang w:val="en-GB"/>
              </w:rPr>
            </w:pPr>
            <w:r w:rsidRPr="0051039E">
              <w:rPr>
                <w:lang w:val="en-GB"/>
              </w:rPr>
              <w:t xml:space="preserve"> (8,384)</w:t>
            </w:r>
          </w:p>
        </w:tc>
        <w:tc>
          <w:tcPr>
            <w:tcW w:w="1260" w:type="dxa"/>
            <w:shd w:val="clear" w:color="auto" w:fill="auto"/>
            <w:noWrap/>
            <w:vAlign w:val="center"/>
            <w:hideMark/>
          </w:tcPr>
          <w:p w14:paraId="50AB678E" w14:textId="35A7CF0C" w:rsidR="00D751FB" w:rsidRPr="0051039E" w:rsidRDefault="00D751FB" w:rsidP="000070BB">
            <w:pPr>
              <w:pStyle w:val="ExhibitText"/>
              <w:jc w:val="right"/>
              <w:rPr>
                <w:lang w:val="en-GB"/>
              </w:rPr>
            </w:pPr>
            <w:r w:rsidRPr="0051039E">
              <w:rPr>
                <w:lang w:val="en-GB"/>
              </w:rPr>
              <w:t xml:space="preserve"> (6,813)</w:t>
            </w:r>
          </w:p>
        </w:tc>
      </w:tr>
      <w:tr w:rsidR="00D751FB" w:rsidRPr="0051039E" w14:paraId="2DAC8406" w14:textId="77777777" w:rsidTr="00BF607D">
        <w:trPr>
          <w:trHeight w:val="107"/>
        </w:trPr>
        <w:tc>
          <w:tcPr>
            <w:tcW w:w="3648" w:type="dxa"/>
            <w:shd w:val="clear" w:color="auto" w:fill="auto"/>
            <w:noWrap/>
            <w:vAlign w:val="center"/>
            <w:hideMark/>
          </w:tcPr>
          <w:p w14:paraId="45E4D6C8" w14:textId="77777777" w:rsidR="00D751FB" w:rsidRPr="0051039E" w:rsidRDefault="00D751FB" w:rsidP="000070BB">
            <w:pPr>
              <w:pStyle w:val="ExhibitText"/>
              <w:jc w:val="left"/>
              <w:rPr>
                <w:lang w:val="en-GB"/>
              </w:rPr>
            </w:pPr>
            <w:r w:rsidRPr="0051039E">
              <w:rPr>
                <w:lang w:val="en-GB"/>
              </w:rPr>
              <w:t>Investments</w:t>
            </w:r>
          </w:p>
        </w:tc>
        <w:tc>
          <w:tcPr>
            <w:tcW w:w="1572" w:type="dxa"/>
            <w:shd w:val="clear" w:color="auto" w:fill="auto"/>
            <w:noWrap/>
            <w:vAlign w:val="center"/>
            <w:hideMark/>
          </w:tcPr>
          <w:p w14:paraId="771091D7" w14:textId="30D036A3" w:rsidR="00D751FB" w:rsidRPr="0051039E" w:rsidRDefault="00D751FB" w:rsidP="000070BB">
            <w:pPr>
              <w:pStyle w:val="ExhibitText"/>
              <w:jc w:val="right"/>
              <w:rPr>
                <w:lang w:val="en-GB"/>
              </w:rPr>
            </w:pPr>
            <w:r w:rsidRPr="0051039E">
              <w:rPr>
                <w:lang w:val="en-GB"/>
              </w:rPr>
              <w:t>(12,207)</w:t>
            </w:r>
          </w:p>
        </w:tc>
        <w:tc>
          <w:tcPr>
            <w:tcW w:w="1260" w:type="dxa"/>
            <w:shd w:val="clear" w:color="auto" w:fill="auto"/>
            <w:noWrap/>
            <w:vAlign w:val="center"/>
            <w:hideMark/>
          </w:tcPr>
          <w:p w14:paraId="51B7E77B" w14:textId="3381C120" w:rsidR="00D751FB" w:rsidRPr="0051039E" w:rsidRDefault="00D751FB" w:rsidP="000070BB">
            <w:pPr>
              <w:pStyle w:val="ExhibitText"/>
              <w:jc w:val="right"/>
              <w:rPr>
                <w:lang w:val="en-GB"/>
              </w:rPr>
            </w:pPr>
            <w:r w:rsidRPr="0051039E">
              <w:rPr>
                <w:lang w:val="en-GB"/>
              </w:rPr>
              <w:t>(15,756)</w:t>
            </w:r>
          </w:p>
        </w:tc>
        <w:tc>
          <w:tcPr>
            <w:tcW w:w="1260" w:type="dxa"/>
            <w:shd w:val="clear" w:color="auto" w:fill="auto"/>
            <w:noWrap/>
            <w:vAlign w:val="center"/>
            <w:hideMark/>
          </w:tcPr>
          <w:p w14:paraId="173835A0" w14:textId="13DAA9F7" w:rsidR="00D751FB" w:rsidRPr="0051039E" w:rsidRDefault="00D751FB" w:rsidP="000070BB">
            <w:pPr>
              <w:pStyle w:val="ExhibitText"/>
              <w:jc w:val="right"/>
              <w:rPr>
                <w:lang w:val="en-GB"/>
              </w:rPr>
            </w:pPr>
            <w:r w:rsidRPr="0051039E">
              <w:rPr>
                <w:lang w:val="en-GB"/>
              </w:rPr>
              <w:t>(25,121)</w:t>
            </w:r>
          </w:p>
        </w:tc>
        <w:tc>
          <w:tcPr>
            <w:tcW w:w="1260" w:type="dxa"/>
            <w:shd w:val="clear" w:color="auto" w:fill="auto"/>
            <w:noWrap/>
            <w:vAlign w:val="center"/>
            <w:hideMark/>
          </w:tcPr>
          <w:p w14:paraId="626DE9BB" w14:textId="46B72B31" w:rsidR="00D751FB" w:rsidRPr="0051039E" w:rsidRDefault="00D751FB" w:rsidP="000070BB">
            <w:pPr>
              <w:pStyle w:val="ExhibitText"/>
              <w:jc w:val="right"/>
              <w:rPr>
                <w:lang w:val="en-GB"/>
              </w:rPr>
            </w:pPr>
            <w:r w:rsidRPr="0051039E">
              <w:rPr>
                <w:lang w:val="en-GB"/>
              </w:rPr>
              <w:t>(18,483)</w:t>
            </w:r>
          </w:p>
        </w:tc>
      </w:tr>
      <w:tr w:rsidR="00D751FB" w:rsidRPr="0051039E" w14:paraId="419B5E0A" w14:textId="77777777" w:rsidTr="00BF607D">
        <w:trPr>
          <w:trHeight w:val="134"/>
        </w:trPr>
        <w:tc>
          <w:tcPr>
            <w:tcW w:w="3648" w:type="dxa"/>
            <w:shd w:val="clear" w:color="auto" w:fill="auto"/>
            <w:noWrap/>
            <w:vAlign w:val="center"/>
            <w:hideMark/>
          </w:tcPr>
          <w:p w14:paraId="4E51B2E5" w14:textId="14D58617" w:rsidR="00D751FB" w:rsidRPr="0051039E" w:rsidRDefault="00D751FB" w:rsidP="000070BB">
            <w:pPr>
              <w:pStyle w:val="ExhibitText"/>
              <w:jc w:val="left"/>
              <w:rPr>
                <w:lang w:val="en-GB"/>
              </w:rPr>
            </w:pPr>
            <w:r w:rsidRPr="0051039E">
              <w:rPr>
                <w:lang w:val="en-GB"/>
              </w:rPr>
              <w:t xml:space="preserve">Other </w:t>
            </w:r>
            <w:r w:rsidR="00CE0483">
              <w:rPr>
                <w:lang w:val="en-GB"/>
              </w:rPr>
              <w:t>i</w:t>
            </w:r>
            <w:r w:rsidRPr="0051039E">
              <w:rPr>
                <w:lang w:val="en-GB"/>
              </w:rPr>
              <w:t xml:space="preserve">nvesting </w:t>
            </w:r>
            <w:r w:rsidR="00CE0483">
              <w:rPr>
                <w:lang w:val="en-GB"/>
              </w:rPr>
              <w:t>a</w:t>
            </w:r>
            <w:r w:rsidRPr="0051039E">
              <w:rPr>
                <w:lang w:val="en-GB"/>
              </w:rPr>
              <w:t>ctivities</w:t>
            </w:r>
          </w:p>
        </w:tc>
        <w:tc>
          <w:tcPr>
            <w:tcW w:w="1572" w:type="dxa"/>
            <w:shd w:val="clear" w:color="auto" w:fill="auto"/>
            <w:noWrap/>
            <w:vAlign w:val="center"/>
            <w:hideMark/>
          </w:tcPr>
          <w:p w14:paraId="2F48D76E" w14:textId="30AD5E68" w:rsidR="00D751FB" w:rsidRPr="0051039E" w:rsidRDefault="00D751FB" w:rsidP="000070BB">
            <w:pPr>
              <w:pStyle w:val="ExhibitText"/>
              <w:jc w:val="right"/>
              <w:rPr>
                <w:lang w:val="en-GB"/>
              </w:rPr>
            </w:pPr>
            <w:r w:rsidRPr="0051039E">
              <w:rPr>
                <w:lang w:val="en-GB"/>
              </w:rPr>
              <w:t xml:space="preserve">205 </w:t>
            </w:r>
          </w:p>
        </w:tc>
        <w:tc>
          <w:tcPr>
            <w:tcW w:w="1260" w:type="dxa"/>
            <w:shd w:val="clear" w:color="auto" w:fill="auto"/>
            <w:noWrap/>
            <w:vAlign w:val="center"/>
            <w:hideMark/>
          </w:tcPr>
          <w:p w14:paraId="187D6171" w14:textId="060B7B79" w:rsidR="00D751FB" w:rsidRPr="0051039E" w:rsidRDefault="00D751FB" w:rsidP="000070BB">
            <w:pPr>
              <w:pStyle w:val="ExhibitText"/>
              <w:jc w:val="right"/>
              <w:rPr>
                <w:lang w:val="en-GB"/>
              </w:rPr>
            </w:pPr>
            <w:r w:rsidRPr="0051039E">
              <w:rPr>
                <w:lang w:val="en-GB"/>
              </w:rPr>
              <w:t xml:space="preserve"> (3,363)</w:t>
            </w:r>
          </w:p>
        </w:tc>
        <w:tc>
          <w:tcPr>
            <w:tcW w:w="1260" w:type="dxa"/>
            <w:shd w:val="clear" w:color="auto" w:fill="auto"/>
            <w:noWrap/>
            <w:vAlign w:val="center"/>
            <w:hideMark/>
          </w:tcPr>
          <w:p w14:paraId="1D0FF4A9" w14:textId="018C9393" w:rsidR="00D751FB" w:rsidRPr="0051039E" w:rsidRDefault="00D751FB" w:rsidP="000070BB">
            <w:pPr>
              <w:pStyle w:val="ExhibitText"/>
              <w:jc w:val="right"/>
              <w:rPr>
                <w:lang w:val="en-GB"/>
              </w:rPr>
            </w:pPr>
            <w:r w:rsidRPr="0051039E">
              <w:rPr>
                <w:lang w:val="en-GB"/>
              </w:rPr>
              <w:t xml:space="preserve"> (2,138)</w:t>
            </w:r>
          </w:p>
        </w:tc>
        <w:tc>
          <w:tcPr>
            <w:tcW w:w="1260" w:type="dxa"/>
            <w:shd w:val="clear" w:color="auto" w:fill="auto"/>
            <w:noWrap/>
            <w:vAlign w:val="center"/>
            <w:hideMark/>
          </w:tcPr>
          <w:p w14:paraId="0829AB40" w14:textId="0E29F309" w:rsidR="00D751FB" w:rsidRPr="0051039E" w:rsidRDefault="00D751FB" w:rsidP="000070BB">
            <w:pPr>
              <w:pStyle w:val="ExhibitText"/>
              <w:jc w:val="right"/>
              <w:rPr>
                <w:lang w:val="en-GB"/>
              </w:rPr>
            </w:pPr>
            <w:r w:rsidRPr="0051039E">
              <w:rPr>
                <w:lang w:val="en-GB"/>
              </w:rPr>
              <w:t xml:space="preserve"> (2,414)</w:t>
            </w:r>
          </w:p>
        </w:tc>
      </w:tr>
      <w:tr w:rsidR="00D751FB" w:rsidRPr="0051039E" w14:paraId="66F9AC95" w14:textId="77777777" w:rsidTr="00BF607D">
        <w:trPr>
          <w:trHeight w:val="71"/>
        </w:trPr>
        <w:tc>
          <w:tcPr>
            <w:tcW w:w="3648" w:type="dxa"/>
            <w:shd w:val="clear" w:color="auto" w:fill="auto"/>
            <w:noWrap/>
            <w:vAlign w:val="center"/>
            <w:hideMark/>
          </w:tcPr>
          <w:p w14:paraId="00736A6C" w14:textId="146F57E1" w:rsidR="00D751FB" w:rsidRPr="0051039E" w:rsidRDefault="00D751FB" w:rsidP="000070BB">
            <w:pPr>
              <w:pStyle w:val="ExhibitText"/>
              <w:jc w:val="left"/>
              <w:rPr>
                <w:lang w:val="en-GB"/>
              </w:rPr>
            </w:pPr>
            <w:r w:rsidRPr="0051039E">
              <w:rPr>
                <w:lang w:val="en-GB"/>
              </w:rPr>
              <w:t xml:space="preserve">Net </w:t>
            </w:r>
            <w:r w:rsidR="00CE0483">
              <w:rPr>
                <w:lang w:val="en-GB"/>
              </w:rPr>
              <w:t>c</w:t>
            </w:r>
            <w:r w:rsidRPr="0051039E">
              <w:rPr>
                <w:lang w:val="en-GB"/>
              </w:rPr>
              <w:t xml:space="preserve">ash </w:t>
            </w:r>
            <w:r w:rsidR="00CE0483">
              <w:rPr>
                <w:lang w:val="en-GB"/>
              </w:rPr>
              <w:t>f</w:t>
            </w:r>
            <w:r w:rsidRPr="0051039E">
              <w:rPr>
                <w:lang w:val="en-GB"/>
              </w:rPr>
              <w:t>low</w:t>
            </w:r>
            <w:r w:rsidR="00BF607D">
              <w:rPr>
                <w:lang w:val="en-GB"/>
              </w:rPr>
              <w:t>—</w:t>
            </w:r>
            <w:r w:rsidR="00CE0483">
              <w:rPr>
                <w:lang w:val="en-GB"/>
              </w:rPr>
              <w:t>I</w:t>
            </w:r>
            <w:r w:rsidRPr="0051039E">
              <w:rPr>
                <w:lang w:val="en-GB"/>
              </w:rPr>
              <w:t>nvesting</w:t>
            </w:r>
          </w:p>
        </w:tc>
        <w:tc>
          <w:tcPr>
            <w:tcW w:w="1572" w:type="dxa"/>
            <w:shd w:val="clear" w:color="auto" w:fill="auto"/>
            <w:noWrap/>
            <w:vAlign w:val="center"/>
            <w:hideMark/>
          </w:tcPr>
          <w:p w14:paraId="66C65AF8" w14:textId="09060DE0" w:rsidR="00D751FB" w:rsidRPr="0051039E" w:rsidRDefault="00D751FB" w:rsidP="000070BB">
            <w:pPr>
              <w:pStyle w:val="ExhibitText"/>
              <w:jc w:val="right"/>
              <w:rPr>
                <w:lang w:val="en-GB"/>
              </w:rPr>
            </w:pPr>
            <w:r w:rsidRPr="0051039E">
              <w:rPr>
                <w:lang w:val="en-GB"/>
              </w:rPr>
              <w:t xml:space="preserve"> (20,763)</w:t>
            </w:r>
          </w:p>
        </w:tc>
        <w:tc>
          <w:tcPr>
            <w:tcW w:w="1260" w:type="dxa"/>
            <w:shd w:val="clear" w:color="auto" w:fill="auto"/>
            <w:noWrap/>
            <w:vAlign w:val="center"/>
            <w:hideMark/>
          </w:tcPr>
          <w:p w14:paraId="629CBC9A" w14:textId="484F08F1" w:rsidR="00D751FB" w:rsidRPr="0051039E" w:rsidRDefault="00D751FB" w:rsidP="000070BB">
            <w:pPr>
              <w:pStyle w:val="ExhibitText"/>
              <w:jc w:val="right"/>
              <w:rPr>
                <w:lang w:val="en-GB"/>
              </w:rPr>
            </w:pPr>
            <w:r w:rsidRPr="0051039E">
              <w:rPr>
                <w:lang w:val="en-GB"/>
              </w:rPr>
              <w:t xml:space="preserve"> (27,572)</w:t>
            </w:r>
          </w:p>
        </w:tc>
        <w:tc>
          <w:tcPr>
            <w:tcW w:w="1260" w:type="dxa"/>
            <w:shd w:val="clear" w:color="auto" w:fill="auto"/>
            <w:noWrap/>
            <w:vAlign w:val="center"/>
            <w:hideMark/>
          </w:tcPr>
          <w:p w14:paraId="31FC4374" w14:textId="1B16DE3B" w:rsidR="00D751FB" w:rsidRPr="0051039E" w:rsidRDefault="00D751FB" w:rsidP="000070BB">
            <w:pPr>
              <w:pStyle w:val="ExhibitText"/>
              <w:jc w:val="right"/>
              <w:rPr>
                <w:lang w:val="en-GB"/>
              </w:rPr>
            </w:pPr>
            <w:r w:rsidRPr="0051039E">
              <w:rPr>
                <w:lang w:val="en-GB"/>
              </w:rPr>
              <w:t xml:space="preserve"> (35,643)</w:t>
            </w:r>
          </w:p>
        </w:tc>
        <w:tc>
          <w:tcPr>
            <w:tcW w:w="1260" w:type="dxa"/>
            <w:shd w:val="clear" w:color="auto" w:fill="auto"/>
            <w:noWrap/>
            <w:vAlign w:val="center"/>
            <w:hideMark/>
          </w:tcPr>
          <w:p w14:paraId="35B47502" w14:textId="575842F7" w:rsidR="00D751FB" w:rsidRPr="0051039E" w:rsidRDefault="00D751FB" w:rsidP="000070BB">
            <w:pPr>
              <w:pStyle w:val="ExhibitText"/>
              <w:jc w:val="right"/>
              <w:rPr>
                <w:lang w:val="en-GB"/>
              </w:rPr>
            </w:pPr>
            <w:r w:rsidRPr="0051039E">
              <w:rPr>
                <w:lang w:val="en-GB"/>
              </w:rPr>
              <w:t xml:space="preserve"> (27,710)</w:t>
            </w:r>
          </w:p>
        </w:tc>
      </w:tr>
      <w:tr w:rsidR="00D751FB" w:rsidRPr="0051039E" w14:paraId="631D7FC1" w14:textId="77777777" w:rsidTr="00BF607D">
        <w:trPr>
          <w:trHeight w:val="188"/>
        </w:trPr>
        <w:tc>
          <w:tcPr>
            <w:tcW w:w="3648" w:type="dxa"/>
            <w:shd w:val="clear" w:color="auto" w:fill="auto"/>
            <w:noWrap/>
            <w:vAlign w:val="center"/>
            <w:hideMark/>
          </w:tcPr>
          <w:p w14:paraId="135ECEB0" w14:textId="08268A63" w:rsidR="00D751FB" w:rsidRPr="00152AE1" w:rsidRDefault="00D751FB" w:rsidP="000070BB">
            <w:pPr>
              <w:pStyle w:val="ExhibitText"/>
              <w:jc w:val="left"/>
              <w:rPr>
                <w:b/>
                <w:lang w:val="en-GB"/>
              </w:rPr>
            </w:pPr>
            <w:r w:rsidRPr="00152AE1">
              <w:rPr>
                <w:b/>
                <w:lang w:val="en-GB"/>
              </w:rPr>
              <w:t xml:space="preserve">Cash </w:t>
            </w:r>
            <w:r w:rsidR="00CE0483" w:rsidRPr="00152AE1">
              <w:rPr>
                <w:b/>
                <w:lang w:val="en-GB"/>
              </w:rPr>
              <w:t>f</w:t>
            </w:r>
            <w:r w:rsidRPr="00152AE1">
              <w:rPr>
                <w:b/>
                <w:lang w:val="en-GB"/>
              </w:rPr>
              <w:t>lows</w:t>
            </w:r>
            <w:r w:rsidR="00BF607D" w:rsidRPr="00152AE1">
              <w:rPr>
                <w:b/>
                <w:lang w:val="en-GB"/>
              </w:rPr>
              <w:t>—</w:t>
            </w:r>
            <w:r w:rsidRPr="00152AE1">
              <w:rPr>
                <w:b/>
                <w:lang w:val="en-GB"/>
              </w:rPr>
              <w:t xml:space="preserve">Financing </w:t>
            </w:r>
            <w:r w:rsidR="00CE0483" w:rsidRPr="00152AE1">
              <w:rPr>
                <w:b/>
                <w:lang w:val="en-GB"/>
              </w:rPr>
              <w:t>a</w:t>
            </w:r>
            <w:r w:rsidRPr="00152AE1">
              <w:rPr>
                <w:b/>
                <w:lang w:val="en-GB"/>
              </w:rPr>
              <w:t>ctivities</w:t>
            </w:r>
          </w:p>
        </w:tc>
        <w:tc>
          <w:tcPr>
            <w:tcW w:w="1572" w:type="dxa"/>
            <w:shd w:val="clear" w:color="auto" w:fill="auto"/>
            <w:noWrap/>
            <w:vAlign w:val="center"/>
            <w:hideMark/>
          </w:tcPr>
          <w:p w14:paraId="372BE166" w14:textId="77777777" w:rsidR="00D751FB" w:rsidRPr="0051039E" w:rsidRDefault="00D751FB" w:rsidP="000070BB">
            <w:pPr>
              <w:pStyle w:val="ExhibitText"/>
              <w:jc w:val="right"/>
              <w:rPr>
                <w:lang w:val="en-GB"/>
              </w:rPr>
            </w:pPr>
            <w:r w:rsidRPr="0051039E">
              <w:rPr>
                <w:lang w:val="en-GB"/>
              </w:rPr>
              <w:t> </w:t>
            </w:r>
          </w:p>
        </w:tc>
        <w:tc>
          <w:tcPr>
            <w:tcW w:w="1260" w:type="dxa"/>
            <w:shd w:val="clear" w:color="auto" w:fill="auto"/>
            <w:noWrap/>
            <w:vAlign w:val="center"/>
            <w:hideMark/>
          </w:tcPr>
          <w:p w14:paraId="2972C705" w14:textId="77777777" w:rsidR="00D751FB" w:rsidRPr="0051039E" w:rsidRDefault="00D751FB" w:rsidP="000070BB">
            <w:pPr>
              <w:pStyle w:val="ExhibitText"/>
              <w:jc w:val="right"/>
              <w:rPr>
                <w:lang w:val="en-GB"/>
              </w:rPr>
            </w:pPr>
          </w:p>
        </w:tc>
        <w:tc>
          <w:tcPr>
            <w:tcW w:w="1260" w:type="dxa"/>
            <w:shd w:val="clear" w:color="auto" w:fill="auto"/>
            <w:noWrap/>
            <w:vAlign w:val="center"/>
            <w:hideMark/>
          </w:tcPr>
          <w:p w14:paraId="3349D0CD" w14:textId="77777777" w:rsidR="00D751FB" w:rsidRPr="0051039E" w:rsidRDefault="00D751FB" w:rsidP="000070BB">
            <w:pPr>
              <w:pStyle w:val="ExhibitText"/>
              <w:jc w:val="right"/>
              <w:rPr>
                <w:lang w:val="en-GB"/>
              </w:rPr>
            </w:pPr>
          </w:p>
        </w:tc>
        <w:tc>
          <w:tcPr>
            <w:tcW w:w="1260" w:type="dxa"/>
            <w:shd w:val="clear" w:color="auto" w:fill="auto"/>
            <w:noWrap/>
            <w:vAlign w:val="center"/>
            <w:hideMark/>
          </w:tcPr>
          <w:p w14:paraId="31DC14FA" w14:textId="77777777" w:rsidR="00D751FB" w:rsidRPr="0051039E" w:rsidRDefault="00D751FB" w:rsidP="000070BB">
            <w:pPr>
              <w:pStyle w:val="ExhibitText"/>
              <w:jc w:val="right"/>
              <w:rPr>
                <w:lang w:val="en-GB"/>
              </w:rPr>
            </w:pPr>
            <w:r w:rsidRPr="0051039E">
              <w:rPr>
                <w:lang w:val="en-GB"/>
              </w:rPr>
              <w:t> </w:t>
            </w:r>
          </w:p>
        </w:tc>
      </w:tr>
      <w:tr w:rsidR="00D751FB" w:rsidRPr="0051039E" w14:paraId="2D481223" w14:textId="77777777" w:rsidTr="00BF607D">
        <w:trPr>
          <w:trHeight w:val="56"/>
        </w:trPr>
        <w:tc>
          <w:tcPr>
            <w:tcW w:w="3648" w:type="dxa"/>
            <w:shd w:val="clear" w:color="auto" w:fill="auto"/>
            <w:noWrap/>
            <w:vAlign w:val="center"/>
            <w:hideMark/>
          </w:tcPr>
          <w:p w14:paraId="7DBAED25" w14:textId="5A7F00E3" w:rsidR="00D751FB" w:rsidRPr="0051039E" w:rsidRDefault="00D751FB" w:rsidP="000070BB">
            <w:pPr>
              <w:pStyle w:val="ExhibitText"/>
              <w:jc w:val="left"/>
              <w:rPr>
                <w:lang w:val="en-GB"/>
              </w:rPr>
            </w:pPr>
            <w:r w:rsidRPr="0051039E">
              <w:rPr>
                <w:lang w:val="en-GB"/>
              </w:rPr>
              <w:t xml:space="preserve">Sale and </w:t>
            </w:r>
            <w:r w:rsidR="00CE0483">
              <w:rPr>
                <w:lang w:val="en-GB"/>
              </w:rPr>
              <w:t>p</w:t>
            </w:r>
            <w:r w:rsidRPr="0051039E">
              <w:rPr>
                <w:lang w:val="en-GB"/>
              </w:rPr>
              <w:t xml:space="preserve">urchase of </w:t>
            </w:r>
            <w:r w:rsidR="00CE0483">
              <w:rPr>
                <w:lang w:val="en-GB"/>
              </w:rPr>
              <w:t>s</w:t>
            </w:r>
            <w:r w:rsidRPr="0051039E">
              <w:rPr>
                <w:lang w:val="en-GB"/>
              </w:rPr>
              <w:t>tock</w:t>
            </w:r>
          </w:p>
        </w:tc>
        <w:tc>
          <w:tcPr>
            <w:tcW w:w="1572" w:type="dxa"/>
            <w:shd w:val="clear" w:color="auto" w:fill="auto"/>
            <w:noWrap/>
            <w:vAlign w:val="center"/>
            <w:hideMark/>
          </w:tcPr>
          <w:p w14:paraId="0728A313" w14:textId="7C00D50F" w:rsidR="00D751FB" w:rsidRPr="0051039E" w:rsidRDefault="00D751FB" w:rsidP="000070BB">
            <w:pPr>
              <w:pStyle w:val="ExhibitText"/>
              <w:jc w:val="right"/>
              <w:rPr>
                <w:lang w:val="en-GB"/>
              </w:rPr>
            </w:pPr>
            <w:r w:rsidRPr="0051039E">
              <w:rPr>
                <w:lang w:val="en-GB"/>
              </w:rPr>
              <w:t xml:space="preserve">2,672 </w:t>
            </w:r>
          </w:p>
        </w:tc>
        <w:tc>
          <w:tcPr>
            <w:tcW w:w="1260" w:type="dxa"/>
            <w:shd w:val="clear" w:color="auto" w:fill="auto"/>
            <w:noWrap/>
            <w:vAlign w:val="center"/>
            <w:hideMark/>
          </w:tcPr>
          <w:p w14:paraId="3D04C27B" w14:textId="46FA8D9F" w:rsidR="00D751FB" w:rsidRPr="0051039E" w:rsidRDefault="00D751FB" w:rsidP="000070BB">
            <w:pPr>
              <w:pStyle w:val="ExhibitText"/>
              <w:jc w:val="right"/>
              <w:rPr>
                <w:lang w:val="en-GB"/>
              </w:rPr>
            </w:pPr>
            <w:r w:rsidRPr="0051039E">
              <w:rPr>
                <w:lang w:val="en-GB"/>
              </w:rPr>
              <w:t>(3,507)</w:t>
            </w:r>
          </w:p>
        </w:tc>
        <w:tc>
          <w:tcPr>
            <w:tcW w:w="1260" w:type="dxa"/>
            <w:shd w:val="clear" w:color="auto" w:fill="auto"/>
            <w:noWrap/>
            <w:vAlign w:val="center"/>
            <w:hideMark/>
          </w:tcPr>
          <w:p w14:paraId="7AA5B375" w14:textId="1517D944" w:rsidR="00D751FB" w:rsidRPr="0051039E" w:rsidRDefault="00D751FB" w:rsidP="000070BB">
            <w:pPr>
              <w:pStyle w:val="ExhibitText"/>
              <w:jc w:val="right"/>
              <w:rPr>
                <w:lang w:val="en-GB"/>
              </w:rPr>
            </w:pPr>
            <w:r w:rsidRPr="0051039E">
              <w:rPr>
                <w:lang w:val="en-GB"/>
              </w:rPr>
              <w:t>(2,500)</w:t>
            </w:r>
          </w:p>
        </w:tc>
        <w:tc>
          <w:tcPr>
            <w:tcW w:w="1260" w:type="dxa"/>
            <w:shd w:val="clear" w:color="auto" w:fill="auto"/>
            <w:noWrap/>
            <w:vAlign w:val="center"/>
            <w:hideMark/>
          </w:tcPr>
          <w:p w14:paraId="41E29A59" w14:textId="69CFEA25" w:rsidR="00D751FB" w:rsidRPr="0051039E" w:rsidRDefault="00D751FB" w:rsidP="000070BB">
            <w:pPr>
              <w:pStyle w:val="ExhibitText"/>
              <w:jc w:val="right"/>
              <w:rPr>
                <w:lang w:val="en-GB"/>
              </w:rPr>
            </w:pPr>
            <w:r w:rsidRPr="0051039E">
              <w:rPr>
                <w:lang w:val="en-GB"/>
              </w:rPr>
              <w:t xml:space="preserve"> (3,520)</w:t>
            </w:r>
          </w:p>
        </w:tc>
      </w:tr>
      <w:tr w:rsidR="00D751FB" w:rsidRPr="0051039E" w14:paraId="21257D7E" w14:textId="77777777" w:rsidTr="00BF607D">
        <w:trPr>
          <w:trHeight w:val="71"/>
        </w:trPr>
        <w:tc>
          <w:tcPr>
            <w:tcW w:w="3648" w:type="dxa"/>
            <w:shd w:val="clear" w:color="auto" w:fill="auto"/>
            <w:noWrap/>
            <w:vAlign w:val="center"/>
            <w:hideMark/>
          </w:tcPr>
          <w:p w14:paraId="40EC9F55" w14:textId="5551DC94" w:rsidR="00D751FB" w:rsidRPr="0051039E" w:rsidRDefault="00D751FB" w:rsidP="000070BB">
            <w:pPr>
              <w:pStyle w:val="ExhibitText"/>
              <w:jc w:val="left"/>
              <w:rPr>
                <w:lang w:val="en-GB"/>
              </w:rPr>
            </w:pPr>
            <w:r w:rsidRPr="0051039E">
              <w:rPr>
                <w:lang w:val="en-GB"/>
              </w:rPr>
              <w:t xml:space="preserve">Net </w:t>
            </w:r>
            <w:r w:rsidR="00CE0483">
              <w:rPr>
                <w:lang w:val="en-GB"/>
              </w:rPr>
              <w:t>b</w:t>
            </w:r>
            <w:r w:rsidRPr="0051039E">
              <w:rPr>
                <w:lang w:val="en-GB"/>
              </w:rPr>
              <w:t>orrowings</w:t>
            </w:r>
          </w:p>
        </w:tc>
        <w:tc>
          <w:tcPr>
            <w:tcW w:w="1572" w:type="dxa"/>
            <w:shd w:val="clear" w:color="auto" w:fill="auto"/>
            <w:noWrap/>
            <w:vAlign w:val="center"/>
            <w:hideMark/>
          </w:tcPr>
          <w:p w14:paraId="50A958D1" w14:textId="4EF6CAA3" w:rsidR="00D751FB" w:rsidRPr="0051039E" w:rsidRDefault="00D751FB" w:rsidP="000070BB">
            <w:pPr>
              <w:pStyle w:val="ExhibitText"/>
              <w:jc w:val="right"/>
              <w:rPr>
                <w:lang w:val="en-GB"/>
              </w:rPr>
            </w:pPr>
            <w:r w:rsidRPr="0051039E">
              <w:rPr>
                <w:lang w:val="en-GB"/>
              </w:rPr>
              <w:t xml:space="preserve">11,664 </w:t>
            </w:r>
          </w:p>
        </w:tc>
        <w:tc>
          <w:tcPr>
            <w:tcW w:w="1260" w:type="dxa"/>
            <w:shd w:val="clear" w:color="auto" w:fill="auto"/>
            <w:noWrap/>
            <w:vAlign w:val="center"/>
            <w:hideMark/>
          </w:tcPr>
          <w:p w14:paraId="0BC13B12" w14:textId="6CC8AD3F" w:rsidR="00D751FB" w:rsidRPr="0051039E" w:rsidRDefault="00D751FB" w:rsidP="000070BB">
            <w:pPr>
              <w:pStyle w:val="ExhibitText"/>
              <w:jc w:val="right"/>
              <w:rPr>
                <w:lang w:val="en-GB"/>
              </w:rPr>
            </w:pPr>
            <w:r w:rsidRPr="0051039E">
              <w:rPr>
                <w:lang w:val="en-GB"/>
              </w:rPr>
              <w:t xml:space="preserve">18,455 </w:t>
            </w:r>
          </w:p>
        </w:tc>
        <w:tc>
          <w:tcPr>
            <w:tcW w:w="1260" w:type="dxa"/>
            <w:shd w:val="clear" w:color="auto" w:fill="auto"/>
            <w:noWrap/>
            <w:vAlign w:val="center"/>
            <w:hideMark/>
          </w:tcPr>
          <w:p w14:paraId="0F03DFA8" w14:textId="69AB4883" w:rsidR="00D751FB" w:rsidRPr="0051039E" w:rsidRDefault="00D751FB" w:rsidP="000070BB">
            <w:pPr>
              <w:pStyle w:val="ExhibitText"/>
              <w:jc w:val="right"/>
              <w:rPr>
                <w:lang w:val="en-GB"/>
              </w:rPr>
            </w:pPr>
            <w:r w:rsidRPr="0051039E">
              <w:rPr>
                <w:lang w:val="en-GB"/>
              </w:rPr>
              <w:t xml:space="preserve">21,027 </w:t>
            </w:r>
          </w:p>
        </w:tc>
        <w:tc>
          <w:tcPr>
            <w:tcW w:w="1260" w:type="dxa"/>
            <w:shd w:val="clear" w:color="auto" w:fill="auto"/>
            <w:noWrap/>
            <w:vAlign w:val="center"/>
            <w:hideMark/>
          </w:tcPr>
          <w:p w14:paraId="22A7F9C3" w14:textId="6856810E" w:rsidR="00D751FB" w:rsidRPr="0051039E" w:rsidRDefault="00D751FB" w:rsidP="000070BB">
            <w:pPr>
              <w:pStyle w:val="ExhibitText"/>
              <w:jc w:val="right"/>
              <w:rPr>
                <w:lang w:val="en-GB"/>
              </w:rPr>
            </w:pPr>
            <w:r w:rsidRPr="0051039E">
              <w:rPr>
                <w:lang w:val="en-GB"/>
              </w:rPr>
              <w:t xml:space="preserve"> 18,017 </w:t>
            </w:r>
          </w:p>
        </w:tc>
      </w:tr>
      <w:tr w:rsidR="00D751FB" w:rsidRPr="0051039E" w14:paraId="291A933C" w14:textId="77777777" w:rsidTr="00BF607D">
        <w:trPr>
          <w:trHeight w:val="56"/>
        </w:trPr>
        <w:tc>
          <w:tcPr>
            <w:tcW w:w="3648" w:type="dxa"/>
            <w:shd w:val="clear" w:color="auto" w:fill="auto"/>
            <w:noWrap/>
            <w:vAlign w:val="center"/>
            <w:hideMark/>
          </w:tcPr>
          <w:p w14:paraId="364C0179" w14:textId="3E1A2AA2" w:rsidR="00D751FB" w:rsidRPr="0051039E" w:rsidRDefault="00D751FB" w:rsidP="000070BB">
            <w:pPr>
              <w:pStyle w:val="ExhibitText"/>
              <w:jc w:val="left"/>
              <w:rPr>
                <w:lang w:val="en-GB"/>
              </w:rPr>
            </w:pPr>
            <w:r w:rsidRPr="0051039E">
              <w:rPr>
                <w:lang w:val="en-GB"/>
              </w:rPr>
              <w:t xml:space="preserve">Other </w:t>
            </w:r>
            <w:r w:rsidR="00CE0483">
              <w:rPr>
                <w:lang w:val="en-GB"/>
              </w:rPr>
              <w:t>f</w:t>
            </w:r>
            <w:r w:rsidRPr="0051039E">
              <w:rPr>
                <w:lang w:val="en-GB"/>
              </w:rPr>
              <w:t xml:space="preserve">inancing </w:t>
            </w:r>
            <w:r w:rsidR="00CE0483">
              <w:rPr>
                <w:lang w:val="en-GB"/>
              </w:rPr>
              <w:t>a</w:t>
            </w:r>
            <w:r w:rsidRPr="0051039E">
              <w:rPr>
                <w:lang w:val="en-GB"/>
              </w:rPr>
              <w:t>ctivities</w:t>
            </w:r>
          </w:p>
        </w:tc>
        <w:tc>
          <w:tcPr>
            <w:tcW w:w="1572" w:type="dxa"/>
            <w:shd w:val="clear" w:color="auto" w:fill="auto"/>
            <w:noWrap/>
            <w:vAlign w:val="center"/>
            <w:hideMark/>
          </w:tcPr>
          <w:p w14:paraId="1CE1495D" w14:textId="6B09C8E4" w:rsidR="00D751FB" w:rsidRPr="0051039E" w:rsidRDefault="00D751FB" w:rsidP="000070BB">
            <w:pPr>
              <w:pStyle w:val="ExhibitText"/>
              <w:jc w:val="right"/>
              <w:rPr>
                <w:lang w:val="en-GB"/>
              </w:rPr>
            </w:pPr>
            <w:r w:rsidRPr="0051039E">
              <w:rPr>
                <w:lang w:val="en-GB"/>
              </w:rPr>
              <w:t>(640)</w:t>
            </w:r>
          </w:p>
        </w:tc>
        <w:tc>
          <w:tcPr>
            <w:tcW w:w="1260" w:type="dxa"/>
            <w:shd w:val="clear" w:color="auto" w:fill="auto"/>
            <w:noWrap/>
            <w:vAlign w:val="center"/>
            <w:hideMark/>
          </w:tcPr>
          <w:p w14:paraId="09C8366D" w14:textId="716CC3F8" w:rsidR="00D751FB" w:rsidRPr="0051039E" w:rsidRDefault="00D751FB" w:rsidP="000070BB">
            <w:pPr>
              <w:pStyle w:val="ExhibitText"/>
              <w:jc w:val="right"/>
              <w:rPr>
                <w:lang w:val="en-GB"/>
              </w:rPr>
            </w:pPr>
            <w:r w:rsidRPr="0051039E">
              <w:rPr>
                <w:lang w:val="en-GB"/>
              </w:rPr>
              <w:t>(131)</w:t>
            </w:r>
          </w:p>
        </w:tc>
        <w:tc>
          <w:tcPr>
            <w:tcW w:w="1260" w:type="dxa"/>
            <w:shd w:val="clear" w:color="auto" w:fill="auto"/>
            <w:noWrap/>
            <w:vAlign w:val="center"/>
            <w:hideMark/>
          </w:tcPr>
          <w:p w14:paraId="60DCAB91" w14:textId="74A6E5B8" w:rsidR="00D751FB" w:rsidRPr="0051039E" w:rsidRDefault="00D751FB" w:rsidP="000070BB">
            <w:pPr>
              <w:pStyle w:val="ExhibitText"/>
              <w:jc w:val="right"/>
              <w:rPr>
                <w:lang w:val="en-GB"/>
              </w:rPr>
            </w:pPr>
            <w:r w:rsidRPr="0051039E">
              <w:rPr>
                <w:lang w:val="en-GB"/>
              </w:rPr>
              <w:t xml:space="preserve"> 918 </w:t>
            </w:r>
          </w:p>
        </w:tc>
        <w:tc>
          <w:tcPr>
            <w:tcW w:w="1260" w:type="dxa"/>
            <w:shd w:val="clear" w:color="auto" w:fill="auto"/>
            <w:noWrap/>
            <w:vAlign w:val="center"/>
            <w:hideMark/>
          </w:tcPr>
          <w:p w14:paraId="0CAECDD1" w14:textId="41C7C1F3" w:rsidR="00D751FB" w:rsidRPr="0051039E" w:rsidRDefault="00D751FB" w:rsidP="000070BB">
            <w:pPr>
              <w:pStyle w:val="ExhibitText"/>
              <w:jc w:val="right"/>
              <w:rPr>
                <w:lang w:val="en-GB"/>
              </w:rPr>
            </w:pPr>
            <w:r w:rsidRPr="0051039E">
              <w:rPr>
                <w:lang w:val="en-GB"/>
              </w:rPr>
              <w:t xml:space="preserve"> 1,353 </w:t>
            </w:r>
          </w:p>
        </w:tc>
      </w:tr>
      <w:tr w:rsidR="00D751FB" w:rsidRPr="0051039E" w14:paraId="217ACB31" w14:textId="77777777" w:rsidTr="00BF607D">
        <w:trPr>
          <w:trHeight w:val="134"/>
        </w:trPr>
        <w:tc>
          <w:tcPr>
            <w:tcW w:w="3648" w:type="dxa"/>
            <w:shd w:val="clear" w:color="auto" w:fill="auto"/>
            <w:noWrap/>
            <w:vAlign w:val="center"/>
            <w:hideMark/>
          </w:tcPr>
          <w:p w14:paraId="7B8F2322" w14:textId="60E8D4E4" w:rsidR="00D751FB" w:rsidRPr="0051039E" w:rsidRDefault="00D751FB" w:rsidP="000070BB">
            <w:pPr>
              <w:pStyle w:val="ExhibitText"/>
              <w:jc w:val="left"/>
              <w:rPr>
                <w:lang w:val="en-GB"/>
              </w:rPr>
            </w:pPr>
            <w:r w:rsidRPr="0051039E">
              <w:rPr>
                <w:lang w:val="en-GB"/>
              </w:rPr>
              <w:t xml:space="preserve">Net </w:t>
            </w:r>
            <w:r w:rsidR="00CE0483">
              <w:rPr>
                <w:lang w:val="en-GB"/>
              </w:rPr>
              <w:t>c</w:t>
            </w:r>
            <w:r w:rsidRPr="0051039E">
              <w:rPr>
                <w:lang w:val="en-GB"/>
              </w:rPr>
              <w:t xml:space="preserve">ash </w:t>
            </w:r>
            <w:r w:rsidR="00CE0483">
              <w:rPr>
                <w:lang w:val="en-GB"/>
              </w:rPr>
              <w:t>f</w:t>
            </w:r>
            <w:r w:rsidRPr="0051039E">
              <w:rPr>
                <w:lang w:val="en-GB"/>
              </w:rPr>
              <w:t>low</w:t>
            </w:r>
            <w:r w:rsidR="00BF607D">
              <w:rPr>
                <w:lang w:val="en-GB"/>
              </w:rPr>
              <w:t>—</w:t>
            </w:r>
            <w:r w:rsidRPr="0051039E">
              <w:rPr>
                <w:lang w:val="en-GB"/>
              </w:rPr>
              <w:t>Financing</w:t>
            </w:r>
          </w:p>
        </w:tc>
        <w:tc>
          <w:tcPr>
            <w:tcW w:w="1572" w:type="dxa"/>
            <w:shd w:val="clear" w:color="auto" w:fill="auto"/>
            <w:noWrap/>
            <w:vAlign w:val="center"/>
            <w:hideMark/>
          </w:tcPr>
          <w:p w14:paraId="3D43D45A" w14:textId="2D8C5A7A" w:rsidR="00D751FB" w:rsidRPr="0051039E" w:rsidRDefault="00D751FB" w:rsidP="000070BB">
            <w:pPr>
              <w:pStyle w:val="ExhibitText"/>
              <w:jc w:val="right"/>
              <w:rPr>
                <w:lang w:val="en-GB"/>
              </w:rPr>
            </w:pPr>
            <w:r w:rsidRPr="0051039E">
              <w:rPr>
                <w:lang w:val="en-GB"/>
              </w:rPr>
              <w:t xml:space="preserve"> 11,454 </w:t>
            </w:r>
          </w:p>
        </w:tc>
        <w:tc>
          <w:tcPr>
            <w:tcW w:w="1260" w:type="dxa"/>
            <w:shd w:val="clear" w:color="auto" w:fill="auto"/>
            <w:noWrap/>
            <w:vAlign w:val="center"/>
            <w:hideMark/>
          </w:tcPr>
          <w:p w14:paraId="6E36440E" w14:textId="276855BB" w:rsidR="00D751FB" w:rsidRPr="0051039E" w:rsidRDefault="00D751FB" w:rsidP="000070BB">
            <w:pPr>
              <w:pStyle w:val="ExhibitText"/>
              <w:jc w:val="right"/>
              <w:rPr>
                <w:lang w:val="en-GB"/>
              </w:rPr>
            </w:pPr>
            <w:r w:rsidRPr="0051039E">
              <w:rPr>
                <w:lang w:val="en-GB"/>
              </w:rPr>
              <w:t xml:space="preserve">12,584 </w:t>
            </w:r>
          </w:p>
        </w:tc>
        <w:tc>
          <w:tcPr>
            <w:tcW w:w="1260" w:type="dxa"/>
            <w:shd w:val="clear" w:color="auto" w:fill="auto"/>
            <w:noWrap/>
            <w:vAlign w:val="center"/>
            <w:hideMark/>
          </w:tcPr>
          <w:p w14:paraId="32DDB23E" w14:textId="68ADA13A" w:rsidR="00D751FB" w:rsidRPr="0051039E" w:rsidRDefault="00D751FB" w:rsidP="000070BB">
            <w:pPr>
              <w:pStyle w:val="ExhibitText"/>
              <w:jc w:val="right"/>
              <w:rPr>
                <w:lang w:val="en-GB"/>
              </w:rPr>
            </w:pPr>
            <w:r w:rsidRPr="0051039E">
              <w:rPr>
                <w:lang w:val="en-GB"/>
              </w:rPr>
              <w:t xml:space="preserve">17,077 </w:t>
            </w:r>
          </w:p>
        </w:tc>
        <w:tc>
          <w:tcPr>
            <w:tcW w:w="1260" w:type="dxa"/>
            <w:shd w:val="clear" w:color="auto" w:fill="auto"/>
            <w:noWrap/>
            <w:vAlign w:val="center"/>
            <w:hideMark/>
          </w:tcPr>
          <w:p w14:paraId="7E0BB063" w14:textId="7C77D368" w:rsidR="00D751FB" w:rsidRPr="0051039E" w:rsidRDefault="00D751FB" w:rsidP="000070BB">
            <w:pPr>
              <w:pStyle w:val="ExhibitText"/>
              <w:jc w:val="right"/>
              <w:rPr>
                <w:lang w:val="en-GB"/>
              </w:rPr>
            </w:pPr>
            <w:r w:rsidRPr="0051039E">
              <w:rPr>
                <w:lang w:val="en-GB"/>
              </w:rPr>
              <w:t xml:space="preserve"> 13,608 </w:t>
            </w:r>
          </w:p>
        </w:tc>
      </w:tr>
      <w:tr w:rsidR="00D751FB" w:rsidRPr="0051039E" w14:paraId="380382C1" w14:textId="77777777" w:rsidTr="00904E29">
        <w:trPr>
          <w:trHeight w:val="161"/>
        </w:trPr>
        <w:tc>
          <w:tcPr>
            <w:tcW w:w="3648" w:type="dxa"/>
            <w:tcBorders>
              <w:bottom w:val="single" w:sz="4" w:space="0" w:color="auto"/>
            </w:tcBorders>
            <w:shd w:val="clear" w:color="auto" w:fill="auto"/>
            <w:noWrap/>
            <w:vAlign w:val="center"/>
            <w:hideMark/>
          </w:tcPr>
          <w:p w14:paraId="7ED1C8C6" w14:textId="1D19DA50" w:rsidR="00D751FB" w:rsidRPr="0051039E" w:rsidRDefault="00D751FB" w:rsidP="000070BB">
            <w:pPr>
              <w:pStyle w:val="ExhibitText"/>
              <w:jc w:val="left"/>
              <w:rPr>
                <w:lang w:val="en-GB"/>
              </w:rPr>
            </w:pPr>
            <w:r w:rsidRPr="0051039E">
              <w:rPr>
                <w:lang w:val="en-GB"/>
              </w:rPr>
              <w:t xml:space="preserve">Effect of </w:t>
            </w:r>
            <w:r w:rsidR="00CE0483">
              <w:rPr>
                <w:lang w:val="en-GB"/>
              </w:rPr>
              <w:t>e</w:t>
            </w:r>
            <w:r w:rsidRPr="0051039E">
              <w:rPr>
                <w:lang w:val="en-GB"/>
              </w:rPr>
              <w:t xml:space="preserve">xchange </w:t>
            </w:r>
            <w:r w:rsidR="00CE0483">
              <w:rPr>
                <w:lang w:val="en-GB"/>
              </w:rPr>
              <w:t>r</w:t>
            </w:r>
            <w:r w:rsidRPr="0051039E">
              <w:rPr>
                <w:lang w:val="en-GB"/>
              </w:rPr>
              <w:t>ates</w:t>
            </w:r>
          </w:p>
        </w:tc>
        <w:tc>
          <w:tcPr>
            <w:tcW w:w="1572" w:type="dxa"/>
            <w:tcBorders>
              <w:bottom w:val="single" w:sz="4" w:space="0" w:color="auto"/>
            </w:tcBorders>
            <w:shd w:val="clear" w:color="auto" w:fill="auto"/>
            <w:noWrap/>
            <w:vAlign w:val="center"/>
            <w:hideMark/>
          </w:tcPr>
          <w:p w14:paraId="51105A0D" w14:textId="680F140C" w:rsidR="00D751FB" w:rsidRPr="0051039E" w:rsidRDefault="00D751FB" w:rsidP="000070BB">
            <w:pPr>
              <w:pStyle w:val="ExhibitText"/>
              <w:jc w:val="right"/>
              <w:rPr>
                <w:lang w:val="en-GB"/>
              </w:rPr>
            </w:pPr>
            <w:r w:rsidRPr="0051039E">
              <w:rPr>
                <w:lang w:val="en-GB"/>
              </w:rPr>
              <w:t xml:space="preserve"> (299)</w:t>
            </w:r>
          </w:p>
        </w:tc>
        <w:tc>
          <w:tcPr>
            <w:tcW w:w="1260" w:type="dxa"/>
            <w:tcBorders>
              <w:bottom w:val="single" w:sz="4" w:space="0" w:color="auto"/>
            </w:tcBorders>
            <w:shd w:val="clear" w:color="auto" w:fill="auto"/>
            <w:noWrap/>
            <w:vAlign w:val="center"/>
            <w:hideMark/>
          </w:tcPr>
          <w:p w14:paraId="7B5B83F4" w14:textId="2580F25E" w:rsidR="00D751FB" w:rsidRPr="0051039E" w:rsidRDefault="00D751FB" w:rsidP="000070BB">
            <w:pPr>
              <w:pStyle w:val="ExhibitText"/>
              <w:jc w:val="right"/>
              <w:rPr>
                <w:lang w:val="en-GB"/>
              </w:rPr>
            </w:pPr>
            <w:r w:rsidRPr="0051039E">
              <w:rPr>
                <w:lang w:val="en-GB"/>
              </w:rPr>
              <w:t xml:space="preserve"> 348 </w:t>
            </w:r>
          </w:p>
        </w:tc>
        <w:tc>
          <w:tcPr>
            <w:tcW w:w="1260" w:type="dxa"/>
            <w:tcBorders>
              <w:bottom w:val="single" w:sz="4" w:space="0" w:color="auto"/>
            </w:tcBorders>
            <w:shd w:val="clear" w:color="auto" w:fill="auto"/>
            <w:noWrap/>
            <w:vAlign w:val="center"/>
            <w:hideMark/>
          </w:tcPr>
          <w:p w14:paraId="00E222AD" w14:textId="0B144660" w:rsidR="00D751FB" w:rsidRPr="0051039E" w:rsidRDefault="00D751FB" w:rsidP="000070BB">
            <w:pPr>
              <w:pStyle w:val="ExhibitText"/>
              <w:jc w:val="right"/>
              <w:rPr>
                <w:lang w:val="en-GB"/>
              </w:rPr>
            </w:pPr>
            <w:r w:rsidRPr="0051039E">
              <w:rPr>
                <w:lang w:val="en-GB"/>
              </w:rPr>
              <w:t xml:space="preserve"> (213)</w:t>
            </w:r>
          </w:p>
        </w:tc>
        <w:tc>
          <w:tcPr>
            <w:tcW w:w="1260" w:type="dxa"/>
            <w:tcBorders>
              <w:bottom w:val="single" w:sz="4" w:space="0" w:color="auto"/>
            </w:tcBorders>
            <w:shd w:val="clear" w:color="auto" w:fill="auto"/>
            <w:noWrap/>
            <w:vAlign w:val="center"/>
            <w:hideMark/>
          </w:tcPr>
          <w:p w14:paraId="7E590436" w14:textId="23DC997C" w:rsidR="00D751FB" w:rsidRPr="0051039E" w:rsidRDefault="00D751FB" w:rsidP="000070BB">
            <w:pPr>
              <w:pStyle w:val="ExhibitText"/>
              <w:jc w:val="right"/>
              <w:rPr>
                <w:lang w:val="en-GB"/>
              </w:rPr>
            </w:pPr>
            <w:r w:rsidRPr="0051039E">
              <w:rPr>
                <w:lang w:val="en-GB"/>
              </w:rPr>
              <w:t xml:space="preserve"> (1,524)</w:t>
            </w:r>
          </w:p>
        </w:tc>
      </w:tr>
      <w:tr w:rsidR="00D751FB" w:rsidRPr="0051039E" w14:paraId="692E5D0F" w14:textId="77777777" w:rsidTr="00904E29">
        <w:trPr>
          <w:trHeight w:val="98"/>
        </w:trPr>
        <w:tc>
          <w:tcPr>
            <w:tcW w:w="3648" w:type="dxa"/>
            <w:tcBorders>
              <w:bottom w:val="single" w:sz="4" w:space="0" w:color="auto"/>
            </w:tcBorders>
            <w:shd w:val="clear" w:color="auto" w:fill="auto"/>
            <w:noWrap/>
            <w:vAlign w:val="center"/>
            <w:hideMark/>
          </w:tcPr>
          <w:p w14:paraId="79BC0425" w14:textId="34DEBE21" w:rsidR="00D751FB" w:rsidRPr="0051039E" w:rsidRDefault="00D751FB" w:rsidP="000070BB">
            <w:pPr>
              <w:pStyle w:val="ExhibitText"/>
              <w:jc w:val="left"/>
              <w:rPr>
                <w:lang w:val="en-GB"/>
              </w:rPr>
            </w:pPr>
            <w:r w:rsidRPr="0051039E">
              <w:rPr>
                <w:lang w:val="en-GB"/>
              </w:rPr>
              <w:t xml:space="preserve">Net </w:t>
            </w:r>
            <w:r w:rsidR="00CE0483">
              <w:rPr>
                <w:lang w:val="en-GB"/>
              </w:rPr>
              <w:t>c</w:t>
            </w:r>
            <w:r w:rsidRPr="0051039E">
              <w:rPr>
                <w:lang w:val="en-GB"/>
              </w:rPr>
              <w:t xml:space="preserve">ash </w:t>
            </w:r>
            <w:r w:rsidR="00CE0483">
              <w:rPr>
                <w:lang w:val="en-GB"/>
              </w:rPr>
              <w:t>f</w:t>
            </w:r>
            <w:r w:rsidRPr="0051039E">
              <w:rPr>
                <w:lang w:val="en-GB"/>
              </w:rPr>
              <w:t>low</w:t>
            </w:r>
          </w:p>
        </w:tc>
        <w:tc>
          <w:tcPr>
            <w:tcW w:w="1572" w:type="dxa"/>
            <w:tcBorders>
              <w:bottom w:val="single" w:sz="4" w:space="0" w:color="auto"/>
            </w:tcBorders>
            <w:shd w:val="clear" w:color="auto" w:fill="auto"/>
            <w:noWrap/>
            <w:vAlign w:val="center"/>
            <w:hideMark/>
          </w:tcPr>
          <w:p w14:paraId="3CF7FE12" w14:textId="60F8DDE5" w:rsidR="00D751FB" w:rsidRPr="0051039E" w:rsidRDefault="00D751FB" w:rsidP="000070BB">
            <w:pPr>
              <w:pStyle w:val="ExhibitText"/>
              <w:jc w:val="right"/>
              <w:rPr>
                <w:lang w:val="en-GB"/>
              </w:rPr>
            </w:pPr>
            <w:r w:rsidRPr="0051039E">
              <w:rPr>
                <w:lang w:val="en-GB"/>
              </w:rPr>
              <w:t xml:space="preserve"> 5,648 </w:t>
            </w:r>
          </w:p>
        </w:tc>
        <w:tc>
          <w:tcPr>
            <w:tcW w:w="1260" w:type="dxa"/>
            <w:tcBorders>
              <w:bottom w:val="single" w:sz="4" w:space="0" w:color="auto"/>
            </w:tcBorders>
            <w:shd w:val="clear" w:color="auto" w:fill="auto"/>
            <w:noWrap/>
            <w:vAlign w:val="center"/>
            <w:hideMark/>
          </w:tcPr>
          <w:p w14:paraId="10DAD17B" w14:textId="46658EB4" w:rsidR="00D751FB" w:rsidRPr="0051039E" w:rsidRDefault="00D751FB" w:rsidP="000070BB">
            <w:pPr>
              <w:pStyle w:val="ExhibitText"/>
              <w:jc w:val="right"/>
              <w:rPr>
                <w:lang w:val="en-GB"/>
              </w:rPr>
            </w:pPr>
            <w:r w:rsidRPr="0051039E">
              <w:rPr>
                <w:lang w:val="en-GB"/>
              </w:rPr>
              <w:t xml:space="preserve"> 2,688 </w:t>
            </w:r>
          </w:p>
        </w:tc>
        <w:tc>
          <w:tcPr>
            <w:tcW w:w="1260" w:type="dxa"/>
            <w:tcBorders>
              <w:bottom w:val="single" w:sz="4" w:space="0" w:color="auto"/>
            </w:tcBorders>
            <w:shd w:val="clear" w:color="auto" w:fill="auto"/>
            <w:noWrap/>
            <w:vAlign w:val="center"/>
            <w:hideMark/>
          </w:tcPr>
          <w:p w14:paraId="35A32677" w14:textId="7E07FA0C" w:rsidR="00D751FB" w:rsidRPr="0051039E" w:rsidRDefault="00D751FB" w:rsidP="000070BB">
            <w:pPr>
              <w:pStyle w:val="ExhibitText"/>
              <w:jc w:val="right"/>
              <w:rPr>
                <w:lang w:val="en-GB"/>
              </w:rPr>
            </w:pPr>
            <w:r w:rsidRPr="0051039E">
              <w:rPr>
                <w:lang w:val="en-GB"/>
              </w:rPr>
              <w:t xml:space="preserve"> (2,172)</w:t>
            </w:r>
          </w:p>
        </w:tc>
        <w:tc>
          <w:tcPr>
            <w:tcW w:w="1260" w:type="dxa"/>
            <w:tcBorders>
              <w:bottom w:val="single" w:sz="4" w:space="0" w:color="auto"/>
            </w:tcBorders>
            <w:shd w:val="clear" w:color="auto" w:fill="auto"/>
            <w:noWrap/>
            <w:vAlign w:val="center"/>
            <w:hideMark/>
          </w:tcPr>
          <w:p w14:paraId="4F076158" w14:textId="41207A8A" w:rsidR="00D751FB" w:rsidRPr="0051039E" w:rsidRDefault="00D751FB" w:rsidP="000070BB">
            <w:pPr>
              <w:pStyle w:val="ExhibitText"/>
              <w:jc w:val="right"/>
              <w:rPr>
                <w:lang w:val="en-GB"/>
              </w:rPr>
            </w:pPr>
            <w:r w:rsidRPr="0051039E">
              <w:rPr>
                <w:lang w:val="en-GB"/>
              </w:rPr>
              <w:t xml:space="preserve"> (3,857)</w:t>
            </w:r>
          </w:p>
        </w:tc>
      </w:tr>
    </w:tbl>
    <w:p w14:paraId="2FA999E1" w14:textId="40F516A1" w:rsidR="00E70A21" w:rsidRDefault="00E70A21" w:rsidP="000070BB">
      <w:pPr>
        <w:pStyle w:val="ExhibitText"/>
        <w:tabs>
          <w:tab w:val="left" w:pos="3931"/>
          <w:tab w:val="left" w:pos="5503"/>
          <w:tab w:val="left" w:pos="6763"/>
          <w:tab w:val="left" w:pos="8023"/>
        </w:tabs>
        <w:ind w:left="283"/>
        <w:jc w:val="left"/>
        <w:rPr>
          <w:b/>
          <w:lang w:val="en-GB"/>
        </w:rPr>
      </w:pPr>
    </w:p>
    <w:p w14:paraId="1571F316" w14:textId="77777777" w:rsidR="00E70A21" w:rsidRDefault="00E70A21">
      <w:pPr>
        <w:spacing w:after="200" w:line="276" w:lineRule="auto"/>
        <w:rPr>
          <w:rFonts w:ascii="Arial" w:hAnsi="Arial" w:cs="Arial"/>
          <w:b/>
          <w:lang w:val="en-GB"/>
        </w:rPr>
      </w:pPr>
      <w:r>
        <w:rPr>
          <w:b/>
          <w:lang w:val="en-GB"/>
        </w:rPr>
        <w:br w:type="page"/>
      </w:r>
    </w:p>
    <w:p w14:paraId="0AAA43BB" w14:textId="6C29A44C" w:rsidR="00E70A21" w:rsidRDefault="00E70A21" w:rsidP="00E70A21">
      <w:pPr>
        <w:pStyle w:val="ExhibitHeading"/>
        <w:rPr>
          <w:lang w:val="en-GB"/>
        </w:rPr>
      </w:pPr>
      <w:r>
        <w:rPr>
          <w:lang w:val="en-GB"/>
        </w:rPr>
        <w:lastRenderedPageBreak/>
        <w:t>Exhibit 4 (continued)</w:t>
      </w:r>
    </w:p>
    <w:p w14:paraId="1490F81D" w14:textId="749FB2AF" w:rsidR="00E70A21" w:rsidRDefault="00E70A21" w:rsidP="000070BB">
      <w:pPr>
        <w:pStyle w:val="ExhibitText"/>
        <w:tabs>
          <w:tab w:val="left" w:pos="3931"/>
          <w:tab w:val="left" w:pos="5503"/>
          <w:tab w:val="left" w:pos="6763"/>
          <w:tab w:val="left" w:pos="8023"/>
        </w:tabs>
        <w:ind w:left="283"/>
        <w:jc w:val="left"/>
        <w:rPr>
          <w:lang w:val="en-GB"/>
        </w:rPr>
      </w:pPr>
    </w:p>
    <w:p w14:paraId="2D96EC9F" w14:textId="60E3DF4E" w:rsidR="00E70A21" w:rsidRPr="00E70A21" w:rsidRDefault="00E70A21" w:rsidP="00E70A21">
      <w:pPr>
        <w:pStyle w:val="ExhibitText"/>
        <w:jc w:val="center"/>
        <w:rPr>
          <w:b/>
        </w:rPr>
      </w:pPr>
      <w:r w:rsidRPr="00E70A21">
        <w:rPr>
          <w:b/>
        </w:rPr>
        <w:t>Balance Sheet</w:t>
      </w:r>
    </w:p>
    <w:p w14:paraId="5B89EDCE" w14:textId="00534878" w:rsidR="00E70A21" w:rsidRPr="0051039E" w:rsidRDefault="00E70A21" w:rsidP="000070BB">
      <w:pPr>
        <w:pStyle w:val="ExhibitText"/>
        <w:tabs>
          <w:tab w:val="left" w:pos="3936"/>
          <w:tab w:val="left" w:pos="5508"/>
          <w:tab w:val="left" w:pos="6768"/>
          <w:tab w:val="left" w:pos="8028"/>
        </w:tabs>
        <w:ind w:left="288"/>
        <w:jc w:val="left"/>
        <w:rPr>
          <w:lang w:val="en-GB"/>
        </w:rPr>
      </w:pPr>
    </w:p>
    <w:tbl>
      <w:tblPr>
        <w:tblW w:w="9000" w:type="dxa"/>
        <w:tblInd w:w="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48"/>
        <w:gridCol w:w="1572"/>
        <w:gridCol w:w="1260"/>
        <w:gridCol w:w="1260"/>
        <w:gridCol w:w="1260"/>
      </w:tblGrid>
      <w:tr w:rsidR="00D751FB" w:rsidRPr="0051039E" w14:paraId="5034F1A5" w14:textId="77777777" w:rsidTr="00E70A21">
        <w:trPr>
          <w:trHeight w:val="107"/>
        </w:trPr>
        <w:tc>
          <w:tcPr>
            <w:tcW w:w="3648" w:type="dxa"/>
            <w:shd w:val="clear" w:color="auto" w:fill="auto"/>
            <w:noWrap/>
            <w:vAlign w:val="center"/>
            <w:hideMark/>
          </w:tcPr>
          <w:p w14:paraId="25D54606" w14:textId="6030D1D3" w:rsidR="00D751FB" w:rsidRPr="00152AE1" w:rsidRDefault="00D751FB" w:rsidP="000070BB">
            <w:pPr>
              <w:pStyle w:val="ExhibitText"/>
              <w:jc w:val="left"/>
              <w:rPr>
                <w:b/>
                <w:lang w:val="en-GB"/>
              </w:rPr>
            </w:pPr>
            <w:r w:rsidRPr="00152AE1">
              <w:rPr>
                <w:b/>
                <w:lang w:val="en-GB"/>
              </w:rPr>
              <w:t xml:space="preserve">Current </w:t>
            </w:r>
            <w:r w:rsidR="00407DFA" w:rsidRPr="00152AE1">
              <w:rPr>
                <w:b/>
                <w:lang w:val="en-GB"/>
              </w:rPr>
              <w:t>a</w:t>
            </w:r>
            <w:r w:rsidRPr="00152AE1">
              <w:rPr>
                <w:b/>
                <w:lang w:val="en-GB"/>
              </w:rPr>
              <w:t>ssets</w:t>
            </w:r>
          </w:p>
        </w:tc>
        <w:tc>
          <w:tcPr>
            <w:tcW w:w="1572" w:type="dxa"/>
            <w:shd w:val="clear" w:color="auto" w:fill="auto"/>
            <w:noWrap/>
            <w:vAlign w:val="center"/>
            <w:hideMark/>
          </w:tcPr>
          <w:p w14:paraId="01EC1F1D" w14:textId="77777777" w:rsidR="00D751FB" w:rsidRPr="0051039E" w:rsidRDefault="00D751FB" w:rsidP="000070BB">
            <w:pPr>
              <w:pStyle w:val="ExhibitText"/>
              <w:jc w:val="right"/>
              <w:rPr>
                <w:lang w:val="en-GB"/>
              </w:rPr>
            </w:pPr>
          </w:p>
        </w:tc>
        <w:tc>
          <w:tcPr>
            <w:tcW w:w="1260" w:type="dxa"/>
            <w:shd w:val="clear" w:color="auto" w:fill="auto"/>
            <w:noWrap/>
            <w:vAlign w:val="center"/>
            <w:hideMark/>
          </w:tcPr>
          <w:p w14:paraId="5A724139" w14:textId="77777777" w:rsidR="00D751FB" w:rsidRPr="0051039E" w:rsidRDefault="00D751FB" w:rsidP="000070BB">
            <w:pPr>
              <w:pStyle w:val="ExhibitText"/>
              <w:jc w:val="right"/>
              <w:rPr>
                <w:lang w:val="en-GB"/>
              </w:rPr>
            </w:pPr>
          </w:p>
        </w:tc>
        <w:tc>
          <w:tcPr>
            <w:tcW w:w="1260" w:type="dxa"/>
            <w:shd w:val="clear" w:color="auto" w:fill="auto"/>
            <w:noWrap/>
            <w:vAlign w:val="center"/>
            <w:hideMark/>
          </w:tcPr>
          <w:p w14:paraId="6C3D0F8F" w14:textId="77777777" w:rsidR="00D751FB" w:rsidRPr="0051039E" w:rsidRDefault="00D751FB" w:rsidP="000070BB">
            <w:pPr>
              <w:pStyle w:val="ExhibitText"/>
              <w:jc w:val="right"/>
              <w:rPr>
                <w:lang w:val="en-GB"/>
              </w:rPr>
            </w:pPr>
          </w:p>
        </w:tc>
        <w:tc>
          <w:tcPr>
            <w:tcW w:w="1260" w:type="dxa"/>
            <w:shd w:val="clear" w:color="auto" w:fill="auto"/>
            <w:noWrap/>
            <w:vAlign w:val="center"/>
            <w:hideMark/>
          </w:tcPr>
          <w:p w14:paraId="7D8AC859" w14:textId="77777777" w:rsidR="00D751FB" w:rsidRPr="0051039E" w:rsidRDefault="00D751FB" w:rsidP="000070BB">
            <w:pPr>
              <w:pStyle w:val="ExhibitText"/>
              <w:jc w:val="right"/>
              <w:rPr>
                <w:lang w:val="en-GB"/>
              </w:rPr>
            </w:pPr>
            <w:r w:rsidRPr="0051039E">
              <w:rPr>
                <w:lang w:val="en-GB"/>
              </w:rPr>
              <w:t> </w:t>
            </w:r>
          </w:p>
        </w:tc>
      </w:tr>
      <w:tr w:rsidR="00D751FB" w:rsidRPr="0051039E" w14:paraId="7DB7C5DA" w14:textId="77777777" w:rsidTr="00E70A21">
        <w:trPr>
          <w:trHeight w:val="134"/>
        </w:trPr>
        <w:tc>
          <w:tcPr>
            <w:tcW w:w="3648" w:type="dxa"/>
            <w:shd w:val="clear" w:color="auto" w:fill="auto"/>
            <w:noWrap/>
            <w:vAlign w:val="center"/>
            <w:hideMark/>
          </w:tcPr>
          <w:p w14:paraId="1A2735C3" w14:textId="183ED054" w:rsidR="00D751FB" w:rsidRPr="0051039E" w:rsidRDefault="00D751FB" w:rsidP="000070BB">
            <w:pPr>
              <w:pStyle w:val="ExhibitText"/>
              <w:jc w:val="left"/>
              <w:rPr>
                <w:lang w:val="en-GB"/>
              </w:rPr>
            </w:pPr>
            <w:r w:rsidRPr="0051039E">
              <w:rPr>
                <w:lang w:val="en-GB"/>
              </w:rPr>
              <w:t xml:space="preserve">Cash </w:t>
            </w:r>
            <w:r w:rsidR="00BA57E7">
              <w:rPr>
                <w:lang w:val="en-GB"/>
              </w:rPr>
              <w:t>and</w:t>
            </w:r>
            <w:r w:rsidRPr="0051039E">
              <w:rPr>
                <w:lang w:val="en-GB"/>
              </w:rPr>
              <w:t xml:space="preserve"> </w:t>
            </w:r>
            <w:r w:rsidR="00407DFA">
              <w:rPr>
                <w:lang w:val="en-GB"/>
              </w:rPr>
              <w:t>c</w:t>
            </w:r>
            <w:r w:rsidRPr="0051039E">
              <w:rPr>
                <w:lang w:val="en-GB"/>
              </w:rPr>
              <w:t xml:space="preserve">ash </w:t>
            </w:r>
            <w:r w:rsidR="00407DFA">
              <w:rPr>
                <w:lang w:val="en-GB"/>
              </w:rPr>
              <w:t>e</w:t>
            </w:r>
            <w:r w:rsidRPr="0051039E">
              <w:rPr>
                <w:lang w:val="en-GB"/>
              </w:rPr>
              <w:t>quivalents</w:t>
            </w:r>
          </w:p>
        </w:tc>
        <w:tc>
          <w:tcPr>
            <w:tcW w:w="1572" w:type="dxa"/>
            <w:shd w:val="clear" w:color="auto" w:fill="auto"/>
            <w:noWrap/>
            <w:vAlign w:val="center"/>
            <w:hideMark/>
          </w:tcPr>
          <w:p w14:paraId="6D46461D" w14:textId="5EDECA1A" w:rsidR="00D751FB" w:rsidRPr="0051039E" w:rsidRDefault="00D751FB" w:rsidP="000070BB">
            <w:pPr>
              <w:pStyle w:val="ExhibitText"/>
              <w:jc w:val="right"/>
              <w:rPr>
                <w:lang w:val="en-GB"/>
              </w:rPr>
            </w:pPr>
            <w:r w:rsidRPr="0051039E">
              <w:rPr>
                <w:lang w:val="en-GB"/>
              </w:rPr>
              <w:t xml:space="preserve"> 20,844 </w:t>
            </w:r>
          </w:p>
        </w:tc>
        <w:tc>
          <w:tcPr>
            <w:tcW w:w="1260" w:type="dxa"/>
            <w:shd w:val="clear" w:color="auto" w:fill="auto"/>
            <w:noWrap/>
            <w:vAlign w:val="center"/>
            <w:hideMark/>
          </w:tcPr>
          <w:p w14:paraId="3BFCC34B" w14:textId="23FC2C00" w:rsidR="00D751FB" w:rsidRPr="0051039E" w:rsidRDefault="00D751FB" w:rsidP="000070BB">
            <w:pPr>
              <w:pStyle w:val="ExhibitText"/>
              <w:jc w:val="right"/>
              <w:rPr>
                <w:lang w:val="en-GB"/>
              </w:rPr>
            </w:pPr>
            <w:r w:rsidRPr="0051039E">
              <w:rPr>
                <w:lang w:val="en-GB"/>
              </w:rPr>
              <w:t xml:space="preserve"> 15,512 </w:t>
            </w:r>
          </w:p>
        </w:tc>
        <w:tc>
          <w:tcPr>
            <w:tcW w:w="1260" w:type="dxa"/>
            <w:shd w:val="clear" w:color="auto" w:fill="auto"/>
            <w:noWrap/>
            <w:vAlign w:val="center"/>
            <w:hideMark/>
          </w:tcPr>
          <w:p w14:paraId="6ADCD85B" w14:textId="1C30CCB3" w:rsidR="00D751FB" w:rsidRPr="0051039E" w:rsidRDefault="00D751FB" w:rsidP="000070BB">
            <w:pPr>
              <w:pStyle w:val="ExhibitText"/>
              <w:jc w:val="right"/>
              <w:rPr>
                <w:lang w:val="en-GB"/>
              </w:rPr>
            </w:pPr>
            <w:r w:rsidRPr="0051039E">
              <w:rPr>
                <w:lang w:val="en-GB"/>
              </w:rPr>
              <w:t xml:space="preserve"> 12,574 </w:t>
            </w:r>
          </w:p>
        </w:tc>
        <w:tc>
          <w:tcPr>
            <w:tcW w:w="1260" w:type="dxa"/>
            <w:shd w:val="clear" w:color="auto" w:fill="auto"/>
            <w:noWrap/>
            <w:vAlign w:val="center"/>
            <w:hideMark/>
          </w:tcPr>
          <w:p w14:paraId="3564F92B" w14:textId="1729BA8F" w:rsidR="00D751FB" w:rsidRPr="0051039E" w:rsidRDefault="00D751FB" w:rsidP="000070BB">
            <w:pPr>
              <w:pStyle w:val="ExhibitText"/>
              <w:jc w:val="right"/>
              <w:rPr>
                <w:lang w:val="en-GB"/>
              </w:rPr>
            </w:pPr>
            <w:r w:rsidRPr="0051039E">
              <w:rPr>
                <w:lang w:val="en-GB"/>
              </w:rPr>
              <w:t xml:space="preserve"> 15,238 </w:t>
            </w:r>
          </w:p>
        </w:tc>
      </w:tr>
      <w:tr w:rsidR="00D751FB" w:rsidRPr="0051039E" w14:paraId="6F8D4D7F" w14:textId="77777777" w:rsidTr="00E70A21">
        <w:trPr>
          <w:trHeight w:val="71"/>
        </w:trPr>
        <w:tc>
          <w:tcPr>
            <w:tcW w:w="3648" w:type="dxa"/>
            <w:shd w:val="clear" w:color="auto" w:fill="auto"/>
            <w:noWrap/>
            <w:vAlign w:val="center"/>
            <w:hideMark/>
          </w:tcPr>
          <w:p w14:paraId="0E2E373B" w14:textId="3CCAF4BE" w:rsidR="00D751FB" w:rsidRPr="0051039E" w:rsidRDefault="00D751FB" w:rsidP="000070BB">
            <w:pPr>
              <w:pStyle w:val="ExhibitText"/>
              <w:jc w:val="left"/>
              <w:rPr>
                <w:lang w:val="en-GB"/>
              </w:rPr>
            </w:pPr>
            <w:r w:rsidRPr="0051039E">
              <w:rPr>
                <w:lang w:val="en-GB"/>
              </w:rPr>
              <w:t xml:space="preserve">Short-Term </w:t>
            </w:r>
            <w:r w:rsidR="00407DFA">
              <w:rPr>
                <w:lang w:val="en-GB"/>
              </w:rPr>
              <w:t>i</w:t>
            </w:r>
            <w:r w:rsidRPr="0051039E">
              <w:rPr>
                <w:lang w:val="en-GB"/>
              </w:rPr>
              <w:t>nvestments</w:t>
            </w:r>
          </w:p>
        </w:tc>
        <w:tc>
          <w:tcPr>
            <w:tcW w:w="1572" w:type="dxa"/>
            <w:shd w:val="clear" w:color="auto" w:fill="auto"/>
            <w:noWrap/>
            <w:vAlign w:val="center"/>
            <w:hideMark/>
          </w:tcPr>
          <w:p w14:paraId="1E098FCD" w14:textId="13108D55" w:rsidR="00D751FB" w:rsidRPr="0051039E" w:rsidRDefault="00D751FB" w:rsidP="000070BB">
            <w:pPr>
              <w:pStyle w:val="ExhibitText"/>
              <w:jc w:val="right"/>
              <w:rPr>
                <w:lang w:val="en-GB"/>
              </w:rPr>
            </w:pPr>
            <w:r w:rsidRPr="0051039E">
              <w:rPr>
                <w:lang w:val="en-GB"/>
              </w:rPr>
              <w:t xml:space="preserve"> 5,966 </w:t>
            </w:r>
          </w:p>
        </w:tc>
        <w:tc>
          <w:tcPr>
            <w:tcW w:w="1260" w:type="dxa"/>
            <w:shd w:val="clear" w:color="auto" w:fill="auto"/>
            <w:noWrap/>
            <w:vAlign w:val="center"/>
            <w:hideMark/>
          </w:tcPr>
          <w:p w14:paraId="6FDE7C3E" w14:textId="7D0AA9CD" w:rsidR="00D751FB" w:rsidRPr="0051039E" w:rsidRDefault="00D751FB" w:rsidP="000070BB">
            <w:pPr>
              <w:pStyle w:val="ExhibitText"/>
              <w:jc w:val="right"/>
              <w:rPr>
                <w:lang w:val="en-GB"/>
              </w:rPr>
            </w:pPr>
            <w:r w:rsidRPr="0051039E">
              <w:rPr>
                <w:lang w:val="en-GB"/>
              </w:rPr>
              <w:t xml:space="preserve"> 8,313 </w:t>
            </w:r>
          </w:p>
        </w:tc>
        <w:tc>
          <w:tcPr>
            <w:tcW w:w="1260" w:type="dxa"/>
            <w:shd w:val="clear" w:color="auto" w:fill="auto"/>
            <w:noWrap/>
            <w:vAlign w:val="center"/>
            <w:hideMark/>
          </w:tcPr>
          <w:p w14:paraId="45514F62" w14:textId="36E6B706" w:rsidR="00D751FB" w:rsidRPr="0051039E" w:rsidRDefault="00D751FB" w:rsidP="000070BB">
            <w:pPr>
              <w:pStyle w:val="ExhibitText"/>
              <w:jc w:val="right"/>
              <w:rPr>
                <w:lang w:val="en-GB"/>
              </w:rPr>
            </w:pPr>
            <w:r w:rsidRPr="0051039E">
              <w:rPr>
                <w:lang w:val="en-GB"/>
              </w:rPr>
              <w:t xml:space="preserve"> 11,841 </w:t>
            </w:r>
          </w:p>
        </w:tc>
        <w:tc>
          <w:tcPr>
            <w:tcW w:w="1260" w:type="dxa"/>
            <w:shd w:val="clear" w:color="auto" w:fill="auto"/>
            <w:noWrap/>
            <w:vAlign w:val="center"/>
            <w:hideMark/>
          </w:tcPr>
          <w:p w14:paraId="5B5F3BFD" w14:textId="1D2118F5" w:rsidR="00D751FB" w:rsidRPr="0051039E" w:rsidRDefault="00D751FB" w:rsidP="000070BB">
            <w:pPr>
              <w:pStyle w:val="ExhibitText"/>
              <w:jc w:val="right"/>
              <w:rPr>
                <w:lang w:val="en-GB"/>
              </w:rPr>
            </w:pPr>
            <w:r w:rsidRPr="0051039E">
              <w:rPr>
                <w:lang w:val="en-GB"/>
              </w:rPr>
              <w:t xml:space="preserve"> 8,163 </w:t>
            </w:r>
          </w:p>
        </w:tc>
      </w:tr>
      <w:tr w:rsidR="00D751FB" w:rsidRPr="0051039E" w14:paraId="5229CB81" w14:textId="77777777" w:rsidTr="00E70A21">
        <w:trPr>
          <w:trHeight w:val="98"/>
        </w:trPr>
        <w:tc>
          <w:tcPr>
            <w:tcW w:w="3648" w:type="dxa"/>
            <w:shd w:val="clear" w:color="auto" w:fill="auto"/>
            <w:noWrap/>
            <w:vAlign w:val="center"/>
            <w:hideMark/>
          </w:tcPr>
          <w:p w14:paraId="1AE2F341" w14:textId="511BE8C6" w:rsidR="00D751FB" w:rsidRPr="0051039E" w:rsidRDefault="00D751FB" w:rsidP="000070BB">
            <w:pPr>
              <w:pStyle w:val="ExhibitText"/>
              <w:jc w:val="left"/>
              <w:rPr>
                <w:lang w:val="en-GB"/>
              </w:rPr>
            </w:pPr>
            <w:r w:rsidRPr="0051039E">
              <w:rPr>
                <w:lang w:val="en-GB"/>
              </w:rPr>
              <w:t xml:space="preserve">Net </w:t>
            </w:r>
            <w:r w:rsidR="00407DFA">
              <w:rPr>
                <w:lang w:val="en-GB"/>
              </w:rPr>
              <w:t>r</w:t>
            </w:r>
            <w:r w:rsidRPr="0051039E">
              <w:rPr>
                <w:lang w:val="en-GB"/>
              </w:rPr>
              <w:t>eceivables</w:t>
            </w:r>
          </w:p>
        </w:tc>
        <w:tc>
          <w:tcPr>
            <w:tcW w:w="1572" w:type="dxa"/>
            <w:shd w:val="clear" w:color="auto" w:fill="auto"/>
            <w:noWrap/>
            <w:vAlign w:val="center"/>
            <w:hideMark/>
          </w:tcPr>
          <w:p w14:paraId="0F9AD0AB" w14:textId="4C082810" w:rsidR="00D751FB" w:rsidRPr="0051039E" w:rsidRDefault="00D751FB" w:rsidP="000070BB">
            <w:pPr>
              <w:pStyle w:val="ExhibitText"/>
              <w:jc w:val="right"/>
              <w:rPr>
                <w:lang w:val="en-GB"/>
              </w:rPr>
            </w:pPr>
            <w:r w:rsidRPr="0051039E">
              <w:rPr>
                <w:lang w:val="en-GB"/>
              </w:rPr>
              <w:t xml:space="preserve"> 33,399 </w:t>
            </w:r>
          </w:p>
        </w:tc>
        <w:tc>
          <w:tcPr>
            <w:tcW w:w="1260" w:type="dxa"/>
            <w:shd w:val="clear" w:color="auto" w:fill="auto"/>
            <w:noWrap/>
            <w:vAlign w:val="center"/>
            <w:hideMark/>
          </w:tcPr>
          <w:p w14:paraId="4143F19C" w14:textId="6FF5C135" w:rsidR="00D751FB" w:rsidRPr="0051039E" w:rsidRDefault="00D751FB" w:rsidP="000070BB">
            <w:pPr>
              <w:pStyle w:val="ExhibitText"/>
              <w:jc w:val="right"/>
              <w:rPr>
                <w:lang w:val="en-GB"/>
              </w:rPr>
            </w:pPr>
            <w:r w:rsidRPr="0051039E">
              <w:rPr>
                <w:lang w:val="en-GB"/>
              </w:rPr>
              <w:t xml:space="preserve"> 28,685 </w:t>
            </w:r>
          </w:p>
        </w:tc>
        <w:tc>
          <w:tcPr>
            <w:tcW w:w="1260" w:type="dxa"/>
            <w:shd w:val="clear" w:color="auto" w:fill="auto"/>
            <w:noWrap/>
            <w:vAlign w:val="center"/>
            <w:hideMark/>
          </w:tcPr>
          <w:p w14:paraId="6698BE11" w14:textId="4201EE76" w:rsidR="00D751FB" w:rsidRPr="0051039E" w:rsidRDefault="00D751FB" w:rsidP="000070BB">
            <w:pPr>
              <w:pStyle w:val="ExhibitText"/>
              <w:jc w:val="right"/>
              <w:rPr>
                <w:lang w:val="en-GB"/>
              </w:rPr>
            </w:pPr>
            <w:r w:rsidRPr="0051039E">
              <w:rPr>
                <w:lang w:val="en-GB"/>
              </w:rPr>
              <w:t xml:space="preserve"> 24,827 </w:t>
            </w:r>
          </w:p>
        </w:tc>
        <w:tc>
          <w:tcPr>
            <w:tcW w:w="1260" w:type="dxa"/>
            <w:shd w:val="clear" w:color="auto" w:fill="auto"/>
            <w:noWrap/>
            <w:vAlign w:val="center"/>
            <w:hideMark/>
          </w:tcPr>
          <w:p w14:paraId="0CC08E8F" w14:textId="5F260765" w:rsidR="00D751FB" w:rsidRPr="0051039E" w:rsidRDefault="00D751FB" w:rsidP="000070BB">
            <w:pPr>
              <w:pStyle w:val="ExhibitText"/>
              <w:jc w:val="right"/>
              <w:rPr>
                <w:lang w:val="en-GB"/>
              </w:rPr>
            </w:pPr>
            <w:r w:rsidRPr="0051039E">
              <w:rPr>
                <w:lang w:val="en-GB"/>
              </w:rPr>
              <w:t xml:space="preserve"> 26,388 </w:t>
            </w:r>
          </w:p>
        </w:tc>
      </w:tr>
      <w:tr w:rsidR="00D751FB" w:rsidRPr="0051039E" w14:paraId="1848AB4A" w14:textId="77777777" w:rsidTr="00E70A21">
        <w:trPr>
          <w:trHeight w:val="56"/>
        </w:trPr>
        <w:tc>
          <w:tcPr>
            <w:tcW w:w="3648" w:type="dxa"/>
            <w:shd w:val="clear" w:color="auto" w:fill="auto"/>
            <w:noWrap/>
            <w:vAlign w:val="center"/>
            <w:hideMark/>
          </w:tcPr>
          <w:p w14:paraId="2870FF9D" w14:textId="77777777" w:rsidR="00D751FB" w:rsidRPr="0051039E" w:rsidRDefault="00D751FB" w:rsidP="000070BB">
            <w:pPr>
              <w:pStyle w:val="ExhibitText"/>
              <w:jc w:val="left"/>
              <w:rPr>
                <w:lang w:val="en-GB"/>
              </w:rPr>
            </w:pPr>
            <w:r w:rsidRPr="0051039E">
              <w:rPr>
                <w:lang w:val="en-GB"/>
              </w:rPr>
              <w:t>Inventory</w:t>
            </w:r>
          </w:p>
        </w:tc>
        <w:tc>
          <w:tcPr>
            <w:tcW w:w="1572" w:type="dxa"/>
            <w:shd w:val="clear" w:color="auto" w:fill="auto"/>
            <w:noWrap/>
            <w:vAlign w:val="center"/>
            <w:hideMark/>
          </w:tcPr>
          <w:p w14:paraId="120AE528" w14:textId="19C72FAB" w:rsidR="00D751FB" w:rsidRPr="0051039E" w:rsidRDefault="00D751FB" w:rsidP="000070BB">
            <w:pPr>
              <w:pStyle w:val="ExhibitText"/>
              <w:jc w:val="right"/>
              <w:rPr>
                <w:lang w:val="en-GB"/>
              </w:rPr>
            </w:pPr>
            <w:r w:rsidRPr="0051039E">
              <w:rPr>
                <w:lang w:val="en-GB"/>
              </w:rPr>
              <w:t xml:space="preserve"> 9,816 </w:t>
            </w:r>
          </w:p>
        </w:tc>
        <w:tc>
          <w:tcPr>
            <w:tcW w:w="1260" w:type="dxa"/>
            <w:shd w:val="clear" w:color="auto" w:fill="auto"/>
            <w:noWrap/>
            <w:vAlign w:val="center"/>
            <w:hideMark/>
          </w:tcPr>
          <w:p w14:paraId="4705EF12" w14:textId="50F6A86C" w:rsidR="00D751FB" w:rsidRPr="0051039E" w:rsidRDefault="00D751FB" w:rsidP="000070BB">
            <w:pPr>
              <w:pStyle w:val="ExhibitText"/>
              <w:jc w:val="right"/>
              <w:rPr>
                <w:lang w:val="en-GB"/>
              </w:rPr>
            </w:pPr>
            <w:r w:rsidRPr="0051039E">
              <w:rPr>
                <w:lang w:val="en-GB"/>
              </w:rPr>
              <w:t xml:space="preserve"> 10,663 </w:t>
            </w:r>
          </w:p>
        </w:tc>
        <w:tc>
          <w:tcPr>
            <w:tcW w:w="1260" w:type="dxa"/>
            <w:shd w:val="clear" w:color="auto" w:fill="auto"/>
            <w:noWrap/>
            <w:vAlign w:val="center"/>
            <w:hideMark/>
          </w:tcPr>
          <w:p w14:paraId="49B16094" w14:textId="21A8254E" w:rsidR="00D751FB" w:rsidRPr="0051039E" w:rsidRDefault="00D751FB" w:rsidP="000070BB">
            <w:pPr>
              <w:pStyle w:val="ExhibitText"/>
              <w:jc w:val="right"/>
              <w:rPr>
                <w:lang w:val="en-GB"/>
              </w:rPr>
            </w:pPr>
            <w:r w:rsidRPr="0051039E">
              <w:rPr>
                <w:lang w:val="en-GB"/>
              </w:rPr>
              <w:t xml:space="preserve"> 11,040 </w:t>
            </w:r>
          </w:p>
        </w:tc>
        <w:tc>
          <w:tcPr>
            <w:tcW w:w="1260" w:type="dxa"/>
            <w:shd w:val="clear" w:color="auto" w:fill="auto"/>
            <w:noWrap/>
            <w:vAlign w:val="center"/>
            <w:hideMark/>
          </w:tcPr>
          <w:p w14:paraId="34D2DBD8" w14:textId="4AABF4A8" w:rsidR="00D751FB" w:rsidRPr="0051039E" w:rsidRDefault="00D751FB" w:rsidP="000070BB">
            <w:pPr>
              <w:pStyle w:val="ExhibitText"/>
              <w:jc w:val="right"/>
              <w:rPr>
                <w:lang w:val="en-GB"/>
              </w:rPr>
            </w:pPr>
            <w:r w:rsidRPr="0051039E">
              <w:rPr>
                <w:lang w:val="en-GB"/>
              </w:rPr>
              <w:t xml:space="preserve"> 13,764 </w:t>
            </w:r>
          </w:p>
        </w:tc>
      </w:tr>
      <w:tr w:rsidR="00D751FB" w:rsidRPr="0051039E" w14:paraId="5C98F531" w14:textId="77777777" w:rsidTr="00E70A21">
        <w:trPr>
          <w:trHeight w:val="71"/>
        </w:trPr>
        <w:tc>
          <w:tcPr>
            <w:tcW w:w="3648" w:type="dxa"/>
            <w:shd w:val="clear" w:color="auto" w:fill="auto"/>
            <w:noWrap/>
            <w:vAlign w:val="center"/>
            <w:hideMark/>
          </w:tcPr>
          <w:p w14:paraId="36DFE3BD" w14:textId="2E37C5F3" w:rsidR="00D751FB" w:rsidRPr="0051039E" w:rsidRDefault="00D751FB" w:rsidP="000070BB">
            <w:pPr>
              <w:pStyle w:val="ExhibitText"/>
              <w:jc w:val="left"/>
              <w:rPr>
                <w:lang w:val="en-GB"/>
              </w:rPr>
            </w:pPr>
            <w:r w:rsidRPr="0051039E">
              <w:rPr>
                <w:lang w:val="en-GB"/>
              </w:rPr>
              <w:t xml:space="preserve">Other </w:t>
            </w:r>
            <w:r w:rsidR="00407DFA">
              <w:rPr>
                <w:lang w:val="en-GB"/>
              </w:rPr>
              <w:t>c</w:t>
            </w:r>
            <w:r w:rsidRPr="0051039E">
              <w:rPr>
                <w:lang w:val="en-GB"/>
              </w:rPr>
              <w:t xml:space="preserve">urrent </w:t>
            </w:r>
            <w:r w:rsidR="00407DFA">
              <w:rPr>
                <w:lang w:val="en-GB"/>
              </w:rPr>
              <w:t>a</w:t>
            </w:r>
            <w:r w:rsidRPr="0051039E">
              <w:rPr>
                <w:lang w:val="en-GB"/>
              </w:rPr>
              <w:t>ssets</w:t>
            </w:r>
          </w:p>
        </w:tc>
        <w:tc>
          <w:tcPr>
            <w:tcW w:w="1572" w:type="dxa"/>
            <w:shd w:val="clear" w:color="auto" w:fill="auto"/>
            <w:noWrap/>
            <w:vAlign w:val="center"/>
            <w:hideMark/>
          </w:tcPr>
          <w:p w14:paraId="4630A9CB" w14:textId="097C8399" w:rsidR="00D751FB" w:rsidRPr="0051039E" w:rsidRDefault="00D751FB" w:rsidP="000070BB">
            <w:pPr>
              <w:pStyle w:val="ExhibitText"/>
              <w:jc w:val="right"/>
              <w:rPr>
                <w:lang w:val="en-GB"/>
              </w:rPr>
            </w:pPr>
            <w:r w:rsidRPr="0051039E">
              <w:rPr>
                <w:lang w:val="en-GB"/>
              </w:rPr>
              <w:t xml:space="preserve"> 5,268 </w:t>
            </w:r>
          </w:p>
        </w:tc>
        <w:tc>
          <w:tcPr>
            <w:tcW w:w="1260" w:type="dxa"/>
            <w:shd w:val="clear" w:color="auto" w:fill="auto"/>
            <w:noWrap/>
            <w:vAlign w:val="center"/>
            <w:hideMark/>
          </w:tcPr>
          <w:p w14:paraId="53EEAC4F" w14:textId="08D13B35" w:rsidR="00D751FB" w:rsidRPr="0051039E" w:rsidRDefault="00D751FB" w:rsidP="000070BB">
            <w:pPr>
              <w:pStyle w:val="ExhibitText"/>
              <w:jc w:val="right"/>
              <w:rPr>
                <w:lang w:val="en-GB"/>
              </w:rPr>
            </w:pPr>
            <w:r w:rsidRPr="0051039E">
              <w:rPr>
                <w:lang w:val="en-GB"/>
              </w:rPr>
              <w:t xml:space="preserve"> 5,571 </w:t>
            </w:r>
          </w:p>
        </w:tc>
        <w:tc>
          <w:tcPr>
            <w:tcW w:w="1260" w:type="dxa"/>
            <w:shd w:val="clear" w:color="auto" w:fill="auto"/>
            <w:noWrap/>
            <w:vAlign w:val="center"/>
            <w:hideMark/>
          </w:tcPr>
          <w:p w14:paraId="06552B32" w14:textId="41D5AA45" w:rsidR="00D751FB" w:rsidRPr="0051039E" w:rsidRDefault="00D751FB" w:rsidP="000070BB">
            <w:pPr>
              <w:pStyle w:val="ExhibitText"/>
              <w:jc w:val="right"/>
              <w:rPr>
                <w:lang w:val="en-GB"/>
              </w:rPr>
            </w:pPr>
            <w:r w:rsidRPr="0051039E">
              <w:rPr>
                <w:lang w:val="en-GB"/>
              </w:rPr>
              <w:t xml:space="preserve"> 15,921 </w:t>
            </w:r>
          </w:p>
        </w:tc>
        <w:tc>
          <w:tcPr>
            <w:tcW w:w="1260" w:type="dxa"/>
            <w:shd w:val="clear" w:color="auto" w:fill="auto"/>
            <w:noWrap/>
            <w:vAlign w:val="center"/>
            <w:hideMark/>
          </w:tcPr>
          <w:p w14:paraId="0C66BE23" w14:textId="5DD923B0" w:rsidR="00D751FB" w:rsidRPr="0051039E" w:rsidRDefault="00D751FB" w:rsidP="000070BB">
            <w:pPr>
              <w:pStyle w:val="ExhibitText"/>
              <w:jc w:val="right"/>
              <w:rPr>
                <w:lang w:val="en-GB"/>
              </w:rPr>
            </w:pPr>
            <w:r w:rsidRPr="0051039E">
              <w:rPr>
                <w:lang w:val="en-GB"/>
              </w:rPr>
              <w:t xml:space="preserve"> 5,855 </w:t>
            </w:r>
          </w:p>
        </w:tc>
      </w:tr>
      <w:tr w:rsidR="00D751FB" w:rsidRPr="0051039E" w14:paraId="45EE5F21" w14:textId="77777777" w:rsidTr="00E70A21">
        <w:trPr>
          <w:trHeight w:val="56"/>
        </w:trPr>
        <w:tc>
          <w:tcPr>
            <w:tcW w:w="3648" w:type="dxa"/>
            <w:shd w:val="clear" w:color="auto" w:fill="auto"/>
            <w:noWrap/>
            <w:vAlign w:val="center"/>
            <w:hideMark/>
          </w:tcPr>
          <w:p w14:paraId="730346A5" w14:textId="3C7D9AC1" w:rsidR="00D751FB" w:rsidRPr="0051039E" w:rsidRDefault="00D751FB" w:rsidP="000070BB">
            <w:pPr>
              <w:pStyle w:val="ExhibitText"/>
              <w:jc w:val="left"/>
              <w:rPr>
                <w:lang w:val="en-GB"/>
              </w:rPr>
            </w:pPr>
            <w:r w:rsidRPr="0051039E">
              <w:rPr>
                <w:lang w:val="en-GB"/>
              </w:rPr>
              <w:t xml:space="preserve">Total </w:t>
            </w:r>
            <w:r w:rsidR="00407DFA">
              <w:rPr>
                <w:lang w:val="en-GB"/>
              </w:rPr>
              <w:t>c</w:t>
            </w:r>
            <w:r w:rsidRPr="0051039E">
              <w:rPr>
                <w:lang w:val="en-GB"/>
              </w:rPr>
              <w:t xml:space="preserve">urrent </w:t>
            </w:r>
            <w:r w:rsidR="00407DFA">
              <w:rPr>
                <w:lang w:val="en-GB"/>
              </w:rPr>
              <w:t>a</w:t>
            </w:r>
            <w:r w:rsidRPr="0051039E">
              <w:rPr>
                <w:lang w:val="en-GB"/>
              </w:rPr>
              <w:t>ssets</w:t>
            </w:r>
          </w:p>
        </w:tc>
        <w:tc>
          <w:tcPr>
            <w:tcW w:w="1572" w:type="dxa"/>
            <w:shd w:val="clear" w:color="auto" w:fill="auto"/>
            <w:noWrap/>
            <w:vAlign w:val="center"/>
            <w:hideMark/>
          </w:tcPr>
          <w:p w14:paraId="5FBA0CB8" w14:textId="3CF1FFB8" w:rsidR="00D751FB" w:rsidRPr="0051039E" w:rsidRDefault="00D751FB" w:rsidP="000070BB">
            <w:pPr>
              <w:pStyle w:val="ExhibitText"/>
              <w:jc w:val="right"/>
              <w:rPr>
                <w:lang w:val="en-GB"/>
              </w:rPr>
            </w:pPr>
            <w:r w:rsidRPr="0051039E">
              <w:rPr>
                <w:lang w:val="en-GB"/>
              </w:rPr>
              <w:t xml:space="preserve"> 75,293 </w:t>
            </w:r>
          </w:p>
        </w:tc>
        <w:tc>
          <w:tcPr>
            <w:tcW w:w="1260" w:type="dxa"/>
            <w:shd w:val="clear" w:color="auto" w:fill="auto"/>
            <w:noWrap/>
            <w:vAlign w:val="center"/>
            <w:hideMark/>
          </w:tcPr>
          <w:p w14:paraId="7F86D485" w14:textId="2AEC09D7" w:rsidR="00D751FB" w:rsidRPr="0051039E" w:rsidRDefault="00D751FB" w:rsidP="000070BB">
            <w:pPr>
              <w:pStyle w:val="ExhibitText"/>
              <w:jc w:val="right"/>
              <w:rPr>
                <w:lang w:val="en-GB"/>
              </w:rPr>
            </w:pPr>
            <w:r w:rsidRPr="0051039E">
              <w:rPr>
                <w:lang w:val="en-GB"/>
              </w:rPr>
              <w:t xml:space="preserve"> 68,744 </w:t>
            </w:r>
          </w:p>
        </w:tc>
        <w:tc>
          <w:tcPr>
            <w:tcW w:w="1260" w:type="dxa"/>
            <w:shd w:val="clear" w:color="auto" w:fill="auto"/>
            <w:noWrap/>
            <w:vAlign w:val="center"/>
            <w:hideMark/>
          </w:tcPr>
          <w:p w14:paraId="7293DECF" w14:textId="3C424856" w:rsidR="00D751FB" w:rsidRPr="0051039E" w:rsidRDefault="00D751FB" w:rsidP="000070BB">
            <w:pPr>
              <w:pStyle w:val="ExhibitText"/>
              <w:jc w:val="right"/>
              <w:rPr>
                <w:lang w:val="en-GB"/>
              </w:rPr>
            </w:pPr>
            <w:r w:rsidRPr="0051039E">
              <w:rPr>
                <w:lang w:val="en-GB"/>
              </w:rPr>
              <w:t xml:space="preserve"> 76,203 </w:t>
            </w:r>
          </w:p>
        </w:tc>
        <w:tc>
          <w:tcPr>
            <w:tcW w:w="1260" w:type="dxa"/>
            <w:shd w:val="clear" w:color="auto" w:fill="auto"/>
            <w:noWrap/>
            <w:vAlign w:val="center"/>
            <w:hideMark/>
          </w:tcPr>
          <w:p w14:paraId="2DD7AC01" w14:textId="55DDCCCE" w:rsidR="00D751FB" w:rsidRPr="0051039E" w:rsidRDefault="00D751FB" w:rsidP="000070BB">
            <w:pPr>
              <w:pStyle w:val="ExhibitText"/>
              <w:jc w:val="right"/>
              <w:rPr>
                <w:lang w:val="en-GB"/>
              </w:rPr>
            </w:pPr>
            <w:r w:rsidRPr="0051039E">
              <w:rPr>
                <w:lang w:val="en-GB"/>
              </w:rPr>
              <w:t xml:space="preserve"> 69,408 </w:t>
            </w:r>
          </w:p>
        </w:tc>
      </w:tr>
      <w:tr w:rsidR="00D751FB" w:rsidRPr="0051039E" w14:paraId="30982D65" w14:textId="77777777" w:rsidTr="00E70A21">
        <w:trPr>
          <w:trHeight w:val="98"/>
        </w:trPr>
        <w:tc>
          <w:tcPr>
            <w:tcW w:w="3648" w:type="dxa"/>
            <w:shd w:val="clear" w:color="auto" w:fill="auto"/>
            <w:noWrap/>
            <w:vAlign w:val="center"/>
            <w:hideMark/>
          </w:tcPr>
          <w:p w14:paraId="64C45ABD" w14:textId="39A6A931" w:rsidR="00D751FB" w:rsidRPr="00152AE1" w:rsidRDefault="00D751FB" w:rsidP="000070BB">
            <w:pPr>
              <w:pStyle w:val="ExhibitText"/>
              <w:jc w:val="left"/>
              <w:rPr>
                <w:b/>
                <w:lang w:val="en-GB"/>
              </w:rPr>
            </w:pPr>
            <w:r w:rsidRPr="00152AE1">
              <w:rPr>
                <w:b/>
                <w:lang w:val="en-GB"/>
              </w:rPr>
              <w:t>Long</w:t>
            </w:r>
            <w:r w:rsidR="00BA57E7" w:rsidRPr="00152AE1">
              <w:rPr>
                <w:b/>
                <w:lang w:val="en-GB"/>
              </w:rPr>
              <w:t>-</w:t>
            </w:r>
            <w:r w:rsidRPr="00152AE1">
              <w:rPr>
                <w:b/>
                <w:lang w:val="en-GB"/>
              </w:rPr>
              <w:t xml:space="preserve">Term </w:t>
            </w:r>
            <w:r w:rsidR="00407DFA" w:rsidRPr="00152AE1">
              <w:rPr>
                <w:b/>
                <w:lang w:val="en-GB"/>
              </w:rPr>
              <w:t>a</w:t>
            </w:r>
            <w:r w:rsidRPr="00152AE1">
              <w:rPr>
                <w:b/>
                <w:lang w:val="en-GB"/>
              </w:rPr>
              <w:t>ssets</w:t>
            </w:r>
          </w:p>
        </w:tc>
        <w:tc>
          <w:tcPr>
            <w:tcW w:w="1572" w:type="dxa"/>
            <w:shd w:val="clear" w:color="auto" w:fill="auto"/>
            <w:noWrap/>
            <w:vAlign w:val="center"/>
            <w:hideMark/>
          </w:tcPr>
          <w:p w14:paraId="5BD9F820" w14:textId="77777777" w:rsidR="00D751FB" w:rsidRPr="0051039E" w:rsidRDefault="00D751FB" w:rsidP="000070BB">
            <w:pPr>
              <w:pStyle w:val="ExhibitText"/>
              <w:jc w:val="right"/>
              <w:rPr>
                <w:lang w:val="en-GB"/>
              </w:rPr>
            </w:pPr>
          </w:p>
        </w:tc>
        <w:tc>
          <w:tcPr>
            <w:tcW w:w="1260" w:type="dxa"/>
            <w:shd w:val="clear" w:color="auto" w:fill="auto"/>
            <w:noWrap/>
            <w:vAlign w:val="center"/>
            <w:hideMark/>
          </w:tcPr>
          <w:p w14:paraId="5410B9F1" w14:textId="77777777" w:rsidR="00D751FB" w:rsidRPr="0051039E" w:rsidRDefault="00D751FB" w:rsidP="000070BB">
            <w:pPr>
              <w:pStyle w:val="ExhibitText"/>
              <w:jc w:val="right"/>
              <w:rPr>
                <w:lang w:val="en-GB"/>
              </w:rPr>
            </w:pPr>
          </w:p>
        </w:tc>
        <w:tc>
          <w:tcPr>
            <w:tcW w:w="1260" w:type="dxa"/>
            <w:shd w:val="clear" w:color="auto" w:fill="auto"/>
            <w:noWrap/>
            <w:vAlign w:val="center"/>
            <w:hideMark/>
          </w:tcPr>
          <w:p w14:paraId="20BA35FC" w14:textId="77777777" w:rsidR="00D751FB" w:rsidRPr="0051039E" w:rsidRDefault="00D751FB" w:rsidP="000070BB">
            <w:pPr>
              <w:pStyle w:val="ExhibitText"/>
              <w:jc w:val="right"/>
              <w:rPr>
                <w:lang w:val="en-GB"/>
              </w:rPr>
            </w:pPr>
          </w:p>
        </w:tc>
        <w:tc>
          <w:tcPr>
            <w:tcW w:w="1260" w:type="dxa"/>
            <w:shd w:val="clear" w:color="auto" w:fill="auto"/>
            <w:noWrap/>
            <w:vAlign w:val="center"/>
            <w:hideMark/>
          </w:tcPr>
          <w:p w14:paraId="22B5B973" w14:textId="77777777" w:rsidR="00D751FB" w:rsidRPr="0051039E" w:rsidRDefault="00D751FB" w:rsidP="000070BB">
            <w:pPr>
              <w:pStyle w:val="ExhibitText"/>
              <w:jc w:val="right"/>
              <w:rPr>
                <w:lang w:val="en-GB"/>
              </w:rPr>
            </w:pPr>
            <w:r w:rsidRPr="0051039E">
              <w:rPr>
                <w:lang w:val="en-GB"/>
              </w:rPr>
              <w:t> </w:t>
            </w:r>
          </w:p>
        </w:tc>
      </w:tr>
      <w:tr w:rsidR="00D751FB" w:rsidRPr="0051039E" w14:paraId="51CBF570" w14:textId="77777777" w:rsidTr="00E70A21">
        <w:trPr>
          <w:trHeight w:val="98"/>
        </w:trPr>
        <w:tc>
          <w:tcPr>
            <w:tcW w:w="3648" w:type="dxa"/>
            <w:shd w:val="clear" w:color="auto" w:fill="auto"/>
            <w:noWrap/>
            <w:vAlign w:val="center"/>
            <w:hideMark/>
          </w:tcPr>
          <w:p w14:paraId="59125382" w14:textId="49B596CA" w:rsidR="00D751FB" w:rsidRPr="0051039E" w:rsidRDefault="00D751FB" w:rsidP="000070BB">
            <w:pPr>
              <w:pStyle w:val="ExhibitText"/>
              <w:jc w:val="left"/>
              <w:rPr>
                <w:lang w:val="en-GB"/>
              </w:rPr>
            </w:pPr>
            <w:r w:rsidRPr="0051039E">
              <w:rPr>
                <w:lang w:val="en-GB"/>
              </w:rPr>
              <w:t xml:space="preserve">Long-Term </w:t>
            </w:r>
            <w:r w:rsidR="00407DFA">
              <w:rPr>
                <w:lang w:val="en-GB"/>
              </w:rPr>
              <w:t>i</w:t>
            </w:r>
            <w:r w:rsidRPr="0051039E">
              <w:rPr>
                <w:lang w:val="en-GB"/>
              </w:rPr>
              <w:t>nvestments</w:t>
            </w:r>
          </w:p>
        </w:tc>
        <w:tc>
          <w:tcPr>
            <w:tcW w:w="1572" w:type="dxa"/>
            <w:shd w:val="clear" w:color="auto" w:fill="auto"/>
            <w:noWrap/>
            <w:vAlign w:val="center"/>
            <w:hideMark/>
          </w:tcPr>
          <w:p w14:paraId="2F1A7792" w14:textId="3906D234" w:rsidR="00D751FB" w:rsidRPr="0051039E" w:rsidRDefault="00D751FB" w:rsidP="000070BB">
            <w:pPr>
              <w:pStyle w:val="ExhibitText"/>
              <w:jc w:val="right"/>
              <w:rPr>
                <w:lang w:val="en-GB"/>
              </w:rPr>
            </w:pPr>
            <w:r w:rsidRPr="0051039E">
              <w:rPr>
                <w:lang w:val="en-GB"/>
              </w:rPr>
              <w:t xml:space="preserve"> 34,298 </w:t>
            </w:r>
          </w:p>
        </w:tc>
        <w:tc>
          <w:tcPr>
            <w:tcW w:w="1260" w:type="dxa"/>
            <w:shd w:val="clear" w:color="auto" w:fill="auto"/>
            <w:noWrap/>
            <w:vAlign w:val="center"/>
            <w:hideMark/>
          </w:tcPr>
          <w:p w14:paraId="2569F19C" w14:textId="55BAE6C9" w:rsidR="00D751FB" w:rsidRPr="0051039E" w:rsidRDefault="00D751FB" w:rsidP="000070BB">
            <w:pPr>
              <w:pStyle w:val="ExhibitText"/>
              <w:jc w:val="right"/>
              <w:rPr>
                <w:lang w:val="en-GB"/>
              </w:rPr>
            </w:pPr>
            <w:r w:rsidRPr="0051039E">
              <w:rPr>
                <w:lang w:val="en-GB"/>
              </w:rPr>
              <w:t xml:space="preserve"> 30,281 </w:t>
            </w:r>
          </w:p>
        </w:tc>
        <w:tc>
          <w:tcPr>
            <w:tcW w:w="1260" w:type="dxa"/>
            <w:shd w:val="clear" w:color="auto" w:fill="auto"/>
            <w:noWrap/>
            <w:vAlign w:val="center"/>
            <w:hideMark/>
          </w:tcPr>
          <w:p w14:paraId="6C66B1C8" w14:textId="7E349B4F" w:rsidR="00D751FB" w:rsidRPr="0051039E" w:rsidRDefault="00D751FB" w:rsidP="000070BB">
            <w:pPr>
              <w:pStyle w:val="ExhibitText"/>
              <w:jc w:val="right"/>
              <w:rPr>
                <w:lang w:val="en-GB"/>
              </w:rPr>
            </w:pPr>
            <w:r w:rsidRPr="0051039E">
              <w:rPr>
                <w:lang w:val="en-GB"/>
              </w:rPr>
              <w:t xml:space="preserve"> 25,997 </w:t>
            </w:r>
          </w:p>
        </w:tc>
        <w:tc>
          <w:tcPr>
            <w:tcW w:w="1260" w:type="dxa"/>
            <w:shd w:val="clear" w:color="auto" w:fill="auto"/>
            <w:noWrap/>
            <w:vAlign w:val="center"/>
            <w:hideMark/>
          </w:tcPr>
          <w:p w14:paraId="3ABF23C4" w14:textId="4337344A" w:rsidR="00D751FB" w:rsidRPr="0051039E" w:rsidRDefault="00D751FB" w:rsidP="000070BB">
            <w:pPr>
              <w:pStyle w:val="ExhibitText"/>
              <w:jc w:val="right"/>
              <w:rPr>
                <w:lang w:val="en-GB"/>
              </w:rPr>
            </w:pPr>
            <w:r w:rsidRPr="0051039E">
              <w:rPr>
                <w:lang w:val="en-GB"/>
              </w:rPr>
              <w:t xml:space="preserve"> 27,701 </w:t>
            </w:r>
          </w:p>
        </w:tc>
      </w:tr>
      <w:tr w:rsidR="00D751FB" w:rsidRPr="0051039E" w14:paraId="73537470" w14:textId="77777777" w:rsidTr="00E70A21">
        <w:trPr>
          <w:trHeight w:val="125"/>
        </w:trPr>
        <w:tc>
          <w:tcPr>
            <w:tcW w:w="3648" w:type="dxa"/>
            <w:shd w:val="clear" w:color="auto" w:fill="auto"/>
            <w:noWrap/>
            <w:vAlign w:val="center"/>
            <w:hideMark/>
          </w:tcPr>
          <w:p w14:paraId="18939E5C" w14:textId="5666A2FE" w:rsidR="00D751FB" w:rsidRPr="0051039E" w:rsidRDefault="00D751FB" w:rsidP="000070BB">
            <w:pPr>
              <w:pStyle w:val="ExhibitText"/>
              <w:jc w:val="left"/>
              <w:rPr>
                <w:lang w:val="en-GB"/>
              </w:rPr>
            </w:pPr>
            <w:r w:rsidRPr="0051039E">
              <w:rPr>
                <w:lang w:val="en-GB"/>
              </w:rPr>
              <w:t xml:space="preserve">Fixed </w:t>
            </w:r>
            <w:r w:rsidR="00407DFA">
              <w:rPr>
                <w:lang w:val="en-GB"/>
              </w:rPr>
              <w:t>a</w:t>
            </w:r>
            <w:r w:rsidRPr="0051039E">
              <w:rPr>
                <w:lang w:val="en-GB"/>
              </w:rPr>
              <w:t>ssets</w:t>
            </w:r>
          </w:p>
        </w:tc>
        <w:tc>
          <w:tcPr>
            <w:tcW w:w="1572" w:type="dxa"/>
            <w:shd w:val="clear" w:color="auto" w:fill="auto"/>
            <w:noWrap/>
            <w:vAlign w:val="center"/>
            <w:hideMark/>
          </w:tcPr>
          <w:p w14:paraId="722EECA3" w14:textId="37DDC7D6" w:rsidR="00D751FB" w:rsidRPr="0051039E" w:rsidRDefault="00D751FB" w:rsidP="000070BB">
            <w:pPr>
              <w:pStyle w:val="ExhibitText"/>
              <w:jc w:val="right"/>
              <w:rPr>
                <w:lang w:val="en-GB"/>
              </w:rPr>
            </w:pPr>
            <w:r w:rsidRPr="0051039E">
              <w:rPr>
                <w:lang w:val="en-GB"/>
              </w:rPr>
              <w:t xml:space="preserve"> 82,317 </w:t>
            </w:r>
          </w:p>
        </w:tc>
        <w:tc>
          <w:tcPr>
            <w:tcW w:w="1260" w:type="dxa"/>
            <w:shd w:val="clear" w:color="auto" w:fill="auto"/>
            <w:noWrap/>
            <w:vAlign w:val="center"/>
            <w:hideMark/>
          </w:tcPr>
          <w:p w14:paraId="0D39126B" w14:textId="5248251F" w:rsidR="00D751FB" w:rsidRPr="0051039E" w:rsidRDefault="00D751FB" w:rsidP="000070BB">
            <w:pPr>
              <w:pStyle w:val="ExhibitText"/>
              <w:jc w:val="right"/>
              <w:rPr>
                <w:lang w:val="en-GB"/>
              </w:rPr>
            </w:pPr>
            <w:r w:rsidRPr="0051039E">
              <w:rPr>
                <w:lang w:val="en-GB"/>
              </w:rPr>
              <w:t xml:space="preserve"> 79,135 </w:t>
            </w:r>
          </w:p>
        </w:tc>
        <w:tc>
          <w:tcPr>
            <w:tcW w:w="1260" w:type="dxa"/>
            <w:shd w:val="clear" w:color="auto" w:fill="auto"/>
            <w:noWrap/>
            <w:vAlign w:val="center"/>
            <w:hideMark/>
          </w:tcPr>
          <w:p w14:paraId="6184473F" w14:textId="34C501EF" w:rsidR="00D751FB" w:rsidRPr="0051039E" w:rsidRDefault="00D751FB" w:rsidP="000070BB">
            <w:pPr>
              <w:pStyle w:val="ExhibitText"/>
              <w:jc w:val="right"/>
              <w:rPr>
                <w:lang w:val="en-GB"/>
              </w:rPr>
            </w:pPr>
            <w:r w:rsidRPr="0051039E">
              <w:rPr>
                <w:lang w:val="en-GB"/>
              </w:rPr>
              <w:t xml:space="preserve"> 76,320 </w:t>
            </w:r>
          </w:p>
        </w:tc>
        <w:tc>
          <w:tcPr>
            <w:tcW w:w="1260" w:type="dxa"/>
            <w:shd w:val="clear" w:color="auto" w:fill="auto"/>
            <w:noWrap/>
            <w:vAlign w:val="center"/>
            <w:hideMark/>
          </w:tcPr>
          <w:p w14:paraId="2AAE1474" w14:textId="04E80857" w:rsidR="00D751FB" w:rsidRPr="0051039E" w:rsidRDefault="00D751FB" w:rsidP="000070BB">
            <w:pPr>
              <w:pStyle w:val="ExhibitText"/>
              <w:jc w:val="right"/>
              <w:rPr>
                <w:lang w:val="en-GB"/>
              </w:rPr>
            </w:pPr>
            <w:r w:rsidRPr="0051039E">
              <w:rPr>
                <w:lang w:val="en-GB"/>
              </w:rPr>
              <w:t xml:space="preserve"> 51,401 </w:t>
            </w:r>
          </w:p>
        </w:tc>
      </w:tr>
      <w:tr w:rsidR="00D751FB" w:rsidRPr="0051039E" w14:paraId="3DE1DFF9" w14:textId="77777777" w:rsidTr="00E70A21">
        <w:trPr>
          <w:trHeight w:val="62"/>
        </w:trPr>
        <w:tc>
          <w:tcPr>
            <w:tcW w:w="3648" w:type="dxa"/>
            <w:shd w:val="clear" w:color="auto" w:fill="auto"/>
            <w:noWrap/>
            <w:vAlign w:val="center"/>
            <w:hideMark/>
          </w:tcPr>
          <w:p w14:paraId="63A6E5C5" w14:textId="3A87BB6C" w:rsidR="00D751FB" w:rsidRPr="0051039E" w:rsidRDefault="00D751FB" w:rsidP="000070BB">
            <w:pPr>
              <w:pStyle w:val="ExhibitText"/>
              <w:jc w:val="left"/>
              <w:rPr>
                <w:lang w:val="en-GB"/>
              </w:rPr>
            </w:pPr>
            <w:r w:rsidRPr="0051039E">
              <w:rPr>
                <w:lang w:val="en-GB"/>
              </w:rPr>
              <w:t xml:space="preserve">Intangible </w:t>
            </w:r>
            <w:r w:rsidR="00407DFA">
              <w:rPr>
                <w:lang w:val="en-GB"/>
              </w:rPr>
              <w:t>a</w:t>
            </w:r>
            <w:r w:rsidRPr="0051039E">
              <w:rPr>
                <w:lang w:val="en-GB"/>
              </w:rPr>
              <w:t>ssets</w:t>
            </w:r>
          </w:p>
        </w:tc>
        <w:tc>
          <w:tcPr>
            <w:tcW w:w="1572" w:type="dxa"/>
            <w:shd w:val="clear" w:color="auto" w:fill="auto"/>
            <w:noWrap/>
            <w:vAlign w:val="center"/>
            <w:hideMark/>
          </w:tcPr>
          <w:p w14:paraId="14C9A4CA" w14:textId="6E3B030E" w:rsidR="00D751FB" w:rsidRPr="0051039E" w:rsidRDefault="00D751FB" w:rsidP="000070BB">
            <w:pPr>
              <w:pStyle w:val="ExhibitText"/>
              <w:jc w:val="right"/>
              <w:rPr>
                <w:lang w:val="en-GB"/>
              </w:rPr>
            </w:pPr>
            <w:r w:rsidRPr="0051039E">
              <w:rPr>
                <w:lang w:val="en-GB"/>
              </w:rPr>
              <w:t xml:space="preserve"> 5,579 </w:t>
            </w:r>
          </w:p>
        </w:tc>
        <w:tc>
          <w:tcPr>
            <w:tcW w:w="1260" w:type="dxa"/>
            <w:shd w:val="clear" w:color="auto" w:fill="auto"/>
            <w:noWrap/>
            <w:vAlign w:val="center"/>
            <w:hideMark/>
          </w:tcPr>
          <w:p w14:paraId="16C39447" w14:textId="68F13468" w:rsidR="00D751FB" w:rsidRPr="0051039E" w:rsidRDefault="00D751FB" w:rsidP="000070BB">
            <w:pPr>
              <w:pStyle w:val="ExhibitText"/>
              <w:jc w:val="right"/>
              <w:rPr>
                <w:lang w:val="en-GB"/>
              </w:rPr>
            </w:pPr>
            <w:r w:rsidRPr="0051039E">
              <w:rPr>
                <w:lang w:val="en-GB"/>
              </w:rPr>
              <w:t xml:space="preserve"> 5,849 </w:t>
            </w:r>
          </w:p>
        </w:tc>
        <w:tc>
          <w:tcPr>
            <w:tcW w:w="1260" w:type="dxa"/>
            <w:shd w:val="clear" w:color="auto" w:fill="auto"/>
            <w:noWrap/>
            <w:vAlign w:val="center"/>
            <w:hideMark/>
          </w:tcPr>
          <w:p w14:paraId="681C38CA" w14:textId="08747198" w:rsidR="00D751FB" w:rsidRPr="0051039E" w:rsidRDefault="00D751FB" w:rsidP="000070BB">
            <w:pPr>
              <w:pStyle w:val="ExhibitText"/>
              <w:jc w:val="right"/>
              <w:rPr>
                <w:lang w:val="en-GB"/>
              </w:rPr>
            </w:pPr>
            <w:r w:rsidRPr="0051039E">
              <w:rPr>
                <w:lang w:val="en-GB"/>
              </w:rPr>
              <w:t xml:space="preserve"> 6,149 </w:t>
            </w:r>
          </w:p>
        </w:tc>
        <w:tc>
          <w:tcPr>
            <w:tcW w:w="1260" w:type="dxa"/>
            <w:shd w:val="clear" w:color="auto" w:fill="auto"/>
            <w:noWrap/>
            <w:vAlign w:val="center"/>
            <w:hideMark/>
          </w:tcPr>
          <w:p w14:paraId="1DBB84C9" w14:textId="763698B3" w:rsidR="00D751FB" w:rsidRPr="0051039E" w:rsidRDefault="00D751FB" w:rsidP="000070BB">
            <w:pPr>
              <w:pStyle w:val="ExhibitText"/>
              <w:jc w:val="right"/>
              <w:rPr>
                <w:lang w:val="en-GB"/>
              </w:rPr>
            </w:pPr>
            <w:r w:rsidRPr="0051039E">
              <w:rPr>
                <w:lang w:val="en-GB"/>
              </w:rPr>
              <w:t xml:space="preserve"> 5,947 </w:t>
            </w:r>
          </w:p>
        </w:tc>
      </w:tr>
      <w:tr w:rsidR="00D751FB" w:rsidRPr="0051039E" w14:paraId="73B0CF29" w14:textId="77777777" w:rsidTr="00E70A21">
        <w:trPr>
          <w:trHeight w:val="98"/>
        </w:trPr>
        <w:tc>
          <w:tcPr>
            <w:tcW w:w="3648" w:type="dxa"/>
            <w:shd w:val="clear" w:color="auto" w:fill="auto"/>
            <w:noWrap/>
            <w:vAlign w:val="center"/>
            <w:hideMark/>
          </w:tcPr>
          <w:p w14:paraId="1D5A1BD7" w14:textId="042DED36" w:rsidR="00D751FB" w:rsidRPr="0051039E" w:rsidRDefault="00D751FB" w:rsidP="000070BB">
            <w:pPr>
              <w:pStyle w:val="ExhibitText"/>
              <w:jc w:val="left"/>
              <w:rPr>
                <w:lang w:val="en-GB"/>
              </w:rPr>
            </w:pPr>
            <w:r w:rsidRPr="0051039E">
              <w:rPr>
                <w:lang w:val="en-GB"/>
              </w:rPr>
              <w:t xml:space="preserve">Other </w:t>
            </w:r>
            <w:r w:rsidR="00407DFA">
              <w:rPr>
                <w:lang w:val="en-GB"/>
              </w:rPr>
              <w:t>a</w:t>
            </w:r>
            <w:r w:rsidRPr="0051039E">
              <w:rPr>
                <w:lang w:val="en-GB"/>
              </w:rPr>
              <w:t>ssets</w:t>
            </w:r>
          </w:p>
        </w:tc>
        <w:tc>
          <w:tcPr>
            <w:tcW w:w="1572" w:type="dxa"/>
            <w:shd w:val="clear" w:color="auto" w:fill="auto"/>
            <w:noWrap/>
            <w:vAlign w:val="center"/>
            <w:hideMark/>
          </w:tcPr>
          <w:p w14:paraId="24EACC6B" w14:textId="278D0BFB" w:rsidR="00D751FB" w:rsidRPr="0051039E" w:rsidRDefault="00D751FB" w:rsidP="000070BB">
            <w:pPr>
              <w:pStyle w:val="ExhibitText"/>
              <w:jc w:val="right"/>
              <w:rPr>
                <w:lang w:val="en-GB"/>
              </w:rPr>
            </w:pPr>
            <w:r w:rsidRPr="0051039E">
              <w:rPr>
                <w:lang w:val="en-GB"/>
              </w:rPr>
              <w:t xml:space="preserve"> 5,770 </w:t>
            </w:r>
          </w:p>
        </w:tc>
        <w:tc>
          <w:tcPr>
            <w:tcW w:w="1260" w:type="dxa"/>
            <w:shd w:val="clear" w:color="auto" w:fill="auto"/>
            <w:noWrap/>
            <w:vAlign w:val="center"/>
            <w:hideMark/>
          </w:tcPr>
          <w:p w14:paraId="5EB0D905" w14:textId="691166E3" w:rsidR="00D751FB" w:rsidRPr="0051039E" w:rsidRDefault="00D751FB" w:rsidP="000070BB">
            <w:pPr>
              <w:pStyle w:val="ExhibitText"/>
              <w:jc w:val="right"/>
              <w:rPr>
                <w:lang w:val="en-GB"/>
              </w:rPr>
            </w:pPr>
            <w:r w:rsidRPr="0051039E">
              <w:rPr>
                <w:lang w:val="en-GB"/>
              </w:rPr>
              <w:t xml:space="preserve"> 4,929 </w:t>
            </w:r>
          </w:p>
        </w:tc>
        <w:tc>
          <w:tcPr>
            <w:tcW w:w="1260" w:type="dxa"/>
            <w:shd w:val="clear" w:color="auto" w:fill="auto"/>
            <w:noWrap/>
            <w:vAlign w:val="center"/>
            <w:hideMark/>
          </w:tcPr>
          <w:p w14:paraId="41827ED7" w14:textId="5BA4EFF9" w:rsidR="00D751FB" w:rsidRPr="0051039E" w:rsidRDefault="00D751FB" w:rsidP="000070BB">
            <w:pPr>
              <w:pStyle w:val="ExhibitText"/>
              <w:jc w:val="right"/>
              <w:rPr>
                <w:lang w:val="en-GB"/>
              </w:rPr>
            </w:pPr>
            <w:r w:rsidRPr="0051039E">
              <w:rPr>
                <w:lang w:val="en-GB"/>
              </w:rPr>
              <w:t xml:space="preserve"> 3,849 </w:t>
            </w:r>
          </w:p>
        </w:tc>
        <w:tc>
          <w:tcPr>
            <w:tcW w:w="1260" w:type="dxa"/>
            <w:shd w:val="clear" w:color="auto" w:fill="auto"/>
            <w:noWrap/>
            <w:vAlign w:val="center"/>
            <w:hideMark/>
          </w:tcPr>
          <w:p w14:paraId="4648D8C5" w14:textId="619717AB" w:rsidR="00D751FB" w:rsidRPr="0051039E" w:rsidRDefault="00D751FB" w:rsidP="000070BB">
            <w:pPr>
              <w:pStyle w:val="ExhibitText"/>
              <w:jc w:val="right"/>
              <w:rPr>
                <w:lang w:val="en-GB"/>
              </w:rPr>
            </w:pPr>
            <w:r w:rsidRPr="0051039E">
              <w:rPr>
                <w:lang w:val="en-GB"/>
              </w:rPr>
              <w:t xml:space="preserve"> 3,021 </w:t>
            </w:r>
          </w:p>
        </w:tc>
      </w:tr>
      <w:tr w:rsidR="00D751FB" w:rsidRPr="0051039E" w14:paraId="0D3A006A" w14:textId="77777777" w:rsidTr="00E70A21">
        <w:trPr>
          <w:trHeight w:val="125"/>
        </w:trPr>
        <w:tc>
          <w:tcPr>
            <w:tcW w:w="3648" w:type="dxa"/>
            <w:shd w:val="clear" w:color="auto" w:fill="auto"/>
            <w:noWrap/>
            <w:vAlign w:val="center"/>
            <w:hideMark/>
          </w:tcPr>
          <w:p w14:paraId="610850AD" w14:textId="0D5D60A6" w:rsidR="00D751FB" w:rsidRPr="0051039E" w:rsidRDefault="00D751FB" w:rsidP="000070BB">
            <w:pPr>
              <w:pStyle w:val="ExhibitText"/>
              <w:jc w:val="left"/>
              <w:rPr>
                <w:lang w:val="en-GB"/>
              </w:rPr>
            </w:pPr>
            <w:r w:rsidRPr="0051039E">
              <w:rPr>
                <w:lang w:val="en-GB"/>
              </w:rPr>
              <w:t xml:space="preserve">Deferred </w:t>
            </w:r>
            <w:r w:rsidR="00407DFA">
              <w:rPr>
                <w:lang w:val="en-GB"/>
              </w:rPr>
              <w:t>a</w:t>
            </w:r>
            <w:r w:rsidRPr="0051039E">
              <w:rPr>
                <w:lang w:val="en-GB"/>
              </w:rPr>
              <w:t xml:space="preserve">sset </w:t>
            </w:r>
            <w:r w:rsidR="00407DFA">
              <w:rPr>
                <w:lang w:val="en-GB"/>
              </w:rPr>
              <w:t>c</w:t>
            </w:r>
            <w:r w:rsidRPr="0051039E">
              <w:rPr>
                <w:lang w:val="en-GB"/>
              </w:rPr>
              <w:t>harges</w:t>
            </w:r>
          </w:p>
        </w:tc>
        <w:tc>
          <w:tcPr>
            <w:tcW w:w="1572" w:type="dxa"/>
            <w:shd w:val="clear" w:color="auto" w:fill="auto"/>
            <w:noWrap/>
            <w:vAlign w:val="center"/>
            <w:hideMark/>
          </w:tcPr>
          <w:p w14:paraId="170BF58F" w14:textId="5494B544" w:rsidR="00D751FB" w:rsidRPr="0051039E" w:rsidRDefault="00D751FB" w:rsidP="000070BB">
            <w:pPr>
              <w:pStyle w:val="ExhibitText"/>
              <w:jc w:val="right"/>
              <w:rPr>
                <w:lang w:val="en-GB"/>
              </w:rPr>
            </w:pPr>
            <w:r w:rsidRPr="0051039E">
              <w:rPr>
                <w:lang w:val="en-GB"/>
              </w:rPr>
              <w:t xml:space="preserve"> 24,082 </w:t>
            </w:r>
          </w:p>
        </w:tc>
        <w:tc>
          <w:tcPr>
            <w:tcW w:w="1260" w:type="dxa"/>
            <w:shd w:val="clear" w:color="auto" w:fill="auto"/>
            <w:noWrap/>
            <w:vAlign w:val="center"/>
            <w:hideMark/>
          </w:tcPr>
          <w:p w14:paraId="40D83A54" w14:textId="67FACC5D" w:rsidR="00D751FB" w:rsidRPr="0051039E" w:rsidRDefault="00D751FB" w:rsidP="000070BB">
            <w:pPr>
              <w:pStyle w:val="ExhibitText"/>
              <w:jc w:val="right"/>
              <w:rPr>
                <w:lang w:val="en-GB"/>
              </w:rPr>
            </w:pPr>
            <w:r w:rsidRPr="0051039E">
              <w:rPr>
                <w:lang w:val="en-GB"/>
              </w:rPr>
              <w:t xml:space="preserve"> 23,544 </w:t>
            </w:r>
          </w:p>
        </w:tc>
        <w:tc>
          <w:tcPr>
            <w:tcW w:w="1260" w:type="dxa"/>
            <w:shd w:val="clear" w:color="auto" w:fill="auto"/>
            <w:noWrap/>
            <w:vAlign w:val="center"/>
            <w:hideMark/>
          </w:tcPr>
          <w:p w14:paraId="42427804" w14:textId="1B7F03BF" w:rsidR="00D751FB" w:rsidRPr="0051039E" w:rsidRDefault="00D751FB" w:rsidP="000070BB">
            <w:pPr>
              <w:pStyle w:val="ExhibitText"/>
              <w:jc w:val="right"/>
              <w:rPr>
                <w:lang w:val="en-GB"/>
              </w:rPr>
            </w:pPr>
            <w:r w:rsidRPr="0051039E">
              <w:rPr>
                <w:lang w:val="en-GB"/>
              </w:rPr>
              <w:t xml:space="preserve"> 33,172 </w:t>
            </w:r>
          </w:p>
        </w:tc>
        <w:tc>
          <w:tcPr>
            <w:tcW w:w="1260" w:type="dxa"/>
            <w:shd w:val="clear" w:color="auto" w:fill="auto"/>
            <w:noWrap/>
            <w:vAlign w:val="center"/>
            <w:hideMark/>
          </w:tcPr>
          <w:p w14:paraId="0B030095" w14:textId="72BF88CE" w:rsidR="00D751FB" w:rsidRPr="0051039E" w:rsidRDefault="00D751FB" w:rsidP="000070BB">
            <w:pPr>
              <w:pStyle w:val="ExhibitText"/>
              <w:jc w:val="right"/>
              <w:rPr>
                <w:lang w:val="en-GB"/>
              </w:rPr>
            </w:pPr>
            <w:r w:rsidRPr="0051039E">
              <w:rPr>
                <w:lang w:val="en-GB"/>
              </w:rPr>
              <w:t xml:space="preserve"> 36,860 </w:t>
            </w:r>
          </w:p>
        </w:tc>
      </w:tr>
      <w:tr w:rsidR="00D751FB" w:rsidRPr="0051039E" w14:paraId="6C6AA78D" w14:textId="77777777" w:rsidTr="00E70A21">
        <w:trPr>
          <w:trHeight w:val="62"/>
        </w:trPr>
        <w:tc>
          <w:tcPr>
            <w:tcW w:w="3648" w:type="dxa"/>
            <w:shd w:val="clear" w:color="auto" w:fill="auto"/>
            <w:noWrap/>
            <w:vAlign w:val="center"/>
            <w:hideMark/>
          </w:tcPr>
          <w:p w14:paraId="052EA366" w14:textId="52517E92" w:rsidR="00D751FB" w:rsidRPr="0051039E" w:rsidRDefault="00D751FB" w:rsidP="000070BB">
            <w:pPr>
              <w:pStyle w:val="ExhibitText"/>
              <w:jc w:val="left"/>
              <w:rPr>
                <w:lang w:val="en-GB"/>
              </w:rPr>
            </w:pPr>
            <w:r w:rsidRPr="0051039E">
              <w:rPr>
                <w:lang w:val="en-GB"/>
              </w:rPr>
              <w:t xml:space="preserve">Total </w:t>
            </w:r>
            <w:r w:rsidR="00407DFA">
              <w:rPr>
                <w:lang w:val="en-GB"/>
              </w:rPr>
              <w:t>a</w:t>
            </w:r>
            <w:r w:rsidRPr="0051039E">
              <w:rPr>
                <w:lang w:val="en-GB"/>
              </w:rPr>
              <w:t>ssets</w:t>
            </w:r>
          </w:p>
        </w:tc>
        <w:tc>
          <w:tcPr>
            <w:tcW w:w="1572" w:type="dxa"/>
            <w:shd w:val="clear" w:color="auto" w:fill="auto"/>
            <w:noWrap/>
            <w:vAlign w:val="center"/>
            <w:hideMark/>
          </w:tcPr>
          <w:p w14:paraId="693F3F11" w14:textId="6B64DFB9" w:rsidR="00D751FB" w:rsidRPr="0051039E" w:rsidRDefault="00D751FB" w:rsidP="000070BB">
            <w:pPr>
              <w:pStyle w:val="ExhibitText"/>
              <w:jc w:val="right"/>
              <w:rPr>
                <w:lang w:val="en-GB"/>
              </w:rPr>
            </w:pPr>
            <w:r w:rsidRPr="0051039E">
              <w:rPr>
                <w:lang w:val="en-GB"/>
              </w:rPr>
              <w:t xml:space="preserve"> 227,339 </w:t>
            </w:r>
          </w:p>
        </w:tc>
        <w:tc>
          <w:tcPr>
            <w:tcW w:w="1260" w:type="dxa"/>
            <w:shd w:val="clear" w:color="auto" w:fill="auto"/>
            <w:noWrap/>
            <w:vAlign w:val="center"/>
            <w:hideMark/>
          </w:tcPr>
          <w:p w14:paraId="3A63662A" w14:textId="17E79A18" w:rsidR="00D751FB" w:rsidRPr="0051039E" w:rsidRDefault="00D751FB" w:rsidP="000070BB">
            <w:pPr>
              <w:pStyle w:val="ExhibitText"/>
              <w:jc w:val="right"/>
              <w:rPr>
                <w:lang w:val="en-GB"/>
              </w:rPr>
            </w:pPr>
            <w:r w:rsidRPr="0051039E">
              <w:rPr>
                <w:lang w:val="en-GB"/>
              </w:rPr>
              <w:t xml:space="preserve"> 212,482 </w:t>
            </w:r>
          </w:p>
        </w:tc>
        <w:tc>
          <w:tcPr>
            <w:tcW w:w="1260" w:type="dxa"/>
            <w:shd w:val="clear" w:color="auto" w:fill="auto"/>
            <w:noWrap/>
            <w:vAlign w:val="center"/>
            <w:hideMark/>
          </w:tcPr>
          <w:p w14:paraId="12531DD2" w14:textId="2B0F5520" w:rsidR="00D751FB" w:rsidRPr="0051039E" w:rsidRDefault="00D751FB" w:rsidP="000070BB">
            <w:pPr>
              <w:pStyle w:val="ExhibitText"/>
              <w:jc w:val="right"/>
              <w:rPr>
                <w:lang w:val="en-GB"/>
              </w:rPr>
            </w:pPr>
            <w:r w:rsidRPr="0051039E">
              <w:rPr>
                <w:lang w:val="en-GB"/>
              </w:rPr>
              <w:t xml:space="preserve"> 221,690 </w:t>
            </w:r>
          </w:p>
        </w:tc>
        <w:tc>
          <w:tcPr>
            <w:tcW w:w="1260" w:type="dxa"/>
            <w:shd w:val="clear" w:color="auto" w:fill="auto"/>
            <w:noWrap/>
            <w:vAlign w:val="center"/>
            <w:hideMark/>
          </w:tcPr>
          <w:p w14:paraId="19ABBC7C" w14:textId="06416E44" w:rsidR="00D751FB" w:rsidRPr="0051039E" w:rsidRDefault="00D751FB" w:rsidP="000070BB">
            <w:pPr>
              <w:pStyle w:val="ExhibitText"/>
              <w:jc w:val="right"/>
              <w:rPr>
                <w:lang w:val="en-GB"/>
              </w:rPr>
            </w:pPr>
            <w:r w:rsidRPr="0051039E">
              <w:rPr>
                <w:lang w:val="en-GB"/>
              </w:rPr>
              <w:t xml:space="preserve"> 194,338 </w:t>
            </w:r>
          </w:p>
        </w:tc>
      </w:tr>
      <w:tr w:rsidR="00D751FB" w:rsidRPr="0051039E" w14:paraId="057BCEA4" w14:textId="77777777" w:rsidTr="00E70A21">
        <w:trPr>
          <w:trHeight w:val="188"/>
        </w:trPr>
        <w:tc>
          <w:tcPr>
            <w:tcW w:w="3648" w:type="dxa"/>
            <w:shd w:val="clear" w:color="auto" w:fill="auto"/>
            <w:noWrap/>
            <w:vAlign w:val="center"/>
            <w:hideMark/>
          </w:tcPr>
          <w:p w14:paraId="5BAFA903" w14:textId="1B717EB5" w:rsidR="00D751FB" w:rsidRPr="00152AE1" w:rsidRDefault="00D751FB" w:rsidP="000070BB">
            <w:pPr>
              <w:pStyle w:val="ExhibitText"/>
              <w:jc w:val="left"/>
              <w:rPr>
                <w:b/>
                <w:lang w:val="en-GB"/>
              </w:rPr>
            </w:pPr>
            <w:r w:rsidRPr="00152AE1">
              <w:rPr>
                <w:b/>
                <w:lang w:val="en-GB"/>
              </w:rPr>
              <w:t xml:space="preserve">Current </w:t>
            </w:r>
            <w:r w:rsidR="00407DFA" w:rsidRPr="00152AE1">
              <w:rPr>
                <w:b/>
                <w:lang w:val="en-GB"/>
              </w:rPr>
              <w:t>l</w:t>
            </w:r>
            <w:r w:rsidRPr="00152AE1">
              <w:rPr>
                <w:b/>
                <w:lang w:val="en-GB"/>
              </w:rPr>
              <w:t>iabilities</w:t>
            </w:r>
          </w:p>
        </w:tc>
        <w:tc>
          <w:tcPr>
            <w:tcW w:w="1572" w:type="dxa"/>
            <w:shd w:val="clear" w:color="auto" w:fill="auto"/>
            <w:noWrap/>
            <w:vAlign w:val="center"/>
            <w:hideMark/>
          </w:tcPr>
          <w:p w14:paraId="7CF3BFDD" w14:textId="77777777" w:rsidR="00D751FB" w:rsidRPr="0051039E" w:rsidRDefault="00D751FB" w:rsidP="000070BB">
            <w:pPr>
              <w:pStyle w:val="ExhibitText"/>
              <w:jc w:val="right"/>
              <w:rPr>
                <w:lang w:val="en-GB"/>
              </w:rPr>
            </w:pPr>
          </w:p>
        </w:tc>
        <w:tc>
          <w:tcPr>
            <w:tcW w:w="1260" w:type="dxa"/>
            <w:shd w:val="clear" w:color="auto" w:fill="auto"/>
            <w:noWrap/>
            <w:vAlign w:val="center"/>
            <w:hideMark/>
          </w:tcPr>
          <w:p w14:paraId="2E147114" w14:textId="77777777" w:rsidR="00D751FB" w:rsidRPr="0051039E" w:rsidRDefault="00D751FB" w:rsidP="000070BB">
            <w:pPr>
              <w:pStyle w:val="ExhibitText"/>
              <w:jc w:val="right"/>
              <w:rPr>
                <w:lang w:val="en-GB"/>
              </w:rPr>
            </w:pPr>
          </w:p>
        </w:tc>
        <w:tc>
          <w:tcPr>
            <w:tcW w:w="1260" w:type="dxa"/>
            <w:shd w:val="clear" w:color="auto" w:fill="auto"/>
            <w:noWrap/>
            <w:vAlign w:val="center"/>
            <w:hideMark/>
          </w:tcPr>
          <w:p w14:paraId="6142E667" w14:textId="77777777" w:rsidR="00D751FB" w:rsidRPr="0051039E" w:rsidRDefault="00D751FB" w:rsidP="000070BB">
            <w:pPr>
              <w:pStyle w:val="ExhibitText"/>
              <w:jc w:val="right"/>
              <w:rPr>
                <w:lang w:val="en-GB"/>
              </w:rPr>
            </w:pPr>
          </w:p>
        </w:tc>
        <w:tc>
          <w:tcPr>
            <w:tcW w:w="1260" w:type="dxa"/>
            <w:shd w:val="clear" w:color="auto" w:fill="auto"/>
            <w:noWrap/>
            <w:vAlign w:val="center"/>
            <w:hideMark/>
          </w:tcPr>
          <w:p w14:paraId="5E8DEAF6" w14:textId="77777777" w:rsidR="00D751FB" w:rsidRPr="0051039E" w:rsidRDefault="00D751FB" w:rsidP="000070BB">
            <w:pPr>
              <w:pStyle w:val="ExhibitText"/>
              <w:jc w:val="right"/>
              <w:rPr>
                <w:lang w:val="en-GB"/>
              </w:rPr>
            </w:pPr>
            <w:r w:rsidRPr="0051039E">
              <w:rPr>
                <w:lang w:val="en-GB"/>
              </w:rPr>
              <w:t> </w:t>
            </w:r>
          </w:p>
        </w:tc>
      </w:tr>
      <w:tr w:rsidR="00D751FB" w:rsidRPr="0051039E" w14:paraId="346CEA8B" w14:textId="77777777" w:rsidTr="00E70A21">
        <w:trPr>
          <w:trHeight w:val="125"/>
        </w:trPr>
        <w:tc>
          <w:tcPr>
            <w:tcW w:w="3648" w:type="dxa"/>
            <w:shd w:val="clear" w:color="auto" w:fill="auto"/>
            <w:noWrap/>
            <w:vAlign w:val="center"/>
            <w:hideMark/>
          </w:tcPr>
          <w:p w14:paraId="79B312EF" w14:textId="6C16AD29" w:rsidR="00D751FB" w:rsidRPr="0051039E" w:rsidRDefault="00D751FB" w:rsidP="000070BB">
            <w:pPr>
              <w:pStyle w:val="ExhibitText"/>
              <w:jc w:val="left"/>
              <w:rPr>
                <w:lang w:val="en-GB"/>
              </w:rPr>
            </w:pPr>
            <w:r w:rsidRPr="0051039E">
              <w:rPr>
                <w:lang w:val="en-GB"/>
              </w:rPr>
              <w:t xml:space="preserve">Accounts </w:t>
            </w:r>
            <w:r w:rsidR="00407DFA">
              <w:rPr>
                <w:lang w:val="en-GB"/>
              </w:rPr>
              <w:t>p</w:t>
            </w:r>
            <w:r w:rsidRPr="0051039E">
              <w:rPr>
                <w:lang w:val="en-GB"/>
              </w:rPr>
              <w:t>ayable</w:t>
            </w:r>
          </w:p>
        </w:tc>
        <w:tc>
          <w:tcPr>
            <w:tcW w:w="1572" w:type="dxa"/>
            <w:shd w:val="clear" w:color="auto" w:fill="auto"/>
            <w:noWrap/>
            <w:vAlign w:val="center"/>
            <w:hideMark/>
          </w:tcPr>
          <w:p w14:paraId="65EA6537" w14:textId="38F03F8C" w:rsidR="00D751FB" w:rsidRPr="0051039E" w:rsidRDefault="00D751FB" w:rsidP="000070BB">
            <w:pPr>
              <w:pStyle w:val="ExhibitText"/>
              <w:jc w:val="right"/>
              <w:rPr>
                <w:lang w:val="en-GB"/>
              </w:rPr>
            </w:pPr>
            <w:r w:rsidRPr="0051039E">
              <w:rPr>
                <w:lang w:val="en-GB"/>
              </w:rPr>
              <w:t xml:space="preserve"> 50,346 </w:t>
            </w:r>
          </w:p>
        </w:tc>
        <w:tc>
          <w:tcPr>
            <w:tcW w:w="1260" w:type="dxa"/>
            <w:shd w:val="clear" w:color="auto" w:fill="auto"/>
            <w:noWrap/>
            <w:vAlign w:val="center"/>
            <w:hideMark/>
          </w:tcPr>
          <w:p w14:paraId="6C39DBB3" w14:textId="73C2A94F" w:rsidR="00D751FB" w:rsidRPr="0051039E" w:rsidRDefault="00D751FB" w:rsidP="000070BB">
            <w:pPr>
              <w:pStyle w:val="ExhibitText"/>
              <w:jc w:val="right"/>
              <w:rPr>
                <w:lang w:val="en-GB"/>
              </w:rPr>
            </w:pPr>
            <w:r w:rsidRPr="0051039E">
              <w:rPr>
                <w:lang w:val="en-GB"/>
              </w:rPr>
              <w:t xml:space="preserve"> 49,925 </w:t>
            </w:r>
          </w:p>
        </w:tc>
        <w:tc>
          <w:tcPr>
            <w:tcW w:w="1260" w:type="dxa"/>
            <w:shd w:val="clear" w:color="auto" w:fill="auto"/>
            <w:noWrap/>
            <w:vAlign w:val="center"/>
            <w:hideMark/>
          </w:tcPr>
          <w:p w14:paraId="02AE5160" w14:textId="0DE63888" w:rsidR="00D751FB" w:rsidRPr="0051039E" w:rsidRDefault="00D751FB" w:rsidP="000070BB">
            <w:pPr>
              <w:pStyle w:val="ExhibitText"/>
              <w:jc w:val="right"/>
              <w:rPr>
                <w:lang w:val="en-GB"/>
              </w:rPr>
            </w:pPr>
            <w:r w:rsidRPr="0051039E">
              <w:rPr>
                <w:lang w:val="en-GB"/>
              </w:rPr>
              <w:t xml:space="preserve"> 49,226 </w:t>
            </w:r>
          </w:p>
        </w:tc>
        <w:tc>
          <w:tcPr>
            <w:tcW w:w="1260" w:type="dxa"/>
            <w:shd w:val="clear" w:color="auto" w:fill="auto"/>
            <w:noWrap/>
            <w:vAlign w:val="center"/>
            <w:hideMark/>
          </w:tcPr>
          <w:p w14:paraId="7474805A" w14:textId="5413848F" w:rsidR="00D751FB" w:rsidRPr="0051039E" w:rsidRDefault="00D751FB" w:rsidP="000070BB">
            <w:pPr>
              <w:pStyle w:val="ExhibitText"/>
              <w:jc w:val="right"/>
              <w:rPr>
                <w:lang w:val="en-GB"/>
              </w:rPr>
            </w:pPr>
            <w:r w:rsidRPr="0051039E">
              <w:rPr>
                <w:lang w:val="en-GB"/>
              </w:rPr>
              <w:t xml:space="preserve"> 51,655 </w:t>
            </w:r>
          </w:p>
        </w:tc>
      </w:tr>
      <w:tr w:rsidR="00D751FB" w:rsidRPr="0051039E" w14:paraId="539D340C" w14:textId="77777777" w:rsidTr="00E70A21">
        <w:trPr>
          <w:trHeight w:val="62"/>
        </w:trPr>
        <w:tc>
          <w:tcPr>
            <w:tcW w:w="3648" w:type="dxa"/>
            <w:shd w:val="clear" w:color="auto" w:fill="auto"/>
            <w:noWrap/>
            <w:vAlign w:val="center"/>
            <w:hideMark/>
          </w:tcPr>
          <w:p w14:paraId="516EABFD" w14:textId="3CFDDBB5" w:rsidR="00D751FB" w:rsidRPr="0051039E" w:rsidRDefault="00D751FB" w:rsidP="000070BB">
            <w:pPr>
              <w:pStyle w:val="ExhibitText"/>
              <w:jc w:val="left"/>
              <w:rPr>
                <w:lang w:val="en-GB"/>
              </w:rPr>
            </w:pPr>
            <w:r w:rsidRPr="0051039E">
              <w:rPr>
                <w:lang w:val="en-GB"/>
              </w:rPr>
              <w:t>Short</w:t>
            </w:r>
            <w:r w:rsidR="00BA57E7">
              <w:rPr>
                <w:lang w:val="en-GB"/>
              </w:rPr>
              <w:t>-</w:t>
            </w:r>
            <w:r w:rsidRPr="0051039E">
              <w:rPr>
                <w:lang w:val="en-GB"/>
              </w:rPr>
              <w:t xml:space="preserve">Term </w:t>
            </w:r>
            <w:r w:rsidR="00407DFA">
              <w:rPr>
                <w:lang w:val="en-GB"/>
              </w:rPr>
              <w:t>d</w:t>
            </w:r>
            <w:r w:rsidRPr="0051039E">
              <w:rPr>
                <w:lang w:val="en-GB"/>
              </w:rPr>
              <w:t>ebt</w:t>
            </w:r>
          </w:p>
        </w:tc>
        <w:tc>
          <w:tcPr>
            <w:tcW w:w="1572" w:type="dxa"/>
            <w:shd w:val="clear" w:color="auto" w:fill="auto"/>
            <w:noWrap/>
            <w:vAlign w:val="center"/>
            <w:hideMark/>
          </w:tcPr>
          <w:p w14:paraId="1DC8EC6B" w14:textId="0BD142E9" w:rsidR="00D751FB" w:rsidRPr="0051039E" w:rsidRDefault="00D751FB" w:rsidP="000070BB">
            <w:pPr>
              <w:pStyle w:val="ExhibitText"/>
              <w:jc w:val="right"/>
              <w:rPr>
                <w:lang w:val="en-GB"/>
              </w:rPr>
            </w:pPr>
            <w:r w:rsidRPr="0051039E">
              <w:rPr>
                <w:lang w:val="en-GB"/>
              </w:rPr>
              <w:t xml:space="preserve"> 31,891 </w:t>
            </w:r>
          </w:p>
        </w:tc>
        <w:tc>
          <w:tcPr>
            <w:tcW w:w="1260" w:type="dxa"/>
            <w:shd w:val="clear" w:color="auto" w:fill="auto"/>
            <w:noWrap/>
            <w:vAlign w:val="center"/>
            <w:hideMark/>
          </w:tcPr>
          <w:p w14:paraId="402280BD" w14:textId="760099C4" w:rsidR="00D751FB" w:rsidRPr="0051039E" w:rsidRDefault="00D751FB" w:rsidP="000070BB">
            <w:pPr>
              <w:pStyle w:val="ExhibitText"/>
              <w:jc w:val="right"/>
              <w:rPr>
                <w:lang w:val="en-GB"/>
              </w:rPr>
            </w:pPr>
            <w:r w:rsidRPr="0051039E">
              <w:rPr>
                <w:lang w:val="en-GB"/>
              </w:rPr>
              <w:t xml:space="preserve"> 26,965 </w:t>
            </w:r>
          </w:p>
        </w:tc>
        <w:tc>
          <w:tcPr>
            <w:tcW w:w="1260" w:type="dxa"/>
            <w:shd w:val="clear" w:color="auto" w:fill="auto"/>
            <w:noWrap/>
            <w:vAlign w:val="center"/>
            <w:hideMark/>
          </w:tcPr>
          <w:p w14:paraId="06B1B186" w14:textId="1017EC17" w:rsidR="00D751FB" w:rsidRPr="0051039E" w:rsidRDefault="00D751FB" w:rsidP="000070BB">
            <w:pPr>
              <w:pStyle w:val="ExhibitText"/>
              <w:jc w:val="right"/>
              <w:rPr>
                <w:lang w:val="en-GB"/>
              </w:rPr>
            </w:pPr>
            <w:r w:rsidRPr="0051039E">
              <w:rPr>
                <w:lang w:val="en-GB"/>
              </w:rPr>
              <w:t xml:space="preserve"> 23,797 </w:t>
            </w:r>
          </w:p>
        </w:tc>
        <w:tc>
          <w:tcPr>
            <w:tcW w:w="1260" w:type="dxa"/>
            <w:shd w:val="clear" w:color="auto" w:fill="auto"/>
            <w:noWrap/>
            <w:vAlign w:val="center"/>
            <w:hideMark/>
          </w:tcPr>
          <w:p w14:paraId="69F41381" w14:textId="00C8F9D0" w:rsidR="00D751FB" w:rsidRPr="0051039E" w:rsidRDefault="00D751FB" w:rsidP="000070BB">
            <w:pPr>
              <w:pStyle w:val="ExhibitText"/>
              <w:jc w:val="right"/>
              <w:rPr>
                <w:lang w:val="en-GB"/>
              </w:rPr>
            </w:pPr>
            <w:r w:rsidRPr="0051039E">
              <w:rPr>
                <w:lang w:val="en-GB"/>
              </w:rPr>
              <w:t xml:space="preserve"> 19,562 </w:t>
            </w:r>
          </w:p>
        </w:tc>
      </w:tr>
      <w:tr w:rsidR="00D751FB" w:rsidRPr="0051039E" w14:paraId="66246560" w14:textId="77777777" w:rsidTr="00E70A21">
        <w:trPr>
          <w:trHeight w:val="56"/>
        </w:trPr>
        <w:tc>
          <w:tcPr>
            <w:tcW w:w="3648" w:type="dxa"/>
            <w:shd w:val="clear" w:color="auto" w:fill="auto"/>
            <w:noWrap/>
            <w:vAlign w:val="center"/>
            <w:hideMark/>
          </w:tcPr>
          <w:p w14:paraId="50E297AF" w14:textId="1740A7B1" w:rsidR="00D751FB" w:rsidRPr="0051039E" w:rsidRDefault="00D751FB" w:rsidP="000070BB">
            <w:pPr>
              <w:pStyle w:val="ExhibitText"/>
              <w:jc w:val="left"/>
              <w:rPr>
                <w:lang w:val="en-GB"/>
              </w:rPr>
            </w:pPr>
            <w:r w:rsidRPr="0051039E">
              <w:rPr>
                <w:lang w:val="en-GB"/>
              </w:rPr>
              <w:t xml:space="preserve">Other </w:t>
            </w:r>
            <w:r w:rsidR="00407DFA">
              <w:rPr>
                <w:lang w:val="en-GB"/>
              </w:rPr>
              <w:t>c</w:t>
            </w:r>
            <w:r w:rsidRPr="0051039E">
              <w:rPr>
                <w:lang w:val="en-GB"/>
              </w:rPr>
              <w:t xml:space="preserve">urrent </w:t>
            </w:r>
            <w:r w:rsidR="00407DFA">
              <w:rPr>
                <w:lang w:val="en-GB"/>
              </w:rPr>
              <w:t>l</w:t>
            </w:r>
            <w:r w:rsidRPr="0051039E">
              <w:rPr>
                <w:lang w:val="en-GB"/>
              </w:rPr>
              <w:t>iabilities</w:t>
            </w:r>
          </w:p>
        </w:tc>
        <w:tc>
          <w:tcPr>
            <w:tcW w:w="1572" w:type="dxa"/>
            <w:shd w:val="clear" w:color="auto" w:fill="auto"/>
            <w:noWrap/>
            <w:vAlign w:val="center"/>
            <w:hideMark/>
          </w:tcPr>
          <w:p w14:paraId="1FE200EC" w14:textId="266DED2C" w:rsidR="00D751FB" w:rsidRPr="0051039E" w:rsidRDefault="00407DFA" w:rsidP="000070BB">
            <w:pPr>
              <w:pStyle w:val="ExhibitText"/>
              <w:jc w:val="right"/>
              <w:rPr>
                <w:lang w:val="en-GB"/>
              </w:rPr>
            </w:pPr>
            <w:r>
              <w:rPr>
                <w:rFonts w:eastAsia="Calibri"/>
                <w:lang w:val="en-GB"/>
              </w:rPr>
              <w:t>–</w:t>
            </w:r>
            <w:r w:rsidR="00D751FB" w:rsidRPr="0051039E">
              <w:rPr>
                <w:lang w:val="en-GB"/>
              </w:rPr>
              <w:t xml:space="preserve"> </w:t>
            </w:r>
          </w:p>
        </w:tc>
        <w:tc>
          <w:tcPr>
            <w:tcW w:w="1260" w:type="dxa"/>
            <w:shd w:val="clear" w:color="auto" w:fill="auto"/>
            <w:noWrap/>
            <w:vAlign w:val="center"/>
            <w:hideMark/>
          </w:tcPr>
          <w:p w14:paraId="3C4A2A3D" w14:textId="6230697B" w:rsidR="00D751FB" w:rsidRPr="0051039E" w:rsidRDefault="00407DFA" w:rsidP="000070BB">
            <w:pPr>
              <w:pStyle w:val="ExhibitText"/>
              <w:jc w:val="right"/>
              <w:rPr>
                <w:lang w:val="en-GB"/>
              </w:rPr>
            </w:pPr>
            <w:r>
              <w:rPr>
                <w:rFonts w:eastAsia="Calibri"/>
                <w:lang w:val="en-GB"/>
              </w:rPr>
              <w:t>–</w:t>
            </w:r>
            <w:r w:rsidR="00D751FB" w:rsidRPr="0051039E">
              <w:rPr>
                <w:lang w:val="en-GB"/>
              </w:rPr>
              <w:t xml:space="preserve"> </w:t>
            </w:r>
          </w:p>
        </w:tc>
        <w:tc>
          <w:tcPr>
            <w:tcW w:w="1260" w:type="dxa"/>
            <w:shd w:val="clear" w:color="auto" w:fill="auto"/>
            <w:noWrap/>
            <w:vAlign w:val="center"/>
            <w:hideMark/>
          </w:tcPr>
          <w:p w14:paraId="04432B19" w14:textId="087B591D" w:rsidR="00D751FB" w:rsidRPr="0051039E" w:rsidRDefault="00D751FB" w:rsidP="000070BB">
            <w:pPr>
              <w:pStyle w:val="ExhibitText"/>
              <w:jc w:val="right"/>
              <w:rPr>
                <w:lang w:val="en-GB"/>
              </w:rPr>
            </w:pPr>
            <w:r w:rsidRPr="0051039E">
              <w:rPr>
                <w:lang w:val="en-GB"/>
              </w:rPr>
              <w:t xml:space="preserve"> 12,158 </w:t>
            </w:r>
          </w:p>
        </w:tc>
        <w:tc>
          <w:tcPr>
            <w:tcW w:w="1260" w:type="dxa"/>
            <w:shd w:val="clear" w:color="auto" w:fill="auto"/>
            <w:noWrap/>
            <w:vAlign w:val="center"/>
            <w:hideMark/>
          </w:tcPr>
          <w:p w14:paraId="1FD915C2" w14:textId="764B6BDF" w:rsidR="00D751FB" w:rsidRPr="0051039E" w:rsidRDefault="00407DFA" w:rsidP="000070BB">
            <w:pPr>
              <w:pStyle w:val="ExhibitText"/>
              <w:jc w:val="right"/>
              <w:rPr>
                <w:lang w:val="en-GB"/>
              </w:rPr>
            </w:pPr>
            <w:r>
              <w:rPr>
                <w:rFonts w:eastAsia="Calibri"/>
                <w:lang w:val="en-GB"/>
              </w:rPr>
              <w:t>–</w:t>
            </w:r>
            <w:r w:rsidR="00D751FB" w:rsidRPr="0051039E">
              <w:rPr>
                <w:lang w:val="en-GB"/>
              </w:rPr>
              <w:t xml:space="preserve"> </w:t>
            </w:r>
          </w:p>
        </w:tc>
      </w:tr>
      <w:tr w:rsidR="00D751FB" w:rsidRPr="0051039E" w14:paraId="7B5DFCB8" w14:textId="77777777" w:rsidTr="00E70A21">
        <w:trPr>
          <w:trHeight w:val="56"/>
        </w:trPr>
        <w:tc>
          <w:tcPr>
            <w:tcW w:w="3648" w:type="dxa"/>
            <w:shd w:val="clear" w:color="auto" w:fill="auto"/>
            <w:noWrap/>
            <w:vAlign w:val="center"/>
            <w:hideMark/>
          </w:tcPr>
          <w:p w14:paraId="1D521308" w14:textId="41D65F7E" w:rsidR="00D751FB" w:rsidRPr="0051039E" w:rsidRDefault="00D751FB" w:rsidP="000070BB">
            <w:pPr>
              <w:pStyle w:val="ExhibitText"/>
              <w:jc w:val="left"/>
              <w:rPr>
                <w:lang w:val="en-GB"/>
              </w:rPr>
            </w:pPr>
            <w:r w:rsidRPr="0051039E">
              <w:rPr>
                <w:lang w:val="en-GB"/>
              </w:rPr>
              <w:t xml:space="preserve">Total </w:t>
            </w:r>
            <w:r w:rsidR="00407DFA">
              <w:rPr>
                <w:lang w:val="en-GB"/>
              </w:rPr>
              <w:t>c</w:t>
            </w:r>
            <w:r w:rsidRPr="0051039E">
              <w:rPr>
                <w:lang w:val="en-GB"/>
              </w:rPr>
              <w:t xml:space="preserve">urrent </w:t>
            </w:r>
            <w:r w:rsidR="00407DFA">
              <w:rPr>
                <w:lang w:val="en-GB"/>
              </w:rPr>
              <w:t>l</w:t>
            </w:r>
            <w:r w:rsidRPr="0051039E">
              <w:rPr>
                <w:lang w:val="en-GB"/>
              </w:rPr>
              <w:t>iabilities</w:t>
            </w:r>
          </w:p>
        </w:tc>
        <w:tc>
          <w:tcPr>
            <w:tcW w:w="1572" w:type="dxa"/>
            <w:shd w:val="clear" w:color="auto" w:fill="auto"/>
            <w:noWrap/>
            <w:vAlign w:val="center"/>
            <w:hideMark/>
          </w:tcPr>
          <w:p w14:paraId="70B0D6BF" w14:textId="18DC5E88" w:rsidR="00D751FB" w:rsidRPr="0051039E" w:rsidRDefault="00D751FB" w:rsidP="000070BB">
            <w:pPr>
              <w:pStyle w:val="ExhibitText"/>
              <w:jc w:val="right"/>
              <w:rPr>
                <w:lang w:val="en-GB"/>
              </w:rPr>
            </w:pPr>
            <w:r w:rsidRPr="0051039E">
              <w:rPr>
                <w:lang w:val="en-GB"/>
              </w:rPr>
              <w:t xml:space="preserve"> 82,237 </w:t>
            </w:r>
          </w:p>
        </w:tc>
        <w:tc>
          <w:tcPr>
            <w:tcW w:w="1260" w:type="dxa"/>
            <w:shd w:val="clear" w:color="auto" w:fill="auto"/>
            <w:noWrap/>
            <w:vAlign w:val="center"/>
            <w:hideMark/>
          </w:tcPr>
          <w:p w14:paraId="4B2B4A1B" w14:textId="59234692" w:rsidR="00D751FB" w:rsidRPr="0051039E" w:rsidRDefault="00D751FB" w:rsidP="000070BB">
            <w:pPr>
              <w:pStyle w:val="ExhibitText"/>
              <w:jc w:val="right"/>
              <w:rPr>
                <w:lang w:val="en-GB"/>
              </w:rPr>
            </w:pPr>
            <w:r w:rsidRPr="0051039E">
              <w:rPr>
                <w:lang w:val="en-GB"/>
              </w:rPr>
              <w:t xml:space="preserve"> 76,890 </w:t>
            </w:r>
          </w:p>
        </w:tc>
        <w:tc>
          <w:tcPr>
            <w:tcW w:w="1260" w:type="dxa"/>
            <w:shd w:val="clear" w:color="auto" w:fill="auto"/>
            <w:noWrap/>
            <w:vAlign w:val="center"/>
            <w:hideMark/>
          </w:tcPr>
          <w:p w14:paraId="56C6DD3A" w14:textId="39572D99" w:rsidR="00D751FB" w:rsidRPr="0051039E" w:rsidRDefault="00D751FB" w:rsidP="000070BB">
            <w:pPr>
              <w:pStyle w:val="ExhibitText"/>
              <w:jc w:val="right"/>
              <w:rPr>
                <w:lang w:val="en-GB"/>
              </w:rPr>
            </w:pPr>
            <w:r w:rsidRPr="0051039E">
              <w:rPr>
                <w:lang w:val="en-GB"/>
              </w:rPr>
              <w:t xml:space="preserve"> 85,181 </w:t>
            </w:r>
          </w:p>
        </w:tc>
        <w:tc>
          <w:tcPr>
            <w:tcW w:w="1260" w:type="dxa"/>
            <w:shd w:val="clear" w:color="auto" w:fill="auto"/>
            <w:noWrap/>
            <w:vAlign w:val="center"/>
            <w:hideMark/>
          </w:tcPr>
          <w:p w14:paraId="2621D7BC" w14:textId="607D2943" w:rsidR="00D751FB" w:rsidRPr="0051039E" w:rsidRDefault="00D751FB" w:rsidP="000070BB">
            <w:pPr>
              <w:pStyle w:val="ExhibitText"/>
              <w:jc w:val="right"/>
              <w:rPr>
                <w:lang w:val="en-GB"/>
              </w:rPr>
            </w:pPr>
            <w:r w:rsidRPr="0051039E">
              <w:rPr>
                <w:lang w:val="en-GB"/>
              </w:rPr>
              <w:t xml:space="preserve"> 71,217 </w:t>
            </w:r>
          </w:p>
        </w:tc>
      </w:tr>
      <w:tr w:rsidR="00D751FB" w:rsidRPr="0051039E" w14:paraId="24BDC978" w14:textId="77777777" w:rsidTr="00E70A21">
        <w:trPr>
          <w:trHeight w:val="152"/>
        </w:trPr>
        <w:tc>
          <w:tcPr>
            <w:tcW w:w="3648" w:type="dxa"/>
            <w:shd w:val="clear" w:color="auto" w:fill="auto"/>
            <w:noWrap/>
            <w:vAlign w:val="center"/>
            <w:hideMark/>
          </w:tcPr>
          <w:p w14:paraId="5FB50C3D" w14:textId="581A2AC1" w:rsidR="00D751FB" w:rsidRPr="0051039E" w:rsidRDefault="00D751FB" w:rsidP="000070BB">
            <w:pPr>
              <w:pStyle w:val="ExhibitText"/>
              <w:jc w:val="left"/>
              <w:rPr>
                <w:lang w:val="en-GB"/>
              </w:rPr>
            </w:pPr>
            <w:r w:rsidRPr="0051039E">
              <w:rPr>
                <w:lang w:val="en-GB"/>
              </w:rPr>
              <w:t>Long</w:t>
            </w:r>
            <w:r w:rsidR="00BA57E7">
              <w:rPr>
                <w:lang w:val="en-GB"/>
              </w:rPr>
              <w:t>-</w:t>
            </w:r>
            <w:r w:rsidRPr="0051039E">
              <w:rPr>
                <w:lang w:val="en-GB"/>
              </w:rPr>
              <w:t xml:space="preserve">Term </w:t>
            </w:r>
            <w:r w:rsidR="00407DFA">
              <w:rPr>
                <w:lang w:val="en-GB"/>
              </w:rPr>
              <w:t>d</w:t>
            </w:r>
            <w:r w:rsidRPr="0051039E">
              <w:rPr>
                <w:lang w:val="en-GB"/>
              </w:rPr>
              <w:t>ebt</w:t>
            </w:r>
          </w:p>
        </w:tc>
        <w:tc>
          <w:tcPr>
            <w:tcW w:w="1572" w:type="dxa"/>
            <w:shd w:val="clear" w:color="auto" w:fill="auto"/>
            <w:noWrap/>
            <w:vAlign w:val="center"/>
            <w:hideMark/>
          </w:tcPr>
          <w:p w14:paraId="3FA3617E" w14:textId="3CA4D1A5" w:rsidR="00D751FB" w:rsidRPr="0051039E" w:rsidRDefault="00D751FB" w:rsidP="000070BB">
            <w:pPr>
              <w:pStyle w:val="ExhibitText"/>
              <w:jc w:val="right"/>
              <w:rPr>
                <w:lang w:val="en-GB"/>
              </w:rPr>
            </w:pPr>
            <w:r w:rsidRPr="0051039E">
              <w:rPr>
                <w:lang w:val="en-GB"/>
              </w:rPr>
              <w:t xml:space="preserve"> 73,060 </w:t>
            </w:r>
          </w:p>
        </w:tc>
        <w:tc>
          <w:tcPr>
            <w:tcW w:w="1260" w:type="dxa"/>
            <w:shd w:val="clear" w:color="auto" w:fill="auto"/>
            <w:noWrap/>
            <w:vAlign w:val="center"/>
            <w:hideMark/>
          </w:tcPr>
          <w:p w14:paraId="79DFF6BC" w14:textId="1A0B8CC6" w:rsidR="00D751FB" w:rsidRPr="0051039E" w:rsidRDefault="00D751FB" w:rsidP="000070BB">
            <w:pPr>
              <w:pStyle w:val="ExhibitText"/>
              <w:jc w:val="right"/>
              <w:rPr>
                <w:lang w:val="en-GB"/>
              </w:rPr>
            </w:pPr>
            <w:r w:rsidRPr="0051039E">
              <w:rPr>
                <w:lang w:val="en-GB"/>
              </w:rPr>
              <w:t xml:space="preserve"> 67,254 </w:t>
            </w:r>
          </w:p>
        </w:tc>
        <w:tc>
          <w:tcPr>
            <w:tcW w:w="1260" w:type="dxa"/>
            <w:shd w:val="clear" w:color="auto" w:fill="auto"/>
            <w:noWrap/>
            <w:vAlign w:val="center"/>
            <w:hideMark/>
          </w:tcPr>
          <w:p w14:paraId="200993F1" w14:textId="482435A3" w:rsidR="00D751FB" w:rsidRPr="0051039E" w:rsidRDefault="00D751FB" w:rsidP="000070BB">
            <w:pPr>
              <w:pStyle w:val="ExhibitText"/>
              <w:jc w:val="right"/>
              <w:rPr>
                <w:lang w:val="en-GB"/>
              </w:rPr>
            </w:pPr>
            <w:r w:rsidRPr="0051039E">
              <w:rPr>
                <w:lang w:val="en-GB"/>
              </w:rPr>
              <w:t xml:space="preserve"> 51,326 </w:t>
            </w:r>
          </w:p>
        </w:tc>
        <w:tc>
          <w:tcPr>
            <w:tcW w:w="1260" w:type="dxa"/>
            <w:shd w:val="clear" w:color="auto" w:fill="auto"/>
            <w:noWrap/>
            <w:vAlign w:val="center"/>
            <w:hideMark/>
          </w:tcPr>
          <w:p w14:paraId="2A7D51F4" w14:textId="302A806A" w:rsidR="00D751FB" w:rsidRPr="0051039E" w:rsidRDefault="00D751FB" w:rsidP="000070BB">
            <w:pPr>
              <w:pStyle w:val="ExhibitText"/>
              <w:jc w:val="right"/>
              <w:rPr>
                <w:lang w:val="en-GB"/>
              </w:rPr>
            </w:pPr>
            <w:r w:rsidRPr="0051039E">
              <w:rPr>
                <w:lang w:val="en-GB"/>
              </w:rPr>
              <w:t xml:space="preserve"> 43,549 </w:t>
            </w:r>
          </w:p>
        </w:tc>
      </w:tr>
      <w:tr w:rsidR="00D751FB" w:rsidRPr="0051039E" w14:paraId="7E761043" w14:textId="77777777" w:rsidTr="00E70A21">
        <w:trPr>
          <w:trHeight w:val="98"/>
        </w:trPr>
        <w:tc>
          <w:tcPr>
            <w:tcW w:w="3648" w:type="dxa"/>
            <w:shd w:val="clear" w:color="auto" w:fill="auto"/>
            <w:noWrap/>
            <w:vAlign w:val="center"/>
            <w:hideMark/>
          </w:tcPr>
          <w:p w14:paraId="1FE6D38B" w14:textId="7EE720FA" w:rsidR="00D751FB" w:rsidRPr="0051039E" w:rsidRDefault="00D751FB" w:rsidP="000070BB">
            <w:pPr>
              <w:pStyle w:val="ExhibitText"/>
              <w:jc w:val="left"/>
              <w:rPr>
                <w:lang w:val="en-GB"/>
              </w:rPr>
            </w:pPr>
            <w:r w:rsidRPr="0051039E">
              <w:rPr>
                <w:lang w:val="en-GB"/>
              </w:rPr>
              <w:t xml:space="preserve">Other </w:t>
            </w:r>
            <w:r w:rsidR="00407DFA">
              <w:rPr>
                <w:lang w:val="en-GB"/>
              </w:rPr>
              <w:t>l</w:t>
            </w:r>
            <w:r w:rsidRPr="0051039E">
              <w:rPr>
                <w:lang w:val="en-GB"/>
              </w:rPr>
              <w:t>iabilities</w:t>
            </w:r>
          </w:p>
        </w:tc>
        <w:tc>
          <w:tcPr>
            <w:tcW w:w="1572" w:type="dxa"/>
            <w:shd w:val="clear" w:color="auto" w:fill="auto"/>
            <w:noWrap/>
            <w:vAlign w:val="center"/>
            <w:hideMark/>
          </w:tcPr>
          <w:p w14:paraId="754E31E4" w14:textId="698D1FF2" w:rsidR="00D751FB" w:rsidRPr="0051039E" w:rsidRDefault="00D751FB" w:rsidP="000070BB">
            <w:pPr>
              <w:pStyle w:val="ExhibitText"/>
              <w:jc w:val="right"/>
              <w:rPr>
                <w:lang w:val="en-GB"/>
              </w:rPr>
            </w:pPr>
            <w:r w:rsidRPr="0051039E">
              <w:rPr>
                <w:lang w:val="en-GB"/>
              </w:rPr>
              <w:t xml:space="preserve"> 29,265 </w:t>
            </w:r>
          </w:p>
        </w:tc>
        <w:tc>
          <w:tcPr>
            <w:tcW w:w="1260" w:type="dxa"/>
            <w:shd w:val="clear" w:color="auto" w:fill="auto"/>
            <w:noWrap/>
            <w:vAlign w:val="center"/>
            <w:hideMark/>
          </w:tcPr>
          <w:p w14:paraId="53DCF316" w14:textId="660F8504" w:rsidR="00D751FB" w:rsidRPr="0051039E" w:rsidRDefault="00D751FB" w:rsidP="000070BB">
            <w:pPr>
              <w:pStyle w:val="ExhibitText"/>
              <w:jc w:val="right"/>
              <w:rPr>
                <w:lang w:val="en-GB"/>
              </w:rPr>
            </w:pPr>
            <w:r w:rsidRPr="0051039E">
              <w:rPr>
                <w:lang w:val="en-GB"/>
              </w:rPr>
              <w:t xml:space="preserve"> 32,138 </w:t>
            </w:r>
          </w:p>
        </w:tc>
        <w:tc>
          <w:tcPr>
            <w:tcW w:w="1260" w:type="dxa"/>
            <w:shd w:val="clear" w:color="auto" w:fill="auto"/>
            <w:noWrap/>
            <w:vAlign w:val="center"/>
            <w:hideMark/>
          </w:tcPr>
          <w:p w14:paraId="5E666530" w14:textId="7C6EDF30" w:rsidR="00D751FB" w:rsidRPr="0051039E" w:rsidRDefault="00D751FB" w:rsidP="000070BB">
            <w:pPr>
              <w:pStyle w:val="ExhibitText"/>
              <w:jc w:val="right"/>
              <w:rPr>
                <w:lang w:val="en-GB"/>
              </w:rPr>
            </w:pPr>
            <w:r w:rsidRPr="0051039E">
              <w:rPr>
                <w:lang w:val="en-GB"/>
              </w:rPr>
              <w:t xml:space="preserve"> 41,108 </w:t>
            </w:r>
          </w:p>
        </w:tc>
        <w:tc>
          <w:tcPr>
            <w:tcW w:w="1260" w:type="dxa"/>
            <w:shd w:val="clear" w:color="auto" w:fill="auto"/>
            <w:noWrap/>
            <w:vAlign w:val="center"/>
            <w:hideMark/>
          </w:tcPr>
          <w:p w14:paraId="1944C63F" w14:textId="4475347D" w:rsidR="00D751FB" w:rsidRPr="0051039E" w:rsidRDefault="00D751FB" w:rsidP="000070BB">
            <w:pPr>
              <w:pStyle w:val="ExhibitText"/>
              <w:jc w:val="right"/>
              <w:rPr>
                <w:lang w:val="en-GB"/>
              </w:rPr>
            </w:pPr>
            <w:r w:rsidRPr="0051039E">
              <w:rPr>
                <w:lang w:val="en-GB"/>
              </w:rPr>
              <w:t xml:space="preserve"> 39,249 </w:t>
            </w:r>
          </w:p>
        </w:tc>
      </w:tr>
      <w:tr w:rsidR="00D751FB" w:rsidRPr="0051039E" w14:paraId="31940DBE" w14:textId="77777777" w:rsidTr="00E70A21">
        <w:trPr>
          <w:trHeight w:val="125"/>
        </w:trPr>
        <w:tc>
          <w:tcPr>
            <w:tcW w:w="3648" w:type="dxa"/>
            <w:shd w:val="clear" w:color="auto" w:fill="auto"/>
            <w:noWrap/>
            <w:vAlign w:val="center"/>
            <w:hideMark/>
          </w:tcPr>
          <w:p w14:paraId="125ACF15" w14:textId="03E9021F" w:rsidR="00D751FB" w:rsidRPr="0051039E" w:rsidRDefault="00D751FB" w:rsidP="000070BB">
            <w:pPr>
              <w:pStyle w:val="ExhibitText"/>
              <w:jc w:val="left"/>
              <w:rPr>
                <w:lang w:val="en-GB"/>
              </w:rPr>
            </w:pPr>
            <w:r w:rsidRPr="0051039E">
              <w:rPr>
                <w:lang w:val="en-GB"/>
              </w:rPr>
              <w:t xml:space="preserve">Minority </w:t>
            </w:r>
            <w:r w:rsidR="00407DFA">
              <w:rPr>
                <w:lang w:val="en-GB"/>
              </w:rPr>
              <w:t>i</w:t>
            </w:r>
            <w:r w:rsidRPr="0051039E">
              <w:rPr>
                <w:lang w:val="en-GB"/>
              </w:rPr>
              <w:t>nterest</w:t>
            </w:r>
          </w:p>
        </w:tc>
        <w:tc>
          <w:tcPr>
            <w:tcW w:w="1572" w:type="dxa"/>
            <w:shd w:val="clear" w:color="auto" w:fill="auto"/>
            <w:noWrap/>
            <w:vAlign w:val="center"/>
            <w:hideMark/>
          </w:tcPr>
          <w:p w14:paraId="40C70C1B" w14:textId="192DAF81" w:rsidR="00D751FB" w:rsidRPr="0051039E" w:rsidRDefault="00D751FB" w:rsidP="000070BB">
            <w:pPr>
              <w:pStyle w:val="ExhibitText"/>
              <w:jc w:val="right"/>
              <w:rPr>
                <w:lang w:val="en-GB"/>
              </w:rPr>
            </w:pPr>
            <w:r w:rsidRPr="0051039E">
              <w:rPr>
                <w:lang w:val="en-GB"/>
              </w:rPr>
              <w:t xml:space="preserve"> 3,917 </w:t>
            </w:r>
          </w:p>
        </w:tc>
        <w:tc>
          <w:tcPr>
            <w:tcW w:w="1260" w:type="dxa"/>
            <w:shd w:val="clear" w:color="auto" w:fill="auto"/>
            <w:noWrap/>
            <w:vAlign w:val="center"/>
            <w:hideMark/>
          </w:tcPr>
          <w:p w14:paraId="2F28397B" w14:textId="08B2AD53" w:rsidR="00D751FB" w:rsidRPr="0051039E" w:rsidRDefault="00D751FB" w:rsidP="000070BB">
            <w:pPr>
              <w:pStyle w:val="ExhibitText"/>
              <w:jc w:val="right"/>
              <w:rPr>
                <w:lang w:val="en-GB"/>
              </w:rPr>
            </w:pPr>
            <w:r w:rsidRPr="0051039E">
              <w:rPr>
                <w:lang w:val="en-GB"/>
              </w:rPr>
              <w:t xml:space="preserve"> 1,199 </w:t>
            </w:r>
          </w:p>
        </w:tc>
        <w:tc>
          <w:tcPr>
            <w:tcW w:w="1260" w:type="dxa"/>
            <w:shd w:val="clear" w:color="auto" w:fill="auto"/>
            <w:noWrap/>
            <w:vAlign w:val="center"/>
            <w:hideMark/>
          </w:tcPr>
          <w:p w14:paraId="3531FD13" w14:textId="1E236238" w:rsidR="00D751FB" w:rsidRPr="0051039E" w:rsidRDefault="00D751FB" w:rsidP="000070BB">
            <w:pPr>
              <w:pStyle w:val="ExhibitText"/>
              <w:jc w:val="right"/>
              <w:rPr>
                <w:lang w:val="en-GB"/>
              </w:rPr>
            </w:pPr>
            <w:r w:rsidRPr="0051039E">
              <w:rPr>
                <w:lang w:val="en-GB"/>
              </w:rPr>
              <w:t xml:space="preserve"> 239 </w:t>
            </w:r>
          </w:p>
        </w:tc>
        <w:tc>
          <w:tcPr>
            <w:tcW w:w="1260" w:type="dxa"/>
            <w:shd w:val="clear" w:color="auto" w:fill="auto"/>
            <w:noWrap/>
            <w:vAlign w:val="center"/>
            <w:hideMark/>
          </w:tcPr>
          <w:p w14:paraId="59C69020" w14:textId="7DEDEE17" w:rsidR="00D751FB" w:rsidRPr="0051039E" w:rsidRDefault="00D751FB" w:rsidP="000070BB">
            <w:pPr>
              <w:pStyle w:val="ExhibitText"/>
              <w:jc w:val="right"/>
              <w:rPr>
                <w:lang w:val="en-GB"/>
              </w:rPr>
            </w:pPr>
            <w:r w:rsidRPr="0051039E">
              <w:rPr>
                <w:lang w:val="en-GB"/>
              </w:rPr>
              <w:t xml:space="preserve"> 452 </w:t>
            </w:r>
          </w:p>
        </w:tc>
      </w:tr>
      <w:tr w:rsidR="00D751FB" w:rsidRPr="0051039E" w14:paraId="5BCFC2C8" w14:textId="77777777" w:rsidTr="00E70A21">
        <w:trPr>
          <w:trHeight w:val="62"/>
        </w:trPr>
        <w:tc>
          <w:tcPr>
            <w:tcW w:w="3648" w:type="dxa"/>
            <w:shd w:val="clear" w:color="auto" w:fill="auto"/>
            <w:noWrap/>
            <w:vAlign w:val="center"/>
            <w:hideMark/>
          </w:tcPr>
          <w:p w14:paraId="17DFFE01" w14:textId="1D0316F0" w:rsidR="00D751FB" w:rsidRPr="0051039E" w:rsidRDefault="00D751FB" w:rsidP="000070BB">
            <w:pPr>
              <w:pStyle w:val="ExhibitText"/>
              <w:jc w:val="left"/>
              <w:rPr>
                <w:lang w:val="en-GB"/>
              </w:rPr>
            </w:pPr>
            <w:r w:rsidRPr="0051039E">
              <w:rPr>
                <w:lang w:val="en-GB"/>
              </w:rPr>
              <w:t xml:space="preserve">Total </w:t>
            </w:r>
            <w:r w:rsidR="00407DFA">
              <w:rPr>
                <w:lang w:val="en-GB"/>
              </w:rPr>
              <w:t>l</w:t>
            </w:r>
            <w:r w:rsidRPr="0051039E">
              <w:rPr>
                <w:lang w:val="en-GB"/>
              </w:rPr>
              <w:t>iabilities</w:t>
            </w:r>
          </w:p>
        </w:tc>
        <w:tc>
          <w:tcPr>
            <w:tcW w:w="1572" w:type="dxa"/>
            <w:shd w:val="clear" w:color="auto" w:fill="auto"/>
            <w:noWrap/>
            <w:vAlign w:val="center"/>
            <w:hideMark/>
          </w:tcPr>
          <w:p w14:paraId="072026E3" w14:textId="2BD3EA35" w:rsidR="00D751FB" w:rsidRPr="0051039E" w:rsidRDefault="00D751FB" w:rsidP="000070BB">
            <w:pPr>
              <w:pStyle w:val="ExhibitText"/>
              <w:jc w:val="right"/>
              <w:rPr>
                <w:lang w:val="en-GB"/>
              </w:rPr>
            </w:pPr>
            <w:r w:rsidRPr="0051039E">
              <w:rPr>
                <w:lang w:val="en-GB"/>
              </w:rPr>
              <w:t xml:space="preserve"> 188,479 </w:t>
            </w:r>
          </w:p>
        </w:tc>
        <w:tc>
          <w:tcPr>
            <w:tcW w:w="1260" w:type="dxa"/>
            <w:shd w:val="clear" w:color="auto" w:fill="auto"/>
            <w:noWrap/>
            <w:vAlign w:val="center"/>
            <w:hideMark/>
          </w:tcPr>
          <w:p w14:paraId="7780809E" w14:textId="7BCCC4D9" w:rsidR="00D751FB" w:rsidRPr="0051039E" w:rsidRDefault="00D751FB" w:rsidP="000070BB">
            <w:pPr>
              <w:pStyle w:val="ExhibitText"/>
              <w:jc w:val="right"/>
              <w:rPr>
                <w:lang w:val="en-GB"/>
              </w:rPr>
            </w:pPr>
            <w:r w:rsidRPr="0051039E">
              <w:rPr>
                <w:lang w:val="en-GB"/>
              </w:rPr>
              <w:t xml:space="preserve"> 177,481 </w:t>
            </w:r>
          </w:p>
        </w:tc>
        <w:tc>
          <w:tcPr>
            <w:tcW w:w="1260" w:type="dxa"/>
            <w:shd w:val="clear" w:color="auto" w:fill="auto"/>
            <w:noWrap/>
            <w:vAlign w:val="center"/>
            <w:hideMark/>
          </w:tcPr>
          <w:p w14:paraId="17D32968" w14:textId="79A8B19D" w:rsidR="00D751FB" w:rsidRPr="0051039E" w:rsidRDefault="00D751FB" w:rsidP="000070BB">
            <w:pPr>
              <w:pStyle w:val="ExhibitText"/>
              <w:jc w:val="right"/>
              <w:rPr>
                <w:lang w:val="en-GB"/>
              </w:rPr>
            </w:pPr>
            <w:r w:rsidRPr="0051039E">
              <w:rPr>
                <w:lang w:val="en-GB"/>
              </w:rPr>
              <w:t xml:space="preserve"> 177,854 </w:t>
            </w:r>
          </w:p>
        </w:tc>
        <w:tc>
          <w:tcPr>
            <w:tcW w:w="1260" w:type="dxa"/>
            <w:shd w:val="clear" w:color="auto" w:fill="auto"/>
            <w:noWrap/>
            <w:vAlign w:val="center"/>
            <w:hideMark/>
          </w:tcPr>
          <w:p w14:paraId="1AE845F0" w14:textId="57B2CCBE" w:rsidR="00D751FB" w:rsidRPr="0051039E" w:rsidRDefault="00D751FB" w:rsidP="000070BB">
            <w:pPr>
              <w:pStyle w:val="ExhibitText"/>
              <w:jc w:val="right"/>
              <w:rPr>
                <w:lang w:val="en-GB"/>
              </w:rPr>
            </w:pPr>
            <w:r w:rsidRPr="0051039E">
              <w:rPr>
                <w:lang w:val="en-GB"/>
              </w:rPr>
              <w:t xml:space="preserve"> 154,467 </w:t>
            </w:r>
          </w:p>
        </w:tc>
      </w:tr>
      <w:tr w:rsidR="00D751FB" w:rsidRPr="0051039E" w14:paraId="0F9BCA86" w14:textId="77777777" w:rsidTr="00E70A21">
        <w:trPr>
          <w:trHeight w:val="98"/>
        </w:trPr>
        <w:tc>
          <w:tcPr>
            <w:tcW w:w="3648" w:type="dxa"/>
            <w:shd w:val="clear" w:color="auto" w:fill="auto"/>
            <w:noWrap/>
            <w:vAlign w:val="center"/>
            <w:hideMark/>
          </w:tcPr>
          <w:p w14:paraId="4C704E25" w14:textId="1A93A718" w:rsidR="00D751FB" w:rsidRPr="00152AE1" w:rsidRDefault="00D751FB" w:rsidP="000070BB">
            <w:pPr>
              <w:pStyle w:val="ExhibitText"/>
              <w:jc w:val="left"/>
              <w:rPr>
                <w:b/>
                <w:lang w:val="en-GB"/>
              </w:rPr>
            </w:pPr>
            <w:r w:rsidRPr="00152AE1">
              <w:rPr>
                <w:b/>
                <w:lang w:val="en-GB"/>
              </w:rPr>
              <w:t>Stock</w:t>
            </w:r>
            <w:r w:rsidR="00BA57E7" w:rsidRPr="00152AE1">
              <w:rPr>
                <w:b/>
                <w:lang w:val="en-GB"/>
              </w:rPr>
              <w:t>h</w:t>
            </w:r>
            <w:r w:rsidRPr="00152AE1">
              <w:rPr>
                <w:b/>
                <w:lang w:val="en-GB"/>
              </w:rPr>
              <w:t>olders</w:t>
            </w:r>
            <w:r w:rsidR="000727E1" w:rsidRPr="00152AE1">
              <w:rPr>
                <w:b/>
                <w:lang w:val="en-GB"/>
              </w:rPr>
              <w:t>’</w:t>
            </w:r>
            <w:r w:rsidRPr="00152AE1">
              <w:rPr>
                <w:b/>
                <w:lang w:val="en-GB"/>
              </w:rPr>
              <w:t xml:space="preserve"> </w:t>
            </w:r>
            <w:r w:rsidR="00407DFA" w:rsidRPr="00152AE1">
              <w:rPr>
                <w:b/>
                <w:lang w:val="en-GB"/>
              </w:rPr>
              <w:t>e</w:t>
            </w:r>
            <w:r w:rsidRPr="00152AE1">
              <w:rPr>
                <w:b/>
                <w:lang w:val="en-GB"/>
              </w:rPr>
              <w:t>quity</w:t>
            </w:r>
          </w:p>
        </w:tc>
        <w:tc>
          <w:tcPr>
            <w:tcW w:w="1572" w:type="dxa"/>
            <w:shd w:val="clear" w:color="auto" w:fill="auto"/>
            <w:noWrap/>
            <w:vAlign w:val="center"/>
            <w:hideMark/>
          </w:tcPr>
          <w:p w14:paraId="0B72B2F8" w14:textId="77777777" w:rsidR="00D751FB" w:rsidRPr="0051039E" w:rsidRDefault="00D751FB" w:rsidP="000070BB">
            <w:pPr>
              <w:pStyle w:val="ExhibitText"/>
              <w:jc w:val="right"/>
              <w:rPr>
                <w:lang w:val="en-GB"/>
              </w:rPr>
            </w:pPr>
          </w:p>
        </w:tc>
        <w:tc>
          <w:tcPr>
            <w:tcW w:w="1260" w:type="dxa"/>
            <w:shd w:val="clear" w:color="auto" w:fill="auto"/>
            <w:noWrap/>
            <w:vAlign w:val="center"/>
            <w:hideMark/>
          </w:tcPr>
          <w:p w14:paraId="4A48792F" w14:textId="77777777" w:rsidR="00D751FB" w:rsidRPr="0051039E" w:rsidRDefault="00D751FB" w:rsidP="000070BB">
            <w:pPr>
              <w:pStyle w:val="ExhibitText"/>
              <w:jc w:val="right"/>
              <w:rPr>
                <w:lang w:val="en-GB"/>
              </w:rPr>
            </w:pPr>
          </w:p>
        </w:tc>
        <w:tc>
          <w:tcPr>
            <w:tcW w:w="1260" w:type="dxa"/>
            <w:shd w:val="clear" w:color="auto" w:fill="auto"/>
            <w:noWrap/>
            <w:vAlign w:val="center"/>
            <w:hideMark/>
          </w:tcPr>
          <w:p w14:paraId="595DD68A" w14:textId="77777777" w:rsidR="00D751FB" w:rsidRPr="0051039E" w:rsidRDefault="00D751FB" w:rsidP="000070BB">
            <w:pPr>
              <w:pStyle w:val="ExhibitText"/>
              <w:jc w:val="right"/>
              <w:rPr>
                <w:lang w:val="en-GB"/>
              </w:rPr>
            </w:pPr>
          </w:p>
        </w:tc>
        <w:tc>
          <w:tcPr>
            <w:tcW w:w="1260" w:type="dxa"/>
            <w:shd w:val="clear" w:color="auto" w:fill="auto"/>
            <w:noWrap/>
            <w:vAlign w:val="center"/>
            <w:hideMark/>
          </w:tcPr>
          <w:p w14:paraId="7FFC5D7F" w14:textId="77777777" w:rsidR="00D751FB" w:rsidRPr="0051039E" w:rsidRDefault="00D751FB" w:rsidP="000070BB">
            <w:pPr>
              <w:pStyle w:val="ExhibitText"/>
              <w:jc w:val="right"/>
              <w:rPr>
                <w:lang w:val="en-GB"/>
              </w:rPr>
            </w:pPr>
            <w:r w:rsidRPr="0051039E">
              <w:rPr>
                <w:lang w:val="en-GB"/>
              </w:rPr>
              <w:t> </w:t>
            </w:r>
          </w:p>
        </w:tc>
      </w:tr>
      <w:tr w:rsidR="00D751FB" w:rsidRPr="0051039E" w14:paraId="21F3DBB0" w14:textId="77777777" w:rsidTr="00E70A21">
        <w:trPr>
          <w:trHeight w:val="56"/>
        </w:trPr>
        <w:tc>
          <w:tcPr>
            <w:tcW w:w="3648" w:type="dxa"/>
            <w:shd w:val="clear" w:color="auto" w:fill="auto"/>
            <w:noWrap/>
            <w:vAlign w:val="center"/>
            <w:hideMark/>
          </w:tcPr>
          <w:p w14:paraId="66B5340B" w14:textId="2D7DF626" w:rsidR="00D751FB" w:rsidRPr="0051039E" w:rsidRDefault="00D751FB" w:rsidP="000070BB">
            <w:pPr>
              <w:pStyle w:val="ExhibitText"/>
              <w:jc w:val="left"/>
              <w:rPr>
                <w:lang w:val="en-GB"/>
              </w:rPr>
            </w:pPr>
            <w:r w:rsidRPr="0051039E">
              <w:rPr>
                <w:lang w:val="en-GB"/>
              </w:rPr>
              <w:t xml:space="preserve">Common </w:t>
            </w:r>
            <w:r w:rsidR="00407DFA">
              <w:rPr>
                <w:lang w:val="en-GB"/>
              </w:rPr>
              <w:t>s</w:t>
            </w:r>
            <w:r w:rsidRPr="0051039E">
              <w:rPr>
                <w:lang w:val="en-GB"/>
              </w:rPr>
              <w:t>tock</w:t>
            </w:r>
          </w:p>
        </w:tc>
        <w:tc>
          <w:tcPr>
            <w:tcW w:w="1572" w:type="dxa"/>
            <w:shd w:val="clear" w:color="auto" w:fill="auto"/>
            <w:noWrap/>
            <w:vAlign w:val="center"/>
            <w:hideMark/>
          </w:tcPr>
          <w:p w14:paraId="509A8122" w14:textId="5F6B8995" w:rsidR="00D751FB" w:rsidRPr="0051039E" w:rsidRDefault="00D751FB" w:rsidP="000070BB">
            <w:pPr>
              <w:pStyle w:val="ExhibitText"/>
              <w:jc w:val="right"/>
              <w:rPr>
                <w:lang w:val="en-GB"/>
              </w:rPr>
            </w:pPr>
            <w:r w:rsidRPr="0051039E">
              <w:rPr>
                <w:lang w:val="en-GB"/>
              </w:rPr>
              <w:t xml:space="preserve"> 14 </w:t>
            </w:r>
          </w:p>
        </w:tc>
        <w:tc>
          <w:tcPr>
            <w:tcW w:w="1260" w:type="dxa"/>
            <w:shd w:val="clear" w:color="auto" w:fill="auto"/>
            <w:noWrap/>
            <w:vAlign w:val="center"/>
            <w:hideMark/>
          </w:tcPr>
          <w:p w14:paraId="5258C7D9" w14:textId="3B8A01BB" w:rsidR="00D751FB" w:rsidRPr="0051039E" w:rsidRDefault="00D751FB" w:rsidP="000070BB">
            <w:pPr>
              <w:pStyle w:val="ExhibitText"/>
              <w:jc w:val="right"/>
              <w:rPr>
                <w:lang w:val="en-GB"/>
              </w:rPr>
            </w:pPr>
            <w:r w:rsidRPr="0051039E">
              <w:rPr>
                <w:lang w:val="en-GB"/>
              </w:rPr>
              <w:t xml:space="preserve"> 14 </w:t>
            </w:r>
          </w:p>
        </w:tc>
        <w:tc>
          <w:tcPr>
            <w:tcW w:w="1260" w:type="dxa"/>
            <w:shd w:val="clear" w:color="auto" w:fill="auto"/>
            <w:noWrap/>
            <w:vAlign w:val="center"/>
            <w:hideMark/>
          </w:tcPr>
          <w:p w14:paraId="32F7A926" w14:textId="38712C4A" w:rsidR="00D751FB" w:rsidRPr="0051039E" w:rsidRDefault="00D751FB" w:rsidP="000070BB">
            <w:pPr>
              <w:pStyle w:val="ExhibitText"/>
              <w:jc w:val="right"/>
              <w:rPr>
                <w:lang w:val="en-GB"/>
              </w:rPr>
            </w:pPr>
            <w:r w:rsidRPr="0051039E">
              <w:rPr>
                <w:lang w:val="en-GB"/>
              </w:rPr>
              <w:t xml:space="preserve"> 15 </w:t>
            </w:r>
          </w:p>
        </w:tc>
        <w:tc>
          <w:tcPr>
            <w:tcW w:w="1260" w:type="dxa"/>
            <w:shd w:val="clear" w:color="auto" w:fill="auto"/>
            <w:noWrap/>
            <w:vAlign w:val="center"/>
            <w:hideMark/>
          </w:tcPr>
          <w:p w14:paraId="6220DE0F" w14:textId="68BCE60D" w:rsidR="00D751FB" w:rsidRPr="0051039E" w:rsidRDefault="00D751FB" w:rsidP="000070BB">
            <w:pPr>
              <w:pStyle w:val="ExhibitText"/>
              <w:jc w:val="right"/>
              <w:rPr>
                <w:lang w:val="en-GB"/>
              </w:rPr>
            </w:pPr>
            <w:r w:rsidRPr="0051039E">
              <w:rPr>
                <w:lang w:val="en-GB"/>
              </w:rPr>
              <w:t xml:space="preserve"> 15 </w:t>
            </w:r>
          </w:p>
        </w:tc>
      </w:tr>
      <w:tr w:rsidR="00D751FB" w:rsidRPr="0051039E" w14:paraId="193D10C1" w14:textId="77777777" w:rsidTr="00E70A21">
        <w:trPr>
          <w:trHeight w:val="56"/>
        </w:trPr>
        <w:tc>
          <w:tcPr>
            <w:tcW w:w="3648" w:type="dxa"/>
            <w:shd w:val="clear" w:color="auto" w:fill="auto"/>
            <w:noWrap/>
            <w:vAlign w:val="center"/>
            <w:hideMark/>
          </w:tcPr>
          <w:p w14:paraId="233FBA8B" w14:textId="5458CCA5" w:rsidR="00D751FB" w:rsidRPr="0051039E" w:rsidRDefault="00D751FB" w:rsidP="000070BB">
            <w:pPr>
              <w:pStyle w:val="ExhibitText"/>
              <w:jc w:val="left"/>
              <w:rPr>
                <w:lang w:val="en-GB"/>
              </w:rPr>
            </w:pPr>
            <w:r w:rsidRPr="0051039E">
              <w:rPr>
                <w:lang w:val="en-GB"/>
              </w:rPr>
              <w:t xml:space="preserve">Capital </w:t>
            </w:r>
            <w:r w:rsidR="00407DFA">
              <w:rPr>
                <w:lang w:val="en-GB"/>
              </w:rPr>
              <w:t>s</w:t>
            </w:r>
            <w:r w:rsidRPr="0051039E">
              <w:rPr>
                <w:lang w:val="en-GB"/>
              </w:rPr>
              <w:t>urplus</w:t>
            </w:r>
          </w:p>
        </w:tc>
        <w:tc>
          <w:tcPr>
            <w:tcW w:w="1572" w:type="dxa"/>
            <w:shd w:val="clear" w:color="auto" w:fill="auto"/>
            <w:noWrap/>
            <w:vAlign w:val="center"/>
            <w:hideMark/>
          </w:tcPr>
          <w:p w14:paraId="5EE42489" w14:textId="31D27264" w:rsidR="00D751FB" w:rsidRPr="0051039E" w:rsidRDefault="00D751FB" w:rsidP="000070BB">
            <w:pPr>
              <w:pStyle w:val="ExhibitText"/>
              <w:jc w:val="right"/>
              <w:rPr>
                <w:lang w:val="en-GB"/>
              </w:rPr>
            </w:pPr>
            <w:r w:rsidRPr="0051039E">
              <w:rPr>
                <w:lang w:val="en-GB"/>
              </w:rPr>
              <w:t xml:space="preserve"> 25,563 </w:t>
            </w:r>
          </w:p>
        </w:tc>
        <w:tc>
          <w:tcPr>
            <w:tcW w:w="1260" w:type="dxa"/>
            <w:shd w:val="clear" w:color="auto" w:fill="auto"/>
            <w:noWrap/>
            <w:vAlign w:val="center"/>
            <w:hideMark/>
          </w:tcPr>
          <w:p w14:paraId="715A84E4" w14:textId="717B2EDB" w:rsidR="00D751FB" w:rsidRPr="0051039E" w:rsidRDefault="00D751FB" w:rsidP="000070BB">
            <w:pPr>
              <w:pStyle w:val="ExhibitText"/>
              <w:jc w:val="right"/>
              <w:rPr>
                <w:lang w:val="en-GB"/>
              </w:rPr>
            </w:pPr>
            <w:r w:rsidRPr="0051039E">
              <w:rPr>
                <w:lang w:val="en-GB"/>
              </w:rPr>
              <w:t xml:space="preserve"> 25,371 </w:t>
            </w:r>
          </w:p>
        </w:tc>
        <w:tc>
          <w:tcPr>
            <w:tcW w:w="1260" w:type="dxa"/>
            <w:shd w:val="clear" w:color="auto" w:fill="auto"/>
            <w:noWrap/>
            <w:vAlign w:val="center"/>
            <w:hideMark/>
          </w:tcPr>
          <w:p w14:paraId="38A918F6" w14:textId="1DC1812B" w:rsidR="00D751FB" w:rsidRPr="0051039E" w:rsidRDefault="00D751FB" w:rsidP="000070BB">
            <w:pPr>
              <w:pStyle w:val="ExhibitText"/>
              <w:jc w:val="right"/>
              <w:rPr>
                <w:lang w:val="en-GB"/>
              </w:rPr>
            </w:pPr>
            <w:r w:rsidRPr="0051039E">
              <w:rPr>
                <w:lang w:val="en-GB"/>
              </w:rPr>
              <w:t xml:space="preserve"> 26,983 </w:t>
            </w:r>
          </w:p>
        </w:tc>
        <w:tc>
          <w:tcPr>
            <w:tcW w:w="1260" w:type="dxa"/>
            <w:shd w:val="clear" w:color="auto" w:fill="auto"/>
            <w:noWrap/>
            <w:vAlign w:val="center"/>
            <w:hideMark/>
          </w:tcPr>
          <w:p w14:paraId="4A2F7234" w14:textId="238520F8" w:rsidR="00D751FB" w:rsidRPr="0051039E" w:rsidRDefault="00D751FB" w:rsidP="000070BB">
            <w:pPr>
              <w:pStyle w:val="ExhibitText"/>
              <w:jc w:val="right"/>
              <w:rPr>
                <w:lang w:val="en-GB"/>
              </w:rPr>
            </w:pPr>
            <w:r w:rsidRPr="0051039E">
              <w:rPr>
                <w:lang w:val="en-GB"/>
              </w:rPr>
              <w:t xml:space="preserve"> 27,607 </w:t>
            </w:r>
          </w:p>
        </w:tc>
      </w:tr>
      <w:tr w:rsidR="00D751FB" w:rsidRPr="0051039E" w14:paraId="66D078E4" w14:textId="77777777" w:rsidTr="00E70A21">
        <w:trPr>
          <w:trHeight w:val="98"/>
        </w:trPr>
        <w:tc>
          <w:tcPr>
            <w:tcW w:w="3648" w:type="dxa"/>
            <w:shd w:val="clear" w:color="auto" w:fill="auto"/>
            <w:noWrap/>
            <w:vAlign w:val="center"/>
            <w:hideMark/>
          </w:tcPr>
          <w:p w14:paraId="56B88A1D" w14:textId="6DAFC2A9" w:rsidR="00D751FB" w:rsidRPr="0051039E" w:rsidRDefault="00D751FB" w:rsidP="000070BB">
            <w:pPr>
              <w:pStyle w:val="ExhibitText"/>
              <w:jc w:val="left"/>
              <w:rPr>
                <w:lang w:val="en-GB"/>
              </w:rPr>
            </w:pPr>
            <w:r w:rsidRPr="0051039E">
              <w:rPr>
                <w:lang w:val="en-GB"/>
              </w:rPr>
              <w:t xml:space="preserve">Retained </w:t>
            </w:r>
            <w:r w:rsidR="00407DFA">
              <w:rPr>
                <w:lang w:val="en-GB"/>
              </w:rPr>
              <w:t>e</w:t>
            </w:r>
            <w:r w:rsidRPr="0051039E">
              <w:rPr>
                <w:lang w:val="en-GB"/>
              </w:rPr>
              <w:t>arnings</w:t>
            </w:r>
          </w:p>
        </w:tc>
        <w:tc>
          <w:tcPr>
            <w:tcW w:w="1572" w:type="dxa"/>
            <w:shd w:val="clear" w:color="auto" w:fill="auto"/>
            <w:noWrap/>
            <w:vAlign w:val="center"/>
            <w:hideMark/>
          </w:tcPr>
          <w:p w14:paraId="009757C0" w14:textId="454E9579" w:rsidR="00D751FB" w:rsidRPr="0051039E" w:rsidRDefault="00D751FB" w:rsidP="000070BB">
            <w:pPr>
              <w:pStyle w:val="ExhibitText"/>
              <w:jc w:val="right"/>
              <w:rPr>
                <w:lang w:val="en-GB"/>
              </w:rPr>
            </w:pPr>
            <w:r w:rsidRPr="0051039E">
              <w:rPr>
                <w:lang w:val="en-GB"/>
              </w:rPr>
              <w:t xml:space="preserve"> 22,322 </w:t>
            </w:r>
          </w:p>
        </w:tc>
        <w:tc>
          <w:tcPr>
            <w:tcW w:w="1260" w:type="dxa"/>
            <w:shd w:val="clear" w:color="auto" w:fill="auto"/>
            <w:noWrap/>
            <w:vAlign w:val="center"/>
            <w:hideMark/>
          </w:tcPr>
          <w:p w14:paraId="490E12BA" w14:textId="72C91274" w:rsidR="00D751FB" w:rsidRPr="0051039E" w:rsidRDefault="00D751FB" w:rsidP="000070BB">
            <w:pPr>
              <w:pStyle w:val="ExhibitText"/>
              <w:jc w:val="right"/>
              <w:rPr>
                <w:lang w:val="en-GB"/>
              </w:rPr>
            </w:pPr>
            <w:r w:rsidRPr="0051039E">
              <w:rPr>
                <w:lang w:val="en-GB"/>
              </w:rPr>
              <w:t xml:space="preserve"> 17,627 </w:t>
            </w:r>
          </w:p>
        </w:tc>
        <w:tc>
          <w:tcPr>
            <w:tcW w:w="1260" w:type="dxa"/>
            <w:shd w:val="clear" w:color="auto" w:fill="auto"/>
            <w:noWrap/>
            <w:vAlign w:val="center"/>
            <w:hideMark/>
          </w:tcPr>
          <w:p w14:paraId="3BF14955" w14:textId="26D5E1A1" w:rsidR="00D751FB" w:rsidRPr="0051039E" w:rsidRDefault="00D751FB" w:rsidP="000070BB">
            <w:pPr>
              <w:pStyle w:val="ExhibitText"/>
              <w:jc w:val="right"/>
              <w:rPr>
                <w:lang w:val="en-GB"/>
              </w:rPr>
            </w:pPr>
            <w:r w:rsidRPr="0051039E">
              <w:rPr>
                <w:lang w:val="en-GB"/>
              </w:rPr>
              <w:t xml:space="preserve"> 26,168 </w:t>
            </w:r>
          </w:p>
        </w:tc>
        <w:tc>
          <w:tcPr>
            <w:tcW w:w="1260" w:type="dxa"/>
            <w:shd w:val="clear" w:color="auto" w:fill="auto"/>
            <w:noWrap/>
            <w:vAlign w:val="center"/>
            <w:hideMark/>
          </w:tcPr>
          <w:p w14:paraId="32970611" w14:textId="763DB022" w:rsidR="00D751FB" w:rsidRPr="0051039E" w:rsidRDefault="00D751FB" w:rsidP="000070BB">
            <w:pPr>
              <w:pStyle w:val="ExhibitText"/>
              <w:jc w:val="right"/>
              <w:rPr>
                <w:lang w:val="en-GB"/>
              </w:rPr>
            </w:pPr>
            <w:r w:rsidRPr="0051039E">
              <w:rPr>
                <w:lang w:val="en-GB"/>
              </w:rPr>
              <w:t xml:space="preserve"> 20,285 </w:t>
            </w:r>
          </w:p>
        </w:tc>
      </w:tr>
      <w:tr w:rsidR="00D751FB" w:rsidRPr="0051039E" w14:paraId="393104B9" w14:textId="77777777" w:rsidTr="00E70A21">
        <w:trPr>
          <w:trHeight w:val="125"/>
        </w:trPr>
        <w:tc>
          <w:tcPr>
            <w:tcW w:w="3648" w:type="dxa"/>
            <w:shd w:val="clear" w:color="auto" w:fill="auto"/>
            <w:noWrap/>
            <w:vAlign w:val="center"/>
            <w:hideMark/>
          </w:tcPr>
          <w:p w14:paraId="66BA9DF0" w14:textId="0ACBBCBE" w:rsidR="00D751FB" w:rsidRPr="0051039E" w:rsidRDefault="00D751FB" w:rsidP="000070BB">
            <w:pPr>
              <w:pStyle w:val="ExhibitText"/>
              <w:jc w:val="left"/>
              <w:rPr>
                <w:lang w:val="en-GB"/>
              </w:rPr>
            </w:pPr>
            <w:r w:rsidRPr="0051039E">
              <w:rPr>
                <w:lang w:val="en-GB"/>
              </w:rPr>
              <w:t xml:space="preserve">Other </w:t>
            </w:r>
            <w:r w:rsidR="00407DFA">
              <w:rPr>
                <w:lang w:val="en-GB"/>
              </w:rPr>
              <w:t>e</w:t>
            </w:r>
            <w:r w:rsidRPr="0051039E">
              <w:rPr>
                <w:lang w:val="en-GB"/>
              </w:rPr>
              <w:t>quity</w:t>
            </w:r>
          </w:p>
        </w:tc>
        <w:tc>
          <w:tcPr>
            <w:tcW w:w="1572" w:type="dxa"/>
            <w:shd w:val="clear" w:color="auto" w:fill="auto"/>
            <w:noWrap/>
            <w:vAlign w:val="center"/>
            <w:hideMark/>
          </w:tcPr>
          <w:p w14:paraId="2049FB99" w14:textId="379AEF9B" w:rsidR="00D751FB" w:rsidRPr="0051039E" w:rsidRDefault="00D751FB" w:rsidP="000070BB">
            <w:pPr>
              <w:pStyle w:val="ExhibitText"/>
              <w:jc w:val="right"/>
              <w:rPr>
                <w:lang w:val="en-GB"/>
              </w:rPr>
            </w:pPr>
            <w:r w:rsidRPr="0051039E">
              <w:rPr>
                <w:lang w:val="en-GB"/>
              </w:rPr>
              <w:t xml:space="preserve"> (9,039)</w:t>
            </w:r>
          </w:p>
        </w:tc>
        <w:tc>
          <w:tcPr>
            <w:tcW w:w="1260" w:type="dxa"/>
            <w:shd w:val="clear" w:color="auto" w:fill="auto"/>
            <w:noWrap/>
            <w:vAlign w:val="center"/>
            <w:hideMark/>
          </w:tcPr>
          <w:p w14:paraId="5145D647" w14:textId="4DE6CC79" w:rsidR="00D751FB" w:rsidRPr="0051039E" w:rsidRDefault="00D751FB" w:rsidP="000070BB">
            <w:pPr>
              <w:pStyle w:val="ExhibitText"/>
              <w:jc w:val="right"/>
              <w:rPr>
                <w:lang w:val="en-GB"/>
              </w:rPr>
            </w:pPr>
            <w:r w:rsidRPr="0051039E">
              <w:rPr>
                <w:lang w:val="en-GB"/>
              </w:rPr>
              <w:t xml:space="preserve"> (8,011)</w:t>
            </w:r>
          </w:p>
        </w:tc>
        <w:tc>
          <w:tcPr>
            <w:tcW w:w="1260" w:type="dxa"/>
            <w:shd w:val="clear" w:color="auto" w:fill="auto"/>
            <w:noWrap/>
            <w:vAlign w:val="center"/>
            <w:hideMark/>
          </w:tcPr>
          <w:p w14:paraId="7F3A3662" w14:textId="2A3F1C85" w:rsidR="00D751FB" w:rsidRPr="0051039E" w:rsidRDefault="00D751FB" w:rsidP="000070BB">
            <w:pPr>
              <w:pStyle w:val="ExhibitText"/>
              <w:jc w:val="right"/>
              <w:rPr>
                <w:lang w:val="en-GB"/>
              </w:rPr>
            </w:pPr>
            <w:r w:rsidRPr="0051039E">
              <w:rPr>
                <w:lang w:val="en-GB"/>
              </w:rPr>
              <w:t xml:space="preserve"> (9,330)</w:t>
            </w:r>
          </w:p>
        </w:tc>
        <w:tc>
          <w:tcPr>
            <w:tcW w:w="1260" w:type="dxa"/>
            <w:shd w:val="clear" w:color="auto" w:fill="auto"/>
            <w:noWrap/>
            <w:vAlign w:val="center"/>
            <w:hideMark/>
          </w:tcPr>
          <w:p w14:paraId="77455093" w14:textId="5235D6A2" w:rsidR="00D751FB" w:rsidRPr="0051039E" w:rsidRDefault="00D751FB" w:rsidP="000070BB">
            <w:pPr>
              <w:pStyle w:val="ExhibitText"/>
              <w:jc w:val="right"/>
              <w:rPr>
                <w:lang w:val="en-GB"/>
              </w:rPr>
            </w:pPr>
            <w:r w:rsidRPr="0051039E">
              <w:rPr>
                <w:lang w:val="en-GB"/>
              </w:rPr>
              <w:t xml:space="preserve"> (8,036)</w:t>
            </w:r>
          </w:p>
        </w:tc>
      </w:tr>
      <w:tr w:rsidR="00D751FB" w:rsidRPr="0051039E" w14:paraId="0C4C625E" w14:textId="77777777" w:rsidTr="00E70A21">
        <w:trPr>
          <w:trHeight w:val="56"/>
        </w:trPr>
        <w:tc>
          <w:tcPr>
            <w:tcW w:w="3648" w:type="dxa"/>
            <w:shd w:val="clear" w:color="auto" w:fill="auto"/>
            <w:noWrap/>
            <w:vAlign w:val="center"/>
            <w:hideMark/>
          </w:tcPr>
          <w:p w14:paraId="288F07A6" w14:textId="45147581" w:rsidR="00D751FB" w:rsidRPr="0051039E" w:rsidRDefault="00D751FB" w:rsidP="000070BB">
            <w:pPr>
              <w:pStyle w:val="ExhibitText"/>
              <w:jc w:val="left"/>
              <w:rPr>
                <w:lang w:val="en-GB"/>
              </w:rPr>
            </w:pPr>
            <w:r w:rsidRPr="0051039E">
              <w:rPr>
                <w:lang w:val="en-GB"/>
              </w:rPr>
              <w:t xml:space="preserve">Total </w:t>
            </w:r>
            <w:r w:rsidR="00407DFA">
              <w:rPr>
                <w:lang w:val="en-GB"/>
              </w:rPr>
              <w:t>e</w:t>
            </w:r>
            <w:r w:rsidRPr="0051039E">
              <w:rPr>
                <w:lang w:val="en-GB"/>
              </w:rPr>
              <w:t>quity</w:t>
            </w:r>
          </w:p>
        </w:tc>
        <w:tc>
          <w:tcPr>
            <w:tcW w:w="1572" w:type="dxa"/>
            <w:shd w:val="clear" w:color="auto" w:fill="auto"/>
            <w:noWrap/>
            <w:vAlign w:val="center"/>
            <w:hideMark/>
          </w:tcPr>
          <w:p w14:paraId="12252800" w14:textId="7677E728" w:rsidR="00D751FB" w:rsidRPr="0051039E" w:rsidRDefault="00D751FB" w:rsidP="000070BB">
            <w:pPr>
              <w:pStyle w:val="ExhibitText"/>
              <w:jc w:val="right"/>
              <w:rPr>
                <w:lang w:val="en-GB"/>
              </w:rPr>
            </w:pPr>
            <w:r w:rsidRPr="0051039E">
              <w:rPr>
                <w:lang w:val="en-GB"/>
              </w:rPr>
              <w:t xml:space="preserve"> 38,860 </w:t>
            </w:r>
          </w:p>
        </w:tc>
        <w:tc>
          <w:tcPr>
            <w:tcW w:w="1260" w:type="dxa"/>
            <w:shd w:val="clear" w:color="auto" w:fill="auto"/>
            <w:noWrap/>
            <w:vAlign w:val="center"/>
            <w:hideMark/>
          </w:tcPr>
          <w:p w14:paraId="367C406C" w14:textId="70EBCF5B" w:rsidR="00D751FB" w:rsidRPr="0051039E" w:rsidRDefault="00D751FB" w:rsidP="000070BB">
            <w:pPr>
              <w:pStyle w:val="ExhibitText"/>
              <w:jc w:val="right"/>
              <w:rPr>
                <w:lang w:val="en-GB"/>
              </w:rPr>
            </w:pPr>
            <w:r w:rsidRPr="0051039E">
              <w:rPr>
                <w:lang w:val="en-GB"/>
              </w:rPr>
              <w:t xml:space="preserve"> 35,001 </w:t>
            </w:r>
          </w:p>
        </w:tc>
        <w:tc>
          <w:tcPr>
            <w:tcW w:w="1260" w:type="dxa"/>
            <w:shd w:val="clear" w:color="auto" w:fill="auto"/>
            <w:noWrap/>
            <w:vAlign w:val="center"/>
            <w:hideMark/>
          </w:tcPr>
          <w:p w14:paraId="57C04075" w14:textId="217ED092" w:rsidR="00D751FB" w:rsidRPr="0051039E" w:rsidRDefault="00D751FB" w:rsidP="000070BB">
            <w:pPr>
              <w:pStyle w:val="ExhibitText"/>
              <w:jc w:val="right"/>
              <w:rPr>
                <w:lang w:val="en-GB"/>
              </w:rPr>
            </w:pPr>
            <w:r w:rsidRPr="0051039E">
              <w:rPr>
                <w:lang w:val="en-GB"/>
              </w:rPr>
              <w:t xml:space="preserve"> 43,836 </w:t>
            </w:r>
          </w:p>
        </w:tc>
        <w:tc>
          <w:tcPr>
            <w:tcW w:w="1260" w:type="dxa"/>
            <w:shd w:val="clear" w:color="auto" w:fill="auto"/>
            <w:noWrap/>
            <w:vAlign w:val="center"/>
            <w:hideMark/>
          </w:tcPr>
          <w:p w14:paraId="05759E73" w14:textId="191423EB" w:rsidR="00D751FB" w:rsidRPr="0051039E" w:rsidRDefault="00D751FB" w:rsidP="000070BB">
            <w:pPr>
              <w:pStyle w:val="ExhibitText"/>
              <w:jc w:val="right"/>
              <w:rPr>
                <w:lang w:val="en-GB"/>
              </w:rPr>
            </w:pPr>
            <w:r w:rsidRPr="0051039E">
              <w:rPr>
                <w:lang w:val="en-GB"/>
              </w:rPr>
              <w:t xml:space="preserve"> 39,871 </w:t>
            </w:r>
          </w:p>
        </w:tc>
      </w:tr>
      <w:tr w:rsidR="00D751FB" w:rsidRPr="0051039E" w14:paraId="1A26FCC1" w14:textId="77777777" w:rsidTr="00E70A21">
        <w:trPr>
          <w:trHeight w:val="98"/>
        </w:trPr>
        <w:tc>
          <w:tcPr>
            <w:tcW w:w="3648" w:type="dxa"/>
            <w:shd w:val="clear" w:color="auto" w:fill="auto"/>
            <w:noWrap/>
            <w:vAlign w:val="center"/>
            <w:hideMark/>
          </w:tcPr>
          <w:p w14:paraId="43B97048" w14:textId="5C5D1DBF" w:rsidR="00D751FB" w:rsidRPr="0051039E" w:rsidRDefault="00D751FB" w:rsidP="000070BB">
            <w:pPr>
              <w:pStyle w:val="ExhibitText"/>
              <w:jc w:val="left"/>
              <w:rPr>
                <w:lang w:val="en-GB"/>
              </w:rPr>
            </w:pPr>
            <w:r w:rsidRPr="0051039E">
              <w:rPr>
                <w:lang w:val="en-GB"/>
              </w:rPr>
              <w:t xml:space="preserve">Total </w:t>
            </w:r>
            <w:r w:rsidR="00407DFA">
              <w:rPr>
                <w:lang w:val="en-GB"/>
              </w:rPr>
              <w:t>l</w:t>
            </w:r>
            <w:r w:rsidRPr="0051039E">
              <w:rPr>
                <w:lang w:val="en-GB"/>
              </w:rPr>
              <w:t xml:space="preserve">iabilities </w:t>
            </w:r>
            <w:r w:rsidR="00BA57E7">
              <w:rPr>
                <w:lang w:val="en-GB"/>
              </w:rPr>
              <w:t xml:space="preserve">and </w:t>
            </w:r>
            <w:r w:rsidR="00407DFA">
              <w:rPr>
                <w:lang w:val="en-GB"/>
              </w:rPr>
              <w:t>e</w:t>
            </w:r>
            <w:r w:rsidRPr="0051039E">
              <w:rPr>
                <w:lang w:val="en-GB"/>
              </w:rPr>
              <w:t>quity</w:t>
            </w:r>
          </w:p>
        </w:tc>
        <w:tc>
          <w:tcPr>
            <w:tcW w:w="1572" w:type="dxa"/>
            <w:shd w:val="clear" w:color="auto" w:fill="auto"/>
            <w:noWrap/>
            <w:vAlign w:val="center"/>
            <w:hideMark/>
          </w:tcPr>
          <w:p w14:paraId="3C1550EC" w14:textId="3E816052" w:rsidR="00D751FB" w:rsidRPr="0051039E" w:rsidRDefault="00D751FB" w:rsidP="000070BB">
            <w:pPr>
              <w:pStyle w:val="ExhibitText"/>
              <w:jc w:val="right"/>
              <w:rPr>
                <w:lang w:val="en-GB"/>
              </w:rPr>
            </w:pPr>
            <w:r w:rsidRPr="0051039E">
              <w:rPr>
                <w:lang w:val="en-GB"/>
              </w:rPr>
              <w:t xml:space="preserve"> 227,339 </w:t>
            </w:r>
          </w:p>
        </w:tc>
        <w:tc>
          <w:tcPr>
            <w:tcW w:w="1260" w:type="dxa"/>
            <w:shd w:val="clear" w:color="auto" w:fill="auto"/>
            <w:noWrap/>
            <w:vAlign w:val="center"/>
            <w:hideMark/>
          </w:tcPr>
          <w:p w14:paraId="18CE549D" w14:textId="04590A13" w:rsidR="00D751FB" w:rsidRPr="0051039E" w:rsidRDefault="00D751FB" w:rsidP="000070BB">
            <w:pPr>
              <w:pStyle w:val="ExhibitText"/>
              <w:jc w:val="right"/>
              <w:rPr>
                <w:lang w:val="en-GB"/>
              </w:rPr>
            </w:pPr>
            <w:r w:rsidRPr="0051039E">
              <w:rPr>
                <w:lang w:val="en-GB"/>
              </w:rPr>
              <w:t xml:space="preserve"> 212,482 </w:t>
            </w:r>
          </w:p>
        </w:tc>
        <w:tc>
          <w:tcPr>
            <w:tcW w:w="1260" w:type="dxa"/>
            <w:shd w:val="clear" w:color="auto" w:fill="auto"/>
            <w:noWrap/>
            <w:vAlign w:val="center"/>
            <w:hideMark/>
          </w:tcPr>
          <w:p w14:paraId="3E90CD92" w14:textId="66E43E09" w:rsidR="00D751FB" w:rsidRPr="0051039E" w:rsidRDefault="00D751FB" w:rsidP="000070BB">
            <w:pPr>
              <w:pStyle w:val="ExhibitText"/>
              <w:jc w:val="right"/>
              <w:rPr>
                <w:lang w:val="en-GB"/>
              </w:rPr>
            </w:pPr>
            <w:r w:rsidRPr="0051039E">
              <w:rPr>
                <w:lang w:val="en-GB"/>
              </w:rPr>
              <w:t xml:space="preserve"> 221,690 </w:t>
            </w:r>
          </w:p>
        </w:tc>
        <w:tc>
          <w:tcPr>
            <w:tcW w:w="1260" w:type="dxa"/>
            <w:shd w:val="clear" w:color="auto" w:fill="auto"/>
            <w:noWrap/>
            <w:vAlign w:val="center"/>
            <w:hideMark/>
          </w:tcPr>
          <w:p w14:paraId="542B3F44" w14:textId="5D2CD5E1" w:rsidR="00D751FB" w:rsidRPr="0051039E" w:rsidRDefault="00D751FB" w:rsidP="000070BB">
            <w:pPr>
              <w:pStyle w:val="ExhibitText"/>
              <w:jc w:val="right"/>
              <w:rPr>
                <w:lang w:val="en-GB"/>
              </w:rPr>
            </w:pPr>
            <w:r w:rsidRPr="0051039E">
              <w:rPr>
                <w:lang w:val="en-GB"/>
              </w:rPr>
              <w:t xml:space="preserve"> 194,338 </w:t>
            </w:r>
          </w:p>
        </w:tc>
      </w:tr>
    </w:tbl>
    <w:p w14:paraId="64BB44EA" w14:textId="77777777" w:rsidR="00D751FB" w:rsidRPr="0051039E" w:rsidRDefault="00D751FB" w:rsidP="000070BB">
      <w:pPr>
        <w:pStyle w:val="ExhibitText"/>
        <w:rPr>
          <w:rFonts w:eastAsia="Calibri"/>
          <w:lang w:val="en-GB"/>
        </w:rPr>
      </w:pPr>
    </w:p>
    <w:p w14:paraId="7FD645EA" w14:textId="7B4B0DFC" w:rsidR="00240246" w:rsidRPr="0051039E" w:rsidRDefault="00240246" w:rsidP="000070BB">
      <w:pPr>
        <w:pStyle w:val="Footnote"/>
        <w:rPr>
          <w:rFonts w:eastAsia="Calibri"/>
          <w:lang w:val="en-GB"/>
        </w:rPr>
      </w:pPr>
      <w:r w:rsidRPr="0051039E">
        <w:rPr>
          <w:rFonts w:eastAsia="Calibri"/>
          <w:lang w:val="en-GB"/>
        </w:rPr>
        <w:t xml:space="preserve">Note: </w:t>
      </w:r>
      <w:r w:rsidR="00CE0483">
        <w:rPr>
          <w:rFonts w:eastAsia="Calibri"/>
          <w:lang w:val="en-GB"/>
        </w:rPr>
        <w:t>F</w:t>
      </w:r>
      <w:r w:rsidR="00BA57E7">
        <w:rPr>
          <w:rFonts w:eastAsia="Calibri"/>
          <w:lang w:val="en-GB"/>
        </w:rPr>
        <w:t>or</w:t>
      </w:r>
      <w:r w:rsidRPr="0051039E">
        <w:rPr>
          <w:rFonts w:eastAsia="Calibri"/>
          <w:lang w:val="en-GB"/>
        </w:rPr>
        <w:t xml:space="preserve"> brevity</w:t>
      </w:r>
      <w:r w:rsidR="00BA57E7">
        <w:rPr>
          <w:rFonts w:eastAsia="Calibri"/>
          <w:lang w:val="en-GB"/>
        </w:rPr>
        <w:t>, less important</w:t>
      </w:r>
      <w:r w:rsidRPr="0051039E">
        <w:rPr>
          <w:rFonts w:eastAsia="Calibri"/>
          <w:lang w:val="en-GB"/>
        </w:rPr>
        <w:t xml:space="preserve"> financial components </w:t>
      </w:r>
      <w:r w:rsidR="00407DFA">
        <w:rPr>
          <w:rFonts w:eastAsia="Calibri"/>
          <w:lang w:val="en-GB"/>
        </w:rPr>
        <w:t xml:space="preserve">are </w:t>
      </w:r>
      <w:r w:rsidR="00D93081">
        <w:rPr>
          <w:rFonts w:eastAsia="Calibri"/>
          <w:lang w:val="en-GB"/>
        </w:rPr>
        <w:t>not included in</w:t>
      </w:r>
      <w:r w:rsidRPr="0051039E">
        <w:rPr>
          <w:rFonts w:eastAsia="Calibri"/>
          <w:lang w:val="en-GB"/>
        </w:rPr>
        <w:t xml:space="preserve"> </w:t>
      </w:r>
      <w:r w:rsidR="00D93081">
        <w:rPr>
          <w:rFonts w:eastAsia="Calibri"/>
          <w:lang w:val="en-GB"/>
        </w:rPr>
        <w:t xml:space="preserve">Statement of </w:t>
      </w:r>
      <w:r w:rsidRPr="0051039E">
        <w:rPr>
          <w:rFonts w:eastAsia="Calibri"/>
          <w:lang w:val="en-GB"/>
        </w:rPr>
        <w:t>Cash Flow</w:t>
      </w:r>
      <w:r w:rsidR="00D93081">
        <w:rPr>
          <w:rFonts w:eastAsia="Calibri"/>
          <w:lang w:val="en-GB"/>
        </w:rPr>
        <w:t>;</w:t>
      </w:r>
      <w:r w:rsidRPr="0051039E">
        <w:rPr>
          <w:rFonts w:eastAsia="Calibri"/>
          <w:lang w:val="en-GB"/>
        </w:rPr>
        <w:t xml:space="preserve"> summary amounts reflect GM’s results as reported </w:t>
      </w:r>
      <w:r w:rsidR="009D153A">
        <w:rPr>
          <w:rFonts w:eastAsia="Calibri"/>
          <w:lang w:val="en-GB"/>
        </w:rPr>
        <w:t xml:space="preserve">on the </w:t>
      </w:r>
      <w:r w:rsidRPr="0051039E">
        <w:rPr>
          <w:rFonts w:eastAsia="Calibri"/>
          <w:lang w:val="en-GB"/>
        </w:rPr>
        <w:t>Nasdaq</w:t>
      </w:r>
      <w:r w:rsidR="009D153A">
        <w:rPr>
          <w:rFonts w:eastAsia="Calibri"/>
          <w:lang w:val="en-GB"/>
        </w:rPr>
        <w:t xml:space="preserve"> Stock Exchange</w:t>
      </w:r>
      <w:r w:rsidRPr="0051039E">
        <w:rPr>
          <w:rFonts w:eastAsia="Calibri"/>
          <w:lang w:val="en-GB"/>
        </w:rPr>
        <w:t xml:space="preserve">. </w:t>
      </w:r>
    </w:p>
    <w:p w14:paraId="7F4FA5D0" w14:textId="51BDEC7A" w:rsidR="00D751FB" w:rsidRPr="0051039E" w:rsidRDefault="00240246" w:rsidP="000070BB">
      <w:pPr>
        <w:pStyle w:val="Footnote"/>
        <w:rPr>
          <w:rFonts w:eastAsia="Calibri"/>
          <w:lang w:val="en-GB"/>
        </w:rPr>
      </w:pPr>
      <w:r w:rsidRPr="0051039E">
        <w:rPr>
          <w:rFonts w:eastAsia="Calibri"/>
          <w:lang w:val="en-GB"/>
        </w:rPr>
        <w:t xml:space="preserve">Source: </w:t>
      </w:r>
      <w:r w:rsidR="00D751FB" w:rsidRPr="0051039E">
        <w:rPr>
          <w:rFonts w:eastAsia="Calibri"/>
          <w:lang w:val="en-GB"/>
        </w:rPr>
        <w:t>Created by the</w:t>
      </w:r>
      <w:r w:rsidR="00CE0483">
        <w:rPr>
          <w:rFonts w:eastAsia="Calibri"/>
          <w:lang w:val="en-GB"/>
        </w:rPr>
        <w:t xml:space="preserve"> case</w:t>
      </w:r>
      <w:r w:rsidR="00D751FB" w:rsidRPr="0051039E">
        <w:rPr>
          <w:rFonts w:eastAsia="Calibri"/>
          <w:lang w:val="en-GB"/>
        </w:rPr>
        <w:t xml:space="preserve"> author</w:t>
      </w:r>
      <w:r w:rsidR="00CE0483">
        <w:rPr>
          <w:rFonts w:eastAsia="Calibri"/>
          <w:lang w:val="en-GB"/>
        </w:rPr>
        <w:t>s</w:t>
      </w:r>
      <w:r w:rsidR="00D751FB" w:rsidRPr="0051039E">
        <w:rPr>
          <w:rFonts w:eastAsia="Calibri"/>
          <w:lang w:val="en-GB"/>
        </w:rPr>
        <w:t xml:space="preserve"> </w:t>
      </w:r>
      <w:r w:rsidR="009D153A">
        <w:rPr>
          <w:rFonts w:eastAsia="Calibri"/>
          <w:lang w:val="en-GB"/>
        </w:rPr>
        <w:t>with information from</w:t>
      </w:r>
      <w:r w:rsidR="00D751FB" w:rsidRPr="0051039E">
        <w:rPr>
          <w:rFonts w:eastAsia="Calibri"/>
          <w:lang w:val="en-GB"/>
        </w:rPr>
        <w:t xml:space="preserve"> </w:t>
      </w:r>
      <w:r w:rsidR="009D153A">
        <w:rPr>
          <w:rFonts w:eastAsia="Calibri"/>
          <w:lang w:val="en-GB"/>
        </w:rPr>
        <w:t>“</w:t>
      </w:r>
      <w:r w:rsidR="00D751FB" w:rsidRPr="0051039E">
        <w:rPr>
          <w:rFonts w:eastAsia="Calibri"/>
          <w:lang w:val="en-GB"/>
        </w:rPr>
        <w:t>GM Company Financials</w:t>
      </w:r>
      <w:r w:rsidR="009D153A">
        <w:rPr>
          <w:rFonts w:eastAsia="Calibri"/>
          <w:lang w:val="en-GB"/>
        </w:rPr>
        <w:t>,”</w:t>
      </w:r>
      <w:r w:rsidR="00D751FB" w:rsidRPr="0051039E">
        <w:rPr>
          <w:rFonts w:eastAsia="Calibri"/>
          <w:lang w:val="en-GB"/>
        </w:rPr>
        <w:t xml:space="preserve"> Nasdaq</w:t>
      </w:r>
      <w:r w:rsidR="009D153A">
        <w:rPr>
          <w:rFonts w:eastAsia="Calibri"/>
          <w:lang w:val="en-GB"/>
        </w:rPr>
        <w:t xml:space="preserve"> Stock Exchange, accessed</w:t>
      </w:r>
      <w:r w:rsidR="00D751FB" w:rsidRPr="0051039E">
        <w:rPr>
          <w:rFonts w:eastAsia="Calibri"/>
          <w:lang w:val="en-GB"/>
        </w:rPr>
        <w:t xml:space="preserve"> February 8, 2019</w:t>
      </w:r>
      <w:r w:rsidR="009D153A">
        <w:rPr>
          <w:rFonts w:eastAsia="Calibri"/>
          <w:lang w:val="en-GB"/>
        </w:rPr>
        <w:t xml:space="preserve">, </w:t>
      </w:r>
      <w:r w:rsidR="00D751FB" w:rsidRPr="0051039E">
        <w:rPr>
          <w:rFonts w:eastAsia="Calibri"/>
          <w:lang w:val="en-GB"/>
        </w:rPr>
        <w:t xml:space="preserve">www.nasdaq.com/symbol/gm/financials?query=cash-flow. </w:t>
      </w:r>
    </w:p>
    <w:p w14:paraId="03DAC651" w14:textId="181540F7" w:rsidR="00D751FB" w:rsidRPr="0051039E" w:rsidRDefault="00D751FB">
      <w:pPr>
        <w:spacing w:after="200" w:line="276" w:lineRule="auto"/>
        <w:rPr>
          <w:sz w:val="22"/>
          <w:szCs w:val="22"/>
          <w:lang w:val="en-GB"/>
        </w:rPr>
      </w:pPr>
      <w:r w:rsidRPr="0051039E">
        <w:rPr>
          <w:lang w:val="en-GB"/>
        </w:rPr>
        <w:br w:type="page"/>
      </w:r>
    </w:p>
    <w:p w14:paraId="0269FE67" w14:textId="37517183" w:rsidR="00B87DC0" w:rsidRPr="0051039E" w:rsidRDefault="00D751FB" w:rsidP="000070BB">
      <w:pPr>
        <w:pStyle w:val="ExhibitHeading"/>
        <w:jc w:val="left"/>
        <w:rPr>
          <w:lang w:val="en-GB"/>
        </w:rPr>
      </w:pPr>
      <w:r w:rsidRPr="0051039E">
        <w:rPr>
          <w:lang w:val="en-GB"/>
        </w:rPr>
        <w:lastRenderedPageBreak/>
        <w:t>ENDNOTES</w:t>
      </w:r>
    </w:p>
    <w:sectPr w:rsidR="00B87DC0" w:rsidRPr="0051039E" w:rsidSect="00751E0B">
      <w:headerReference w:type="default" r:id="rId13"/>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F31DBD" w16cid:durableId="207409FE"/>
  <w16cid:commentId w16cid:paraId="4708FFD6" w16cid:durableId="2083ED28"/>
  <w16cid:commentId w16cid:paraId="209BACFC" w16cid:durableId="2074114B"/>
  <w16cid:commentId w16cid:paraId="4F18CAF4" w16cid:durableId="2083ED41"/>
  <w16cid:commentId w16cid:paraId="07DF6B73" w16cid:durableId="20743099"/>
  <w16cid:commentId w16cid:paraId="375B7C91" w16cid:durableId="2083ED46"/>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CF5D21" w14:textId="77777777" w:rsidR="00184A56" w:rsidRDefault="00184A56" w:rsidP="00D75295">
      <w:r>
        <w:separator/>
      </w:r>
    </w:p>
  </w:endnote>
  <w:endnote w:type="continuationSeparator" w:id="0">
    <w:p w14:paraId="38A68413" w14:textId="77777777" w:rsidR="00184A56" w:rsidRDefault="00184A56" w:rsidP="00D75295">
      <w:r>
        <w:continuationSeparator/>
      </w:r>
    </w:p>
  </w:endnote>
  <w:endnote w:id="1">
    <w:p w14:paraId="3AD6C478" w14:textId="099E9FC7" w:rsidR="00F018F1" w:rsidRPr="000727E1" w:rsidRDefault="00F018F1">
      <w:pPr>
        <w:pStyle w:val="EndnoteText"/>
        <w:rPr>
          <w:lang w:val="en-US"/>
        </w:rPr>
      </w:pPr>
      <w:r w:rsidRPr="000727E1">
        <w:rPr>
          <w:rStyle w:val="EndnoteReference"/>
        </w:rPr>
        <w:endnoteRef/>
      </w:r>
      <w:r w:rsidRPr="000727E1">
        <w:t xml:space="preserve"> </w:t>
      </w:r>
      <w:r w:rsidRPr="000727E1">
        <w:rPr>
          <w:rStyle w:val="FootnoteChar"/>
          <w:rFonts w:eastAsia="Calibri"/>
        </w:rPr>
        <w:t xml:space="preserve">This case has been written on the basis of published sources only. Consequently, the interpretation and perspectives presented in this case are not necessarily those of General Motors </w:t>
      </w:r>
      <w:r w:rsidRPr="000727E1">
        <w:rPr>
          <w:rStyle w:val="FootnoteChar"/>
          <w:rFonts w:eastAsia="Calibri"/>
          <w:lang w:val="en-CA"/>
        </w:rPr>
        <w:t xml:space="preserve">Company </w:t>
      </w:r>
      <w:r w:rsidRPr="000727E1">
        <w:rPr>
          <w:rStyle w:val="FootnoteChar"/>
          <w:rFonts w:eastAsia="Calibri"/>
        </w:rPr>
        <w:t>or any of its employees.</w:t>
      </w:r>
    </w:p>
  </w:endnote>
  <w:endnote w:id="2">
    <w:p w14:paraId="0F283583" w14:textId="06D32284" w:rsidR="00F018F1" w:rsidRPr="000727E1" w:rsidRDefault="00F018F1" w:rsidP="00447AC5">
      <w:pPr>
        <w:pStyle w:val="Footnote"/>
      </w:pPr>
      <w:r w:rsidRPr="000727E1">
        <w:rPr>
          <w:rStyle w:val="EndnoteReference"/>
        </w:rPr>
        <w:endnoteRef/>
      </w:r>
      <w:r w:rsidRPr="000727E1">
        <w:t xml:space="preserve"> Robert Ferris, “GM </w:t>
      </w:r>
      <w:r w:rsidR="000178E6">
        <w:t>i</w:t>
      </w:r>
      <w:r w:rsidRPr="000727E1">
        <w:t xml:space="preserve">s </w:t>
      </w:r>
      <w:r w:rsidR="000178E6">
        <w:t>g</w:t>
      </w:r>
      <w:r w:rsidRPr="000727E1">
        <w:t>oing ‘</w:t>
      </w:r>
      <w:r w:rsidR="000178E6">
        <w:t>a</w:t>
      </w:r>
      <w:r w:rsidRPr="000727E1">
        <w:t>ll-</w:t>
      </w:r>
      <w:r w:rsidR="000178E6">
        <w:t>e</w:t>
      </w:r>
      <w:r w:rsidRPr="000727E1">
        <w:t xml:space="preserve">lectric,’ but </w:t>
      </w:r>
      <w:r w:rsidR="000178E6">
        <w:t>i</w:t>
      </w:r>
      <w:r w:rsidRPr="000727E1">
        <w:t xml:space="preserve">t </w:t>
      </w:r>
      <w:r w:rsidR="000178E6">
        <w:t>d</w:t>
      </w:r>
      <w:r w:rsidRPr="000727E1">
        <w:t xml:space="preserve">oesn’t </w:t>
      </w:r>
      <w:r w:rsidR="000178E6">
        <w:t>e</w:t>
      </w:r>
      <w:r w:rsidRPr="000727E1">
        <w:t xml:space="preserve">xpect to </w:t>
      </w:r>
      <w:r w:rsidR="000178E6">
        <w:t>m</w:t>
      </w:r>
      <w:r w:rsidRPr="000727E1">
        <w:t xml:space="preserve">ake </w:t>
      </w:r>
      <w:r w:rsidR="000178E6">
        <w:t>m</w:t>
      </w:r>
      <w:r w:rsidRPr="000727E1">
        <w:t xml:space="preserve">oney off </w:t>
      </w:r>
      <w:r w:rsidR="000178E6">
        <w:t>b</w:t>
      </w:r>
      <w:r w:rsidRPr="000727E1">
        <w:t>attery-</w:t>
      </w:r>
      <w:r w:rsidR="000178E6">
        <w:t>p</w:t>
      </w:r>
      <w:r w:rsidRPr="000727E1">
        <w:t xml:space="preserve">owered </w:t>
      </w:r>
      <w:r w:rsidR="000178E6">
        <w:t>c</w:t>
      </w:r>
      <w:r w:rsidRPr="000727E1">
        <w:t xml:space="preserve">ars until </w:t>
      </w:r>
      <w:r w:rsidR="000178E6">
        <w:t>e</w:t>
      </w:r>
      <w:r w:rsidRPr="000727E1">
        <w:t xml:space="preserve">arly </w:t>
      </w:r>
      <w:r w:rsidR="000178E6">
        <w:t>n</w:t>
      </w:r>
      <w:r w:rsidRPr="000727E1">
        <w:t xml:space="preserve">ext </w:t>
      </w:r>
      <w:r w:rsidR="000178E6">
        <w:t>d</w:t>
      </w:r>
      <w:r w:rsidRPr="000727E1">
        <w:t>ecade,” CNBC, February 6, 2019,” accessed February 7, 2019, www.cnbc.com/2019/02/06/gm-doesnt-expect-to-make-money-off-electric-cars-until-next-decade.html.</w:t>
      </w:r>
    </w:p>
  </w:endnote>
  <w:endnote w:id="3">
    <w:p w14:paraId="14998AE7" w14:textId="3312581F" w:rsidR="00F018F1" w:rsidRPr="000727E1" w:rsidRDefault="00F018F1" w:rsidP="00447AC5">
      <w:pPr>
        <w:pStyle w:val="Footnote"/>
      </w:pPr>
      <w:r w:rsidRPr="000727E1">
        <w:rPr>
          <w:rStyle w:val="EndnoteReference"/>
        </w:rPr>
        <w:endnoteRef/>
      </w:r>
      <w:r w:rsidRPr="000727E1">
        <w:t xml:space="preserve"> Tom Krisher, “GM </w:t>
      </w:r>
      <w:r w:rsidR="000178E6">
        <w:t>s</w:t>
      </w:r>
      <w:r w:rsidRPr="000727E1">
        <w:t xml:space="preserve">ays </w:t>
      </w:r>
      <w:r w:rsidR="000178E6">
        <w:t>n</w:t>
      </w:r>
      <w:r w:rsidRPr="000727E1">
        <w:t>ext-</w:t>
      </w:r>
      <w:r w:rsidR="000178E6">
        <w:t>g</w:t>
      </w:r>
      <w:r w:rsidRPr="000727E1">
        <w:t xml:space="preserve">en </w:t>
      </w:r>
      <w:r w:rsidR="000178E6">
        <w:t>e</w:t>
      </w:r>
      <w:r w:rsidRPr="000727E1">
        <w:t xml:space="preserve">lectric </w:t>
      </w:r>
      <w:r w:rsidR="000178E6">
        <w:t>c</w:t>
      </w:r>
      <w:r w:rsidRPr="000727E1">
        <w:t xml:space="preserve">ars </w:t>
      </w:r>
      <w:r w:rsidR="000178E6">
        <w:t>w</w:t>
      </w:r>
      <w:r w:rsidRPr="000727E1">
        <w:t xml:space="preserve">ill </w:t>
      </w:r>
      <w:r w:rsidR="000178E6">
        <w:t>c</w:t>
      </w:r>
      <w:r w:rsidRPr="000727E1">
        <w:t xml:space="preserve">ost </w:t>
      </w:r>
      <w:r w:rsidR="000178E6">
        <w:t>l</w:t>
      </w:r>
      <w:r w:rsidRPr="000727E1">
        <w:t xml:space="preserve">ess, </w:t>
      </w:r>
      <w:r w:rsidR="000178E6">
        <w:t>g</w:t>
      </w:r>
      <w:r w:rsidRPr="000727E1">
        <w:t xml:space="preserve">o </w:t>
      </w:r>
      <w:r w:rsidR="000178E6">
        <w:t>f</w:t>
      </w:r>
      <w:r w:rsidRPr="000727E1">
        <w:t xml:space="preserve">arther,” CTV News, November 15, 2017, accessed January 15, 2018, www.ctvnews.ca/autos/gm-says-next-gen-electric-cars-will-cost-less-go-farther-1.3679494. </w:t>
      </w:r>
    </w:p>
  </w:endnote>
  <w:endnote w:id="4">
    <w:p w14:paraId="61728F1E" w14:textId="0E3FF9B1" w:rsidR="00F018F1" w:rsidRPr="000727E1" w:rsidRDefault="00F018F1" w:rsidP="00447AC5">
      <w:pPr>
        <w:pStyle w:val="Footnote"/>
      </w:pPr>
      <w:r w:rsidRPr="000727E1">
        <w:rPr>
          <w:rStyle w:val="EndnoteReference"/>
        </w:rPr>
        <w:endnoteRef/>
      </w:r>
      <w:r w:rsidRPr="000727E1">
        <w:t xml:space="preserve"> Lawrence Burns, </w:t>
      </w:r>
      <w:r w:rsidRPr="00114A41">
        <w:rPr>
          <w:i/>
        </w:rPr>
        <w:t>Autonomy: The Quest to Build the Driverless Car—and How It Will Reshape Our World</w:t>
      </w:r>
      <w:r w:rsidRPr="000727E1">
        <w:t xml:space="preserve">, (London, UK: HarperCollins, 2018), 209. </w:t>
      </w:r>
    </w:p>
  </w:endnote>
  <w:endnote w:id="5">
    <w:p w14:paraId="02E94B84" w14:textId="6E752E21" w:rsidR="00F018F1" w:rsidRPr="000727E1" w:rsidRDefault="00F018F1" w:rsidP="00447AC5">
      <w:pPr>
        <w:pStyle w:val="Footnote"/>
      </w:pPr>
      <w:r w:rsidRPr="000727E1">
        <w:rPr>
          <w:rStyle w:val="EndnoteReference"/>
        </w:rPr>
        <w:endnoteRef/>
      </w:r>
      <w:r w:rsidRPr="000727E1">
        <w:t xml:space="preserve"> Kit Rees, “Investors </w:t>
      </w:r>
      <w:r w:rsidR="006221D6">
        <w:t>b</w:t>
      </w:r>
      <w:r w:rsidRPr="000727E1">
        <w:t xml:space="preserve">et on </w:t>
      </w:r>
      <w:r w:rsidR="006221D6">
        <w:t>c</w:t>
      </w:r>
      <w:r w:rsidRPr="000727E1">
        <w:t xml:space="preserve">omponents </w:t>
      </w:r>
      <w:r w:rsidR="006221D6">
        <w:t>m</w:t>
      </w:r>
      <w:r w:rsidRPr="000727E1">
        <w:t xml:space="preserve">akers in </w:t>
      </w:r>
      <w:r w:rsidR="006221D6">
        <w:t>e</w:t>
      </w:r>
      <w:r w:rsidRPr="000727E1">
        <w:t xml:space="preserve">lectric </w:t>
      </w:r>
      <w:r w:rsidR="006221D6">
        <w:t>c</w:t>
      </w:r>
      <w:r w:rsidRPr="000727E1">
        <w:t xml:space="preserve">ar </w:t>
      </w:r>
      <w:r w:rsidR="006221D6">
        <w:t>s</w:t>
      </w:r>
      <w:r w:rsidRPr="000727E1">
        <w:t xml:space="preserve">hift,” Reuters, March 7, 2018, accessed February 7, 2019, www.reuters.com/article/us-autos-ev-investors/investors-bet-on-component-makers-in-electric-car-shift-idUSKCN1GJ1IE. </w:t>
      </w:r>
    </w:p>
  </w:endnote>
  <w:endnote w:id="6">
    <w:p w14:paraId="4B02C3B8" w14:textId="2901F3E7" w:rsidR="00F018F1" w:rsidRPr="000727E1" w:rsidRDefault="00F018F1" w:rsidP="00447AC5">
      <w:pPr>
        <w:pStyle w:val="Footnote"/>
      </w:pPr>
      <w:r w:rsidRPr="000727E1">
        <w:rPr>
          <w:rStyle w:val="EndnoteReference"/>
        </w:rPr>
        <w:endnoteRef/>
      </w:r>
      <w:r w:rsidRPr="000727E1">
        <w:t xml:space="preserve"> </w:t>
      </w:r>
      <w:r w:rsidRPr="000727E1">
        <w:rPr>
          <w:shd w:val="clear" w:color="auto" w:fill="FFFFFF"/>
          <w:lang w:val="en-CA" w:eastAsia="en-CA"/>
        </w:rPr>
        <w:t>UBS</w:t>
      </w:r>
      <w:r>
        <w:rPr>
          <w:shd w:val="clear" w:color="auto" w:fill="FFFFFF"/>
          <w:lang w:val="en-CA" w:eastAsia="en-CA"/>
        </w:rPr>
        <w:t xml:space="preserve"> Global Research</w:t>
      </w:r>
      <w:r w:rsidRPr="000727E1">
        <w:rPr>
          <w:shd w:val="clear" w:color="auto" w:fill="FFFFFF"/>
          <w:lang w:val="en-CA" w:eastAsia="en-CA"/>
        </w:rPr>
        <w:t xml:space="preserve">, </w:t>
      </w:r>
      <w:r w:rsidRPr="000727E1">
        <w:rPr>
          <w:i/>
          <w:shd w:val="clear" w:color="auto" w:fill="FFFFFF"/>
          <w:lang w:val="en-CA" w:eastAsia="en-CA"/>
        </w:rPr>
        <w:t>UBS Evidence Lab Electric Car Teardown</w:t>
      </w:r>
      <w:r w:rsidRPr="00114A41">
        <w:rPr>
          <w:i/>
        </w:rPr>
        <w:t>—Disruption Ahead?</w:t>
      </w:r>
      <w:r w:rsidRPr="000727E1">
        <w:t xml:space="preserve">, accessed February 21, 2018, </w:t>
      </w:r>
      <w:r w:rsidRPr="00114A41">
        <w:t>www.advantagelithium.com/_resources/pdf/UBS-Article.pdf</w:t>
      </w:r>
      <w:r w:rsidRPr="000727E1">
        <w:t>, 4.</w:t>
      </w:r>
    </w:p>
  </w:endnote>
  <w:endnote w:id="7">
    <w:p w14:paraId="441B4F99" w14:textId="5D553AD7" w:rsidR="00F018F1" w:rsidRPr="000727E1" w:rsidRDefault="00F018F1" w:rsidP="00447AC5">
      <w:pPr>
        <w:pStyle w:val="Footnote"/>
      </w:pPr>
      <w:r w:rsidRPr="000727E1">
        <w:rPr>
          <w:rStyle w:val="EndnoteReference"/>
        </w:rPr>
        <w:endnoteRef/>
      </w:r>
      <w:r w:rsidRPr="000727E1">
        <w:t xml:space="preserve"> Robert Ferris, op. cit</w:t>
      </w:r>
      <w:r>
        <w:t>.</w:t>
      </w:r>
    </w:p>
  </w:endnote>
  <w:endnote w:id="8">
    <w:p w14:paraId="66C984AF" w14:textId="77712620" w:rsidR="00F018F1" w:rsidRPr="000727E1" w:rsidRDefault="00F018F1" w:rsidP="00447AC5">
      <w:pPr>
        <w:pStyle w:val="Footnote"/>
      </w:pPr>
      <w:r w:rsidRPr="000727E1">
        <w:rPr>
          <w:rStyle w:val="EndnoteReference"/>
        </w:rPr>
        <w:endnoteRef/>
      </w:r>
      <w:r w:rsidRPr="000727E1">
        <w:t xml:space="preserve"> “</w:t>
      </w:r>
      <w:r w:rsidRPr="000727E1">
        <w:rPr>
          <w:shd w:val="clear" w:color="auto" w:fill="FFFFFF"/>
          <w:lang w:val="en-CA" w:eastAsia="en-CA"/>
        </w:rPr>
        <w:t xml:space="preserve">Automobile History,” History Television Network, accessed February 21, 2018, </w:t>
      </w:r>
      <w:r w:rsidRPr="000727E1">
        <w:t xml:space="preserve">www.history.com/topics/automobiles. </w:t>
      </w:r>
    </w:p>
  </w:endnote>
  <w:endnote w:id="9">
    <w:p w14:paraId="3FAA12B1" w14:textId="0842DB75" w:rsidR="00F018F1" w:rsidRPr="000727E1" w:rsidRDefault="00F018F1" w:rsidP="00447AC5">
      <w:pPr>
        <w:pStyle w:val="Footnote"/>
      </w:pPr>
      <w:r w:rsidRPr="000727E1">
        <w:rPr>
          <w:rStyle w:val="EndnoteReference"/>
        </w:rPr>
        <w:endnoteRef/>
      </w:r>
      <w:r w:rsidRPr="000727E1">
        <w:t xml:space="preserve"> </w:t>
      </w:r>
      <w:r w:rsidRPr="000727E1">
        <w:rPr>
          <w:lang w:val="en-CA"/>
        </w:rPr>
        <w:t xml:space="preserve">Center for Automotive Research, </w:t>
      </w:r>
      <w:r w:rsidRPr="00114A41">
        <w:rPr>
          <w:i/>
          <w:lang w:val="en-CA"/>
        </w:rPr>
        <w:t>Contribution of the Automotive Industry to the Economies of All Fifty States and the United States</w:t>
      </w:r>
      <w:r w:rsidRPr="000727E1">
        <w:rPr>
          <w:lang w:val="en-CA"/>
        </w:rPr>
        <w:t xml:space="preserve">, January 2015, accessed February 21, 2018, </w:t>
      </w:r>
      <w:r w:rsidRPr="000727E1">
        <w:t>www.cargroup.org/wp-content/uploads/2017/02/Contribution-of-the-Automotive-Industry-to-the-Economies-of-All-Fifty-States-and-the-United-States2015.pdf</w:t>
      </w:r>
      <w:r w:rsidRPr="000727E1">
        <w:rPr>
          <w:lang w:val="en-CA"/>
        </w:rPr>
        <w:t>.</w:t>
      </w:r>
    </w:p>
  </w:endnote>
  <w:endnote w:id="10">
    <w:p w14:paraId="4AA5F66C" w14:textId="7426E9B1" w:rsidR="00F018F1" w:rsidRPr="000727E1" w:rsidRDefault="00F018F1" w:rsidP="00447AC5">
      <w:pPr>
        <w:pStyle w:val="Footnote"/>
      </w:pPr>
      <w:r w:rsidRPr="000727E1">
        <w:rPr>
          <w:rStyle w:val="EndnoteReference"/>
        </w:rPr>
        <w:endnoteRef/>
      </w:r>
      <w:r w:rsidRPr="000727E1">
        <w:t xml:space="preserve"> </w:t>
      </w:r>
      <w:r w:rsidRPr="000727E1">
        <w:rPr>
          <w:lang w:val="en-CA"/>
        </w:rPr>
        <w:t xml:space="preserve">American Automotive Policy Council, </w:t>
      </w:r>
      <w:r w:rsidRPr="00152AE1">
        <w:rPr>
          <w:i/>
          <w:lang w:val="en-CA"/>
        </w:rPr>
        <w:t xml:space="preserve">State of the </w:t>
      </w:r>
      <w:r w:rsidR="00E70A21">
        <w:rPr>
          <w:i/>
          <w:lang w:val="en-CA"/>
        </w:rPr>
        <w:t>US</w:t>
      </w:r>
      <w:r w:rsidRPr="00152AE1">
        <w:rPr>
          <w:i/>
          <w:lang w:val="en-CA"/>
        </w:rPr>
        <w:t xml:space="preserve"> Automotive Industry, </w:t>
      </w:r>
      <w:r w:rsidRPr="00152AE1">
        <w:rPr>
          <w:i/>
        </w:rPr>
        <w:t>2017</w:t>
      </w:r>
      <w:r w:rsidRPr="000727E1">
        <w:t xml:space="preserve">, </w:t>
      </w:r>
      <w:r w:rsidRPr="000727E1">
        <w:rPr>
          <w:lang w:val="en-CA"/>
        </w:rPr>
        <w:t>accessed</w:t>
      </w:r>
      <w:r w:rsidRPr="000727E1">
        <w:t xml:space="preserve"> February 21, 2018, </w:t>
      </w:r>
      <w:r w:rsidRPr="00114A41">
        <w:t>www.americanautocouncil.org/sites/aapc2016/files/2017%20Economic%20Contribution%20Report.pdf</w:t>
      </w:r>
      <w:r w:rsidRPr="000727E1">
        <w:t>, 6.</w:t>
      </w:r>
    </w:p>
  </w:endnote>
  <w:endnote w:id="11">
    <w:p w14:paraId="3DEF0809" w14:textId="7246FEF8" w:rsidR="00F018F1" w:rsidRPr="00114A41" w:rsidRDefault="00F018F1">
      <w:pPr>
        <w:pStyle w:val="EndnoteText"/>
        <w:rPr>
          <w:lang w:val="en-CA"/>
        </w:rPr>
      </w:pPr>
      <w:r w:rsidRPr="000727E1">
        <w:rPr>
          <w:rStyle w:val="EndnoteReference"/>
        </w:rPr>
        <w:endnoteRef/>
      </w:r>
      <w:r w:rsidRPr="000727E1">
        <w:t xml:space="preserve"> </w:t>
      </w:r>
      <w:r w:rsidRPr="000727E1">
        <w:rPr>
          <w:rFonts w:ascii="Arial" w:hAnsi="Arial" w:cs="Arial"/>
          <w:sz w:val="17"/>
          <w:szCs w:val="17"/>
          <w:lang w:val="en-CA"/>
        </w:rPr>
        <w:t>All currency amounts are in US$ unless otherwise specified.</w:t>
      </w:r>
    </w:p>
  </w:endnote>
  <w:endnote w:id="12">
    <w:p w14:paraId="670B5FDB" w14:textId="7808D04B" w:rsidR="00F018F1" w:rsidRPr="000727E1" w:rsidRDefault="00F018F1" w:rsidP="00DB4C65">
      <w:pPr>
        <w:pStyle w:val="Footnote"/>
      </w:pPr>
      <w:r w:rsidRPr="000727E1">
        <w:rPr>
          <w:rStyle w:val="EndnoteReference"/>
        </w:rPr>
        <w:endnoteRef/>
      </w:r>
      <w:r w:rsidRPr="000727E1">
        <w:t xml:space="preserve"> Sam Frizell, “General Motors Bailout Cost Taxpayers $11.2 Billion,” </w:t>
      </w:r>
      <w:r w:rsidRPr="00114A41">
        <w:rPr>
          <w:i/>
        </w:rPr>
        <w:t>Time</w:t>
      </w:r>
      <w:r w:rsidRPr="000727E1">
        <w:t xml:space="preserve">, April 30, 2014, accessed May 2, 2018, http://time.com/82953/general-motors-bailout-cost-taxpayers-11-2-billion. </w:t>
      </w:r>
    </w:p>
  </w:endnote>
  <w:endnote w:id="13">
    <w:p w14:paraId="712E91F3" w14:textId="438DD55A" w:rsidR="00F018F1" w:rsidRPr="000727E1" w:rsidRDefault="00F018F1" w:rsidP="00447AC5">
      <w:pPr>
        <w:pStyle w:val="Footnote"/>
      </w:pPr>
      <w:r w:rsidRPr="000727E1">
        <w:rPr>
          <w:rStyle w:val="EndnoteReference"/>
        </w:rPr>
        <w:endnoteRef/>
      </w:r>
      <w:r w:rsidRPr="000727E1">
        <w:t xml:space="preserve"> “Obama’s Announcement on the Auto Industry,” </w:t>
      </w:r>
      <w:r w:rsidRPr="00114A41">
        <w:rPr>
          <w:i/>
        </w:rPr>
        <w:t>New York Times</w:t>
      </w:r>
      <w:r w:rsidRPr="000727E1">
        <w:t>, March 30, 2009, accessed May 2, 2018, www.nytimes.com/2009/03/30/us/politics/30obama-text.html?pagewanted=all.</w:t>
      </w:r>
    </w:p>
  </w:endnote>
  <w:endnote w:id="14">
    <w:p w14:paraId="22A216BC" w14:textId="1CFF4A63" w:rsidR="00F018F1" w:rsidRPr="000727E1" w:rsidRDefault="00F018F1" w:rsidP="00447AC5">
      <w:pPr>
        <w:pStyle w:val="Footnote"/>
      </w:pPr>
      <w:r w:rsidRPr="000727E1">
        <w:rPr>
          <w:rStyle w:val="EndnoteReference"/>
        </w:rPr>
        <w:endnoteRef/>
      </w:r>
      <w:r>
        <w:t> </w:t>
      </w:r>
      <w:r w:rsidRPr="000727E1">
        <w:rPr>
          <w:shd w:val="clear" w:color="auto" w:fill="FFFFFF"/>
          <w:lang w:val="en-CA" w:eastAsia="en-CA"/>
        </w:rPr>
        <w:t xml:space="preserve">“Auto &amp; Truck Manufacturers Industry </w:t>
      </w:r>
      <w:r w:rsidRPr="000727E1">
        <w:t xml:space="preserve">Profitability,” </w:t>
      </w:r>
      <w:r w:rsidRPr="000727E1">
        <w:rPr>
          <w:shd w:val="clear" w:color="auto" w:fill="FFFFFF"/>
          <w:lang w:val="en-CA" w:eastAsia="en-CA"/>
        </w:rPr>
        <w:t xml:space="preserve">CSIMarket Company, </w:t>
      </w:r>
      <w:r w:rsidRPr="000727E1">
        <w:t xml:space="preserve">accessed February 21, 2018, https://csimarket.com/Industry/industry_Profitability_Ratios.php?ind=404&amp;hist=3. </w:t>
      </w:r>
    </w:p>
  </w:endnote>
  <w:endnote w:id="15">
    <w:p w14:paraId="3F4EDCB9" w14:textId="485C0CF6" w:rsidR="00F018F1" w:rsidRPr="000727E1" w:rsidRDefault="00F018F1" w:rsidP="00447AC5">
      <w:pPr>
        <w:pStyle w:val="Footnote"/>
      </w:pPr>
      <w:r w:rsidRPr="000727E1">
        <w:rPr>
          <w:rStyle w:val="EndnoteReference"/>
        </w:rPr>
        <w:endnoteRef/>
      </w:r>
      <w:r w:rsidRPr="000727E1">
        <w:t xml:space="preserve"> John Holusha, “Chrysler Is Buying American Motors; Cost Is $1.5 Billion,” </w:t>
      </w:r>
      <w:r w:rsidRPr="00114A41">
        <w:rPr>
          <w:i/>
        </w:rPr>
        <w:t>New York Times</w:t>
      </w:r>
      <w:r w:rsidRPr="000727E1">
        <w:t xml:space="preserve">, March 10, 1987, accessed February 7, 2019, www.nytimes.com/1987/03/10/business/chrysler-is-buying-american-motors-cost-is-1.5-billion.html. </w:t>
      </w:r>
    </w:p>
  </w:endnote>
  <w:endnote w:id="16">
    <w:p w14:paraId="4F768869" w14:textId="24D003B8" w:rsidR="00F018F1" w:rsidRPr="000727E1" w:rsidRDefault="00F018F1" w:rsidP="00447AC5">
      <w:pPr>
        <w:pStyle w:val="Footnote"/>
      </w:pPr>
      <w:r w:rsidRPr="000727E1">
        <w:rPr>
          <w:rStyle w:val="EndnoteReference"/>
        </w:rPr>
        <w:endnoteRef/>
      </w:r>
      <w:r w:rsidRPr="000727E1">
        <w:t xml:space="preserve"> UBS</w:t>
      </w:r>
      <w:r>
        <w:rPr>
          <w:shd w:val="clear" w:color="auto" w:fill="FFFFFF"/>
          <w:lang w:val="en-CA" w:eastAsia="en-CA"/>
        </w:rPr>
        <w:t xml:space="preserve"> Global Research</w:t>
      </w:r>
      <w:r w:rsidRPr="000727E1">
        <w:t>, op. cit., 52</w:t>
      </w:r>
      <w:r>
        <w:t>.</w:t>
      </w:r>
    </w:p>
  </w:endnote>
  <w:endnote w:id="17">
    <w:p w14:paraId="115C10DE" w14:textId="5ED3B220" w:rsidR="00F018F1" w:rsidRPr="000727E1" w:rsidRDefault="00F018F1" w:rsidP="00447AC5">
      <w:pPr>
        <w:pStyle w:val="Footnote"/>
      </w:pPr>
      <w:r w:rsidRPr="000727E1">
        <w:rPr>
          <w:rStyle w:val="EndnoteReference"/>
        </w:rPr>
        <w:endnoteRef/>
      </w:r>
      <w:r>
        <w:t> </w:t>
      </w:r>
      <w:r w:rsidRPr="000727E1">
        <w:t xml:space="preserve">“Dealership Financial Profiles,” National Automobile Dealers Association, accessed December 4, 2018 www.nada.org/WorkArea/DownloadAsset.aspx?id=21474853825. </w:t>
      </w:r>
    </w:p>
  </w:endnote>
  <w:endnote w:id="18">
    <w:p w14:paraId="13FFDDA2" w14:textId="4AC118AD" w:rsidR="00F018F1" w:rsidRPr="000727E1" w:rsidRDefault="00F018F1" w:rsidP="00447AC5">
      <w:pPr>
        <w:pStyle w:val="Footnote"/>
      </w:pPr>
      <w:r w:rsidRPr="000727E1">
        <w:rPr>
          <w:rStyle w:val="EndnoteReference"/>
        </w:rPr>
        <w:endnoteRef/>
      </w:r>
      <w:r w:rsidRPr="000727E1">
        <w:t xml:space="preserve"> Jamie </w:t>
      </w:r>
      <w:r w:rsidRPr="000727E1">
        <w:rPr>
          <w:shd w:val="clear" w:color="auto" w:fill="FFFFFF"/>
          <w:lang w:val="en-CA" w:eastAsia="en-CA"/>
        </w:rPr>
        <w:t xml:space="preserve">LaReau, “Dealers Relying More on Fixed Ops,” </w:t>
      </w:r>
      <w:r w:rsidRPr="000727E1">
        <w:rPr>
          <w:i/>
          <w:shd w:val="clear" w:color="auto" w:fill="FFFFFF"/>
          <w:lang w:val="en-CA" w:eastAsia="en-CA"/>
        </w:rPr>
        <w:t>Automotive News</w:t>
      </w:r>
      <w:r w:rsidRPr="000727E1">
        <w:rPr>
          <w:shd w:val="clear" w:color="auto" w:fill="FFFFFF"/>
          <w:lang w:val="en-CA" w:eastAsia="en-CA"/>
        </w:rPr>
        <w:t>, April 17, 2017, accessed</w:t>
      </w:r>
      <w:r w:rsidRPr="000727E1">
        <w:t xml:space="preserve"> February 21, 2018, www.autonews.com/article/20170417/RETAIL06/304179922/dealers-relying-more-on-fixed-ops. </w:t>
      </w:r>
    </w:p>
  </w:endnote>
  <w:endnote w:id="19">
    <w:p w14:paraId="59E6402E" w14:textId="719378FF" w:rsidR="00F018F1" w:rsidRPr="000727E1" w:rsidRDefault="00F018F1" w:rsidP="00447AC5">
      <w:pPr>
        <w:pStyle w:val="Footnote"/>
      </w:pPr>
      <w:r w:rsidRPr="000727E1">
        <w:rPr>
          <w:rStyle w:val="EndnoteReference"/>
        </w:rPr>
        <w:endnoteRef/>
      </w:r>
      <w:r w:rsidRPr="000727E1">
        <w:t xml:space="preserve"> Rob </w:t>
      </w:r>
      <w:r w:rsidRPr="000727E1">
        <w:rPr>
          <w:lang w:val="en-CA" w:eastAsia="en-CA"/>
        </w:rPr>
        <w:t xml:space="preserve">Wile, “The Surprising Source of Car Dealers’ Profits,” </w:t>
      </w:r>
      <w:r w:rsidRPr="00114A41">
        <w:rPr>
          <w:i/>
        </w:rPr>
        <w:t>Business Insider</w:t>
      </w:r>
      <w:r w:rsidRPr="000727E1">
        <w:t xml:space="preserve">, </w:t>
      </w:r>
      <w:r w:rsidRPr="000727E1">
        <w:rPr>
          <w:lang w:val="en-CA" w:eastAsia="en-CA"/>
        </w:rPr>
        <w:t>March 1, 2012,</w:t>
      </w:r>
      <w:r w:rsidRPr="000727E1">
        <w:t xml:space="preserve"> accessed February 21, 2018, www.businessinsider.com/the-surprising-source-of-car-dealers-profits-2012-2. </w:t>
      </w:r>
    </w:p>
  </w:endnote>
  <w:endnote w:id="20">
    <w:p w14:paraId="7139049E" w14:textId="0574BD3E" w:rsidR="00F018F1" w:rsidRPr="000727E1" w:rsidRDefault="00F018F1" w:rsidP="00447AC5">
      <w:pPr>
        <w:pStyle w:val="Footnote"/>
      </w:pPr>
      <w:r w:rsidRPr="000727E1">
        <w:rPr>
          <w:rStyle w:val="EndnoteReference"/>
        </w:rPr>
        <w:endnoteRef/>
      </w:r>
      <w:r w:rsidRPr="000727E1">
        <w:t xml:space="preserve"> Melissa Burden, “Parts and </w:t>
      </w:r>
      <w:r w:rsidR="006221D6">
        <w:t>a</w:t>
      </w:r>
      <w:r w:rsidRPr="000727E1">
        <w:t xml:space="preserve">ccessories </w:t>
      </w:r>
      <w:r w:rsidR="006221D6">
        <w:t>b</w:t>
      </w:r>
      <w:r w:rsidRPr="000727E1">
        <w:t xml:space="preserve">oost Ford, FCA, GM </w:t>
      </w:r>
      <w:r w:rsidR="006221D6">
        <w:t>r</w:t>
      </w:r>
      <w:r w:rsidRPr="000727E1">
        <w:t xml:space="preserve">evenue,” </w:t>
      </w:r>
      <w:r w:rsidRPr="000727E1">
        <w:rPr>
          <w:i/>
        </w:rPr>
        <w:t>The Detroit News</w:t>
      </w:r>
      <w:r w:rsidRPr="000727E1">
        <w:t xml:space="preserve">, March 23, 2017, accessed February 21, 2018, www.detroitnews.com/story/business/autos/general-motors/2017/03/23/parts-accessories-boost-ford-fca-gm-revenue/99562692. </w:t>
      </w:r>
    </w:p>
  </w:endnote>
  <w:endnote w:id="21">
    <w:p w14:paraId="33730E6C" w14:textId="2E98AB8F" w:rsidR="00F018F1" w:rsidRPr="000727E1" w:rsidRDefault="00F018F1" w:rsidP="00447AC5">
      <w:pPr>
        <w:pStyle w:val="Footnote"/>
      </w:pPr>
      <w:r w:rsidRPr="000727E1">
        <w:rPr>
          <w:rStyle w:val="EndnoteReference"/>
        </w:rPr>
        <w:endnoteRef/>
      </w:r>
      <w:r w:rsidRPr="000727E1">
        <w:t xml:space="preserve"> </w:t>
      </w:r>
      <w:r w:rsidRPr="000727E1">
        <w:rPr>
          <w:shd w:val="clear" w:color="auto" w:fill="FFFFFF"/>
          <w:lang w:val="en-CA" w:eastAsia="en-CA"/>
        </w:rPr>
        <w:t xml:space="preserve">“Auto &amp; Truck Manufacturers Industry </w:t>
      </w:r>
      <w:r w:rsidRPr="000727E1">
        <w:t>Profitability,” op. cit</w:t>
      </w:r>
      <w:r>
        <w:t>.</w:t>
      </w:r>
    </w:p>
  </w:endnote>
  <w:endnote w:id="22">
    <w:p w14:paraId="55916997" w14:textId="2EDE9478" w:rsidR="00F018F1" w:rsidRPr="000727E1" w:rsidRDefault="00F018F1" w:rsidP="00447AC5">
      <w:pPr>
        <w:pStyle w:val="Footnote"/>
      </w:pPr>
      <w:r w:rsidRPr="000727E1">
        <w:rPr>
          <w:rStyle w:val="EndnoteReference"/>
        </w:rPr>
        <w:endnoteRef/>
      </w:r>
      <w:r w:rsidRPr="000727E1">
        <w:t xml:space="preserve"> “</w:t>
      </w:r>
      <w:r w:rsidRPr="000727E1">
        <w:rPr>
          <w:lang w:val="en-CA"/>
        </w:rPr>
        <w:t xml:space="preserve">A </w:t>
      </w:r>
      <w:r w:rsidR="006221D6">
        <w:rPr>
          <w:lang w:val="en-CA"/>
        </w:rPr>
        <w:t>g</w:t>
      </w:r>
      <w:r w:rsidRPr="000727E1">
        <w:rPr>
          <w:lang w:val="en-CA"/>
        </w:rPr>
        <w:t xml:space="preserve">iant </w:t>
      </w:r>
      <w:r w:rsidR="006221D6">
        <w:rPr>
          <w:lang w:val="en-CA"/>
        </w:rPr>
        <w:t>f</w:t>
      </w:r>
      <w:r w:rsidRPr="000727E1">
        <w:rPr>
          <w:lang w:val="en-CA"/>
        </w:rPr>
        <w:t xml:space="preserve">alls,” </w:t>
      </w:r>
      <w:r w:rsidRPr="000727E1">
        <w:rPr>
          <w:i/>
          <w:lang w:val="en-CA"/>
        </w:rPr>
        <w:t>The Economist</w:t>
      </w:r>
      <w:r w:rsidRPr="000727E1">
        <w:rPr>
          <w:lang w:val="en-CA"/>
        </w:rPr>
        <w:t xml:space="preserve">, June 4, 2009, accessed February 21, 2018, </w:t>
      </w:r>
      <w:r w:rsidRPr="000727E1">
        <w:t>www.economist.com/node/13782942.</w:t>
      </w:r>
    </w:p>
  </w:endnote>
  <w:endnote w:id="23">
    <w:p w14:paraId="1CA917E6" w14:textId="6CADF76B" w:rsidR="00F018F1" w:rsidRPr="000727E1" w:rsidRDefault="00F018F1" w:rsidP="00447AC5">
      <w:pPr>
        <w:pStyle w:val="Footnote"/>
      </w:pPr>
      <w:r w:rsidRPr="000727E1">
        <w:rPr>
          <w:rStyle w:val="EndnoteReference"/>
        </w:rPr>
        <w:endnoteRef/>
      </w:r>
      <w:r w:rsidRPr="000727E1">
        <w:t xml:space="preserve"> Ibid</w:t>
      </w:r>
      <w:r>
        <w:t>.</w:t>
      </w:r>
    </w:p>
  </w:endnote>
  <w:endnote w:id="24">
    <w:p w14:paraId="54F798F7" w14:textId="4A26B55B" w:rsidR="00F018F1" w:rsidRPr="000727E1" w:rsidRDefault="00F018F1" w:rsidP="00447AC5">
      <w:pPr>
        <w:pStyle w:val="Footnote"/>
      </w:pPr>
      <w:r w:rsidRPr="000727E1">
        <w:rPr>
          <w:rStyle w:val="EndnoteReference"/>
        </w:rPr>
        <w:endnoteRef/>
      </w:r>
      <w:r w:rsidRPr="000727E1">
        <w:t xml:space="preserve"> Sharon Silke Carty, “7 Reasons GM Is Headed to Bankruptcy, </w:t>
      </w:r>
      <w:r w:rsidR="006221D6">
        <w:t>USA Today</w:t>
      </w:r>
      <w:r w:rsidRPr="000727E1">
        <w:t>,</w:t>
      </w:r>
      <w:r w:rsidR="006221D6">
        <w:t xml:space="preserve"> May 31, 2009,</w:t>
      </w:r>
      <w:r w:rsidRPr="000727E1">
        <w:t xml:space="preserve"> accessed </w:t>
      </w:r>
      <w:r w:rsidR="006221D6">
        <w:t>May 27</w:t>
      </w:r>
      <w:r w:rsidRPr="000727E1">
        <w:t xml:space="preserve">, 2019, </w:t>
      </w:r>
      <w:r w:rsidR="006221D6" w:rsidRPr="002B3880">
        <w:t>https://usatoday30.usatoday.com/money/autos/2009-05-31-gm-mistakes-bankruptcy_N.htm</w:t>
      </w:r>
      <w:r w:rsidRPr="000727E1">
        <w:t>.</w:t>
      </w:r>
    </w:p>
  </w:endnote>
  <w:endnote w:id="25">
    <w:p w14:paraId="39B40BE8" w14:textId="6E42C5ED" w:rsidR="00F018F1" w:rsidRPr="0097590C" w:rsidRDefault="00F018F1" w:rsidP="00447AC5">
      <w:pPr>
        <w:pStyle w:val="Footnote"/>
        <w:rPr>
          <w:spacing w:val="-6"/>
          <w:kern w:val="17"/>
        </w:rPr>
      </w:pPr>
      <w:r w:rsidRPr="0097590C">
        <w:rPr>
          <w:rStyle w:val="EndnoteReference"/>
          <w:spacing w:val="-6"/>
          <w:kern w:val="17"/>
        </w:rPr>
        <w:endnoteRef/>
      </w:r>
      <w:r w:rsidRPr="0097590C">
        <w:rPr>
          <w:spacing w:val="-6"/>
          <w:kern w:val="17"/>
        </w:rPr>
        <w:t xml:space="preserve"> Daniel Gross, “The Auto Industry Wants to Bring Back the SUV Era,” </w:t>
      </w:r>
      <w:r w:rsidRPr="0097590C">
        <w:rPr>
          <w:i/>
          <w:spacing w:val="-6"/>
          <w:kern w:val="17"/>
        </w:rPr>
        <w:t>Slate</w:t>
      </w:r>
      <w:r w:rsidRPr="0097590C">
        <w:rPr>
          <w:spacing w:val="-6"/>
          <w:kern w:val="17"/>
        </w:rPr>
        <w:t xml:space="preserve">, March 6, 2017, accessed February 21, 2018, www.slate.com/articles/business/the_juice/2017/03/the_automobile_industry_may_get_the_weaker_epa_regulations_it_wants.html. </w:t>
      </w:r>
    </w:p>
  </w:endnote>
  <w:endnote w:id="26">
    <w:p w14:paraId="4B398465" w14:textId="78068EE4" w:rsidR="00F018F1" w:rsidRPr="000727E1" w:rsidRDefault="00F018F1" w:rsidP="00447AC5">
      <w:pPr>
        <w:pStyle w:val="Footnote"/>
        <w:rPr>
          <w:lang w:val="en-CA" w:eastAsia="en-CA"/>
        </w:rPr>
      </w:pPr>
      <w:r w:rsidRPr="000727E1">
        <w:rPr>
          <w:rStyle w:val="EndnoteReference"/>
        </w:rPr>
        <w:endnoteRef/>
      </w:r>
      <w:r w:rsidRPr="000727E1">
        <w:t xml:space="preserve"> </w:t>
      </w:r>
      <w:r w:rsidRPr="000727E1">
        <w:rPr>
          <w:shd w:val="clear" w:color="auto" w:fill="FFFFFF"/>
          <w:lang w:val="en-CA" w:eastAsia="en-CA"/>
        </w:rPr>
        <w:t xml:space="preserve">“Light Vehicle Retail Sales in the United States from 1977 to 2017 (in 1,000 Units),” </w:t>
      </w:r>
      <w:r w:rsidRPr="00114A41">
        <w:rPr>
          <w:iCs/>
          <w:bdr w:val="none" w:sz="0" w:space="0" w:color="auto" w:frame="1"/>
          <w:shd w:val="clear" w:color="auto" w:fill="FFFFFF"/>
          <w:lang w:val="en-CA" w:eastAsia="en-CA"/>
        </w:rPr>
        <w:t>Statista</w:t>
      </w:r>
      <w:r w:rsidRPr="000727E1">
        <w:rPr>
          <w:shd w:val="clear" w:color="auto" w:fill="FFFFFF"/>
          <w:lang w:val="en-CA" w:eastAsia="en-CA"/>
        </w:rPr>
        <w:t>, accessed February 21, 2018, www.statista.com/statistics/199983/us-vehicle-sales-since-1951.</w:t>
      </w:r>
    </w:p>
  </w:endnote>
  <w:endnote w:id="27">
    <w:p w14:paraId="7898EA9C" w14:textId="4C8890D4" w:rsidR="00F018F1" w:rsidRPr="000727E1" w:rsidRDefault="00F018F1" w:rsidP="00447AC5">
      <w:pPr>
        <w:pStyle w:val="Footnote"/>
      </w:pPr>
      <w:r w:rsidRPr="000727E1">
        <w:rPr>
          <w:rStyle w:val="EndnoteReference"/>
        </w:rPr>
        <w:endnoteRef/>
      </w:r>
      <w:r w:rsidRPr="000727E1">
        <w:t xml:space="preserve"> “A Giant Falls,” op. cit</w:t>
      </w:r>
      <w:r>
        <w:t>.</w:t>
      </w:r>
    </w:p>
  </w:endnote>
  <w:endnote w:id="28">
    <w:p w14:paraId="1D6D4D4C" w14:textId="1A5940F5" w:rsidR="00F018F1" w:rsidRPr="000727E1" w:rsidRDefault="00F018F1" w:rsidP="00447AC5">
      <w:pPr>
        <w:pStyle w:val="Footnote"/>
      </w:pPr>
      <w:r w:rsidRPr="000727E1">
        <w:rPr>
          <w:rStyle w:val="EndnoteReference"/>
        </w:rPr>
        <w:endnoteRef/>
      </w:r>
      <w:r w:rsidRPr="000727E1">
        <w:t xml:space="preserve"> Doron Levon, “Want to Sink Detroit Automakers? Make a Trade Deal that Weakens </w:t>
      </w:r>
      <w:r w:rsidR="00E70A21">
        <w:t>US</w:t>
      </w:r>
      <w:r w:rsidRPr="000727E1">
        <w:t xml:space="preserve"> Tariff Protecting Pickups,” </w:t>
      </w:r>
      <w:r w:rsidRPr="000727E1">
        <w:rPr>
          <w:i/>
        </w:rPr>
        <w:t>Forbes</w:t>
      </w:r>
      <w:r w:rsidRPr="000727E1">
        <w:t xml:space="preserve">, March 27, 2018, accessed December 4, 2018 www.forbes.com/sites/doronlevin/2018/03/27/want-to-sink-detroit-automakers-make-a-trade-deal-that-weakens-tariff-protecting-pickups/#678c9a641cf2. </w:t>
      </w:r>
    </w:p>
  </w:endnote>
  <w:endnote w:id="29">
    <w:p w14:paraId="053B225F" w14:textId="0DF0D0B6" w:rsidR="00F018F1" w:rsidRPr="000727E1" w:rsidRDefault="00F018F1" w:rsidP="00447AC5">
      <w:pPr>
        <w:pStyle w:val="Footnote"/>
      </w:pPr>
      <w:r w:rsidRPr="000727E1">
        <w:rPr>
          <w:rStyle w:val="EndnoteReference"/>
        </w:rPr>
        <w:endnoteRef/>
      </w:r>
      <w:r w:rsidRPr="000727E1">
        <w:t xml:space="preserve"> </w:t>
      </w:r>
      <w:r>
        <w:t xml:space="preserve">Dan </w:t>
      </w:r>
      <w:r w:rsidRPr="000727E1">
        <w:t xml:space="preserve">Neil, </w:t>
      </w:r>
      <w:r>
        <w:t>“</w:t>
      </w:r>
      <w:r w:rsidRPr="000727E1">
        <w:t>Wagoner</w:t>
      </w:r>
      <w:r w:rsidR="00510E98">
        <w:t>’s mileage at GM</w:t>
      </w:r>
      <w:r w:rsidRPr="000727E1">
        <w:t xml:space="preserve">,” </w:t>
      </w:r>
      <w:r w:rsidRPr="00114A41">
        <w:rPr>
          <w:i/>
        </w:rPr>
        <w:t>Los Angeles Times</w:t>
      </w:r>
      <w:r>
        <w:t xml:space="preserve">, </w:t>
      </w:r>
      <w:r w:rsidRPr="000727E1">
        <w:t>March 31</w:t>
      </w:r>
      <w:r>
        <w:t xml:space="preserve">, 2009, </w:t>
      </w:r>
      <w:r w:rsidRPr="000727E1">
        <w:t xml:space="preserve">accessed February 21, 2018, http://articles.latimes.com/2009/mar/31/business/fi-gm-cars31. </w:t>
      </w:r>
    </w:p>
  </w:endnote>
  <w:endnote w:id="30">
    <w:p w14:paraId="48A24E1C" w14:textId="18BD8FE5" w:rsidR="00F018F1" w:rsidRPr="000727E1" w:rsidRDefault="00F018F1" w:rsidP="00447AC5">
      <w:pPr>
        <w:pStyle w:val="Footnote"/>
      </w:pPr>
      <w:r w:rsidRPr="000727E1">
        <w:rPr>
          <w:rStyle w:val="EndnoteReference"/>
        </w:rPr>
        <w:endnoteRef/>
      </w:r>
      <w:r w:rsidRPr="000727E1">
        <w:t xml:space="preserve"> </w:t>
      </w:r>
      <w:r>
        <w:t xml:space="preserve">Oliver </w:t>
      </w:r>
      <w:r w:rsidRPr="000727E1">
        <w:t xml:space="preserve">Staley, </w:t>
      </w:r>
      <w:r>
        <w:t>“</w:t>
      </w:r>
      <w:r w:rsidRPr="000727E1">
        <w:t xml:space="preserve">The General Motors CEO </w:t>
      </w:r>
      <w:r w:rsidR="00510E98">
        <w:t>w</w:t>
      </w:r>
      <w:r w:rsidRPr="000727E1">
        <w:t xml:space="preserve">ho </w:t>
      </w:r>
      <w:r w:rsidR="00510E98">
        <w:t>k</w:t>
      </w:r>
      <w:r w:rsidRPr="000727E1">
        <w:t xml:space="preserve">illed the </w:t>
      </w:r>
      <w:r w:rsidR="00510E98">
        <w:t>o</w:t>
      </w:r>
      <w:r w:rsidRPr="000727E1">
        <w:t xml:space="preserve">riginal </w:t>
      </w:r>
      <w:r w:rsidR="00510E98">
        <w:t>e</w:t>
      </w:r>
      <w:r w:rsidRPr="000727E1">
        <w:t xml:space="preserve">lectric </w:t>
      </w:r>
      <w:r w:rsidR="00510E98">
        <w:t>c</w:t>
      </w:r>
      <w:r w:rsidRPr="000727E1">
        <w:t xml:space="preserve">ar </w:t>
      </w:r>
      <w:r w:rsidR="00510E98">
        <w:t>i</w:t>
      </w:r>
      <w:r w:rsidRPr="000727E1">
        <w:t xml:space="preserve">s </w:t>
      </w:r>
      <w:r w:rsidR="00510E98">
        <w:t>n</w:t>
      </w:r>
      <w:r w:rsidRPr="000727E1">
        <w:t xml:space="preserve">ow in the </w:t>
      </w:r>
      <w:r w:rsidR="00510E98">
        <w:t>e</w:t>
      </w:r>
      <w:r w:rsidRPr="000727E1">
        <w:t xml:space="preserve">lectric </w:t>
      </w:r>
      <w:r w:rsidR="00510E98">
        <w:t>c</w:t>
      </w:r>
      <w:r w:rsidRPr="000727E1">
        <w:t xml:space="preserve">ar </w:t>
      </w:r>
      <w:r w:rsidR="00510E98">
        <w:t>b</w:t>
      </w:r>
      <w:r w:rsidRPr="000727E1">
        <w:t xml:space="preserve">usiness,” </w:t>
      </w:r>
      <w:r>
        <w:t xml:space="preserve">Quartz, </w:t>
      </w:r>
      <w:r w:rsidRPr="000727E1">
        <w:t>April 7</w:t>
      </w:r>
      <w:r>
        <w:t xml:space="preserve">, 2017, </w:t>
      </w:r>
      <w:r w:rsidRPr="000727E1">
        <w:t>accessed February 7, 2019, https://qz.com/952951/the-general-motors-gm-ceo-who-killed-the-ev1-electric-car-rick-wagoner-is-now-in-the-electric-car-business.</w:t>
      </w:r>
    </w:p>
  </w:endnote>
  <w:endnote w:id="31">
    <w:p w14:paraId="159B5979" w14:textId="7867551F" w:rsidR="00F018F1" w:rsidRPr="000727E1" w:rsidRDefault="00F018F1" w:rsidP="00447AC5">
      <w:pPr>
        <w:pStyle w:val="Footnote"/>
      </w:pPr>
      <w:r w:rsidRPr="000727E1">
        <w:rPr>
          <w:rStyle w:val="EndnoteReference"/>
        </w:rPr>
        <w:endnoteRef/>
      </w:r>
      <w:r w:rsidRPr="000727E1">
        <w:t xml:space="preserve"> </w:t>
      </w:r>
      <w:r>
        <w:t xml:space="preserve">John </w:t>
      </w:r>
      <w:r w:rsidRPr="000727E1">
        <w:t xml:space="preserve">Daly and </w:t>
      </w:r>
      <w:r>
        <w:t xml:space="preserve">Mitch </w:t>
      </w:r>
      <w:r w:rsidRPr="000727E1">
        <w:t xml:space="preserve">Moxley, </w:t>
      </w:r>
      <w:r>
        <w:t>“</w:t>
      </w:r>
      <w:r w:rsidRPr="000727E1">
        <w:t>How Hyund</w:t>
      </w:r>
      <w:r w:rsidR="00034325">
        <w:t>ai</w:t>
      </w:r>
      <w:r w:rsidRPr="000727E1">
        <w:t xml:space="preserve"> </w:t>
      </w:r>
      <w:r w:rsidR="008371CD">
        <w:t>b</w:t>
      </w:r>
      <w:r w:rsidRPr="000727E1">
        <w:t xml:space="preserve">ecame the </w:t>
      </w:r>
      <w:r w:rsidR="008371CD">
        <w:t>a</w:t>
      </w:r>
      <w:r w:rsidRPr="000727E1">
        <w:t xml:space="preserve">uto </w:t>
      </w:r>
      <w:r w:rsidR="008371CD">
        <w:t>i</w:t>
      </w:r>
      <w:r w:rsidRPr="000727E1">
        <w:t xml:space="preserve">ndustry’s </w:t>
      </w:r>
      <w:r w:rsidR="008371CD">
        <w:t>p</w:t>
      </w:r>
      <w:r w:rsidRPr="000727E1">
        <w:t>acesetter</w:t>
      </w:r>
      <w:r>
        <w:t>,”</w:t>
      </w:r>
      <w:r w:rsidRPr="000727E1">
        <w:t xml:space="preserve"> March 16</w:t>
      </w:r>
      <w:r>
        <w:t xml:space="preserve">, 2017, </w:t>
      </w:r>
      <w:r w:rsidRPr="000727E1">
        <w:rPr>
          <w:i/>
        </w:rPr>
        <w:t xml:space="preserve">The Globe and Mail, </w:t>
      </w:r>
      <w:r w:rsidRPr="00114A41">
        <w:t>accessed</w:t>
      </w:r>
      <w:r w:rsidRPr="000727E1">
        <w:t xml:space="preserve"> May 2, 2018, www.theglobeandmail.com/report-on-business/rob-magazine/how-hyundai-became-the-auto-industrys-pacesetter/article4324173. </w:t>
      </w:r>
    </w:p>
  </w:endnote>
  <w:endnote w:id="32">
    <w:p w14:paraId="03C42D82" w14:textId="2F3981AC" w:rsidR="00F018F1" w:rsidRPr="0097590C" w:rsidRDefault="00F018F1" w:rsidP="00447AC5">
      <w:pPr>
        <w:pStyle w:val="Footnote"/>
        <w:rPr>
          <w:spacing w:val="-2"/>
          <w:kern w:val="17"/>
        </w:rPr>
      </w:pPr>
      <w:r w:rsidRPr="0097590C">
        <w:rPr>
          <w:rStyle w:val="EndnoteReference"/>
          <w:spacing w:val="-2"/>
          <w:kern w:val="17"/>
        </w:rPr>
        <w:endnoteRef/>
      </w:r>
      <w:r w:rsidRPr="0097590C">
        <w:rPr>
          <w:spacing w:val="-2"/>
          <w:kern w:val="17"/>
        </w:rPr>
        <w:t> “Hyund</w:t>
      </w:r>
      <w:r w:rsidR="00034325">
        <w:rPr>
          <w:spacing w:val="-2"/>
          <w:kern w:val="17"/>
        </w:rPr>
        <w:t>ai</w:t>
      </w:r>
      <w:r w:rsidRPr="0097590C">
        <w:rPr>
          <w:spacing w:val="-2"/>
          <w:kern w:val="17"/>
        </w:rPr>
        <w:t xml:space="preserve"> Motor Company DR,” Morningstar, accessed May 2, 2018, http://financials.morningstar.com/ratios/r.html?t=HYUO. </w:t>
      </w:r>
    </w:p>
  </w:endnote>
  <w:endnote w:id="33">
    <w:p w14:paraId="181290B2" w14:textId="02497B42" w:rsidR="00F018F1" w:rsidRPr="000727E1" w:rsidRDefault="00F018F1" w:rsidP="00447AC5">
      <w:pPr>
        <w:pStyle w:val="Footnote"/>
      </w:pPr>
      <w:r w:rsidRPr="000727E1">
        <w:rPr>
          <w:rStyle w:val="EndnoteReference"/>
        </w:rPr>
        <w:endnoteRef/>
      </w:r>
      <w:r w:rsidRPr="000727E1">
        <w:t xml:space="preserve"> </w:t>
      </w:r>
      <w:r>
        <w:t>“</w:t>
      </w:r>
      <w:r w:rsidRPr="000727E1">
        <w:t>General Motors Company GM,” Morningstar</w:t>
      </w:r>
      <w:r>
        <w:t>,</w:t>
      </w:r>
      <w:r w:rsidRPr="000727E1">
        <w:t xml:space="preserve"> accessed May 2, 2018, http://financials.morningstar.com/ratios/r.html?t=GM. </w:t>
      </w:r>
    </w:p>
  </w:endnote>
  <w:endnote w:id="34">
    <w:p w14:paraId="1B45C68C" w14:textId="638D8DA4" w:rsidR="00F018F1" w:rsidRPr="000727E1" w:rsidRDefault="00F018F1" w:rsidP="00447AC5">
      <w:pPr>
        <w:pStyle w:val="Footnote"/>
      </w:pPr>
      <w:r w:rsidRPr="000727E1">
        <w:rPr>
          <w:rStyle w:val="EndnoteReference"/>
        </w:rPr>
        <w:endnoteRef/>
      </w:r>
      <w:r w:rsidRPr="000727E1">
        <w:t xml:space="preserve"> </w:t>
      </w:r>
      <w:r>
        <w:t xml:space="preserve">Tim </w:t>
      </w:r>
      <w:r w:rsidRPr="000727E1">
        <w:t xml:space="preserve">Kuppler, </w:t>
      </w:r>
      <w:r>
        <w:t>“</w:t>
      </w:r>
      <w:r w:rsidRPr="000727E1">
        <w:t>GM Culture Crisis Case Study</w:t>
      </w:r>
      <w:r>
        <w:t>—</w:t>
      </w:r>
      <w:r w:rsidRPr="000727E1">
        <w:t>A Tragedy and Missed Opportunity</w:t>
      </w:r>
      <w:r>
        <w:t>,” H</w:t>
      </w:r>
      <w:r w:rsidRPr="000727E1">
        <w:t>uman</w:t>
      </w:r>
      <w:r>
        <w:t xml:space="preserve"> S</w:t>
      </w:r>
      <w:r w:rsidRPr="000727E1">
        <w:t>ynergistics</w:t>
      </w:r>
      <w:r>
        <w:t xml:space="preserve">, </w:t>
      </w:r>
      <w:r w:rsidRPr="000727E1">
        <w:t>June 24</w:t>
      </w:r>
      <w:r>
        <w:t>, 2014, accessed</w:t>
      </w:r>
      <w:r w:rsidRPr="000727E1">
        <w:t xml:space="preserve"> February 7, 2019, www.humansynergistics.com/blog/culture-university/details/culture-university/2014/06/24/gm-culture-crisis-case-study---a-tragedy-and-missed-opportunity. </w:t>
      </w:r>
    </w:p>
  </w:endnote>
  <w:endnote w:id="35">
    <w:p w14:paraId="5EDEA014" w14:textId="6006DC12" w:rsidR="00F018F1" w:rsidRPr="000727E1" w:rsidRDefault="00F018F1" w:rsidP="00447AC5">
      <w:pPr>
        <w:pStyle w:val="Footnote"/>
      </w:pPr>
      <w:r w:rsidRPr="000727E1">
        <w:rPr>
          <w:rStyle w:val="EndnoteReference"/>
        </w:rPr>
        <w:endnoteRef/>
      </w:r>
      <w:r w:rsidRPr="000727E1">
        <w:t xml:space="preserve"> Rachael</w:t>
      </w:r>
      <w:r>
        <w:t xml:space="preserve"> </w:t>
      </w:r>
      <w:r w:rsidRPr="000727E1">
        <w:t xml:space="preserve">Nealer, </w:t>
      </w:r>
      <w:r>
        <w:t>“</w:t>
      </w:r>
      <w:r w:rsidRPr="000727E1">
        <w:t>Gasoline vs Electric</w:t>
      </w:r>
      <w:r>
        <w:t>—</w:t>
      </w:r>
      <w:r w:rsidRPr="000727E1">
        <w:t xml:space="preserve">Who Wins on Lifetime Global Warming Emissions? We Found Out,” </w:t>
      </w:r>
      <w:r>
        <w:t xml:space="preserve">Union of Concerned Scientists, </w:t>
      </w:r>
      <w:r w:rsidRPr="000727E1">
        <w:t>November 12</w:t>
      </w:r>
      <w:r>
        <w:t xml:space="preserve">, 2015, </w:t>
      </w:r>
      <w:r w:rsidRPr="000727E1">
        <w:t xml:space="preserve">accessed February 21, 2018, https://blog.ucsusa.org/rachael-nealer/gasoline-vs-electric-global-warming-emissions-953. </w:t>
      </w:r>
    </w:p>
  </w:endnote>
  <w:endnote w:id="36">
    <w:p w14:paraId="1DB01A73" w14:textId="7D51A704" w:rsidR="00F018F1" w:rsidRPr="0097590C" w:rsidRDefault="00F018F1" w:rsidP="00447AC5">
      <w:pPr>
        <w:pStyle w:val="Footnote"/>
        <w:rPr>
          <w:spacing w:val="-4"/>
          <w:kern w:val="17"/>
        </w:rPr>
      </w:pPr>
      <w:r w:rsidRPr="0097590C">
        <w:rPr>
          <w:rStyle w:val="EndnoteReference"/>
          <w:spacing w:val="-4"/>
          <w:kern w:val="17"/>
        </w:rPr>
        <w:endnoteRef/>
      </w:r>
      <w:r w:rsidRPr="0097590C">
        <w:rPr>
          <w:spacing w:val="-4"/>
          <w:kern w:val="17"/>
        </w:rPr>
        <w:t xml:space="preserve"> Sarwant Singh, “Global Electric Vehicle Market Looks to Power Up in 2018,” </w:t>
      </w:r>
      <w:r w:rsidRPr="0097590C">
        <w:rPr>
          <w:i/>
          <w:spacing w:val="-4"/>
          <w:kern w:val="17"/>
        </w:rPr>
        <w:t>Forbes</w:t>
      </w:r>
      <w:r w:rsidRPr="0097590C">
        <w:rPr>
          <w:spacing w:val="-4"/>
          <w:kern w:val="17"/>
        </w:rPr>
        <w:t xml:space="preserve">, April 3, 2018, February 7, 2019, www.forbes.com/sites/sarwantsingh/2018/04/03/global-electric-vehicle-market-looks-to-fire-on-all-motors-in-2018/#46624b4a2927. </w:t>
      </w:r>
    </w:p>
  </w:endnote>
  <w:endnote w:id="37">
    <w:p w14:paraId="07F378EF" w14:textId="48122103" w:rsidR="00F018F1" w:rsidRPr="000727E1" w:rsidRDefault="00F018F1" w:rsidP="00447AC5">
      <w:pPr>
        <w:pStyle w:val="Footnote"/>
      </w:pPr>
      <w:r w:rsidRPr="000727E1">
        <w:rPr>
          <w:rStyle w:val="EndnoteReference"/>
        </w:rPr>
        <w:endnoteRef/>
      </w:r>
      <w:r w:rsidRPr="000727E1">
        <w:t xml:space="preserve"> </w:t>
      </w:r>
      <w:r>
        <w:t xml:space="preserve">Eric </w:t>
      </w:r>
      <w:r w:rsidRPr="000727E1">
        <w:t xml:space="preserve">Schmidt, </w:t>
      </w:r>
      <w:r>
        <w:t>“</w:t>
      </w:r>
      <w:r w:rsidR="008371CD">
        <w:t xml:space="preserve">2017 </w:t>
      </w:r>
      <w:r w:rsidRPr="000727E1">
        <w:t>Battery Electric Cars Reported Range Comparison</w:t>
      </w:r>
      <w:r>
        <w:t>,”</w:t>
      </w:r>
      <w:r w:rsidRPr="000727E1">
        <w:t xml:space="preserve"> Fleetcarma, July 10</w:t>
      </w:r>
      <w:r>
        <w:t>,</w:t>
      </w:r>
      <w:r w:rsidRPr="000727E1">
        <w:t xml:space="preserve"> 2017</w:t>
      </w:r>
      <w:r w:rsidR="008371CD">
        <w:t>,</w:t>
      </w:r>
      <w:r w:rsidRPr="000727E1">
        <w:t xml:space="preserve"> accessed February 21, 2018, </w:t>
      </w:r>
      <w:r w:rsidRPr="000727E1">
        <w:rPr>
          <w:rStyle w:val="Hyperlink"/>
          <w:color w:val="auto"/>
          <w:u w:val="none"/>
        </w:rPr>
        <w:t>www.fleetcarma.com/2017-battery-electric-cars-reported-range-comparison</w:t>
      </w:r>
      <w:r w:rsidRPr="000727E1">
        <w:t>.</w:t>
      </w:r>
    </w:p>
  </w:endnote>
  <w:endnote w:id="38">
    <w:p w14:paraId="2273236C" w14:textId="7282C330" w:rsidR="00F018F1" w:rsidRPr="000727E1" w:rsidRDefault="00F018F1" w:rsidP="00447AC5">
      <w:pPr>
        <w:pStyle w:val="Footnote"/>
      </w:pPr>
      <w:r w:rsidRPr="000727E1">
        <w:rPr>
          <w:rStyle w:val="EndnoteReference"/>
        </w:rPr>
        <w:endnoteRef/>
      </w:r>
      <w:r w:rsidRPr="000727E1">
        <w:t xml:space="preserve"> UBS</w:t>
      </w:r>
      <w:r>
        <w:rPr>
          <w:shd w:val="clear" w:color="auto" w:fill="FFFFFF"/>
          <w:lang w:val="en-CA" w:eastAsia="en-CA"/>
        </w:rPr>
        <w:t xml:space="preserve"> Global Research</w:t>
      </w:r>
      <w:r w:rsidRPr="000727E1">
        <w:t>, op. cit., 17</w:t>
      </w:r>
      <w:r>
        <w:t>.</w:t>
      </w:r>
    </w:p>
  </w:endnote>
  <w:endnote w:id="39">
    <w:p w14:paraId="68AEE9F1" w14:textId="317E6257" w:rsidR="00F018F1" w:rsidRPr="000727E1" w:rsidRDefault="00F018F1" w:rsidP="00447AC5">
      <w:pPr>
        <w:pStyle w:val="Footnote"/>
      </w:pPr>
      <w:r w:rsidRPr="000727E1">
        <w:rPr>
          <w:rStyle w:val="EndnoteReference"/>
        </w:rPr>
        <w:endnoteRef/>
      </w:r>
      <w:r w:rsidRPr="000727E1">
        <w:t xml:space="preserve"> </w:t>
      </w:r>
      <w:r>
        <w:t xml:space="preserve">Bradley </w:t>
      </w:r>
      <w:r w:rsidRPr="000727E1">
        <w:t xml:space="preserve">Berman, </w:t>
      </w:r>
      <w:r>
        <w:t>“</w:t>
      </w:r>
      <w:r w:rsidRPr="000727E1">
        <w:t>How Far (Literally) Can the Electric Car Go?</w:t>
      </w:r>
      <w:r>
        <w:t>”</w:t>
      </w:r>
      <w:r w:rsidRPr="000727E1">
        <w:t xml:space="preserve"> </w:t>
      </w:r>
      <w:r w:rsidRPr="000727E1">
        <w:rPr>
          <w:i/>
        </w:rPr>
        <w:t>Popular Mechanics</w:t>
      </w:r>
      <w:r w:rsidRPr="000727E1">
        <w:t>, February 8</w:t>
      </w:r>
      <w:r>
        <w:t xml:space="preserve">, 2016, </w:t>
      </w:r>
      <w:r w:rsidRPr="000727E1">
        <w:t>accessed February 21, 2018, www.popularmechanics.com/cars/hybrid-electric/a19331/how-far-literally-can-the-electric-car-go.</w:t>
      </w:r>
    </w:p>
  </w:endnote>
  <w:endnote w:id="40">
    <w:p w14:paraId="1951B45F" w14:textId="27017CC8" w:rsidR="00F018F1" w:rsidRPr="000727E1" w:rsidRDefault="00F018F1" w:rsidP="00447AC5">
      <w:pPr>
        <w:pStyle w:val="Footnote"/>
      </w:pPr>
      <w:r w:rsidRPr="000727E1">
        <w:rPr>
          <w:rStyle w:val="EndnoteReference"/>
        </w:rPr>
        <w:endnoteRef/>
      </w:r>
      <w:r w:rsidRPr="000727E1">
        <w:t xml:space="preserve"> Aaron</w:t>
      </w:r>
      <w:r>
        <w:t xml:space="preserve"> </w:t>
      </w:r>
      <w:r w:rsidRPr="000727E1">
        <w:t xml:space="preserve">Brown, </w:t>
      </w:r>
      <w:r>
        <w:t>“</w:t>
      </w:r>
      <w:r w:rsidRPr="000727E1">
        <w:t xml:space="preserve">Here’s a </w:t>
      </w:r>
      <w:r w:rsidR="008371CD">
        <w:t>l</w:t>
      </w:r>
      <w:r w:rsidRPr="000727E1">
        <w:t xml:space="preserve">ook </w:t>
      </w:r>
      <w:r w:rsidR="008371CD">
        <w:t>b</w:t>
      </w:r>
      <w:r w:rsidRPr="000727E1">
        <w:t xml:space="preserve">ack at the Tesla </w:t>
      </w:r>
      <w:r w:rsidR="008371CD">
        <w:t>c</w:t>
      </w:r>
      <w:r w:rsidRPr="000727E1">
        <w:t xml:space="preserve">ar that </w:t>
      </w:r>
      <w:r w:rsidR="008371CD">
        <w:t>s</w:t>
      </w:r>
      <w:r w:rsidRPr="000727E1">
        <w:t xml:space="preserve">tarted </w:t>
      </w:r>
      <w:r w:rsidR="008371CD">
        <w:t>i</w:t>
      </w:r>
      <w:r w:rsidRPr="000727E1">
        <w:t xml:space="preserve">t </w:t>
      </w:r>
      <w:r w:rsidR="008371CD">
        <w:t>a</w:t>
      </w:r>
      <w:r w:rsidRPr="000727E1">
        <w:t>ll</w:t>
      </w:r>
      <w:r>
        <w:t>,”</w:t>
      </w:r>
      <w:r w:rsidRPr="000727E1">
        <w:t xml:space="preserve"> Business Insider,</w:t>
      </w:r>
      <w:r>
        <w:t xml:space="preserve"> </w:t>
      </w:r>
      <w:r w:rsidRPr="000727E1">
        <w:t>March 30</w:t>
      </w:r>
      <w:r>
        <w:t>, 2016,</w:t>
      </w:r>
      <w:r w:rsidRPr="000727E1">
        <w:t xml:space="preserve"> accessed February 21, 2018, www.businessinsider.com/tesla-roadster-history-2016-3. </w:t>
      </w:r>
    </w:p>
  </w:endnote>
  <w:endnote w:id="41">
    <w:p w14:paraId="6E81509D" w14:textId="1AE3B9D2" w:rsidR="00F018F1" w:rsidRPr="0097590C" w:rsidRDefault="00F018F1" w:rsidP="00447AC5">
      <w:pPr>
        <w:pStyle w:val="Footnote"/>
        <w:rPr>
          <w:spacing w:val="-6"/>
          <w:kern w:val="17"/>
        </w:rPr>
      </w:pPr>
      <w:r w:rsidRPr="0097590C">
        <w:rPr>
          <w:rStyle w:val="EndnoteReference"/>
          <w:spacing w:val="-6"/>
          <w:kern w:val="17"/>
        </w:rPr>
        <w:endnoteRef/>
      </w:r>
      <w:r w:rsidRPr="0097590C">
        <w:rPr>
          <w:spacing w:val="-6"/>
          <w:kern w:val="17"/>
        </w:rPr>
        <w:t xml:space="preserve"> Dr. Maximilian Holland, “Timeline for Electric Vehicle Revolution,” Clean Technica, December 25, 2017, accessed May 2, 2018, https://cleantechnica.com/2017/12/25/timeline-electric-vehicle-revolution-via-lower-battery-prices-supercharging-lower-battery-prices. </w:t>
      </w:r>
    </w:p>
  </w:endnote>
  <w:endnote w:id="42">
    <w:p w14:paraId="71FE8866" w14:textId="1141C311" w:rsidR="00F018F1" w:rsidRPr="000727E1" w:rsidRDefault="00F018F1" w:rsidP="00447AC5">
      <w:pPr>
        <w:pStyle w:val="Footnote"/>
      </w:pPr>
      <w:r w:rsidRPr="000727E1">
        <w:rPr>
          <w:rStyle w:val="EndnoteReference"/>
        </w:rPr>
        <w:endnoteRef/>
      </w:r>
      <w:r w:rsidRPr="000727E1">
        <w:t xml:space="preserve"> </w:t>
      </w:r>
      <w:r w:rsidRPr="00CA3649">
        <w:t>Paul Lienert</w:t>
      </w:r>
      <w:r>
        <w:t xml:space="preserve"> and</w:t>
      </w:r>
      <w:r w:rsidRPr="00CA3649">
        <w:t xml:space="preserve"> Nick Carey</w:t>
      </w:r>
      <w:r>
        <w:t>,</w:t>
      </w:r>
      <w:r w:rsidRPr="000727E1">
        <w:t xml:space="preserve"> </w:t>
      </w:r>
      <w:r>
        <w:t>“</w:t>
      </w:r>
      <w:r w:rsidRPr="000727E1">
        <w:t xml:space="preserve">GM </w:t>
      </w:r>
      <w:r w:rsidR="008371CD">
        <w:t>c</w:t>
      </w:r>
      <w:r w:rsidRPr="000727E1">
        <w:t xml:space="preserve">hallenges Tesla with </w:t>
      </w:r>
      <w:r w:rsidR="008371CD">
        <w:t>p</w:t>
      </w:r>
      <w:r w:rsidRPr="000727E1">
        <w:t xml:space="preserve">romise of </w:t>
      </w:r>
      <w:r w:rsidR="008371CD">
        <w:t>p</w:t>
      </w:r>
      <w:r w:rsidRPr="000727E1">
        <w:t xml:space="preserve">rofitable </w:t>
      </w:r>
      <w:r w:rsidR="008371CD">
        <w:t>e</w:t>
      </w:r>
      <w:r w:rsidRPr="000727E1">
        <w:t xml:space="preserve">lectric </w:t>
      </w:r>
      <w:r w:rsidR="008371CD">
        <w:t>c</w:t>
      </w:r>
      <w:r w:rsidRPr="000727E1">
        <w:t xml:space="preserve">ars,” </w:t>
      </w:r>
      <w:r>
        <w:t xml:space="preserve">Reuters, </w:t>
      </w:r>
      <w:r w:rsidRPr="000727E1">
        <w:t>November 15</w:t>
      </w:r>
      <w:r>
        <w:t xml:space="preserve">, 2017, </w:t>
      </w:r>
      <w:r w:rsidRPr="000727E1">
        <w:t xml:space="preserve">accessed February 21, 2018, www.reuters.com/article/us-gm-ceo/gm-challenges-tesla-with-promise-of-profitable-electric-cars-idUSKBN1DF272. </w:t>
      </w:r>
    </w:p>
  </w:endnote>
  <w:endnote w:id="43">
    <w:p w14:paraId="4CC3AA83" w14:textId="27DF8E50" w:rsidR="00F018F1" w:rsidRPr="000727E1" w:rsidRDefault="00F018F1" w:rsidP="00447AC5">
      <w:pPr>
        <w:pStyle w:val="Footnote"/>
      </w:pPr>
      <w:r w:rsidRPr="000727E1">
        <w:rPr>
          <w:rStyle w:val="EndnoteReference"/>
        </w:rPr>
        <w:endnoteRef/>
      </w:r>
      <w:r w:rsidRPr="000727E1">
        <w:t xml:space="preserve"> </w:t>
      </w:r>
      <w:r>
        <w:rPr>
          <w:shd w:val="clear" w:color="auto" w:fill="FFFFFF"/>
          <w:lang w:val="en-CA" w:eastAsia="en-CA"/>
        </w:rPr>
        <w:t>“</w:t>
      </w:r>
      <w:r w:rsidRPr="000727E1">
        <w:rPr>
          <w:shd w:val="clear" w:color="auto" w:fill="FFFFFF"/>
          <w:lang w:val="en-CA" w:eastAsia="en-CA"/>
        </w:rPr>
        <w:t xml:space="preserve">The </w:t>
      </w:r>
      <w:r w:rsidR="00E70A21">
        <w:rPr>
          <w:shd w:val="clear" w:color="auto" w:fill="FFFFFF"/>
          <w:lang w:val="en-CA" w:eastAsia="en-CA"/>
        </w:rPr>
        <w:t>US</w:t>
      </w:r>
      <w:r w:rsidRPr="000727E1">
        <w:rPr>
          <w:shd w:val="clear" w:color="auto" w:fill="FFFFFF"/>
          <w:lang w:val="en-CA" w:eastAsia="en-CA"/>
        </w:rPr>
        <w:t xml:space="preserve"> Petroleum Industry: Statistics, Definitions,” </w:t>
      </w:r>
      <w:r w:rsidRPr="00556AAB">
        <w:rPr>
          <w:shd w:val="clear" w:color="auto" w:fill="FFFFFF"/>
          <w:lang w:val="en-CA" w:eastAsia="en-CA"/>
        </w:rPr>
        <w:t xml:space="preserve">Association </w:t>
      </w:r>
      <w:proofErr w:type="gramStart"/>
      <w:r w:rsidRPr="00556AAB">
        <w:rPr>
          <w:shd w:val="clear" w:color="auto" w:fill="FFFFFF"/>
          <w:lang w:val="en-CA" w:eastAsia="en-CA"/>
        </w:rPr>
        <w:t>For</w:t>
      </w:r>
      <w:proofErr w:type="gramEnd"/>
      <w:r w:rsidRPr="00556AAB">
        <w:rPr>
          <w:shd w:val="clear" w:color="auto" w:fill="FFFFFF"/>
          <w:lang w:val="en-CA" w:eastAsia="en-CA"/>
        </w:rPr>
        <w:t xml:space="preserve"> Convenience &amp; Fuel Retailing</w:t>
      </w:r>
      <w:r>
        <w:rPr>
          <w:shd w:val="clear" w:color="auto" w:fill="FFFFFF"/>
          <w:lang w:val="en-CA" w:eastAsia="en-CA"/>
        </w:rPr>
        <w:t xml:space="preserve">, </w:t>
      </w:r>
      <w:r w:rsidRPr="000727E1">
        <w:rPr>
          <w:shd w:val="clear" w:color="auto" w:fill="FFFFFF"/>
          <w:lang w:val="en-CA" w:eastAsia="en-CA"/>
        </w:rPr>
        <w:t xml:space="preserve">accessed </w:t>
      </w:r>
      <w:r w:rsidRPr="000727E1">
        <w:t xml:space="preserve">February 21, 2018, </w:t>
      </w:r>
      <w:r w:rsidR="008371CD" w:rsidRPr="002B3880">
        <w:t>www.convenience.org/Topics/Fuels/The-US-Petroleum-Industry-Statistics-Definitions</w:t>
      </w:r>
      <w:r w:rsidR="008371CD">
        <w:t>.</w:t>
      </w:r>
    </w:p>
  </w:endnote>
  <w:endnote w:id="44">
    <w:p w14:paraId="09714E5E" w14:textId="32FA59A6" w:rsidR="00F018F1" w:rsidRPr="000727E1" w:rsidRDefault="00F018F1" w:rsidP="00447AC5">
      <w:pPr>
        <w:pStyle w:val="Footnote"/>
      </w:pPr>
      <w:r w:rsidRPr="000727E1">
        <w:rPr>
          <w:rStyle w:val="EndnoteReference"/>
        </w:rPr>
        <w:endnoteRef/>
      </w:r>
      <w:r w:rsidRPr="000727E1">
        <w:t xml:space="preserve"> </w:t>
      </w:r>
      <w:r>
        <w:t xml:space="preserve">Fred </w:t>
      </w:r>
      <w:r w:rsidRPr="000727E1">
        <w:t xml:space="preserve">Lambert, </w:t>
      </w:r>
      <w:r>
        <w:t>“</w:t>
      </w:r>
      <w:r w:rsidRPr="000727E1">
        <w:t xml:space="preserve">Tesla Supercharger </w:t>
      </w:r>
      <w:r w:rsidR="008371CD">
        <w:t>n</w:t>
      </w:r>
      <w:r w:rsidRPr="000727E1">
        <w:t xml:space="preserve">etwork </w:t>
      </w:r>
      <w:r w:rsidR="008371CD">
        <w:t>r</w:t>
      </w:r>
      <w:r w:rsidRPr="000727E1">
        <w:t xml:space="preserve">eaches 1,000 </w:t>
      </w:r>
      <w:r w:rsidR="008371CD">
        <w:t>s</w:t>
      </w:r>
      <w:r w:rsidRPr="000727E1">
        <w:t xml:space="preserve">tations </w:t>
      </w:r>
      <w:r w:rsidR="008371CD">
        <w:t>w</w:t>
      </w:r>
      <w:r w:rsidRPr="000727E1">
        <w:t xml:space="preserve">orldwide and ~7,000 </w:t>
      </w:r>
      <w:r w:rsidR="008371CD">
        <w:t>c</w:t>
      </w:r>
      <w:r w:rsidRPr="000727E1">
        <w:t xml:space="preserve">hargers,” </w:t>
      </w:r>
      <w:r>
        <w:t xml:space="preserve">Electrek, </w:t>
      </w:r>
      <w:r w:rsidRPr="000727E1">
        <w:t>October 3</w:t>
      </w:r>
      <w:r>
        <w:t>, 2017,</w:t>
      </w:r>
      <w:r w:rsidRPr="000727E1">
        <w:t xml:space="preserve"> accessed February 21, 2018, https://electrek.co/2017/10/03/tesla-supercharger-network-1000-stations.</w:t>
      </w:r>
    </w:p>
  </w:endnote>
  <w:endnote w:id="45">
    <w:p w14:paraId="5AD81967" w14:textId="39726E02" w:rsidR="00F018F1" w:rsidRPr="000727E1" w:rsidRDefault="00F018F1" w:rsidP="00447AC5">
      <w:pPr>
        <w:pStyle w:val="Footnote"/>
      </w:pPr>
      <w:r w:rsidRPr="000727E1">
        <w:rPr>
          <w:rStyle w:val="EndnoteReference"/>
        </w:rPr>
        <w:endnoteRef/>
      </w:r>
      <w:r w:rsidRPr="000727E1">
        <w:t xml:space="preserve"> </w:t>
      </w:r>
      <w:r>
        <w:t xml:space="preserve">Charles </w:t>
      </w:r>
      <w:r w:rsidRPr="000727E1">
        <w:t xml:space="preserve">Clover, </w:t>
      </w:r>
      <w:r>
        <w:t>“</w:t>
      </w:r>
      <w:r w:rsidRPr="000727E1">
        <w:t xml:space="preserve">Subsidies </w:t>
      </w:r>
      <w:r w:rsidR="008371CD">
        <w:t>h</w:t>
      </w:r>
      <w:r w:rsidRPr="000727E1">
        <w:t xml:space="preserve">elp China </w:t>
      </w:r>
      <w:r w:rsidR="008371CD">
        <w:t>s</w:t>
      </w:r>
      <w:r w:rsidRPr="000727E1">
        <w:t xml:space="preserve">ell the </w:t>
      </w:r>
      <w:r w:rsidR="008371CD">
        <w:t>m</w:t>
      </w:r>
      <w:r w:rsidRPr="000727E1">
        <w:t xml:space="preserve">ost </w:t>
      </w:r>
      <w:r w:rsidR="008371CD">
        <w:t>e</w:t>
      </w:r>
      <w:r w:rsidRPr="000727E1">
        <w:t xml:space="preserve">lectric </w:t>
      </w:r>
      <w:r w:rsidR="008371CD">
        <w:t>c</w:t>
      </w:r>
      <w:r w:rsidRPr="000727E1">
        <w:t>ars</w:t>
      </w:r>
      <w:r>
        <w:t xml:space="preserve">,” </w:t>
      </w:r>
      <w:r w:rsidRPr="00114A41">
        <w:rPr>
          <w:i/>
        </w:rPr>
        <w:t>Financial Times</w:t>
      </w:r>
      <w:r w:rsidRPr="000727E1">
        <w:t>, October 23</w:t>
      </w:r>
      <w:r>
        <w:t xml:space="preserve">, 2017, </w:t>
      </w:r>
      <w:r w:rsidRPr="000727E1">
        <w:t xml:space="preserve">accessed January 17, 2018, www.ft.com/content/18afe28e-a1d2-11e7-8d56-98a09be71849. </w:t>
      </w:r>
    </w:p>
  </w:endnote>
  <w:endnote w:id="46">
    <w:p w14:paraId="2F537988" w14:textId="5C21DE43" w:rsidR="00F018F1" w:rsidRPr="000727E1" w:rsidRDefault="00F018F1" w:rsidP="00447AC5">
      <w:pPr>
        <w:pStyle w:val="Footnote"/>
      </w:pPr>
      <w:r w:rsidRPr="000727E1">
        <w:rPr>
          <w:rStyle w:val="EndnoteReference"/>
        </w:rPr>
        <w:endnoteRef/>
      </w:r>
      <w:r w:rsidRPr="000727E1">
        <w:t xml:space="preserve"> UBS</w:t>
      </w:r>
      <w:r>
        <w:rPr>
          <w:shd w:val="clear" w:color="auto" w:fill="FFFFFF"/>
          <w:lang w:val="en-CA" w:eastAsia="en-CA"/>
        </w:rPr>
        <w:t xml:space="preserve"> Global Research</w:t>
      </w:r>
      <w:r w:rsidRPr="000727E1">
        <w:t>, op. cit., 11</w:t>
      </w:r>
      <w:r>
        <w:t>.</w:t>
      </w:r>
    </w:p>
  </w:endnote>
  <w:endnote w:id="47">
    <w:p w14:paraId="306A2C93" w14:textId="55C1C9F4" w:rsidR="00F018F1" w:rsidRPr="000727E1" w:rsidRDefault="00F018F1" w:rsidP="00447AC5">
      <w:pPr>
        <w:pStyle w:val="Footnote"/>
      </w:pPr>
      <w:r w:rsidRPr="000727E1">
        <w:rPr>
          <w:rStyle w:val="EndnoteReference"/>
        </w:rPr>
        <w:endnoteRef/>
      </w:r>
      <w:r w:rsidRPr="000727E1">
        <w:t xml:space="preserve"> UBS</w:t>
      </w:r>
      <w:r>
        <w:rPr>
          <w:shd w:val="clear" w:color="auto" w:fill="FFFFFF"/>
          <w:lang w:val="en-CA" w:eastAsia="en-CA"/>
        </w:rPr>
        <w:t xml:space="preserve"> Global Research</w:t>
      </w:r>
      <w:r w:rsidRPr="000727E1">
        <w:t>, op. cit., 12</w:t>
      </w:r>
      <w:r>
        <w:t>.</w:t>
      </w:r>
    </w:p>
  </w:endnote>
  <w:endnote w:id="48">
    <w:p w14:paraId="743CD8E5" w14:textId="31CA574B" w:rsidR="00F018F1" w:rsidRPr="000727E1" w:rsidRDefault="00F018F1" w:rsidP="00447AC5">
      <w:pPr>
        <w:pStyle w:val="Footnote"/>
      </w:pPr>
      <w:r w:rsidRPr="000727E1">
        <w:rPr>
          <w:rStyle w:val="EndnoteReference"/>
        </w:rPr>
        <w:endnoteRef/>
      </w:r>
      <w:r w:rsidRPr="000727E1">
        <w:t xml:space="preserve"> UBS</w:t>
      </w:r>
      <w:r>
        <w:rPr>
          <w:shd w:val="clear" w:color="auto" w:fill="FFFFFF"/>
          <w:lang w:val="en-CA" w:eastAsia="en-CA"/>
        </w:rPr>
        <w:t xml:space="preserve"> Global Research</w:t>
      </w:r>
      <w:r w:rsidRPr="000727E1">
        <w:t>, op. cit., 4</w:t>
      </w:r>
      <w:r>
        <w:t>.</w:t>
      </w:r>
    </w:p>
  </w:endnote>
  <w:endnote w:id="49">
    <w:p w14:paraId="5D59ACB2" w14:textId="67797D00" w:rsidR="00F018F1" w:rsidRPr="000727E1" w:rsidRDefault="00F018F1" w:rsidP="00447AC5">
      <w:pPr>
        <w:pStyle w:val="Footnote"/>
      </w:pPr>
      <w:r w:rsidRPr="000727E1">
        <w:rPr>
          <w:rStyle w:val="EndnoteReference"/>
        </w:rPr>
        <w:endnoteRef/>
      </w:r>
      <w:r w:rsidRPr="000727E1">
        <w:t xml:space="preserve"> </w:t>
      </w:r>
      <w:r>
        <w:t xml:space="preserve">Charles </w:t>
      </w:r>
      <w:r w:rsidRPr="000727E1">
        <w:t>Clover, op. cit</w:t>
      </w:r>
      <w:r>
        <w:t>.</w:t>
      </w:r>
    </w:p>
  </w:endnote>
  <w:endnote w:id="50">
    <w:p w14:paraId="54430AE5" w14:textId="42235DA3" w:rsidR="00F018F1" w:rsidRPr="000727E1" w:rsidRDefault="00F018F1" w:rsidP="00447AC5">
      <w:pPr>
        <w:pStyle w:val="Footnote"/>
      </w:pPr>
      <w:r w:rsidRPr="000727E1">
        <w:rPr>
          <w:rStyle w:val="EndnoteReference"/>
        </w:rPr>
        <w:endnoteRef/>
      </w:r>
      <w:r w:rsidRPr="000727E1">
        <w:t xml:space="preserve"> ¥ = renminbi = Chinese Yuan; US$</w:t>
      </w:r>
      <w:r>
        <w:t xml:space="preserve">1 = </w:t>
      </w:r>
      <w:r w:rsidRPr="000727E1">
        <w:t>¥</w:t>
      </w:r>
      <w:r>
        <w:t>6.75</w:t>
      </w:r>
      <w:r w:rsidRPr="000727E1">
        <w:t xml:space="preserve"> on February 1, 2019.</w:t>
      </w:r>
    </w:p>
  </w:endnote>
  <w:endnote w:id="51">
    <w:p w14:paraId="632726D4" w14:textId="0DD33494" w:rsidR="00F018F1" w:rsidRPr="000727E1" w:rsidRDefault="00F018F1" w:rsidP="00447AC5">
      <w:pPr>
        <w:pStyle w:val="Footnote"/>
      </w:pPr>
      <w:r w:rsidRPr="000727E1">
        <w:rPr>
          <w:rStyle w:val="EndnoteReference"/>
        </w:rPr>
        <w:endnoteRef/>
      </w:r>
      <w:r w:rsidRPr="000727E1">
        <w:t xml:space="preserve"> </w:t>
      </w:r>
      <w:r>
        <w:t xml:space="preserve">Charles </w:t>
      </w:r>
      <w:r w:rsidRPr="000727E1">
        <w:t>Clover, op. cit</w:t>
      </w:r>
      <w:r>
        <w:t>.</w:t>
      </w:r>
    </w:p>
  </w:endnote>
  <w:endnote w:id="52">
    <w:p w14:paraId="70097A57" w14:textId="6AF40ACF" w:rsidR="00F018F1" w:rsidRPr="000727E1" w:rsidRDefault="00F018F1" w:rsidP="00447AC5">
      <w:pPr>
        <w:pStyle w:val="Footnote"/>
      </w:pPr>
      <w:r w:rsidRPr="000727E1">
        <w:rPr>
          <w:rStyle w:val="EndnoteReference"/>
        </w:rPr>
        <w:endnoteRef/>
      </w:r>
      <w:r w:rsidRPr="000727E1">
        <w:t xml:space="preserve"> </w:t>
      </w:r>
      <w:r>
        <w:t xml:space="preserve">Kelly </w:t>
      </w:r>
      <w:r w:rsidRPr="000727E1">
        <w:t xml:space="preserve">Pleskot, </w:t>
      </w:r>
      <w:r>
        <w:t>“</w:t>
      </w:r>
      <w:r w:rsidRPr="000727E1">
        <w:t>Every Volvo Introduced from 2019 Will Have an Electric Motor</w:t>
      </w:r>
      <w:r>
        <w:t>,”</w:t>
      </w:r>
      <w:r w:rsidRPr="000727E1">
        <w:t xml:space="preserve"> </w:t>
      </w:r>
      <w:r w:rsidRPr="00114A41">
        <w:rPr>
          <w:i/>
        </w:rPr>
        <w:t>Motor Trend</w:t>
      </w:r>
      <w:r w:rsidRPr="000727E1">
        <w:t>, July 5</w:t>
      </w:r>
      <w:r>
        <w:t>, 2017,</w:t>
      </w:r>
      <w:r w:rsidRPr="000727E1">
        <w:t xml:space="preserve"> accessed January 17, 2018, www.motortrend.com/news/every-volvo-will-electric-motor-2019. </w:t>
      </w:r>
    </w:p>
  </w:endnote>
  <w:endnote w:id="53">
    <w:p w14:paraId="4A80284B" w14:textId="371ADBCF" w:rsidR="00F018F1" w:rsidRPr="000727E1" w:rsidRDefault="00F018F1" w:rsidP="00447AC5">
      <w:pPr>
        <w:pStyle w:val="Footnote"/>
      </w:pPr>
      <w:r w:rsidRPr="000727E1">
        <w:rPr>
          <w:rStyle w:val="EndnoteReference"/>
        </w:rPr>
        <w:endnoteRef/>
      </w:r>
      <w:r w:rsidRPr="000727E1">
        <w:t xml:space="preserve"> Krisher, op. cit</w:t>
      </w:r>
      <w:r>
        <w:t>.</w:t>
      </w:r>
    </w:p>
  </w:endnote>
  <w:endnote w:id="54">
    <w:p w14:paraId="3196981E" w14:textId="7A9AFEC4" w:rsidR="00F018F1" w:rsidRPr="000727E1" w:rsidRDefault="00F018F1" w:rsidP="00447AC5">
      <w:pPr>
        <w:pStyle w:val="Footnote"/>
      </w:pPr>
      <w:r w:rsidRPr="000727E1">
        <w:rPr>
          <w:rStyle w:val="EndnoteReference"/>
        </w:rPr>
        <w:endnoteRef/>
      </w:r>
      <w:r w:rsidRPr="000727E1">
        <w:t xml:space="preserve"> UBS</w:t>
      </w:r>
      <w:r>
        <w:rPr>
          <w:shd w:val="clear" w:color="auto" w:fill="FFFFFF"/>
          <w:lang w:val="en-CA" w:eastAsia="en-CA"/>
        </w:rPr>
        <w:t xml:space="preserve"> Global Research</w:t>
      </w:r>
      <w:r w:rsidRPr="000727E1">
        <w:t>, op. cit., 5</w:t>
      </w:r>
      <w:r>
        <w:t>.</w:t>
      </w:r>
    </w:p>
  </w:endnote>
  <w:endnote w:id="55">
    <w:p w14:paraId="79568CB0" w14:textId="763CDF40" w:rsidR="00F018F1" w:rsidRPr="000727E1" w:rsidRDefault="00F018F1" w:rsidP="00447AC5">
      <w:pPr>
        <w:pStyle w:val="Footnote"/>
      </w:pPr>
      <w:r w:rsidRPr="000727E1">
        <w:rPr>
          <w:rStyle w:val="EndnoteReference"/>
        </w:rPr>
        <w:endnoteRef/>
      </w:r>
      <w:r w:rsidRPr="000727E1">
        <w:t xml:space="preserve"> UBS</w:t>
      </w:r>
      <w:r>
        <w:rPr>
          <w:shd w:val="clear" w:color="auto" w:fill="FFFFFF"/>
          <w:lang w:val="en-CA" w:eastAsia="en-CA"/>
        </w:rPr>
        <w:t xml:space="preserve"> Global Research</w:t>
      </w:r>
      <w:r w:rsidRPr="000727E1">
        <w:t>, op. cit., 27</w:t>
      </w:r>
      <w:r>
        <w:t>.</w:t>
      </w:r>
    </w:p>
  </w:endnote>
  <w:endnote w:id="56">
    <w:p w14:paraId="08603B52" w14:textId="72C3D620" w:rsidR="00F018F1" w:rsidRPr="000727E1" w:rsidRDefault="00F018F1" w:rsidP="00447AC5">
      <w:pPr>
        <w:pStyle w:val="Footnote"/>
      </w:pPr>
      <w:r w:rsidRPr="000727E1">
        <w:rPr>
          <w:rStyle w:val="EndnoteReference"/>
        </w:rPr>
        <w:endnoteRef/>
      </w:r>
      <w:r w:rsidRPr="000727E1">
        <w:t xml:space="preserve"> UBS</w:t>
      </w:r>
      <w:r>
        <w:rPr>
          <w:shd w:val="clear" w:color="auto" w:fill="FFFFFF"/>
          <w:lang w:val="en-CA" w:eastAsia="en-CA"/>
        </w:rPr>
        <w:t xml:space="preserve"> Global Research</w:t>
      </w:r>
      <w:r w:rsidRPr="000727E1">
        <w:t>, op. cit., 54</w:t>
      </w:r>
      <w:r>
        <w:t>.</w:t>
      </w:r>
    </w:p>
  </w:endnote>
  <w:endnote w:id="57">
    <w:p w14:paraId="6ED0642C" w14:textId="6E418A73" w:rsidR="00F018F1" w:rsidRPr="000727E1" w:rsidRDefault="00F018F1" w:rsidP="00447AC5">
      <w:pPr>
        <w:pStyle w:val="Footnote"/>
      </w:pPr>
      <w:r w:rsidRPr="000727E1">
        <w:rPr>
          <w:rStyle w:val="EndnoteReference"/>
        </w:rPr>
        <w:endnoteRef/>
      </w:r>
      <w:r w:rsidRPr="000727E1">
        <w:t xml:space="preserve"> UBS</w:t>
      </w:r>
      <w:r>
        <w:rPr>
          <w:shd w:val="clear" w:color="auto" w:fill="FFFFFF"/>
          <w:lang w:val="en-CA" w:eastAsia="en-CA"/>
        </w:rPr>
        <w:t xml:space="preserve"> Global Research</w:t>
      </w:r>
      <w:r w:rsidRPr="000727E1">
        <w:t>, op. cit., 7</w:t>
      </w:r>
      <w:r>
        <w:t>.</w:t>
      </w:r>
    </w:p>
  </w:endnote>
  <w:endnote w:id="58">
    <w:p w14:paraId="4B9FCC57" w14:textId="16E4ED3A" w:rsidR="00F018F1" w:rsidRPr="000727E1" w:rsidRDefault="00F018F1" w:rsidP="00447AC5">
      <w:pPr>
        <w:pStyle w:val="Footnote"/>
      </w:pPr>
      <w:r w:rsidRPr="000727E1">
        <w:rPr>
          <w:rStyle w:val="EndnoteReference"/>
        </w:rPr>
        <w:endnoteRef/>
      </w:r>
      <w:r w:rsidRPr="000727E1">
        <w:t xml:space="preserve"> Brendan O’Brien, </w:t>
      </w:r>
      <w:r>
        <w:t>“</w:t>
      </w:r>
      <w:r w:rsidRPr="000727E1">
        <w:t xml:space="preserve">Will Car Dealerships Survive the EV Revolution?” </w:t>
      </w:r>
      <w:r>
        <w:t xml:space="preserve">Aria Systems, </w:t>
      </w:r>
      <w:r w:rsidRPr="000727E1">
        <w:t xml:space="preserve">accessed February 7, 2019, www.ariasystems.com/blog/do-evs-mean-the-end-of-the-road-for-car-dealers. </w:t>
      </w:r>
    </w:p>
  </w:endnote>
  <w:endnote w:id="59">
    <w:p w14:paraId="4C6F1639" w14:textId="362C49D9" w:rsidR="00F018F1" w:rsidRPr="000727E1" w:rsidRDefault="00F018F1" w:rsidP="00447AC5">
      <w:pPr>
        <w:pStyle w:val="Footnote"/>
      </w:pPr>
      <w:r w:rsidRPr="000727E1">
        <w:rPr>
          <w:rStyle w:val="EndnoteReference"/>
        </w:rPr>
        <w:endnoteRef/>
      </w:r>
      <w:r w:rsidRPr="000727E1">
        <w:t xml:space="preserve"> </w:t>
      </w:r>
      <w:r>
        <w:t>“</w:t>
      </w:r>
      <w:r w:rsidRPr="000727E1">
        <w:t xml:space="preserve">W-15 Electric </w:t>
      </w:r>
      <w:r>
        <w:t>P</w:t>
      </w:r>
      <w:r w:rsidRPr="000727E1">
        <w:t xml:space="preserve">ickup </w:t>
      </w:r>
      <w:r>
        <w:t>T</w:t>
      </w:r>
      <w:r w:rsidRPr="000727E1">
        <w:t xml:space="preserve">ruck with </w:t>
      </w:r>
      <w:r>
        <w:t>E</w:t>
      </w:r>
      <w:r w:rsidRPr="000727E1">
        <w:t xml:space="preserve">xtended </w:t>
      </w:r>
      <w:r>
        <w:t>R</w:t>
      </w:r>
      <w:r w:rsidRPr="000727E1">
        <w:t xml:space="preserve">ange,” Workhorse, accessed March 27, 2018, http://workhorse.com/pickup. </w:t>
      </w:r>
    </w:p>
  </w:endnote>
  <w:endnote w:id="60">
    <w:p w14:paraId="0F3E0626" w14:textId="7DFB3C17" w:rsidR="00F018F1" w:rsidRPr="000727E1" w:rsidRDefault="00F018F1" w:rsidP="00447AC5">
      <w:pPr>
        <w:pStyle w:val="Footnote"/>
      </w:pPr>
      <w:r w:rsidRPr="000727E1">
        <w:rPr>
          <w:rStyle w:val="EndnoteReference"/>
        </w:rPr>
        <w:endnoteRef/>
      </w:r>
      <w:r w:rsidRPr="000727E1">
        <w:t xml:space="preserve"> </w:t>
      </w:r>
      <w:r>
        <w:t xml:space="preserve">Matt </w:t>
      </w:r>
      <w:r w:rsidRPr="000727E1">
        <w:t xml:space="preserve">Burt, </w:t>
      </w:r>
      <w:r>
        <w:t>“</w:t>
      </w:r>
      <w:r w:rsidRPr="000727E1">
        <w:t xml:space="preserve">New Jaguar I-Paces </w:t>
      </w:r>
      <w:r w:rsidR="003530FE">
        <w:t>b</w:t>
      </w:r>
      <w:r w:rsidRPr="000727E1">
        <w:t xml:space="preserve">attery </w:t>
      </w:r>
      <w:r w:rsidR="003530FE">
        <w:t>e</w:t>
      </w:r>
      <w:r w:rsidRPr="000727E1">
        <w:t xml:space="preserve">lectric </w:t>
      </w:r>
      <w:r w:rsidR="003530FE">
        <w:t>v</w:t>
      </w:r>
      <w:r w:rsidRPr="000727E1">
        <w:t xml:space="preserve">ehicle </w:t>
      </w:r>
      <w:r w:rsidR="003530FE">
        <w:t>t</w:t>
      </w:r>
      <w:r w:rsidRPr="000727E1">
        <w:t xml:space="preserve">echnology at a </w:t>
      </w:r>
      <w:r w:rsidR="003530FE">
        <w:t>g</w:t>
      </w:r>
      <w:r w:rsidRPr="000727E1">
        <w:t>lance</w:t>
      </w:r>
      <w:r>
        <w:t>,</w:t>
      </w:r>
      <w:r w:rsidRPr="000727E1">
        <w:t xml:space="preserve"> </w:t>
      </w:r>
      <w:r w:rsidRPr="00114A41">
        <w:rPr>
          <w:i/>
        </w:rPr>
        <w:t>Autocar</w:t>
      </w:r>
      <w:r w:rsidRPr="000727E1">
        <w:t>, November 15</w:t>
      </w:r>
      <w:r>
        <w:t>, 2016,</w:t>
      </w:r>
      <w:r w:rsidRPr="000727E1">
        <w:t xml:space="preserve"> accessed December 1, 2017, www.autocar.co.uk/car-news/motor-shows-la-motor-show/new-jaguar-i-pace%E2%80%99s-battery-electric-vehicle-technology-glance. </w:t>
      </w:r>
    </w:p>
  </w:endnote>
  <w:endnote w:id="61">
    <w:p w14:paraId="597E8677" w14:textId="3B83B27E" w:rsidR="00F018F1" w:rsidRPr="000727E1" w:rsidRDefault="00F018F1" w:rsidP="00447AC5">
      <w:pPr>
        <w:pStyle w:val="Footnote"/>
      </w:pPr>
      <w:r w:rsidRPr="000727E1">
        <w:rPr>
          <w:rStyle w:val="EndnoteReference"/>
        </w:rPr>
        <w:endnoteRef/>
      </w:r>
      <w:r w:rsidRPr="000727E1">
        <w:t xml:space="preserve"> Jonathan</w:t>
      </w:r>
      <w:r>
        <w:t xml:space="preserve"> </w:t>
      </w:r>
      <w:r w:rsidRPr="000727E1">
        <w:t xml:space="preserve">Shieber, </w:t>
      </w:r>
      <w:r>
        <w:t>“</w:t>
      </w:r>
      <w:r w:rsidRPr="000727E1">
        <w:t xml:space="preserve">Upstarts </w:t>
      </w:r>
      <w:r w:rsidR="00D54F68">
        <w:t>e</w:t>
      </w:r>
      <w:r w:rsidRPr="000727E1">
        <w:t xml:space="preserve">merge to </w:t>
      </w:r>
      <w:r w:rsidR="00D54F68">
        <w:t>c</w:t>
      </w:r>
      <w:r w:rsidRPr="000727E1">
        <w:t xml:space="preserve">hase Tesla’s </w:t>
      </w:r>
      <w:r w:rsidR="00D54F68">
        <w:t>l</w:t>
      </w:r>
      <w:r w:rsidRPr="000727E1">
        <w:t xml:space="preserve">ead in </w:t>
      </w:r>
      <w:r w:rsidR="00D54F68">
        <w:t>e</w:t>
      </w:r>
      <w:r w:rsidRPr="000727E1">
        <w:t xml:space="preserve">lectric </w:t>
      </w:r>
      <w:r w:rsidR="00D54F68">
        <w:t>v</w:t>
      </w:r>
      <w:r w:rsidRPr="000727E1">
        <w:t xml:space="preserve">ehicles,” </w:t>
      </w:r>
      <w:r>
        <w:t xml:space="preserve">TechCrunch, </w:t>
      </w:r>
      <w:r w:rsidRPr="000727E1">
        <w:t xml:space="preserve">accessed February 7, 2019, https://techcrunch.com/2018/05/23/upstarts-emerge-to-chase-teslas-lead-in-electric-vehicles. </w:t>
      </w:r>
    </w:p>
  </w:endnote>
  <w:endnote w:id="62">
    <w:p w14:paraId="65F978F1" w14:textId="6F23637C" w:rsidR="00F018F1" w:rsidRPr="000727E1" w:rsidRDefault="00F018F1" w:rsidP="00447AC5">
      <w:pPr>
        <w:pStyle w:val="Footnote"/>
      </w:pPr>
      <w:r w:rsidRPr="000727E1">
        <w:rPr>
          <w:rStyle w:val="EndnoteReference"/>
        </w:rPr>
        <w:endnoteRef/>
      </w:r>
      <w:r w:rsidRPr="000727E1">
        <w:t xml:space="preserve"> </w:t>
      </w:r>
      <w:r>
        <w:t xml:space="preserve">Steve </w:t>
      </w:r>
      <w:r w:rsidRPr="000727E1">
        <w:t xml:space="preserve">Merti, </w:t>
      </w:r>
      <w:r>
        <w:t>“</w:t>
      </w:r>
      <w:r w:rsidRPr="000727E1">
        <w:t xml:space="preserve">Average </w:t>
      </w:r>
      <w:r w:rsidR="00BD547A">
        <w:t>p</w:t>
      </w:r>
      <w:r w:rsidRPr="000727E1">
        <w:t xml:space="preserve">rice of </w:t>
      </w:r>
      <w:r w:rsidR="00BD547A">
        <w:t>n</w:t>
      </w:r>
      <w:r w:rsidRPr="000727E1">
        <w:t xml:space="preserve">ew </w:t>
      </w:r>
      <w:r w:rsidR="00BD547A">
        <w:t>c</w:t>
      </w:r>
      <w:r w:rsidRPr="000727E1">
        <w:t xml:space="preserve">ar </w:t>
      </w:r>
      <w:r w:rsidR="00BD547A">
        <w:t>r</w:t>
      </w:r>
      <w:r w:rsidRPr="000727E1">
        <w:t xml:space="preserve">ose </w:t>
      </w:r>
      <w:r w:rsidR="00BD547A">
        <w:t>a</w:t>
      </w:r>
      <w:r w:rsidRPr="000727E1">
        <w:t xml:space="preserve">gain </w:t>
      </w:r>
      <w:r w:rsidR="00BD547A">
        <w:t>l</w:t>
      </w:r>
      <w:r w:rsidRPr="000727E1">
        <w:t xml:space="preserve">ast </w:t>
      </w:r>
      <w:r w:rsidR="00BD547A">
        <w:t>y</w:t>
      </w:r>
      <w:r w:rsidRPr="000727E1">
        <w:t xml:space="preserve">ear, but at </w:t>
      </w:r>
      <w:r w:rsidR="00BD547A">
        <w:t>s</w:t>
      </w:r>
      <w:r w:rsidRPr="000727E1">
        <w:t xml:space="preserve">lower </w:t>
      </w:r>
      <w:r w:rsidR="00BD547A">
        <w:t>p</w:t>
      </w:r>
      <w:r w:rsidRPr="000727E1">
        <w:t>ace</w:t>
      </w:r>
      <w:r>
        <w:t>,”</w:t>
      </w:r>
      <w:r w:rsidRPr="000727E1">
        <w:t xml:space="preserve"> Automotive News Canada,</w:t>
      </w:r>
      <w:r>
        <w:t xml:space="preserve"> </w:t>
      </w:r>
      <w:r w:rsidRPr="000727E1">
        <w:t>February 8</w:t>
      </w:r>
      <w:r>
        <w:t>, 2018,</w:t>
      </w:r>
      <w:r w:rsidRPr="000727E1">
        <w:t xml:space="preserve"> accessed May 10, 2018, http://canada.autonews.com/article/20180208/CANADA/180209785/average-price-of-new-car-rose-again-last-year-but-at-slower-pace. </w:t>
      </w:r>
    </w:p>
  </w:endnote>
  <w:endnote w:id="63">
    <w:p w14:paraId="0914C956" w14:textId="5958F9C2" w:rsidR="00F018F1" w:rsidRPr="000727E1" w:rsidRDefault="00F018F1" w:rsidP="00447AC5">
      <w:pPr>
        <w:pStyle w:val="Footnote"/>
      </w:pPr>
      <w:r w:rsidRPr="000727E1">
        <w:rPr>
          <w:rStyle w:val="EndnoteReference"/>
        </w:rPr>
        <w:endnoteRef/>
      </w:r>
      <w:r w:rsidRPr="000727E1">
        <w:t xml:space="preserve"> </w:t>
      </w:r>
      <w:r w:rsidRPr="000727E1">
        <w:rPr>
          <w:shd w:val="clear" w:color="auto" w:fill="FFFFFF"/>
          <w:lang w:val="en-CA" w:eastAsia="en-CA"/>
        </w:rPr>
        <w:t xml:space="preserve">“Auto &amp; Truck Manufacturers Industry </w:t>
      </w:r>
      <w:r w:rsidRPr="000727E1">
        <w:t>Profitability,” op. cit</w:t>
      </w:r>
      <w:r>
        <w:t>.</w:t>
      </w:r>
    </w:p>
  </w:endnote>
  <w:endnote w:id="64">
    <w:p w14:paraId="7D7CA861" w14:textId="5248385C" w:rsidR="00F018F1" w:rsidRPr="000727E1" w:rsidRDefault="00F018F1" w:rsidP="00447AC5">
      <w:pPr>
        <w:pStyle w:val="Footnote"/>
      </w:pPr>
      <w:r w:rsidRPr="000727E1">
        <w:rPr>
          <w:rStyle w:val="EndnoteReference"/>
        </w:rPr>
        <w:endnoteRef/>
      </w:r>
      <w:r w:rsidRPr="000727E1">
        <w:t xml:space="preserve"> Jonathan</w:t>
      </w:r>
      <w:r>
        <w:t xml:space="preserve"> </w:t>
      </w:r>
      <w:r w:rsidRPr="000727E1">
        <w:t>Shieber, op. cit</w:t>
      </w:r>
      <w:r>
        <w:t>.</w:t>
      </w:r>
    </w:p>
  </w:endnote>
  <w:endnote w:id="65">
    <w:p w14:paraId="32547DA9" w14:textId="216C59C2" w:rsidR="00F018F1" w:rsidRPr="000727E1" w:rsidRDefault="00F018F1" w:rsidP="00447AC5">
      <w:pPr>
        <w:pStyle w:val="Footnote"/>
      </w:pPr>
      <w:r w:rsidRPr="000727E1">
        <w:rPr>
          <w:rStyle w:val="EndnoteReference"/>
        </w:rPr>
        <w:endnoteRef/>
      </w:r>
      <w:r w:rsidRPr="000727E1">
        <w:t xml:space="preserve"> </w:t>
      </w:r>
      <w:r>
        <w:t>“</w:t>
      </w:r>
      <w:r w:rsidRPr="000727E1">
        <w:t>Tesla</w:t>
      </w:r>
      <w:r>
        <w:t xml:space="preserve"> </w:t>
      </w:r>
      <w:r w:rsidRPr="000727E1">
        <w:t>Third Quarter 2018 Update</w:t>
      </w:r>
      <w:r>
        <w:t>,”</w:t>
      </w:r>
      <w:r w:rsidRPr="000727E1">
        <w:t xml:space="preserve"> Tesla, accessed December 4, 2018, http://ir.tesla.com/static-files/725970e6-eda5-47ab-96e1-422d4045f799. </w:t>
      </w:r>
    </w:p>
  </w:endnote>
  <w:endnote w:id="66">
    <w:p w14:paraId="6E658FF0" w14:textId="21F0B638" w:rsidR="00F018F1" w:rsidRPr="000727E1" w:rsidRDefault="00F018F1" w:rsidP="00447AC5">
      <w:pPr>
        <w:pStyle w:val="Footnote"/>
      </w:pPr>
      <w:r w:rsidRPr="000727E1">
        <w:rPr>
          <w:rStyle w:val="EndnoteReference"/>
        </w:rPr>
        <w:endnoteRef/>
      </w:r>
      <w:r w:rsidRPr="000727E1">
        <w:t xml:space="preserve"> </w:t>
      </w:r>
      <w:r>
        <w:t>“</w:t>
      </w:r>
      <w:r w:rsidRPr="000727E1">
        <w:t>Electric Cars, Solar Panels &amp; Clean Energy Storage</w:t>
      </w:r>
      <w:r>
        <w:t>,”</w:t>
      </w:r>
      <w:r w:rsidRPr="000727E1">
        <w:t xml:space="preserve"> Tesla, accessed March 27, 2018, www.tesla.com. </w:t>
      </w:r>
    </w:p>
  </w:endnote>
  <w:endnote w:id="67">
    <w:p w14:paraId="494FD855" w14:textId="1F85C289" w:rsidR="00F018F1" w:rsidRPr="000727E1" w:rsidRDefault="00F018F1" w:rsidP="00447AC5">
      <w:pPr>
        <w:pStyle w:val="Footnote"/>
      </w:pPr>
      <w:r w:rsidRPr="000727E1">
        <w:rPr>
          <w:rStyle w:val="EndnoteReference"/>
        </w:rPr>
        <w:endnoteRef/>
      </w:r>
      <w:r w:rsidRPr="000727E1">
        <w:t xml:space="preserve"> </w:t>
      </w:r>
      <w:r>
        <w:t>“</w:t>
      </w:r>
      <w:r w:rsidRPr="000727E1">
        <w:t>Tesla</w:t>
      </w:r>
      <w:r>
        <w:t xml:space="preserve"> </w:t>
      </w:r>
      <w:r w:rsidRPr="000727E1">
        <w:t>Third Quarter 2018 Update</w:t>
      </w:r>
      <w:r>
        <w:t>,”</w:t>
      </w:r>
      <w:r w:rsidRPr="000727E1">
        <w:t xml:space="preserve"> op. cit</w:t>
      </w:r>
      <w:r>
        <w:t>.</w:t>
      </w:r>
    </w:p>
  </w:endnote>
  <w:endnote w:id="68">
    <w:p w14:paraId="172B0F52" w14:textId="11CEB5DC" w:rsidR="00F018F1" w:rsidRPr="000727E1" w:rsidRDefault="00F018F1" w:rsidP="00447AC5">
      <w:pPr>
        <w:pStyle w:val="Footnote"/>
      </w:pPr>
      <w:r w:rsidRPr="000727E1">
        <w:rPr>
          <w:rStyle w:val="EndnoteReference"/>
        </w:rPr>
        <w:endnoteRef/>
      </w:r>
      <w:r w:rsidRPr="000727E1">
        <w:t xml:space="preserve"> Dee-Ann</w:t>
      </w:r>
      <w:r>
        <w:t xml:space="preserve"> </w:t>
      </w:r>
      <w:r w:rsidRPr="000727E1">
        <w:t xml:space="preserve">Durbin, </w:t>
      </w:r>
      <w:r>
        <w:t>“</w:t>
      </w:r>
      <w:r w:rsidRPr="000727E1">
        <w:t xml:space="preserve">Tesla </w:t>
      </w:r>
      <w:r w:rsidR="00BD547A">
        <w:t>a</w:t>
      </w:r>
      <w:r w:rsidRPr="000727E1">
        <w:t xml:space="preserve">dding 100 </w:t>
      </w:r>
      <w:r w:rsidR="00BD547A">
        <w:t>s</w:t>
      </w:r>
      <w:r w:rsidRPr="000727E1">
        <w:t xml:space="preserve">ervice </w:t>
      </w:r>
      <w:r w:rsidR="00BD547A">
        <w:t>c</w:t>
      </w:r>
      <w:r w:rsidRPr="000727E1">
        <w:t xml:space="preserve">enters, 1,000 technicians as Model 3 </w:t>
      </w:r>
      <w:r w:rsidR="00BD547A">
        <w:t>g</w:t>
      </w:r>
      <w:r w:rsidRPr="000727E1">
        <w:t xml:space="preserve">oes on </w:t>
      </w:r>
      <w:r w:rsidR="00BD547A">
        <w:t>s</w:t>
      </w:r>
      <w:r w:rsidRPr="000727E1">
        <w:t>ale</w:t>
      </w:r>
      <w:r>
        <w:t>,</w:t>
      </w:r>
      <w:r w:rsidRPr="000727E1">
        <w:t xml:space="preserve"> </w:t>
      </w:r>
      <w:r w:rsidRPr="00114A41">
        <w:rPr>
          <w:i/>
        </w:rPr>
        <w:t>USA Today</w:t>
      </w:r>
      <w:r>
        <w:t>,</w:t>
      </w:r>
      <w:r w:rsidRPr="000727E1">
        <w:t xml:space="preserve"> July 11</w:t>
      </w:r>
      <w:r>
        <w:t xml:space="preserve">, 2017, </w:t>
      </w:r>
      <w:r w:rsidRPr="000727E1">
        <w:t xml:space="preserve">accessed May 2, 2018, www.usatoday.com/story/money/cars/2017/07/11/tesla-adding-100-service-centers-1-000-technicians-model-3-goes-sale/467423001. </w:t>
      </w:r>
    </w:p>
  </w:endnote>
  <w:endnote w:id="69">
    <w:p w14:paraId="69F7797B" w14:textId="224A164E" w:rsidR="00F018F1" w:rsidRPr="000727E1" w:rsidRDefault="00F018F1" w:rsidP="00447AC5">
      <w:pPr>
        <w:pStyle w:val="Footnote"/>
      </w:pPr>
      <w:r w:rsidRPr="000727E1">
        <w:rPr>
          <w:rStyle w:val="EndnoteReference"/>
        </w:rPr>
        <w:endnoteRef/>
      </w:r>
      <w:r w:rsidRPr="000727E1">
        <w:t xml:space="preserve"> </w:t>
      </w:r>
      <w:r w:rsidR="00BD547A">
        <w:t>“</w:t>
      </w:r>
      <w:r w:rsidRPr="000727E1">
        <w:t>Tesla Gigafactory,</w:t>
      </w:r>
      <w:r w:rsidR="00BD547A">
        <w:t>”</w:t>
      </w:r>
      <w:r w:rsidRPr="000727E1">
        <w:t xml:space="preserve"> </w:t>
      </w:r>
      <w:r>
        <w:t>Tesla, accessed</w:t>
      </w:r>
      <w:r w:rsidRPr="000727E1">
        <w:t xml:space="preserve"> March 27, 2018, www.tesla.com/gigafactory. </w:t>
      </w:r>
    </w:p>
  </w:endnote>
  <w:endnote w:id="70">
    <w:p w14:paraId="55FC4278" w14:textId="46BDCF41" w:rsidR="00F018F1" w:rsidRPr="0097590C" w:rsidRDefault="00F018F1" w:rsidP="00447AC5">
      <w:pPr>
        <w:pStyle w:val="Footnote"/>
        <w:rPr>
          <w:spacing w:val="-4"/>
          <w:kern w:val="17"/>
        </w:rPr>
      </w:pPr>
      <w:r w:rsidRPr="0097590C">
        <w:rPr>
          <w:rStyle w:val="EndnoteReference"/>
          <w:spacing w:val="-4"/>
          <w:kern w:val="17"/>
        </w:rPr>
        <w:endnoteRef/>
      </w:r>
      <w:r w:rsidRPr="0097590C">
        <w:rPr>
          <w:spacing w:val="-4"/>
          <w:kern w:val="17"/>
        </w:rPr>
        <w:t xml:space="preserve"> Phil LeBeau, “A </w:t>
      </w:r>
      <w:r w:rsidR="00BD547A">
        <w:rPr>
          <w:spacing w:val="-4"/>
          <w:kern w:val="17"/>
        </w:rPr>
        <w:t>l</w:t>
      </w:r>
      <w:r w:rsidRPr="0097590C">
        <w:rPr>
          <w:spacing w:val="-4"/>
          <w:kern w:val="17"/>
        </w:rPr>
        <w:t xml:space="preserve">ook </w:t>
      </w:r>
      <w:r w:rsidR="00BD547A">
        <w:rPr>
          <w:spacing w:val="-4"/>
          <w:kern w:val="17"/>
        </w:rPr>
        <w:t>i</w:t>
      </w:r>
      <w:r w:rsidRPr="0097590C">
        <w:rPr>
          <w:spacing w:val="-4"/>
          <w:kern w:val="17"/>
        </w:rPr>
        <w:t xml:space="preserve">nside Tesla’s Gigafactory: The </w:t>
      </w:r>
      <w:r w:rsidR="00BD547A">
        <w:rPr>
          <w:spacing w:val="-4"/>
          <w:kern w:val="17"/>
        </w:rPr>
        <w:t>k</w:t>
      </w:r>
      <w:r w:rsidRPr="0097590C">
        <w:rPr>
          <w:spacing w:val="-4"/>
          <w:kern w:val="17"/>
        </w:rPr>
        <w:t xml:space="preserve">ey to the </w:t>
      </w:r>
      <w:r w:rsidR="00BD547A">
        <w:rPr>
          <w:spacing w:val="-4"/>
          <w:kern w:val="17"/>
        </w:rPr>
        <w:t>a</w:t>
      </w:r>
      <w:r w:rsidRPr="0097590C">
        <w:rPr>
          <w:spacing w:val="-4"/>
          <w:kern w:val="17"/>
        </w:rPr>
        <w:t xml:space="preserve">utomakers’ </w:t>
      </w:r>
      <w:r w:rsidR="00BD547A">
        <w:rPr>
          <w:spacing w:val="-4"/>
          <w:kern w:val="17"/>
        </w:rPr>
        <w:t>s</w:t>
      </w:r>
      <w:r w:rsidRPr="0097590C">
        <w:rPr>
          <w:spacing w:val="-4"/>
          <w:kern w:val="17"/>
        </w:rPr>
        <w:t xml:space="preserve">uccess,” CNBC, November 13, 2018, accessed February 7, 2019, www.cnbc.com/2018/11/13/a-look-inside-teslas-gigafactory-the-key-to-the-automakers-success.html. </w:t>
      </w:r>
    </w:p>
  </w:endnote>
  <w:endnote w:id="71">
    <w:p w14:paraId="498EC6D1" w14:textId="70E54637" w:rsidR="00F018F1" w:rsidRPr="000727E1" w:rsidRDefault="00F018F1" w:rsidP="00447AC5">
      <w:pPr>
        <w:pStyle w:val="Footnote"/>
      </w:pPr>
      <w:r w:rsidRPr="000727E1">
        <w:rPr>
          <w:rStyle w:val="EndnoteReference"/>
        </w:rPr>
        <w:endnoteRef/>
      </w:r>
      <w:r w:rsidRPr="000727E1">
        <w:t xml:space="preserve"> </w:t>
      </w:r>
      <w:r>
        <w:t>“</w:t>
      </w:r>
      <w:r w:rsidRPr="000727E1">
        <w:t xml:space="preserve">Tesla Factory,” </w:t>
      </w:r>
      <w:r>
        <w:t xml:space="preserve">Tesla, </w:t>
      </w:r>
      <w:r w:rsidRPr="000727E1">
        <w:t xml:space="preserve">accessed March 27, 2018, www.tesla.com/factory. </w:t>
      </w:r>
    </w:p>
  </w:endnote>
  <w:endnote w:id="72">
    <w:p w14:paraId="056E15DF" w14:textId="3CA7432D" w:rsidR="00F018F1" w:rsidRPr="000727E1" w:rsidRDefault="00F018F1" w:rsidP="00447AC5">
      <w:pPr>
        <w:pStyle w:val="Footnote"/>
      </w:pPr>
      <w:r w:rsidRPr="000727E1">
        <w:rPr>
          <w:rStyle w:val="EndnoteReference"/>
        </w:rPr>
        <w:endnoteRef/>
      </w:r>
      <w:r w:rsidRPr="000727E1">
        <w:t xml:space="preserve"> </w:t>
      </w:r>
      <w:r w:rsidRPr="00D57D45">
        <w:t>Mauro Erriquez, Thomas Morel, Pierre-Yves Moulière, and Philip Schäfer</w:t>
      </w:r>
      <w:r>
        <w:t>, “</w:t>
      </w:r>
      <w:r w:rsidRPr="000727E1">
        <w:t xml:space="preserve">Trends in </w:t>
      </w:r>
      <w:r>
        <w:t>E</w:t>
      </w:r>
      <w:r w:rsidRPr="000727E1">
        <w:t>lectric-</w:t>
      </w:r>
      <w:r>
        <w:t>V</w:t>
      </w:r>
      <w:r w:rsidRPr="000727E1">
        <w:t xml:space="preserve">ehicle </w:t>
      </w:r>
      <w:r>
        <w:t>D</w:t>
      </w:r>
      <w:r w:rsidRPr="000727E1">
        <w:t>esign</w:t>
      </w:r>
      <w:r>
        <w:t>,</w:t>
      </w:r>
      <w:r w:rsidR="00034325">
        <w:t>”</w:t>
      </w:r>
      <w:r w:rsidRPr="000727E1">
        <w:t xml:space="preserve"> </w:t>
      </w:r>
      <w:r w:rsidRPr="00114A41">
        <w:t>McKinsey &amp; Company</w:t>
      </w:r>
      <w:r>
        <w:t>, October 2017, access</w:t>
      </w:r>
      <w:r w:rsidRPr="000727E1">
        <w:t xml:space="preserve">ed February 7, 2019, www.mckinsey.com/industries/automotive-and-assembly/our-insights/trends-in-electric-vehicle-design. </w:t>
      </w:r>
    </w:p>
  </w:endnote>
  <w:endnote w:id="73">
    <w:p w14:paraId="093AF974" w14:textId="25438B60" w:rsidR="00F018F1" w:rsidRPr="000727E1" w:rsidRDefault="00F018F1" w:rsidP="00447AC5">
      <w:pPr>
        <w:pStyle w:val="Footnote"/>
      </w:pPr>
      <w:r w:rsidRPr="000727E1">
        <w:rPr>
          <w:rStyle w:val="EndnoteReference"/>
        </w:rPr>
        <w:endnoteRef/>
      </w:r>
      <w:r w:rsidRPr="000727E1">
        <w:t xml:space="preserve"> </w:t>
      </w:r>
      <w:r>
        <w:t>“</w:t>
      </w:r>
      <w:r w:rsidRPr="000727E1">
        <w:t>Tesla Third Quarter 2018 Update,</w:t>
      </w:r>
      <w:r>
        <w:t>”</w:t>
      </w:r>
      <w:r w:rsidRPr="000727E1">
        <w:t xml:space="preserve"> op. cit</w:t>
      </w:r>
      <w:r>
        <w:t>.</w:t>
      </w:r>
    </w:p>
  </w:endnote>
  <w:endnote w:id="74">
    <w:p w14:paraId="368091F6" w14:textId="10C1EAE1" w:rsidR="00F018F1" w:rsidRPr="000727E1" w:rsidRDefault="00F018F1" w:rsidP="00447AC5">
      <w:pPr>
        <w:pStyle w:val="Footnote"/>
      </w:pPr>
      <w:r w:rsidRPr="000727E1">
        <w:rPr>
          <w:rStyle w:val="EndnoteReference"/>
        </w:rPr>
        <w:endnoteRef/>
      </w:r>
      <w:r w:rsidRPr="000727E1">
        <w:t xml:space="preserve"> </w:t>
      </w:r>
      <w:r>
        <w:t xml:space="preserve">Eric </w:t>
      </w:r>
      <w:r w:rsidRPr="000727E1">
        <w:t xml:space="preserve">Kosak, </w:t>
      </w:r>
      <w:r>
        <w:t>“</w:t>
      </w:r>
      <w:r w:rsidRPr="000727E1">
        <w:t xml:space="preserve">Tesla </w:t>
      </w:r>
      <w:r>
        <w:t>o</w:t>
      </w:r>
      <w:r w:rsidRPr="000727E1">
        <w:t xml:space="preserve">n </w:t>
      </w:r>
      <w:r>
        <w:t>t</w:t>
      </w:r>
      <w:r w:rsidRPr="000727E1">
        <w:t xml:space="preserve">he Verge </w:t>
      </w:r>
      <w:r>
        <w:t>o</w:t>
      </w:r>
      <w:r w:rsidRPr="000727E1">
        <w:t xml:space="preserve">f Costs &amp; Revenues Breaking Even,” </w:t>
      </w:r>
      <w:r>
        <w:t xml:space="preserve">CleanTechnica, </w:t>
      </w:r>
      <w:r w:rsidRPr="000727E1">
        <w:t>June 7</w:t>
      </w:r>
      <w:r>
        <w:t xml:space="preserve">, 2018, </w:t>
      </w:r>
      <w:r w:rsidRPr="000727E1">
        <w:t>accessed February 7, 2019, https://cleantechnica.com/2018/06/07/tesla-on-the-verge-of-costs-revenues-breaking-even</w:t>
      </w:r>
      <w:r>
        <w:t>.</w:t>
      </w:r>
    </w:p>
  </w:endnote>
  <w:endnote w:id="75">
    <w:p w14:paraId="7D6C5465" w14:textId="0D93E85C" w:rsidR="00F018F1" w:rsidRPr="000727E1" w:rsidRDefault="00F018F1" w:rsidP="00447AC5">
      <w:pPr>
        <w:pStyle w:val="Footnote"/>
      </w:pPr>
      <w:r w:rsidRPr="000727E1">
        <w:rPr>
          <w:rStyle w:val="EndnoteReference"/>
        </w:rPr>
        <w:endnoteRef/>
      </w:r>
      <w:r w:rsidRPr="000727E1">
        <w:t xml:space="preserve"> </w:t>
      </w:r>
      <w:r w:rsidRPr="00114A41">
        <w:t>Barclays Global Automotive Conference</w:t>
      </w:r>
      <w:r w:rsidRPr="000727E1">
        <w:t xml:space="preserve">, </w:t>
      </w:r>
      <w:r w:rsidRPr="00114A41">
        <w:rPr>
          <w:i/>
        </w:rPr>
        <w:t>Mary Barra CEO</w:t>
      </w:r>
      <w:r>
        <w:t xml:space="preserve">, November 18, 2015, </w:t>
      </w:r>
      <w:r w:rsidRPr="000727E1">
        <w:t xml:space="preserve">accessed January 24, 2018, </w:t>
      </w:r>
      <w:r w:rsidRPr="00114A41">
        <w:t>www.gm.com/content/dam/gm/en_us/english/Group4/InvestorsPDFDocuments/11-15-17_Barclays_VFc.pdf</w:t>
      </w:r>
      <w:r>
        <w:t>, 19</w:t>
      </w:r>
      <w:r w:rsidRPr="000727E1">
        <w:t>.</w:t>
      </w:r>
    </w:p>
  </w:endnote>
  <w:endnote w:id="76">
    <w:p w14:paraId="3FEE9237" w14:textId="3D8F5C4C" w:rsidR="00F018F1" w:rsidRPr="000727E1" w:rsidRDefault="00F018F1" w:rsidP="00447AC5">
      <w:pPr>
        <w:pStyle w:val="Footnote"/>
      </w:pPr>
      <w:r w:rsidRPr="000727E1">
        <w:rPr>
          <w:rStyle w:val="EndnoteReference"/>
        </w:rPr>
        <w:endnoteRef/>
      </w:r>
      <w:r w:rsidRPr="000727E1">
        <w:t xml:space="preserve"> ATKearney</w:t>
      </w:r>
      <w:r>
        <w:t>,</w:t>
      </w:r>
      <w:r w:rsidRPr="000727E1">
        <w:t xml:space="preserve"> </w:t>
      </w:r>
      <w:r w:rsidRPr="00114A41">
        <w:rPr>
          <w:i/>
        </w:rPr>
        <w:t>How Automakers Can Survive the Self-Driving Era</w:t>
      </w:r>
      <w:r w:rsidRPr="000727E1">
        <w:t xml:space="preserve">, accessed January 17, 2018 from, </w:t>
      </w:r>
      <w:r w:rsidRPr="00114A41">
        <w:t>www.atkearney.com/documents/10192/8591837/How+Automakers+Can+Survive+the+Self-Driving+Era+%282%29.pdf/1674f48b-9da0-45e8-a970-0dfbd744cc2f</w:t>
      </w:r>
      <w:r>
        <w:t>, 1</w:t>
      </w:r>
      <w:r w:rsidRPr="000727E1">
        <w:t xml:space="preserve">. </w:t>
      </w:r>
    </w:p>
  </w:endnote>
  <w:endnote w:id="77">
    <w:p w14:paraId="3E6C14A2" w14:textId="57DE914A" w:rsidR="00F018F1" w:rsidRPr="000727E1" w:rsidRDefault="00F018F1" w:rsidP="00447AC5">
      <w:pPr>
        <w:pStyle w:val="Footnote"/>
      </w:pPr>
      <w:r w:rsidRPr="000727E1">
        <w:rPr>
          <w:rStyle w:val="EndnoteReference"/>
        </w:rPr>
        <w:endnoteRef/>
      </w:r>
      <w:r w:rsidRPr="000727E1">
        <w:t xml:space="preserve"> KPMG</w:t>
      </w:r>
      <w:r>
        <w:t>,</w:t>
      </w:r>
      <w:r w:rsidRPr="000727E1">
        <w:t xml:space="preserve"> </w:t>
      </w:r>
      <w:r w:rsidRPr="00114A41">
        <w:rPr>
          <w:i/>
        </w:rPr>
        <w:t xml:space="preserve">Will </w:t>
      </w:r>
      <w:r w:rsidR="00034325">
        <w:rPr>
          <w:i/>
        </w:rPr>
        <w:t>t</w:t>
      </w:r>
      <w:r w:rsidRPr="00114A41">
        <w:rPr>
          <w:i/>
        </w:rPr>
        <w:t xml:space="preserve">his </w:t>
      </w:r>
      <w:r w:rsidR="00034325">
        <w:rPr>
          <w:i/>
        </w:rPr>
        <w:t>b</w:t>
      </w:r>
      <w:r w:rsidRPr="00114A41">
        <w:rPr>
          <w:i/>
        </w:rPr>
        <w:t xml:space="preserve">e the </w:t>
      </w:r>
      <w:r w:rsidR="00034325">
        <w:rPr>
          <w:i/>
        </w:rPr>
        <w:t>e</w:t>
      </w:r>
      <w:r w:rsidRPr="00114A41">
        <w:rPr>
          <w:i/>
        </w:rPr>
        <w:t xml:space="preserve">nd of </w:t>
      </w:r>
      <w:r w:rsidR="00034325">
        <w:rPr>
          <w:i/>
        </w:rPr>
        <w:t>c</w:t>
      </w:r>
      <w:r w:rsidRPr="00114A41">
        <w:rPr>
          <w:i/>
        </w:rPr>
        <w:t xml:space="preserve">ar </w:t>
      </w:r>
      <w:r w:rsidR="00034325">
        <w:rPr>
          <w:i/>
        </w:rPr>
        <w:t>d</w:t>
      </w:r>
      <w:r w:rsidRPr="00114A41">
        <w:rPr>
          <w:i/>
        </w:rPr>
        <w:t xml:space="preserve">ealerships as </w:t>
      </w:r>
      <w:r w:rsidR="00034325">
        <w:rPr>
          <w:i/>
        </w:rPr>
        <w:t>w</w:t>
      </w:r>
      <w:r w:rsidRPr="00114A41">
        <w:rPr>
          <w:i/>
        </w:rPr>
        <w:t xml:space="preserve">e </w:t>
      </w:r>
      <w:r w:rsidR="00034325">
        <w:rPr>
          <w:i/>
        </w:rPr>
        <w:t>k</w:t>
      </w:r>
      <w:r w:rsidRPr="00114A41">
        <w:rPr>
          <w:i/>
        </w:rPr>
        <w:t xml:space="preserve">now </w:t>
      </w:r>
      <w:r w:rsidR="00034325">
        <w:rPr>
          <w:i/>
        </w:rPr>
        <w:t>t</w:t>
      </w:r>
      <w:r w:rsidRPr="00114A41">
        <w:rPr>
          <w:i/>
        </w:rPr>
        <w:t>hem?</w:t>
      </w:r>
      <w:r>
        <w:t xml:space="preserve">, 2018, </w:t>
      </w:r>
      <w:r w:rsidRPr="000727E1">
        <w:t xml:space="preserve">accessed December 4, 2018 </w:t>
      </w:r>
      <w:r w:rsidRPr="00114A41">
        <w:t>https://assets.kpmg.com/content/dam/kpmg/br/pdf/2018/10/the-end-of-car-dealerships.pdf</w:t>
      </w:r>
      <w:r>
        <w:t>, 9</w:t>
      </w:r>
      <w:r w:rsidRPr="000727E1">
        <w:t xml:space="preserve">. </w:t>
      </w:r>
    </w:p>
  </w:endnote>
  <w:endnote w:id="78">
    <w:p w14:paraId="53605DB9" w14:textId="51E365B4" w:rsidR="00F018F1" w:rsidRPr="000727E1" w:rsidRDefault="00F018F1" w:rsidP="00447AC5">
      <w:pPr>
        <w:pStyle w:val="Footnote"/>
      </w:pPr>
      <w:r w:rsidRPr="000727E1">
        <w:rPr>
          <w:rStyle w:val="EndnoteReference"/>
          <w:szCs w:val="20"/>
        </w:rPr>
        <w:endnoteRef/>
      </w:r>
      <w:r w:rsidRPr="000727E1">
        <w:rPr>
          <w:b/>
          <w:szCs w:val="20"/>
        </w:rPr>
        <w:t xml:space="preserve"> </w:t>
      </w:r>
      <w:r w:rsidRPr="00F90816">
        <w:rPr>
          <w:szCs w:val="20"/>
        </w:rPr>
        <w:t>Jeff Green and Keith Naughton</w:t>
      </w:r>
      <w:r>
        <w:rPr>
          <w:szCs w:val="20"/>
        </w:rPr>
        <w:t>, “</w:t>
      </w:r>
      <w:r w:rsidRPr="000727E1">
        <w:rPr>
          <w:szCs w:val="20"/>
        </w:rPr>
        <w:t>Urbanization, Mobility, Gridlock and Predictions of ‘Peak Car</w:t>
      </w:r>
      <w:r>
        <w:rPr>
          <w:szCs w:val="20"/>
        </w:rPr>
        <w:t>,</w:t>
      </w:r>
      <w:r w:rsidRPr="000727E1">
        <w:rPr>
          <w:szCs w:val="20"/>
        </w:rPr>
        <w:t>’</w:t>
      </w:r>
      <w:r>
        <w:rPr>
          <w:szCs w:val="20"/>
        </w:rPr>
        <w:t>”</w:t>
      </w:r>
      <w:r w:rsidRPr="000727E1">
        <w:rPr>
          <w:szCs w:val="20"/>
        </w:rPr>
        <w:t xml:space="preserve"> </w:t>
      </w:r>
      <w:r w:rsidRPr="000727E1">
        <w:rPr>
          <w:i/>
          <w:szCs w:val="20"/>
        </w:rPr>
        <w:t>Insurance Journal</w:t>
      </w:r>
      <w:r w:rsidRPr="000727E1">
        <w:rPr>
          <w:szCs w:val="20"/>
        </w:rPr>
        <w:t>, February 24</w:t>
      </w:r>
      <w:r>
        <w:rPr>
          <w:szCs w:val="20"/>
        </w:rPr>
        <w:t xml:space="preserve">, 2014, </w:t>
      </w:r>
      <w:r w:rsidRPr="000727E1">
        <w:rPr>
          <w:szCs w:val="20"/>
        </w:rPr>
        <w:t xml:space="preserve">accessed </w:t>
      </w:r>
      <w:r w:rsidRPr="000727E1">
        <w:t xml:space="preserve">May 2, 2018, www.insurancejournal.com/news/national/2014/02/24/321305.htm. </w:t>
      </w:r>
    </w:p>
  </w:endnote>
  <w:endnote w:id="79">
    <w:p w14:paraId="32F85800" w14:textId="711EC26C" w:rsidR="00F018F1" w:rsidRPr="000727E1" w:rsidRDefault="00F018F1" w:rsidP="00447AC5">
      <w:pPr>
        <w:pStyle w:val="Footnote"/>
      </w:pPr>
      <w:r w:rsidRPr="000727E1">
        <w:rPr>
          <w:rStyle w:val="EndnoteReference"/>
        </w:rPr>
        <w:endnoteRef/>
      </w:r>
      <w:r w:rsidRPr="000727E1">
        <w:t xml:space="preserve"> </w:t>
      </w:r>
      <w:r>
        <w:t xml:space="preserve">Thomas </w:t>
      </w:r>
      <w:r w:rsidRPr="000727E1">
        <w:t xml:space="preserve">Ebhardt, </w:t>
      </w:r>
      <w:r>
        <w:t>“</w:t>
      </w:r>
      <w:r w:rsidRPr="000727E1">
        <w:t xml:space="preserve">Fiat Chrysler’s Marchionne: The Future of Cars Will Be Electric and Commoditized,” </w:t>
      </w:r>
      <w:r>
        <w:t xml:space="preserve">Bloomberg, </w:t>
      </w:r>
      <w:r w:rsidRPr="000727E1">
        <w:t>January 15</w:t>
      </w:r>
      <w:r>
        <w:t>, 2018,</w:t>
      </w:r>
      <w:r w:rsidRPr="000727E1">
        <w:t xml:space="preserve"> accessed January 15, 2018, www.bloomberg.com/news/features/2018-01-15/fiat-chrysler-s-marchionne-the-future-of-cars-will-be-electric-and-commoditized. </w:t>
      </w:r>
    </w:p>
  </w:endnote>
  <w:endnote w:id="80">
    <w:p w14:paraId="7C54D103" w14:textId="530993BF" w:rsidR="00F018F1" w:rsidRPr="000727E1" w:rsidRDefault="00F018F1" w:rsidP="00447AC5">
      <w:pPr>
        <w:pStyle w:val="Footnote"/>
      </w:pPr>
      <w:r w:rsidRPr="000727E1">
        <w:rPr>
          <w:rStyle w:val="EndnoteReference"/>
        </w:rPr>
        <w:endnoteRef/>
      </w:r>
      <w:r w:rsidRPr="000727E1">
        <w:t xml:space="preserve"> ATKearney, op. cit., 14</w:t>
      </w:r>
      <w:r>
        <w:t>.</w:t>
      </w:r>
    </w:p>
  </w:endnote>
  <w:endnote w:id="81">
    <w:p w14:paraId="5CE35833" w14:textId="14D6E3D6" w:rsidR="00F018F1" w:rsidRPr="000727E1" w:rsidRDefault="00F018F1" w:rsidP="00447AC5">
      <w:pPr>
        <w:pStyle w:val="Footnote"/>
      </w:pPr>
      <w:r w:rsidRPr="000727E1">
        <w:rPr>
          <w:rStyle w:val="EndnoteReference"/>
        </w:rPr>
        <w:endnoteRef/>
      </w:r>
      <w:r w:rsidRPr="000727E1">
        <w:t xml:space="preserve"> </w:t>
      </w:r>
      <w:r w:rsidRPr="005A32A8">
        <w:t>Barclays Global Automotive Conferenc</w:t>
      </w:r>
      <w:r>
        <w:t>e</w:t>
      </w:r>
      <w:r w:rsidRPr="000727E1">
        <w:t>,</w:t>
      </w:r>
      <w:bookmarkStart w:id="1" w:name="_GoBack"/>
      <w:bookmarkEnd w:id="1"/>
      <w:r w:rsidRPr="000727E1">
        <w:t xml:space="preserve"> op. cit., 9–17</w:t>
      </w:r>
      <w:r>
        <w:t>.</w:t>
      </w:r>
    </w:p>
  </w:endnote>
  <w:endnote w:id="82">
    <w:p w14:paraId="18BB7CF6" w14:textId="1078A91D" w:rsidR="00F018F1" w:rsidRPr="000727E1" w:rsidRDefault="00F018F1" w:rsidP="00447AC5">
      <w:pPr>
        <w:pStyle w:val="Footnote"/>
      </w:pPr>
      <w:r w:rsidRPr="000727E1">
        <w:rPr>
          <w:rStyle w:val="EndnoteReference"/>
        </w:rPr>
        <w:endnoteRef/>
      </w:r>
      <w:r w:rsidRPr="000727E1">
        <w:t xml:space="preserve"> Ibid, 5</w:t>
      </w:r>
      <w:r>
        <w:t>.</w:t>
      </w:r>
    </w:p>
  </w:endnote>
  <w:endnote w:id="83">
    <w:p w14:paraId="6BB5BA70" w14:textId="452924F9" w:rsidR="00F018F1" w:rsidRPr="000727E1" w:rsidRDefault="00F018F1" w:rsidP="00E70A21">
      <w:pPr>
        <w:pStyle w:val="Footnote"/>
      </w:pPr>
      <w:r w:rsidRPr="000727E1">
        <w:rPr>
          <w:rStyle w:val="EndnoteReference"/>
        </w:rPr>
        <w:endnoteRef/>
      </w:r>
      <w:r>
        <w:t> </w:t>
      </w:r>
      <w:r w:rsidRPr="00E70A21">
        <w:rPr>
          <w:lang w:val="en-CA" w:eastAsia="en-CA"/>
        </w:rPr>
        <w:t>“</w:t>
      </w:r>
      <w:r w:rsidRPr="000727E1">
        <w:t>General Motors Profitability Comparisons,”</w:t>
      </w:r>
      <w:r>
        <w:t xml:space="preserve"> </w:t>
      </w:r>
      <w:r w:rsidRPr="00E70A21">
        <w:rPr>
          <w:lang w:val="en-CA" w:eastAsia="en-CA"/>
        </w:rPr>
        <w:t>CSIMarket.com Company,</w:t>
      </w:r>
      <w:r w:rsidRPr="000727E1">
        <w:t xml:space="preserve"> accessed March 27, 2018, https://csimarket.com/stocks/Profitability.php?code=GM. </w:t>
      </w:r>
    </w:p>
  </w:endnote>
  <w:endnote w:id="84">
    <w:p w14:paraId="35BE490F" w14:textId="710B9956" w:rsidR="00F018F1" w:rsidRPr="000727E1" w:rsidRDefault="00F018F1" w:rsidP="00E70A21">
      <w:pPr>
        <w:pStyle w:val="Footnote"/>
      </w:pPr>
      <w:r w:rsidRPr="000727E1">
        <w:rPr>
          <w:rStyle w:val="EndnoteReference"/>
        </w:rPr>
        <w:endnoteRef/>
      </w:r>
      <w:r w:rsidRPr="000727E1">
        <w:t xml:space="preserve"> Brendan O’Brien, op. cit</w:t>
      </w:r>
      <w: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KaiTi_GB2312">
    <w:altName w:val="Malgun Gothic Semilight"/>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A32DD5" w14:textId="77777777" w:rsidR="00184A56" w:rsidRDefault="00184A56" w:rsidP="00D75295">
      <w:r>
        <w:separator/>
      </w:r>
    </w:p>
  </w:footnote>
  <w:footnote w:type="continuationSeparator" w:id="0">
    <w:p w14:paraId="37311298" w14:textId="77777777" w:rsidR="00184A56" w:rsidRDefault="00184A56"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A67142" w14:textId="0CD4499F" w:rsidR="00F018F1" w:rsidRPr="00C92CC4" w:rsidRDefault="00F018F1"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E70A21">
      <w:rPr>
        <w:rFonts w:ascii="Arial" w:hAnsi="Arial"/>
        <w:b/>
        <w:noProof/>
      </w:rPr>
      <w:t>16</w:t>
    </w:r>
    <w:r>
      <w:rPr>
        <w:rFonts w:ascii="Arial" w:hAnsi="Arial"/>
        <w:b/>
      </w:rPr>
      <w:fldChar w:fldCharType="end"/>
    </w:r>
    <w:r w:rsidR="002B3880">
      <w:rPr>
        <w:rFonts w:ascii="Arial" w:hAnsi="Arial"/>
        <w:b/>
      </w:rPr>
      <w:tab/>
      <w:t>9B19M049</w:t>
    </w:r>
  </w:p>
  <w:p w14:paraId="2B53C0A0" w14:textId="77777777" w:rsidR="00F018F1" w:rsidRDefault="00F018F1" w:rsidP="00D13667">
    <w:pPr>
      <w:pStyle w:val="Header"/>
      <w:tabs>
        <w:tab w:val="clear" w:pos="4680"/>
      </w:tabs>
      <w:rPr>
        <w:sz w:val="18"/>
        <w:szCs w:val="18"/>
      </w:rPr>
    </w:pPr>
  </w:p>
  <w:p w14:paraId="47119730" w14:textId="77777777" w:rsidR="00F018F1" w:rsidRPr="00C92CC4" w:rsidRDefault="00F018F1"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F7E62A3"/>
    <w:multiLevelType w:val="hybridMultilevel"/>
    <w:tmpl w:val="876E16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5F26489"/>
    <w:multiLevelType w:val="hybridMultilevel"/>
    <w:tmpl w:val="370E66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D67DB7"/>
    <w:multiLevelType w:val="hybridMultilevel"/>
    <w:tmpl w:val="FCE21AF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7DDF3A84"/>
    <w:multiLevelType w:val="hybridMultilevel"/>
    <w:tmpl w:val="136C7A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6"/>
  </w:num>
  <w:num w:numId="3">
    <w:abstractNumId w:val="4"/>
  </w:num>
  <w:num w:numId="4">
    <w:abstractNumId w:val="11"/>
  </w:num>
  <w:num w:numId="5">
    <w:abstractNumId w:val="5"/>
  </w:num>
  <w:num w:numId="6">
    <w:abstractNumId w:val="9"/>
  </w:num>
  <w:num w:numId="7">
    <w:abstractNumId w:val="0"/>
  </w:num>
  <w:num w:numId="8">
    <w:abstractNumId w:val="13"/>
  </w:num>
  <w:num w:numId="9">
    <w:abstractNumId w:val="10"/>
  </w:num>
  <w:num w:numId="10">
    <w:abstractNumId w:val="3"/>
  </w:num>
  <w:num w:numId="11">
    <w:abstractNumId w:val="7"/>
  </w:num>
  <w:num w:numId="12">
    <w:abstractNumId w:val="8"/>
  </w:num>
  <w:num w:numId="13">
    <w:abstractNumId w:val="14"/>
  </w:num>
  <w:num w:numId="14">
    <w:abstractNumId w:val="15"/>
  </w:num>
  <w:num w:numId="15">
    <w:abstractNumId w:val="1"/>
  </w:num>
  <w:num w:numId="1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70BB"/>
    <w:rsid w:val="00013360"/>
    <w:rsid w:val="00016759"/>
    <w:rsid w:val="000178E6"/>
    <w:rsid w:val="000216CE"/>
    <w:rsid w:val="00024ED4"/>
    <w:rsid w:val="00025DC7"/>
    <w:rsid w:val="00030C20"/>
    <w:rsid w:val="00034325"/>
    <w:rsid w:val="00035F09"/>
    <w:rsid w:val="000360DD"/>
    <w:rsid w:val="000374DC"/>
    <w:rsid w:val="00041EAD"/>
    <w:rsid w:val="00044ECC"/>
    <w:rsid w:val="000531D3"/>
    <w:rsid w:val="0005646B"/>
    <w:rsid w:val="000615D1"/>
    <w:rsid w:val="00072234"/>
    <w:rsid w:val="000727E1"/>
    <w:rsid w:val="0008102D"/>
    <w:rsid w:val="00086B26"/>
    <w:rsid w:val="00092B90"/>
    <w:rsid w:val="00094C0E"/>
    <w:rsid w:val="000A146D"/>
    <w:rsid w:val="000B1214"/>
    <w:rsid w:val="000B6A96"/>
    <w:rsid w:val="000B7774"/>
    <w:rsid w:val="000D2A2F"/>
    <w:rsid w:val="000D7091"/>
    <w:rsid w:val="000F0C22"/>
    <w:rsid w:val="000F6B09"/>
    <w:rsid w:val="000F6FDC"/>
    <w:rsid w:val="00104567"/>
    <w:rsid w:val="00104916"/>
    <w:rsid w:val="00104AA7"/>
    <w:rsid w:val="00114A41"/>
    <w:rsid w:val="00117B73"/>
    <w:rsid w:val="0012732D"/>
    <w:rsid w:val="00143F25"/>
    <w:rsid w:val="00152682"/>
    <w:rsid w:val="00152AE1"/>
    <w:rsid w:val="00154FC9"/>
    <w:rsid w:val="00156FAE"/>
    <w:rsid w:val="00172ED1"/>
    <w:rsid w:val="00184A56"/>
    <w:rsid w:val="001901C0"/>
    <w:rsid w:val="0019241A"/>
    <w:rsid w:val="00192796"/>
    <w:rsid w:val="00192A18"/>
    <w:rsid w:val="001A22D1"/>
    <w:rsid w:val="001A752D"/>
    <w:rsid w:val="001A757E"/>
    <w:rsid w:val="001B05AE"/>
    <w:rsid w:val="001B5032"/>
    <w:rsid w:val="001B7B11"/>
    <w:rsid w:val="001C7777"/>
    <w:rsid w:val="001D344B"/>
    <w:rsid w:val="001E364F"/>
    <w:rsid w:val="001F2D68"/>
    <w:rsid w:val="001F4222"/>
    <w:rsid w:val="00200D41"/>
    <w:rsid w:val="00203AA1"/>
    <w:rsid w:val="00203FD0"/>
    <w:rsid w:val="00213E98"/>
    <w:rsid w:val="00230150"/>
    <w:rsid w:val="0023081A"/>
    <w:rsid w:val="00233111"/>
    <w:rsid w:val="00240246"/>
    <w:rsid w:val="002429BA"/>
    <w:rsid w:val="00250A49"/>
    <w:rsid w:val="00265FA8"/>
    <w:rsid w:val="002A127C"/>
    <w:rsid w:val="002B3880"/>
    <w:rsid w:val="002B40FF"/>
    <w:rsid w:val="002B4193"/>
    <w:rsid w:val="002B78E8"/>
    <w:rsid w:val="002C4E29"/>
    <w:rsid w:val="002E33DE"/>
    <w:rsid w:val="002F2E0C"/>
    <w:rsid w:val="002F460C"/>
    <w:rsid w:val="002F48D6"/>
    <w:rsid w:val="00317391"/>
    <w:rsid w:val="00326216"/>
    <w:rsid w:val="00336580"/>
    <w:rsid w:val="0034107C"/>
    <w:rsid w:val="00344194"/>
    <w:rsid w:val="003530FE"/>
    <w:rsid w:val="00354899"/>
    <w:rsid w:val="00355FD6"/>
    <w:rsid w:val="00362F1B"/>
    <w:rsid w:val="00364A5C"/>
    <w:rsid w:val="00373FB1"/>
    <w:rsid w:val="00376FC7"/>
    <w:rsid w:val="00382558"/>
    <w:rsid w:val="00396C76"/>
    <w:rsid w:val="003A20B7"/>
    <w:rsid w:val="003B30D8"/>
    <w:rsid w:val="003B7EF2"/>
    <w:rsid w:val="003C3FA4"/>
    <w:rsid w:val="003C47F0"/>
    <w:rsid w:val="003D0BA1"/>
    <w:rsid w:val="003F2B0C"/>
    <w:rsid w:val="00407DFA"/>
    <w:rsid w:val="004105B2"/>
    <w:rsid w:val="0041145A"/>
    <w:rsid w:val="00412900"/>
    <w:rsid w:val="00417528"/>
    <w:rsid w:val="004221E4"/>
    <w:rsid w:val="004273F8"/>
    <w:rsid w:val="00427FDC"/>
    <w:rsid w:val="004355A3"/>
    <w:rsid w:val="00446546"/>
    <w:rsid w:val="00447284"/>
    <w:rsid w:val="00447AC5"/>
    <w:rsid w:val="00450A4D"/>
    <w:rsid w:val="00452769"/>
    <w:rsid w:val="00454FA7"/>
    <w:rsid w:val="00465348"/>
    <w:rsid w:val="0048086C"/>
    <w:rsid w:val="00493845"/>
    <w:rsid w:val="004979A5"/>
    <w:rsid w:val="004A25E0"/>
    <w:rsid w:val="004B1CCB"/>
    <w:rsid w:val="004B632F"/>
    <w:rsid w:val="004D3FB1"/>
    <w:rsid w:val="004D6F21"/>
    <w:rsid w:val="004D73A5"/>
    <w:rsid w:val="004E50A5"/>
    <w:rsid w:val="004F2D1C"/>
    <w:rsid w:val="0051039E"/>
    <w:rsid w:val="00510E98"/>
    <w:rsid w:val="005160F1"/>
    <w:rsid w:val="005203B8"/>
    <w:rsid w:val="00524F2F"/>
    <w:rsid w:val="005260F0"/>
    <w:rsid w:val="00527E5C"/>
    <w:rsid w:val="00532CF5"/>
    <w:rsid w:val="005364B0"/>
    <w:rsid w:val="005528CB"/>
    <w:rsid w:val="00556AAB"/>
    <w:rsid w:val="00566771"/>
    <w:rsid w:val="00566F55"/>
    <w:rsid w:val="00581E2E"/>
    <w:rsid w:val="00584F15"/>
    <w:rsid w:val="00590861"/>
    <w:rsid w:val="0059514B"/>
    <w:rsid w:val="00597F3D"/>
    <w:rsid w:val="005A1B0F"/>
    <w:rsid w:val="005B4CE6"/>
    <w:rsid w:val="005B5EFE"/>
    <w:rsid w:val="005E2A11"/>
    <w:rsid w:val="006111AD"/>
    <w:rsid w:val="006163F7"/>
    <w:rsid w:val="006220EF"/>
    <w:rsid w:val="006221D6"/>
    <w:rsid w:val="00627C63"/>
    <w:rsid w:val="0063254C"/>
    <w:rsid w:val="0063350B"/>
    <w:rsid w:val="006425FD"/>
    <w:rsid w:val="00646A1E"/>
    <w:rsid w:val="00652606"/>
    <w:rsid w:val="006946EE"/>
    <w:rsid w:val="006A58A9"/>
    <w:rsid w:val="006A606D"/>
    <w:rsid w:val="006C0371"/>
    <w:rsid w:val="006C08B6"/>
    <w:rsid w:val="006C0B1A"/>
    <w:rsid w:val="006C6065"/>
    <w:rsid w:val="006C7F9F"/>
    <w:rsid w:val="006D2A01"/>
    <w:rsid w:val="006E2F6D"/>
    <w:rsid w:val="006E2FE3"/>
    <w:rsid w:val="006E58F6"/>
    <w:rsid w:val="006E77E1"/>
    <w:rsid w:val="006F131D"/>
    <w:rsid w:val="00711642"/>
    <w:rsid w:val="007131F9"/>
    <w:rsid w:val="007224AC"/>
    <w:rsid w:val="0073453C"/>
    <w:rsid w:val="007432A9"/>
    <w:rsid w:val="00746C2B"/>
    <w:rsid w:val="007507C6"/>
    <w:rsid w:val="00751E0B"/>
    <w:rsid w:val="00752BCD"/>
    <w:rsid w:val="00766DA1"/>
    <w:rsid w:val="00774C16"/>
    <w:rsid w:val="00780D94"/>
    <w:rsid w:val="007866A6"/>
    <w:rsid w:val="007A130D"/>
    <w:rsid w:val="007D1A2D"/>
    <w:rsid w:val="007D32E6"/>
    <w:rsid w:val="007D3B30"/>
    <w:rsid w:val="007D4102"/>
    <w:rsid w:val="007E54A7"/>
    <w:rsid w:val="007E59BC"/>
    <w:rsid w:val="007F43B7"/>
    <w:rsid w:val="00810AE1"/>
    <w:rsid w:val="00820801"/>
    <w:rsid w:val="00821FFC"/>
    <w:rsid w:val="008271CA"/>
    <w:rsid w:val="008371CD"/>
    <w:rsid w:val="008467D5"/>
    <w:rsid w:val="0089148B"/>
    <w:rsid w:val="008A4DC4"/>
    <w:rsid w:val="008B438C"/>
    <w:rsid w:val="008B4F31"/>
    <w:rsid w:val="008C5A74"/>
    <w:rsid w:val="008D06CA"/>
    <w:rsid w:val="008D3A46"/>
    <w:rsid w:val="008D6EF1"/>
    <w:rsid w:val="008E4396"/>
    <w:rsid w:val="008F2385"/>
    <w:rsid w:val="00904E29"/>
    <w:rsid w:val="00905C5A"/>
    <w:rsid w:val="009067A4"/>
    <w:rsid w:val="00930885"/>
    <w:rsid w:val="00933D68"/>
    <w:rsid w:val="009340DB"/>
    <w:rsid w:val="0094618C"/>
    <w:rsid w:val="0095684B"/>
    <w:rsid w:val="00964FD5"/>
    <w:rsid w:val="00972498"/>
    <w:rsid w:val="0097481F"/>
    <w:rsid w:val="00974CC6"/>
    <w:rsid w:val="0097590C"/>
    <w:rsid w:val="00976AD4"/>
    <w:rsid w:val="00995547"/>
    <w:rsid w:val="009A312F"/>
    <w:rsid w:val="009A5348"/>
    <w:rsid w:val="009B0AB7"/>
    <w:rsid w:val="009C1B0C"/>
    <w:rsid w:val="009C76D5"/>
    <w:rsid w:val="009D153A"/>
    <w:rsid w:val="009D5222"/>
    <w:rsid w:val="009E20A1"/>
    <w:rsid w:val="009E558C"/>
    <w:rsid w:val="009F7AA4"/>
    <w:rsid w:val="00A10AD7"/>
    <w:rsid w:val="00A223ED"/>
    <w:rsid w:val="00A323B0"/>
    <w:rsid w:val="00A43004"/>
    <w:rsid w:val="00A43592"/>
    <w:rsid w:val="00A5235F"/>
    <w:rsid w:val="00A559DB"/>
    <w:rsid w:val="00A569EA"/>
    <w:rsid w:val="00A60BD4"/>
    <w:rsid w:val="00A676A0"/>
    <w:rsid w:val="00A71045"/>
    <w:rsid w:val="00A7230F"/>
    <w:rsid w:val="00AA4A84"/>
    <w:rsid w:val="00AC2AED"/>
    <w:rsid w:val="00AD2A9B"/>
    <w:rsid w:val="00AE24C0"/>
    <w:rsid w:val="00AF35FC"/>
    <w:rsid w:val="00AF5556"/>
    <w:rsid w:val="00B03639"/>
    <w:rsid w:val="00B0610E"/>
    <w:rsid w:val="00B0652A"/>
    <w:rsid w:val="00B203B1"/>
    <w:rsid w:val="00B40937"/>
    <w:rsid w:val="00B423EF"/>
    <w:rsid w:val="00B453DE"/>
    <w:rsid w:val="00B62497"/>
    <w:rsid w:val="00B72597"/>
    <w:rsid w:val="00B879D5"/>
    <w:rsid w:val="00B87DC0"/>
    <w:rsid w:val="00B901F9"/>
    <w:rsid w:val="00B95188"/>
    <w:rsid w:val="00BA57E7"/>
    <w:rsid w:val="00BC4D98"/>
    <w:rsid w:val="00BC4EDA"/>
    <w:rsid w:val="00BD547A"/>
    <w:rsid w:val="00BD6EFB"/>
    <w:rsid w:val="00BE3DF5"/>
    <w:rsid w:val="00BF5EAB"/>
    <w:rsid w:val="00BF607D"/>
    <w:rsid w:val="00C02410"/>
    <w:rsid w:val="00C1584D"/>
    <w:rsid w:val="00C15BE2"/>
    <w:rsid w:val="00C3447F"/>
    <w:rsid w:val="00C44714"/>
    <w:rsid w:val="00C56313"/>
    <w:rsid w:val="00C65C5B"/>
    <w:rsid w:val="00C67102"/>
    <w:rsid w:val="00C75C36"/>
    <w:rsid w:val="00C81491"/>
    <w:rsid w:val="00C81676"/>
    <w:rsid w:val="00C85C5D"/>
    <w:rsid w:val="00C92CC4"/>
    <w:rsid w:val="00CA0AFB"/>
    <w:rsid w:val="00CA2CE1"/>
    <w:rsid w:val="00CA3649"/>
    <w:rsid w:val="00CA3976"/>
    <w:rsid w:val="00CA47C0"/>
    <w:rsid w:val="00CA50E3"/>
    <w:rsid w:val="00CA6FD4"/>
    <w:rsid w:val="00CA757B"/>
    <w:rsid w:val="00CB1FFD"/>
    <w:rsid w:val="00CB7426"/>
    <w:rsid w:val="00CC1787"/>
    <w:rsid w:val="00CC182C"/>
    <w:rsid w:val="00CD0824"/>
    <w:rsid w:val="00CD2375"/>
    <w:rsid w:val="00CD2908"/>
    <w:rsid w:val="00CE0483"/>
    <w:rsid w:val="00CE048C"/>
    <w:rsid w:val="00CF5081"/>
    <w:rsid w:val="00D013DB"/>
    <w:rsid w:val="00D03A82"/>
    <w:rsid w:val="00D13667"/>
    <w:rsid w:val="00D15344"/>
    <w:rsid w:val="00D23F57"/>
    <w:rsid w:val="00D31BEC"/>
    <w:rsid w:val="00D342E1"/>
    <w:rsid w:val="00D54F68"/>
    <w:rsid w:val="00D57D45"/>
    <w:rsid w:val="00D63150"/>
    <w:rsid w:val="00D636BA"/>
    <w:rsid w:val="00D6488F"/>
    <w:rsid w:val="00D64A32"/>
    <w:rsid w:val="00D64EFC"/>
    <w:rsid w:val="00D751FB"/>
    <w:rsid w:val="00D75295"/>
    <w:rsid w:val="00D76CE9"/>
    <w:rsid w:val="00D876E2"/>
    <w:rsid w:val="00D93081"/>
    <w:rsid w:val="00D97F12"/>
    <w:rsid w:val="00DA6095"/>
    <w:rsid w:val="00DB42E7"/>
    <w:rsid w:val="00DB4C65"/>
    <w:rsid w:val="00DC0094"/>
    <w:rsid w:val="00DC09D8"/>
    <w:rsid w:val="00DE01A6"/>
    <w:rsid w:val="00DE7A98"/>
    <w:rsid w:val="00DF32C2"/>
    <w:rsid w:val="00E0095A"/>
    <w:rsid w:val="00E144EA"/>
    <w:rsid w:val="00E471A7"/>
    <w:rsid w:val="00E635CF"/>
    <w:rsid w:val="00E70A21"/>
    <w:rsid w:val="00E77545"/>
    <w:rsid w:val="00E831B1"/>
    <w:rsid w:val="00E86537"/>
    <w:rsid w:val="00EB1E3B"/>
    <w:rsid w:val="00EC0B72"/>
    <w:rsid w:val="00EC6E0A"/>
    <w:rsid w:val="00ED4E18"/>
    <w:rsid w:val="00ED7922"/>
    <w:rsid w:val="00EE02C4"/>
    <w:rsid w:val="00EE1F37"/>
    <w:rsid w:val="00EE2514"/>
    <w:rsid w:val="00EE483B"/>
    <w:rsid w:val="00EF2BE2"/>
    <w:rsid w:val="00EF37BA"/>
    <w:rsid w:val="00F0159C"/>
    <w:rsid w:val="00F018F1"/>
    <w:rsid w:val="00F02DD9"/>
    <w:rsid w:val="00F105B7"/>
    <w:rsid w:val="00F13220"/>
    <w:rsid w:val="00F17A21"/>
    <w:rsid w:val="00F25CBC"/>
    <w:rsid w:val="00F36FC2"/>
    <w:rsid w:val="00F37B27"/>
    <w:rsid w:val="00F46556"/>
    <w:rsid w:val="00F50E91"/>
    <w:rsid w:val="00F56799"/>
    <w:rsid w:val="00F57D29"/>
    <w:rsid w:val="00F60786"/>
    <w:rsid w:val="00F90816"/>
    <w:rsid w:val="00F91BC7"/>
    <w:rsid w:val="00F96201"/>
    <w:rsid w:val="00FA1BBC"/>
    <w:rsid w:val="00FB498C"/>
    <w:rsid w:val="00FC1AD7"/>
    <w:rsid w:val="00FC3106"/>
    <w:rsid w:val="00FD0B18"/>
    <w:rsid w:val="00FD2FAD"/>
    <w:rsid w:val="00FE714F"/>
    <w:rsid w:val="00FF13C5"/>
    <w:rsid w:val="00FF6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9AA937"/>
  <w15:docId w15:val="{1F569FAF-7644-4B0B-9E7A-7F30D3156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iPriority w:val="99"/>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uiPriority w:val="99"/>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numbering" w:customStyle="1" w:styleId="NoList1">
    <w:name w:val="No List1"/>
    <w:next w:val="NoList"/>
    <w:uiPriority w:val="99"/>
    <w:semiHidden/>
    <w:unhideWhenUsed/>
    <w:rsid w:val="00D751FB"/>
  </w:style>
  <w:style w:type="character" w:customStyle="1" w:styleId="UnresolvedMention1">
    <w:name w:val="Unresolved Mention1"/>
    <w:basedOn w:val="DefaultParagraphFont"/>
    <w:uiPriority w:val="99"/>
    <w:rsid w:val="00D751FB"/>
    <w:rPr>
      <w:color w:val="808080"/>
      <w:shd w:val="clear" w:color="auto" w:fill="E6E6E6"/>
    </w:rPr>
  </w:style>
  <w:style w:type="character" w:customStyle="1" w:styleId="italic">
    <w:name w:val="italic"/>
    <w:basedOn w:val="DefaultParagraphFont"/>
    <w:rsid w:val="00D751FB"/>
  </w:style>
  <w:style w:type="character" w:customStyle="1" w:styleId="UnresolvedMention2">
    <w:name w:val="Unresolved Mention2"/>
    <w:basedOn w:val="DefaultParagraphFont"/>
    <w:uiPriority w:val="99"/>
    <w:semiHidden/>
    <w:unhideWhenUsed/>
    <w:rsid w:val="00D751FB"/>
    <w:rPr>
      <w:color w:val="605E5C"/>
      <w:shd w:val="clear" w:color="auto" w:fill="E1DFDD"/>
    </w:rPr>
  </w:style>
  <w:style w:type="character" w:customStyle="1" w:styleId="UnresolvedMention3">
    <w:name w:val="Unresolved Mention3"/>
    <w:basedOn w:val="DefaultParagraphFont"/>
    <w:uiPriority w:val="99"/>
    <w:semiHidden/>
    <w:unhideWhenUsed/>
    <w:rsid w:val="000360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F49E8-61EB-4F40-BD97-EC703B54E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16</Pages>
  <Words>6037</Words>
  <Characters>34415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40372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Martinali, Sara</cp:lastModifiedBy>
  <cp:revision>3</cp:revision>
  <cp:lastPrinted>2015-03-04T20:34:00Z</cp:lastPrinted>
  <dcterms:created xsi:type="dcterms:W3CDTF">2019-06-05T16:41:00Z</dcterms:created>
  <dcterms:modified xsi:type="dcterms:W3CDTF">2019-06-07T11:36:00Z</dcterms:modified>
</cp:coreProperties>
</file>