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7F25B2" w:rsidRPr="007F25B2" w14:paraId="759DB238" w14:textId="77777777" w:rsidTr="009568A1">
        <w:tc>
          <w:tcPr>
            <w:tcW w:w="4788" w:type="dxa"/>
          </w:tcPr>
          <w:p w14:paraId="29C43C62" w14:textId="77777777" w:rsidR="007F25B2" w:rsidRPr="007F25B2" w:rsidRDefault="007F25B2" w:rsidP="007F25B2">
            <w:pPr>
              <w:tabs>
                <w:tab w:val="left" w:pos="-1440"/>
                <w:tab w:val="left" w:pos="-720"/>
                <w:tab w:val="left" w:pos="1"/>
              </w:tabs>
              <w:jc w:val="both"/>
              <w:rPr>
                <w:rFonts w:ascii="Arial" w:hAnsi="Arial"/>
                <w:b/>
                <w:sz w:val="24"/>
              </w:rPr>
            </w:pPr>
            <w:r w:rsidRPr="007F25B2">
              <w:rPr>
                <w:rFonts w:ascii="Arial" w:hAnsi="Arial"/>
                <w:b/>
                <w:noProof/>
                <w:sz w:val="24"/>
              </w:rPr>
              <w:drawing>
                <wp:inline distT="0" distB="0" distL="0" distR="0" wp14:anchorId="2DE1CB52" wp14:editId="4A41DC7C">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84D3957" w14:textId="77777777" w:rsidR="007F25B2" w:rsidRPr="007F25B2" w:rsidRDefault="007F25B2" w:rsidP="007F25B2">
            <w:pPr>
              <w:tabs>
                <w:tab w:val="left" w:pos="-1440"/>
                <w:tab w:val="left" w:pos="-720"/>
                <w:tab w:val="left" w:pos="1"/>
              </w:tabs>
              <w:jc w:val="both"/>
              <w:rPr>
                <w:rFonts w:ascii="Arial" w:hAnsi="Arial"/>
                <w:b/>
                <w:sz w:val="24"/>
              </w:rPr>
            </w:pPr>
            <w:r w:rsidRPr="007F25B2">
              <w:rPr>
                <w:rFonts w:ascii="Arial" w:hAnsi="Arial"/>
                <w:b/>
                <w:noProof/>
                <w:sz w:val="24"/>
              </w:rPr>
              <w:drawing>
                <wp:anchor distT="0" distB="0" distL="114300" distR="114300" simplePos="0" relativeHeight="251659264" behindDoc="1" locked="0" layoutInCell="1" allowOverlap="1" wp14:anchorId="5BB456C3" wp14:editId="30716F40">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DCAF299" w14:textId="77777777" w:rsidR="007F25B2" w:rsidRPr="007F25B2" w:rsidRDefault="007F25B2" w:rsidP="007F25B2">
      <w:pPr>
        <w:pBdr>
          <w:bottom w:val="single" w:sz="18" w:space="1" w:color="auto"/>
        </w:pBdr>
        <w:tabs>
          <w:tab w:val="left" w:pos="-1440"/>
          <w:tab w:val="left" w:pos="-720"/>
          <w:tab w:val="left" w:pos="1"/>
        </w:tabs>
        <w:jc w:val="both"/>
        <w:rPr>
          <w:rFonts w:ascii="Arial" w:hAnsi="Arial"/>
          <w:b/>
          <w:sz w:val="2"/>
          <w:szCs w:val="2"/>
          <w:lang w:val="en-CA"/>
        </w:rPr>
      </w:pPr>
    </w:p>
    <w:p w14:paraId="2DC9B2EC" w14:textId="0A5E11B5" w:rsidR="007F25B2" w:rsidRPr="007F25B2" w:rsidRDefault="00615224" w:rsidP="007F25B2">
      <w:pPr>
        <w:jc w:val="right"/>
        <w:rPr>
          <w:rFonts w:ascii="Arial" w:hAnsi="Arial"/>
          <w:b/>
          <w:caps/>
          <w:sz w:val="24"/>
          <w:lang w:val="en-CA"/>
        </w:rPr>
      </w:pPr>
      <w:r>
        <w:rPr>
          <w:rFonts w:ascii="Arial" w:hAnsi="Arial"/>
          <w:b/>
          <w:caps/>
          <w:sz w:val="24"/>
          <w:lang w:val="en-CA"/>
        </w:rPr>
        <w:t>9B19M053</w:t>
      </w:r>
    </w:p>
    <w:p w14:paraId="4E057522" w14:textId="77777777" w:rsidR="00D75295" w:rsidRPr="00DA0C94" w:rsidRDefault="00D75295" w:rsidP="00D75295">
      <w:pPr>
        <w:jc w:val="right"/>
        <w:rPr>
          <w:rFonts w:ascii="Arial" w:hAnsi="Arial"/>
          <w:b/>
          <w:sz w:val="28"/>
          <w:szCs w:val="28"/>
          <w:lang w:val="en-GB"/>
        </w:rPr>
      </w:pPr>
    </w:p>
    <w:p w14:paraId="426B7211" w14:textId="77777777" w:rsidR="00013360" w:rsidRPr="00DA0C94" w:rsidRDefault="00013360" w:rsidP="00D75295">
      <w:pPr>
        <w:jc w:val="right"/>
        <w:rPr>
          <w:rFonts w:ascii="Arial" w:hAnsi="Arial"/>
          <w:b/>
          <w:sz w:val="28"/>
          <w:szCs w:val="28"/>
          <w:lang w:val="en-GB"/>
        </w:rPr>
      </w:pPr>
    </w:p>
    <w:p w14:paraId="2F03D26A" w14:textId="18385B99" w:rsidR="00013360" w:rsidRPr="00DA0C94" w:rsidRDefault="004875E0" w:rsidP="00013360">
      <w:pPr>
        <w:pStyle w:val="CaseTitle"/>
        <w:spacing w:after="0" w:line="240" w:lineRule="auto"/>
        <w:rPr>
          <w:sz w:val="20"/>
          <w:szCs w:val="20"/>
          <w:lang w:val="en-GB"/>
        </w:rPr>
      </w:pPr>
      <w:r>
        <w:rPr>
          <w:lang w:val="en-GB"/>
        </w:rPr>
        <w:t>SINGTEL</w:t>
      </w:r>
      <w:r w:rsidR="00B57B82" w:rsidRPr="00DA0C94">
        <w:rPr>
          <w:lang w:val="en-GB"/>
        </w:rPr>
        <w:t>: PHILANTHROPIC OR STRATEGIC CORPORATE SOCIAL RESPONSIBILITY?</w:t>
      </w:r>
    </w:p>
    <w:p w14:paraId="40ABF6FD" w14:textId="77777777" w:rsidR="00CA3976" w:rsidRPr="00DA0C94" w:rsidRDefault="00CA3976" w:rsidP="00013360">
      <w:pPr>
        <w:pStyle w:val="CaseTitle"/>
        <w:spacing w:after="0" w:line="240" w:lineRule="auto"/>
        <w:rPr>
          <w:sz w:val="20"/>
          <w:szCs w:val="20"/>
          <w:lang w:val="en-GB"/>
        </w:rPr>
      </w:pPr>
    </w:p>
    <w:p w14:paraId="202F1085" w14:textId="77777777" w:rsidR="00013360" w:rsidRPr="00DA0C94" w:rsidRDefault="00013360" w:rsidP="00013360">
      <w:pPr>
        <w:pStyle w:val="CaseTitle"/>
        <w:spacing w:after="0" w:line="240" w:lineRule="auto"/>
        <w:rPr>
          <w:sz w:val="20"/>
          <w:szCs w:val="20"/>
          <w:lang w:val="en-GB"/>
        </w:rPr>
      </w:pPr>
    </w:p>
    <w:p w14:paraId="58B0C73F" w14:textId="0A5F46DE" w:rsidR="00086B26" w:rsidRPr="00DA0C94" w:rsidRDefault="00181A4F" w:rsidP="00086B26">
      <w:pPr>
        <w:pStyle w:val="StyleCopyrightStatementAfter0ptBottomSinglesolidline1"/>
        <w:rPr>
          <w:lang w:val="en-GB"/>
        </w:rPr>
      </w:pPr>
      <w:r w:rsidRPr="00DA0C94">
        <w:rPr>
          <w:rFonts w:cs="Arial"/>
          <w:lang w:val="en-GB"/>
        </w:rPr>
        <w:t xml:space="preserve">Weina Zhang, Ruth S. K. Tan, </w:t>
      </w:r>
      <w:r w:rsidR="009C12C4">
        <w:rPr>
          <w:rFonts w:cs="Arial"/>
          <w:lang w:val="en-GB"/>
        </w:rPr>
        <w:t xml:space="preserve">Shirley </w:t>
      </w:r>
      <w:r w:rsidRPr="00DA0C94">
        <w:rPr>
          <w:rFonts w:cs="Arial"/>
          <w:lang w:val="en-GB"/>
        </w:rPr>
        <w:t xml:space="preserve">Jing Min </w:t>
      </w:r>
      <w:r w:rsidR="009C12C4">
        <w:rPr>
          <w:rFonts w:cs="Arial"/>
          <w:lang w:val="en-GB"/>
        </w:rPr>
        <w:t>Lim</w:t>
      </w:r>
      <w:r w:rsidRPr="00DA0C94">
        <w:rPr>
          <w:rFonts w:cs="Arial"/>
          <w:lang w:val="en-GB"/>
        </w:rPr>
        <w:t xml:space="preserve">, Joan </w:t>
      </w:r>
      <w:proofErr w:type="spellStart"/>
      <w:r w:rsidRPr="00DA0C94">
        <w:rPr>
          <w:rFonts w:cs="Arial"/>
          <w:lang w:val="en-GB"/>
        </w:rPr>
        <w:t>Jia</w:t>
      </w:r>
      <w:proofErr w:type="spellEnd"/>
      <w:r w:rsidRPr="00DA0C94">
        <w:rPr>
          <w:rFonts w:cs="Arial"/>
          <w:lang w:val="en-GB"/>
        </w:rPr>
        <w:t xml:space="preserve"> Xin</w:t>
      </w:r>
      <w:r w:rsidR="009C12C4">
        <w:rPr>
          <w:rFonts w:cs="Arial"/>
          <w:lang w:val="en-GB"/>
        </w:rPr>
        <w:t xml:space="preserve"> </w:t>
      </w:r>
      <w:proofErr w:type="spellStart"/>
      <w:r w:rsidR="009C12C4">
        <w:rPr>
          <w:rFonts w:cs="Arial"/>
          <w:lang w:val="en-GB"/>
        </w:rPr>
        <w:t>Loke</w:t>
      </w:r>
      <w:proofErr w:type="spellEnd"/>
      <w:r w:rsidRPr="00DA0C94">
        <w:rPr>
          <w:rFonts w:cs="Arial"/>
          <w:lang w:val="en-GB"/>
        </w:rPr>
        <w:t>, Wei</w:t>
      </w:r>
      <w:r w:rsidR="009C12C4">
        <w:rPr>
          <w:rFonts w:cs="Arial"/>
          <w:lang w:val="en-GB"/>
        </w:rPr>
        <w:t xml:space="preserve"> Lim</w:t>
      </w:r>
      <w:r w:rsidRPr="00DA0C94">
        <w:rPr>
          <w:rFonts w:cs="Arial"/>
          <w:lang w:val="en-GB"/>
        </w:rPr>
        <w:t>, and Su Yuan</w:t>
      </w:r>
      <w:r w:rsidRPr="00DA0C94">
        <w:rPr>
          <w:lang w:val="en-GB"/>
        </w:rPr>
        <w:t xml:space="preserve"> </w:t>
      </w:r>
      <w:proofErr w:type="spellStart"/>
      <w:r w:rsidR="009C12C4">
        <w:rPr>
          <w:lang w:val="en-GB"/>
        </w:rPr>
        <w:t>Liow</w:t>
      </w:r>
      <w:proofErr w:type="spellEnd"/>
      <w:r w:rsidR="009C12C4">
        <w:rPr>
          <w:lang w:val="en-GB"/>
        </w:rPr>
        <w:t xml:space="preserve"> </w:t>
      </w:r>
      <w:r w:rsidR="00086B26" w:rsidRPr="00DA0C9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A0C94" w:rsidRDefault="00086B26" w:rsidP="00086B26">
      <w:pPr>
        <w:pStyle w:val="StyleCopyrightStatementAfter0ptBottomSinglesolidline1"/>
        <w:rPr>
          <w:lang w:val="en-GB"/>
        </w:rPr>
      </w:pPr>
    </w:p>
    <w:p w14:paraId="211D164F" w14:textId="77777777" w:rsidR="007F25B2" w:rsidRDefault="007F25B2" w:rsidP="007F25B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3ED8F5D" w14:textId="77777777" w:rsidR="007F25B2" w:rsidRDefault="007F25B2" w:rsidP="007F25B2">
      <w:pPr>
        <w:pStyle w:val="StyleCopyrightStatementAfter0ptBottomSinglesolidline1"/>
        <w:pBdr>
          <w:top w:val="none" w:sz="0" w:space="0" w:color="auto"/>
        </w:pBdr>
      </w:pPr>
    </w:p>
    <w:p w14:paraId="3922E14F" w14:textId="28128D5D" w:rsidR="00751E0B" w:rsidRPr="00DA0C94" w:rsidRDefault="007F25B2" w:rsidP="007F25B2">
      <w:pPr>
        <w:pStyle w:val="StyleStyleCopyrightStatementAfter0ptBottomSinglesolid"/>
        <w:rPr>
          <w:rFonts w:cs="Arial"/>
          <w:szCs w:val="16"/>
          <w:lang w:val="en-GB"/>
        </w:rPr>
      </w:pPr>
      <w:r>
        <w:t xml:space="preserve">Copyright © 2019, </w:t>
      </w:r>
      <w:r w:rsidRPr="004415A3">
        <w:rPr>
          <w:lang w:val="en-CA"/>
        </w:rPr>
        <w:t>National University of Singapore and Ivey School of Business Foundation</w:t>
      </w:r>
      <w:r w:rsidRPr="00007B22">
        <w:rPr>
          <w:lang w:val="en-CA"/>
        </w:rPr>
        <w:tab/>
        <w:t xml:space="preserve">Version: </w:t>
      </w:r>
      <w:r>
        <w:rPr>
          <w:lang w:val="en-CA"/>
        </w:rPr>
        <w:t>2019-</w:t>
      </w:r>
      <w:r w:rsidR="00623FCB">
        <w:rPr>
          <w:lang w:val="en-CA"/>
        </w:rPr>
        <w:t>06-18</w:t>
      </w:r>
    </w:p>
    <w:p w14:paraId="0A2A54E4" w14:textId="77777777" w:rsidR="00751E0B" w:rsidRPr="00DA0C94" w:rsidRDefault="00751E0B" w:rsidP="00751E0B">
      <w:pPr>
        <w:pStyle w:val="StyleCopyrightStatementAfter0ptBottomSinglesolidline1"/>
        <w:rPr>
          <w:rFonts w:ascii="Times New Roman" w:hAnsi="Times New Roman"/>
          <w:sz w:val="20"/>
          <w:lang w:val="en-GB"/>
        </w:rPr>
      </w:pPr>
    </w:p>
    <w:p w14:paraId="2C183161" w14:textId="77777777" w:rsidR="00B87DC0" w:rsidRPr="00DA0C94" w:rsidRDefault="00B87DC0" w:rsidP="004B632F">
      <w:pPr>
        <w:pStyle w:val="StyleCopyrightStatementAfter0ptBottomSinglesolidline1"/>
        <w:rPr>
          <w:rFonts w:ascii="Times New Roman" w:hAnsi="Times New Roman"/>
          <w:sz w:val="20"/>
          <w:lang w:val="en-GB"/>
        </w:rPr>
      </w:pPr>
    </w:p>
    <w:p w14:paraId="1D98EE07" w14:textId="0D22D3C9" w:rsidR="00B57B82" w:rsidRPr="00576078" w:rsidRDefault="00B57B82" w:rsidP="00576078">
      <w:pPr>
        <w:pStyle w:val="BodyTextMain"/>
      </w:pPr>
      <w:r w:rsidRPr="00576078">
        <w:t xml:space="preserve">It was early 2014. Andrew </w:t>
      </w:r>
      <w:proofErr w:type="spellStart"/>
      <w:r w:rsidRPr="00576078">
        <w:t>Buay</w:t>
      </w:r>
      <w:proofErr w:type="spellEnd"/>
      <w:r w:rsidRPr="00576078">
        <w:t xml:space="preserve">, the </w:t>
      </w:r>
      <w:r w:rsidR="00E32ABD" w:rsidRPr="00576078">
        <w:t>v</w:t>
      </w:r>
      <w:r w:rsidRPr="00576078">
        <w:t>ice</w:t>
      </w:r>
      <w:r w:rsidR="00E32ABD" w:rsidRPr="00576078">
        <w:t>-p</w:t>
      </w:r>
      <w:r w:rsidRPr="00576078">
        <w:t xml:space="preserve">resident of </w:t>
      </w:r>
      <w:r w:rsidR="004875E0" w:rsidRPr="00576078">
        <w:t>Singapore Telecommunications Limited (SingTel)</w:t>
      </w:r>
      <w:r w:rsidRPr="00576078">
        <w:t xml:space="preserve">’s Group Corporate Social Responsibility (CSR), had just </w:t>
      </w:r>
      <w:r w:rsidR="00556891" w:rsidRPr="00576078">
        <w:t>scrutinized</w:t>
      </w:r>
      <w:r w:rsidRPr="00576078">
        <w:t xml:space="preserve"> the proposal for the company’s CSR transformation. Creating shared value for both society and the company </w:t>
      </w:r>
      <w:r w:rsidR="00E32ABD" w:rsidRPr="00576078">
        <w:t>was</w:t>
      </w:r>
      <w:r w:rsidRPr="00576078">
        <w:t xml:space="preserve"> a delicate balancing act for </w:t>
      </w:r>
      <w:r w:rsidR="00B24B51" w:rsidRPr="00576078">
        <w:t xml:space="preserve">any </w:t>
      </w:r>
      <w:r w:rsidRPr="00576078">
        <w:t xml:space="preserve">company. </w:t>
      </w:r>
      <w:proofErr w:type="spellStart"/>
      <w:r w:rsidRPr="00576078">
        <w:t>Buay</w:t>
      </w:r>
      <w:proofErr w:type="spellEnd"/>
      <w:r w:rsidRPr="00576078">
        <w:t xml:space="preserve"> wanted to reposition </w:t>
      </w:r>
      <w:r w:rsidR="004875E0" w:rsidRPr="00576078">
        <w:t>SingTel</w:t>
      </w:r>
      <w:r w:rsidRPr="00576078">
        <w:t xml:space="preserve">’s CSR approach to create greater social impact while demonstrating greater benefit to the company beyond just branding and reputation. He was convinced that this repositioning would achieve that objective. However, he was mindful that the proposal would require </w:t>
      </w:r>
      <w:r w:rsidR="00E5213E" w:rsidRPr="00576078">
        <w:t xml:space="preserve">greater </w:t>
      </w:r>
      <w:r w:rsidRPr="00576078">
        <w:t xml:space="preserve">investment on the part of the company. It would need to leverage the company’s capabilities and partnerships and </w:t>
      </w:r>
      <w:r w:rsidR="00EC3AB1" w:rsidRPr="00576078">
        <w:t>address</w:t>
      </w:r>
      <w:r w:rsidRPr="00576078">
        <w:t xml:space="preserve"> the possibility of dropping </w:t>
      </w:r>
      <w:r w:rsidR="000D390C" w:rsidRPr="00576078">
        <w:t xml:space="preserve">its </w:t>
      </w:r>
      <w:r w:rsidRPr="00576078">
        <w:t xml:space="preserve">current beneficiaries. </w:t>
      </w:r>
      <w:r w:rsidRPr="00576078">
        <w:rPr>
          <w:highlight w:val="white"/>
        </w:rPr>
        <w:t xml:space="preserve">His team would be briefing the </w:t>
      </w:r>
      <w:r w:rsidR="00E32ABD" w:rsidRPr="00576078">
        <w:rPr>
          <w:highlight w:val="white"/>
        </w:rPr>
        <w:t>b</w:t>
      </w:r>
      <w:r w:rsidRPr="00576078">
        <w:rPr>
          <w:highlight w:val="white"/>
        </w:rPr>
        <w:t xml:space="preserve">oard of </w:t>
      </w:r>
      <w:r w:rsidR="00E32ABD" w:rsidRPr="00576078">
        <w:rPr>
          <w:highlight w:val="white"/>
        </w:rPr>
        <w:t>d</w:t>
      </w:r>
      <w:r w:rsidRPr="00576078">
        <w:rPr>
          <w:highlight w:val="white"/>
        </w:rPr>
        <w:t xml:space="preserve">irectors and senior management on the proposed changes to </w:t>
      </w:r>
      <w:r w:rsidR="00E32ABD" w:rsidRPr="00576078">
        <w:rPr>
          <w:highlight w:val="white"/>
        </w:rPr>
        <w:t xml:space="preserve">gain </w:t>
      </w:r>
      <w:r w:rsidRPr="00576078">
        <w:rPr>
          <w:highlight w:val="white"/>
        </w:rPr>
        <w:t>their buy</w:t>
      </w:r>
      <w:r w:rsidR="00E32ABD" w:rsidRPr="00576078">
        <w:rPr>
          <w:highlight w:val="white"/>
        </w:rPr>
        <w:t>-</w:t>
      </w:r>
      <w:r w:rsidRPr="00576078">
        <w:rPr>
          <w:highlight w:val="white"/>
        </w:rPr>
        <w:t>in.</w:t>
      </w:r>
    </w:p>
    <w:p w14:paraId="0EF056B1" w14:textId="77777777" w:rsidR="00B57B82" w:rsidRPr="00576078" w:rsidRDefault="00B57B82" w:rsidP="00576078">
      <w:pPr>
        <w:pStyle w:val="BodyTextMain"/>
      </w:pPr>
    </w:p>
    <w:p w14:paraId="2AD3A101" w14:textId="77777777" w:rsidR="00B57B82" w:rsidRPr="00576078" w:rsidRDefault="00B57B82" w:rsidP="00576078">
      <w:pPr>
        <w:pStyle w:val="BodyTextMain"/>
      </w:pPr>
    </w:p>
    <w:p w14:paraId="353A771A" w14:textId="764A4383" w:rsidR="00B57B82" w:rsidRPr="00DA0C94" w:rsidRDefault="00B57B82" w:rsidP="00B57B82">
      <w:pPr>
        <w:pStyle w:val="Casehead1"/>
        <w:rPr>
          <w:lang w:val="en-GB"/>
        </w:rPr>
      </w:pPr>
      <w:r w:rsidRPr="00DA0C94">
        <w:rPr>
          <w:lang w:val="en-GB"/>
        </w:rPr>
        <w:t xml:space="preserve">BACKGROUND OF </w:t>
      </w:r>
      <w:r w:rsidR="004875E0">
        <w:rPr>
          <w:lang w:val="en-GB"/>
        </w:rPr>
        <w:t>SINGTEL</w:t>
      </w:r>
    </w:p>
    <w:p w14:paraId="1EF80022" w14:textId="77777777" w:rsidR="00B57B82" w:rsidRPr="00DA0C94" w:rsidRDefault="00B57B82" w:rsidP="00B57B82">
      <w:pPr>
        <w:pStyle w:val="BodyTextMain"/>
        <w:rPr>
          <w:sz w:val="20"/>
          <w:lang w:val="en-GB"/>
        </w:rPr>
      </w:pPr>
    </w:p>
    <w:p w14:paraId="2B29CA1B" w14:textId="16562958" w:rsidR="00B57B82" w:rsidRPr="00DA0C94" w:rsidRDefault="00B57B82" w:rsidP="00B57B82">
      <w:pPr>
        <w:pStyle w:val="BodyTextMain"/>
        <w:rPr>
          <w:lang w:val="en-GB"/>
        </w:rPr>
      </w:pPr>
      <w:r w:rsidRPr="00DA0C94">
        <w:rPr>
          <w:lang w:val="en-GB"/>
        </w:rPr>
        <w:t xml:space="preserve">Tracing its roots back to 1879, </w:t>
      </w:r>
      <w:r w:rsidR="004875E0">
        <w:rPr>
          <w:lang w:val="en-GB"/>
        </w:rPr>
        <w:t>SingTel</w:t>
      </w:r>
      <w:r w:rsidRPr="00DA0C94">
        <w:rPr>
          <w:lang w:val="en-GB"/>
        </w:rPr>
        <w:t xml:space="preserve"> was </w:t>
      </w:r>
      <w:r w:rsidR="00E32ABD">
        <w:rPr>
          <w:lang w:val="en-GB"/>
        </w:rPr>
        <w:t>Singapore’s</w:t>
      </w:r>
      <w:r w:rsidR="00E32ABD" w:rsidRPr="00DA0C94">
        <w:rPr>
          <w:lang w:val="en-GB"/>
        </w:rPr>
        <w:t xml:space="preserve"> </w:t>
      </w:r>
      <w:r w:rsidRPr="00DA0C94">
        <w:rPr>
          <w:lang w:val="en-GB"/>
        </w:rPr>
        <w:t xml:space="preserve">first telecommunications provider and </w:t>
      </w:r>
      <w:r w:rsidR="00E32ABD">
        <w:rPr>
          <w:lang w:val="en-GB"/>
        </w:rPr>
        <w:t>its</w:t>
      </w:r>
      <w:r w:rsidR="00E32ABD" w:rsidRPr="00DA0C94">
        <w:rPr>
          <w:lang w:val="en-GB"/>
        </w:rPr>
        <w:t xml:space="preserve"> </w:t>
      </w:r>
      <w:r w:rsidRPr="00DA0C94">
        <w:rPr>
          <w:lang w:val="en-GB"/>
        </w:rPr>
        <w:t>largest fixed and mobile network operator. Throughout its long history, the company had achieved great successes in transforming the telecommunication industry</w:t>
      </w:r>
      <w:r w:rsidR="008C623B">
        <w:rPr>
          <w:lang w:val="en-GB"/>
        </w:rPr>
        <w:t>.</w:t>
      </w:r>
      <w:r w:rsidRPr="00DA0C94">
        <w:rPr>
          <w:lang w:val="en-GB"/>
        </w:rPr>
        <w:t xml:space="preserve"> </w:t>
      </w:r>
      <w:r w:rsidR="008C623B">
        <w:rPr>
          <w:lang w:val="en-GB"/>
        </w:rPr>
        <w:t xml:space="preserve">It </w:t>
      </w:r>
      <w:r w:rsidRPr="00DA0C94">
        <w:rPr>
          <w:lang w:val="en-GB"/>
        </w:rPr>
        <w:t>play</w:t>
      </w:r>
      <w:r w:rsidR="008C623B">
        <w:rPr>
          <w:lang w:val="en-GB"/>
        </w:rPr>
        <w:t>ed</w:t>
      </w:r>
      <w:r w:rsidRPr="00DA0C94">
        <w:rPr>
          <w:lang w:val="en-GB"/>
        </w:rPr>
        <w:t xml:space="preserve"> a pivotal role in the development of Singapore by serving 4.1 million mobile customers locally and 638 million mobile subscribers in 22 countries through its regional subsidiaries, namely Optus (Australia) and Airtel (India).</w:t>
      </w:r>
    </w:p>
    <w:p w14:paraId="7D3B38A9" w14:textId="77777777" w:rsidR="00B57B82" w:rsidRPr="00DA0C94" w:rsidRDefault="00B57B82" w:rsidP="00B57B82">
      <w:pPr>
        <w:pStyle w:val="BodyTextMain"/>
        <w:rPr>
          <w:sz w:val="20"/>
          <w:lang w:val="en-GB"/>
        </w:rPr>
      </w:pPr>
    </w:p>
    <w:p w14:paraId="63F996D7" w14:textId="15568808" w:rsidR="00B57B82" w:rsidRPr="00DA0C94" w:rsidRDefault="00B57B82" w:rsidP="00B57B82">
      <w:pPr>
        <w:pStyle w:val="BodyTextMain"/>
        <w:rPr>
          <w:lang w:val="en-GB"/>
        </w:rPr>
      </w:pPr>
      <w:r w:rsidRPr="00DA0C94">
        <w:rPr>
          <w:lang w:val="en-GB"/>
        </w:rPr>
        <w:t>In line with its mission of “Breaking Barriers, Building Bonds</w:t>
      </w:r>
      <w:r w:rsidR="00E32ABD">
        <w:rPr>
          <w:lang w:val="en-GB"/>
        </w:rPr>
        <w:t>,</w:t>
      </w:r>
      <w:r w:rsidRPr="00DA0C94">
        <w:rPr>
          <w:lang w:val="en-GB"/>
        </w:rPr>
        <w:t xml:space="preserve">” </w:t>
      </w:r>
      <w:r w:rsidR="004875E0">
        <w:rPr>
          <w:lang w:val="en-GB"/>
        </w:rPr>
        <w:t>SingTel</w:t>
      </w:r>
      <w:r w:rsidRPr="00DA0C94">
        <w:rPr>
          <w:lang w:val="en-GB"/>
        </w:rPr>
        <w:t xml:space="preserve"> sought to improve communication accessibility while bringing value to its stakeholders. This </w:t>
      </w:r>
      <w:r w:rsidR="00E32ABD">
        <w:rPr>
          <w:lang w:val="en-GB"/>
        </w:rPr>
        <w:t xml:space="preserve">strategy </w:t>
      </w:r>
      <w:r w:rsidRPr="00DA0C94">
        <w:rPr>
          <w:lang w:val="en-GB"/>
        </w:rPr>
        <w:t>placed much emphasis on CSR</w:t>
      </w:r>
      <w:r w:rsidR="00E32ABD">
        <w:rPr>
          <w:lang w:val="en-GB"/>
        </w:rPr>
        <w:t>,</w:t>
      </w:r>
      <w:r w:rsidRPr="00DA0C94">
        <w:rPr>
          <w:lang w:val="en-GB"/>
        </w:rPr>
        <w:t xml:space="preserve"> which was not always a priority </w:t>
      </w:r>
      <w:r w:rsidR="00E32ABD">
        <w:rPr>
          <w:lang w:val="en-GB"/>
        </w:rPr>
        <w:t>for</w:t>
      </w:r>
      <w:r w:rsidR="00E32ABD" w:rsidRPr="00DA0C94">
        <w:rPr>
          <w:lang w:val="en-GB"/>
        </w:rPr>
        <w:t xml:space="preserve"> </w:t>
      </w:r>
      <w:r w:rsidRPr="00DA0C94">
        <w:rPr>
          <w:lang w:val="en-GB"/>
        </w:rPr>
        <w:t xml:space="preserve">most companies. </w:t>
      </w:r>
    </w:p>
    <w:p w14:paraId="791CA239" w14:textId="77777777" w:rsidR="00B57B82" w:rsidRPr="00DA0C94" w:rsidRDefault="00B57B82" w:rsidP="00B57B82">
      <w:pPr>
        <w:pStyle w:val="BodyTextMain"/>
        <w:rPr>
          <w:sz w:val="20"/>
          <w:lang w:val="en-GB"/>
        </w:rPr>
      </w:pPr>
    </w:p>
    <w:p w14:paraId="13D46E4C" w14:textId="77777777" w:rsidR="00B57B82" w:rsidRPr="00DA0C94" w:rsidRDefault="00B57B82" w:rsidP="00B57B82">
      <w:pPr>
        <w:pStyle w:val="BodyTextMain"/>
        <w:rPr>
          <w:sz w:val="20"/>
          <w:lang w:val="en-GB"/>
        </w:rPr>
      </w:pPr>
    </w:p>
    <w:p w14:paraId="5A886907" w14:textId="77777777" w:rsidR="00B57B82" w:rsidRPr="00DA0C94" w:rsidRDefault="00B57B82" w:rsidP="00B57B82">
      <w:pPr>
        <w:pStyle w:val="Casehead1"/>
        <w:rPr>
          <w:lang w:val="en-GB"/>
        </w:rPr>
      </w:pPr>
      <w:r w:rsidRPr="00DA0C94">
        <w:rPr>
          <w:lang w:val="en-GB"/>
        </w:rPr>
        <w:t>PAST CSR EFFORTS</w:t>
      </w:r>
    </w:p>
    <w:p w14:paraId="3E32295B" w14:textId="77777777" w:rsidR="00B57B82" w:rsidRPr="00DA0C94" w:rsidRDefault="00B57B82" w:rsidP="00B57B82">
      <w:pPr>
        <w:pStyle w:val="BodyTextMain"/>
        <w:rPr>
          <w:sz w:val="20"/>
          <w:lang w:val="en-GB"/>
        </w:rPr>
      </w:pPr>
    </w:p>
    <w:p w14:paraId="25694C8C" w14:textId="33EF515A" w:rsidR="00B57B82" w:rsidRPr="007F25B2" w:rsidRDefault="00B57B82" w:rsidP="00B57B82">
      <w:pPr>
        <w:pStyle w:val="BodyTextMain"/>
        <w:rPr>
          <w:spacing w:val="-2"/>
          <w:lang w:val="en-GB"/>
        </w:rPr>
      </w:pPr>
      <w:r w:rsidRPr="007F25B2">
        <w:rPr>
          <w:spacing w:val="-2"/>
          <w:lang w:val="en-GB"/>
        </w:rPr>
        <w:t xml:space="preserve">Since 1992, </w:t>
      </w:r>
      <w:r w:rsidR="004875E0" w:rsidRPr="007F25B2">
        <w:rPr>
          <w:spacing w:val="-2"/>
          <w:lang w:val="en-GB"/>
        </w:rPr>
        <w:t>SingTel</w:t>
      </w:r>
      <w:r w:rsidRPr="007F25B2">
        <w:rPr>
          <w:spacing w:val="-2"/>
          <w:lang w:val="en-GB"/>
        </w:rPr>
        <w:t xml:space="preserve"> had collaborated with Community Chest</w:t>
      </w:r>
      <w:r w:rsidRPr="007F25B2">
        <w:rPr>
          <w:spacing w:val="-2"/>
          <w:vertAlign w:val="superscript"/>
          <w:lang w:val="en-GB"/>
        </w:rPr>
        <w:footnoteReference w:id="1"/>
      </w:r>
      <w:r w:rsidRPr="007F25B2">
        <w:rPr>
          <w:spacing w:val="-2"/>
          <w:lang w:val="en-GB"/>
        </w:rPr>
        <w:t xml:space="preserve"> to raise funds and engage its staff as volunteers in support of social causes. As a corporate SHARE</w:t>
      </w:r>
      <w:r w:rsidRPr="007F25B2">
        <w:rPr>
          <w:spacing w:val="-2"/>
          <w:vertAlign w:val="superscript"/>
          <w:lang w:val="en-GB"/>
        </w:rPr>
        <w:footnoteReference w:id="2"/>
      </w:r>
      <w:r w:rsidRPr="007F25B2">
        <w:rPr>
          <w:spacing w:val="-2"/>
          <w:lang w:val="en-GB"/>
        </w:rPr>
        <w:t xml:space="preserve"> company, </w:t>
      </w:r>
      <w:r w:rsidR="004875E0" w:rsidRPr="007F25B2">
        <w:rPr>
          <w:spacing w:val="-2"/>
          <w:lang w:val="en-GB"/>
        </w:rPr>
        <w:t>SingTel</w:t>
      </w:r>
      <w:r w:rsidRPr="007F25B2">
        <w:rPr>
          <w:spacing w:val="-2"/>
          <w:lang w:val="en-GB"/>
        </w:rPr>
        <w:t xml:space="preserve"> had also matched every dollar of </w:t>
      </w:r>
      <w:r w:rsidRPr="007F25B2">
        <w:rPr>
          <w:spacing w:val="-2"/>
          <w:lang w:val="en-GB"/>
        </w:rPr>
        <w:lastRenderedPageBreak/>
        <w:t xml:space="preserve">employees’ contributions to SHARE. However, the CSR approach the company </w:t>
      </w:r>
      <w:r w:rsidR="00E32ABD" w:rsidRPr="007F25B2">
        <w:rPr>
          <w:spacing w:val="-2"/>
          <w:lang w:val="en-GB"/>
        </w:rPr>
        <w:t xml:space="preserve">adopted </w:t>
      </w:r>
      <w:r w:rsidR="00B24B51" w:rsidRPr="007F25B2">
        <w:rPr>
          <w:spacing w:val="-2"/>
          <w:lang w:val="en-GB"/>
        </w:rPr>
        <w:t>was</w:t>
      </w:r>
      <w:r w:rsidRPr="007F25B2">
        <w:rPr>
          <w:spacing w:val="-2"/>
          <w:lang w:val="en-GB"/>
        </w:rPr>
        <w:t xml:space="preserve"> mainly philanthropic </w:t>
      </w:r>
      <w:r w:rsidR="00F819FC" w:rsidRPr="007F25B2">
        <w:rPr>
          <w:spacing w:val="-2"/>
          <w:lang w:val="en-GB"/>
        </w:rPr>
        <w:t xml:space="preserve">in </w:t>
      </w:r>
      <w:r w:rsidRPr="007F25B2">
        <w:rPr>
          <w:spacing w:val="-2"/>
          <w:lang w:val="en-GB"/>
        </w:rPr>
        <w:t>nature</w:t>
      </w:r>
      <w:r w:rsidR="00E32ABD" w:rsidRPr="007F25B2">
        <w:rPr>
          <w:spacing w:val="-2"/>
          <w:lang w:val="en-GB"/>
        </w:rPr>
        <w:t>, which</w:t>
      </w:r>
      <w:r w:rsidRPr="007F25B2">
        <w:rPr>
          <w:spacing w:val="-2"/>
          <w:lang w:val="en-GB"/>
        </w:rPr>
        <w:t xml:space="preserve"> was a widespread practice </w:t>
      </w:r>
      <w:r w:rsidR="00E32ABD" w:rsidRPr="007F25B2">
        <w:rPr>
          <w:spacing w:val="-2"/>
          <w:lang w:val="en-GB"/>
        </w:rPr>
        <w:t xml:space="preserve">among </w:t>
      </w:r>
      <w:r w:rsidRPr="007F25B2">
        <w:rPr>
          <w:spacing w:val="-2"/>
          <w:lang w:val="en-GB"/>
        </w:rPr>
        <w:t>many local companies. The term “corporate philanthropy”</w:t>
      </w:r>
      <w:r w:rsidRPr="007F25B2">
        <w:rPr>
          <w:i/>
          <w:spacing w:val="-2"/>
          <w:lang w:val="en-GB"/>
        </w:rPr>
        <w:t xml:space="preserve"> </w:t>
      </w:r>
      <w:r w:rsidR="00E32ABD" w:rsidRPr="007F25B2">
        <w:rPr>
          <w:spacing w:val="-2"/>
          <w:lang w:val="en-GB"/>
        </w:rPr>
        <w:t xml:space="preserve">referred </w:t>
      </w:r>
      <w:r w:rsidRPr="007F25B2">
        <w:rPr>
          <w:spacing w:val="-2"/>
          <w:lang w:val="en-GB"/>
        </w:rPr>
        <w:t xml:space="preserve">to </w:t>
      </w:r>
      <w:r w:rsidR="00E32ABD" w:rsidRPr="007F25B2">
        <w:rPr>
          <w:spacing w:val="-2"/>
          <w:lang w:val="en-GB"/>
        </w:rPr>
        <w:t xml:space="preserve">companies’ </w:t>
      </w:r>
      <w:r w:rsidRPr="007F25B2">
        <w:rPr>
          <w:spacing w:val="-2"/>
          <w:lang w:val="en-GB"/>
        </w:rPr>
        <w:t>altruistic contributions of resources to society</w:t>
      </w:r>
      <w:r w:rsidR="00E32ABD" w:rsidRPr="007F25B2">
        <w:rPr>
          <w:spacing w:val="-2"/>
          <w:lang w:val="en-GB"/>
        </w:rPr>
        <w:t>,</w:t>
      </w:r>
      <w:r w:rsidRPr="007F25B2">
        <w:rPr>
          <w:spacing w:val="-2"/>
          <w:lang w:val="en-GB"/>
        </w:rPr>
        <w:t xml:space="preserve"> </w:t>
      </w:r>
      <w:r w:rsidR="00E32ABD" w:rsidRPr="007F25B2">
        <w:rPr>
          <w:spacing w:val="-2"/>
          <w:lang w:val="en-GB"/>
        </w:rPr>
        <w:t xml:space="preserve">and </w:t>
      </w:r>
      <w:r w:rsidRPr="007F25B2">
        <w:rPr>
          <w:spacing w:val="-2"/>
          <w:lang w:val="en-GB"/>
        </w:rPr>
        <w:t xml:space="preserve">included cash donations and in-kind contributions. </w:t>
      </w:r>
      <w:r w:rsidR="00E32ABD" w:rsidRPr="007F25B2">
        <w:rPr>
          <w:spacing w:val="-2"/>
          <w:lang w:val="en-GB"/>
        </w:rPr>
        <w:t>A c</w:t>
      </w:r>
      <w:r w:rsidRPr="007F25B2">
        <w:rPr>
          <w:spacing w:val="-2"/>
          <w:lang w:val="en-GB"/>
        </w:rPr>
        <w:t xml:space="preserve">ash donation was usually the first step in a company’s CSR efforts, but it </w:t>
      </w:r>
      <w:r w:rsidR="00E32ABD" w:rsidRPr="007F25B2">
        <w:rPr>
          <w:spacing w:val="-2"/>
          <w:lang w:val="en-GB"/>
        </w:rPr>
        <w:t xml:space="preserve">involved </w:t>
      </w:r>
      <w:r w:rsidRPr="007F25B2">
        <w:rPr>
          <w:spacing w:val="-2"/>
          <w:lang w:val="en-GB"/>
        </w:rPr>
        <w:t xml:space="preserve">lower engagement between the </w:t>
      </w:r>
      <w:r w:rsidR="00E32ABD" w:rsidRPr="007F25B2">
        <w:rPr>
          <w:spacing w:val="-2"/>
          <w:lang w:val="en-GB"/>
        </w:rPr>
        <w:t xml:space="preserve">business </w:t>
      </w:r>
      <w:r w:rsidRPr="007F25B2">
        <w:rPr>
          <w:spacing w:val="-2"/>
          <w:lang w:val="en-GB"/>
        </w:rPr>
        <w:t xml:space="preserve">and the charity </w:t>
      </w:r>
      <w:r w:rsidR="00556891" w:rsidRPr="007F25B2">
        <w:rPr>
          <w:spacing w:val="-2"/>
          <w:lang w:val="en-GB"/>
        </w:rPr>
        <w:t>organizations</w:t>
      </w:r>
      <w:r w:rsidR="00E32ABD" w:rsidRPr="007F25B2">
        <w:rPr>
          <w:spacing w:val="-2"/>
          <w:lang w:val="en-GB"/>
        </w:rPr>
        <w:t>,</w:t>
      </w:r>
      <w:r w:rsidRPr="007F25B2">
        <w:rPr>
          <w:spacing w:val="-2"/>
          <w:lang w:val="en-GB"/>
        </w:rPr>
        <w:t xml:space="preserve"> and </w:t>
      </w:r>
      <w:r w:rsidR="00E32ABD" w:rsidRPr="007F25B2">
        <w:rPr>
          <w:spacing w:val="-2"/>
          <w:lang w:val="en-GB"/>
        </w:rPr>
        <w:t xml:space="preserve">the </w:t>
      </w:r>
      <w:r w:rsidRPr="007F25B2">
        <w:rPr>
          <w:spacing w:val="-2"/>
          <w:lang w:val="en-GB"/>
        </w:rPr>
        <w:t xml:space="preserve">volunteer efforts </w:t>
      </w:r>
      <w:r w:rsidR="00E32ABD" w:rsidRPr="007F25B2">
        <w:rPr>
          <w:spacing w:val="-2"/>
          <w:lang w:val="en-GB"/>
        </w:rPr>
        <w:t xml:space="preserve">were </w:t>
      </w:r>
      <w:r w:rsidRPr="007F25B2">
        <w:rPr>
          <w:spacing w:val="-2"/>
          <w:lang w:val="en-GB"/>
        </w:rPr>
        <w:t>mainly ad</w:t>
      </w:r>
      <w:r w:rsidR="006B5FAC" w:rsidRPr="007F25B2">
        <w:rPr>
          <w:spacing w:val="-2"/>
          <w:lang w:val="en-GB"/>
        </w:rPr>
        <w:t xml:space="preserve"> </w:t>
      </w:r>
      <w:r w:rsidRPr="007F25B2">
        <w:rPr>
          <w:spacing w:val="-2"/>
          <w:lang w:val="en-GB"/>
        </w:rPr>
        <w:t xml:space="preserve">hoc </w:t>
      </w:r>
      <w:r w:rsidR="006B5FAC" w:rsidRPr="007F25B2">
        <w:rPr>
          <w:spacing w:val="-2"/>
          <w:lang w:val="en-GB"/>
        </w:rPr>
        <w:t xml:space="preserve">(i.e., for that particular purpose only) </w:t>
      </w:r>
      <w:r w:rsidRPr="007F25B2">
        <w:rPr>
          <w:spacing w:val="-2"/>
          <w:lang w:val="en-GB"/>
        </w:rPr>
        <w:t xml:space="preserve">and unskilled. </w:t>
      </w:r>
      <w:r w:rsidR="006B5FAC" w:rsidRPr="007F25B2">
        <w:rPr>
          <w:spacing w:val="-2"/>
          <w:lang w:val="en-GB"/>
        </w:rPr>
        <w:t xml:space="preserve">According to </w:t>
      </w:r>
      <w:r w:rsidRPr="007F25B2">
        <w:rPr>
          <w:spacing w:val="-2"/>
          <w:lang w:val="en-GB"/>
        </w:rPr>
        <w:t xml:space="preserve">the perception of many charity </w:t>
      </w:r>
      <w:r w:rsidR="00556891" w:rsidRPr="007F25B2">
        <w:rPr>
          <w:spacing w:val="-2"/>
          <w:lang w:val="en-GB"/>
        </w:rPr>
        <w:t>organizations</w:t>
      </w:r>
      <w:r w:rsidRPr="007F25B2">
        <w:rPr>
          <w:spacing w:val="-2"/>
          <w:lang w:val="en-GB"/>
        </w:rPr>
        <w:t xml:space="preserve">, raising sufficient funds to support their </w:t>
      </w:r>
      <w:r w:rsidR="00556891" w:rsidRPr="007F25B2">
        <w:rPr>
          <w:spacing w:val="-2"/>
          <w:lang w:val="en-GB"/>
        </w:rPr>
        <w:t>program</w:t>
      </w:r>
      <w:r w:rsidRPr="007F25B2">
        <w:rPr>
          <w:spacing w:val="-2"/>
          <w:lang w:val="en-GB"/>
        </w:rPr>
        <w:t xml:space="preserve">s </w:t>
      </w:r>
      <w:r w:rsidR="006B5FAC" w:rsidRPr="007F25B2">
        <w:rPr>
          <w:spacing w:val="-2"/>
          <w:lang w:val="en-GB"/>
        </w:rPr>
        <w:t xml:space="preserve">was </w:t>
      </w:r>
      <w:r w:rsidRPr="007F25B2">
        <w:rPr>
          <w:spacing w:val="-2"/>
          <w:lang w:val="en-GB"/>
        </w:rPr>
        <w:t>a major challenge. Cash donations serve</w:t>
      </w:r>
      <w:r w:rsidR="006B5FAC" w:rsidRPr="007F25B2">
        <w:rPr>
          <w:spacing w:val="-2"/>
          <w:lang w:val="en-GB"/>
        </w:rPr>
        <w:t>d</w:t>
      </w:r>
      <w:r w:rsidRPr="007F25B2">
        <w:rPr>
          <w:spacing w:val="-2"/>
          <w:lang w:val="en-GB"/>
        </w:rPr>
        <w:t xml:space="preserve"> this need and </w:t>
      </w:r>
      <w:r w:rsidR="006B5FAC" w:rsidRPr="007F25B2">
        <w:rPr>
          <w:spacing w:val="-2"/>
          <w:lang w:val="en-GB"/>
        </w:rPr>
        <w:t xml:space="preserve">gave </w:t>
      </w:r>
      <w:r w:rsidRPr="007F25B2">
        <w:rPr>
          <w:spacing w:val="-2"/>
          <w:lang w:val="en-GB"/>
        </w:rPr>
        <w:t xml:space="preserve">the charities more control and flexibility on the use of funds. In situations of severe crisis such as natural disasters, such corporate philanthropy acts </w:t>
      </w:r>
      <w:r w:rsidR="006B5FAC" w:rsidRPr="007F25B2">
        <w:rPr>
          <w:spacing w:val="-2"/>
          <w:lang w:val="en-GB"/>
        </w:rPr>
        <w:t xml:space="preserve">were </w:t>
      </w:r>
      <w:r w:rsidRPr="007F25B2">
        <w:rPr>
          <w:spacing w:val="-2"/>
          <w:lang w:val="en-GB"/>
        </w:rPr>
        <w:t xml:space="preserve">especially valued. </w:t>
      </w:r>
    </w:p>
    <w:p w14:paraId="53AA4B15" w14:textId="77777777" w:rsidR="00B57B82" w:rsidRPr="00DA0C94" w:rsidRDefault="00B57B82" w:rsidP="00B57B82">
      <w:pPr>
        <w:pStyle w:val="BodyTextMain"/>
        <w:rPr>
          <w:sz w:val="20"/>
          <w:lang w:val="en-GB"/>
        </w:rPr>
      </w:pPr>
    </w:p>
    <w:p w14:paraId="470F559F" w14:textId="7F10C03C" w:rsidR="00B57B82" w:rsidRPr="007F25B2" w:rsidRDefault="006B5FAC" w:rsidP="00B57B82">
      <w:pPr>
        <w:pStyle w:val="BodyTextMain"/>
        <w:rPr>
          <w:spacing w:val="-2"/>
          <w:lang w:val="en-GB"/>
        </w:rPr>
      </w:pPr>
      <w:r w:rsidRPr="007F25B2">
        <w:rPr>
          <w:spacing w:val="-2"/>
          <w:lang w:val="en-GB"/>
        </w:rPr>
        <w:t xml:space="preserve">In 2002, </w:t>
      </w:r>
      <w:r w:rsidR="004875E0" w:rsidRPr="007F25B2">
        <w:rPr>
          <w:spacing w:val="-2"/>
          <w:lang w:val="en-GB"/>
        </w:rPr>
        <w:t>SingTel</w:t>
      </w:r>
      <w:r w:rsidRPr="007F25B2">
        <w:rPr>
          <w:spacing w:val="-2"/>
          <w:lang w:val="en-GB"/>
        </w:rPr>
        <w:t xml:space="preserve"> implemented t</w:t>
      </w:r>
      <w:r w:rsidR="00B57B82" w:rsidRPr="007F25B2">
        <w:rPr>
          <w:spacing w:val="-2"/>
          <w:lang w:val="en-GB"/>
        </w:rPr>
        <w:t xml:space="preserve">he </w:t>
      </w:r>
      <w:r w:rsidR="004875E0" w:rsidRPr="007F25B2">
        <w:rPr>
          <w:spacing w:val="-2"/>
          <w:lang w:val="en-GB"/>
        </w:rPr>
        <w:t>SingTel</w:t>
      </w:r>
      <w:r w:rsidR="00B57B82" w:rsidRPr="007F25B2">
        <w:rPr>
          <w:spacing w:val="-2"/>
          <w:lang w:val="en-GB"/>
        </w:rPr>
        <w:t xml:space="preserve"> Touching Lives Fund (STLF)</w:t>
      </w:r>
      <w:r w:rsidRPr="007F25B2">
        <w:rPr>
          <w:spacing w:val="-2"/>
          <w:lang w:val="en-GB"/>
        </w:rPr>
        <w:t>,</w:t>
      </w:r>
      <w:r w:rsidR="00B57B82" w:rsidRPr="007F25B2">
        <w:rPr>
          <w:spacing w:val="-2"/>
          <w:lang w:val="en-GB"/>
        </w:rPr>
        <w:t xml:space="preserve"> </w:t>
      </w:r>
      <w:r w:rsidR="006A7C58" w:rsidRPr="007F25B2">
        <w:rPr>
          <w:spacing w:val="-2"/>
          <w:lang w:val="en-GB"/>
        </w:rPr>
        <w:t xml:space="preserve">its </w:t>
      </w:r>
      <w:r w:rsidR="00B57B82" w:rsidRPr="007F25B2">
        <w:rPr>
          <w:spacing w:val="-2"/>
          <w:lang w:val="en-GB"/>
        </w:rPr>
        <w:t xml:space="preserve">corporate philanthropy program. STLF focused on helping disadvantaged children and young people </w:t>
      </w:r>
      <w:r w:rsidRPr="007F25B2">
        <w:rPr>
          <w:spacing w:val="-2"/>
          <w:lang w:val="en-GB"/>
        </w:rPr>
        <w:t xml:space="preserve">who had </w:t>
      </w:r>
      <w:r w:rsidR="00B57B82" w:rsidRPr="007F25B2">
        <w:rPr>
          <w:spacing w:val="-2"/>
          <w:lang w:val="en-GB"/>
        </w:rPr>
        <w:t xml:space="preserve">special needs. From its inception to 2013, the company, through STLF, </w:t>
      </w:r>
      <w:r w:rsidRPr="007F25B2">
        <w:rPr>
          <w:spacing w:val="-2"/>
          <w:lang w:val="en-GB"/>
        </w:rPr>
        <w:t xml:space="preserve">had </w:t>
      </w:r>
      <w:r w:rsidR="00B57B82" w:rsidRPr="007F25B2">
        <w:rPr>
          <w:spacing w:val="-2"/>
          <w:lang w:val="en-GB"/>
        </w:rPr>
        <w:t xml:space="preserve">donated </w:t>
      </w:r>
      <w:r w:rsidRPr="007F25B2">
        <w:rPr>
          <w:spacing w:val="-2"/>
          <w:lang w:val="en-GB"/>
        </w:rPr>
        <w:t xml:space="preserve">more than </w:t>
      </w:r>
      <w:r w:rsidR="00B57B82" w:rsidRPr="007F25B2">
        <w:rPr>
          <w:spacing w:val="-2"/>
          <w:lang w:val="en-GB"/>
        </w:rPr>
        <w:t>S$24 million</w:t>
      </w:r>
      <w:r w:rsidRPr="007F25B2">
        <w:rPr>
          <w:rStyle w:val="FootnoteReference"/>
          <w:spacing w:val="-2"/>
          <w:lang w:val="en-GB"/>
        </w:rPr>
        <w:footnoteReference w:id="3"/>
      </w:r>
      <w:r w:rsidR="00B57B82" w:rsidRPr="007F25B2">
        <w:rPr>
          <w:spacing w:val="-2"/>
          <w:lang w:val="en-GB"/>
        </w:rPr>
        <w:t xml:space="preserve"> to special needs education, with further donations raised from </w:t>
      </w:r>
      <w:r w:rsidR="006A7C58" w:rsidRPr="007F25B2">
        <w:rPr>
          <w:spacing w:val="-2"/>
          <w:lang w:val="en-GB"/>
        </w:rPr>
        <w:t xml:space="preserve">its </w:t>
      </w:r>
      <w:r w:rsidR="00B57B82" w:rsidRPr="007F25B2">
        <w:rPr>
          <w:spacing w:val="-2"/>
          <w:lang w:val="en-GB"/>
        </w:rPr>
        <w:t>employees, business partners, associates, customers</w:t>
      </w:r>
      <w:r w:rsidR="006A7C58" w:rsidRPr="007F25B2">
        <w:rPr>
          <w:spacing w:val="-2"/>
          <w:lang w:val="en-GB"/>
        </w:rPr>
        <w:t>,</w:t>
      </w:r>
      <w:r w:rsidR="00B57B82" w:rsidRPr="007F25B2">
        <w:rPr>
          <w:spacing w:val="-2"/>
          <w:lang w:val="en-GB"/>
        </w:rPr>
        <w:t xml:space="preserve"> and the public. </w:t>
      </w:r>
      <w:r w:rsidR="004875E0" w:rsidRPr="007F25B2">
        <w:rPr>
          <w:spacing w:val="-2"/>
          <w:lang w:val="en-GB"/>
        </w:rPr>
        <w:t>SingTel</w:t>
      </w:r>
      <w:r w:rsidR="00B57B82" w:rsidRPr="007F25B2">
        <w:rPr>
          <w:spacing w:val="-2"/>
          <w:lang w:val="en-GB"/>
        </w:rPr>
        <w:t xml:space="preserve"> also encouraged staff volunteerism on an individual or team basis</w:t>
      </w:r>
      <w:r w:rsidRPr="007F25B2">
        <w:rPr>
          <w:spacing w:val="-2"/>
          <w:lang w:val="en-GB"/>
        </w:rPr>
        <w:t>,</w:t>
      </w:r>
      <w:r w:rsidR="00B57B82" w:rsidRPr="007F25B2">
        <w:rPr>
          <w:spacing w:val="-2"/>
          <w:lang w:val="en-GB"/>
        </w:rPr>
        <w:t xml:space="preserve"> and actively worked with STFL beneficiaries and other </w:t>
      </w:r>
      <w:r w:rsidR="00CF6A70" w:rsidRPr="007F25B2">
        <w:rPr>
          <w:spacing w:val="-2"/>
          <w:lang w:val="en-GB"/>
        </w:rPr>
        <w:t>v</w:t>
      </w:r>
      <w:r w:rsidR="00B57B82" w:rsidRPr="007F25B2">
        <w:rPr>
          <w:spacing w:val="-2"/>
          <w:lang w:val="en-GB"/>
        </w:rPr>
        <w:t xml:space="preserve">oluntary </w:t>
      </w:r>
      <w:r w:rsidR="00CF6A70" w:rsidRPr="007F25B2">
        <w:rPr>
          <w:spacing w:val="-2"/>
          <w:lang w:val="en-GB"/>
        </w:rPr>
        <w:t>w</w:t>
      </w:r>
      <w:r w:rsidR="00B57B82" w:rsidRPr="007F25B2">
        <w:rPr>
          <w:spacing w:val="-2"/>
          <w:lang w:val="en-GB"/>
        </w:rPr>
        <w:t xml:space="preserve">elfare </w:t>
      </w:r>
      <w:r w:rsidR="00CF6A70" w:rsidRPr="007F25B2">
        <w:rPr>
          <w:spacing w:val="-2"/>
          <w:lang w:val="en-GB"/>
        </w:rPr>
        <w:t>o</w:t>
      </w:r>
      <w:r w:rsidR="00556891" w:rsidRPr="007F25B2">
        <w:rPr>
          <w:spacing w:val="-2"/>
          <w:lang w:val="en-GB"/>
        </w:rPr>
        <w:t>rganizations</w:t>
      </w:r>
      <w:r w:rsidR="00B57B82" w:rsidRPr="007F25B2">
        <w:rPr>
          <w:spacing w:val="-2"/>
          <w:lang w:val="en-GB"/>
        </w:rPr>
        <w:t xml:space="preserve"> (VWOs) in the community. </w:t>
      </w:r>
      <w:r w:rsidR="004875E0" w:rsidRPr="007F25B2">
        <w:rPr>
          <w:spacing w:val="-2"/>
          <w:lang w:val="en-GB"/>
        </w:rPr>
        <w:t>SingTel</w:t>
      </w:r>
      <w:r w:rsidR="00B57B82" w:rsidRPr="007F25B2">
        <w:rPr>
          <w:spacing w:val="-2"/>
          <w:lang w:val="en-GB"/>
        </w:rPr>
        <w:t xml:space="preserve"> advocated the concept of </w:t>
      </w:r>
      <w:proofErr w:type="spellStart"/>
      <w:r w:rsidR="00B57B82" w:rsidRPr="007F25B2">
        <w:rPr>
          <w:spacing w:val="-2"/>
          <w:lang w:val="en-GB"/>
        </w:rPr>
        <w:t>VolunTeaming</w:t>
      </w:r>
      <w:proofErr w:type="spellEnd"/>
      <w:r w:rsidR="008734DF" w:rsidRPr="007F25B2">
        <w:rPr>
          <w:spacing w:val="-2"/>
          <w:lang w:val="en-GB"/>
        </w:rPr>
        <w:t>,</w:t>
      </w:r>
      <w:r w:rsidR="00B57B82" w:rsidRPr="007F25B2">
        <w:rPr>
          <w:spacing w:val="-2"/>
          <w:lang w:val="en-GB"/>
        </w:rPr>
        <w:t xml:space="preserve"> where</w:t>
      </w:r>
      <w:r w:rsidRPr="007F25B2">
        <w:rPr>
          <w:spacing w:val="-2"/>
          <w:lang w:val="en-GB"/>
        </w:rPr>
        <w:t>in</w:t>
      </w:r>
      <w:r w:rsidR="00B57B82" w:rsidRPr="007F25B2">
        <w:rPr>
          <w:spacing w:val="-2"/>
          <w:lang w:val="en-GB"/>
        </w:rPr>
        <w:t xml:space="preserve"> employees were encouraged to volunteer as a team to enhance teambuilding through CSR activities. In </w:t>
      </w:r>
      <w:r w:rsidRPr="007F25B2">
        <w:rPr>
          <w:spacing w:val="-2"/>
          <w:lang w:val="en-GB"/>
        </w:rPr>
        <w:t xml:space="preserve">fiscal year </w:t>
      </w:r>
      <w:r w:rsidR="00B57B82" w:rsidRPr="007F25B2">
        <w:rPr>
          <w:spacing w:val="-2"/>
          <w:lang w:val="en-GB"/>
        </w:rPr>
        <w:t>2013, more than 1</w:t>
      </w:r>
      <w:r w:rsidRPr="007F25B2">
        <w:rPr>
          <w:spacing w:val="-2"/>
          <w:lang w:val="en-GB"/>
        </w:rPr>
        <w:t>,</w:t>
      </w:r>
      <w:r w:rsidR="00B57B82" w:rsidRPr="007F25B2">
        <w:rPr>
          <w:spacing w:val="-2"/>
          <w:lang w:val="en-GB"/>
        </w:rPr>
        <w:t>900 staff volunteers contributed to 5</w:t>
      </w:r>
      <w:r w:rsidRPr="007F25B2">
        <w:rPr>
          <w:spacing w:val="-2"/>
          <w:lang w:val="en-GB"/>
        </w:rPr>
        <w:t>,</w:t>
      </w:r>
      <w:r w:rsidR="00B57B82" w:rsidRPr="007F25B2">
        <w:rPr>
          <w:spacing w:val="-2"/>
          <w:lang w:val="en-GB"/>
        </w:rPr>
        <w:t xml:space="preserve">500 </w:t>
      </w:r>
      <w:proofErr w:type="spellStart"/>
      <w:r w:rsidR="00B57B82" w:rsidRPr="007F25B2">
        <w:rPr>
          <w:spacing w:val="-2"/>
          <w:lang w:val="en-GB"/>
        </w:rPr>
        <w:t>VolunTeaming</w:t>
      </w:r>
      <w:proofErr w:type="spellEnd"/>
      <w:r w:rsidR="00B57B82" w:rsidRPr="007F25B2">
        <w:rPr>
          <w:spacing w:val="-2"/>
          <w:lang w:val="en-GB"/>
        </w:rPr>
        <w:t xml:space="preserve"> hours through 37 activities with 15 VWOs</w:t>
      </w:r>
      <w:r w:rsidR="006228F5" w:rsidRPr="007F25B2">
        <w:rPr>
          <w:spacing w:val="-2"/>
          <w:lang w:val="en-GB"/>
        </w:rPr>
        <w:t>, representing</w:t>
      </w:r>
      <w:r w:rsidR="00B57B82" w:rsidRPr="007F25B2">
        <w:rPr>
          <w:spacing w:val="-2"/>
          <w:lang w:val="en-GB"/>
        </w:rPr>
        <w:t xml:space="preserve"> a 54</w:t>
      </w:r>
      <w:r w:rsidR="006228F5" w:rsidRPr="007F25B2">
        <w:rPr>
          <w:spacing w:val="-2"/>
          <w:lang w:val="en-GB"/>
        </w:rPr>
        <w:t xml:space="preserve"> per cent</w:t>
      </w:r>
      <w:r w:rsidR="00B57B82" w:rsidRPr="007F25B2">
        <w:rPr>
          <w:spacing w:val="-2"/>
          <w:lang w:val="en-GB"/>
        </w:rPr>
        <w:t xml:space="preserve"> increase from 2012. </w:t>
      </w:r>
    </w:p>
    <w:p w14:paraId="32548B4E" w14:textId="77777777" w:rsidR="00B57B82" w:rsidRPr="00DA0C94" w:rsidRDefault="00B57B82" w:rsidP="00B57B82">
      <w:pPr>
        <w:pStyle w:val="BodyTextMain"/>
        <w:rPr>
          <w:sz w:val="20"/>
          <w:lang w:val="en-GB"/>
        </w:rPr>
      </w:pPr>
    </w:p>
    <w:p w14:paraId="7071014E" w14:textId="60159273" w:rsidR="00B57B82" w:rsidRPr="00DA0C94" w:rsidRDefault="00B57B82" w:rsidP="00B57B82">
      <w:pPr>
        <w:pStyle w:val="BodyTextMain"/>
        <w:rPr>
          <w:lang w:val="en-GB"/>
        </w:rPr>
      </w:pPr>
      <w:r w:rsidRPr="00DA0C94">
        <w:rPr>
          <w:lang w:val="en-GB"/>
        </w:rPr>
        <w:t xml:space="preserve">Although </w:t>
      </w:r>
      <w:r w:rsidR="004875E0">
        <w:rPr>
          <w:lang w:val="en-GB"/>
        </w:rPr>
        <w:t>SingTel</w:t>
      </w:r>
      <w:r w:rsidRPr="00DA0C94">
        <w:rPr>
          <w:lang w:val="en-GB"/>
        </w:rPr>
        <w:t xml:space="preserve"> </w:t>
      </w:r>
      <w:r w:rsidR="006228F5" w:rsidRPr="00DA0C94">
        <w:rPr>
          <w:lang w:val="en-GB"/>
        </w:rPr>
        <w:t>ha</w:t>
      </w:r>
      <w:r w:rsidR="006228F5">
        <w:rPr>
          <w:lang w:val="en-GB"/>
        </w:rPr>
        <w:t>d</w:t>
      </w:r>
      <w:r w:rsidR="006228F5" w:rsidRPr="00DA0C94">
        <w:rPr>
          <w:lang w:val="en-GB"/>
        </w:rPr>
        <w:t xml:space="preserve"> </w:t>
      </w:r>
      <w:r w:rsidRPr="00DA0C94">
        <w:rPr>
          <w:lang w:val="en-GB"/>
        </w:rPr>
        <w:t>been contributing mostly in a philanthropic manner with a focus on funding, it was also aware of the drawbacks of mere cash funding. Cash donations, albeit easier to administer, often lacked a clear decision framework</w:t>
      </w:r>
      <w:r w:rsidR="006228F5">
        <w:rPr>
          <w:lang w:val="en-GB"/>
        </w:rPr>
        <w:t>,</w:t>
      </w:r>
      <w:r w:rsidRPr="00DA0C94">
        <w:rPr>
          <w:lang w:val="en-GB"/>
        </w:rPr>
        <w:t xml:space="preserve"> and funding allocations were subjective. Sometimes, ambiguity </w:t>
      </w:r>
      <w:r w:rsidR="006228F5" w:rsidRPr="00DA0C94">
        <w:rPr>
          <w:lang w:val="en-GB"/>
        </w:rPr>
        <w:t>surround</w:t>
      </w:r>
      <w:r w:rsidR="006228F5">
        <w:rPr>
          <w:lang w:val="en-GB"/>
        </w:rPr>
        <w:t>ed</w:t>
      </w:r>
      <w:r w:rsidR="006228F5" w:rsidRPr="00DA0C94">
        <w:rPr>
          <w:lang w:val="en-GB"/>
        </w:rPr>
        <w:t xml:space="preserve"> </w:t>
      </w:r>
      <w:r w:rsidRPr="00DA0C94">
        <w:rPr>
          <w:lang w:val="en-GB"/>
        </w:rPr>
        <w:t>the chosen charitable projects</w:t>
      </w:r>
      <w:r w:rsidR="006228F5">
        <w:rPr>
          <w:lang w:val="en-GB"/>
        </w:rPr>
        <w:t>,</w:t>
      </w:r>
      <w:r w:rsidRPr="00DA0C94">
        <w:rPr>
          <w:lang w:val="en-GB"/>
        </w:rPr>
        <w:t xml:space="preserve"> and </w:t>
      </w:r>
      <w:r w:rsidR="006228F5">
        <w:rPr>
          <w:lang w:val="en-GB"/>
        </w:rPr>
        <w:t>donors</w:t>
      </w:r>
      <w:r w:rsidR="006228F5" w:rsidRPr="00DA0C94">
        <w:rPr>
          <w:lang w:val="en-GB"/>
        </w:rPr>
        <w:t xml:space="preserve"> </w:t>
      </w:r>
      <w:r w:rsidRPr="00DA0C94">
        <w:rPr>
          <w:lang w:val="en-GB"/>
        </w:rPr>
        <w:t>lack</w:t>
      </w:r>
      <w:r w:rsidR="006228F5">
        <w:rPr>
          <w:lang w:val="en-GB"/>
        </w:rPr>
        <w:t>ed</w:t>
      </w:r>
      <w:r w:rsidRPr="00DA0C94">
        <w:rPr>
          <w:lang w:val="en-GB"/>
        </w:rPr>
        <w:t xml:space="preserve"> </w:t>
      </w:r>
      <w:r w:rsidR="006228F5">
        <w:rPr>
          <w:lang w:val="en-GB"/>
        </w:rPr>
        <w:t>an</w:t>
      </w:r>
      <w:r w:rsidR="006228F5" w:rsidRPr="00DA0C94">
        <w:rPr>
          <w:lang w:val="en-GB"/>
        </w:rPr>
        <w:t xml:space="preserve"> </w:t>
      </w:r>
      <w:r w:rsidRPr="00DA0C94">
        <w:rPr>
          <w:lang w:val="en-GB"/>
        </w:rPr>
        <w:t xml:space="preserve">understanding </w:t>
      </w:r>
      <w:r w:rsidR="006228F5">
        <w:rPr>
          <w:lang w:val="en-GB"/>
        </w:rPr>
        <w:t xml:space="preserve">of </w:t>
      </w:r>
      <w:r w:rsidRPr="00DA0C94">
        <w:rPr>
          <w:lang w:val="en-GB"/>
        </w:rPr>
        <w:t xml:space="preserve">the manner in which their donations were used. </w:t>
      </w:r>
      <w:r w:rsidR="00B24B51">
        <w:rPr>
          <w:lang w:val="en-GB"/>
        </w:rPr>
        <w:t>Also</w:t>
      </w:r>
      <w:r w:rsidRPr="00DA0C94">
        <w:rPr>
          <w:lang w:val="en-GB"/>
        </w:rPr>
        <w:t>, cash donation</w:t>
      </w:r>
      <w:r w:rsidR="00B24B51">
        <w:rPr>
          <w:lang w:val="en-GB"/>
        </w:rPr>
        <w:t>s</w:t>
      </w:r>
      <w:r w:rsidRPr="00DA0C94">
        <w:rPr>
          <w:lang w:val="en-GB"/>
        </w:rPr>
        <w:t xml:space="preserve"> </w:t>
      </w:r>
      <w:r w:rsidR="00B24B51">
        <w:rPr>
          <w:lang w:val="en-GB"/>
        </w:rPr>
        <w:t xml:space="preserve">often </w:t>
      </w:r>
      <w:r w:rsidR="006228F5" w:rsidRPr="00DA0C94">
        <w:rPr>
          <w:lang w:val="en-GB"/>
        </w:rPr>
        <w:t>result</w:t>
      </w:r>
      <w:r w:rsidR="006228F5">
        <w:rPr>
          <w:lang w:val="en-GB"/>
        </w:rPr>
        <w:t>ed</w:t>
      </w:r>
      <w:r w:rsidR="006228F5" w:rsidRPr="00DA0C94">
        <w:rPr>
          <w:lang w:val="en-GB"/>
        </w:rPr>
        <w:t xml:space="preserve"> </w:t>
      </w:r>
      <w:r w:rsidRPr="00DA0C94">
        <w:rPr>
          <w:lang w:val="en-GB"/>
        </w:rPr>
        <w:t xml:space="preserve">in lower staff engagement and advocacy. When faced with budget constraints, management might cut costs by restricting cash donations. As a result, charity </w:t>
      </w:r>
      <w:r w:rsidR="00556891" w:rsidRPr="00DA0C94">
        <w:rPr>
          <w:lang w:val="en-GB"/>
        </w:rPr>
        <w:t>organizations</w:t>
      </w:r>
      <w:r w:rsidRPr="00DA0C94">
        <w:rPr>
          <w:lang w:val="en-GB"/>
        </w:rPr>
        <w:t xml:space="preserve"> </w:t>
      </w:r>
      <w:r w:rsidR="006228F5">
        <w:rPr>
          <w:lang w:val="en-GB"/>
        </w:rPr>
        <w:t>that lacked</w:t>
      </w:r>
      <w:r w:rsidR="006228F5" w:rsidRPr="00DA0C94">
        <w:rPr>
          <w:lang w:val="en-GB"/>
        </w:rPr>
        <w:t xml:space="preserve"> </w:t>
      </w:r>
      <w:r w:rsidRPr="00DA0C94">
        <w:rPr>
          <w:lang w:val="en-GB"/>
        </w:rPr>
        <w:t xml:space="preserve">strong business interests might be abandoned during bad economic times. If these contributions were in the form of partnerships and volunteerisms, cash flow problems would have less adverse impact on the continuity of the CSR efforts. </w:t>
      </w:r>
    </w:p>
    <w:p w14:paraId="3A4C0299" w14:textId="77777777" w:rsidR="00B57B82" w:rsidRPr="00DA0C94" w:rsidRDefault="00B57B82" w:rsidP="00B57B82">
      <w:pPr>
        <w:pStyle w:val="BodyTextMain"/>
        <w:rPr>
          <w:sz w:val="20"/>
          <w:lang w:val="en-GB"/>
        </w:rPr>
      </w:pPr>
    </w:p>
    <w:p w14:paraId="110C8BC4" w14:textId="5A01771B" w:rsidR="00B57B82" w:rsidRPr="00DA0C94" w:rsidRDefault="00B57B82" w:rsidP="00B57B82">
      <w:pPr>
        <w:pStyle w:val="BodyTextMain"/>
        <w:rPr>
          <w:b/>
          <w:i/>
          <w:lang w:val="en-GB"/>
        </w:rPr>
      </w:pPr>
      <w:r w:rsidRPr="00DA0C94">
        <w:rPr>
          <w:lang w:val="en-GB"/>
        </w:rPr>
        <w:t>Hence, besides cash donation</w:t>
      </w:r>
      <w:r w:rsidR="00A85D00">
        <w:rPr>
          <w:lang w:val="en-GB"/>
        </w:rPr>
        <w:t>s</w:t>
      </w:r>
      <w:r w:rsidRPr="00DA0C94">
        <w:rPr>
          <w:lang w:val="en-GB"/>
        </w:rPr>
        <w:t xml:space="preserve">, </w:t>
      </w:r>
      <w:r w:rsidR="004875E0">
        <w:rPr>
          <w:lang w:val="en-GB"/>
        </w:rPr>
        <w:t>SingTel</w:t>
      </w:r>
      <w:r w:rsidRPr="00DA0C94">
        <w:rPr>
          <w:lang w:val="en-GB"/>
        </w:rPr>
        <w:t xml:space="preserve"> had also experimented with using its expertise in areas of </w:t>
      </w:r>
      <w:r w:rsidR="006228F5">
        <w:rPr>
          <w:lang w:val="en-GB"/>
        </w:rPr>
        <w:t>i</w:t>
      </w:r>
      <w:r w:rsidRPr="00DA0C94">
        <w:rPr>
          <w:lang w:val="en-GB"/>
        </w:rPr>
        <w:t xml:space="preserve">nformation and </w:t>
      </w:r>
      <w:r w:rsidR="006228F5">
        <w:rPr>
          <w:lang w:val="en-GB"/>
        </w:rPr>
        <w:t>c</w:t>
      </w:r>
      <w:r w:rsidRPr="00DA0C94">
        <w:rPr>
          <w:lang w:val="en-GB"/>
        </w:rPr>
        <w:t xml:space="preserve">ommunication </w:t>
      </w:r>
      <w:r w:rsidR="006228F5">
        <w:rPr>
          <w:lang w:val="en-GB"/>
        </w:rPr>
        <w:t>t</w:t>
      </w:r>
      <w:r w:rsidRPr="00DA0C94">
        <w:rPr>
          <w:lang w:val="en-GB"/>
        </w:rPr>
        <w:t xml:space="preserve">echnology to help improve the lives of vulnerable communities. For example, </w:t>
      </w:r>
      <w:r w:rsidR="004875E0">
        <w:rPr>
          <w:lang w:val="en-GB"/>
        </w:rPr>
        <w:t>SingTel</w:t>
      </w:r>
      <w:r w:rsidRPr="00DA0C94">
        <w:rPr>
          <w:lang w:val="en-GB"/>
        </w:rPr>
        <w:t xml:space="preserve"> supported a social enterprise and sponsored data </w:t>
      </w:r>
      <w:r w:rsidR="00A85D00">
        <w:rPr>
          <w:lang w:val="en-GB"/>
        </w:rPr>
        <w:t>SIM (subscriber information module)</w:t>
      </w:r>
      <w:r w:rsidR="00A85D00" w:rsidRPr="00DA0C94">
        <w:rPr>
          <w:lang w:val="en-GB"/>
        </w:rPr>
        <w:t xml:space="preserve"> </w:t>
      </w:r>
      <w:r w:rsidRPr="00DA0C94">
        <w:rPr>
          <w:lang w:val="en-GB"/>
        </w:rPr>
        <w:t xml:space="preserve">cards on a technical trial to aid autistic children. Controlled by a smartphone </w:t>
      </w:r>
      <w:r w:rsidR="00A85D00">
        <w:rPr>
          <w:lang w:val="en-GB"/>
        </w:rPr>
        <w:t>application (</w:t>
      </w:r>
      <w:r w:rsidRPr="00DA0C94">
        <w:rPr>
          <w:lang w:val="en-GB"/>
        </w:rPr>
        <w:t>app</w:t>
      </w:r>
      <w:r w:rsidR="00A85D00">
        <w:rPr>
          <w:lang w:val="en-GB"/>
        </w:rPr>
        <w:t>)</w:t>
      </w:r>
      <w:r w:rsidRPr="00DA0C94">
        <w:rPr>
          <w:lang w:val="en-GB"/>
        </w:rPr>
        <w:t>, caregivers were able to monitor the vital signs of the child with the help of a vest worn by the child.</w:t>
      </w:r>
      <w:r w:rsidR="00DA0C94" w:rsidRPr="00DA0C94">
        <w:rPr>
          <w:lang w:val="en-GB"/>
        </w:rPr>
        <w:t xml:space="preserve"> </w:t>
      </w:r>
    </w:p>
    <w:p w14:paraId="295A8C10" w14:textId="77777777" w:rsidR="00B57B82" w:rsidRPr="00DA0C94" w:rsidRDefault="00B57B82" w:rsidP="00B57B82">
      <w:pPr>
        <w:pStyle w:val="BodyTextMain"/>
        <w:rPr>
          <w:sz w:val="20"/>
          <w:lang w:val="en-GB"/>
        </w:rPr>
      </w:pPr>
    </w:p>
    <w:p w14:paraId="11BBFB96" w14:textId="027CD722" w:rsidR="00B57B82" w:rsidRPr="003C725A" w:rsidRDefault="00B57B82" w:rsidP="00B57B82">
      <w:pPr>
        <w:pStyle w:val="BodyTextMain"/>
        <w:rPr>
          <w:lang w:val="en-GB"/>
        </w:rPr>
      </w:pPr>
      <w:r w:rsidRPr="003C725A">
        <w:rPr>
          <w:lang w:val="en-GB"/>
        </w:rPr>
        <w:t xml:space="preserve">As part of the global movement toward creating more CSR impacts, </w:t>
      </w:r>
      <w:r w:rsidR="004875E0">
        <w:rPr>
          <w:lang w:val="en-GB"/>
        </w:rPr>
        <w:t>SingTel</w:t>
      </w:r>
      <w:r w:rsidRPr="003C725A">
        <w:rPr>
          <w:lang w:val="en-GB"/>
        </w:rPr>
        <w:t xml:space="preserve"> joined the United Nations Global Compact (UNGC) in 2007 and had been an active member since</w:t>
      </w:r>
      <w:r w:rsidR="00007063" w:rsidRPr="003C725A">
        <w:rPr>
          <w:lang w:val="en-GB"/>
        </w:rPr>
        <w:t xml:space="preserve"> then</w:t>
      </w:r>
      <w:r w:rsidRPr="003C725A">
        <w:rPr>
          <w:lang w:val="en-GB"/>
        </w:rPr>
        <w:t xml:space="preserve">. </w:t>
      </w:r>
      <w:r w:rsidR="00A85D00" w:rsidRPr="003C725A">
        <w:rPr>
          <w:lang w:val="en-GB"/>
        </w:rPr>
        <w:t xml:space="preserve">The </w:t>
      </w:r>
      <w:r w:rsidRPr="003C725A">
        <w:rPr>
          <w:lang w:val="en-GB"/>
        </w:rPr>
        <w:t xml:space="preserve">UNGC </w:t>
      </w:r>
      <w:r w:rsidR="00A85D00" w:rsidRPr="003C725A">
        <w:rPr>
          <w:lang w:val="en-GB"/>
        </w:rPr>
        <w:t xml:space="preserve">was </w:t>
      </w:r>
      <w:r w:rsidRPr="003C725A">
        <w:rPr>
          <w:lang w:val="en-GB"/>
        </w:rPr>
        <w:t xml:space="preserve">a global governance agency established in 2000 that was aimed at encouraging businesses to adopt sustainable and socially responsible policies. </w:t>
      </w:r>
      <w:r w:rsidR="00A85D00" w:rsidRPr="003C725A">
        <w:rPr>
          <w:lang w:val="en-GB"/>
        </w:rPr>
        <w:t xml:space="preserve">The </w:t>
      </w:r>
      <w:r w:rsidRPr="003C725A">
        <w:rPr>
          <w:lang w:val="en-GB"/>
        </w:rPr>
        <w:t>UNGC had helped in placing an agenda for CSR, facilitating and promoting dialogue</w:t>
      </w:r>
      <w:r w:rsidR="00A85D00" w:rsidRPr="003C725A">
        <w:rPr>
          <w:lang w:val="en-GB"/>
        </w:rPr>
        <w:t>,</w:t>
      </w:r>
      <w:r w:rsidRPr="003C725A">
        <w:rPr>
          <w:lang w:val="en-GB"/>
        </w:rPr>
        <w:t xml:space="preserve"> and most importantly, establishing global ethical standards based on common consensus. In 2013, </w:t>
      </w:r>
      <w:r w:rsidR="00A85D00" w:rsidRPr="003C725A">
        <w:rPr>
          <w:lang w:val="en-GB"/>
        </w:rPr>
        <w:t>the UNGC had more than</w:t>
      </w:r>
      <w:r w:rsidRPr="003C725A">
        <w:rPr>
          <w:lang w:val="en-GB"/>
        </w:rPr>
        <w:t xml:space="preserve"> 12,000 corporate participants and stakeholders from more than 145 countries. Businesses participating under UNGC initiatives had aligned their CSR strategies and operations with the UNGC’s 10 universally accepted principles in the areas of human rights, labour, environment</w:t>
      </w:r>
      <w:r w:rsidR="00A85D00" w:rsidRPr="003C725A">
        <w:rPr>
          <w:lang w:val="en-GB"/>
        </w:rPr>
        <w:t>,</w:t>
      </w:r>
      <w:r w:rsidRPr="003C725A">
        <w:rPr>
          <w:lang w:val="en-GB"/>
        </w:rPr>
        <w:t xml:space="preserve"> and anti-corruption.</w:t>
      </w:r>
      <w:r w:rsidR="008C623B">
        <w:rPr>
          <w:rStyle w:val="FootnoteReference"/>
          <w:lang w:val="en-GB"/>
        </w:rPr>
        <w:footnoteReference w:id="4"/>
      </w:r>
      <w:r w:rsidRPr="003C725A">
        <w:rPr>
          <w:lang w:val="en-GB"/>
        </w:rPr>
        <w:t xml:space="preserve"> By joining the UNGC, </w:t>
      </w:r>
      <w:r w:rsidR="004875E0">
        <w:rPr>
          <w:lang w:val="en-GB"/>
        </w:rPr>
        <w:t>SingTel</w:t>
      </w:r>
      <w:r w:rsidRPr="003C725A">
        <w:rPr>
          <w:lang w:val="en-GB"/>
        </w:rPr>
        <w:t xml:space="preserve"> could access the U</w:t>
      </w:r>
      <w:r w:rsidR="00A85D00" w:rsidRPr="003C725A">
        <w:rPr>
          <w:lang w:val="en-GB"/>
        </w:rPr>
        <w:t xml:space="preserve">nited </w:t>
      </w:r>
      <w:r w:rsidRPr="003C725A">
        <w:rPr>
          <w:lang w:val="en-GB"/>
        </w:rPr>
        <w:t>N</w:t>
      </w:r>
      <w:r w:rsidR="00A85D00" w:rsidRPr="003C725A">
        <w:rPr>
          <w:lang w:val="en-GB"/>
        </w:rPr>
        <w:t>ation</w:t>
      </w:r>
      <w:r w:rsidRPr="003C725A">
        <w:rPr>
          <w:lang w:val="en-GB"/>
        </w:rPr>
        <w:t xml:space="preserve">’s knowledge and experience on sustainability and development issues. It could also tap </w:t>
      </w:r>
      <w:r w:rsidR="00034A7C" w:rsidRPr="003C725A">
        <w:rPr>
          <w:lang w:val="en-GB"/>
        </w:rPr>
        <w:t xml:space="preserve">into </w:t>
      </w:r>
      <w:r w:rsidRPr="003C725A">
        <w:rPr>
          <w:lang w:val="en-GB"/>
        </w:rPr>
        <w:t xml:space="preserve">the large network of corporations to learn the best practices and solutions for common challenges in developing CSR </w:t>
      </w:r>
      <w:r w:rsidRPr="003C725A">
        <w:rPr>
          <w:lang w:val="en-GB"/>
        </w:rPr>
        <w:lastRenderedPageBreak/>
        <w:t xml:space="preserve">strategies. </w:t>
      </w:r>
      <w:r w:rsidR="004875E0">
        <w:rPr>
          <w:lang w:val="en-GB"/>
        </w:rPr>
        <w:t>SingTel</w:t>
      </w:r>
      <w:r w:rsidRPr="003C725A">
        <w:rPr>
          <w:lang w:val="en-GB"/>
        </w:rPr>
        <w:t xml:space="preserve"> produced yearly </w:t>
      </w:r>
      <w:r w:rsidR="00034A7C" w:rsidRPr="003C725A">
        <w:rPr>
          <w:lang w:val="en-GB"/>
        </w:rPr>
        <w:t>s</w:t>
      </w:r>
      <w:r w:rsidRPr="003C725A">
        <w:rPr>
          <w:lang w:val="en-GB"/>
        </w:rPr>
        <w:t xml:space="preserve">ustainability </w:t>
      </w:r>
      <w:r w:rsidR="00034A7C" w:rsidRPr="003C725A">
        <w:rPr>
          <w:lang w:val="en-GB"/>
        </w:rPr>
        <w:t>r</w:t>
      </w:r>
      <w:r w:rsidRPr="003C725A">
        <w:rPr>
          <w:lang w:val="en-GB"/>
        </w:rPr>
        <w:t xml:space="preserve">eports, which provided an overview of its sustainability efforts while supporting the UNGC’s 10 principles. </w:t>
      </w:r>
    </w:p>
    <w:p w14:paraId="73AF5EB0" w14:textId="77777777" w:rsidR="00B57B82" w:rsidRPr="00DA0C94" w:rsidRDefault="00B57B82" w:rsidP="00B57B82">
      <w:pPr>
        <w:pStyle w:val="BodyTextMain"/>
        <w:rPr>
          <w:sz w:val="20"/>
          <w:lang w:val="en-GB"/>
        </w:rPr>
      </w:pPr>
    </w:p>
    <w:p w14:paraId="29D084CB" w14:textId="7C07CEC7" w:rsidR="00B57B82" w:rsidRPr="007D3D05" w:rsidRDefault="004875E0" w:rsidP="00B57B82">
      <w:pPr>
        <w:pStyle w:val="BodyTextMain"/>
        <w:rPr>
          <w:spacing w:val="-4"/>
          <w:lang w:val="en-GB"/>
        </w:rPr>
      </w:pPr>
      <w:r w:rsidRPr="007D3D05">
        <w:rPr>
          <w:spacing w:val="-4"/>
          <w:lang w:val="en-GB"/>
        </w:rPr>
        <w:t>SingTel</w:t>
      </w:r>
      <w:r w:rsidR="00034A7C" w:rsidRPr="007D3D05">
        <w:rPr>
          <w:spacing w:val="-4"/>
          <w:lang w:val="en-GB"/>
        </w:rPr>
        <w:t>’s c</w:t>
      </w:r>
      <w:r w:rsidR="00B57B82" w:rsidRPr="007D3D05">
        <w:rPr>
          <w:spacing w:val="-4"/>
          <w:lang w:val="en-GB"/>
        </w:rPr>
        <w:t xml:space="preserve">orporate CSR efforts </w:t>
      </w:r>
      <w:r w:rsidR="00034A7C" w:rsidRPr="007D3D05">
        <w:rPr>
          <w:spacing w:val="-4"/>
          <w:lang w:val="en-GB"/>
        </w:rPr>
        <w:t>had been</w:t>
      </w:r>
      <w:r w:rsidR="00B57B82" w:rsidRPr="007D3D05">
        <w:rPr>
          <w:spacing w:val="-4"/>
          <w:lang w:val="en-GB"/>
        </w:rPr>
        <w:t xml:space="preserve"> widely </w:t>
      </w:r>
      <w:r w:rsidR="00556891" w:rsidRPr="007D3D05">
        <w:rPr>
          <w:spacing w:val="-4"/>
          <w:lang w:val="en-GB"/>
        </w:rPr>
        <w:t>recognized</w:t>
      </w:r>
      <w:r w:rsidR="00B57B82" w:rsidRPr="007D3D05">
        <w:rPr>
          <w:spacing w:val="-4"/>
          <w:lang w:val="en-GB"/>
        </w:rPr>
        <w:t xml:space="preserve">. In 2012, </w:t>
      </w:r>
      <w:r w:rsidRPr="007D3D05">
        <w:rPr>
          <w:spacing w:val="-4"/>
          <w:lang w:val="en-GB"/>
        </w:rPr>
        <w:t>SingTel</w:t>
      </w:r>
      <w:r w:rsidR="00B57B82" w:rsidRPr="007D3D05">
        <w:rPr>
          <w:spacing w:val="-4"/>
          <w:lang w:val="en-GB"/>
        </w:rPr>
        <w:t xml:space="preserve"> topped the Governance and Transparency Index in Singapore for the third consecutive year. In 2011 and 2012, </w:t>
      </w:r>
      <w:r w:rsidR="00034A7C" w:rsidRPr="007D3D05">
        <w:rPr>
          <w:spacing w:val="-4"/>
          <w:lang w:val="en-GB"/>
        </w:rPr>
        <w:t xml:space="preserve">the </w:t>
      </w:r>
      <w:proofErr w:type="spellStart"/>
      <w:r w:rsidR="00034A7C" w:rsidRPr="007D3D05">
        <w:rPr>
          <w:spacing w:val="-4"/>
          <w:lang w:val="en-GB"/>
        </w:rPr>
        <w:t>Ethisphere</w:t>
      </w:r>
      <w:proofErr w:type="spellEnd"/>
      <w:r w:rsidR="00034A7C" w:rsidRPr="007D3D05">
        <w:rPr>
          <w:spacing w:val="-4"/>
          <w:lang w:val="en-GB"/>
        </w:rPr>
        <w:t xml:space="preserve"> Institute recognized </w:t>
      </w:r>
      <w:r w:rsidRPr="007D3D05">
        <w:rPr>
          <w:spacing w:val="-4"/>
          <w:lang w:val="en-GB"/>
        </w:rPr>
        <w:t>SingTel</w:t>
      </w:r>
      <w:r w:rsidR="00B57B82" w:rsidRPr="007D3D05">
        <w:rPr>
          <w:spacing w:val="-4"/>
          <w:lang w:val="en-GB"/>
        </w:rPr>
        <w:t xml:space="preserve"> as one of the </w:t>
      </w:r>
      <w:r w:rsidR="00034A7C" w:rsidRPr="007D3D05">
        <w:rPr>
          <w:spacing w:val="-4"/>
          <w:lang w:val="en-GB"/>
        </w:rPr>
        <w:t>“</w:t>
      </w:r>
      <w:r w:rsidR="00B57B82" w:rsidRPr="007D3D05">
        <w:rPr>
          <w:spacing w:val="-4"/>
          <w:lang w:val="en-GB"/>
        </w:rPr>
        <w:t>World’s Most Ethical Companies</w:t>
      </w:r>
      <w:r w:rsidR="00034A7C" w:rsidRPr="007D3D05">
        <w:rPr>
          <w:spacing w:val="-4"/>
          <w:lang w:val="en-GB"/>
        </w:rPr>
        <w:t>.”</w:t>
      </w:r>
      <w:r w:rsidR="00B57B82" w:rsidRPr="007D3D05">
        <w:rPr>
          <w:spacing w:val="-4"/>
          <w:lang w:val="en-GB"/>
        </w:rPr>
        <w:t xml:space="preserve"> A survey found that </w:t>
      </w:r>
      <w:r w:rsidRPr="007D3D05">
        <w:rPr>
          <w:spacing w:val="-4"/>
          <w:lang w:val="en-GB"/>
        </w:rPr>
        <w:t>SingTel</w:t>
      </w:r>
      <w:r w:rsidR="00B57B82" w:rsidRPr="007D3D05">
        <w:rPr>
          <w:spacing w:val="-4"/>
          <w:lang w:val="en-GB"/>
        </w:rPr>
        <w:t xml:space="preserve"> had outperformed other companies on a local, sector</w:t>
      </w:r>
      <w:r w:rsidR="00034A7C" w:rsidRPr="007D3D05">
        <w:rPr>
          <w:spacing w:val="-4"/>
          <w:lang w:val="en-GB"/>
        </w:rPr>
        <w:t>,</w:t>
      </w:r>
      <w:r w:rsidR="00B57B82" w:rsidRPr="007D3D05">
        <w:rPr>
          <w:spacing w:val="-4"/>
          <w:lang w:val="en-GB"/>
        </w:rPr>
        <w:t xml:space="preserve"> and global scale</w:t>
      </w:r>
      <w:r w:rsidR="00034A7C" w:rsidRPr="007D3D05">
        <w:rPr>
          <w:spacing w:val="-4"/>
          <w:lang w:val="en-GB"/>
        </w:rPr>
        <w:t>, by attaining a CSR engagement score of 83 per cent, which</w:t>
      </w:r>
      <w:r w:rsidR="00B57B82" w:rsidRPr="007D3D05">
        <w:rPr>
          <w:spacing w:val="-4"/>
          <w:lang w:val="en-GB"/>
        </w:rPr>
        <w:t xml:space="preserve"> was </w:t>
      </w:r>
      <w:r w:rsidR="00F91B62" w:rsidRPr="007D3D05">
        <w:rPr>
          <w:spacing w:val="-4"/>
          <w:lang w:val="en-GB"/>
        </w:rPr>
        <w:t>five</w:t>
      </w:r>
      <w:r w:rsidR="00034A7C" w:rsidRPr="007D3D05">
        <w:rPr>
          <w:spacing w:val="-4"/>
          <w:lang w:val="en-GB"/>
        </w:rPr>
        <w:t xml:space="preserve"> per cent</w:t>
      </w:r>
      <w:r w:rsidR="00B57B82" w:rsidRPr="007D3D05">
        <w:rPr>
          <w:spacing w:val="-4"/>
          <w:lang w:val="en-GB"/>
        </w:rPr>
        <w:t xml:space="preserve"> above Singapore</w:t>
      </w:r>
      <w:r w:rsidR="00034A7C" w:rsidRPr="007D3D05">
        <w:rPr>
          <w:spacing w:val="-4"/>
          <w:lang w:val="en-GB"/>
        </w:rPr>
        <w:t>’s</w:t>
      </w:r>
      <w:r w:rsidR="00B57B82" w:rsidRPr="007D3D05">
        <w:rPr>
          <w:spacing w:val="-4"/>
          <w:lang w:val="en-GB"/>
        </w:rPr>
        <w:t xml:space="preserve"> </w:t>
      </w:r>
      <w:r w:rsidR="00034A7C" w:rsidRPr="007D3D05">
        <w:rPr>
          <w:spacing w:val="-4"/>
          <w:lang w:val="en-GB"/>
        </w:rPr>
        <w:t>n</w:t>
      </w:r>
      <w:r w:rsidR="00B57B82" w:rsidRPr="007D3D05">
        <w:rPr>
          <w:spacing w:val="-4"/>
          <w:lang w:val="en-GB"/>
        </w:rPr>
        <w:t xml:space="preserve">ational norm, </w:t>
      </w:r>
      <w:r w:rsidR="00F91B62" w:rsidRPr="007D3D05">
        <w:rPr>
          <w:spacing w:val="-4"/>
          <w:lang w:val="en-GB"/>
        </w:rPr>
        <w:t>nine</w:t>
      </w:r>
      <w:r w:rsidR="00034A7C" w:rsidRPr="007D3D05">
        <w:rPr>
          <w:spacing w:val="-4"/>
          <w:lang w:val="en-GB"/>
        </w:rPr>
        <w:t xml:space="preserve"> per cent</w:t>
      </w:r>
      <w:r w:rsidR="00B57B82" w:rsidRPr="007D3D05">
        <w:rPr>
          <w:spacing w:val="-4"/>
          <w:lang w:val="en-GB"/>
        </w:rPr>
        <w:t xml:space="preserve"> above the </w:t>
      </w:r>
      <w:r w:rsidR="00034A7C" w:rsidRPr="007D3D05">
        <w:rPr>
          <w:spacing w:val="-4"/>
          <w:lang w:val="en-GB"/>
        </w:rPr>
        <w:t>norm for the g</w:t>
      </w:r>
      <w:r w:rsidR="00B57B82" w:rsidRPr="007D3D05">
        <w:rPr>
          <w:spacing w:val="-4"/>
          <w:lang w:val="en-GB"/>
        </w:rPr>
        <w:t xml:space="preserve">lobal </w:t>
      </w:r>
      <w:r w:rsidR="00034A7C" w:rsidRPr="007D3D05">
        <w:rPr>
          <w:spacing w:val="-4"/>
          <w:lang w:val="en-GB"/>
        </w:rPr>
        <w:t>t</w:t>
      </w:r>
      <w:r w:rsidR="00B57B82" w:rsidRPr="007D3D05">
        <w:rPr>
          <w:spacing w:val="-4"/>
          <w:lang w:val="en-GB"/>
        </w:rPr>
        <w:t xml:space="preserve">elecommunications </w:t>
      </w:r>
      <w:r w:rsidR="00034A7C" w:rsidRPr="007D3D05">
        <w:rPr>
          <w:spacing w:val="-4"/>
          <w:lang w:val="en-GB"/>
        </w:rPr>
        <w:t>s</w:t>
      </w:r>
      <w:r w:rsidR="00B57B82" w:rsidRPr="007D3D05">
        <w:rPr>
          <w:spacing w:val="-4"/>
          <w:lang w:val="en-GB"/>
        </w:rPr>
        <w:t>ector</w:t>
      </w:r>
      <w:r w:rsidR="00034A7C" w:rsidRPr="007D3D05">
        <w:rPr>
          <w:spacing w:val="-4"/>
          <w:lang w:val="en-GB"/>
        </w:rPr>
        <w:t>,</w:t>
      </w:r>
      <w:r w:rsidR="00B57B82" w:rsidRPr="007D3D05">
        <w:rPr>
          <w:spacing w:val="-4"/>
          <w:lang w:val="en-GB"/>
        </w:rPr>
        <w:t xml:space="preserve"> and </w:t>
      </w:r>
      <w:r w:rsidR="00F91B62" w:rsidRPr="007D3D05">
        <w:rPr>
          <w:spacing w:val="-4"/>
          <w:lang w:val="en-GB"/>
        </w:rPr>
        <w:t>one</w:t>
      </w:r>
      <w:r w:rsidR="00034A7C" w:rsidRPr="007D3D05">
        <w:rPr>
          <w:spacing w:val="-4"/>
          <w:lang w:val="en-GB"/>
        </w:rPr>
        <w:t xml:space="preserve"> per cent</w:t>
      </w:r>
      <w:r w:rsidR="00B57B82" w:rsidRPr="007D3D05">
        <w:rPr>
          <w:spacing w:val="-4"/>
          <w:lang w:val="en-GB"/>
        </w:rPr>
        <w:t xml:space="preserve"> above the </w:t>
      </w:r>
      <w:r w:rsidR="00034A7C" w:rsidRPr="007D3D05">
        <w:rPr>
          <w:spacing w:val="-4"/>
          <w:lang w:val="en-GB"/>
        </w:rPr>
        <w:t>norm for g</w:t>
      </w:r>
      <w:r w:rsidR="00B57B82" w:rsidRPr="007D3D05">
        <w:rPr>
          <w:spacing w:val="-4"/>
          <w:lang w:val="en-GB"/>
        </w:rPr>
        <w:t xml:space="preserve">lobal </w:t>
      </w:r>
      <w:r w:rsidR="00034A7C" w:rsidRPr="007D3D05">
        <w:rPr>
          <w:spacing w:val="-4"/>
          <w:lang w:val="en-GB"/>
        </w:rPr>
        <w:t>h</w:t>
      </w:r>
      <w:r w:rsidR="00B57B82" w:rsidRPr="007D3D05">
        <w:rPr>
          <w:spacing w:val="-4"/>
          <w:lang w:val="en-GB"/>
        </w:rPr>
        <w:t>igh</w:t>
      </w:r>
      <w:r w:rsidR="00034A7C" w:rsidRPr="007D3D05">
        <w:rPr>
          <w:spacing w:val="-4"/>
          <w:lang w:val="en-GB"/>
        </w:rPr>
        <w:t>-p</w:t>
      </w:r>
      <w:r w:rsidR="00B57B82" w:rsidRPr="007D3D05">
        <w:rPr>
          <w:spacing w:val="-4"/>
          <w:lang w:val="en-GB"/>
        </w:rPr>
        <w:t xml:space="preserve">erformance </w:t>
      </w:r>
      <w:r w:rsidR="00034A7C" w:rsidRPr="007D3D05">
        <w:rPr>
          <w:spacing w:val="-4"/>
          <w:lang w:val="en-GB"/>
        </w:rPr>
        <w:t>c</w:t>
      </w:r>
      <w:r w:rsidR="00B57B82" w:rsidRPr="007D3D05">
        <w:rPr>
          <w:spacing w:val="-4"/>
          <w:lang w:val="en-GB"/>
        </w:rPr>
        <w:t>ompan</w:t>
      </w:r>
      <w:r w:rsidR="00034A7C" w:rsidRPr="007D3D05">
        <w:rPr>
          <w:spacing w:val="-4"/>
          <w:lang w:val="en-GB"/>
        </w:rPr>
        <w:t>ies</w:t>
      </w:r>
      <w:r w:rsidR="00B57B82" w:rsidRPr="007D3D05">
        <w:rPr>
          <w:spacing w:val="-4"/>
          <w:lang w:val="en-GB"/>
        </w:rPr>
        <w:t xml:space="preserve">. In 2013, </w:t>
      </w:r>
      <w:r w:rsidRPr="007D3D05">
        <w:rPr>
          <w:spacing w:val="-4"/>
          <w:lang w:val="en-GB"/>
        </w:rPr>
        <w:t>SingTel</w:t>
      </w:r>
      <w:r w:rsidR="00B57B82" w:rsidRPr="007D3D05">
        <w:rPr>
          <w:spacing w:val="-4"/>
          <w:lang w:val="en-GB"/>
        </w:rPr>
        <w:t xml:space="preserve"> was one of the two CSR practitioners invited to share its experience at the Global Compact Network Singapore Summit. Compared </w:t>
      </w:r>
      <w:r w:rsidR="00643220" w:rsidRPr="007D3D05">
        <w:rPr>
          <w:spacing w:val="-4"/>
          <w:lang w:val="en-GB"/>
        </w:rPr>
        <w:t xml:space="preserve">with </w:t>
      </w:r>
      <w:r w:rsidR="00B57B82" w:rsidRPr="007D3D05">
        <w:rPr>
          <w:spacing w:val="-4"/>
          <w:lang w:val="en-GB"/>
        </w:rPr>
        <w:t xml:space="preserve">other Singapore companies, </w:t>
      </w:r>
      <w:r w:rsidRPr="007D3D05">
        <w:rPr>
          <w:spacing w:val="-4"/>
          <w:lang w:val="en-GB"/>
        </w:rPr>
        <w:t>SingTel</w:t>
      </w:r>
      <w:r w:rsidR="00B57B82" w:rsidRPr="007D3D05">
        <w:rPr>
          <w:spacing w:val="-4"/>
          <w:lang w:val="en-GB"/>
        </w:rPr>
        <w:t xml:space="preserve">’s CSR score was </w:t>
      </w:r>
      <w:r w:rsidR="00F91B62" w:rsidRPr="007D3D05">
        <w:rPr>
          <w:spacing w:val="-4"/>
          <w:lang w:val="en-GB"/>
        </w:rPr>
        <w:t>three</w:t>
      </w:r>
      <w:r w:rsidR="00643220" w:rsidRPr="007D3D05">
        <w:rPr>
          <w:spacing w:val="-4"/>
          <w:lang w:val="en-GB"/>
        </w:rPr>
        <w:t xml:space="preserve"> per cent</w:t>
      </w:r>
      <w:r w:rsidR="00B57B82" w:rsidRPr="007D3D05">
        <w:rPr>
          <w:spacing w:val="-4"/>
          <w:lang w:val="en-GB"/>
        </w:rPr>
        <w:t xml:space="preserve"> above the Singapore </w:t>
      </w:r>
      <w:r w:rsidR="00643220" w:rsidRPr="007D3D05">
        <w:rPr>
          <w:spacing w:val="-4"/>
          <w:lang w:val="en-GB"/>
        </w:rPr>
        <w:t>n</w:t>
      </w:r>
      <w:r w:rsidR="00B57B82" w:rsidRPr="007D3D05">
        <w:rPr>
          <w:spacing w:val="-4"/>
          <w:lang w:val="en-GB"/>
        </w:rPr>
        <w:t xml:space="preserve">ational average, </w:t>
      </w:r>
      <w:r w:rsidR="00F91B62" w:rsidRPr="007D3D05">
        <w:rPr>
          <w:spacing w:val="-4"/>
          <w:lang w:val="en-GB"/>
        </w:rPr>
        <w:t xml:space="preserve">one </w:t>
      </w:r>
      <w:r w:rsidR="00007063" w:rsidRPr="007D3D05">
        <w:rPr>
          <w:spacing w:val="-4"/>
          <w:lang w:val="en-GB"/>
        </w:rPr>
        <w:t>per cent</w:t>
      </w:r>
      <w:r w:rsidR="00B57B82" w:rsidRPr="007D3D05">
        <w:rPr>
          <w:spacing w:val="-4"/>
          <w:lang w:val="en-GB"/>
        </w:rPr>
        <w:t xml:space="preserve"> below the </w:t>
      </w:r>
      <w:r w:rsidR="00643220" w:rsidRPr="007D3D05">
        <w:rPr>
          <w:spacing w:val="-4"/>
          <w:lang w:val="en-GB"/>
        </w:rPr>
        <w:t>average for g</w:t>
      </w:r>
      <w:r w:rsidR="00B57B82" w:rsidRPr="007D3D05">
        <w:rPr>
          <w:spacing w:val="-4"/>
          <w:lang w:val="en-GB"/>
        </w:rPr>
        <w:t xml:space="preserve">lobal </w:t>
      </w:r>
      <w:r w:rsidR="00643220" w:rsidRPr="007D3D05">
        <w:rPr>
          <w:spacing w:val="-4"/>
          <w:lang w:val="en-GB"/>
        </w:rPr>
        <w:t>h</w:t>
      </w:r>
      <w:r w:rsidR="00B57B82" w:rsidRPr="007D3D05">
        <w:rPr>
          <w:spacing w:val="-4"/>
          <w:lang w:val="en-GB"/>
        </w:rPr>
        <w:t>igh</w:t>
      </w:r>
      <w:r w:rsidR="00643220" w:rsidRPr="007D3D05">
        <w:rPr>
          <w:spacing w:val="-4"/>
          <w:lang w:val="en-GB"/>
        </w:rPr>
        <w:t>-p</w:t>
      </w:r>
      <w:r w:rsidR="00B57B82" w:rsidRPr="007D3D05">
        <w:rPr>
          <w:spacing w:val="-4"/>
          <w:lang w:val="en-GB"/>
        </w:rPr>
        <w:t xml:space="preserve">erformance </w:t>
      </w:r>
      <w:r w:rsidR="00643220" w:rsidRPr="007D3D05">
        <w:rPr>
          <w:spacing w:val="-4"/>
          <w:lang w:val="en-GB"/>
        </w:rPr>
        <w:t>c</w:t>
      </w:r>
      <w:r w:rsidR="00B57B82" w:rsidRPr="007D3D05">
        <w:rPr>
          <w:spacing w:val="-4"/>
          <w:lang w:val="en-GB"/>
        </w:rPr>
        <w:t>ompan</w:t>
      </w:r>
      <w:r w:rsidR="00643220" w:rsidRPr="007D3D05">
        <w:rPr>
          <w:spacing w:val="-4"/>
          <w:lang w:val="en-GB"/>
        </w:rPr>
        <w:t>ies,</w:t>
      </w:r>
      <w:r w:rsidR="00B57B82" w:rsidRPr="007D3D05">
        <w:rPr>
          <w:spacing w:val="-4"/>
          <w:lang w:val="en-GB"/>
        </w:rPr>
        <w:t xml:space="preserve"> and 10</w:t>
      </w:r>
      <w:r w:rsidR="00643220" w:rsidRPr="007D3D05">
        <w:rPr>
          <w:spacing w:val="-4"/>
          <w:lang w:val="en-GB"/>
        </w:rPr>
        <w:t xml:space="preserve"> per cent</w:t>
      </w:r>
      <w:r w:rsidR="00B57B82" w:rsidRPr="007D3D05">
        <w:rPr>
          <w:spacing w:val="-4"/>
          <w:lang w:val="en-GB"/>
        </w:rPr>
        <w:t xml:space="preserve"> above the </w:t>
      </w:r>
      <w:r w:rsidR="00643220" w:rsidRPr="007D3D05">
        <w:rPr>
          <w:spacing w:val="-4"/>
          <w:lang w:val="en-GB"/>
        </w:rPr>
        <w:t>average for g</w:t>
      </w:r>
      <w:r w:rsidR="00B57B82" w:rsidRPr="007D3D05">
        <w:rPr>
          <w:spacing w:val="-4"/>
          <w:lang w:val="en-GB"/>
        </w:rPr>
        <w:t xml:space="preserve">lobal </w:t>
      </w:r>
      <w:r w:rsidR="00643220" w:rsidRPr="007D3D05">
        <w:rPr>
          <w:spacing w:val="-4"/>
          <w:lang w:val="en-GB"/>
        </w:rPr>
        <w:t>t</w:t>
      </w:r>
      <w:r w:rsidR="00B57B82" w:rsidRPr="007D3D05">
        <w:rPr>
          <w:spacing w:val="-4"/>
          <w:lang w:val="en-GB"/>
        </w:rPr>
        <w:t xml:space="preserve">ransitional </w:t>
      </w:r>
      <w:r w:rsidR="00643220" w:rsidRPr="007D3D05">
        <w:rPr>
          <w:spacing w:val="-4"/>
          <w:lang w:val="en-GB"/>
        </w:rPr>
        <w:t>c</w:t>
      </w:r>
      <w:r w:rsidR="00B57B82" w:rsidRPr="007D3D05">
        <w:rPr>
          <w:spacing w:val="-4"/>
          <w:lang w:val="en-GB"/>
        </w:rPr>
        <w:t xml:space="preserve">ompanies. Using the </w:t>
      </w:r>
      <w:r w:rsidR="00643220" w:rsidRPr="007D3D05">
        <w:rPr>
          <w:spacing w:val="-4"/>
          <w:lang w:val="en-GB"/>
        </w:rPr>
        <w:t>environmental, social, and governance (</w:t>
      </w:r>
      <w:r w:rsidR="00B57B82" w:rsidRPr="007D3D05">
        <w:rPr>
          <w:spacing w:val="-4"/>
          <w:lang w:val="en-GB"/>
        </w:rPr>
        <w:t>ESG</w:t>
      </w:r>
      <w:r w:rsidR="00643220" w:rsidRPr="007D3D05">
        <w:rPr>
          <w:spacing w:val="-4"/>
          <w:lang w:val="en-GB"/>
        </w:rPr>
        <w:t>)</w:t>
      </w:r>
      <w:r w:rsidR="00B57B82" w:rsidRPr="007D3D05">
        <w:rPr>
          <w:spacing w:val="-4"/>
          <w:lang w:val="en-GB"/>
        </w:rPr>
        <w:t xml:space="preserve"> ratings from </w:t>
      </w:r>
      <w:r w:rsidR="00643220" w:rsidRPr="007D3D05">
        <w:rPr>
          <w:spacing w:val="-4"/>
          <w:lang w:val="en-GB"/>
        </w:rPr>
        <w:t>Morgan Stanley Capital International Inc. (</w:t>
      </w:r>
      <w:r w:rsidR="00B57B82" w:rsidRPr="007D3D05">
        <w:rPr>
          <w:spacing w:val="-4"/>
          <w:lang w:val="en-GB"/>
        </w:rPr>
        <w:t>MSCI</w:t>
      </w:r>
      <w:r w:rsidR="00643220" w:rsidRPr="007D3D05">
        <w:rPr>
          <w:spacing w:val="-4"/>
          <w:lang w:val="en-GB"/>
        </w:rPr>
        <w:t>)</w:t>
      </w:r>
      <w:r w:rsidR="00B57B82" w:rsidRPr="007D3D05">
        <w:rPr>
          <w:spacing w:val="-4"/>
          <w:lang w:val="en-GB"/>
        </w:rPr>
        <w:t xml:space="preserve">, </w:t>
      </w:r>
      <w:r w:rsidRPr="007D3D05">
        <w:rPr>
          <w:spacing w:val="-4"/>
          <w:lang w:val="en-GB"/>
        </w:rPr>
        <w:t>SingTel</w:t>
      </w:r>
      <w:r w:rsidR="00B57B82" w:rsidRPr="007D3D05">
        <w:rPr>
          <w:spacing w:val="-4"/>
          <w:lang w:val="en-GB"/>
        </w:rPr>
        <w:t xml:space="preserve"> was found to </w:t>
      </w:r>
      <w:r w:rsidR="00643220" w:rsidRPr="007D3D05">
        <w:rPr>
          <w:spacing w:val="-4"/>
          <w:lang w:val="en-GB"/>
        </w:rPr>
        <w:t>rank higher</w:t>
      </w:r>
      <w:r w:rsidR="00D572F2" w:rsidRPr="007D3D05">
        <w:rPr>
          <w:spacing w:val="-4"/>
          <w:lang w:val="en-GB"/>
        </w:rPr>
        <w:t xml:space="preserve"> in 2012</w:t>
      </w:r>
      <w:r w:rsidR="00B57B82" w:rsidRPr="007D3D05">
        <w:rPr>
          <w:spacing w:val="-4"/>
          <w:lang w:val="en-GB"/>
        </w:rPr>
        <w:t xml:space="preserve"> than the average Singapore </w:t>
      </w:r>
      <w:r w:rsidR="00643220" w:rsidRPr="007D3D05">
        <w:rPr>
          <w:spacing w:val="-4"/>
          <w:lang w:val="en-GB"/>
        </w:rPr>
        <w:t xml:space="preserve">company </w:t>
      </w:r>
      <w:r w:rsidR="00B57B82" w:rsidRPr="007D3D05">
        <w:rPr>
          <w:spacing w:val="-4"/>
          <w:lang w:val="en-GB"/>
        </w:rPr>
        <w:t xml:space="preserve">in </w:t>
      </w:r>
      <w:r w:rsidR="00D572F2" w:rsidRPr="007D3D05">
        <w:rPr>
          <w:spacing w:val="-4"/>
          <w:lang w:val="en-GB"/>
        </w:rPr>
        <w:t xml:space="preserve">a </w:t>
      </w:r>
      <w:r w:rsidR="00B57B82" w:rsidRPr="007D3D05">
        <w:rPr>
          <w:spacing w:val="-4"/>
          <w:lang w:val="en-GB"/>
        </w:rPr>
        <w:t>similar telecommunication industry in all aspects (</w:t>
      </w:r>
      <w:r w:rsidR="00643220" w:rsidRPr="007D3D05">
        <w:rPr>
          <w:spacing w:val="-4"/>
          <w:lang w:val="en-GB"/>
        </w:rPr>
        <w:t xml:space="preserve">see </w:t>
      </w:r>
      <w:r w:rsidR="00B57B82" w:rsidRPr="007D3D05">
        <w:rPr>
          <w:spacing w:val="-4"/>
          <w:lang w:val="en-GB"/>
        </w:rPr>
        <w:t xml:space="preserve">Exhibit 1). However, </w:t>
      </w:r>
      <w:r w:rsidRPr="007D3D05">
        <w:rPr>
          <w:spacing w:val="-4"/>
          <w:lang w:val="en-GB"/>
        </w:rPr>
        <w:t>SingTel</w:t>
      </w:r>
      <w:r w:rsidR="00B57B82" w:rsidRPr="007D3D05">
        <w:rPr>
          <w:spacing w:val="-4"/>
          <w:lang w:val="en-GB"/>
        </w:rPr>
        <w:t xml:space="preserve"> </w:t>
      </w:r>
      <w:r w:rsidR="009C12C4" w:rsidRPr="007D3D05">
        <w:rPr>
          <w:spacing w:val="-4"/>
          <w:lang w:val="en-GB"/>
        </w:rPr>
        <w:t xml:space="preserve">underperformed compared to </w:t>
      </w:r>
      <w:r w:rsidR="00B57B82" w:rsidRPr="007D3D05">
        <w:rPr>
          <w:spacing w:val="-4"/>
          <w:lang w:val="en-GB"/>
        </w:rPr>
        <w:t xml:space="preserve">global companies, specifically in the </w:t>
      </w:r>
      <w:r w:rsidR="00D572F2" w:rsidRPr="007D3D05">
        <w:rPr>
          <w:spacing w:val="-4"/>
          <w:lang w:val="en-GB"/>
        </w:rPr>
        <w:t>s</w:t>
      </w:r>
      <w:r w:rsidR="00B57B82" w:rsidRPr="007D3D05">
        <w:rPr>
          <w:spacing w:val="-4"/>
          <w:lang w:val="en-GB"/>
        </w:rPr>
        <w:t>ocial aspect.</w:t>
      </w:r>
    </w:p>
    <w:p w14:paraId="3F832727" w14:textId="3C91CCB8" w:rsidR="00B57B82" w:rsidRPr="00DA0C94" w:rsidRDefault="00B57B82" w:rsidP="00B57B82">
      <w:pPr>
        <w:pStyle w:val="BodyTextMain"/>
        <w:rPr>
          <w:b/>
          <w:sz w:val="18"/>
          <w:szCs w:val="20"/>
          <w:lang w:val="en-GB"/>
        </w:rPr>
      </w:pPr>
    </w:p>
    <w:p w14:paraId="40677A72" w14:textId="77777777" w:rsidR="00B57B82" w:rsidRPr="00DA0C94" w:rsidRDefault="00B57B82" w:rsidP="00B57B82">
      <w:pPr>
        <w:pStyle w:val="BodyTextMain"/>
        <w:rPr>
          <w:b/>
          <w:sz w:val="18"/>
          <w:szCs w:val="20"/>
          <w:lang w:val="en-GB"/>
        </w:rPr>
      </w:pPr>
    </w:p>
    <w:p w14:paraId="2581E0FB" w14:textId="1C787CF4" w:rsidR="00B57B82" w:rsidRPr="00DA0C94" w:rsidRDefault="00D572F2" w:rsidP="00B57B82">
      <w:pPr>
        <w:pStyle w:val="Casehead1"/>
        <w:rPr>
          <w:lang w:val="en-GB"/>
        </w:rPr>
      </w:pPr>
      <w:r w:rsidRPr="00DA0C94">
        <w:rPr>
          <w:lang w:val="en-GB"/>
        </w:rPr>
        <w:t xml:space="preserve">BUAY AND HIS TEAM </w:t>
      </w:r>
      <w:r>
        <w:rPr>
          <w:lang w:val="en-GB"/>
        </w:rPr>
        <w:t xml:space="preserve">propose a </w:t>
      </w:r>
      <w:r w:rsidR="00B57B82" w:rsidRPr="00DA0C94">
        <w:rPr>
          <w:lang w:val="en-GB"/>
        </w:rPr>
        <w:t>NEW CSR APPRPACH</w:t>
      </w:r>
    </w:p>
    <w:p w14:paraId="02A0C08C" w14:textId="77777777" w:rsidR="00B57B82" w:rsidRPr="00DA0C94" w:rsidRDefault="00B57B82" w:rsidP="00B57B82">
      <w:pPr>
        <w:pStyle w:val="BodyTextMain"/>
        <w:rPr>
          <w:sz w:val="20"/>
          <w:lang w:val="en-GB"/>
        </w:rPr>
      </w:pPr>
    </w:p>
    <w:p w14:paraId="6C0779A6" w14:textId="1E14C1FF" w:rsidR="00B57B82" w:rsidRDefault="00B57B82" w:rsidP="00B57B82">
      <w:pPr>
        <w:pStyle w:val="BodyTextMain"/>
        <w:jc w:val="right"/>
        <w:rPr>
          <w:lang w:val="en-GB"/>
        </w:rPr>
      </w:pPr>
      <w:r w:rsidRPr="00DA0C94">
        <w:rPr>
          <w:lang w:val="en-GB"/>
        </w:rPr>
        <w:t>Give a man a fish and you feed him for a day; teach a man to fish and you feed him for a lifetime.</w:t>
      </w:r>
    </w:p>
    <w:p w14:paraId="0D48BADD" w14:textId="64A82FD6" w:rsidR="00CD0D4F" w:rsidRPr="00C10812" w:rsidRDefault="00CD0D4F" w:rsidP="00B57B82">
      <w:pPr>
        <w:pStyle w:val="BodyTextMain"/>
        <w:jc w:val="right"/>
        <w:rPr>
          <w:color w:val="000000" w:themeColor="text1"/>
          <w:lang w:val="en-GB"/>
        </w:rPr>
      </w:pPr>
      <w:r w:rsidRPr="00C10812">
        <w:rPr>
          <w:color w:val="000000" w:themeColor="text1"/>
          <w:lang w:val="en-GB"/>
        </w:rPr>
        <w:t>Source unknown</w:t>
      </w:r>
    </w:p>
    <w:p w14:paraId="26505F17" w14:textId="39478BCC" w:rsidR="007C7C53" w:rsidRPr="00C10812" w:rsidRDefault="007C7C53" w:rsidP="00B57B82">
      <w:pPr>
        <w:pStyle w:val="BodyTextMain"/>
        <w:jc w:val="right"/>
        <w:rPr>
          <w:color w:val="000000" w:themeColor="text1"/>
          <w:lang w:val="en-GB"/>
        </w:rPr>
      </w:pPr>
    </w:p>
    <w:p w14:paraId="7CDCE1EE" w14:textId="74CAFEC8" w:rsidR="00B57B82" w:rsidRPr="00DA0C94" w:rsidRDefault="00B57B82" w:rsidP="00B57B82">
      <w:pPr>
        <w:pStyle w:val="BodyTextMain"/>
        <w:jc w:val="right"/>
        <w:rPr>
          <w:lang w:val="en-GB"/>
        </w:rPr>
      </w:pPr>
      <w:r w:rsidRPr="00C10812">
        <w:rPr>
          <w:color w:val="000000" w:themeColor="text1"/>
          <w:lang w:val="en-GB"/>
        </w:rPr>
        <w:t xml:space="preserve">When you just give money, </w:t>
      </w:r>
      <w:r w:rsidR="004875E0" w:rsidRPr="00C10812">
        <w:rPr>
          <w:color w:val="000000" w:themeColor="text1"/>
          <w:lang w:val="en-GB"/>
        </w:rPr>
        <w:t>SingTel</w:t>
      </w:r>
      <w:r w:rsidRPr="00C10812">
        <w:rPr>
          <w:color w:val="000000" w:themeColor="text1"/>
          <w:lang w:val="en-GB"/>
        </w:rPr>
        <w:t xml:space="preserve">’s $1 is the same as any other </w:t>
      </w:r>
      <w:r w:rsidR="00D572F2" w:rsidRPr="00C10812">
        <w:rPr>
          <w:color w:val="000000" w:themeColor="text1"/>
          <w:lang w:val="en-GB"/>
        </w:rPr>
        <w:t xml:space="preserve">company’s </w:t>
      </w:r>
      <w:r w:rsidRPr="00C10812">
        <w:rPr>
          <w:color w:val="000000" w:themeColor="text1"/>
          <w:lang w:val="en-GB"/>
        </w:rPr>
        <w:t xml:space="preserve">$1. There is no </w:t>
      </w:r>
      <w:r w:rsidRPr="00DA0C94">
        <w:rPr>
          <w:lang w:val="en-GB"/>
        </w:rPr>
        <w:t>differentiation. So charities from the non-profit sector basically engage you on the basis of your company’s donation with very little involvement and engagement thereafter.</w:t>
      </w:r>
    </w:p>
    <w:p w14:paraId="40D451A2" w14:textId="236F5168" w:rsidR="00B57B82" w:rsidRPr="00DA0C94" w:rsidRDefault="00B57B82" w:rsidP="00B57B82">
      <w:pPr>
        <w:pStyle w:val="BodyTextMain"/>
        <w:jc w:val="right"/>
        <w:rPr>
          <w:lang w:val="en-GB"/>
        </w:rPr>
      </w:pPr>
      <w:r w:rsidRPr="00DA0C94">
        <w:rPr>
          <w:lang w:val="en-GB"/>
        </w:rPr>
        <w:t xml:space="preserve">Andrew </w:t>
      </w:r>
      <w:proofErr w:type="spellStart"/>
      <w:r w:rsidRPr="00DA0C94">
        <w:rPr>
          <w:lang w:val="en-GB"/>
        </w:rPr>
        <w:t>Buay</w:t>
      </w:r>
      <w:proofErr w:type="spellEnd"/>
    </w:p>
    <w:p w14:paraId="2C4C9C87" w14:textId="46D97676" w:rsidR="00B57B82" w:rsidRPr="00DA0C94" w:rsidRDefault="00B57B82" w:rsidP="00B57B82">
      <w:pPr>
        <w:pStyle w:val="BodyTextMain"/>
        <w:rPr>
          <w:sz w:val="20"/>
          <w:lang w:val="en-GB"/>
        </w:rPr>
      </w:pPr>
    </w:p>
    <w:p w14:paraId="121DB75F" w14:textId="0DFE7A67" w:rsidR="00B57B82" w:rsidRPr="00DA0C94" w:rsidRDefault="00CD0D4F" w:rsidP="00B57B82">
      <w:pPr>
        <w:pStyle w:val="BodyTextMain"/>
        <w:rPr>
          <w:lang w:val="en-GB"/>
        </w:rPr>
      </w:pPr>
      <w:proofErr w:type="spellStart"/>
      <w:r w:rsidRPr="00DA0C94">
        <w:rPr>
          <w:lang w:val="en-GB"/>
        </w:rPr>
        <w:t>Buay</w:t>
      </w:r>
      <w:proofErr w:type="spellEnd"/>
      <w:r w:rsidRPr="00DA0C94">
        <w:rPr>
          <w:lang w:val="en-GB"/>
        </w:rPr>
        <w:t xml:space="preserve"> believed that </w:t>
      </w:r>
      <w:r w:rsidR="004670BB">
        <w:rPr>
          <w:lang w:val="en-GB"/>
        </w:rPr>
        <w:t xml:space="preserve">when </w:t>
      </w:r>
      <w:r w:rsidR="004875E0">
        <w:rPr>
          <w:lang w:val="en-GB"/>
        </w:rPr>
        <w:t>SingTel</w:t>
      </w:r>
      <w:r w:rsidR="004670BB">
        <w:rPr>
          <w:lang w:val="en-GB"/>
        </w:rPr>
        <w:t xml:space="preserve"> made </w:t>
      </w:r>
      <w:r w:rsidRPr="00DA0C94">
        <w:rPr>
          <w:lang w:val="en-GB"/>
        </w:rPr>
        <w:t>cash donations</w:t>
      </w:r>
      <w:r w:rsidR="004670BB">
        <w:rPr>
          <w:lang w:val="en-GB"/>
        </w:rPr>
        <w:t>, its CSR efforts</w:t>
      </w:r>
      <w:r w:rsidRPr="00DA0C94">
        <w:rPr>
          <w:lang w:val="en-GB"/>
        </w:rPr>
        <w:t xml:space="preserve"> were unable to </w:t>
      </w:r>
      <w:r w:rsidR="004670BB">
        <w:rPr>
          <w:lang w:val="en-GB"/>
        </w:rPr>
        <w:t xml:space="preserve">be </w:t>
      </w:r>
      <w:r w:rsidRPr="00DA0C94">
        <w:rPr>
          <w:lang w:val="en-GB"/>
        </w:rPr>
        <w:t>differentiate</w:t>
      </w:r>
      <w:r w:rsidR="004670BB">
        <w:rPr>
          <w:lang w:val="en-GB"/>
        </w:rPr>
        <w:t>d</w:t>
      </w:r>
      <w:r w:rsidRPr="00DA0C94">
        <w:rPr>
          <w:lang w:val="en-GB"/>
        </w:rPr>
        <w:t xml:space="preserve"> from </w:t>
      </w:r>
      <w:r w:rsidR="004670BB">
        <w:rPr>
          <w:lang w:val="en-GB"/>
        </w:rPr>
        <w:t xml:space="preserve">those of </w:t>
      </w:r>
      <w:r w:rsidRPr="00DA0C94">
        <w:rPr>
          <w:lang w:val="en-GB"/>
        </w:rPr>
        <w:t>other companies</w:t>
      </w:r>
      <w:r>
        <w:rPr>
          <w:lang w:val="en-GB"/>
        </w:rPr>
        <w:t>,</w:t>
      </w:r>
      <w:r w:rsidRPr="00DA0C94">
        <w:rPr>
          <w:lang w:val="en-GB"/>
        </w:rPr>
        <w:t xml:space="preserve"> as </w:t>
      </w:r>
      <w:r w:rsidR="004670BB">
        <w:rPr>
          <w:lang w:val="en-GB"/>
        </w:rPr>
        <w:t>cash donations</w:t>
      </w:r>
      <w:r w:rsidRPr="00DA0C94">
        <w:rPr>
          <w:lang w:val="en-GB"/>
        </w:rPr>
        <w:t xml:space="preserve"> did not </w:t>
      </w:r>
      <w:r>
        <w:rPr>
          <w:lang w:val="en-GB"/>
        </w:rPr>
        <w:t xml:space="preserve">add </w:t>
      </w:r>
      <w:r w:rsidRPr="00DA0C94">
        <w:rPr>
          <w:lang w:val="en-GB"/>
        </w:rPr>
        <w:t xml:space="preserve">value based on </w:t>
      </w:r>
      <w:r w:rsidR="004875E0">
        <w:rPr>
          <w:lang w:val="en-GB"/>
        </w:rPr>
        <w:t>SingTel</w:t>
      </w:r>
      <w:r w:rsidRPr="00DA0C94">
        <w:rPr>
          <w:lang w:val="en-GB"/>
        </w:rPr>
        <w:t>’s core competencies or its stakeholders’ needs.</w:t>
      </w:r>
      <w:r>
        <w:rPr>
          <w:lang w:val="en-GB"/>
        </w:rPr>
        <w:t xml:space="preserve"> </w:t>
      </w:r>
      <w:r w:rsidR="00B57B82" w:rsidRPr="00DA0C94">
        <w:rPr>
          <w:lang w:val="en-GB"/>
        </w:rPr>
        <w:t xml:space="preserve">In </w:t>
      </w:r>
      <w:proofErr w:type="spellStart"/>
      <w:r w:rsidR="00B57B82" w:rsidRPr="00DA0C94">
        <w:rPr>
          <w:lang w:val="en-GB"/>
        </w:rPr>
        <w:t>Buay’s</w:t>
      </w:r>
      <w:proofErr w:type="spellEnd"/>
      <w:r w:rsidR="00B57B82" w:rsidRPr="00DA0C94">
        <w:rPr>
          <w:lang w:val="en-GB"/>
        </w:rPr>
        <w:t xml:space="preserve"> opinion, the </w:t>
      </w:r>
      <w:r w:rsidR="004875E0">
        <w:rPr>
          <w:lang w:val="en-GB"/>
        </w:rPr>
        <w:t>SingTel</w:t>
      </w:r>
      <w:r w:rsidR="00B57B82" w:rsidRPr="00DA0C94">
        <w:rPr>
          <w:lang w:val="en-GB"/>
        </w:rPr>
        <w:t xml:space="preserve"> Group had the opportunity to adopt a more systematic</w:t>
      </w:r>
      <w:r w:rsidR="00D572F2">
        <w:rPr>
          <w:lang w:val="en-GB"/>
        </w:rPr>
        <w:t>,</w:t>
      </w:r>
      <w:r w:rsidR="00B57B82" w:rsidRPr="00DA0C94">
        <w:rPr>
          <w:lang w:val="en-GB"/>
        </w:rPr>
        <w:t xml:space="preserve"> strategic approach to implement CSR initiatives with broader involvement from its internal capabilities and skills </w:t>
      </w:r>
      <w:r w:rsidR="00D572F2">
        <w:rPr>
          <w:lang w:val="en-GB"/>
        </w:rPr>
        <w:t xml:space="preserve">and from </w:t>
      </w:r>
      <w:r w:rsidR="00B57B82" w:rsidRPr="00DA0C94">
        <w:rPr>
          <w:lang w:val="en-GB"/>
        </w:rPr>
        <w:t xml:space="preserve">its corporate partnerships, to focus beyond just the social impact. </w:t>
      </w:r>
    </w:p>
    <w:p w14:paraId="19106033" w14:textId="77777777" w:rsidR="00B57B82" w:rsidRPr="00DA0C94" w:rsidRDefault="00B57B82" w:rsidP="00B57B82">
      <w:pPr>
        <w:pStyle w:val="BodyTextMain"/>
        <w:rPr>
          <w:sz w:val="20"/>
          <w:lang w:val="en-GB"/>
        </w:rPr>
      </w:pPr>
    </w:p>
    <w:p w14:paraId="24475035" w14:textId="4B64974E" w:rsidR="00B57B82" w:rsidRPr="007D3D05" w:rsidRDefault="00B57B82" w:rsidP="00B57B82">
      <w:pPr>
        <w:pStyle w:val="BodyTextMain"/>
        <w:rPr>
          <w:spacing w:val="-2"/>
          <w:lang w:val="en-GB"/>
        </w:rPr>
      </w:pPr>
      <w:proofErr w:type="spellStart"/>
      <w:r w:rsidRPr="007D3D05">
        <w:rPr>
          <w:spacing w:val="-2"/>
          <w:lang w:val="en-GB"/>
        </w:rPr>
        <w:t>Buay</w:t>
      </w:r>
      <w:proofErr w:type="spellEnd"/>
      <w:r w:rsidRPr="007D3D05">
        <w:rPr>
          <w:spacing w:val="-2"/>
          <w:lang w:val="en-GB"/>
        </w:rPr>
        <w:t xml:space="preserve"> </w:t>
      </w:r>
      <w:r w:rsidR="00D572F2" w:rsidRPr="007D3D05">
        <w:rPr>
          <w:spacing w:val="-2"/>
          <w:lang w:val="en-GB"/>
        </w:rPr>
        <w:t xml:space="preserve">had </w:t>
      </w:r>
      <w:r w:rsidRPr="007D3D05">
        <w:rPr>
          <w:spacing w:val="-2"/>
          <w:lang w:val="en-GB"/>
        </w:rPr>
        <w:t xml:space="preserve">graduated with a </w:t>
      </w:r>
      <w:proofErr w:type="gramStart"/>
      <w:r w:rsidR="00D572F2" w:rsidRPr="007D3D05">
        <w:rPr>
          <w:spacing w:val="-2"/>
          <w:lang w:val="en-GB"/>
        </w:rPr>
        <w:t>b</w:t>
      </w:r>
      <w:r w:rsidRPr="007D3D05">
        <w:rPr>
          <w:spacing w:val="-2"/>
          <w:lang w:val="en-GB"/>
        </w:rPr>
        <w:t xml:space="preserve">achelor of </w:t>
      </w:r>
      <w:r w:rsidR="00D572F2" w:rsidRPr="007D3D05">
        <w:rPr>
          <w:spacing w:val="-2"/>
          <w:lang w:val="en-GB"/>
        </w:rPr>
        <w:t>a</w:t>
      </w:r>
      <w:r w:rsidRPr="007D3D05">
        <w:rPr>
          <w:spacing w:val="-2"/>
          <w:lang w:val="en-GB"/>
        </w:rPr>
        <w:t>rts</w:t>
      </w:r>
      <w:proofErr w:type="gramEnd"/>
      <w:r w:rsidRPr="007D3D05">
        <w:rPr>
          <w:spacing w:val="-2"/>
          <w:lang w:val="en-GB"/>
        </w:rPr>
        <w:t xml:space="preserve"> degree </w:t>
      </w:r>
      <w:r w:rsidR="009C12C4" w:rsidRPr="007D3D05">
        <w:rPr>
          <w:spacing w:val="-2"/>
          <w:lang w:val="en-GB"/>
        </w:rPr>
        <w:t>from</w:t>
      </w:r>
      <w:r w:rsidRPr="007D3D05">
        <w:rPr>
          <w:spacing w:val="-2"/>
          <w:lang w:val="en-GB"/>
        </w:rPr>
        <w:t xml:space="preserve"> the National University of Singapore in 1990, majoring </w:t>
      </w:r>
      <w:r w:rsidR="009C12C4" w:rsidRPr="007D3D05">
        <w:rPr>
          <w:spacing w:val="-2"/>
          <w:lang w:val="en-GB"/>
        </w:rPr>
        <w:t xml:space="preserve">in </w:t>
      </w:r>
      <w:r w:rsidR="00D572F2" w:rsidRPr="007D3D05">
        <w:rPr>
          <w:spacing w:val="-2"/>
          <w:lang w:val="en-GB"/>
        </w:rPr>
        <w:t>g</w:t>
      </w:r>
      <w:r w:rsidRPr="007D3D05">
        <w:rPr>
          <w:spacing w:val="-2"/>
          <w:lang w:val="en-GB"/>
        </w:rPr>
        <w:t xml:space="preserve">eography, </w:t>
      </w:r>
      <w:r w:rsidR="00D572F2" w:rsidRPr="007D3D05">
        <w:rPr>
          <w:spacing w:val="-2"/>
          <w:lang w:val="en-GB"/>
        </w:rPr>
        <w:t>s</w:t>
      </w:r>
      <w:r w:rsidRPr="007D3D05">
        <w:rPr>
          <w:spacing w:val="-2"/>
          <w:lang w:val="en-GB"/>
        </w:rPr>
        <w:t xml:space="preserve">ociology, and </w:t>
      </w:r>
      <w:r w:rsidR="00D572F2" w:rsidRPr="007D3D05">
        <w:rPr>
          <w:spacing w:val="-2"/>
          <w:lang w:val="en-GB"/>
        </w:rPr>
        <w:t>p</w:t>
      </w:r>
      <w:r w:rsidRPr="007D3D05">
        <w:rPr>
          <w:spacing w:val="-2"/>
          <w:lang w:val="en-GB"/>
        </w:rPr>
        <w:t xml:space="preserve">olitical </w:t>
      </w:r>
      <w:r w:rsidR="00D572F2" w:rsidRPr="007D3D05">
        <w:rPr>
          <w:spacing w:val="-2"/>
          <w:lang w:val="en-GB"/>
        </w:rPr>
        <w:t>s</w:t>
      </w:r>
      <w:r w:rsidRPr="007D3D05">
        <w:rPr>
          <w:spacing w:val="-2"/>
          <w:lang w:val="en-GB"/>
        </w:rPr>
        <w:t xml:space="preserve">cience. Joining </w:t>
      </w:r>
      <w:r w:rsidR="004875E0" w:rsidRPr="007D3D05">
        <w:rPr>
          <w:spacing w:val="-2"/>
          <w:lang w:val="en-GB"/>
        </w:rPr>
        <w:t>SingTel</w:t>
      </w:r>
      <w:r w:rsidRPr="007D3D05">
        <w:rPr>
          <w:spacing w:val="-2"/>
          <w:lang w:val="en-GB"/>
        </w:rPr>
        <w:t xml:space="preserve"> as his first job, he had the opportunity to work across a diverse range of </w:t>
      </w:r>
      <w:r w:rsidR="00000AC4" w:rsidRPr="007D3D05">
        <w:rPr>
          <w:spacing w:val="-2"/>
          <w:lang w:val="en-GB"/>
        </w:rPr>
        <w:t xml:space="preserve">geographies and </w:t>
      </w:r>
      <w:r w:rsidRPr="007D3D05">
        <w:rPr>
          <w:spacing w:val="-2"/>
          <w:lang w:val="en-GB"/>
        </w:rPr>
        <w:t xml:space="preserve">roles </w:t>
      </w:r>
      <w:r w:rsidR="00D572F2" w:rsidRPr="007D3D05">
        <w:rPr>
          <w:spacing w:val="-2"/>
          <w:lang w:val="en-GB"/>
        </w:rPr>
        <w:t xml:space="preserve">(including networks, product management, and corporate sales roles) </w:t>
      </w:r>
      <w:r w:rsidRPr="007D3D05">
        <w:rPr>
          <w:spacing w:val="-2"/>
          <w:lang w:val="en-GB"/>
        </w:rPr>
        <w:t xml:space="preserve">before he assumed the CSR role in 2013. Under the company’s sponsorship, he obtained a master’s </w:t>
      </w:r>
      <w:r w:rsidR="00000AC4" w:rsidRPr="007D3D05">
        <w:rPr>
          <w:spacing w:val="-2"/>
          <w:lang w:val="en-GB"/>
        </w:rPr>
        <w:t xml:space="preserve">degree </w:t>
      </w:r>
      <w:r w:rsidRPr="007D3D05">
        <w:rPr>
          <w:spacing w:val="-2"/>
          <w:lang w:val="en-GB"/>
        </w:rPr>
        <w:t xml:space="preserve">from Stanford University in 1996. Subsequently he headed the company’s corporate development and started up </w:t>
      </w:r>
      <w:r w:rsidR="004875E0" w:rsidRPr="007D3D05">
        <w:rPr>
          <w:spacing w:val="-2"/>
          <w:lang w:val="en-GB"/>
        </w:rPr>
        <w:t>SingTel</w:t>
      </w:r>
      <w:r w:rsidRPr="007D3D05">
        <w:rPr>
          <w:spacing w:val="-2"/>
          <w:lang w:val="en-GB"/>
        </w:rPr>
        <w:t xml:space="preserve"> Ventures</w:t>
      </w:r>
      <w:r w:rsidR="00000AC4" w:rsidRPr="007D3D05">
        <w:rPr>
          <w:spacing w:val="-2"/>
          <w:lang w:val="en-GB"/>
        </w:rPr>
        <w:t>,</w:t>
      </w:r>
      <w:r w:rsidRPr="007D3D05">
        <w:rPr>
          <w:spacing w:val="-2"/>
          <w:lang w:val="en-GB"/>
        </w:rPr>
        <w:t xml:space="preserve"> a start-up technology investment fund. In the 2000s, he was </w:t>
      </w:r>
      <w:r w:rsidR="00000AC4" w:rsidRPr="007D3D05">
        <w:rPr>
          <w:spacing w:val="-2"/>
          <w:lang w:val="en-GB"/>
        </w:rPr>
        <w:t xml:space="preserve">chief executive officer </w:t>
      </w:r>
      <w:r w:rsidRPr="007D3D05">
        <w:rPr>
          <w:spacing w:val="-2"/>
          <w:lang w:val="en-GB"/>
        </w:rPr>
        <w:t xml:space="preserve">of </w:t>
      </w:r>
      <w:proofErr w:type="spellStart"/>
      <w:r w:rsidRPr="007D3D05">
        <w:rPr>
          <w:spacing w:val="-2"/>
          <w:lang w:val="en-GB"/>
        </w:rPr>
        <w:t>Singnet</w:t>
      </w:r>
      <w:proofErr w:type="spellEnd"/>
      <w:r w:rsidRPr="007D3D05">
        <w:rPr>
          <w:spacing w:val="-2"/>
          <w:lang w:val="en-GB"/>
        </w:rPr>
        <w:t xml:space="preserve"> and the Multimedia group. He then went on to be the </w:t>
      </w:r>
      <w:r w:rsidR="00000AC4" w:rsidRPr="007D3D05">
        <w:rPr>
          <w:spacing w:val="-2"/>
          <w:lang w:val="en-GB"/>
        </w:rPr>
        <w:t xml:space="preserve">chief operating officer </w:t>
      </w:r>
      <w:r w:rsidRPr="007D3D05">
        <w:rPr>
          <w:spacing w:val="-2"/>
          <w:lang w:val="en-GB"/>
        </w:rPr>
        <w:t xml:space="preserve">of Globe Telecom, </w:t>
      </w:r>
      <w:r w:rsidR="004875E0" w:rsidRPr="007D3D05">
        <w:rPr>
          <w:spacing w:val="-2"/>
          <w:lang w:val="en-GB"/>
        </w:rPr>
        <w:t>SingTel</w:t>
      </w:r>
      <w:r w:rsidRPr="007D3D05">
        <w:rPr>
          <w:spacing w:val="-2"/>
          <w:lang w:val="en-GB"/>
        </w:rPr>
        <w:t xml:space="preserve">’s mobile business in the Philippines. After that he moved to </w:t>
      </w:r>
      <w:r w:rsidR="004875E0" w:rsidRPr="007D3D05">
        <w:rPr>
          <w:spacing w:val="-2"/>
          <w:lang w:val="en-GB"/>
        </w:rPr>
        <w:t>SingTel</w:t>
      </w:r>
      <w:r w:rsidRPr="007D3D05">
        <w:rPr>
          <w:spacing w:val="-2"/>
          <w:lang w:val="en-GB"/>
        </w:rPr>
        <w:t>’s Australian subsidiary</w:t>
      </w:r>
      <w:r w:rsidR="00000AC4" w:rsidRPr="007D3D05">
        <w:rPr>
          <w:spacing w:val="-2"/>
          <w:lang w:val="en-GB"/>
        </w:rPr>
        <w:t>,</w:t>
      </w:r>
      <w:r w:rsidRPr="007D3D05">
        <w:rPr>
          <w:spacing w:val="-2"/>
          <w:lang w:val="en-GB"/>
        </w:rPr>
        <w:t xml:space="preserve"> </w:t>
      </w:r>
      <w:r w:rsidR="004875E0" w:rsidRPr="007D3D05">
        <w:rPr>
          <w:spacing w:val="-2"/>
          <w:lang w:val="en-GB"/>
        </w:rPr>
        <w:t>SingTel</w:t>
      </w:r>
      <w:r w:rsidRPr="007D3D05">
        <w:rPr>
          <w:spacing w:val="-2"/>
          <w:lang w:val="en-GB"/>
        </w:rPr>
        <w:t xml:space="preserve"> Optus Pty Limited as the </w:t>
      </w:r>
      <w:r w:rsidR="00000AC4" w:rsidRPr="007D3D05">
        <w:rPr>
          <w:spacing w:val="-2"/>
          <w:lang w:val="en-GB"/>
        </w:rPr>
        <w:t>m</w:t>
      </w:r>
      <w:r w:rsidRPr="007D3D05">
        <w:rPr>
          <w:spacing w:val="-2"/>
          <w:lang w:val="en-GB"/>
        </w:rPr>
        <w:t xml:space="preserve">anaging </w:t>
      </w:r>
      <w:r w:rsidR="00000AC4" w:rsidRPr="007D3D05">
        <w:rPr>
          <w:spacing w:val="-2"/>
          <w:lang w:val="en-GB"/>
        </w:rPr>
        <w:t>d</w:t>
      </w:r>
      <w:r w:rsidRPr="007D3D05">
        <w:rPr>
          <w:spacing w:val="-2"/>
          <w:lang w:val="en-GB"/>
        </w:rPr>
        <w:t xml:space="preserve">irector (MD) for various Australian business units before becoming </w:t>
      </w:r>
      <w:r w:rsidR="00000AC4" w:rsidRPr="007D3D05">
        <w:rPr>
          <w:spacing w:val="-2"/>
          <w:lang w:val="en-GB"/>
        </w:rPr>
        <w:t>c</w:t>
      </w:r>
      <w:r w:rsidRPr="007D3D05">
        <w:rPr>
          <w:spacing w:val="-2"/>
          <w:lang w:val="en-GB"/>
        </w:rPr>
        <w:t xml:space="preserve">hief </w:t>
      </w:r>
      <w:r w:rsidR="00000AC4" w:rsidRPr="007D3D05">
        <w:rPr>
          <w:spacing w:val="-2"/>
          <w:lang w:val="en-GB"/>
        </w:rPr>
        <w:t>i</w:t>
      </w:r>
      <w:r w:rsidRPr="007D3D05">
        <w:rPr>
          <w:spacing w:val="-2"/>
          <w:lang w:val="en-GB"/>
        </w:rPr>
        <w:t xml:space="preserve">nformation </w:t>
      </w:r>
      <w:r w:rsidR="00000AC4" w:rsidRPr="007D3D05">
        <w:rPr>
          <w:spacing w:val="-2"/>
          <w:lang w:val="en-GB"/>
        </w:rPr>
        <w:t>o</w:t>
      </w:r>
      <w:r w:rsidRPr="007D3D05">
        <w:rPr>
          <w:spacing w:val="-2"/>
          <w:lang w:val="en-GB"/>
        </w:rPr>
        <w:t xml:space="preserve">fficer. </w:t>
      </w:r>
      <w:r w:rsidR="008C623B">
        <w:rPr>
          <w:spacing w:val="-2"/>
          <w:lang w:val="en-GB"/>
        </w:rPr>
        <w:t>In early 2014</w:t>
      </w:r>
      <w:r w:rsidRPr="007D3D05">
        <w:rPr>
          <w:spacing w:val="-2"/>
          <w:lang w:val="en-GB"/>
        </w:rPr>
        <w:t xml:space="preserve">, </w:t>
      </w:r>
      <w:proofErr w:type="spellStart"/>
      <w:r w:rsidRPr="007D3D05">
        <w:rPr>
          <w:spacing w:val="-2"/>
          <w:lang w:val="en-GB"/>
        </w:rPr>
        <w:t>Buay</w:t>
      </w:r>
      <w:proofErr w:type="spellEnd"/>
      <w:r w:rsidRPr="007D3D05">
        <w:rPr>
          <w:spacing w:val="-2"/>
          <w:lang w:val="en-GB"/>
        </w:rPr>
        <w:t xml:space="preserve"> ha</w:t>
      </w:r>
      <w:r w:rsidR="00F91B62" w:rsidRPr="007D3D05">
        <w:rPr>
          <w:spacing w:val="-2"/>
          <w:lang w:val="en-GB"/>
        </w:rPr>
        <w:t>d</w:t>
      </w:r>
      <w:r w:rsidRPr="007D3D05">
        <w:rPr>
          <w:spacing w:val="-2"/>
          <w:lang w:val="en-GB"/>
        </w:rPr>
        <w:t xml:space="preserve"> just assumed a newly created role as the </w:t>
      </w:r>
      <w:r w:rsidR="00000AC4" w:rsidRPr="007D3D05">
        <w:rPr>
          <w:spacing w:val="-2"/>
          <w:lang w:val="en-GB"/>
        </w:rPr>
        <w:t>v</w:t>
      </w:r>
      <w:r w:rsidRPr="007D3D05">
        <w:rPr>
          <w:spacing w:val="-2"/>
          <w:lang w:val="en-GB"/>
        </w:rPr>
        <w:t>ice</w:t>
      </w:r>
      <w:r w:rsidR="00000AC4" w:rsidRPr="007D3D05">
        <w:rPr>
          <w:spacing w:val="-2"/>
          <w:lang w:val="en-GB"/>
        </w:rPr>
        <w:t>-p</w:t>
      </w:r>
      <w:r w:rsidRPr="007D3D05">
        <w:rPr>
          <w:spacing w:val="-2"/>
          <w:lang w:val="en-GB"/>
        </w:rPr>
        <w:t xml:space="preserve">resident </w:t>
      </w:r>
      <w:r w:rsidR="009C12C4" w:rsidRPr="007D3D05">
        <w:rPr>
          <w:spacing w:val="-2"/>
          <w:lang w:val="en-GB"/>
        </w:rPr>
        <w:t>of</w:t>
      </w:r>
      <w:r w:rsidRPr="007D3D05">
        <w:rPr>
          <w:spacing w:val="-2"/>
          <w:lang w:val="en-GB"/>
        </w:rPr>
        <w:t xml:space="preserve"> </w:t>
      </w:r>
      <w:r w:rsidR="004875E0" w:rsidRPr="007D3D05">
        <w:rPr>
          <w:spacing w:val="-2"/>
          <w:lang w:val="en-GB"/>
        </w:rPr>
        <w:t>SingTel</w:t>
      </w:r>
      <w:r w:rsidRPr="007D3D05">
        <w:rPr>
          <w:spacing w:val="-2"/>
          <w:lang w:val="en-GB"/>
        </w:rPr>
        <w:t xml:space="preserve"> Group’s CSR, and was also a talent coach at Optus</w:t>
      </w:r>
      <w:r w:rsidR="00A114C6" w:rsidRPr="007D3D05">
        <w:rPr>
          <w:spacing w:val="-2"/>
          <w:lang w:val="en-GB"/>
        </w:rPr>
        <w:t xml:space="preserve">, which </w:t>
      </w:r>
      <w:r w:rsidR="00000AC4" w:rsidRPr="007D3D05">
        <w:rPr>
          <w:spacing w:val="-2"/>
          <w:lang w:val="en-GB"/>
        </w:rPr>
        <w:t xml:space="preserve">was Australia’s </w:t>
      </w:r>
      <w:r w:rsidR="00A114C6" w:rsidRPr="007D3D05">
        <w:rPr>
          <w:spacing w:val="-2"/>
          <w:lang w:val="en-GB"/>
        </w:rPr>
        <w:t>second</w:t>
      </w:r>
      <w:r w:rsidR="00000AC4" w:rsidRPr="007D3D05">
        <w:rPr>
          <w:spacing w:val="-2"/>
          <w:lang w:val="en-GB"/>
        </w:rPr>
        <w:t>-</w:t>
      </w:r>
      <w:r w:rsidR="00A114C6" w:rsidRPr="007D3D05">
        <w:rPr>
          <w:spacing w:val="-2"/>
          <w:lang w:val="en-GB"/>
        </w:rPr>
        <w:t xml:space="preserve">largest telecommunications company a wholly owned subsidiary of </w:t>
      </w:r>
      <w:r w:rsidR="004875E0" w:rsidRPr="007D3D05">
        <w:rPr>
          <w:spacing w:val="-2"/>
          <w:lang w:val="en-GB"/>
        </w:rPr>
        <w:t>SingTel</w:t>
      </w:r>
      <w:r w:rsidR="00000AC4" w:rsidRPr="007D3D05">
        <w:rPr>
          <w:spacing w:val="-2"/>
          <w:lang w:val="en-GB"/>
        </w:rPr>
        <w:t xml:space="preserve"> </w:t>
      </w:r>
      <w:r w:rsidR="00A114C6" w:rsidRPr="007D3D05">
        <w:rPr>
          <w:spacing w:val="-2"/>
          <w:lang w:val="en-GB"/>
        </w:rPr>
        <w:t>since 2001.</w:t>
      </w:r>
    </w:p>
    <w:p w14:paraId="6A202F68" w14:textId="77777777" w:rsidR="007D3D05" w:rsidRPr="007D3D05" w:rsidRDefault="007D3D05" w:rsidP="00B57B82">
      <w:pPr>
        <w:pStyle w:val="BodyTextMain"/>
        <w:rPr>
          <w:sz w:val="20"/>
          <w:lang w:val="en-GB"/>
        </w:rPr>
      </w:pPr>
    </w:p>
    <w:p w14:paraId="56AEDD58" w14:textId="187E3535" w:rsidR="00B57B82" w:rsidRPr="00DA0C94" w:rsidRDefault="00B57B82" w:rsidP="00B57B82">
      <w:pPr>
        <w:pStyle w:val="BodyTextMain"/>
        <w:rPr>
          <w:lang w:val="en-GB"/>
        </w:rPr>
      </w:pPr>
      <w:r w:rsidRPr="00DA0C94">
        <w:rPr>
          <w:lang w:val="en-GB"/>
        </w:rPr>
        <w:t xml:space="preserve">These diverse experiences had shaped </w:t>
      </w:r>
      <w:proofErr w:type="spellStart"/>
      <w:r w:rsidRPr="00DA0C94">
        <w:rPr>
          <w:lang w:val="en-GB"/>
        </w:rPr>
        <w:t>Buay’s</w:t>
      </w:r>
      <w:proofErr w:type="spellEnd"/>
      <w:r w:rsidRPr="00DA0C94">
        <w:rPr>
          <w:lang w:val="en-GB"/>
        </w:rPr>
        <w:t xml:space="preserve"> perception of CSR, his leadership approach</w:t>
      </w:r>
      <w:r w:rsidR="00000AC4">
        <w:rPr>
          <w:lang w:val="en-GB"/>
        </w:rPr>
        <w:t>,</w:t>
      </w:r>
      <w:r w:rsidRPr="00DA0C94">
        <w:rPr>
          <w:lang w:val="en-GB"/>
        </w:rPr>
        <w:t xml:space="preserve"> </w:t>
      </w:r>
      <w:r w:rsidR="00000AC4">
        <w:rPr>
          <w:lang w:val="en-GB"/>
        </w:rPr>
        <w:t>and</w:t>
      </w:r>
      <w:r w:rsidRPr="00DA0C94">
        <w:rPr>
          <w:lang w:val="en-GB"/>
        </w:rPr>
        <w:t xml:space="preserve"> his response toward changes and opportunities in the external environment. He believed that there was an opportunity to engage CSR more strategically based on the company’s capabilities</w:t>
      </w:r>
      <w:r w:rsidR="00000AC4">
        <w:rPr>
          <w:lang w:val="en-GB"/>
        </w:rPr>
        <w:t>,</w:t>
      </w:r>
      <w:r w:rsidRPr="00DA0C94">
        <w:rPr>
          <w:lang w:val="en-GB"/>
        </w:rPr>
        <w:t xml:space="preserve"> which included the skills of the people, </w:t>
      </w:r>
      <w:r w:rsidR="00000AC4">
        <w:rPr>
          <w:lang w:val="en-GB"/>
        </w:rPr>
        <w:t xml:space="preserve">and </w:t>
      </w:r>
      <w:r w:rsidR="004875E0">
        <w:rPr>
          <w:lang w:val="en-GB"/>
        </w:rPr>
        <w:t>SingTel</w:t>
      </w:r>
      <w:r w:rsidR="00000AC4">
        <w:rPr>
          <w:lang w:val="en-GB"/>
        </w:rPr>
        <w:t>’s</w:t>
      </w:r>
      <w:r w:rsidR="00000AC4" w:rsidRPr="00DA0C94">
        <w:rPr>
          <w:lang w:val="en-GB"/>
        </w:rPr>
        <w:t xml:space="preserve"> </w:t>
      </w:r>
      <w:r w:rsidRPr="00DA0C94">
        <w:rPr>
          <w:lang w:val="en-GB"/>
        </w:rPr>
        <w:t>products, technology</w:t>
      </w:r>
      <w:r w:rsidR="00000AC4">
        <w:rPr>
          <w:lang w:val="en-GB"/>
        </w:rPr>
        <w:t>,</w:t>
      </w:r>
      <w:r w:rsidRPr="00DA0C94">
        <w:rPr>
          <w:lang w:val="en-GB"/>
        </w:rPr>
        <w:t xml:space="preserve"> and partnerships. </w:t>
      </w:r>
      <w:r w:rsidR="004875E0">
        <w:rPr>
          <w:lang w:val="en-GB"/>
        </w:rPr>
        <w:t>SingTel</w:t>
      </w:r>
      <w:r w:rsidRPr="00DA0C94">
        <w:rPr>
          <w:lang w:val="en-GB"/>
        </w:rPr>
        <w:t xml:space="preserve"> Group could effectively create more shared value and integrated solutions to tackle societal challenges. In the early 2010s, some companies in the U</w:t>
      </w:r>
      <w:r w:rsidR="00000AC4">
        <w:rPr>
          <w:lang w:val="en-GB"/>
        </w:rPr>
        <w:t xml:space="preserve">nited </w:t>
      </w:r>
      <w:r w:rsidRPr="00DA0C94">
        <w:rPr>
          <w:lang w:val="en-GB"/>
        </w:rPr>
        <w:t>S</w:t>
      </w:r>
      <w:r w:rsidR="00000AC4">
        <w:rPr>
          <w:lang w:val="en-GB"/>
        </w:rPr>
        <w:t>tates</w:t>
      </w:r>
      <w:r w:rsidRPr="00DA0C94">
        <w:rPr>
          <w:lang w:val="en-GB"/>
        </w:rPr>
        <w:t xml:space="preserve"> and Europe had taken a more strategic approach toward CSR, but </w:t>
      </w:r>
      <w:r w:rsidR="00000AC4">
        <w:rPr>
          <w:lang w:val="en-GB"/>
        </w:rPr>
        <w:t>such an approach</w:t>
      </w:r>
      <w:r w:rsidR="00000AC4" w:rsidRPr="00DA0C94">
        <w:rPr>
          <w:lang w:val="en-GB"/>
        </w:rPr>
        <w:t xml:space="preserve"> </w:t>
      </w:r>
      <w:r w:rsidRPr="00DA0C94">
        <w:rPr>
          <w:lang w:val="en-GB"/>
        </w:rPr>
        <w:t>was nascent in Singapore and most parts of Asia.</w:t>
      </w:r>
      <w:r w:rsidR="00CD0D4F">
        <w:rPr>
          <w:lang w:val="en-GB"/>
        </w:rPr>
        <w:t xml:space="preserve"> </w:t>
      </w:r>
      <w:proofErr w:type="spellStart"/>
      <w:r w:rsidR="00CD0D4F">
        <w:rPr>
          <w:lang w:val="en-GB"/>
        </w:rPr>
        <w:t>Buay</w:t>
      </w:r>
      <w:proofErr w:type="spellEnd"/>
      <w:r w:rsidR="00CD0D4F">
        <w:rPr>
          <w:lang w:val="en-GB"/>
        </w:rPr>
        <w:t xml:space="preserve"> noted:</w:t>
      </w:r>
    </w:p>
    <w:p w14:paraId="0D6E4D1E" w14:textId="1FA25ACB" w:rsidR="00B57B82" w:rsidRPr="00DA0C94" w:rsidRDefault="00B57B82" w:rsidP="00B57B82">
      <w:pPr>
        <w:pStyle w:val="BodyTextMain"/>
        <w:rPr>
          <w:sz w:val="20"/>
          <w:lang w:val="en-GB"/>
        </w:rPr>
      </w:pPr>
    </w:p>
    <w:p w14:paraId="5B912AB3" w14:textId="23AEB1B4" w:rsidR="00B57B82" w:rsidRPr="00DA0C94" w:rsidRDefault="00B57B82" w:rsidP="009C12C4">
      <w:pPr>
        <w:pStyle w:val="BodyTextMain"/>
        <w:ind w:left="567"/>
        <w:rPr>
          <w:lang w:val="en-GB"/>
        </w:rPr>
      </w:pPr>
      <w:r w:rsidRPr="00DA0C94">
        <w:rPr>
          <w:lang w:val="en-GB"/>
        </w:rPr>
        <w:t>When I took over the portfolio in 2013, CSR was mainly run as a stand</w:t>
      </w:r>
      <w:r w:rsidR="00AB17D9">
        <w:rPr>
          <w:lang w:val="en-GB"/>
        </w:rPr>
        <w:t>-</w:t>
      </w:r>
      <w:r w:rsidRPr="00DA0C94">
        <w:rPr>
          <w:lang w:val="en-GB"/>
        </w:rPr>
        <w:t xml:space="preserve">alone corporate function where we funded charitable causes and </w:t>
      </w:r>
      <w:r w:rsidR="00556891" w:rsidRPr="00DA0C94">
        <w:rPr>
          <w:lang w:val="en-GB"/>
        </w:rPr>
        <w:t>organized</w:t>
      </w:r>
      <w:r w:rsidRPr="00DA0C94">
        <w:rPr>
          <w:lang w:val="en-GB"/>
        </w:rPr>
        <w:t xml:space="preserve"> staff volunteering </w:t>
      </w:r>
      <w:r w:rsidR="00556891" w:rsidRPr="00DA0C94">
        <w:rPr>
          <w:lang w:val="en-GB"/>
        </w:rPr>
        <w:t>programs</w:t>
      </w:r>
      <w:r w:rsidRPr="00DA0C94">
        <w:rPr>
          <w:lang w:val="en-GB"/>
        </w:rPr>
        <w:t xml:space="preserve">. Coming from within the business, I felt we could do a lot more and be more strategic in our approach. </w:t>
      </w:r>
    </w:p>
    <w:p w14:paraId="43FBC23C" w14:textId="77777777" w:rsidR="00B57B82" w:rsidRPr="00DA0C94" w:rsidRDefault="00B57B82" w:rsidP="00B57B82">
      <w:pPr>
        <w:pStyle w:val="BodyTextMain"/>
        <w:rPr>
          <w:sz w:val="20"/>
          <w:lang w:val="en-GB"/>
        </w:rPr>
      </w:pPr>
    </w:p>
    <w:p w14:paraId="3281F3FD" w14:textId="77777777" w:rsidR="00B57B82" w:rsidRPr="00DA0C94" w:rsidRDefault="00B57B82" w:rsidP="00B57B82">
      <w:pPr>
        <w:pStyle w:val="BodyTextMain"/>
        <w:rPr>
          <w:sz w:val="20"/>
          <w:lang w:val="en-GB"/>
        </w:rPr>
      </w:pPr>
    </w:p>
    <w:p w14:paraId="2C5742A7" w14:textId="0668F378" w:rsidR="00B57B82" w:rsidRPr="00DA0C94" w:rsidRDefault="00B57B82" w:rsidP="00B57B82">
      <w:pPr>
        <w:pStyle w:val="Casehead1"/>
        <w:rPr>
          <w:lang w:val="en-GB"/>
        </w:rPr>
      </w:pPr>
      <w:r w:rsidRPr="00DA0C94">
        <w:rPr>
          <w:lang w:val="en-GB"/>
        </w:rPr>
        <w:t>VIEWS FROM SENIOR MANAGEMENT</w:t>
      </w:r>
    </w:p>
    <w:p w14:paraId="2AA4C5C1" w14:textId="77777777" w:rsidR="00B57B82" w:rsidRPr="00DA0C94" w:rsidRDefault="00B57B82" w:rsidP="00B57B82">
      <w:pPr>
        <w:pStyle w:val="BodyTextMain"/>
        <w:rPr>
          <w:sz w:val="20"/>
          <w:lang w:val="en-GB"/>
        </w:rPr>
      </w:pPr>
    </w:p>
    <w:p w14:paraId="15AE47FA" w14:textId="22B8CAE1" w:rsidR="00B57B82" w:rsidRPr="00DA0C94" w:rsidRDefault="00B57B82" w:rsidP="009C12C4">
      <w:pPr>
        <w:pStyle w:val="BodyTextMain"/>
        <w:ind w:left="540"/>
        <w:jc w:val="right"/>
        <w:rPr>
          <w:lang w:val="en-GB"/>
        </w:rPr>
      </w:pPr>
      <w:r w:rsidRPr="00DA0C94">
        <w:rPr>
          <w:lang w:val="en-GB"/>
        </w:rPr>
        <w:t>We want to make a lasting positive impact on our stakeholders, leveraging our own resources and people and working closely with our strategic partners. At the same time, we acknowledge that our industry can create unintended consequences. The Group’s sustainability strategy seeks to create shared value and mitigate the risks to the company, our stakeholders and the environment.</w:t>
      </w:r>
    </w:p>
    <w:p w14:paraId="6FC7956D" w14:textId="77777777" w:rsidR="007D3D05" w:rsidRPr="007D3D05" w:rsidRDefault="007D3D05" w:rsidP="00B57B82">
      <w:pPr>
        <w:pStyle w:val="BodyTextMain"/>
        <w:jc w:val="right"/>
        <w:rPr>
          <w:sz w:val="12"/>
          <w:lang w:val="en-GB"/>
        </w:rPr>
      </w:pPr>
    </w:p>
    <w:p w14:paraId="5A0BF79E" w14:textId="75196A06" w:rsidR="00B57B82" w:rsidRPr="00DA0C94" w:rsidRDefault="004875E0" w:rsidP="00B57B82">
      <w:pPr>
        <w:pStyle w:val="BodyTextMain"/>
        <w:jc w:val="right"/>
        <w:rPr>
          <w:lang w:val="en-GB"/>
        </w:rPr>
      </w:pPr>
      <w:r>
        <w:rPr>
          <w:lang w:val="en-GB"/>
        </w:rPr>
        <w:t>SingTel</w:t>
      </w:r>
      <w:r w:rsidR="00B57B82" w:rsidRPr="00DA0C94">
        <w:rPr>
          <w:lang w:val="en-GB"/>
        </w:rPr>
        <w:t xml:space="preserve"> on its </w:t>
      </w:r>
      <w:r w:rsidR="00CD0D4F">
        <w:rPr>
          <w:lang w:val="en-GB"/>
        </w:rPr>
        <w:t>s</w:t>
      </w:r>
      <w:r w:rsidR="00B57B82" w:rsidRPr="00DA0C94">
        <w:rPr>
          <w:lang w:val="en-GB"/>
        </w:rPr>
        <w:t xml:space="preserve">ustainability </w:t>
      </w:r>
      <w:r w:rsidR="00CD0D4F">
        <w:rPr>
          <w:lang w:val="en-GB"/>
        </w:rPr>
        <w:t>a</w:t>
      </w:r>
      <w:r w:rsidR="00B57B82" w:rsidRPr="00DA0C94">
        <w:rPr>
          <w:lang w:val="en-GB"/>
        </w:rPr>
        <w:t>pproach</w:t>
      </w:r>
    </w:p>
    <w:p w14:paraId="18275246" w14:textId="77777777" w:rsidR="00B57B82" w:rsidRPr="00DA0C94" w:rsidRDefault="00B57B82" w:rsidP="00B57B82">
      <w:pPr>
        <w:pStyle w:val="BodyTextMain"/>
        <w:rPr>
          <w:sz w:val="20"/>
          <w:lang w:val="en-GB"/>
        </w:rPr>
      </w:pPr>
    </w:p>
    <w:p w14:paraId="378C1428" w14:textId="20F7BADD" w:rsidR="00B57B82" w:rsidRPr="00C10812" w:rsidRDefault="00CD0D4F" w:rsidP="00B57B82">
      <w:pPr>
        <w:pStyle w:val="BodyTextMain"/>
        <w:rPr>
          <w:spacing w:val="-2"/>
          <w:lang w:val="en-GB"/>
        </w:rPr>
      </w:pPr>
      <w:r w:rsidRPr="00C10812">
        <w:rPr>
          <w:spacing w:val="-2"/>
          <w:lang w:val="en-GB"/>
        </w:rPr>
        <w:t xml:space="preserve">The senior management of </w:t>
      </w:r>
      <w:r w:rsidR="004875E0" w:rsidRPr="00C10812">
        <w:rPr>
          <w:spacing w:val="-2"/>
          <w:lang w:val="en-GB"/>
        </w:rPr>
        <w:t>SingTel</w:t>
      </w:r>
      <w:r w:rsidRPr="00C10812">
        <w:rPr>
          <w:spacing w:val="-2"/>
          <w:lang w:val="en-GB"/>
        </w:rPr>
        <w:t xml:space="preserve"> believed in the advantages of a sustained and long-run initiative, the merits of co-operative effort</w:t>
      </w:r>
      <w:r w:rsidR="007C7C53" w:rsidRPr="00C10812">
        <w:rPr>
          <w:spacing w:val="-2"/>
          <w:lang w:val="en-GB"/>
        </w:rPr>
        <w:t>,</w:t>
      </w:r>
      <w:r w:rsidRPr="00C10812">
        <w:rPr>
          <w:spacing w:val="-2"/>
          <w:lang w:val="en-GB"/>
        </w:rPr>
        <w:t xml:space="preserve"> and the virtues of adequate discipline. </w:t>
      </w:r>
      <w:r w:rsidR="004875E0" w:rsidRPr="00C10812">
        <w:rPr>
          <w:spacing w:val="-2"/>
          <w:lang w:val="en-GB"/>
        </w:rPr>
        <w:t>SingTel</w:t>
      </w:r>
      <w:r w:rsidR="00B57B82" w:rsidRPr="00C10812">
        <w:rPr>
          <w:spacing w:val="-2"/>
          <w:lang w:val="en-GB"/>
        </w:rPr>
        <w:t xml:space="preserve">’s senior leadership </w:t>
      </w:r>
      <w:r w:rsidRPr="00C10812">
        <w:rPr>
          <w:spacing w:val="-2"/>
          <w:lang w:val="en-GB"/>
        </w:rPr>
        <w:t>believed</w:t>
      </w:r>
      <w:r w:rsidR="00B57B82" w:rsidRPr="00C10812">
        <w:rPr>
          <w:spacing w:val="-2"/>
          <w:lang w:val="en-GB"/>
        </w:rPr>
        <w:t xml:space="preserve"> that any strategic initiatives should </w:t>
      </w:r>
      <w:r w:rsidR="009C12C4">
        <w:rPr>
          <w:spacing w:val="-2"/>
          <w:lang w:val="en-GB"/>
        </w:rPr>
        <w:t>only be adopted only after extensive analysis and exploration</w:t>
      </w:r>
      <w:r w:rsidR="00B57B82" w:rsidRPr="00C10812">
        <w:rPr>
          <w:spacing w:val="-2"/>
          <w:lang w:val="en-GB"/>
        </w:rPr>
        <w:t xml:space="preserve">. </w:t>
      </w:r>
      <w:r w:rsidR="008C623B">
        <w:rPr>
          <w:spacing w:val="-2"/>
          <w:lang w:val="en-GB"/>
        </w:rPr>
        <w:t>They</w:t>
      </w:r>
      <w:r w:rsidR="00B57B82" w:rsidRPr="00C10812">
        <w:rPr>
          <w:spacing w:val="-2"/>
          <w:lang w:val="en-GB"/>
        </w:rPr>
        <w:t xml:space="preserve"> adopted a company-wide disciplined approach in all its business investments, where</w:t>
      </w:r>
      <w:r w:rsidRPr="00C10812">
        <w:rPr>
          <w:spacing w:val="-2"/>
          <w:lang w:val="en-GB"/>
        </w:rPr>
        <w:t>by</w:t>
      </w:r>
      <w:r w:rsidR="00B57B82" w:rsidRPr="00C10812">
        <w:rPr>
          <w:spacing w:val="-2"/>
          <w:lang w:val="en-GB"/>
        </w:rPr>
        <w:t xml:space="preserve"> perspectives and investments were managed with a long-term view</w:t>
      </w:r>
      <w:r w:rsidRPr="00C10812">
        <w:rPr>
          <w:spacing w:val="-2"/>
          <w:lang w:val="en-GB"/>
        </w:rPr>
        <w:t>,</w:t>
      </w:r>
      <w:r w:rsidR="00B57B82" w:rsidRPr="00C10812">
        <w:rPr>
          <w:spacing w:val="-2"/>
          <w:lang w:val="en-GB"/>
        </w:rPr>
        <w:t xml:space="preserve"> and risks were mitigated. This </w:t>
      </w:r>
      <w:r w:rsidRPr="00C10812">
        <w:rPr>
          <w:spacing w:val="-2"/>
          <w:lang w:val="en-GB"/>
        </w:rPr>
        <w:t xml:space="preserve">approach </w:t>
      </w:r>
      <w:r w:rsidR="00B57B82" w:rsidRPr="00C10812">
        <w:rPr>
          <w:spacing w:val="-2"/>
          <w:lang w:val="en-GB"/>
        </w:rPr>
        <w:t xml:space="preserve">enabled </w:t>
      </w:r>
      <w:r w:rsidRPr="00C10812">
        <w:rPr>
          <w:spacing w:val="-2"/>
          <w:lang w:val="en-GB"/>
        </w:rPr>
        <w:t xml:space="preserve">the </w:t>
      </w:r>
      <w:r w:rsidR="00B57B82" w:rsidRPr="00C10812">
        <w:rPr>
          <w:spacing w:val="-2"/>
          <w:lang w:val="en-GB"/>
        </w:rPr>
        <w:t xml:space="preserve">proper curation of information, </w:t>
      </w:r>
      <w:r w:rsidRPr="00C10812">
        <w:rPr>
          <w:spacing w:val="-2"/>
          <w:lang w:val="en-GB"/>
        </w:rPr>
        <w:t xml:space="preserve">the </w:t>
      </w:r>
      <w:r w:rsidR="00B57B82" w:rsidRPr="00C10812">
        <w:rPr>
          <w:spacing w:val="-2"/>
          <w:lang w:val="en-GB"/>
        </w:rPr>
        <w:t>building of capacity</w:t>
      </w:r>
      <w:r w:rsidRPr="00C10812">
        <w:rPr>
          <w:spacing w:val="-2"/>
          <w:lang w:val="en-GB"/>
        </w:rPr>
        <w:t>,</w:t>
      </w:r>
      <w:r w:rsidR="00B57B82" w:rsidRPr="00C10812">
        <w:rPr>
          <w:spacing w:val="-2"/>
          <w:lang w:val="en-GB"/>
        </w:rPr>
        <w:t xml:space="preserve"> and </w:t>
      </w:r>
      <w:r w:rsidRPr="00C10812">
        <w:rPr>
          <w:spacing w:val="-2"/>
          <w:lang w:val="en-GB"/>
        </w:rPr>
        <w:t xml:space="preserve">the </w:t>
      </w:r>
      <w:r w:rsidR="00B57B82" w:rsidRPr="00C10812">
        <w:rPr>
          <w:spacing w:val="-2"/>
          <w:lang w:val="en-GB"/>
        </w:rPr>
        <w:t xml:space="preserve">strengthening of partnerships that allowed for </w:t>
      </w:r>
      <w:r w:rsidRPr="00C10812">
        <w:rPr>
          <w:spacing w:val="-2"/>
          <w:lang w:val="en-GB"/>
        </w:rPr>
        <w:t xml:space="preserve">both </w:t>
      </w:r>
      <w:r w:rsidR="00B57B82" w:rsidRPr="00C10812">
        <w:rPr>
          <w:spacing w:val="-2"/>
          <w:lang w:val="en-GB"/>
        </w:rPr>
        <w:t xml:space="preserve">lasting impact </w:t>
      </w:r>
      <w:r w:rsidRPr="00C10812">
        <w:rPr>
          <w:spacing w:val="-2"/>
          <w:lang w:val="en-GB"/>
        </w:rPr>
        <w:t>and the</w:t>
      </w:r>
      <w:r w:rsidR="00B57B82" w:rsidRPr="00C10812">
        <w:rPr>
          <w:spacing w:val="-2"/>
          <w:lang w:val="en-GB"/>
        </w:rPr>
        <w:t xml:space="preserve"> management of risk. The </w:t>
      </w:r>
      <w:r w:rsidRPr="00C10812">
        <w:rPr>
          <w:spacing w:val="-2"/>
          <w:lang w:val="en-GB"/>
        </w:rPr>
        <w:t xml:space="preserve">dot-com </w:t>
      </w:r>
      <w:r w:rsidR="00B57B82" w:rsidRPr="00C10812">
        <w:rPr>
          <w:spacing w:val="-2"/>
          <w:lang w:val="en-GB"/>
        </w:rPr>
        <w:t xml:space="preserve">boom in the late 1990s and the subsequent bust in early 2000 </w:t>
      </w:r>
      <w:r w:rsidR="007C7C53" w:rsidRPr="00C10812">
        <w:rPr>
          <w:spacing w:val="-2"/>
          <w:lang w:val="en-GB"/>
        </w:rPr>
        <w:t xml:space="preserve">represented </w:t>
      </w:r>
      <w:r w:rsidR="00B57B82" w:rsidRPr="00C10812">
        <w:rPr>
          <w:spacing w:val="-2"/>
          <w:lang w:val="en-GB"/>
        </w:rPr>
        <w:t xml:space="preserve">a classic example of many companies </w:t>
      </w:r>
      <w:r w:rsidRPr="00C10812">
        <w:rPr>
          <w:spacing w:val="-2"/>
          <w:lang w:val="en-GB"/>
        </w:rPr>
        <w:t>joining</w:t>
      </w:r>
      <w:r w:rsidR="00B57B82" w:rsidRPr="00C10812">
        <w:rPr>
          <w:spacing w:val="-2"/>
          <w:lang w:val="en-GB"/>
        </w:rPr>
        <w:t xml:space="preserve"> a short-term </w:t>
      </w:r>
      <w:r w:rsidRPr="00C10812">
        <w:rPr>
          <w:spacing w:val="-2"/>
          <w:lang w:val="en-GB"/>
        </w:rPr>
        <w:t>trend</w:t>
      </w:r>
      <w:r w:rsidR="00B57B82" w:rsidRPr="00C10812">
        <w:rPr>
          <w:spacing w:val="-2"/>
          <w:lang w:val="en-GB"/>
        </w:rPr>
        <w:t xml:space="preserve">. With its more measured and disciplined approach, </w:t>
      </w:r>
      <w:r w:rsidR="004875E0" w:rsidRPr="00C10812">
        <w:rPr>
          <w:spacing w:val="-2"/>
          <w:lang w:val="en-GB"/>
        </w:rPr>
        <w:t>SingTel</w:t>
      </w:r>
      <w:r w:rsidR="00B57B82" w:rsidRPr="00C10812">
        <w:rPr>
          <w:spacing w:val="-2"/>
          <w:lang w:val="en-GB"/>
        </w:rPr>
        <w:t xml:space="preserve"> </w:t>
      </w:r>
      <w:r w:rsidRPr="00C10812">
        <w:rPr>
          <w:spacing w:val="-2"/>
          <w:lang w:val="en-GB"/>
        </w:rPr>
        <w:t xml:space="preserve">had </w:t>
      </w:r>
      <w:r w:rsidR="00B57B82" w:rsidRPr="00C10812">
        <w:rPr>
          <w:spacing w:val="-2"/>
          <w:lang w:val="en-GB"/>
        </w:rPr>
        <w:t xml:space="preserve">managed to avoid the overvaluations and massive losses sustained by many companies. In the same way, the senior management </w:t>
      </w:r>
      <w:r w:rsidR="00821AB4" w:rsidRPr="00C10812">
        <w:rPr>
          <w:spacing w:val="-2"/>
          <w:lang w:val="en-GB"/>
        </w:rPr>
        <w:t xml:space="preserve">applied a </w:t>
      </w:r>
      <w:r w:rsidR="00B57B82" w:rsidRPr="00C10812">
        <w:rPr>
          <w:spacing w:val="-2"/>
          <w:lang w:val="en-GB"/>
        </w:rPr>
        <w:t>long</w:t>
      </w:r>
      <w:r w:rsidR="00821AB4" w:rsidRPr="00C10812">
        <w:rPr>
          <w:spacing w:val="-2"/>
          <w:lang w:val="en-GB"/>
        </w:rPr>
        <w:t>-</w:t>
      </w:r>
      <w:r w:rsidR="00B57B82" w:rsidRPr="00C10812">
        <w:rPr>
          <w:spacing w:val="-2"/>
          <w:lang w:val="en-GB"/>
        </w:rPr>
        <w:t>term strategic lens to its CSR plans.</w:t>
      </w:r>
    </w:p>
    <w:p w14:paraId="13EE1C60" w14:textId="77777777" w:rsidR="00B57B82" w:rsidRPr="00DA0C94" w:rsidRDefault="00B57B82" w:rsidP="00B57B82">
      <w:pPr>
        <w:pStyle w:val="BodyTextMain"/>
        <w:rPr>
          <w:sz w:val="20"/>
          <w:lang w:val="en-GB"/>
        </w:rPr>
      </w:pPr>
    </w:p>
    <w:p w14:paraId="30C33A2F" w14:textId="15F160FE" w:rsidR="00B57B82" w:rsidRPr="00BA7B97" w:rsidRDefault="00821AB4" w:rsidP="00B57B82">
      <w:pPr>
        <w:pStyle w:val="BodyTextMain"/>
        <w:rPr>
          <w:spacing w:val="-2"/>
          <w:lang w:val="en-GB"/>
        </w:rPr>
      </w:pPr>
      <w:r w:rsidRPr="00BA7B97">
        <w:rPr>
          <w:spacing w:val="-2"/>
          <w:lang w:val="en-GB"/>
        </w:rPr>
        <w:t xml:space="preserve">The </w:t>
      </w:r>
      <w:r w:rsidR="004875E0">
        <w:rPr>
          <w:spacing w:val="-2"/>
          <w:lang w:val="en-GB"/>
        </w:rPr>
        <w:t>SingTel</w:t>
      </w:r>
      <w:r w:rsidR="00B57B82" w:rsidRPr="00BA7B97">
        <w:rPr>
          <w:spacing w:val="-2"/>
          <w:lang w:val="en-GB"/>
        </w:rPr>
        <w:t xml:space="preserve"> leadership also </w:t>
      </w:r>
      <w:r w:rsidRPr="00BA7B97">
        <w:rPr>
          <w:spacing w:val="-2"/>
          <w:lang w:val="en-GB"/>
        </w:rPr>
        <w:t xml:space="preserve">wanted </w:t>
      </w:r>
      <w:r w:rsidR="00B57B82" w:rsidRPr="00BA7B97">
        <w:rPr>
          <w:spacing w:val="-2"/>
          <w:lang w:val="en-GB"/>
        </w:rPr>
        <w:t xml:space="preserve">to involve the government and other like-minded stakeholders or even </w:t>
      </w:r>
      <w:r w:rsidRPr="00BA7B97">
        <w:rPr>
          <w:spacing w:val="-2"/>
          <w:lang w:val="en-GB"/>
        </w:rPr>
        <w:t>pursue</w:t>
      </w:r>
      <w:r w:rsidR="00B57B82" w:rsidRPr="00BA7B97">
        <w:rPr>
          <w:spacing w:val="-2"/>
          <w:lang w:val="en-GB"/>
        </w:rPr>
        <w:t xml:space="preserve"> co-funding </w:t>
      </w:r>
      <w:r w:rsidRPr="00BA7B97">
        <w:rPr>
          <w:spacing w:val="-2"/>
          <w:lang w:val="en-GB"/>
        </w:rPr>
        <w:t xml:space="preserve">for </w:t>
      </w:r>
      <w:r w:rsidR="00B57B82" w:rsidRPr="00BA7B97">
        <w:rPr>
          <w:spacing w:val="-2"/>
          <w:lang w:val="en-GB"/>
        </w:rPr>
        <w:t xml:space="preserve">initiatives that addressed major societal issues. These initial co-funding </w:t>
      </w:r>
      <w:r w:rsidRPr="00BA7B97">
        <w:rPr>
          <w:spacing w:val="-2"/>
          <w:lang w:val="en-GB"/>
        </w:rPr>
        <w:t xml:space="preserve">arrangements </w:t>
      </w:r>
      <w:r w:rsidR="00B57B82" w:rsidRPr="00BA7B97">
        <w:rPr>
          <w:spacing w:val="-2"/>
          <w:lang w:val="en-GB"/>
        </w:rPr>
        <w:t xml:space="preserve">would help to bring attention to these issues, while lowering the risk until such time when </w:t>
      </w:r>
      <w:r w:rsidR="009C12C4">
        <w:rPr>
          <w:spacing w:val="-2"/>
          <w:lang w:val="en-GB"/>
        </w:rPr>
        <w:t xml:space="preserve">the </w:t>
      </w:r>
      <w:r w:rsidR="00B57B82" w:rsidRPr="00BA7B97">
        <w:rPr>
          <w:spacing w:val="-2"/>
          <w:lang w:val="en-GB"/>
        </w:rPr>
        <w:t xml:space="preserve">program </w:t>
      </w:r>
      <w:r w:rsidRPr="00BA7B97">
        <w:rPr>
          <w:spacing w:val="-2"/>
          <w:lang w:val="en-GB"/>
        </w:rPr>
        <w:t xml:space="preserve">was </w:t>
      </w:r>
      <w:r w:rsidR="00B57B82" w:rsidRPr="00BA7B97">
        <w:rPr>
          <w:spacing w:val="-2"/>
          <w:lang w:val="en-GB"/>
        </w:rPr>
        <w:t xml:space="preserve">able to demonstrate its success and attract other corporate partners. The </w:t>
      </w:r>
      <w:r w:rsidR="00E91005" w:rsidRPr="00BA7B97">
        <w:rPr>
          <w:spacing w:val="-2"/>
          <w:lang w:val="en-GB"/>
        </w:rPr>
        <w:t>increa</w:t>
      </w:r>
      <w:r w:rsidRPr="00BA7B97">
        <w:rPr>
          <w:spacing w:val="-2"/>
          <w:lang w:val="en-GB"/>
        </w:rPr>
        <w:t xml:space="preserve">sing </w:t>
      </w:r>
      <w:r w:rsidR="00B57B82" w:rsidRPr="00BA7B97">
        <w:rPr>
          <w:spacing w:val="-2"/>
          <w:lang w:val="en-GB"/>
        </w:rPr>
        <w:t xml:space="preserve">momentum would </w:t>
      </w:r>
      <w:r w:rsidRPr="00BA7B97">
        <w:rPr>
          <w:spacing w:val="-2"/>
          <w:lang w:val="en-GB"/>
        </w:rPr>
        <w:t xml:space="preserve">ideally </w:t>
      </w:r>
      <w:r w:rsidR="00B57B82" w:rsidRPr="00BA7B97">
        <w:rPr>
          <w:spacing w:val="-2"/>
          <w:lang w:val="en-GB"/>
        </w:rPr>
        <w:t xml:space="preserve">lead to a beneficial </w:t>
      </w:r>
      <w:r w:rsidRPr="00BA7B97">
        <w:rPr>
          <w:spacing w:val="-2"/>
          <w:lang w:val="en-GB"/>
        </w:rPr>
        <w:t xml:space="preserve">cumulative </w:t>
      </w:r>
      <w:r w:rsidR="00B57B82" w:rsidRPr="00BA7B97">
        <w:rPr>
          <w:spacing w:val="-2"/>
          <w:lang w:val="en-GB"/>
        </w:rPr>
        <w:t xml:space="preserve">effect for the initiative </w:t>
      </w:r>
      <w:r w:rsidRPr="00BA7B97">
        <w:rPr>
          <w:spacing w:val="-2"/>
          <w:lang w:val="en-GB"/>
        </w:rPr>
        <w:t xml:space="preserve">to </w:t>
      </w:r>
      <w:r w:rsidR="00B57B82" w:rsidRPr="00BA7B97">
        <w:rPr>
          <w:spacing w:val="-2"/>
          <w:lang w:val="en-GB"/>
        </w:rPr>
        <w:t>be self-sustainable in the long</w:t>
      </w:r>
      <w:r w:rsidRPr="00BA7B97">
        <w:rPr>
          <w:spacing w:val="-2"/>
          <w:lang w:val="en-GB"/>
        </w:rPr>
        <w:t xml:space="preserve"> </w:t>
      </w:r>
      <w:r w:rsidR="00B57B82" w:rsidRPr="00BA7B97">
        <w:rPr>
          <w:spacing w:val="-2"/>
          <w:lang w:val="en-GB"/>
        </w:rPr>
        <w:t xml:space="preserve">run. This </w:t>
      </w:r>
      <w:r w:rsidRPr="00BA7B97">
        <w:rPr>
          <w:spacing w:val="-2"/>
          <w:lang w:val="en-GB"/>
        </w:rPr>
        <w:t xml:space="preserve">perspective </w:t>
      </w:r>
      <w:r w:rsidR="00B57B82" w:rsidRPr="00BA7B97">
        <w:rPr>
          <w:spacing w:val="-2"/>
          <w:lang w:val="en-GB"/>
        </w:rPr>
        <w:t xml:space="preserve">served as a motivating factor for </w:t>
      </w:r>
      <w:r w:rsidR="004875E0">
        <w:rPr>
          <w:spacing w:val="-2"/>
          <w:lang w:val="en-GB"/>
        </w:rPr>
        <w:t>SingTel</w:t>
      </w:r>
      <w:r w:rsidR="00B57B82" w:rsidRPr="00BA7B97">
        <w:rPr>
          <w:spacing w:val="-2"/>
          <w:lang w:val="en-GB"/>
        </w:rPr>
        <w:t>’s top management to agree to multi-stakeholder collaboration, initially with the government, then involving other like-minded corporate</w:t>
      </w:r>
      <w:r w:rsidRPr="00BA7B97">
        <w:rPr>
          <w:spacing w:val="-2"/>
          <w:lang w:val="en-GB"/>
        </w:rPr>
        <w:t xml:space="preserve"> partners</w:t>
      </w:r>
      <w:r w:rsidR="00B57B82" w:rsidRPr="00BA7B97">
        <w:rPr>
          <w:spacing w:val="-2"/>
          <w:lang w:val="en-GB"/>
        </w:rPr>
        <w:t>.</w:t>
      </w:r>
    </w:p>
    <w:p w14:paraId="0350F21A" w14:textId="77777777" w:rsidR="00B57B82" w:rsidRPr="00DA0C94" w:rsidRDefault="00B57B82" w:rsidP="00B57B82">
      <w:pPr>
        <w:pStyle w:val="BodyTextMain"/>
        <w:rPr>
          <w:sz w:val="20"/>
          <w:lang w:val="en-GB"/>
        </w:rPr>
      </w:pPr>
    </w:p>
    <w:p w14:paraId="53648910" w14:textId="77777777" w:rsidR="00B57B82" w:rsidRPr="00DA0C94" w:rsidRDefault="00B57B82" w:rsidP="00B57B82">
      <w:pPr>
        <w:pStyle w:val="BodyTextMain"/>
        <w:rPr>
          <w:sz w:val="20"/>
          <w:lang w:val="en-GB"/>
        </w:rPr>
      </w:pPr>
    </w:p>
    <w:p w14:paraId="4C9BF677" w14:textId="77777777" w:rsidR="00B57B82" w:rsidRPr="00DA0C94" w:rsidRDefault="00B57B82" w:rsidP="00B57B82">
      <w:pPr>
        <w:pStyle w:val="Casehead1"/>
        <w:rPr>
          <w:lang w:val="en-GB"/>
        </w:rPr>
      </w:pPr>
      <w:r w:rsidRPr="00DA0C94">
        <w:rPr>
          <w:lang w:val="en-GB"/>
        </w:rPr>
        <w:t>CONTENTION ISSUES FOR THE PROPOSAL</w:t>
      </w:r>
    </w:p>
    <w:p w14:paraId="164B0175" w14:textId="77777777" w:rsidR="00B57B82" w:rsidRPr="00DA0C94" w:rsidRDefault="00B57B82" w:rsidP="00B57B82">
      <w:pPr>
        <w:pStyle w:val="BodyTextMain"/>
        <w:rPr>
          <w:i/>
          <w:sz w:val="20"/>
          <w:lang w:val="en-GB"/>
        </w:rPr>
      </w:pPr>
    </w:p>
    <w:p w14:paraId="5683B141" w14:textId="17755A80" w:rsidR="00B57B82" w:rsidRPr="00BA7B97" w:rsidRDefault="00B57B82" w:rsidP="00B57B82">
      <w:pPr>
        <w:pStyle w:val="BodyTextMain"/>
        <w:rPr>
          <w:spacing w:val="-2"/>
          <w:lang w:val="en-GB"/>
        </w:rPr>
      </w:pPr>
      <w:r w:rsidRPr="00BA7B97">
        <w:rPr>
          <w:spacing w:val="-2"/>
          <w:lang w:val="en-GB"/>
        </w:rPr>
        <w:t xml:space="preserve">Below are some specific considerations that were discussed in the past meetings between </w:t>
      </w:r>
      <w:proofErr w:type="spellStart"/>
      <w:r w:rsidRPr="00BA7B97">
        <w:rPr>
          <w:spacing w:val="-2"/>
          <w:lang w:val="en-GB"/>
        </w:rPr>
        <w:t>Buay’s</w:t>
      </w:r>
      <w:proofErr w:type="spellEnd"/>
      <w:r w:rsidRPr="00BA7B97">
        <w:rPr>
          <w:spacing w:val="-2"/>
          <w:lang w:val="en-GB"/>
        </w:rPr>
        <w:t xml:space="preserve"> team and </w:t>
      </w:r>
      <w:r w:rsidR="004875E0">
        <w:rPr>
          <w:spacing w:val="-2"/>
          <w:lang w:val="en-GB"/>
        </w:rPr>
        <w:t>SingTel</w:t>
      </w:r>
      <w:r w:rsidR="00E91005" w:rsidRPr="00BA7B97">
        <w:rPr>
          <w:spacing w:val="-2"/>
          <w:lang w:val="en-GB"/>
        </w:rPr>
        <w:t xml:space="preserve">’s </w:t>
      </w:r>
      <w:r w:rsidRPr="00BA7B97">
        <w:rPr>
          <w:spacing w:val="-2"/>
          <w:lang w:val="en-GB"/>
        </w:rPr>
        <w:t xml:space="preserve">senior management. </w:t>
      </w:r>
      <w:proofErr w:type="spellStart"/>
      <w:r w:rsidRPr="00BA7B97">
        <w:rPr>
          <w:spacing w:val="-2"/>
          <w:lang w:val="en-GB"/>
        </w:rPr>
        <w:t>Buay’s</w:t>
      </w:r>
      <w:proofErr w:type="spellEnd"/>
      <w:r w:rsidRPr="00BA7B97">
        <w:rPr>
          <w:spacing w:val="-2"/>
          <w:lang w:val="en-GB"/>
        </w:rPr>
        <w:t xml:space="preserve"> team </w:t>
      </w:r>
      <w:r w:rsidR="00E91005" w:rsidRPr="00BA7B97">
        <w:rPr>
          <w:spacing w:val="-2"/>
          <w:lang w:val="en-GB"/>
        </w:rPr>
        <w:t xml:space="preserve">needed </w:t>
      </w:r>
      <w:r w:rsidRPr="00BA7B97">
        <w:rPr>
          <w:spacing w:val="-2"/>
          <w:lang w:val="en-GB"/>
        </w:rPr>
        <w:t>to prepare the proposal to address the concerns raised.</w:t>
      </w:r>
    </w:p>
    <w:p w14:paraId="0B5E3ECE" w14:textId="77777777" w:rsidR="00821AB4" w:rsidRPr="00BA7B97" w:rsidRDefault="00821AB4" w:rsidP="00BA7B97">
      <w:pPr>
        <w:pStyle w:val="BodyTextMain"/>
        <w:rPr>
          <w:sz w:val="20"/>
          <w:lang w:val="en-GB"/>
        </w:rPr>
      </w:pPr>
    </w:p>
    <w:p w14:paraId="47AFFCCF" w14:textId="77777777" w:rsidR="00821AB4" w:rsidRPr="00BA7B97" w:rsidRDefault="00821AB4" w:rsidP="00BA7B97">
      <w:pPr>
        <w:pStyle w:val="BodyTextMain"/>
        <w:rPr>
          <w:sz w:val="20"/>
          <w:lang w:val="en-GB"/>
        </w:rPr>
      </w:pPr>
    </w:p>
    <w:p w14:paraId="1533FCF5" w14:textId="52DFCB37" w:rsidR="00B57B82" w:rsidRPr="00DA0C94" w:rsidRDefault="00B57B82" w:rsidP="007D3D05">
      <w:pPr>
        <w:pStyle w:val="Casehead2"/>
        <w:keepNext/>
        <w:rPr>
          <w:highlight w:val="green"/>
          <w:lang w:val="en-GB"/>
        </w:rPr>
      </w:pPr>
      <w:r w:rsidRPr="00DA0C94">
        <w:rPr>
          <w:lang w:val="en-GB"/>
        </w:rPr>
        <w:t>Buy-</w:t>
      </w:r>
      <w:r w:rsidR="00821AB4">
        <w:rPr>
          <w:lang w:val="en-GB"/>
        </w:rPr>
        <w:t>I</w:t>
      </w:r>
      <w:r w:rsidRPr="00DA0C94">
        <w:rPr>
          <w:lang w:val="en-GB"/>
        </w:rPr>
        <w:t>n from Internal and External Stakeholders</w:t>
      </w:r>
    </w:p>
    <w:p w14:paraId="07D45323" w14:textId="77777777" w:rsidR="00B57B82" w:rsidRPr="00DA0C94" w:rsidRDefault="00B57B82" w:rsidP="007D3D05">
      <w:pPr>
        <w:pStyle w:val="BodyTextMain"/>
        <w:keepNext/>
        <w:rPr>
          <w:sz w:val="20"/>
          <w:lang w:val="en-GB"/>
        </w:rPr>
      </w:pPr>
    </w:p>
    <w:p w14:paraId="067BFD87" w14:textId="3054357C" w:rsidR="00B57B82" w:rsidRPr="00DA0C94" w:rsidRDefault="00B57B82" w:rsidP="007D3D05">
      <w:pPr>
        <w:pStyle w:val="BodyTextMain"/>
        <w:keepNext/>
        <w:rPr>
          <w:lang w:val="en-GB"/>
        </w:rPr>
      </w:pPr>
      <w:r w:rsidRPr="00DA0C94">
        <w:rPr>
          <w:lang w:val="en-GB"/>
        </w:rPr>
        <w:t xml:space="preserve">The first and foremost challenge for a strategic CSR approach </w:t>
      </w:r>
      <w:r w:rsidR="00821AB4">
        <w:rPr>
          <w:lang w:val="en-GB"/>
        </w:rPr>
        <w:t>wa</w:t>
      </w:r>
      <w:r w:rsidR="00821AB4" w:rsidRPr="00DA0C94">
        <w:rPr>
          <w:lang w:val="en-GB"/>
        </w:rPr>
        <w:t xml:space="preserve">s </w:t>
      </w:r>
      <w:r w:rsidR="00821AB4">
        <w:rPr>
          <w:lang w:val="en-GB"/>
        </w:rPr>
        <w:t xml:space="preserve">integrating </w:t>
      </w:r>
      <w:r w:rsidRPr="00DA0C94">
        <w:rPr>
          <w:lang w:val="en-GB"/>
        </w:rPr>
        <w:t>the perspectives of both internal and external stakeholders.</w:t>
      </w:r>
      <w:r w:rsidRPr="00DA0C94">
        <w:rPr>
          <w:vertAlign w:val="superscript"/>
          <w:lang w:val="en-GB"/>
        </w:rPr>
        <w:footnoteReference w:id="5"/>
      </w:r>
      <w:r w:rsidRPr="00DA0C94">
        <w:rPr>
          <w:lang w:val="en-GB"/>
        </w:rPr>
        <w:t xml:space="preserve"> For the external stakeholders, this </w:t>
      </w:r>
      <w:r w:rsidR="00220211">
        <w:rPr>
          <w:lang w:val="en-GB"/>
        </w:rPr>
        <w:t xml:space="preserve">process </w:t>
      </w:r>
      <w:r w:rsidRPr="00DA0C94">
        <w:rPr>
          <w:lang w:val="en-GB"/>
        </w:rPr>
        <w:t>involved looking into the needs, concerns</w:t>
      </w:r>
      <w:r w:rsidR="00220211">
        <w:rPr>
          <w:lang w:val="en-GB"/>
        </w:rPr>
        <w:t>,</w:t>
      </w:r>
      <w:r w:rsidRPr="00DA0C94">
        <w:rPr>
          <w:lang w:val="en-GB"/>
        </w:rPr>
        <w:t xml:space="preserve"> and expectations of the </w:t>
      </w:r>
      <w:r w:rsidR="009C12C4">
        <w:rPr>
          <w:lang w:val="en-GB"/>
        </w:rPr>
        <w:t>beneficiary</w:t>
      </w:r>
      <w:r w:rsidRPr="00DA0C94">
        <w:rPr>
          <w:lang w:val="en-GB"/>
        </w:rPr>
        <w:t xml:space="preserve">. The internal response referred to how </w:t>
      </w:r>
      <w:r w:rsidR="004875E0">
        <w:rPr>
          <w:lang w:val="en-GB"/>
        </w:rPr>
        <w:t>SingTel</w:t>
      </w:r>
      <w:r w:rsidRPr="00DA0C94">
        <w:rPr>
          <w:lang w:val="en-GB"/>
        </w:rPr>
        <w:t xml:space="preserve"> sought to address these needs</w:t>
      </w:r>
      <w:r w:rsidR="009C12C4">
        <w:rPr>
          <w:lang w:val="en-GB"/>
        </w:rPr>
        <w:t>, concerns,</w:t>
      </w:r>
      <w:r w:rsidRPr="00DA0C94">
        <w:rPr>
          <w:lang w:val="en-GB"/>
        </w:rPr>
        <w:t xml:space="preserve"> and expectations to ensure that the CSR efforts were well aligned with </w:t>
      </w:r>
      <w:r w:rsidR="009C12C4">
        <w:rPr>
          <w:lang w:val="en-GB"/>
        </w:rPr>
        <w:t>its</w:t>
      </w:r>
      <w:r w:rsidRPr="00DA0C94">
        <w:rPr>
          <w:lang w:val="en-GB"/>
        </w:rPr>
        <w:t xml:space="preserve"> core competencies. </w:t>
      </w:r>
    </w:p>
    <w:p w14:paraId="5DB9D233" w14:textId="77777777" w:rsidR="00B57B82" w:rsidRPr="00DA0C94" w:rsidRDefault="00B57B82" w:rsidP="00B57B82">
      <w:pPr>
        <w:pStyle w:val="BodyTextMain"/>
        <w:rPr>
          <w:sz w:val="20"/>
          <w:highlight w:val="yellow"/>
          <w:lang w:val="en-GB"/>
        </w:rPr>
      </w:pPr>
    </w:p>
    <w:p w14:paraId="3CC1C42C" w14:textId="6BDA8519" w:rsidR="00B57B82" w:rsidRPr="00DA0C94" w:rsidRDefault="00B57B82" w:rsidP="00737C5A">
      <w:pPr>
        <w:pStyle w:val="BodyTextMain"/>
        <w:rPr>
          <w:lang w:val="en-GB"/>
        </w:rPr>
      </w:pPr>
      <w:r w:rsidRPr="00DA0C94">
        <w:rPr>
          <w:lang w:val="en-GB"/>
        </w:rPr>
        <w:t xml:space="preserve">How would strategic CSR allow </w:t>
      </w:r>
      <w:r w:rsidR="004875E0">
        <w:rPr>
          <w:lang w:val="en-GB"/>
        </w:rPr>
        <w:t>SingTel</w:t>
      </w:r>
      <w:r w:rsidRPr="00DA0C94">
        <w:rPr>
          <w:lang w:val="en-GB"/>
        </w:rPr>
        <w:t xml:space="preserve"> employees to better understand its commitment to sustainable business practices? Given that employees </w:t>
      </w:r>
      <w:r w:rsidR="00220211">
        <w:rPr>
          <w:lang w:val="en-GB"/>
        </w:rPr>
        <w:t>we</w:t>
      </w:r>
      <w:r w:rsidR="00220211" w:rsidRPr="00DA0C94">
        <w:rPr>
          <w:lang w:val="en-GB"/>
        </w:rPr>
        <w:t xml:space="preserve">re </w:t>
      </w:r>
      <w:r w:rsidRPr="00DA0C94">
        <w:rPr>
          <w:lang w:val="en-GB"/>
        </w:rPr>
        <w:t xml:space="preserve">more likely to work in a company that </w:t>
      </w:r>
      <w:r w:rsidR="00220211" w:rsidRPr="00DA0C94">
        <w:rPr>
          <w:lang w:val="en-GB"/>
        </w:rPr>
        <w:t>ha</w:t>
      </w:r>
      <w:r w:rsidR="00220211">
        <w:rPr>
          <w:lang w:val="en-GB"/>
        </w:rPr>
        <w:t>d</w:t>
      </w:r>
      <w:r w:rsidR="00220211" w:rsidRPr="00DA0C94">
        <w:rPr>
          <w:lang w:val="en-GB"/>
        </w:rPr>
        <w:t xml:space="preserve"> </w:t>
      </w:r>
      <w:r w:rsidRPr="00DA0C94">
        <w:rPr>
          <w:lang w:val="en-GB"/>
        </w:rPr>
        <w:t>a good reputation,</w:t>
      </w:r>
      <w:r w:rsidRPr="00DA0C94">
        <w:rPr>
          <w:vertAlign w:val="superscript"/>
          <w:lang w:val="en-GB"/>
        </w:rPr>
        <w:footnoteReference w:id="6"/>
      </w:r>
      <w:r w:rsidRPr="00DA0C94">
        <w:rPr>
          <w:lang w:val="en-GB"/>
        </w:rPr>
        <w:t xml:space="preserve"> the right CSR initiatives </w:t>
      </w:r>
      <w:r w:rsidR="00220211" w:rsidRPr="00DA0C94">
        <w:rPr>
          <w:lang w:val="en-GB"/>
        </w:rPr>
        <w:t>m</w:t>
      </w:r>
      <w:r w:rsidR="00220211">
        <w:rPr>
          <w:lang w:val="en-GB"/>
        </w:rPr>
        <w:t>ight</w:t>
      </w:r>
      <w:r w:rsidR="00220211" w:rsidRPr="00DA0C94">
        <w:rPr>
          <w:lang w:val="en-GB"/>
        </w:rPr>
        <w:t xml:space="preserve"> </w:t>
      </w:r>
      <w:r w:rsidRPr="00DA0C94">
        <w:rPr>
          <w:lang w:val="en-GB"/>
        </w:rPr>
        <w:t xml:space="preserve">have the capability to build trust and goodwill between </w:t>
      </w:r>
      <w:r w:rsidR="004875E0">
        <w:rPr>
          <w:lang w:val="en-GB"/>
        </w:rPr>
        <w:t>SingTel</w:t>
      </w:r>
      <w:r w:rsidRPr="00DA0C94">
        <w:rPr>
          <w:lang w:val="en-GB"/>
        </w:rPr>
        <w:t xml:space="preserve"> and its employees.</w:t>
      </w:r>
      <w:r w:rsidR="00737C5A">
        <w:rPr>
          <w:lang w:val="en-GB"/>
        </w:rPr>
        <w:t xml:space="preserve"> </w:t>
      </w:r>
      <w:r w:rsidR="004875E0">
        <w:rPr>
          <w:lang w:val="en-GB"/>
        </w:rPr>
        <w:t>SingTel</w:t>
      </w:r>
      <w:r w:rsidR="00737C5A">
        <w:rPr>
          <w:lang w:val="en-GB"/>
        </w:rPr>
        <w:t xml:space="preserve"> introduced </w:t>
      </w:r>
      <w:proofErr w:type="spellStart"/>
      <w:r w:rsidR="00737C5A">
        <w:rPr>
          <w:lang w:val="en-GB"/>
        </w:rPr>
        <w:t>VolunTeaming</w:t>
      </w:r>
      <w:proofErr w:type="spellEnd"/>
      <w:r w:rsidR="00737C5A">
        <w:rPr>
          <w:lang w:val="en-GB"/>
        </w:rPr>
        <w:t xml:space="preserve"> in 2011 to encourage employees to volunteer </w:t>
      </w:r>
      <w:r w:rsidR="00D309F7">
        <w:rPr>
          <w:lang w:val="en-GB"/>
        </w:rPr>
        <w:t xml:space="preserve">in CSR initiatives </w:t>
      </w:r>
      <w:r w:rsidR="00737C5A">
        <w:rPr>
          <w:lang w:val="en-GB"/>
        </w:rPr>
        <w:t xml:space="preserve">as a department as part of team building. </w:t>
      </w:r>
      <w:r w:rsidR="00737C5A" w:rsidRPr="00737C5A">
        <w:rPr>
          <w:lang w:val="en-GB"/>
        </w:rPr>
        <w:t>In 2013</w:t>
      </w:r>
      <w:r w:rsidR="00737C5A">
        <w:rPr>
          <w:lang w:val="en-GB"/>
        </w:rPr>
        <w:t xml:space="preserve"> alone</w:t>
      </w:r>
      <w:r w:rsidR="00737C5A" w:rsidRPr="00737C5A">
        <w:rPr>
          <w:lang w:val="en-GB"/>
        </w:rPr>
        <w:t>, more than 1,900 staff volunteers contributed about 11,000 hours to</w:t>
      </w:r>
      <w:r w:rsidR="00737C5A">
        <w:rPr>
          <w:lang w:val="en-GB"/>
        </w:rPr>
        <w:t xml:space="preserve"> </w:t>
      </w:r>
      <w:r w:rsidR="00737C5A" w:rsidRPr="00737C5A">
        <w:rPr>
          <w:lang w:val="en-GB"/>
        </w:rPr>
        <w:t>community and environmental projects</w:t>
      </w:r>
      <w:r w:rsidR="00737C5A">
        <w:rPr>
          <w:lang w:val="en-GB"/>
        </w:rPr>
        <w:t>, which include</w:t>
      </w:r>
      <w:r w:rsidR="00D309F7">
        <w:rPr>
          <w:lang w:val="en-GB"/>
        </w:rPr>
        <w:t>d</w:t>
      </w:r>
      <w:r w:rsidR="00737C5A">
        <w:rPr>
          <w:lang w:val="en-GB"/>
        </w:rPr>
        <w:t xml:space="preserve"> 5</w:t>
      </w:r>
      <w:r w:rsidR="00737C5A" w:rsidRPr="00737C5A">
        <w:rPr>
          <w:lang w:val="en-GB"/>
        </w:rPr>
        <w:t xml:space="preserve">,500 </w:t>
      </w:r>
      <w:r w:rsidR="00737C5A">
        <w:rPr>
          <w:lang w:val="en-GB"/>
        </w:rPr>
        <w:t xml:space="preserve">hours from </w:t>
      </w:r>
      <w:proofErr w:type="spellStart"/>
      <w:r w:rsidR="00737C5A" w:rsidRPr="00737C5A">
        <w:rPr>
          <w:lang w:val="en-GB"/>
        </w:rPr>
        <w:t>VolunTeaming</w:t>
      </w:r>
      <w:proofErr w:type="spellEnd"/>
      <w:r w:rsidR="00737C5A" w:rsidRPr="00737C5A">
        <w:rPr>
          <w:lang w:val="en-GB"/>
        </w:rPr>
        <w:t xml:space="preserve"> by various departments through 37 activities with 15 VWOs.</w:t>
      </w:r>
      <w:r w:rsidR="00737C5A">
        <w:rPr>
          <w:lang w:val="en-GB"/>
        </w:rPr>
        <w:t xml:space="preserve"> The number of </w:t>
      </w:r>
      <w:proofErr w:type="spellStart"/>
      <w:r w:rsidR="00737C5A">
        <w:rPr>
          <w:lang w:val="en-GB"/>
        </w:rPr>
        <w:t>VolunTeaming</w:t>
      </w:r>
      <w:proofErr w:type="spellEnd"/>
      <w:r w:rsidR="00737C5A">
        <w:rPr>
          <w:lang w:val="en-GB"/>
        </w:rPr>
        <w:t xml:space="preserve"> activities in 2013 had increased by 54</w:t>
      </w:r>
      <w:r w:rsidR="00BC0DB0">
        <w:rPr>
          <w:lang w:val="en-GB"/>
        </w:rPr>
        <w:t xml:space="preserve"> per cent </w:t>
      </w:r>
      <w:r w:rsidR="00737C5A">
        <w:rPr>
          <w:lang w:val="en-GB"/>
        </w:rPr>
        <w:t xml:space="preserve">from </w:t>
      </w:r>
      <w:r w:rsidR="00D309F7">
        <w:rPr>
          <w:lang w:val="en-GB"/>
        </w:rPr>
        <w:t>the previous year</w:t>
      </w:r>
      <w:r w:rsidR="00737C5A">
        <w:rPr>
          <w:lang w:val="en-GB"/>
        </w:rPr>
        <w:t>.</w:t>
      </w:r>
    </w:p>
    <w:p w14:paraId="708F970F" w14:textId="77777777" w:rsidR="00B57B82" w:rsidRPr="00DA0C94" w:rsidRDefault="00B57B82" w:rsidP="00B57B82">
      <w:pPr>
        <w:pStyle w:val="BodyTextMain"/>
        <w:rPr>
          <w:sz w:val="20"/>
          <w:lang w:val="en-GB"/>
        </w:rPr>
      </w:pPr>
    </w:p>
    <w:p w14:paraId="574F00C1" w14:textId="73305828" w:rsidR="009B15EB" w:rsidRDefault="00B57B82" w:rsidP="00B57B82">
      <w:pPr>
        <w:pStyle w:val="BodyTextMain"/>
        <w:rPr>
          <w:lang w:val="en-GB"/>
        </w:rPr>
      </w:pPr>
      <w:r w:rsidRPr="00DA0C94">
        <w:rPr>
          <w:lang w:val="en-GB"/>
        </w:rPr>
        <w:t xml:space="preserve">Besides the benefit of retaining the talents within, strategic CSR that properly </w:t>
      </w:r>
      <w:r w:rsidR="009B15EB" w:rsidRPr="00DA0C94">
        <w:rPr>
          <w:lang w:val="en-GB"/>
        </w:rPr>
        <w:t>distil</w:t>
      </w:r>
      <w:r w:rsidR="009B15EB">
        <w:rPr>
          <w:lang w:val="en-GB"/>
        </w:rPr>
        <w:t>led</w:t>
      </w:r>
      <w:r w:rsidR="009B15EB" w:rsidRPr="00DA0C94">
        <w:rPr>
          <w:lang w:val="en-GB"/>
        </w:rPr>
        <w:t xml:space="preserve"> </w:t>
      </w:r>
      <w:r w:rsidRPr="00DA0C94">
        <w:rPr>
          <w:lang w:val="en-GB"/>
        </w:rPr>
        <w:t xml:space="preserve">the values of the companies and their stakeholders would project a better image to consumers. Consumers placed importance on the ethicality of the companies from which they purchased their products. </w:t>
      </w:r>
      <w:r w:rsidR="001513CA">
        <w:rPr>
          <w:lang w:val="en-GB"/>
        </w:rPr>
        <w:t xml:space="preserve">The </w:t>
      </w:r>
      <w:r w:rsidRPr="00DA0C94">
        <w:rPr>
          <w:lang w:val="en-GB"/>
        </w:rPr>
        <w:t xml:space="preserve">willingness </w:t>
      </w:r>
      <w:r w:rsidR="001513CA">
        <w:rPr>
          <w:lang w:val="en-GB"/>
        </w:rPr>
        <w:t xml:space="preserve">of consumers </w:t>
      </w:r>
      <w:r w:rsidRPr="00DA0C94">
        <w:rPr>
          <w:lang w:val="en-GB"/>
        </w:rPr>
        <w:t xml:space="preserve">to be associated with a company </w:t>
      </w:r>
      <w:r w:rsidR="009B15EB">
        <w:rPr>
          <w:lang w:val="en-GB"/>
        </w:rPr>
        <w:t xml:space="preserve">depended </w:t>
      </w:r>
      <w:r w:rsidRPr="00DA0C94">
        <w:rPr>
          <w:lang w:val="en-GB"/>
        </w:rPr>
        <w:t xml:space="preserve">largely on </w:t>
      </w:r>
      <w:r w:rsidR="001513CA">
        <w:rPr>
          <w:lang w:val="en-GB"/>
        </w:rPr>
        <w:t>their</w:t>
      </w:r>
      <w:r w:rsidRPr="00DA0C94">
        <w:rPr>
          <w:lang w:val="en-GB"/>
        </w:rPr>
        <w:t xml:space="preserve"> perception of the company</w:t>
      </w:r>
      <w:r w:rsidR="004A123D">
        <w:rPr>
          <w:lang w:val="en-GB"/>
        </w:rPr>
        <w:t xml:space="preserve"> and</w:t>
      </w:r>
      <w:r w:rsidRPr="00DA0C94">
        <w:rPr>
          <w:lang w:val="en-GB"/>
        </w:rPr>
        <w:t xml:space="preserve"> its reputation. This perception, in turn, </w:t>
      </w:r>
      <w:r w:rsidR="004A123D">
        <w:rPr>
          <w:lang w:val="en-GB"/>
        </w:rPr>
        <w:t>may have been</w:t>
      </w:r>
      <w:r w:rsidR="001513CA" w:rsidRPr="00DA0C94">
        <w:rPr>
          <w:lang w:val="en-GB"/>
        </w:rPr>
        <w:t xml:space="preserve"> </w:t>
      </w:r>
      <w:r w:rsidRPr="00DA0C94">
        <w:rPr>
          <w:lang w:val="en-GB"/>
        </w:rPr>
        <w:t>influenced by the firm’s CSR practices.</w:t>
      </w:r>
      <w:r w:rsidRPr="00DA0C94">
        <w:rPr>
          <w:vertAlign w:val="superscript"/>
          <w:lang w:val="en-GB"/>
        </w:rPr>
        <w:footnoteReference w:id="7"/>
      </w:r>
      <w:r w:rsidRPr="00DA0C94">
        <w:rPr>
          <w:lang w:val="en-GB"/>
        </w:rPr>
        <w:t xml:space="preserve"> Nowadays, consumers placed great importance on sustainability efforts and expect</w:t>
      </w:r>
      <w:r w:rsidR="001513CA">
        <w:rPr>
          <w:lang w:val="en-GB"/>
        </w:rPr>
        <w:t>ed</w:t>
      </w:r>
      <w:r w:rsidRPr="00DA0C94">
        <w:rPr>
          <w:lang w:val="en-GB"/>
        </w:rPr>
        <w:t xml:space="preserve"> businesses to be responsible in their operations and to do “good” with their influence. Failure to do so </w:t>
      </w:r>
      <w:r w:rsidR="004A123D">
        <w:rPr>
          <w:lang w:val="en-GB"/>
        </w:rPr>
        <w:t xml:space="preserve">might </w:t>
      </w:r>
      <w:r w:rsidRPr="00DA0C94">
        <w:rPr>
          <w:lang w:val="en-GB"/>
        </w:rPr>
        <w:t>bring about negative impact on business performance</w:t>
      </w:r>
      <w:r w:rsidR="001513CA">
        <w:rPr>
          <w:lang w:val="en-GB"/>
        </w:rPr>
        <w:t>,</w:t>
      </w:r>
      <w:r w:rsidRPr="00DA0C94">
        <w:rPr>
          <w:lang w:val="en-GB"/>
        </w:rPr>
        <w:t xml:space="preserve"> as consumers </w:t>
      </w:r>
      <w:r w:rsidR="004A123D">
        <w:rPr>
          <w:lang w:val="en-GB"/>
        </w:rPr>
        <w:t>might</w:t>
      </w:r>
      <w:r w:rsidRPr="00DA0C94">
        <w:rPr>
          <w:lang w:val="en-GB"/>
        </w:rPr>
        <w:t xml:space="preserve"> boycott them.</w:t>
      </w:r>
      <w:r w:rsidRPr="00DA0C94">
        <w:rPr>
          <w:vertAlign w:val="superscript"/>
          <w:lang w:val="en-GB"/>
        </w:rPr>
        <w:footnoteReference w:id="8"/>
      </w:r>
      <w:r w:rsidRPr="00DA0C94">
        <w:rPr>
          <w:lang w:val="en-GB"/>
        </w:rPr>
        <w:t xml:space="preserve"> </w:t>
      </w:r>
      <w:r w:rsidR="00282DCE">
        <w:rPr>
          <w:lang w:val="en-GB"/>
        </w:rPr>
        <w:t xml:space="preserve">Understanding the needs to engage all stakeholders, </w:t>
      </w:r>
      <w:r w:rsidR="004875E0">
        <w:rPr>
          <w:lang w:val="en-GB"/>
        </w:rPr>
        <w:t>SingTel</w:t>
      </w:r>
      <w:r w:rsidR="00282DCE">
        <w:rPr>
          <w:lang w:val="en-GB"/>
        </w:rPr>
        <w:t xml:space="preserve"> commenced a structured stakeholder engagement exercise in 2012. It planned to do this for three years to review business practices and assess the voice </w:t>
      </w:r>
      <w:r w:rsidR="004A123D">
        <w:rPr>
          <w:lang w:val="en-GB"/>
        </w:rPr>
        <w:t xml:space="preserve">on the ground </w:t>
      </w:r>
      <w:r w:rsidR="00282DCE">
        <w:rPr>
          <w:lang w:val="en-GB"/>
        </w:rPr>
        <w:t>about sustainability strategy issues and programs.</w:t>
      </w:r>
      <w:r w:rsidR="00282DCE" w:rsidRPr="00282DCE">
        <w:rPr>
          <w:rStyle w:val="FootnoteReference"/>
          <w:lang w:val="en-GB"/>
        </w:rPr>
        <w:t xml:space="preserve"> </w:t>
      </w:r>
      <w:r w:rsidR="004875E0">
        <w:rPr>
          <w:lang w:val="en-GB"/>
        </w:rPr>
        <w:t>SingTel</w:t>
      </w:r>
      <w:r w:rsidR="00282DCE">
        <w:rPr>
          <w:lang w:val="en-GB"/>
        </w:rPr>
        <w:t xml:space="preserve"> </w:t>
      </w:r>
      <w:r w:rsidR="00F47919">
        <w:rPr>
          <w:lang w:val="en-GB"/>
        </w:rPr>
        <w:t xml:space="preserve">also </w:t>
      </w:r>
      <w:r w:rsidR="00282DCE">
        <w:rPr>
          <w:lang w:val="en-GB"/>
        </w:rPr>
        <w:t>conducted</w:t>
      </w:r>
      <w:r w:rsidR="00874D2C">
        <w:rPr>
          <w:lang w:val="en-GB"/>
        </w:rPr>
        <w:t xml:space="preserve"> an annual</w:t>
      </w:r>
      <w:r w:rsidR="00282DCE">
        <w:rPr>
          <w:lang w:val="en-GB"/>
        </w:rPr>
        <w:t xml:space="preserve"> employee engagement</w:t>
      </w:r>
      <w:r w:rsidR="00874D2C">
        <w:rPr>
          <w:lang w:val="en-GB"/>
        </w:rPr>
        <w:t xml:space="preserve"> survey</w:t>
      </w:r>
      <w:r w:rsidR="00282DCE">
        <w:rPr>
          <w:lang w:val="en-GB"/>
        </w:rPr>
        <w:t>.</w:t>
      </w:r>
    </w:p>
    <w:p w14:paraId="0E048369" w14:textId="77777777" w:rsidR="009B15EB" w:rsidRDefault="009B15EB" w:rsidP="00B57B82">
      <w:pPr>
        <w:pStyle w:val="BodyTextMain"/>
        <w:rPr>
          <w:lang w:val="en-GB"/>
        </w:rPr>
      </w:pPr>
    </w:p>
    <w:p w14:paraId="4FA31ACD" w14:textId="37B54779" w:rsidR="00B57B82" w:rsidRPr="00DA0C94" w:rsidRDefault="00B57B82" w:rsidP="00B57B82">
      <w:pPr>
        <w:pStyle w:val="BodyTextMain"/>
        <w:rPr>
          <w:lang w:val="en-GB"/>
        </w:rPr>
      </w:pPr>
      <w:r w:rsidRPr="00DA0C94">
        <w:rPr>
          <w:lang w:val="en-GB"/>
        </w:rPr>
        <w:t xml:space="preserve">According to a survey by Cone Communication Green Gap Trend Tracker in 2013, consumers indicated that they would </w:t>
      </w:r>
      <w:r w:rsidR="00422E04">
        <w:rPr>
          <w:lang w:val="en-GB"/>
        </w:rPr>
        <w:t xml:space="preserve">be willing to </w:t>
      </w:r>
      <w:r w:rsidRPr="00DA0C94">
        <w:rPr>
          <w:lang w:val="en-GB"/>
        </w:rPr>
        <w:t xml:space="preserve">pay </w:t>
      </w:r>
      <w:r w:rsidR="00422E04">
        <w:rPr>
          <w:lang w:val="en-GB"/>
        </w:rPr>
        <w:t xml:space="preserve">a </w:t>
      </w:r>
      <w:r w:rsidRPr="00DA0C94">
        <w:rPr>
          <w:lang w:val="en-GB"/>
        </w:rPr>
        <w:t>20</w:t>
      </w:r>
      <w:r w:rsidR="00422E04">
        <w:rPr>
          <w:lang w:val="en-GB"/>
        </w:rPr>
        <w:t xml:space="preserve"> per cent</w:t>
      </w:r>
      <w:r w:rsidRPr="00DA0C94">
        <w:rPr>
          <w:lang w:val="en-GB"/>
        </w:rPr>
        <w:t xml:space="preserve"> premium for sustainable products.</w:t>
      </w:r>
      <w:r w:rsidRPr="00DA0C94">
        <w:rPr>
          <w:vertAlign w:val="superscript"/>
          <w:lang w:val="en-GB"/>
        </w:rPr>
        <w:footnoteReference w:id="9"/>
      </w:r>
      <w:r w:rsidRPr="00DA0C94">
        <w:rPr>
          <w:lang w:val="en-GB"/>
        </w:rPr>
        <w:t xml:space="preserve"> In 2012, </w:t>
      </w:r>
      <w:r w:rsidR="004875E0">
        <w:rPr>
          <w:lang w:val="en-GB"/>
        </w:rPr>
        <w:t>SingTel</w:t>
      </w:r>
      <w:r w:rsidRPr="00DA0C94">
        <w:rPr>
          <w:lang w:val="en-GB"/>
        </w:rPr>
        <w:t xml:space="preserve"> conducted a </w:t>
      </w:r>
      <w:r w:rsidR="00422E04">
        <w:rPr>
          <w:lang w:val="en-GB"/>
        </w:rPr>
        <w:t>s</w:t>
      </w:r>
      <w:r w:rsidRPr="00DA0C94">
        <w:rPr>
          <w:lang w:val="en-GB"/>
        </w:rPr>
        <w:t xml:space="preserve">takeholder </w:t>
      </w:r>
      <w:r w:rsidR="00422E04">
        <w:rPr>
          <w:lang w:val="en-GB"/>
        </w:rPr>
        <w:t>e</w:t>
      </w:r>
      <w:r w:rsidRPr="00DA0C94">
        <w:rPr>
          <w:lang w:val="en-GB"/>
        </w:rPr>
        <w:t xml:space="preserve">ngagement </w:t>
      </w:r>
      <w:r w:rsidR="00422E04">
        <w:rPr>
          <w:lang w:val="en-GB"/>
        </w:rPr>
        <w:t>e</w:t>
      </w:r>
      <w:r w:rsidRPr="00DA0C94">
        <w:rPr>
          <w:lang w:val="en-GB"/>
        </w:rPr>
        <w:t xml:space="preserve">xercise on </w:t>
      </w:r>
      <w:r w:rsidR="00422E04">
        <w:rPr>
          <w:lang w:val="en-GB"/>
        </w:rPr>
        <w:t>s</w:t>
      </w:r>
      <w:r w:rsidRPr="00DA0C94">
        <w:rPr>
          <w:lang w:val="en-GB"/>
        </w:rPr>
        <w:t xml:space="preserve">ustainability </w:t>
      </w:r>
      <w:r w:rsidR="00422E04">
        <w:rPr>
          <w:lang w:val="en-GB"/>
        </w:rPr>
        <w:t>i</w:t>
      </w:r>
      <w:r w:rsidRPr="00DA0C94">
        <w:rPr>
          <w:lang w:val="en-GB"/>
        </w:rPr>
        <w:t xml:space="preserve">ssues to assess </w:t>
      </w:r>
      <w:r w:rsidR="009B15EB">
        <w:rPr>
          <w:lang w:val="en-GB"/>
        </w:rPr>
        <w:t>stakeholders’</w:t>
      </w:r>
      <w:r w:rsidR="00422E04" w:rsidRPr="00DA0C94">
        <w:rPr>
          <w:lang w:val="en-GB"/>
        </w:rPr>
        <w:t xml:space="preserve"> </w:t>
      </w:r>
      <w:r w:rsidRPr="00DA0C94">
        <w:rPr>
          <w:lang w:val="en-GB"/>
        </w:rPr>
        <w:t xml:space="preserve">opinions on </w:t>
      </w:r>
      <w:r w:rsidR="004875E0">
        <w:rPr>
          <w:lang w:val="en-GB"/>
        </w:rPr>
        <w:t>SingTel</w:t>
      </w:r>
      <w:r w:rsidRPr="00DA0C94">
        <w:rPr>
          <w:lang w:val="en-GB"/>
        </w:rPr>
        <w:t>’s CSR strategies, issues</w:t>
      </w:r>
      <w:r w:rsidR="00422E04">
        <w:rPr>
          <w:lang w:val="en-GB"/>
        </w:rPr>
        <w:t>,</w:t>
      </w:r>
      <w:r w:rsidRPr="00DA0C94">
        <w:rPr>
          <w:lang w:val="en-GB"/>
        </w:rPr>
        <w:t xml:space="preserve"> and </w:t>
      </w:r>
      <w:r w:rsidR="00556891" w:rsidRPr="00DA0C94">
        <w:rPr>
          <w:lang w:val="en-GB"/>
        </w:rPr>
        <w:t>program</w:t>
      </w:r>
      <w:r w:rsidRPr="00DA0C94">
        <w:rPr>
          <w:lang w:val="en-GB"/>
        </w:rPr>
        <w:t>s. From the customer survey panel of 1,500 selected customers, 21</w:t>
      </w:r>
      <w:r w:rsidR="00422E04">
        <w:rPr>
          <w:lang w:val="en-GB"/>
        </w:rPr>
        <w:t xml:space="preserve"> per cent</w:t>
      </w:r>
      <w:r w:rsidRPr="00DA0C94">
        <w:rPr>
          <w:lang w:val="en-GB"/>
        </w:rPr>
        <w:t xml:space="preserve"> of the </w:t>
      </w:r>
      <w:r w:rsidR="004A123D">
        <w:rPr>
          <w:lang w:val="en-GB"/>
        </w:rPr>
        <w:t>respondents</w:t>
      </w:r>
      <w:r w:rsidR="00422E04">
        <w:rPr>
          <w:lang w:val="en-GB"/>
        </w:rPr>
        <w:t xml:space="preserve"> </w:t>
      </w:r>
      <w:r w:rsidR="00AB17D9">
        <w:rPr>
          <w:lang w:val="en-GB"/>
        </w:rPr>
        <w:t>“</w:t>
      </w:r>
      <w:r w:rsidRPr="00DA0C94">
        <w:rPr>
          <w:lang w:val="en-GB"/>
        </w:rPr>
        <w:t>always</w:t>
      </w:r>
      <w:r w:rsidR="00AB17D9">
        <w:rPr>
          <w:lang w:val="en-GB"/>
        </w:rPr>
        <w:t>”</w:t>
      </w:r>
      <w:r w:rsidRPr="00DA0C94">
        <w:rPr>
          <w:lang w:val="en-GB"/>
        </w:rPr>
        <w:t xml:space="preserve"> </w:t>
      </w:r>
      <w:r w:rsidR="00AB17D9" w:rsidRPr="00DA0C94">
        <w:rPr>
          <w:lang w:val="en-GB"/>
        </w:rPr>
        <w:t>t</w:t>
      </w:r>
      <w:r w:rsidR="00AB17D9">
        <w:rPr>
          <w:lang w:val="en-GB"/>
        </w:rPr>
        <w:t>ook</w:t>
      </w:r>
      <w:r w:rsidR="00AB17D9" w:rsidRPr="00DA0C94">
        <w:rPr>
          <w:lang w:val="en-GB"/>
        </w:rPr>
        <w:t xml:space="preserve"> </w:t>
      </w:r>
      <w:r w:rsidRPr="00DA0C94">
        <w:rPr>
          <w:lang w:val="en-GB"/>
        </w:rPr>
        <w:t>the company’s sustainability practices into account when purchasing from a telecommunication service provider</w:t>
      </w:r>
      <w:r w:rsidR="009B15EB">
        <w:rPr>
          <w:lang w:val="en-GB"/>
        </w:rPr>
        <w:t>,</w:t>
      </w:r>
      <w:r w:rsidRPr="00DA0C94">
        <w:rPr>
          <w:lang w:val="en-GB"/>
        </w:rPr>
        <w:t xml:space="preserve"> while 48</w:t>
      </w:r>
      <w:r w:rsidR="00422E04">
        <w:rPr>
          <w:lang w:val="en-GB"/>
        </w:rPr>
        <w:t xml:space="preserve"> per cent</w:t>
      </w:r>
      <w:r w:rsidRPr="00DA0C94">
        <w:rPr>
          <w:lang w:val="en-GB"/>
        </w:rPr>
        <w:t xml:space="preserve"> </w:t>
      </w:r>
      <w:r w:rsidR="00AB17D9">
        <w:rPr>
          <w:lang w:val="en-GB"/>
        </w:rPr>
        <w:t>“</w:t>
      </w:r>
      <w:r w:rsidRPr="00DA0C94">
        <w:rPr>
          <w:lang w:val="en-GB"/>
        </w:rPr>
        <w:t>sometimes</w:t>
      </w:r>
      <w:r w:rsidR="00AB17D9">
        <w:rPr>
          <w:lang w:val="en-GB"/>
        </w:rPr>
        <w:t>”</w:t>
      </w:r>
      <w:r w:rsidRPr="00DA0C94">
        <w:rPr>
          <w:lang w:val="en-GB"/>
        </w:rPr>
        <w:t xml:space="preserve"> </w:t>
      </w:r>
      <w:r w:rsidR="00422E04">
        <w:rPr>
          <w:lang w:val="en-GB"/>
        </w:rPr>
        <w:t>took such practices into account</w:t>
      </w:r>
      <w:r w:rsidRPr="00DA0C94">
        <w:rPr>
          <w:lang w:val="en-GB"/>
        </w:rPr>
        <w:t xml:space="preserve">. </w:t>
      </w:r>
    </w:p>
    <w:p w14:paraId="3F480A28" w14:textId="77777777" w:rsidR="00B57B82" w:rsidRPr="00DA0C94" w:rsidRDefault="00B57B82" w:rsidP="00B57B82">
      <w:pPr>
        <w:pStyle w:val="BodyTextMain"/>
        <w:rPr>
          <w:sz w:val="20"/>
          <w:lang w:val="en-GB"/>
        </w:rPr>
      </w:pPr>
    </w:p>
    <w:p w14:paraId="49BA78A6" w14:textId="0A71FBA6" w:rsidR="00B57B82" w:rsidRDefault="00B57B82" w:rsidP="00B57B82">
      <w:pPr>
        <w:pStyle w:val="BodyTextMain"/>
        <w:rPr>
          <w:spacing w:val="-4"/>
          <w:lang w:val="en-GB"/>
        </w:rPr>
      </w:pPr>
      <w:r w:rsidRPr="00DA0C94">
        <w:rPr>
          <w:spacing w:val="-4"/>
          <w:lang w:val="en-GB"/>
        </w:rPr>
        <w:t xml:space="preserve">Moving beyond individual customers, a positive business reputation could create greater opportunities for the company to collaborate with its corporate clients. </w:t>
      </w:r>
      <w:r w:rsidR="00D21140">
        <w:rPr>
          <w:spacing w:val="-4"/>
          <w:lang w:val="en-GB"/>
        </w:rPr>
        <w:t xml:space="preserve">Doing so </w:t>
      </w:r>
      <w:r w:rsidRPr="00DA0C94">
        <w:rPr>
          <w:spacing w:val="-4"/>
          <w:lang w:val="en-GB"/>
        </w:rPr>
        <w:t xml:space="preserve">would allow </w:t>
      </w:r>
      <w:r w:rsidR="009B15EB">
        <w:rPr>
          <w:spacing w:val="-4"/>
          <w:lang w:val="en-GB"/>
        </w:rPr>
        <w:t>it</w:t>
      </w:r>
      <w:r w:rsidR="009B15EB" w:rsidRPr="00DA0C94">
        <w:rPr>
          <w:spacing w:val="-4"/>
          <w:lang w:val="en-GB"/>
        </w:rPr>
        <w:t xml:space="preserve"> </w:t>
      </w:r>
      <w:r w:rsidRPr="00DA0C94">
        <w:rPr>
          <w:spacing w:val="-4"/>
          <w:lang w:val="en-GB"/>
        </w:rPr>
        <w:t xml:space="preserve">to leverage each other’s expertise to create far-reaching and sustainable impact on communities, while meeting </w:t>
      </w:r>
      <w:r w:rsidR="009B15EB">
        <w:rPr>
          <w:spacing w:val="-4"/>
          <w:lang w:val="en-GB"/>
        </w:rPr>
        <w:t xml:space="preserve">its own </w:t>
      </w:r>
      <w:r w:rsidRPr="00DA0C94">
        <w:rPr>
          <w:spacing w:val="-4"/>
          <w:lang w:val="en-GB"/>
        </w:rPr>
        <w:t>business needs.</w:t>
      </w:r>
      <w:r w:rsidRPr="00DA0C94">
        <w:rPr>
          <w:spacing w:val="-4"/>
          <w:vertAlign w:val="superscript"/>
          <w:lang w:val="en-GB"/>
        </w:rPr>
        <w:footnoteReference w:id="10"/>
      </w:r>
    </w:p>
    <w:p w14:paraId="11B34329" w14:textId="2D4A637B" w:rsidR="00B57B82" w:rsidRPr="00DA0C94" w:rsidRDefault="00B57B82" w:rsidP="007D3D05">
      <w:pPr>
        <w:pStyle w:val="Casehead2"/>
        <w:keepNext/>
        <w:rPr>
          <w:highlight w:val="green"/>
          <w:lang w:val="en-GB"/>
        </w:rPr>
      </w:pPr>
      <w:bookmarkStart w:id="1" w:name="_GoBack"/>
      <w:bookmarkEnd w:id="1"/>
      <w:r w:rsidRPr="00DA0C94">
        <w:rPr>
          <w:lang w:val="en-GB"/>
        </w:rPr>
        <w:t>Short-</w:t>
      </w:r>
      <w:r w:rsidR="00AB17D9">
        <w:rPr>
          <w:lang w:val="en-GB"/>
        </w:rPr>
        <w:t>T</w:t>
      </w:r>
      <w:r w:rsidRPr="00DA0C94">
        <w:rPr>
          <w:lang w:val="en-GB"/>
        </w:rPr>
        <w:t>erm versus Long-</w:t>
      </w:r>
      <w:r w:rsidR="00AB17D9">
        <w:rPr>
          <w:lang w:val="en-GB"/>
        </w:rPr>
        <w:t>T</w:t>
      </w:r>
      <w:r w:rsidRPr="00DA0C94">
        <w:rPr>
          <w:lang w:val="en-GB"/>
        </w:rPr>
        <w:t>erm Value Creation</w:t>
      </w:r>
    </w:p>
    <w:p w14:paraId="252440FB" w14:textId="77777777" w:rsidR="00B57B82" w:rsidRPr="00DA0C94" w:rsidRDefault="00B57B82" w:rsidP="007D3D05">
      <w:pPr>
        <w:pStyle w:val="BodyTextMain"/>
        <w:keepNext/>
        <w:rPr>
          <w:sz w:val="20"/>
          <w:lang w:val="en-GB"/>
        </w:rPr>
      </w:pPr>
    </w:p>
    <w:p w14:paraId="7ADDA2CA" w14:textId="2F248A79" w:rsidR="00B57B82" w:rsidRPr="00DA0C94" w:rsidRDefault="00B57B82" w:rsidP="007D3D05">
      <w:pPr>
        <w:pStyle w:val="BodyTextMain"/>
        <w:keepNext/>
        <w:rPr>
          <w:lang w:val="en-GB"/>
        </w:rPr>
      </w:pPr>
      <w:r w:rsidRPr="00DA0C94">
        <w:rPr>
          <w:lang w:val="en-GB"/>
        </w:rPr>
        <w:t xml:space="preserve">A strategic CSR approach should align </w:t>
      </w:r>
      <w:r w:rsidR="00193AA7">
        <w:rPr>
          <w:lang w:val="en-GB"/>
        </w:rPr>
        <w:t xml:space="preserve">well with </w:t>
      </w:r>
      <w:r w:rsidRPr="00DA0C94">
        <w:rPr>
          <w:lang w:val="en-GB"/>
        </w:rPr>
        <w:t xml:space="preserve">the company’s corporate and social mission. Only CSR efforts that could result in both true value for the beneficiaries and the company’s line of work </w:t>
      </w:r>
      <w:r w:rsidR="00D51E5B" w:rsidRPr="00DA0C94">
        <w:rPr>
          <w:lang w:val="en-GB"/>
        </w:rPr>
        <w:t>c</w:t>
      </w:r>
      <w:r w:rsidR="00D51E5B">
        <w:rPr>
          <w:lang w:val="en-GB"/>
        </w:rPr>
        <w:t>ould</w:t>
      </w:r>
      <w:r w:rsidR="00D51E5B" w:rsidRPr="00DA0C94">
        <w:rPr>
          <w:lang w:val="en-GB"/>
        </w:rPr>
        <w:t xml:space="preserve"> </w:t>
      </w:r>
      <w:r w:rsidRPr="00DA0C94">
        <w:rPr>
          <w:lang w:val="en-GB"/>
        </w:rPr>
        <w:t xml:space="preserve">achieve sustainability in the long term, as initiatives that </w:t>
      </w:r>
      <w:r w:rsidR="00D51E5B">
        <w:rPr>
          <w:lang w:val="en-GB"/>
        </w:rPr>
        <w:t>we</w:t>
      </w:r>
      <w:r w:rsidR="00D51E5B" w:rsidRPr="00DA0C94">
        <w:rPr>
          <w:lang w:val="en-GB"/>
        </w:rPr>
        <w:t xml:space="preserve">re </w:t>
      </w:r>
      <w:r w:rsidRPr="00DA0C94">
        <w:rPr>
          <w:lang w:val="en-GB"/>
        </w:rPr>
        <w:t>not win-win tend</w:t>
      </w:r>
      <w:r w:rsidR="00D51E5B">
        <w:rPr>
          <w:lang w:val="en-GB"/>
        </w:rPr>
        <w:t>ed</w:t>
      </w:r>
      <w:r w:rsidRPr="00DA0C94">
        <w:rPr>
          <w:lang w:val="en-GB"/>
        </w:rPr>
        <w:t xml:space="preserve"> to underperform and end up being </w:t>
      </w:r>
      <w:proofErr w:type="spellStart"/>
      <w:r w:rsidRPr="00DA0C94">
        <w:rPr>
          <w:lang w:val="en-GB"/>
        </w:rPr>
        <w:t>sidelined</w:t>
      </w:r>
      <w:proofErr w:type="spellEnd"/>
      <w:r w:rsidRPr="00DA0C94">
        <w:rPr>
          <w:lang w:val="en-GB"/>
        </w:rPr>
        <w:t xml:space="preserve"> or easily threatened in difficult economic situations.</w:t>
      </w:r>
      <w:r w:rsidRPr="00DA0C94">
        <w:rPr>
          <w:vertAlign w:val="superscript"/>
          <w:lang w:val="en-GB"/>
        </w:rPr>
        <w:footnoteReference w:id="11"/>
      </w:r>
    </w:p>
    <w:p w14:paraId="23BB15C6" w14:textId="77777777" w:rsidR="00B57B82" w:rsidRPr="00DA0C94" w:rsidRDefault="00B57B82" w:rsidP="00B57B82">
      <w:pPr>
        <w:pStyle w:val="BodyTextMain"/>
        <w:rPr>
          <w:sz w:val="20"/>
          <w:lang w:val="en-GB"/>
        </w:rPr>
      </w:pPr>
    </w:p>
    <w:p w14:paraId="5B3F001B" w14:textId="6EA328ED" w:rsidR="00B57B82" w:rsidRPr="00C10812" w:rsidRDefault="008C623B" w:rsidP="00B57B82">
      <w:pPr>
        <w:pStyle w:val="BodyTextMain"/>
        <w:rPr>
          <w:lang w:val="en-GB"/>
        </w:rPr>
      </w:pPr>
      <w:r>
        <w:rPr>
          <w:lang w:val="en-GB"/>
        </w:rPr>
        <w:t>C</w:t>
      </w:r>
      <w:r w:rsidR="00B57B82" w:rsidRPr="00C10812">
        <w:rPr>
          <w:lang w:val="en-GB"/>
        </w:rPr>
        <w:t xml:space="preserve">ompanies </w:t>
      </w:r>
      <w:r>
        <w:rPr>
          <w:lang w:val="en-GB"/>
        </w:rPr>
        <w:t>may v</w:t>
      </w:r>
      <w:r w:rsidR="00D51E5B" w:rsidRPr="00C10812">
        <w:rPr>
          <w:lang w:val="en-GB"/>
        </w:rPr>
        <w:t xml:space="preserve">iew </w:t>
      </w:r>
      <w:r w:rsidR="00B57B82" w:rsidRPr="00C10812">
        <w:rPr>
          <w:lang w:val="en-GB"/>
        </w:rPr>
        <w:t xml:space="preserve">shareholders as their only major external stakeholder. This </w:t>
      </w:r>
      <w:r w:rsidR="00193AA7" w:rsidRPr="00C10812">
        <w:rPr>
          <w:lang w:val="en-GB"/>
        </w:rPr>
        <w:t>perspective</w:t>
      </w:r>
      <w:r w:rsidR="00D51E5B" w:rsidRPr="00C10812">
        <w:rPr>
          <w:lang w:val="en-GB"/>
        </w:rPr>
        <w:t xml:space="preserve"> could </w:t>
      </w:r>
      <w:r w:rsidR="00B57B82" w:rsidRPr="00C10812">
        <w:rPr>
          <w:lang w:val="en-GB"/>
        </w:rPr>
        <w:t>pose a challenge for any CSR program</w:t>
      </w:r>
      <w:r w:rsidR="00D51E5B" w:rsidRPr="00C10812">
        <w:rPr>
          <w:lang w:val="en-GB"/>
        </w:rPr>
        <w:t>,</w:t>
      </w:r>
      <w:r w:rsidR="00B57B82" w:rsidRPr="00C10812">
        <w:rPr>
          <w:lang w:val="en-GB"/>
        </w:rPr>
        <w:t xml:space="preserve"> as creating shareholder value </w:t>
      </w:r>
      <w:r w:rsidR="00D51E5B" w:rsidRPr="00C10812">
        <w:rPr>
          <w:lang w:val="en-GB"/>
        </w:rPr>
        <w:t>was</w:t>
      </w:r>
      <w:r w:rsidR="00B57B82" w:rsidRPr="00C10812">
        <w:rPr>
          <w:lang w:val="en-GB"/>
        </w:rPr>
        <w:t xml:space="preserve"> a top priority for any profit-driven business</w:t>
      </w:r>
      <w:r w:rsidR="00D51E5B" w:rsidRPr="00C10812">
        <w:rPr>
          <w:lang w:val="en-GB"/>
        </w:rPr>
        <w:t>, which made it more difficult</w:t>
      </w:r>
      <w:r w:rsidR="00B57B82" w:rsidRPr="00C10812">
        <w:rPr>
          <w:lang w:val="en-GB"/>
        </w:rPr>
        <w:t xml:space="preserve"> for the company to collaborate with its business partners and/or stakeholders. A well-thought</w:t>
      </w:r>
      <w:r w:rsidR="00D51E5B" w:rsidRPr="00C10812">
        <w:rPr>
          <w:lang w:val="en-GB"/>
        </w:rPr>
        <w:t>-out</w:t>
      </w:r>
      <w:r w:rsidR="00B57B82" w:rsidRPr="00C10812">
        <w:rPr>
          <w:lang w:val="en-GB"/>
        </w:rPr>
        <w:t xml:space="preserve"> CSR initiative that spreads across a longer time frame </w:t>
      </w:r>
      <w:r w:rsidR="00D51E5B" w:rsidRPr="00C10812">
        <w:rPr>
          <w:lang w:val="en-GB"/>
        </w:rPr>
        <w:t xml:space="preserve">would </w:t>
      </w:r>
      <w:r w:rsidR="00B57B82" w:rsidRPr="00C10812">
        <w:rPr>
          <w:lang w:val="en-GB"/>
        </w:rPr>
        <w:t xml:space="preserve">require many resources and hours of dedication. These efforts </w:t>
      </w:r>
      <w:r w:rsidR="00D51E5B" w:rsidRPr="00C10812">
        <w:rPr>
          <w:lang w:val="en-GB"/>
        </w:rPr>
        <w:t xml:space="preserve">might </w:t>
      </w:r>
      <w:r w:rsidR="00B57B82" w:rsidRPr="00C10812">
        <w:rPr>
          <w:lang w:val="en-GB"/>
        </w:rPr>
        <w:t>not seem worthwhile to profit-driven companies</w:t>
      </w:r>
      <w:r w:rsidR="00D51E5B" w:rsidRPr="00C10812">
        <w:rPr>
          <w:lang w:val="en-GB"/>
        </w:rPr>
        <w:t>; however,</w:t>
      </w:r>
      <w:r w:rsidR="00B57B82" w:rsidRPr="00C10812">
        <w:rPr>
          <w:lang w:val="en-GB"/>
        </w:rPr>
        <w:t xml:space="preserve"> </w:t>
      </w:r>
      <w:r w:rsidR="00D51E5B" w:rsidRPr="00C10812">
        <w:rPr>
          <w:lang w:val="en-GB"/>
        </w:rPr>
        <w:t>s</w:t>
      </w:r>
      <w:r w:rsidR="00B57B82" w:rsidRPr="00C10812">
        <w:rPr>
          <w:lang w:val="en-GB"/>
        </w:rPr>
        <w:t xml:space="preserve">uch CSR causes could result in positive stock returns beyond the expectations of investors. This </w:t>
      </w:r>
      <w:r w:rsidR="00D51E5B" w:rsidRPr="00C10812">
        <w:rPr>
          <w:lang w:val="en-GB"/>
        </w:rPr>
        <w:t xml:space="preserve">outcome was possible </w:t>
      </w:r>
      <w:r w:rsidR="00B57B82" w:rsidRPr="00C10812">
        <w:rPr>
          <w:lang w:val="en-GB"/>
        </w:rPr>
        <w:t xml:space="preserve">because the excess resources that </w:t>
      </w:r>
      <w:r w:rsidR="00D51E5B" w:rsidRPr="00C10812">
        <w:rPr>
          <w:lang w:val="en-GB"/>
        </w:rPr>
        <w:t xml:space="preserve">were </w:t>
      </w:r>
      <w:r w:rsidR="00B57B82" w:rsidRPr="00C10812">
        <w:rPr>
          <w:lang w:val="en-GB"/>
        </w:rPr>
        <w:t xml:space="preserve">devoted </w:t>
      </w:r>
      <w:r w:rsidR="00D51E5B" w:rsidRPr="00C10812">
        <w:rPr>
          <w:lang w:val="en-GB"/>
        </w:rPr>
        <w:t xml:space="preserve">to CSR </w:t>
      </w:r>
      <w:r w:rsidR="00B57B82" w:rsidRPr="00C10812">
        <w:rPr>
          <w:lang w:val="en-GB"/>
        </w:rPr>
        <w:t>or withheld for CSR purposes signal</w:t>
      </w:r>
      <w:r w:rsidR="00D51E5B" w:rsidRPr="00C10812">
        <w:rPr>
          <w:lang w:val="en-GB"/>
        </w:rPr>
        <w:t>led</w:t>
      </w:r>
      <w:r w:rsidR="00B57B82" w:rsidRPr="00C10812">
        <w:rPr>
          <w:lang w:val="en-GB"/>
        </w:rPr>
        <w:t xml:space="preserve"> to investors </w:t>
      </w:r>
      <w:r w:rsidR="00D51E5B" w:rsidRPr="00C10812">
        <w:rPr>
          <w:lang w:val="en-GB"/>
        </w:rPr>
        <w:t xml:space="preserve">the likelihood of </w:t>
      </w:r>
      <w:r w:rsidR="00B57B82" w:rsidRPr="00C10812">
        <w:rPr>
          <w:lang w:val="en-GB"/>
        </w:rPr>
        <w:t xml:space="preserve">positive future financial performance, as its executives </w:t>
      </w:r>
      <w:r w:rsidR="00D51E5B" w:rsidRPr="00C10812">
        <w:rPr>
          <w:lang w:val="en-GB"/>
        </w:rPr>
        <w:t xml:space="preserve">might </w:t>
      </w:r>
      <w:r w:rsidR="00B57B82" w:rsidRPr="00C10812">
        <w:rPr>
          <w:lang w:val="en-GB"/>
        </w:rPr>
        <w:t xml:space="preserve">be acting on undisclosed information with regard to potential earnings and cash flows. The economic benefits hence </w:t>
      </w:r>
      <w:r w:rsidR="00D51E5B" w:rsidRPr="00C10812">
        <w:rPr>
          <w:lang w:val="en-GB"/>
        </w:rPr>
        <w:t xml:space="preserve">might </w:t>
      </w:r>
      <w:r w:rsidR="00B57B82" w:rsidRPr="00C10812">
        <w:rPr>
          <w:lang w:val="en-GB"/>
        </w:rPr>
        <w:t>be worth the trade-off for a larger budget stemming from a more tailored and structured CSR strategy that serves a greater social good.</w:t>
      </w:r>
    </w:p>
    <w:p w14:paraId="28507381" w14:textId="77777777" w:rsidR="00B57B82" w:rsidRPr="00DA0C94" w:rsidRDefault="00B57B82" w:rsidP="00B57B82">
      <w:pPr>
        <w:pStyle w:val="BodyTextMain"/>
        <w:rPr>
          <w:sz w:val="20"/>
          <w:lang w:val="en-GB"/>
        </w:rPr>
      </w:pPr>
    </w:p>
    <w:p w14:paraId="316BE841" w14:textId="77777777" w:rsidR="00B57B82" w:rsidRPr="00DA0C94" w:rsidRDefault="00B57B82" w:rsidP="00B57B82">
      <w:pPr>
        <w:pStyle w:val="BodyTextMain"/>
        <w:rPr>
          <w:sz w:val="20"/>
          <w:lang w:val="en-GB"/>
        </w:rPr>
      </w:pPr>
    </w:p>
    <w:p w14:paraId="1AF3E7F9" w14:textId="77777777" w:rsidR="00B57B82" w:rsidRPr="00DA0C94" w:rsidRDefault="00B57B82" w:rsidP="00B57B82">
      <w:pPr>
        <w:pStyle w:val="Casehead2"/>
        <w:rPr>
          <w:highlight w:val="green"/>
          <w:lang w:val="en-GB"/>
        </w:rPr>
      </w:pPr>
      <w:r w:rsidRPr="00DA0C94">
        <w:rPr>
          <w:lang w:val="en-GB"/>
        </w:rPr>
        <w:t>Choice of Partnership</w:t>
      </w:r>
      <w:r w:rsidRPr="00DA0C94">
        <w:rPr>
          <w:highlight w:val="green"/>
          <w:lang w:val="en-GB"/>
        </w:rPr>
        <w:t xml:space="preserve"> </w:t>
      </w:r>
    </w:p>
    <w:p w14:paraId="1A16FEF8" w14:textId="77777777" w:rsidR="00B57B82" w:rsidRPr="00DA0C94" w:rsidRDefault="00B57B82" w:rsidP="00B57B82">
      <w:pPr>
        <w:pStyle w:val="BodyTextMain"/>
        <w:rPr>
          <w:sz w:val="20"/>
          <w:lang w:val="en-GB"/>
        </w:rPr>
      </w:pPr>
    </w:p>
    <w:p w14:paraId="7F403CD1" w14:textId="77811251" w:rsidR="00B57B82" w:rsidRPr="00DA0C94" w:rsidRDefault="00B57B82" w:rsidP="00B57B82">
      <w:pPr>
        <w:pStyle w:val="BodyTextMain"/>
        <w:rPr>
          <w:spacing w:val="-2"/>
          <w:lang w:val="en-GB"/>
        </w:rPr>
      </w:pPr>
      <w:proofErr w:type="spellStart"/>
      <w:r w:rsidRPr="00DA0C94">
        <w:rPr>
          <w:spacing w:val="-2"/>
          <w:lang w:val="en-GB"/>
        </w:rPr>
        <w:t>Buay</w:t>
      </w:r>
      <w:proofErr w:type="spellEnd"/>
      <w:r w:rsidRPr="00DA0C94">
        <w:rPr>
          <w:spacing w:val="-2"/>
          <w:lang w:val="en-GB"/>
        </w:rPr>
        <w:t xml:space="preserve"> and his team believed that collaboration with all stakeholders such as its customers, employees, suppliers, partners, government agencies</w:t>
      </w:r>
      <w:r w:rsidR="00D51E5B">
        <w:rPr>
          <w:spacing w:val="-2"/>
          <w:lang w:val="en-GB"/>
        </w:rPr>
        <w:t>,</w:t>
      </w:r>
      <w:r w:rsidRPr="00DA0C94">
        <w:rPr>
          <w:spacing w:val="-2"/>
          <w:lang w:val="en-GB"/>
        </w:rPr>
        <w:t xml:space="preserve"> and non-profit </w:t>
      </w:r>
      <w:r w:rsidR="00556891" w:rsidRPr="00DA0C94">
        <w:rPr>
          <w:spacing w:val="-2"/>
          <w:lang w:val="en-GB"/>
        </w:rPr>
        <w:t>organizations</w:t>
      </w:r>
      <w:r w:rsidRPr="00DA0C94">
        <w:rPr>
          <w:spacing w:val="-2"/>
          <w:lang w:val="en-GB"/>
        </w:rPr>
        <w:t xml:space="preserve"> was essential in aligning </w:t>
      </w:r>
      <w:r w:rsidR="004875E0">
        <w:rPr>
          <w:spacing w:val="-2"/>
          <w:lang w:val="en-GB"/>
        </w:rPr>
        <w:t>SingTel</w:t>
      </w:r>
      <w:r w:rsidRPr="00DA0C94">
        <w:rPr>
          <w:spacing w:val="-2"/>
          <w:lang w:val="en-GB"/>
        </w:rPr>
        <w:t>’s CSR efforts with the causes that stakeholders were concerned with. In this way</w:t>
      </w:r>
      <w:r w:rsidR="00D51E5B">
        <w:rPr>
          <w:spacing w:val="-2"/>
          <w:lang w:val="en-GB"/>
        </w:rPr>
        <w:t>,</w:t>
      </w:r>
      <w:r w:rsidRPr="00DA0C94">
        <w:rPr>
          <w:spacing w:val="-2"/>
          <w:lang w:val="en-GB"/>
        </w:rPr>
        <w:t xml:space="preserve"> </w:t>
      </w:r>
      <w:r w:rsidR="00D51E5B">
        <w:rPr>
          <w:spacing w:val="-2"/>
          <w:lang w:val="en-GB"/>
        </w:rPr>
        <w:t xml:space="preserve">the company could leverage </w:t>
      </w:r>
      <w:r w:rsidRPr="00DA0C94">
        <w:rPr>
          <w:spacing w:val="-2"/>
          <w:lang w:val="en-GB"/>
        </w:rPr>
        <w:t>complementary skills</w:t>
      </w:r>
      <w:r w:rsidR="00D51E5B">
        <w:rPr>
          <w:spacing w:val="-2"/>
          <w:lang w:val="en-GB"/>
        </w:rPr>
        <w:t>, thereby amplifying</w:t>
      </w:r>
      <w:r w:rsidRPr="00DA0C94">
        <w:rPr>
          <w:spacing w:val="-2"/>
          <w:lang w:val="en-GB"/>
        </w:rPr>
        <w:t xml:space="preserve"> the impact of the combined efforts. </w:t>
      </w:r>
      <w:proofErr w:type="spellStart"/>
      <w:r w:rsidRPr="00DA0C94">
        <w:rPr>
          <w:spacing w:val="-2"/>
          <w:lang w:val="en-GB"/>
        </w:rPr>
        <w:t>Buay</w:t>
      </w:r>
      <w:proofErr w:type="spellEnd"/>
      <w:r w:rsidRPr="00DA0C94">
        <w:rPr>
          <w:spacing w:val="-2"/>
          <w:lang w:val="en-GB"/>
        </w:rPr>
        <w:t xml:space="preserve"> was convinced that a minimum collaboration of </w:t>
      </w:r>
      <w:r w:rsidR="00D51E5B">
        <w:rPr>
          <w:spacing w:val="-2"/>
          <w:lang w:val="en-GB"/>
        </w:rPr>
        <w:t>three</w:t>
      </w:r>
      <w:r w:rsidR="00D51E5B" w:rsidRPr="00DA0C94">
        <w:rPr>
          <w:spacing w:val="-2"/>
          <w:lang w:val="en-GB"/>
        </w:rPr>
        <w:t xml:space="preserve"> </w:t>
      </w:r>
      <w:r w:rsidRPr="00DA0C94">
        <w:rPr>
          <w:spacing w:val="-2"/>
          <w:lang w:val="en-GB"/>
        </w:rPr>
        <w:t xml:space="preserve">years was necessary to enable the </w:t>
      </w:r>
      <w:r w:rsidR="00556891" w:rsidRPr="00DA0C94">
        <w:rPr>
          <w:spacing w:val="-2"/>
          <w:lang w:val="en-GB"/>
        </w:rPr>
        <w:t>program</w:t>
      </w:r>
      <w:r w:rsidRPr="00DA0C94">
        <w:rPr>
          <w:spacing w:val="-2"/>
          <w:lang w:val="en-GB"/>
        </w:rPr>
        <w:t xml:space="preserve"> to mature and to reach a self-sustaining level. From his own experience </w:t>
      </w:r>
      <w:r w:rsidR="0019005A">
        <w:rPr>
          <w:spacing w:val="-2"/>
          <w:lang w:val="en-GB"/>
        </w:rPr>
        <w:t>in</w:t>
      </w:r>
      <w:r w:rsidR="0019005A" w:rsidRPr="00DA0C94">
        <w:rPr>
          <w:spacing w:val="-2"/>
          <w:lang w:val="en-GB"/>
        </w:rPr>
        <w:t xml:space="preserve"> </w:t>
      </w:r>
      <w:r w:rsidRPr="00DA0C94">
        <w:rPr>
          <w:spacing w:val="-2"/>
          <w:lang w:val="en-GB"/>
        </w:rPr>
        <w:t xml:space="preserve">establishing partnerships and collaborations in the past, </w:t>
      </w:r>
      <w:proofErr w:type="spellStart"/>
      <w:r w:rsidRPr="00DA0C94">
        <w:rPr>
          <w:spacing w:val="-2"/>
          <w:lang w:val="en-GB"/>
        </w:rPr>
        <w:t>Buay</w:t>
      </w:r>
      <w:proofErr w:type="spellEnd"/>
      <w:r w:rsidRPr="00DA0C94">
        <w:rPr>
          <w:spacing w:val="-2"/>
          <w:lang w:val="en-GB"/>
        </w:rPr>
        <w:t xml:space="preserve"> felt that </w:t>
      </w:r>
      <w:r w:rsidR="0019005A">
        <w:rPr>
          <w:spacing w:val="-2"/>
          <w:lang w:val="en-GB"/>
        </w:rPr>
        <w:t>the process</w:t>
      </w:r>
      <w:r w:rsidR="0019005A" w:rsidRPr="00DA0C94">
        <w:rPr>
          <w:spacing w:val="-2"/>
          <w:lang w:val="en-GB"/>
        </w:rPr>
        <w:t xml:space="preserve"> </w:t>
      </w:r>
      <w:r w:rsidRPr="00DA0C94">
        <w:rPr>
          <w:spacing w:val="-2"/>
          <w:lang w:val="en-GB"/>
        </w:rPr>
        <w:t xml:space="preserve">was not any different in </w:t>
      </w:r>
      <w:r w:rsidR="0019005A">
        <w:rPr>
          <w:spacing w:val="-2"/>
          <w:lang w:val="en-GB"/>
        </w:rPr>
        <w:t xml:space="preserve">term of </w:t>
      </w:r>
      <w:r w:rsidRPr="00DA0C94">
        <w:rPr>
          <w:spacing w:val="-2"/>
          <w:lang w:val="en-GB"/>
        </w:rPr>
        <w:t>CSR, where collaboration might be even more critical</w:t>
      </w:r>
      <w:r w:rsidR="0019005A">
        <w:rPr>
          <w:spacing w:val="-2"/>
          <w:lang w:val="en-GB"/>
        </w:rPr>
        <w:t>,</w:t>
      </w:r>
      <w:r w:rsidRPr="00DA0C94">
        <w:rPr>
          <w:spacing w:val="-2"/>
          <w:lang w:val="en-GB"/>
        </w:rPr>
        <w:t xml:space="preserve"> as no single </w:t>
      </w:r>
      <w:r w:rsidR="00556891" w:rsidRPr="00DA0C94">
        <w:rPr>
          <w:spacing w:val="-2"/>
          <w:lang w:val="en-GB"/>
        </w:rPr>
        <w:t>organization</w:t>
      </w:r>
      <w:r w:rsidRPr="00DA0C94">
        <w:rPr>
          <w:spacing w:val="-2"/>
          <w:lang w:val="en-GB"/>
        </w:rPr>
        <w:t xml:space="preserve"> possessed all the skills and resources needed to solve broader societal challenges. Similarly, McKinsey &amp; Company believed that in CSR, substantial shared value </w:t>
      </w:r>
      <w:r w:rsidR="0019005A" w:rsidRPr="00DA0C94">
        <w:rPr>
          <w:spacing w:val="-2"/>
          <w:lang w:val="en-GB"/>
        </w:rPr>
        <w:t>c</w:t>
      </w:r>
      <w:r w:rsidR="0019005A">
        <w:rPr>
          <w:spacing w:val="-2"/>
          <w:lang w:val="en-GB"/>
        </w:rPr>
        <w:t>ould</w:t>
      </w:r>
      <w:r w:rsidR="0019005A" w:rsidRPr="00DA0C94">
        <w:rPr>
          <w:spacing w:val="-2"/>
          <w:lang w:val="en-GB"/>
        </w:rPr>
        <w:t xml:space="preserve"> </w:t>
      </w:r>
      <w:r w:rsidRPr="00DA0C94">
        <w:rPr>
          <w:spacing w:val="-2"/>
          <w:lang w:val="en-GB"/>
        </w:rPr>
        <w:t xml:space="preserve">be created </w:t>
      </w:r>
      <w:r w:rsidR="0019005A">
        <w:rPr>
          <w:spacing w:val="-2"/>
          <w:lang w:val="en-GB"/>
        </w:rPr>
        <w:t xml:space="preserve">only </w:t>
      </w:r>
      <w:r w:rsidRPr="00DA0C94">
        <w:rPr>
          <w:spacing w:val="-2"/>
          <w:lang w:val="en-GB"/>
        </w:rPr>
        <w:t>through smart partnering.</w:t>
      </w:r>
      <w:r w:rsidRPr="00DA0C94">
        <w:rPr>
          <w:spacing w:val="-2"/>
          <w:vertAlign w:val="superscript"/>
          <w:lang w:val="en-GB"/>
        </w:rPr>
        <w:footnoteReference w:id="12"/>
      </w:r>
      <w:r w:rsidRPr="00DA0C94">
        <w:rPr>
          <w:spacing w:val="-2"/>
          <w:lang w:val="en-GB"/>
        </w:rPr>
        <w:t xml:space="preserve"> </w:t>
      </w:r>
      <w:r w:rsidR="0061734D">
        <w:rPr>
          <w:spacing w:val="-2"/>
          <w:lang w:val="en-GB"/>
        </w:rPr>
        <w:t xml:space="preserve">One positive movement </w:t>
      </w:r>
      <w:r w:rsidR="00420BCE">
        <w:rPr>
          <w:spacing w:val="-2"/>
          <w:lang w:val="en-GB"/>
        </w:rPr>
        <w:t>in this</w:t>
      </w:r>
      <w:r w:rsidR="0061734D">
        <w:rPr>
          <w:spacing w:val="-2"/>
          <w:lang w:val="en-GB"/>
        </w:rPr>
        <w:t xml:space="preserve"> direction was that in 2013, </w:t>
      </w:r>
      <w:r w:rsidR="004875E0">
        <w:rPr>
          <w:spacing w:val="-2"/>
          <w:lang w:val="en-GB"/>
        </w:rPr>
        <w:t>SingTel</w:t>
      </w:r>
      <w:r w:rsidR="0061734D" w:rsidRPr="0061734D">
        <w:rPr>
          <w:spacing w:val="-2"/>
          <w:lang w:val="en-GB"/>
        </w:rPr>
        <w:t xml:space="preserve"> introduced a </w:t>
      </w:r>
      <w:r w:rsidR="00420BCE">
        <w:rPr>
          <w:spacing w:val="-2"/>
          <w:lang w:val="en-GB"/>
        </w:rPr>
        <w:t>s</w:t>
      </w:r>
      <w:r w:rsidR="0061734D" w:rsidRPr="0061734D">
        <w:rPr>
          <w:spacing w:val="-2"/>
          <w:lang w:val="en-GB"/>
        </w:rPr>
        <w:t xml:space="preserve">upplier </w:t>
      </w:r>
      <w:r w:rsidR="00420BCE">
        <w:rPr>
          <w:spacing w:val="-2"/>
          <w:lang w:val="en-GB"/>
        </w:rPr>
        <w:t>c</w:t>
      </w:r>
      <w:r w:rsidR="0061734D" w:rsidRPr="0061734D">
        <w:rPr>
          <w:spacing w:val="-2"/>
          <w:lang w:val="en-GB"/>
        </w:rPr>
        <w:t xml:space="preserve">ode of </w:t>
      </w:r>
      <w:r w:rsidR="00420BCE">
        <w:rPr>
          <w:spacing w:val="-2"/>
          <w:lang w:val="en-GB"/>
        </w:rPr>
        <w:t>c</w:t>
      </w:r>
      <w:r w:rsidR="0061734D" w:rsidRPr="0061734D">
        <w:rPr>
          <w:spacing w:val="-2"/>
          <w:lang w:val="en-GB"/>
        </w:rPr>
        <w:t>onduct to enhance advocacy and engagement in its supply chain on matters relating to CSR.</w:t>
      </w:r>
    </w:p>
    <w:p w14:paraId="5E6A1E20" w14:textId="77777777" w:rsidR="00B57B82" w:rsidRPr="00DA0C94" w:rsidRDefault="00B57B82" w:rsidP="00B57B82">
      <w:pPr>
        <w:pStyle w:val="BodyTextMain"/>
        <w:rPr>
          <w:spacing w:val="-2"/>
          <w:sz w:val="20"/>
          <w:lang w:val="en-GB"/>
        </w:rPr>
      </w:pPr>
    </w:p>
    <w:p w14:paraId="2812A9BD" w14:textId="046603C3" w:rsidR="00B57B82" w:rsidRPr="00DA0C94" w:rsidRDefault="004875E0" w:rsidP="00B57B82">
      <w:pPr>
        <w:pStyle w:val="BodyTextMain"/>
        <w:rPr>
          <w:spacing w:val="-2"/>
          <w:lang w:val="en-GB"/>
        </w:rPr>
      </w:pPr>
      <w:r>
        <w:rPr>
          <w:spacing w:val="-2"/>
          <w:lang w:val="en-GB"/>
        </w:rPr>
        <w:t>SingTel</w:t>
      </w:r>
      <w:r w:rsidR="0019005A">
        <w:rPr>
          <w:spacing w:val="-2"/>
          <w:lang w:val="en-GB"/>
        </w:rPr>
        <w:t>’s</w:t>
      </w:r>
      <w:r w:rsidR="0019005A" w:rsidRPr="00DA0C94">
        <w:rPr>
          <w:spacing w:val="-2"/>
          <w:lang w:val="en-GB"/>
        </w:rPr>
        <w:t xml:space="preserve"> </w:t>
      </w:r>
      <w:r w:rsidR="00B57B82" w:rsidRPr="00DA0C94">
        <w:rPr>
          <w:spacing w:val="-2"/>
          <w:lang w:val="en-GB"/>
        </w:rPr>
        <w:t xml:space="preserve">senior management, </w:t>
      </w:r>
      <w:r w:rsidR="00F47919">
        <w:rPr>
          <w:spacing w:val="-2"/>
          <w:lang w:val="en-GB"/>
        </w:rPr>
        <w:t>however</w:t>
      </w:r>
      <w:r w:rsidR="00B57B82" w:rsidRPr="00DA0C94">
        <w:rPr>
          <w:spacing w:val="-2"/>
          <w:lang w:val="en-GB"/>
        </w:rPr>
        <w:t>, was concerned about having to drop existing philanthropic work</w:t>
      </w:r>
      <w:r w:rsidR="0019005A">
        <w:rPr>
          <w:spacing w:val="-2"/>
          <w:lang w:val="en-GB"/>
        </w:rPr>
        <w:t>,</w:t>
      </w:r>
      <w:r w:rsidR="00B57B82" w:rsidRPr="00DA0C94">
        <w:rPr>
          <w:spacing w:val="-2"/>
          <w:lang w:val="en-GB"/>
        </w:rPr>
        <w:t xml:space="preserve"> which would not be aligned with the proposed strategic CSR. </w:t>
      </w:r>
      <w:proofErr w:type="spellStart"/>
      <w:r w:rsidR="00B57B82" w:rsidRPr="00DA0C94">
        <w:rPr>
          <w:spacing w:val="-2"/>
          <w:lang w:val="en-GB"/>
        </w:rPr>
        <w:t>Buay</w:t>
      </w:r>
      <w:proofErr w:type="spellEnd"/>
      <w:r w:rsidR="00B57B82" w:rsidRPr="00DA0C94">
        <w:rPr>
          <w:spacing w:val="-2"/>
          <w:lang w:val="en-GB"/>
        </w:rPr>
        <w:t xml:space="preserve"> wondered </w:t>
      </w:r>
      <w:r w:rsidR="0019005A">
        <w:rPr>
          <w:spacing w:val="-2"/>
          <w:lang w:val="en-GB"/>
        </w:rPr>
        <w:t>whether</w:t>
      </w:r>
      <w:r w:rsidR="0019005A" w:rsidRPr="00DA0C94">
        <w:rPr>
          <w:spacing w:val="-2"/>
          <w:lang w:val="en-GB"/>
        </w:rPr>
        <w:t xml:space="preserve"> </w:t>
      </w:r>
      <w:r w:rsidR="00B57B82" w:rsidRPr="00DA0C94">
        <w:rPr>
          <w:spacing w:val="-2"/>
          <w:lang w:val="en-GB"/>
        </w:rPr>
        <w:t xml:space="preserve">the new approach </w:t>
      </w:r>
      <w:r w:rsidR="0019005A" w:rsidRPr="00DA0C94">
        <w:rPr>
          <w:spacing w:val="-2"/>
          <w:lang w:val="en-GB"/>
        </w:rPr>
        <w:t>c</w:t>
      </w:r>
      <w:r w:rsidR="0019005A">
        <w:rPr>
          <w:spacing w:val="-2"/>
          <w:lang w:val="en-GB"/>
        </w:rPr>
        <w:t>ould</w:t>
      </w:r>
      <w:r w:rsidR="0019005A" w:rsidRPr="00DA0C94">
        <w:rPr>
          <w:spacing w:val="-2"/>
          <w:lang w:val="en-GB"/>
        </w:rPr>
        <w:t xml:space="preserve"> </w:t>
      </w:r>
      <w:r w:rsidR="00B57B82" w:rsidRPr="00DA0C94">
        <w:rPr>
          <w:spacing w:val="-2"/>
          <w:lang w:val="en-GB"/>
        </w:rPr>
        <w:t xml:space="preserve">be implemented by building on current partnerships with charities and adding </w:t>
      </w:r>
      <w:r w:rsidR="0019005A">
        <w:rPr>
          <w:spacing w:val="-2"/>
          <w:lang w:val="en-GB"/>
        </w:rPr>
        <w:t xml:space="preserve">value </w:t>
      </w:r>
      <w:r w:rsidR="00B57B82" w:rsidRPr="00DA0C94">
        <w:rPr>
          <w:spacing w:val="-2"/>
          <w:lang w:val="en-GB"/>
        </w:rPr>
        <w:t xml:space="preserve">to them </w:t>
      </w:r>
      <w:r w:rsidR="0019005A">
        <w:rPr>
          <w:spacing w:val="-2"/>
          <w:lang w:val="en-GB"/>
        </w:rPr>
        <w:t xml:space="preserve">in a </w:t>
      </w:r>
      <w:r w:rsidR="00B57B82" w:rsidRPr="00DA0C94">
        <w:rPr>
          <w:spacing w:val="-2"/>
          <w:lang w:val="en-GB"/>
        </w:rPr>
        <w:t>different</w:t>
      </w:r>
      <w:r w:rsidR="0019005A">
        <w:rPr>
          <w:spacing w:val="-2"/>
          <w:lang w:val="en-GB"/>
        </w:rPr>
        <w:t xml:space="preserve"> way</w:t>
      </w:r>
      <w:r w:rsidR="00B57B82" w:rsidRPr="00DA0C94">
        <w:rPr>
          <w:spacing w:val="-2"/>
          <w:lang w:val="en-GB"/>
        </w:rPr>
        <w:t>.</w:t>
      </w:r>
      <w:r w:rsidR="00DA0C94" w:rsidRPr="00DA0C94">
        <w:rPr>
          <w:spacing w:val="-2"/>
          <w:lang w:val="en-GB"/>
        </w:rPr>
        <w:t xml:space="preserve"> </w:t>
      </w:r>
    </w:p>
    <w:p w14:paraId="6F0671A7" w14:textId="77777777" w:rsidR="00B57B82" w:rsidRPr="00DA0C94" w:rsidRDefault="00B57B82" w:rsidP="00B57B82">
      <w:pPr>
        <w:pStyle w:val="BodyTextMain"/>
        <w:rPr>
          <w:sz w:val="20"/>
          <w:lang w:val="en-GB"/>
        </w:rPr>
      </w:pPr>
    </w:p>
    <w:p w14:paraId="65430422" w14:textId="5B8953E1" w:rsidR="00B57B82" w:rsidRPr="00DA0C94" w:rsidRDefault="00B57B82" w:rsidP="00B57B82">
      <w:pPr>
        <w:pStyle w:val="BodyTextMain"/>
        <w:rPr>
          <w:i/>
          <w:lang w:val="en-GB"/>
        </w:rPr>
      </w:pPr>
      <w:r w:rsidRPr="00DA0C94">
        <w:rPr>
          <w:lang w:val="en-GB"/>
        </w:rPr>
        <w:t xml:space="preserve">In late 2013, </w:t>
      </w:r>
      <w:proofErr w:type="spellStart"/>
      <w:r w:rsidRPr="00DA0C94">
        <w:rPr>
          <w:lang w:val="en-GB"/>
        </w:rPr>
        <w:t>Buay</w:t>
      </w:r>
      <w:proofErr w:type="spellEnd"/>
      <w:r w:rsidRPr="00DA0C94">
        <w:rPr>
          <w:lang w:val="en-GB"/>
        </w:rPr>
        <w:t xml:space="preserve"> met with the MD of the Community Chest and </w:t>
      </w:r>
      <w:r w:rsidR="0019005A">
        <w:rPr>
          <w:lang w:val="en-GB"/>
        </w:rPr>
        <w:t>the National Council of Social Services (</w:t>
      </w:r>
      <w:r w:rsidRPr="00DA0C94">
        <w:rPr>
          <w:lang w:val="en-GB"/>
        </w:rPr>
        <w:t>NCSS</w:t>
      </w:r>
      <w:r w:rsidR="0019005A">
        <w:rPr>
          <w:lang w:val="en-GB"/>
        </w:rPr>
        <w:t>)</w:t>
      </w:r>
      <w:r w:rsidRPr="00DA0C94">
        <w:rPr>
          <w:lang w:val="en-GB"/>
        </w:rPr>
        <w:t>. He had heard about the growing concerns of the government regarding the lack of progress and support from corporat</w:t>
      </w:r>
      <w:r w:rsidR="0019005A">
        <w:rPr>
          <w:lang w:val="en-GB"/>
        </w:rPr>
        <w:t>ions</w:t>
      </w:r>
      <w:r w:rsidRPr="00DA0C94">
        <w:rPr>
          <w:lang w:val="en-GB"/>
        </w:rPr>
        <w:t xml:space="preserve"> for employment among persons with disabilities (PWDs) despite a growing base of skilled PWDs. He saw a strategic opportunity to develop a partnership approach to address the issue. Over the next few months in early 2014, </w:t>
      </w:r>
      <w:proofErr w:type="spellStart"/>
      <w:r w:rsidRPr="00DA0C94">
        <w:rPr>
          <w:lang w:val="en-GB"/>
        </w:rPr>
        <w:t>Buay</w:t>
      </w:r>
      <w:proofErr w:type="spellEnd"/>
      <w:r w:rsidRPr="00DA0C94">
        <w:rPr>
          <w:lang w:val="en-GB"/>
        </w:rPr>
        <w:t xml:space="preserve"> and representatives from Community Chest, </w:t>
      </w:r>
      <w:r w:rsidR="0019005A">
        <w:rPr>
          <w:lang w:val="en-GB"/>
        </w:rPr>
        <w:t xml:space="preserve">the </w:t>
      </w:r>
      <w:r w:rsidRPr="00DA0C94">
        <w:rPr>
          <w:lang w:val="en-GB"/>
        </w:rPr>
        <w:t>NCSS</w:t>
      </w:r>
      <w:r w:rsidR="0019005A">
        <w:rPr>
          <w:lang w:val="en-GB"/>
        </w:rPr>
        <w:t>,</w:t>
      </w:r>
      <w:r w:rsidRPr="00DA0C94">
        <w:rPr>
          <w:lang w:val="en-GB"/>
        </w:rPr>
        <w:t xml:space="preserve"> and SG Enable, a national government agency for </w:t>
      </w:r>
      <w:r w:rsidR="00B740D2">
        <w:rPr>
          <w:lang w:val="en-GB"/>
        </w:rPr>
        <w:t>enabling PWDs</w:t>
      </w:r>
      <w:r w:rsidRPr="00DA0C94">
        <w:rPr>
          <w:lang w:val="en-GB"/>
        </w:rPr>
        <w:t xml:space="preserve">, worked furiously to put together </w:t>
      </w:r>
      <w:r w:rsidR="004A123D">
        <w:rPr>
          <w:lang w:val="en-GB"/>
        </w:rPr>
        <w:t>a</w:t>
      </w:r>
      <w:r w:rsidRPr="00DA0C94">
        <w:rPr>
          <w:lang w:val="en-GB"/>
        </w:rPr>
        <w:t xml:space="preserve"> proposal to build a pioneering </w:t>
      </w:r>
      <w:r w:rsidR="00B740D2">
        <w:rPr>
          <w:lang w:val="en-GB"/>
        </w:rPr>
        <w:t>information technology (</w:t>
      </w:r>
      <w:r w:rsidRPr="00DA0C94">
        <w:rPr>
          <w:lang w:val="en-GB"/>
        </w:rPr>
        <w:t>IT</w:t>
      </w:r>
      <w:r w:rsidR="00B740D2">
        <w:rPr>
          <w:lang w:val="en-GB"/>
        </w:rPr>
        <w:t>)</w:t>
      </w:r>
      <w:r w:rsidRPr="00DA0C94">
        <w:rPr>
          <w:lang w:val="en-GB"/>
        </w:rPr>
        <w:t xml:space="preserve"> and </w:t>
      </w:r>
      <w:r w:rsidR="00B740D2">
        <w:rPr>
          <w:lang w:val="en-GB"/>
        </w:rPr>
        <w:t>c</w:t>
      </w:r>
      <w:r w:rsidRPr="00DA0C94">
        <w:rPr>
          <w:lang w:val="en-GB"/>
        </w:rPr>
        <w:t xml:space="preserve">ontact training </w:t>
      </w:r>
      <w:r w:rsidR="00B740D2" w:rsidRPr="00DA0C94">
        <w:rPr>
          <w:lang w:val="en-GB"/>
        </w:rPr>
        <w:t>cent</w:t>
      </w:r>
      <w:r w:rsidR="00B740D2">
        <w:rPr>
          <w:lang w:val="en-GB"/>
        </w:rPr>
        <w:t>re</w:t>
      </w:r>
      <w:r w:rsidR="00B740D2" w:rsidRPr="00DA0C94">
        <w:rPr>
          <w:lang w:val="en-GB"/>
        </w:rPr>
        <w:t xml:space="preserve"> </w:t>
      </w:r>
      <w:r w:rsidRPr="00DA0C94">
        <w:rPr>
          <w:lang w:val="en-GB"/>
        </w:rPr>
        <w:t xml:space="preserve">for PWDs, an assistive technology </w:t>
      </w:r>
      <w:r w:rsidR="00B740D2" w:rsidRPr="00DA0C94">
        <w:rPr>
          <w:lang w:val="en-GB"/>
        </w:rPr>
        <w:t>cent</w:t>
      </w:r>
      <w:r w:rsidR="00B740D2">
        <w:rPr>
          <w:lang w:val="en-GB"/>
        </w:rPr>
        <w:t>re,</w:t>
      </w:r>
      <w:r w:rsidR="00B740D2" w:rsidRPr="00DA0C94">
        <w:rPr>
          <w:lang w:val="en-GB"/>
        </w:rPr>
        <w:t xml:space="preserve"> </w:t>
      </w:r>
      <w:r w:rsidRPr="00DA0C94">
        <w:rPr>
          <w:lang w:val="en-GB"/>
        </w:rPr>
        <w:t xml:space="preserve">and an innovation co-location space to promote </w:t>
      </w:r>
      <w:r w:rsidR="00B740D2">
        <w:rPr>
          <w:lang w:val="en-GB"/>
        </w:rPr>
        <w:t xml:space="preserve">the </w:t>
      </w:r>
      <w:r w:rsidRPr="00DA0C94">
        <w:rPr>
          <w:lang w:val="en-GB"/>
        </w:rPr>
        <w:t xml:space="preserve">skills and employment of PWDs. </w:t>
      </w:r>
      <w:r w:rsidR="008C623B">
        <w:rPr>
          <w:lang w:val="en-GB"/>
        </w:rPr>
        <w:t xml:space="preserve">Named </w:t>
      </w:r>
      <w:r w:rsidRPr="00DA0C94">
        <w:rPr>
          <w:lang w:val="en-GB"/>
        </w:rPr>
        <w:t>the “</w:t>
      </w:r>
      <w:r w:rsidR="004875E0">
        <w:rPr>
          <w:lang w:val="en-GB"/>
        </w:rPr>
        <w:t>SingTel</w:t>
      </w:r>
      <w:r w:rsidRPr="00DA0C94">
        <w:rPr>
          <w:lang w:val="en-GB"/>
        </w:rPr>
        <w:t xml:space="preserve"> Enabling Innovation Centre</w:t>
      </w:r>
      <w:r w:rsidR="00B740D2">
        <w:rPr>
          <w:lang w:val="en-GB"/>
        </w:rPr>
        <w:t>,</w:t>
      </w:r>
      <w:r w:rsidRPr="00DA0C94">
        <w:rPr>
          <w:lang w:val="en-GB"/>
        </w:rPr>
        <w:t>” it was to be housed in a new “Enabling Village</w:t>
      </w:r>
      <w:r w:rsidR="00B740D2">
        <w:rPr>
          <w:lang w:val="en-GB"/>
        </w:rPr>
        <w:t>,</w:t>
      </w:r>
      <w:r w:rsidRPr="00DA0C94">
        <w:rPr>
          <w:lang w:val="en-GB"/>
        </w:rPr>
        <w:t>” which the government was planning to</w:t>
      </w:r>
      <w:r w:rsidR="00DA0C94" w:rsidRPr="00DA0C94">
        <w:rPr>
          <w:lang w:val="en-GB"/>
        </w:rPr>
        <w:t xml:space="preserve"> </w:t>
      </w:r>
      <w:r w:rsidRPr="00DA0C94">
        <w:rPr>
          <w:lang w:val="en-GB"/>
        </w:rPr>
        <w:t xml:space="preserve">launch by the end of 2015. </w:t>
      </w:r>
      <w:r w:rsidR="00B740D2">
        <w:rPr>
          <w:lang w:val="en-GB"/>
        </w:rPr>
        <w:t>T</w:t>
      </w:r>
      <w:r w:rsidRPr="00DA0C94">
        <w:rPr>
          <w:lang w:val="en-GB"/>
        </w:rPr>
        <w:t xml:space="preserve">he challenge ahead for </w:t>
      </w:r>
      <w:proofErr w:type="spellStart"/>
      <w:r w:rsidRPr="00DA0C94">
        <w:rPr>
          <w:lang w:val="en-GB"/>
        </w:rPr>
        <w:t>Buay</w:t>
      </w:r>
      <w:proofErr w:type="spellEnd"/>
      <w:r w:rsidRPr="00DA0C94">
        <w:rPr>
          <w:lang w:val="en-GB"/>
        </w:rPr>
        <w:t xml:space="preserve"> was to convince the </w:t>
      </w:r>
      <w:r w:rsidR="004875E0">
        <w:rPr>
          <w:lang w:val="en-GB"/>
        </w:rPr>
        <w:t>SingTel</w:t>
      </w:r>
      <w:r w:rsidRPr="00DA0C94">
        <w:rPr>
          <w:lang w:val="en-GB"/>
        </w:rPr>
        <w:t xml:space="preserve"> management and </w:t>
      </w:r>
      <w:r w:rsidR="00B740D2">
        <w:rPr>
          <w:lang w:val="en-GB"/>
        </w:rPr>
        <w:t>b</w:t>
      </w:r>
      <w:r w:rsidRPr="00DA0C94">
        <w:rPr>
          <w:lang w:val="en-GB"/>
        </w:rPr>
        <w:t xml:space="preserve">oard to invest </w:t>
      </w:r>
      <w:r w:rsidR="001F035F">
        <w:rPr>
          <w:lang w:val="en-GB"/>
        </w:rPr>
        <w:t>S</w:t>
      </w:r>
      <w:r w:rsidRPr="00DA0C94">
        <w:rPr>
          <w:lang w:val="en-GB"/>
        </w:rPr>
        <w:t>$2 million in a new flagship CSR initiative, with the government co-fund</w:t>
      </w:r>
      <w:r w:rsidR="00B740D2">
        <w:rPr>
          <w:lang w:val="en-GB"/>
        </w:rPr>
        <w:t>ing</w:t>
      </w:r>
      <w:r w:rsidRPr="00DA0C94">
        <w:rPr>
          <w:lang w:val="en-GB"/>
        </w:rPr>
        <w:t xml:space="preserve"> </w:t>
      </w:r>
      <w:r w:rsidR="00B740D2">
        <w:rPr>
          <w:lang w:val="en-GB"/>
        </w:rPr>
        <w:t>the same amount</w:t>
      </w:r>
      <w:r w:rsidRPr="00DA0C94">
        <w:rPr>
          <w:lang w:val="en-GB"/>
        </w:rPr>
        <w:t xml:space="preserve">. </w:t>
      </w:r>
    </w:p>
    <w:p w14:paraId="57027EEA" w14:textId="77777777" w:rsidR="00B57B82" w:rsidRPr="00DA0C94" w:rsidRDefault="00B57B82" w:rsidP="00B57B82">
      <w:pPr>
        <w:pStyle w:val="BodyTextMain"/>
        <w:rPr>
          <w:sz w:val="20"/>
          <w:lang w:val="en-GB"/>
        </w:rPr>
      </w:pPr>
    </w:p>
    <w:p w14:paraId="15CBCCCC" w14:textId="6894BD55" w:rsidR="00B57B82" w:rsidRPr="00DA0C94" w:rsidRDefault="00B57B82" w:rsidP="00B57B82">
      <w:pPr>
        <w:pStyle w:val="BodyTextMain"/>
        <w:rPr>
          <w:b/>
          <w:lang w:val="en-GB"/>
        </w:rPr>
      </w:pPr>
      <w:r w:rsidRPr="00DA0C94">
        <w:rPr>
          <w:lang w:val="en-GB"/>
        </w:rPr>
        <w:t>The Group CSR team wanted to encourage open discussion, build mutual trust</w:t>
      </w:r>
      <w:r w:rsidR="008448D3">
        <w:rPr>
          <w:lang w:val="en-GB"/>
        </w:rPr>
        <w:t>,</w:t>
      </w:r>
      <w:r w:rsidRPr="00DA0C94">
        <w:rPr>
          <w:lang w:val="en-GB"/>
        </w:rPr>
        <w:t xml:space="preserve"> and promote engagement</w:t>
      </w:r>
      <w:r w:rsidR="006D1175">
        <w:rPr>
          <w:lang w:val="en-GB"/>
        </w:rPr>
        <w:t>, both</w:t>
      </w:r>
      <w:r w:rsidRPr="00DA0C94">
        <w:rPr>
          <w:lang w:val="en-GB"/>
        </w:rPr>
        <w:t xml:space="preserve"> within </w:t>
      </w:r>
      <w:r w:rsidR="004875E0">
        <w:rPr>
          <w:lang w:val="en-GB"/>
        </w:rPr>
        <w:t>SingTel</w:t>
      </w:r>
      <w:r w:rsidRPr="00DA0C94">
        <w:rPr>
          <w:lang w:val="en-GB"/>
        </w:rPr>
        <w:t xml:space="preserve"> and with its external parties. This concept of stakeholder engagement and collaboration did not originate from </w:t>
      </w:r>
      <w:r w:rsidR="004875E0">
        <w:rPr>
          <w:lang w:val="en-GB"/>
        </w:rPr>
        <w:t>SingTel</w:t>
      </w:r>
      <w:r w:rsidRPr="00DA0C94">
        <w:rPr>
          <w:lang w:val="en-GB"/>
        </w:rPr>
        <w:t>’s Group CSR team</w:t>
      </w:r>
      <w:r w:rsidR="006D1175">
        <w:rPr>
          <w:lang w:val="en-GB"/>
        </w:rPr>
        <w:t>, but had</w:t>
      </w:r>
      <w:r w:rsidRPr="00DA0C94">
        <w:rPr>
          <w:lang w:val="en-GB"/>
        </w:rPr>
        <w:t xml:space="preserve"> been a well-known framework and </w:t>
      </w:r>
      <w:r w:rsidR="008448D3">
        <w:rPr>
          <w:lang w:val="en-GB"/>
        </w:rPr>
        <w:t xml:space="preserve">was </w:t>
      </w:r>
      <w:r w:rsidR="006D1175" w:rsidRPr="00DA0C94">
        <w:rPr>
          <w:lang w:val="en-GB"/>
        </w:rPr>
        <w:t>practi</w:t>
      </w:r>
      <w:r w:rsidR="006D1175">
        <w:rPr>
          <w:lang w:val="en-GB"/>
        </w:rPr>
        <w:t>s</w:t>
      </w:r>
      <w:r w:rsidR="006D1175" w:rsidRPr="00DA0C94">
        <w:rPr>
          <w:lang w:val="en-GB"/>
        </w:rPr>
        <w:t xml:space="preserve">ed </w:t>
      </w:r>
      <w:r w:rsidRPr="00DA0C94">
        <w:rPr>
          <w:lang w:val="en-GB"/>
        </w:rPr>
        <w:t>by many companies. However, engagement should be followed by actions as proclaimed by the age-old idiom,</w:t>
      </w:r>
      <w:r w:rsidRPr="00DA0C94">
        <w:rPr>
          <w:i/>
          <w:lang w:val="en-GB"/>
        </w:rPr>
        <w:t xml:space="preserve"> </w:t>
      </w:r>
      <w:r w:rsidRPr="00BA7B97">
        <w:rPr>
          <w:lang w:val="en-GB"/>
        </w:rPr>
        <w:t>“actions speak louder than words</w:t>
      </w:r>
      <w:r w:rsidR="006D1175">
        <w:rPr>
          <w:lang w:val="en-GB"/>
        </w:rPr>
        <w:t>.</w:t>
      </w:r>
      <w:r w:rsidRPr="00BA7B97">
        <w:rPr>
          <w:lang w:val="en-GB"/>
        </w:rPr>
        <w:t>”</w:t>
      </w:r>
      <w:r w:rsidRPr="00DA0C94">
        <w:rPr>
          <w:lang w:val="en-GB"/>
        </w:rPr>
        <w:t xml:space="preserve"> A commitment to collaboration would drive the establishment of processes</w:t>
      </w:r>
      <w:r w:rsidR="006D1175">
        <w:rPr>
          <w:lang w:val="en-GB"/>
        </w:rPr>
        <w:t>,</w:t>
      </w:r>
      <w:r w:rsidRPr="00DA0C94">
        <w:rPr>
          <w:lang w:val="en-GB"/>
        </w:rPr>
        <w:t xml:space="preserve"> which would enable </w:t>
      </w:r>
      <w:r w:rsidR="004875E0">
        <w:rPr>
          <w:lang w:val="en-GB"/>
        </w:rPr>
        <w:t>SingTel</w:t>
      </w:r>
      <w:r w:rsidRPr="00DA0C94">
        <w:rPr>
          <w:lang w:val="en-GB"/>
        </w:rPr>
        <w:t xml:space="preserve"> to both engage and act on </w:t>
      </w:r>
      <w:r w:rsidR="006D1175">
        <w:rPr>
          <w:lang w:val="en-GB"/>
        </w:rPr>
        <w:t xml:space="preserve">the identified </w:t>
      </w:r>
      <w:r w:rsidRPr="00DA0C94">
        <w:rPr>
          <w:lang w:val="en-GB"/>
        </w:rPr>
        <w:t xml:space="preserve">material topics. </w:t>
      </w:r>
    </w:p>
    <w:p w14:paraId="467C7644" w14:textId="77777777" w:rsidR="00B57B82" w:rsidRPr="00DA0C94" w:rsidRDefault="00B57B82" w:rsidP="00B57B82">
      <w:pPr>
        <w:pStyle w:val="BodyTextMain"/>
        <w:rPr>
          <w:sz w:val="20"/>
          <w:lang w:val="en-GB"/>
        </w:rPr>
      </w:pPr>
    </w:p>
    <w:p w14:paraId="2FD1E579" w14:textId="78B06542" w:rsidR="00B57B82" w:rsidRPr="00DA0C94" w:rsidRDefault="00B57B82" w:rsidP="00B57B82">
      <w:pPr>
        <w:pStyle w:val="BodyTextMain"/>
        <w:rPr>
          <w:spacing w:val="-2"/>
          <w:lang w:val="en-GB"/>
        </w:rPr>
      </w:pPr>
      <w:r w:rsidRPr="00DA0C94">
        <w:rPr>
          <w:spacing w:val="-2"/>
          <w:lang w:val="en-GB"/>
        </w:rPr>
        <w:t xml:space="preserve">The benefits of multi-stakeholder collaboration and information sharing with other companies, including business competitors, directly </w:t>
      </w:r>
      <w:r w:rsidR="006D1175" w:rsidRPr="00DA0C94">
        <w:rPr>
          <w:spacing w:val="-2"/>
          <w:lang w:val="en-GB"/>
        </w:rPr>
        <w:t>contradict</w:t>
      </w:r>
      <w:r w:rsidR="006D1175">
        <w:rPr>
          <w:spacing w:val="-2"/>
          <w:lang w:val="en-GB"/>
        </w:rPr>
        <w:t>ed</w:t>
      </w:r>
      <w:r w:rsidR="006D1175" w:rsidRPr="00DA0C94">
        <w:rPr>
          <w:spacing w:val="-2"/>
          <w:lang w:val="en-GB"/>
        </w:rPr>
        <w:t xml:space="preserve"> </w:t>
      </w:r>
      <w:r w:rsidRPr="00DA0C94">
        <w:rPr>
          <w:spacing w:val="-2"/>
          <w:lang w:val="en-GB"/>
        </w:rPr>
        <w:t>the teachings of traditional business management</w:t>
      </w:r>
      <w:r w:rsidR="006D1175">
        <w:rPr>
          <w:spacing w:val="-2"/>
          <w:lang w:val="en-GB"/>
        </w:rPr>
        <w:t>,</w:t>
      </w:r>
      <w:r w:rsidRPr="00DA0C94">
        <w:rPr>
          <w:spacing w:val="-2"/>
          <w:lang w:val="en-GB"/>
        </w:rPr>
        <w:t xml:space="preserve"> which </w:t>
      </w:r>
      <w:r w:rsidR="00556891" w:rsidRPr="00DA0C94">
        <w:rPr>
          <w:spacing w:val="-2"/>
          <w:lang w:val="en-GB"/>
        </w:rPr>
        <w:t>emphasized</w:t>
      </w:r>
      <w:r w:rsidRPr="00DA0C94">
        <w:rPr>
          <w:spacing w:val="-2"/>
          <w:lang w:val="en-GB"/>
        </w:rPr>
        <w:t xml:space="preserve"> heavily safeguarding proprietary information for competitive advantage. </w:t>
      </w:r>
      <w:r w:rsidR="006D1175">
        <w:rPr>
          <w:spacing w:val="-2"/>
          <w:lang w:val="en-GB"/>
        </w:rPr>
        <w:t xml:space="preserve">Although </w:t>
      </w:r>
      <w:r w:rsidRPr="00DA0C94">
        <w:rPr>
          <w:spacing w:val="-2"/>
          <w:lang w:val="en-GB"/>
        </w:rPr>
        <w:t>co</w:t>
      </w:r>
      <w:r w:rsidR="006D1175">
        <w:rPr>
          <w:spacing w:val="-2"/>
          <w:lang w:val="en-GB"/>
        </w:rPr>
        <w:t>-</w:t>
      </w:r>
      <w:r w:rsidRPr="00DA0C94">
        <w:rPr>
          <w:spacing w:val="-2"/>
          <w:lang w:val="en-GB"/>
        </w:rPr>
        <w:t xml:space="preserve">operating with numerous partners </w:t>
      </w:r>
      <w:r w:rsidR="006D1175" w:rsidRPr="00DA0C94">
        <w:rPr>
          <w:spacing w:val="-2"/>
          <w:lang w:val="en-GB"/>
        </w:rPr>
        <w:t>c</w:t>
      </w:r>
      <w:r w:rsidR="006D1175">
        <w:rPr>
          <w:spacing w:val="-2"/>
          <w:lang w:val="en-GB"/>
        </w:rPr>
        <w:t>ould</w:t>
      </w:r>
      <w:r w:rsidR="006D1175" w:rsidRPr="00DA0C94">
        <w:rPr>
          <w:spacing w:val="-2"/>
          <w:lang w:val="en-GB"/>
        </w:rPr>
        <w:t xml:space="preserve"> </w:t>
      </w:r>
      <w:r w:rsidRPr="00DA0C94">
        <w:rPr>
          <w:spacing w:val="-2"/>
          <w:lang w:val="en-GB"/>
        </w:rPr>
        <w:t xml:space="preserve">create a larger and more effective social impact, the resultant recognition and brand exposure from the initiative </w:t>
      </w:r>
      <w:r w:rsidR="006D1175">
        <w:rPr>
          <w:spacing w:val="-2"/>
          <w:lang w:val="en-GB"/>
        </w:rPr>
        <w:t>could</w:t>
      </w:r>
      <w:r w:rsidR="006D1175" w:rsidRPr="00DA0C94">
        <w:rPr>
          <w:spacing w:val="-2"/>
          <w:lang w:val="en-GB"/>
        </w:rPr>
        <w:t xml:space="preserve"> </w:t>
      </w:r>
      <w:r w:rsidRPr="00DA0C94">
        <w:rPr>
          <w:spacing w:val="-2"/>
          <w:lang w:val="en-GB"/>
        </w:rPr>
        <w:t>be reduced</w:t>
      </w:r>
      <w:r w:rsidR="006D1175">
        <w:rPr>
          <w:spacing w:val="-2"/>
          <w:lang w:val="en-GB"/>
        </w:rPr>
        <w:t>,</w:t>
      </w:r>
      <w:r w:rsidRPr="00DA0C94">
        <w:rPr>
          <w:spacing w:val="-2"/>
          <w:lang w:val="en-GB"/>
        </w:rPr>
        <w:t xml:space="preserve"> as more parties </w:t>
      </w:r>
      <w:r w:rsidR="00B70E8E">
        <w:rPr>
          <w:spacing w:val="-2"/>
          <w:lang w:val="en-GB"/>
        </w:rPr>
        <w:t xml:space="preserve">would </w:t>
      </w:r>
      <w:r w:rsidRPr="00DA0C94">
        <w:rPr>
          <w:spacing w:val="-2"/>
          <w:lang w:val="en-GB"/>
        </w:rPr>
        <w:t>share the credit.</w:t>
      </w:r>
    </w:p>
    <w:p w14:paraId="225D1379" w14:textId="77777777" w:rsidR="00B57B82" w:rsidRPr="00DA0C94" w:rsidRDefault="00B57B82" w:rsidP="00B57B82">
      <w:pPr>
        <w:pStyle w:val="BodyTextMain"/>
        <w:rPr>
          <w:sz w:val="20"/>
          <w:lang w:val="en-GB"/>
        </w:rPr>
      </w:pPr>
    </w:p>
    <w:p w14:paraId="67C0CB7E" w14:textId="1D40CAED" w:rsidR="00B57B82" w:rsidRPr="00DA0C94" w:rsidRDefault="00B57B82" w:rsidP="00B57B82">
      <w:pPr>
        <w:pStyle w:val="BodyTextMain"/>
        <w:rPr>
          <w:lang w:val="en-GB"/>
        </w:rPr>
      </w:pPr>
      <w:r w:rsidRPr="00DA0C94">
        <w:rPr>
          <w:lang w:val="en-GB"/>
        </w:rPr>
        <w:t xml:space="preserve">To this end, </w:t>
      </w:r>
      <w:proofErr w:type="spellStart"/>
      <w:r w:rsidRPr="00DA0C94">
        <w:rPr>
          <w:lang w:val="en-GB"/>
        </w:rPr>
        <w:t>Buay</w:t>
      </w:r>
      <w:proofErr w:type="spellEnd"/>
      <w:r w:rsidRPr="00DA0C94">
        <w:rPr>
          <w:lang w:val="en-GB"/>
        </w:rPr>
        <w:t xml:space="preserve"> firmly believed that collaboration </w:t>
      </w:r>
      <w:r w:rsidR="006D1175" w:rsidRPr="00DA0C94">
        <w:rPr>
          <w:lang w:val="en-GB"/>
        </w:rPr>
        <w:t>triumph</w:t>
      </w:r>
      <w:r w:rsidR="006D1175">
        <w:rPr>
          <w:lang w:val="en-GB"/>
        </w:rPr>
        <w:t>ed</w:t>
      </w:r>
      <w:r w:rsidR="006D1175" w:rsidRPr="00DA0C94">
        <w:rPr>
          <w:lang w:val="en-GB"/>
        </w:rPr>
        <w:t xml:space="preserve"> </w:t>
      </w:r>
      <w:r w:rsidRPr="00DA0C94">
        <w:rPr>
          <w:lang w:val="en-GB"/>
        </w:rPr>
        <w:t xml:space="preserve">competition in the search for sustainability because societal issues, especially major global ones, </w:t>
      </w:r>
      <w:r w:rsidR="006D1175" w:rsidRPr="00DA0C94">
        <w:rPr>
          <w:lang w:val="en-GB"/>
        </w:rPr>
        <w:t>ha</w:t>
      </w:r>
      <w:r w:rsidR="006D1175">
        <w:rPr>
          <w:lang w:val="en-GB"/>
        </w:rPr>
        <w:t>d</w:t>
      </w:r>
      <w:r w:rsidR="006D1175" w:rsidRPr="00DA0C94">
        <w:rPr>
          <w:lang w:val="en-GB"/>
        </w:rPr>
        <w:t xml:space="preserve"> </w:t>
      </w:r>
      <w:r w:rsidRPr="00DA0C94">
        <w:rPr>
          <w:lang w:val="en-GB"/>
        </w:rPr>
        <w:t xml:space="preserve">multiple dependencies and </w:t>
      </w:r>
      <w:r w:rsidR="006D1175">
        <w:rPr>
          <w:lang w:val="en-GB"/>
        </w:rPr>
        <w:t xml:space="preserve">could </w:t>
      </w:r>
      <w:r w:rsidRPr="00DA0C94">
        <w:rPr>
          <w:lang w:val="en-GB"/>
        </w:rPr>
        <w:t xml:space="preserve">not be solved individually. Collaboration between stakeholders with different competencies and resources </w:t>
      </w:r>
      <w:r w:rsidR="006D1175" w:rsidRPr="00DA0C94">
        <w:rPr>
          <w:lang w:val="en-GB"/>
        </w:rPr>
        <w:t>c</w:t>
      </w:r>
      <w:r w:rsidR="006D1175">
        <w:rPr>
          <w:lang w:val="en-GB"/>
        </w:rPr>
        <w:t>ould</w:t>
      </w:r>
      <w:r w:rsidR="006D1175" w:rsidRPr="00DA0C94">
        <w:rPr>
          <w:lang w:val="en-GB"/>
        </w:rPr>
        <w:t xml:space="preserve"> </w:t>
      </w:r>
      <w:r w:rsidRPr="00DA0C94">
        <w:rPr>
          <w:lang w:val="en-GB"/>
        </w:rPr>
        <w:t xml:space="preserve">increase the likelihood of solving these issues and create a multiplier effect for a greater lasting impact. However, </w:t>
      </w:r>
      <w:r w:rsidR="006D1175">
        <w:rPr>
          <w:lang w:val="en-GB"/>
        </w:rPr>
        <w:t xml:space="preserve">a </w:t>
      </w:r>
      <w:r w:rsidRPr="00DA0C94">
        <w:rPr>
          <w:lang w:val="en-GB"/>
        </w:rPr>
        <w:t xml:space="preserve">shift in </w:t>
      </w:r>
      <w:r w:rsidR="006D1175">
        <w:rPr>
          <w:lang w:val="en-GB"/>
        </w:rPr>
        <w:t xml:space="preserve">the </w:t>
      </w:r>
      <w:r w:rsidRPr="00DA0C94">
        <w:rPr>
          <w:lang w:val="en-GB"/>
        </w:rPr>
        <w:t xml:space="preserve">CSR approach </w:t>
      </w:r>
      <w:r w:rsidR="004A123D">
        <w:rPr>
          <w:lang w:val="en-GB"/>
        </w:rPr>
        <w:t>might encounter</w:t>
      </w:r>
      <w:r w:rsidRPr="00DA0C94">
        <w:rPr>
          <w:lang w:val="en-GB"/>
        </w:rPr>
        <w:t xml:space="preserve"> resistance</w:t>
      </w:r>
      <w:r w:rsidR="006D1175">
        <w:rPr>
          <w:lang w:val="en-GB"/>
        </w:rPr>
        <w:t>,</w:t>
      </w:r>
      <w:r w:rsidRPr="00DA0C94">
        <w:rPr>
          <w:lang w:val="en-GB"/>
        </w:rPr>
        <w:t xml:space="preserve"> due to the </w:t>
      </w:r>
      <w:r w:rsidR="00A86257">
        <w:rPr>
          <w:lang w:val="en-GB"/>
        </w:rPr>
        <w:t>required increase</w:t>
      </w:r>
      <w:r w:rsidR="00A86257" w:rsidRPr="00DA0C94">
        <w:rPr>
          <w:lang w:val="en-GB"/>
        </w:rPr>
        <w:t xml:space="preserve"> </w:t>
      </w:r>
      <w:r w:rsidRPr="00DA0C94">
        <w:rPr>
          <w:lang w:val="en-GB"/>
        </w:rPr>
        <w:t xml:space="preserve">in efforts and budget. To this end, a clear communication between the company and the stakeholders </w:t>
      </w:r>
      <w:r w:rsidR="00A86257">
        <w:rPr>
          <w:lang w:val="en-GB"/>
        </w:rPr>
        <w:t>wa</w:t>
      </w:r>
      <w:r w:rsidR="00A86257" w:rsidRPr="00DA0C94">
        <w:rPr>
          <w:lang w:val="en-GB"/>
        </w:rPr>
        <w:t xml:space="preserve">s </w:t>
      </w:r>
      <w:r w:rsidRPr="00DA0C94">
        <w:rPr>
          <w:lang w:val="en-GB"/>
        </w:rPr>
        <w:t>especially important for all parties to have a common consensus on CSR efforts.</w:t>
      </w:r>
    </w:p>
    <w:p w14:paraId="5AEB1BD4" w14:textId="77777777" w:rsidR="00B57B82" w:rsidRPr="00DA0C94" w:rsidRDefault="00B57B82" w:rsidP="00B57B82">
      <w:pPr>
        <w:pStyle w:val="BodyTextMain"/>
        <w:rPr>
          <w:sz w:val="20"/>
          <w:lang w:val="en-GB"/>
        </w:rPr>
      </w:pPr>
    </w:p>
    <w:p w14:paraId="340C4FF4" w14:textId="77777777" w:rsidR="00B57B82" w:rsidRPr="00DA0C94" w:rsidRDefault="00B57B82" w:rsidP="00B57B82">
      <w:pPr>
        <w:pStyle w:val="BodyTextMain"/>
        <w:rPr>
          <w:sz w:val="20"/>
          <w:lang w:val="en-GB"/>
        </w:rPr>
      </w:pPr>
    </w:p>
    <w:p w14:paraId="6A4B8600" w14:textId="77777777" w:rsidR="00B57B82" w:rsidRPr="00DA0C94" w:rsidRDefault="00B57B82" w:rsidP="00BA7B97">
      <w:pPr>
        <w:pStyle w:val="Casehead1"/>
        <w:keepNext/>
        <w:rPr>
          <w:lang w:val="en-GB"/>
        </w:rPr>
      </w:pPr>
      <w:r w:rsidRPr="00DA0C94">
        <w:rPr>
          <w:lang w:val="en-GB"/>
        </w:rPr>
        <w:t>SUSTAINABILITY AFTER THE TRANSITION</w:t>
      </w:r>
    </w:p>
    <w:p w14:paraId="6E60970C" w14:textId="77777777" w:rsidR="00B57B82" w:rsidRPr="00DA0C94" w:rsidRDefault="00B57B82" w:rsidP="00BA7B97">
      <w:pPr>
        <w:pStyle w:val="BodyTextMain"/>
        <w:keepNext/>
        <w:rPr>
          <w:sz w:val="20"/>
          <w:lang w:val="en-GB"/>
        </w:rPr>
      </w:pPr>
    </w:p>
    <w:p w14:paraId="0A8F9A87" w14:textId="575E751A" w:rsidR="00B57B82" w:rsidRPr="00DA0C94" w:rsidRDefault="00B57B82" w:rsidP="00BA7B97">
      <w:pPr>
        <w:pStyle w:val="BodyTextMain"/>
        <w:keepNext/>
        <w:rPr>
          <w:spacing w:val="-2"/>
          <w:lang w:val="en-GB"/>
        </w:rPr>
      </w:pPr>
      <w:r w:rsidRPr="00DA0C94">
        <w:rPr>
          <w:spacing w:val="-2"/>
          <w:lang w:val="en-GB"/>
        </w:rPr>
        <w:t xml:space="preserve">Even if the proposal </w:t>
      </w:r>
      <w:r w:rsidR="008A0074">
        <w:rPr>
          <w:spacing w:val="-2"/>
          <w:lang w:val="en-GB"/>
        </w:rPr>
        <w:t>were</w:t>
      </w:r>
      <w:r w:rsidR="008A0074" w:rsidRPr="00DA0C94">
        <w:rPr>
          <w:spacing w:val="-2"/>
          <w:lang w:val="en-GB"/>
        </w:rPr>
        <w:t xml:space="preserve"> </w:t>
      </w:r>
      <w:r w:rsidRPr="00DA0C94">
        <w:rPr>
          <w:spacing w:val="-2"/>
          <w:lang w:val="en-GB"/>
        </w:rPr>
        <w:t xml:space="preserve">adopted, </w:t>
      </w:r>
      <w:r w:rsidR="00A86257">
        <w:rPr>
          <w:spacing w:val="-2"/>
          <w:lang w:val="en-GB"/>
        </w:rPr>
        <w:t xml:space="preserve">the </w:t>
      </w:r>
      <w:r w:rsidRPr="00DA0C94">
        <w:rPr>
          <w:spacing w:val="-2"/>
          <w:lang w:val="en-GB"/>
        </w:rPr>
        <w:t>sustainability of the transformation</w:t>
      </w:r>
      <w:r w:rsidR="00A86257">
        <w:rPr>
          <w:spacing w:val="-2"/>
          <w:lang w:val="en-GB"/>
        </w:rPr>
        <w:t xml:space="preserve"> </w:t>
      </w:r>
      <w:r w:rsidR="004A123D">
        <w:rPr>
          <w:spacing w:val="-2"/>
          <w:lang w:val="en-GB"/>
        </w:rPr>
        <w:t>was not guaranteed</w:t>
      </w:r>
      <w:r w:rsidRPr="00DA0C94">
        <w:rPr>
          <w:spacing w:val="-2"/>
          <w:lang w:val="en-GB"/>
        </w:rPr>
        <w:t xml:space="preserve">. It was vital for the new culture and methodology to be part of the company identity and </w:t>
      </w:r>
      <w:r w:rsidR="00A86257">
        <w:rPr>
          <w:spacing w:val="-2"/>
          <w:lang w:val="en-GB"/>
        </w:rPr>
        <w:t>character</w:t>
      </w:r>
      <w:r w:rsidRPr="00DA0C94">
        <w:rPr>
          <w:spacing w:val="-2"/>
          <w:lang w:val="en-GB"/>
        </w:rPr>
        <w:t xml:space="preserve">. </w:t>
      </w:r>
    </w:p>
    <w:p w14:paraId="4227E790" w14:textId="77777777" w:rsidR="00B57B82" w:rsidRPr="00DA0C94" w:rsidRDefault="00B57B82" w:rsidP="00B57B82">
      <w:pPr>
        <w:pStyle w:val="BodyTextMain"/>
        <w:rPr>
          <w:sz w:val="20"/>
          <w:lang w:val="en-GB"/>
        </w:rPr>
      </w:pPr>
    </w:p>
    <w:p w14:paraId="0FEB53D6" w14:textId="1B85D7B1" w:rsidR="00B57B82" w:rsidRPr="00DA0C94" w:rsidRDefault="00B57B82" w:rsidP="00B57B82">
      <w:pPr>
        <w:pStyle w:val="BodyTextMain"/>
        <w:rPr>
          <w:lang w:val="en-GB"/>
        </w:rPr>
      </w:pPr>
      <w:r w:rsidRPr="00DA0C94">
        <w:rPr>
          <w:lang w:val="en-GB"/>
        </w:rPr>
        <w:t xml:space="preserve">Culture </w:t>
      </w:r>
      <w:r w:rsidR="00A86257">
        <w:rPr>
          <w:lang w:val="en-GB"/>
        </w:rPr>
        <w:t>wa</w:t>
      </w:r>
      <w:r w:rsidR="00A86257" w:rsidRPr="00DA0C94">
        <w:rPr>
          <w:lang w:val="en-GB"/>
        </w:rPr>
        <w:t xml:space="preserve">s </w:t>
      </w:r>
      <w:r w:rsidRPr="00DA0C94">
        <w:rPr>
          <w:lang w:val="en-GB"/>
        </w:rPr>
        <w:t xml:space="preserve">essential to avoid a conflict of values. A strategy’s effectiveness </w:t>
      </w:r>
      <w:r w:rsidR="00A86257" w:rsidRPr="00DA0C94">
        <w:rPr>
          <w:lang w:val="en-GB"/>
        </w:rPr>
        <w:t>depend</w:t>
      </w:r>
      <w:r w:rsidR="00A86257">
        <w:rPr>
          <w:lang w:val="en-GB"/>
        </w:rPr>
        <w:t>ed</w:t>
      </w:r>
      <w:r w:rsidR="00A86257" w:rsidRPr="00DA0C94">
        <w:rPr>
          <w:lang w:val="en-GB"/>
        </w:rPr>
        <w:t xml:space="preserve"> </w:t>
      </w:r>
      <w:r w:rsidRPr="00DA0C94">
        <w:rPr>
          <w:lang w:val="en-GB"/>
        </w:rPr>
        <w:t xml:space="preserve">on cultural alignment, which </w:t>
      </w:r>
      <w:r w:rsidR="00A86257">
        <w:rPr>
          <w:lang w:val="en-GB"/>
        </w:rPr>
        <w:t>wa</w:t>
      </w:r>
      <w:r w:rsidR="00A86257" w:rsidRPr="00DA0C94">
        <w:rPr>
          <w:lang w:val="en-GB"/>
        </w:rPr>
        <w:t xml:space="preserve">s </w:t>
      </w:r>
      <w:r w:rsidRPr="00DA0C94">
        <w:rPr>
          <w:lang w:val="en-GB"/>
        </w:rPr>
        <w:t>a common language to embrace and execute the strategy.</w:t>
      </w:r>
      <w:r w:rsidRPr="00DA0C94">
        <w:rPr>
          <w:vertAlign w:val="superscript"/>
          <w:lang w:val="en-GB"/>
        </w:rPr>
        <w:footnoteReference w:id="13"/>
      </w:r>
      <w:r w:rsidRPr="00DA0C94">
        <w:rPr>
          <w:lang w:val="en-GB"/>
        </w:rPr>
        <w:t xml:space="preserve"> In </w:t>
      </w:r>
      <w:r w:rsidR="00A86257">
        <w:rPr>
          <w:lang w:val="en-GB"/>
        </w:rPr>
        <w:t>terms</w:t>
      </w:r>
      <w:r w:rsidRPr="00DA0C94">
        <w:rPr>
          <w:lang w:val="en-GB"/>
        </w:rPr>
        <w:t xml:space="preserve"> of </w:t>
      </w:r>
      <w:r w:rsidR="00A86257">
        <w:rPr>
          <w:lang w:val="en-GB"/>
        </w:rPr>
        <w:t>implement</w:t>
      </w:r>
      <w:r w:rsidR="00A86257" w:rsidRPr="00DA0C94">
        <w:rPr>
          <w:lang w:val="en-GB"/>
        </w:rPr>
        <w:t xml:space="preserve">ing </w:t>
      </w:r>
      <w:r w:rsidRPr="00DA0C94">
        <w:rPr>
          <w:lang w:val="en-GB"/>
        </w:rPr>
        <w:t xml:space="preserve">a new approach for CSR, internal resistance </w:t>
      </w:r>
      <w:r w:rsidR="00A86257" w:rsidRPr="00DA0C94">
        <w:rPr>
          <w:lang w:val="en-GB"/>
        </w:rPr>
        <w:t>c</w:t>
      </w:r>
      <w:r w:rsidR="00A86257">
        <w:rPr>
          <w:lang w:val="en-GB"/>
        </w:rPr>
        <w:t>ould</w:t>
      </w:r>
      <w:r w:rsidR="00A86257" w:rsidRPr="00DA0C94">
        <w:rPr>
          <w:lang w:val="en-GB"/>
        </w:rPr>
        <w:t xml:space="preserve"> </w:t>
      </w:r>
      <w:r w:rsidRPr="00DA0C94">
        <w:rPr>
          <w:lang w:val="en-GB"/>
        </w:rPr>
        <w:t xml:space="preserve">exist if the value of doing </w:t>
      </w:r>
      <w:proofErr w:type="gramStart"/>
      <w:r w:rsidRPr="00DA0C94">
        <w:rPr>
          <w:lang w:val="en-GB"/>
        </w:rPr>
        <w:t>good</w:t>
      </w:r>
      <w:proofErr w:type="gramEnd"/>
      <w:r w:rsidRPr="00DA0C94">
        <w:rPr>
          <w:lang w:val="en-GB"/>
        </w:rPr>
        <w:t xml:space="preserve"> </w:t>
      </w:r>
      <w:r w:rsidR="00A86257">
        <w:rPr>
          <w:lang w:val="en-GB"/>
        </w:rPr>
        <w:t>wa</w:t>
      </w:r>
      <w:r w:rsidR="00A86257" w:rsidRPr="00DA0C94">
        <w:rPr>
          <w:lang w:val="en-GB"/>
        </w:rPr>
        <w:t xml:space="preserve">s </w:t>
      </w:r>
      <w:r w:rsidRPr="00DA0C94">
        <w:rPr>
          <w:lang w:val="en-GB"/>
        </w:rPr>
        <w:t xml:space="preserve">not apparent. The key, therefore, </w:t>
      </w:r>
      <w:r w:rsidR="00A86257">
        <w:rPr>
          <w:lang w:val="en-GB"/>
        </w:rPr>
        <w:t>wa</w:t>
      </w:r>
      <w:r w:rsidR="00A86257" w:rsidRPr="00DA0C94">
        <w:rPr>
          <w:lang w:val="en-GB"/>
        </w:rPr>
        <w:t xml:space="preserve">s </w:t>
      </w:r>
      <w:r w:rsidR="00B70E8E">
        <w:rPr>
          <w:lang w:val="en-GB"/>
        </w:rPr>
        <w:t xml:space="preserve">in </w:t>
      </w:r>
      <w:r w:rsidR="00A86257">
        <w:rPr>
          <w:lang w:val="en-GB"/>
        </w:rPr>
        <w:t>consistency and</w:t>
      </w:r>
      <w:r w:rsidR="00A86257" w:rsidRPr="00DA0C94">
        <w:rPr>
          <w:lang w:val="en-GB"/>
        </w:rPr>
        <w:t xml:space="preserve"> creat</w:t>
      </w:r>
      <w:r w:rsidR="00A86257">
        <w:rPr>
          <w:lang w:val="en-GB"/>
        </w:rPr>
        <w:t>ing</w:t>
      </w:r>
      <w:r w:rsidR="00A86257" w:rsidRPr="00DA0C94">
        <w:rPr>
          <w:lang w:val="en-GB"/>
        </w:rPr>
        <w:t xml:space="preserve"> </w:t>
      </w:r>
      <w:r w:rsidRPr="00DA0C94">
        <w:rPr>
          <w:lang w:val="en-GB"/>
        </w:rPr>
        <w:t xml:space="preserve">shared values that </w:t>
      </w:r>
      <w:r w:rsidR="00A86257">
        <w:rPr>
          <w:lang w:val="en-GB"/>
        </w:rPr>
        <w:t>we</w:t>
      </w:r>
      <w:r w:rsidR="00A86257" w:rsidRPr="00DA0C94">
        <w:rPr>
          <w:lang w:val="en-GB"/>
        </w:rPr>
        <w:t xml:space="preserve">re </w:t>
      </w:r>
      <w:r w:rsidRPr="00DA0C94">
        <w:rPr>
          <w:lang w:val="en-GB"/>
        </w:rPr>
        <w:t>clearly visible to all. In other words, the mirroring of the value system</w:t>
      </w:r>
      <w:r w:rsidR="00A86257">
        <w:rPr>
          <w:lang w:val="en-GB"/>
        </w:rPr>
        <w:t>, both</w:t>
      </w:r>
      <w:r w:rsidRPr="00DA0C94">
        <w:rPr>
          <w:lang w:val="en-GB"/>
        </w:rPr>
        <w:t xml:space="preserve"> internally and to the public</w:t>
      </w:r>
      <w:r w:rsidR="00A86257">
        <w:rPr>
          <w:lang w:val="en-GB"/>
        </w:rPr>
        <w:t>,</w:t>
      </w:r>
      <w:r w:rsidRPr="00DA0C94">
        <w:rPr>
          <w:lang w:val="en-GB"/>
        </w:rPr>
        <w:t xml:space="preserve"> </w:t>
      </w:r>
      <w:r w:rsidR="00A86257">
        <w:rPr>
          <w:lang w:val="en-GB"/>
        </w:rPr>
        <w:t>wa</w:t>
      </w:r>
      <w:r w:rsidR="00A86257" w:rsidRPr="00DA0C94">
        <w:rPr>
          <w:lang w:val="en-GB"/>
        </w:rPr>
        <w:t xml:space="preserve">s </w:t>
      </w:r>
      <w:r w:rsidRPr="00DA0C94">
        <w:rPr>
          <w:lang w:val="en-GB"/>
        </w:rPr>
        <w:t xml:space="preserve">equally important in all aspects of </w:t>
      </w:r>
      <w:r w:rsidR="004875E0">
        <w:rPr>
          <w:lang w:val="en-GB"/>
        </w:rPr>
        <w:t>SingTel</w:t>
      </w:r>
      <w:r w:rsidRPr="00DA0C94">
        <w:rPr>
          <w:lang w:val="en-GB"/>
        </w:rPr>
        <w:t>’s values.</w:t>
      </w:r>
      <w:r w:rsidRPr="00DA0C94">
        <w:rPr>
          <w:vertAlign w:val="superscript"/>
          <w:lang w:val="en-GB"/>
        </w:rPr>
        <w:footnoteReference w:id="14"/>
      </w:r>
      <w:r w:rsidRPr="00DA0C94">
        <w:rPr>
          <w:lang w:val="en-GB"/>
        </w:rPr>
        <w:t xml:space="preserve"> </w:t>
      </w:r>
    </w:p>
    <w:p w14:paraId="51FBE805" w14:textId="77777777" w:rsidR="00B57B82" w:rsidRPr="00DA0C94" w:rsidRDefault="00B57B82" w:rsidP="00B57B82">
      <w:pPr>
        <w:pStyle w:val="BodyTextMain"/>
        <w:rPr>
          <w:sz w:val="20"/>
          <w:lang w:val="en-GB"/>
        </w:rPr>
      </w:pPr>
    </w:p>
    <w:p w14:paraId="4800F942" w14:textId="07C3BA22" w:rsidR="00B57B82" w:rsidRPr="00C10812" w:rsidRDefault="00B57B82" w:rsidP="00B57B82">
      <w:pPr>
        <w:pStyle w:val="BodyTextMain"/>
        <w:rPr>
          <w:lang w:val="en-GB"/>
        </w:rPr>
      </w:pPr>
      <w:r w:rsidRPr="00C10812">
        <w:rPr>
          <w:lang w:val="en-GB"/>
        </w:rPr>
        <w:t xml:space="preserve">Reforming people and culture </w:t>
      </w:r>
      <w:r w:rsidR="00FA2261" w:rsidRPr="00C10812">
        <w:rPr>
          <w:lang w:val="en-GB"/>
        </w:rPr>
        <w:t xml:space="preserve">was </w:t>
      </w:r>
      <w:r w:rsidRPr="00C10812">
        <w:rPr>
          <w:lang w:val="en-GB"/>
        </w:rPr>
        <w:t xml:space="preserve">a gruelling task </w:t>
      </w:r>
      <w:r w:rsidR="00FA2261" w:rsidRPr="00C10812">
        <w:rPr>
          <w:lang w:val="en-GB"/>
        </w:rPr>
        <w:t xml:space="preserve">that required </w:t>
      </w:r>
      <w:r w:rsidRPr="00C10812">
        <w:rPr>
          <w:lang w:val="en-GB"/>
        </w:rPr>
        <w:t xml:space="preserve">years of effort </w:t>
      </w:r>
      <w:r w:rsidR="00FA2261" w:rsidRPr="00C10812">
        <w:rPr>
          <w:lang w:val="en-GB"/>
        </w:rPr>
        <w:t xml:space="preserve">to result in </w:t>
      </w:r>
      <w:r w:rsidRPr="00C10812">
        <w:rPr>
          <w:lang w:val="en-GB"/>
        </w:rPr>
        <w:t>recognition, alignment</w:t>
      </w:r>
      <w:r w:rsidR="00FA2261" w:rsidRPr="00C10812">
        <w:rPr>
          <w:lang w:val="en-GB"/>
        </w:rPr>
        <w:t>,</w:t>
      </w:r>
      <w:r w:rsidRPr="00C10812">
        <w:rPr>
          <w:lang w:val="en-GB"/>
        </w:rPr>
        <w:t xml:space="preserve"> and finally commitment. Staff and business engagement </w:t>
      </w:r>
      <w:r w:rsidR="00FA2261" w:rsidRPr="00C10812">
        <w:rPr>
          <w:lang w:val="en-GB"/>
        </w:rPr>
        <w:t xml:space="preserve">was </w:t>
      </w:r>
      <w:r w:rsidRPr="00C10812">
        <w:rPr>
          <w:lang w:val="en-GB"/>
        </w:rPr>
        <w:t>also a “movement up a pyramid” of deeper engagement and involvement, also referred to as an “upward graduation</w:t>
      </w:r>
      <w:r w:rsidR="00FA2261" w:rsidRPr="00C10812">
        <w:rPr>
          <w:lang w:val="en-GB"/>
        </w:rPr>
        <w:t>.</w:t>
      </w:r>
      <w:r w:rsidRPr="00C10812">
        <w:rPr>
          <w:lang w:val="en-GB"/>
        </w:rPr>
        <w:t>”</w:t>
      </w:r>
      <w:r w:rsidRPr="00C10812">
        <w:rPr>
          <w:vertAlign w:val="superscript"/>
          <w:lang w:val="en-GB"/>
        </w:rPr>
        <w:footnoteReference w:id="15"/>
      </w:r>
      <w:r w:rsidRPr="00C10812">
        <w:rPr>
          <w:lang w:val="en-GB"/>
        </w:rPr>
        <w:t xml:space="preserve"> The rationale </w:t>
      </w:r>
      <w:r w:rsidR="006B2549" w:rsidRPr="00C10812">
        <w:rPr>
          <w:lang w:val="en-GB"/>
        </w:rPr>
        <w:t xml:space="preserve">was </w:t>
      </w:r>
      <w:r w:rsidRPr="00C10812">
        <w:rPr>
          <w:lang w:val="en-GB"/>
        </w:rPr>
        <w:t xml:space="preserve">to have more people involved in the philanthropic stage, allowing them to see the values and contributions and making them want to do more. The company then </w:t>
      </w:r>
      <w:r w:rsidR="006B2549" w:rsidRPr="00C10812">
        <w:rPr>
          <w:lang w:val="en-GB"/>
        </w:rPr>
        <w:t xml:space="preserve">needed to </w:t>
      </w:r>
      <w:r w:rsidRPr="00C10812">
        <w:rPr>
          <w:lang w:val="en-GB"/>
        </w:rPr>
        <w:t>offer opportunities for the staff to progressively be more involved with a higher value-add, whether through skill</w:t>
      </w:r>
      <w:r w:rsidR="006B2549" w:rsidRPr="00C10812">
        <w:rPr>
          <w:lang w:val="en-GB"/>
        </w:rPr>
        <w:t>-</w:t>
      </w:r>
      <w:r w:rsidRPr="00C10812">
        <w:rPr>
          <w:lang w:val="en-GB"/>
        </w:rPr>
        <w:t xml:space="preserve">based volunteering or leveraging the business capability. At the end of the day, </w:t>
      </w:r>
      <w:r w:rsidR="00AB17D9" w:rsidRPr="00C10812">
        <w:rPr>
          <w:lang w:val="en-GB"/>
        </w:rPr>
        <w:t xml:space="preserve">the company </w:t>
      </w:r>
      <w:r w:rsidR="008A0074" w:rsidRPr="00C10812">
        <w:rPr>
          <w:lang w:val="en-GB"/>
        </w:rPr>
        <w:t xml:space="preserve">would </w:t>
      </w:r>
      <w:r w:rsidRPr="00C10812">
        <w:rPr>
          <w:lang w:val="en-GB"/>
        </w:rPr>
        <w:t xml:space="preserve">be </w:t>
      </w:r>
      <w:r w:rsidR="00AB17D9" w:rsidRPr="00C10812">
        <w:rPr>
          <w:lang w:val="en-GB"/>
        </w:rPr>
        <w:t xml:space="preserve">its </w:t>
      </w:r>
      <w:r w:rsidRPr="00C10812">
        <w:rPr>
          <w:lang w:val="en-GB"/>
        </w:rPr>
        <w:t xml:space="preserve">own champion for passion and advocacy. This </w:t>
      </w:r>
      <w:r w:rsidR="006B2549" w:rsidRPr="00C10812">
        <w:rPr>
          <w:lang w:val="en-GB"/>
        </w:rPr>
        <w:t xml:space="preserve">approach would </w:t>
      </w:r>
      <w:r w:rsidRPr="00C10812">
        <w:rPr>
          <w:lang w:val="en-GB"/>
        </w:rPr>
        <w:t xml:space="preserve">align the employees to the company’s CSR values to ensure the sustainability of its CSR efforts. </w:t>
      </w:r>
    </w:p>
    <w:p w14:paraId="686732F7" w14:textId="77777777" w:rsidR="00B57B82" w:rsidRPr="00C10812" w:rsidRDefault="00B57B82" w:rsidP="00671D8A">
      <w:pPr>
        <w:pStyle w:val="BodyTextMain"/>
        <w:rPr>
          <w:sz w:val="20"/>
          <w:lang w:val="en-GB"/>
        </w:rPr>
      </w:pPr>
    </w:p>
    <w:p w14:paraId="5A1B0D56" w14:textId="607E2BFC" w:rsidR="00B57B82" w:rsidRPr="00DA0C94" w:rsidRDefault="00B57B82" w:rsidP="00B57B82">
      <w:pPr>
        <w:pStyle w:val="BodyTextMain"/>
        <w:rPr>
          <w:lang w:val="en-GB"/>
        </w:rPr>
      </w:pPr>
      <w:r w:rsidRPr="00DA0C94">
        <w:rPr>
          <w:lang w:val="en-GB"/>
        </w:rPr>
        <w:t xml:space="preserve">The process of the reform </w:t>
      </w:r>
      <w:r w:rsidR="008A0074" w:rsidRPr="00DA0C94">
        <w:rPr>
          <w:lang w:val="en-GB"/>
        </w:rPr>
        <w:t>nurture</w:t>
      </w:r>
      <w:r w:rsidR="008A0074">
        <w:rPr>
          <w:lang w:val="en-GB"/>
        </w:rPr>
        <w:t>d</w:t>
      </w:r>
      <w:r w:rsidR="008A0074" w:rsidRPr="00DA0C94">
        <w:rPr>
          <w:lang w:val="en-GB"/>
        </w:rPr>
        <w:t xml:space="preserve"> </w:t>
      </w:r>
      <w:r w:rsidRPr="00DA0C94">
        <w:rPr>
          <w:lang w:val="en-GB"/>
        </w:rPr>
        <w:t xml:space="preserve">pride and cohesion among employees, which </w:t>
      </w:r>
      <w:r w:rsidR="008A0074" w:rsidRPr="00DA0C94">
        <w:rPr>
          <w:lang w:val="en-GB"/>
        </w:rPr>
        <w:t>m</w:t>
      </w:r>
      <w:r w:rsidR="008A0074">
        <w:rPr>
          <w:lang w:val="en-GB"/>
        </w:rPr>
        <w:t>ight</w:t>
      </w:r>
      <w:r w:rsidR="008A0074" w:rsidRPr="00DA0C94">
        <w:rPr>
          <w:lang w:val="en-GB"/>
        </w:rPr>
        <w:t xml:space="preserve"> </w:t>
      </w:r>
      <w:r w:rsidRPr="00DA0C94">
        <w:rPr>
          <w:lang w:val="en-GB"/>
        </w:rPr>
        <w:t>result in higher productivity and better performance. Employees who view</w:t>
      </w:r>
      <w:r w:rsidR="008A0074">
        <w:rPr>
          <w:lang w:val="en-GB"/>
        </w:rPr>
        <w:t>ed</w:t>
      </w:r>
      <w:r w:rsidRPr="00DA0C94">
        <w:rPr>
          <w:lang w:val="en-GB"/>
        </w:rPr>
        <w:t xml:space="preserve"> the company’s CSR efforts </w:t>
      </w:r>
      <w:r w:rsidR="008A0074">
        <w:rPr>
          <w:lang w:val="en-GB"/>
        </w:rPr>
        <w:t xml:space="preserve">positively </w:t>
      </w:r>
      <w:r w:rsidRPr="00DA0C94">
        <w:rPr>
          <w:lang w:val="en-GB"/>
        </w:rPr>
        <w:t xml:space="preserve">would have greater pride, </w:t>
      </w:r>
      <w:r w:rsidR="008A0074">
        <w:rPr>
          <w:lang w:val="en-GB"/>
        </w:rPr>
        <w:t xml:space="preserve">higher </w:t>
      </w:r>
      <w:r w:rsidRPr="00DA0C94">
        <w:rPr>
          <w:lang w:val="en-GB"/>
        </w:rPr>
        <w:t>overall satisfaction</w:t>
      </w:r>
      <w:r w:rsidR="006B2549">
        <w:rPr>
          <w:lang w:val="en-GB"/>
        </w:rPr>
        <w:t>,</w:t>
      </w:r>
      <w:r w:rsidRPr="00DA0C94">
        <w:rPr>
          <w:lang w:val="en-GB"/>
        </w:rPr>
        <w:t xml:space="preserve"> and better performance.</w:t>
      </w:r>
      <w:r w:rsidRPr="00DA0C94">
        <w:rPr>
          <w:vertAlign w:val="superscript"/>
          <w:lang w:val="en-GB"/>
        </w:rPr>
        <w:footnoteReference w:id="16"/>
      </w:r>
      <w:r w:rsidRPr="00DA0C94">
        <w:rPr>
          <w:lang w:val="en-GB"/>
        </w:rPr>
        <w:t xml:space="preserve"> Therefore, having a CSR strategy that </w:t>
      </w:r>
      <w:r w:rsidR="008A0074">
        <w:rPr>
          <w:lang w:val="en-GB"/>
        </w:rPr>
        <w:t>was</w:t>
      </w:r>
      <w:r w:rsidR="008A0074" w:rsidRPr="00DA0C94">
        <w:rPr>
          <w:lang w:val="en-GB"/>
        </w:rPr>
        <w:t xml:space="preserve"> </w:t>
      </w:r>
      <w:r w:rsidRPr="00DA0C94">
        <w:rPr>
          <w:lang w:val="en-GB"/>
        </w:rPr>
        <w:t xml:space="preserve">close to the hearts of employees </w:t>
      </w:r>
      <w:r w:rsidR="008A0074" w:rsidRPr="00DA0C94">
        <w:rPr>
          <w:lang w:val="en-GB"/>
        </w:rPr>
        <w:t>w</w:t>
      </w:r>
      <w:r w:rsidR="008A0074">
        <w:rPr>
          <w:lang w:val="en-GB"/>
        </w:rPr>
        <w:t>ould</w:t>
      </w:r>
      <w:r w:rsidR="008A0074" w:rsidRPr="00DA0C94">
        <w:rPr>
          <w:lang w:val="en-GB"/>
        </w:rPr>
        <w:t xml:space="preserve"> </w:t>
      </w:r>
      <w:r w:rsidRPr="00DA0C94">
        <w:rPr>
          <w:lang w:val="en-GB"/>
        </w:rPr>
        <w:t>encourage their participation and have a constructive impact on their engagement and motivation</w:t>
      </w:r>
      <w:r w:rsidR="006B2549">
        <w:rPr>
          <w:lang w:val="en-GB"/>
        </w:rPr>
        <w:t>,</w:t>
      </w:r>
      <w:r w:rsidRPr="00DA0C94">
        <w:rPr>
          <w:lang w:val="en-GB"/>
        </w:rPr>
        <w:t xml:space="preserve"> which </w:t>
      </w:r>
      <w:r w:rsidR="008A0074" w:rsidRPr="00DA0C94">
        <w:rPr>
          <w:lang w:val="en-GB"/>
        </w:rPr>
        <w:t>c</w:t>
      </w:r>
      <w:r w:rsidR="008A0074">
        <w:rPr>
          <w:lang w:val="en-GB"/>
        </w:rPr>
        <w:t>ould</w:t>
      </w:r>
      <w:r w:rsidR="008A0074" w:rsidRPr="00DA0C94">
        <w:rPr>
          <w:lang w:val="en-GB"/>
        </w:rPr>
        <w:t xml:space="preserve"> </w:t>
      </w:r>
      <w:r w:rsidRPr="00DA0C94">
        <w:rPr>
          <w:lang w:val="en-GB"/>
        </w:rPr>
        <w:t>possibly translate to higher productivity.</w:t>
      </w:r>
    </w:p>
    <w:p w14:paraId="5ADB93C0" w14:textId="77777777" w:rsidR="00B57B82" w:rsidRPr="00DA0C94" w:rsidRDefault="00B57B82" w:rsidP="00B57B82">
      <w:pPr>
        <w:pStyle w:val="BodyTextMain"/>
        <w:rPr>
          <w:sz w:val="20"/>
          <w:lang w:val="en-GB"/>
        </w:rPr>
      </w:pPr>
    </w:p>
    <w:p w14:paraId="34C02217" w14:textId="64949EF5" w:rsidR="00B57B82" w:rsidRPr="00DA0C94" w:rsidRDefault="006B2549" w:rsidP="00B57B82">
      <w:pPr>
        <w:pStyle w:val="BodyTextMain"/>
        <w:rPr>
          <w:lang w:val="en-GB"/>
        </w:rPr>
      </w:pPr>
      <w:r>
        <w:rPr>
          <w:lang w:val="en-GB"/>
        </w:rPr>
        <w:t>The company might</w:t>
      </w:r>
      <w:r w:rsidRPr="00DA0C94">
        <w:rPr>
          <w:lang w:val="en-GB"/>
        </w:rPr>
        <w:t xml:space="preserve"> </w:t>
      </w:r>
      <w:r w:rsidR="00B57B82" w:rsidRPr="00DA0C94">
        <w:rPr>
          <w:lang w:val="en-GB"/>
        </w:rPr>
        <w:t xml:space="preserve">also </w:t>
      </w:r>
      <w:r>
        <w:rPr>
          <w:lang w:val="en-GB"/>
        </w:rPr>
        <w:t>see a</w:t>
      </w:r>
      <w:r w:rsidRPr="00DA0C94">
        <w:rPr>
          <w:lang w:val="en-GB"/>
        </w:rPr>
        <w:t xml:space="preserve"> </w:t>
      </w:r>
      <w:r w:rsidR="00B57B82" w:rsidRPr="00DA0C94">
        <w:rPr>
          <w:lang w:val="en-GB"/>
        </w:rPr>
        <w:t>reduction in costs</w:t>
      </w:r>
      <w:r>
        <w:rPr>
          <w:lang w:val="en-GB"/>
        </w:rPr>
        <w:t>,</w:t>
      </w:r>
      <w:r w:rsidR="00B57B82" w:rsidRPr="00DA0C94">
        <w:rPr>
          <w:lang w:val="en-GB"/>
        </w:rPr>
        <w:t xml:space="preserve"> due to employees’ commitment to CSR efforts. Employees who value</w:t>
      </w:r>
      <w:r w:rsidR="008A0074">
        <w:rPr>
          <w:lang w:val="en-GB"/>
        </w:rPr>
        <w:t>d</w:t>
      </w:r>
      <w:r w:rsidR="00B57B82" w:rsidRPr="00DA0C94">
        <w:rPr>
          <w:lang w:val="en-GB"/>
        </w:rPr>
        <w:t xml:space="preserve"> such contributions </w:t>
      </w:r>
      <w:r w:rsidRPr="00DA0C94">
        <w:rPr>
          <w:lang w:val="en-GB"/>
        </w:rPr>
        <w:t>m</w:t>
      </w:r>
      <w:r>
        <w:rPr>
          <w:lang w:val="en-GB"/>
        </w:rPr>
        <w:t>ight</w:t>
      </w:r>
      <w:r w:rsidRPr="00DA0C94">
        <w:rPr>
          <w:lang w:val="en-GB"/>
        </w:rPr>
        <w:t xml:space="preserve"> </w:t>
      </w:r>
      <w:r w:rsidR="00B57B82" w:rsidRPr="00DA0C94">
        <w:rPr>
          <w:lang w:val="en-GB"/>
        </w:rPr>
        <w:t>accept lower direct wages.</w:t>
      </w:r>
      <w:r w:rsidR="00B57B82" w:rsidRPr="00DA0C94">
        <w:rPr>
          <w:vertAlign w:val="superscript"/>
          <w:lang w:val="en-GB"/>
        </w:rPr>
        <w:footnoteReference w:id="17"/>
      </w:r>
      <w:r w:rsidR="00B57B82" w:rsidRPr="00DA0C94">
        <w:rPr>
          <w:lang w:val="en-GB"/>
        </w:rPr>
        <w:t xml:space="preserve"> </w:t>
      </w:r>
      <w:r>
        <w:rPr>
          <w:lang w:val="en-GB"/>
        </w:rPr>
        <w:t>Regardless</w:t>
      </w:r>
      <w:r w:rsidR="00B57B82" w:rsidRPr="00DA0C94">
        <w:rPr>
          <w:lang w:val="en-GB"/>
        </w:rPr>
        <w:t xml:space="preserve">, implementing a strategic CSR would require not just greater commitment but also a </w:t>
      </w:r>
      <w:r w:rsidR="009600A6">
        <w:rPr>
          <w:lang w:val="en-GB"/>
        </w:rPr>
        <w:t>larg</w:t>
      </w:r>
      <w:r w:rsidR="009600A6" w:rsidRPr="00DA0C94">
        <w:rPr>
          <w:lang w:val="en-GB"/>
        </w:rPr>
        <w:t xml:space="preserve">er </w:t>
      </w:r>
      <w:r w:rsidR="00B57B82" w:rsidRPr="00DA0C94">
        <w:rPr>
          <w:lang w:val="en-GB"/>
        </w:rPr>
        <w:t>budget</w:t>
      </w:r>
      <w:r>
        <w:rPr>
          <w:lang w:val="en-GB"/>
        </w:rPr>
        <w:t>,</w:t>
      </w:r>
      <w:r w:rsidR="00B57B82" w:rsidRPr="00DA0C94">
        <w:rPr>
          <w:lang w:val="en-GB"/>
        </w:rPr>
        <w:t xml:space="preserve"> as the companies </w:t>
      </w:r>
      <w:r>
        <w:rPr>
          <w:lang w:val="en-GB"/>
        </w:rPr>
        <w:t>we</w:t>
      </w:r>
      <w:r w:rsidRPr="00DA0C94">
        <w:rPr>
          <w:lang w:val="en-GB"/>
        </w:rPr>
        <w:t xml:space="preserve">re </w:t>
      </w:r>
      <w:r w:rsidR="00B57B82" w:rsidRPr="00DA0C94">
        <w:rPr>
          <w:lang w:val="en-GB"/>
        </w:rPr>
        <w:t xml:space="preserve">dealing with greater social issues. </w:t>
      </w:r>
    </w:p>
    <w:p w14:paraId="49E89110" w14:textId="77777777" w:rsidR="00B57B82" w:rsidRPr="00DA0C94" w:rsidRDefault="00B57B82" w:rsidP="00671D8A">
      <w:pPr>
        <w:pStyle w:val="BodyTextMain"/>
        <w:rPr>
          <w:sz w:val="20"/>
          <w:lang w:val="en-GB"/>
        </w:rPr>
      </w:pPr>
    </w:p>
    <w:p w14:paraId="7A12024D" w14:textId="3E63BCB3" w:rsidR="00B57B82" w:rsidRPr="00DA0C94" w:rsidRDefault="00B57B82" w:rsidP="00B57B82">
      <w:pPr>
        <w:pStyle w:val="BodyTextMain"/>
        <w:rPr>
          <w:spacing w:val="-2"/>
          <w:lang w:val="en-GB"/>
        </w:rPr>
      </w:pPr>
      <w:r w:rsidRPr="00DA0C94">
        <w:rPr>
          <w:spacing w:val="-2"/>
          <w:lang w:val="en-GB"/>
        </w:rPr>
        <w:t>New endeavours would require iterative cycles of prototyping, testing</w:t>
      </w:r>
      <w:r w:rsidR="006B2549">
        <w:rPr>
          <w:spacing w:val="-2"/>
          <w:lang w:val="en-GB"/>
        </w:rPr>
        <w:t>,</w:t>
      </w:r>
      <w:r w:rsidRPr="00DA0C94">
        <w:rPr>
          <w:spacing w:val="-2"/>
          <w:lang w:val="en-GB"/>
        </w:rPr>
        <w:t xml:space="preserve"> and refinement, and proper evaluation tools to aid in improving and </w:t>
      </w:r>
      <w:r w:rsidR="006B2549">
        <w:rPr>
          <w:spacing w:val="-2"/>
          <w:lang w:val="en-GB"/>
        </w:rPr>
        <w:t>increasing</w:t>
      </w:r>
      <w:r w:rsidR="006B2549" w:rsidRPr="00DA0C94">
        <w:rPr>
          <w:spacing w:val="-2"/>
          <w:lang w:val="en-GB"/>
        </w:rPr>
        <w:t xml:space="preserve"> </w:t>
      </w:r>
      <w:r w:rsidRPr="00DA0C94">
        <w:rPr>
          <w:spacing w:val="-2"/>
          <w:lang w:val="en-GB"/>
        </w:rPr>
        <w:t xml:space="preserve">the efforts and resources invested. </w:t>
      </w:r>
      <w:r w:rsidRPr="00DA0C94">
        <w:rPr>
          <w:color w:val="000000" w:themeColor="text1"/>
          <w:spacing w:val="-2"/>
          <w:lang w:val="en-GB"/>
        </w:rPr>
        <w:t xml:space="preserve">Hence, </w:t>
      </w:r>
      <w:proofErr w:type="spellStart"/>
      <w:r w:rsidRPr="00DA0C94">
        <w:rPr>
          <w:color w:val="000000" w:themeColor="text1"/>
          <w:spacing w:val="-2"/>
          <w:lang w:val="en-GB"/>
        </w:rPr>
        <w:t>Buay</w:t>
      </w:r>
      <w:proofErr w:type="spellEnd"/>
      <w:r w:rsidRPr="00DA0C94">
        <w:rPr>
          <w:color w:val="000000" w:themeColor="text1"/>
          <w:spacing w:val="-2"/>
          <w:lang w:val="en-GB"/>
        </w:rPr>
        <w:t xml:space="preserve"> </w:t>
      </w:r>
      <w:r w:rsidR="00556891" w:rsidRPr="00DA0C94">
        <w:rPr>
          <w:color w:val="000000" w:themeColor="text1"/>
          <w:spacing w:val="-2"/>
          <w:lang w:val="en-GB"/>
        </w:rPr>
        <w:t>emphasized</w:t>
      </w:r>
      <w:r w:rsidRPr="00DA0C94">
        <w:rPr>
          <w:color w:val="000000" w:themeColor="text1"/>
          <w:spacing w:val="-2"/>
          <w:lang w:val="en-GB"/>
        </w:rPr>
        <w:t xml:space="preserve"> that a shift to </w:t>
      </w:r>
      <w:r w:rsidR="004C1B36">
        <w:rPr>
          <w:color w:val="000000" w:themeColor="text1"/>
          <w:spacing w:val="-2"/>
          <w:lang w:val="en-GB"/>
        </w:rPr>
        <w:t xml:space="preserve">a </w:t>
      </w:r>
      <w:r w:rsidRPr="00DA0C94">
        <w:rPr>
          <w:color w:val="000000" w:themeColor="text1"/>
          <w:spacing w:val="-2"/>
          <w:lang w:val="en-GB"/>
        </w:rPr>
        <w:t xml:space="preserve">strategic </w:t>
      </w:r>
      <w:r w:rsidR="004C1B36">
        <w:rPr>
          <w:color w:val="000000" w:themeColor="text1"/>
          <w:spacing w:val="-2"/>
          <w:lang w:val="en-GB"/>
        </w:rPr>
        <w:t xml:space="preserve">approach to </w:t>
      </w:r>
      <w:r w:rsidRPr="00DA0C94">
        <w:rPr>
          <w:color w:val="000000" w:themeColor="text1"/>
          <w:spacing w:val="-2"/>
          <w:lang w:val="en-GB"/>
        </w:rPr>
        <w:t xml:space="preserve">CSR </w:t>
      </w:r>
      <w:r w:rsidR="008C623B">
        <w:rPr>
          <w:color w:val="000000" w:themeColor="text1"/>
          <w:spacing w:val="-2"/>
          <w:lang w:val="en-GB"/>
        </w:rPr>
        <w:t xml:space="preserve">approach </w:t>
      </w:r>
      <w:r w:rsidRPr="00DA0C94">
        <w:rPr>
          <w:color w:val="000000" w:themeColor="text1"/>
          <w:spacing w:val="-2"/>
          <w:lang w:val="en-GB"/>
        </w:rPr>
        <w:t xml:space="preserve">would require </w:t>
      </w:r>
      <w:r w:rsidRPr="00DA0C94">
        <w:rPr>
          <w:spacing w:val="-2"/>
          <w:lang w:val="en-GB"/>
        </w:rPr>
        <w:t>proper tracking, measurement</w:t>
      </w:r>
      <w:r w:rsidR="006B2549">
        <w:rPr>
          <w:spacing w:val="-2"/>
          <w:lang w:val="en-GB"/>
        </w:rPr>
        <w:t>,</w:t>
      </w:r>
      <w:r w:rsidRPr="00DA0C94">
        <w:rPr>
          <w:spacing w:val="-2"/>
          <w:lang w:val="en-GB"/>
        </w:rPr>
        <w:t xml:space="preserve"> and follow-up actions to improve and ensure sustainable effort. However, as companies </w:t>
      </w:r>
      <w:r w:rsidR="006B2549">
        <w:rPr>
          <w:spacing w:val="-2"/>
          <w:lang w:val="en-GB"/>
        </w:rPr>
        <w:t>sought</w:t>
      </w:r>
      <w:r w:rsidR="006B2549" w:rsidRPr="00DA0C94">
        <w:rPr>
          <w:spacing w:val="-2"/>
          <w:lang w:val="en-GB"/>
        </w:rPr>
        <w:t xml:space="preserve"> </w:t>
      </w:r>
      <w:r w:rsidRPr="00DA0C94">
        <w:rPr>
          <w:spacing w:val="-2"/>
          <w:lang w:val="en-GB"/>
        </w:rPr>
        <w:t xml:space="preserve">dissimilar goals, various approaches </w:t>
      </w:r>
      <w:r w:rsidR="006B2549">
        <w:rPr>
          <w:spacing w:val="-2"/>
          <w:lang w:val="en-GB"/>
        </w:rPr>
        <w:t>could be used to</w:t>
      </w:r>
      <w:r w:rsidR="006B2549" w:rsidRPr="00DA0C94">
        <w:rPr>
          <w:spacing w:val="-2"/>
          <w:lang w:val="en-GB"/>
        </w:rPr>
        <w:t xml:space="preserve"> determin</w:t>
      </w:r>
      <w:r w:rsidR="006B2549">
        <w:rPr>
          <w:spacing w:val="-2"/>
          <w:lang w:val="en-GB"/>
        </w:rPr>
        <w:t>e</w:t>
      </w:r>
      <w:r w:rsidR="006B2549" w:rsidRPr="00DA0C94">
        <w:rPr>
          <w:spacing w:val="-2"/>
          <w:lang w:val="en-GB"/>
        </w:rPr>
        <w:t xml:space="preserve"> </w:t>
      </w:r>
      <w:r w:rsidR="006B2549">
        <w:rPr>
          <w:spacing w:val="-2"/>
          <w:lang w:val="en-GB"/>
        </w:rPr>
        <w:t xml:space="preserve">the </w:t>
      </w:r>
      <w:r w:rsidRPr="00DA0C94">
        <w:rPr>
          <w:spacing w:val="-2"/>
          <w:lang w:val="en-GB"/>
        </w:rPr>
        <w:t>ideal targets to facilitate adequate refinement and furtherance of the CSR effort.</w:t>
      </w:r>
    </w:p>
    <w:p w14:paraId="1FEF4EF8" w14:textId="77777777" w:rsidR="00B57B82" w:rsidRPr="00DA0C94" w:rsidRDefault="00B57B82" w:rsidP="00B57B82">
      <w:pPr>
        <w:pStyle w:val="BodyTextMain"/>
        <w:rPr>
          <w:sz w:val="20"/>
          <w:lang w:val="en-GB"/>
        </w:rPr>
      </w:pPr>
    </w:p>
    <w:p w14:paraId="3AB53179" w14:textId="70C90C7D" w:rsidR="00B57B82" w:rsidRPr="00DA0C94" w:rsidRDefault="00CF6A70" w:rsidP="00B57B82">
      <w:pPr>
        <w:pStyle w:val="BodyTextMain"/>
        <w:rPr>
          <w:lang w:val="en-GB"/>
        </w:rPr>
      </w:pPr>
      <w:r>
        <w:rPr>
          <w:lang w:val="en-GB"/>
        </w:rPr>
        <w:t>One</w:t>
      </w:r>
      <w:r w:rsidRPr="00DA0C94">
        <w:rPr>
          <w:lang w:val="en-GB"/>
        </w:rPr>
        <w:t xml:space="preserve"> </w:t>
      </w:r>
      <w:r w:rsidR="00B57B82" w:rsidRPr="00DA0C94">
        <w:rPr>
          <w:lang w:val="en-GB"/>
        </w:rPr>
        <w:t xml:space="preserve">possible </w:t>
      </w:r>
      <w:r>
        <w:rPr>
          <w:lang w:val="en-GB"/>
        </w:rPr>
        <w:t>approach would be</w:t>
      </w:r>
      <w:r w:rsidR="00B57B82" w:rsidRPr="00DA0C94">
        <w:rPr>
          <w:lang w:val="en-GB"/>
        </w:rPr>
        <w:t xml:space="preserve"> to set measurements against global or long-term standards so that companies </w:t>
      </w:r>
      <w:r>
        <w:rPr>
          <w:lang w:val="en-GB"/>
        </w:rPr>
        <w:t>would</w:t>
      </w:r>
      <w:r w:rsidRPr="00DA0C94">
        <w:rPr>
          <w:lang w:val="en-GB"/>
        </w:rPr>
        <w:t xml:space="preserve"> </w:t>
      </w:r>
      <w:r w:rsidR="00B57B82" w:rsidRPr="00DA0C94">
        <w:rPr>
          <w:lang w:val="en-GB"/>
        </w:rPr>
        <w:t xml:space="preserve">have a better structuring of their plans and progress. For example, the Global Carbon Project </w:t>
      </w:r>
      <w:r w:rsidRPr="00DA0C94">
        <w:rPr>
          <w:lang w:val="en-GB"/>
        </w:rPr>
        <w:t>provide</w:t>
      </w:r>
      <w:r>
        <w:rPr>
          <w:lang w:val="en-GB"/>
        </w:rPr>
        <w:t>d</w:t>
      </w:r>
      <w:r w:rsidRPr="00DA0C94">
        <w:rPr>
          <w:lang w:val="en-GB"/>
        </w:rPr>
        <w:t xml:space="preserve"> </w:t>
      </w:r>
      <w:r w:rsidR="00B57B82" w:rsidRPr="00DA0C94">
        <w:rPr>
          <w:lang w:val="en-GB"/>
        </w:rPr>
        <w:t xml:space="preserve">recommendations </w:t>
      </w:r>
      <w:r>
        <w:rPr>
          <w:lang w:val="en-GB"/>
        </w:rPr>
        <w:t xml:space="preserve">and goals </w:t>
      </w:r>
      <w:r w:rsidR="00B57B82" w:rsidRPr="00DA0C94">
        <w:rPr>
          <w:lang w:val="en-GB"/>
        </w:rPr>
        <w:t xml:space="preserve">for carbon reduction and offsets that companies </w:t>
      </w:r>
      <w:r w:rsidRPr="00DA0C94">
        <w:rPr>
          <w:lang w:val="en-GB"/>
        </w:rPr>
        <w:t>c</w:t>
      </w:r>
      <w:r>
        <w:rPr>
          <w:lang w:val="en-GB"/>
        </w:rPr>
        <w:t>ould</w:t>
      </w:r>
      <w:r w:rsidRPr="00DA0C94">
        <w:rPr>
          <w:lang w:val="en-GB"/>
        </w:rPr>
        <w:t xml:space="preserve"> </w:t>
      </w:r>
      <w:r w:rsidR="00B57B82" w:rsidRPr="00DA0C94">
        <w:rPr>
          <w:lang w:val="en-GB"/>
        </w:rPr>
        <w:t xml:space="preserve">adopt. The United Nations also </w:t>
      </w:r>
      <w:r>
        <w:rPr>
          <w:lang w:val="en-GB"/>
        </w:rPr>
        <w:t>offered</w:t>
      </w:r>
      <w:r w:rsidRPr="00DA0C94">
        <w:rPr>
          <w:lang w:val="en-GB"/>
        </w:rPr>
        <w:t xml:space="preserve"> </w:t>
      </w:r>
      <w:r w:rsidR="00B57B82" w:rsidRPr="00DA0C94">
        <w:rPr>
          <w:lang w:val="en-GB"/>
        </w:rPr>
        <w:t xml:space="preserve">sustainable development goals with tangible targets </w:t>
      </w:r>
      <w:r>
        <w:rPr>
          <w:lang w:val="en-GB"/>
        </w:rPr>
        <w:t>that</w:t>
      </w:r>
      <w:r w:rsidRPr="00DA0C94">
        <w:rPr>
          <w:lang w:val="en-GB"/>
        </w:rPr>
        <w:t xml:space="preserve"> </w:t>
      </w:r>
      <w:r w:rsidR="00B57B82" w:rsidRPr="00DA0C94">
        <w:rPr>
          <w:lang w:val="en-GB"/>
        </w:rPr>
        <w:t xml:space="preserve">countries and </w:t>
      </w:r>
      <w:r>
        <w:rPr>
          <w:lang w:val="en-GB"/>
        </w:rPr>
        <w:t>businesses</w:t>
      </w:r>
      <w:r w:rsidRPr="00DA0C94">
        <w:rPr>
          <w:lang w:val="en-GB"/>
        </w:rPr>
        <w:t xml:space="preserve"> c</w:t>
      </w:r>
      <w:r>
        <w:rPr>
          <w:lang w:val="en-GB"/>
        </w:rPr>
        <w:t>ould</w:t>
      </w:r>
      <w:r w:rsidRPr="00DA0C94">
        <w:rPr>
          <w:lang w:val="en-GB"/>
        </w:rPr>
        <w:t xml:space="preserve"> </w:t>
      </w:r>
      <w:r w:rsidR="00B57B82" w:rsidRPr="00DA0C94">
        <w:rPr>
          <w:lang w:val="en-GB"/>
        </w:rPr>
        <w:t xml:space="preserve">align themselves to. For domestic community issues, external partners </w:t>
      </w:r>
      <w:r w:rsidRPr="00DA0C94">
        <w:rPr>
          <w:lang w:val="en-GB"/>
        </w:rPr>
        <w:t>c</w:t>
      </w:r>
      <w:r>
        <w:rPr>
          <w:lang w:val="en-GB"/>
        </w:rPr>
        <w:t>ould</w:t>
      </w:r>
      <w:r w:rsidRPr="00DA0C94">
        <w:rPr>
          <w:lang w:val="en-GB"/>
        </w:rPr>
        <w:t xml:space="preserve"> </w:t>
      </w:r>
      <w:r w:rsidR="00B57B82" w:rsidRPr="00DA0C94">
        <w:rPr>
          <w:lang w:val="en-GB"/>
        </w:rPr>
        <w:t xml:space="preserve">be sought for a more tailored objective. </w:t>
      </w:r>
      <w:r w:rsidR="00556891" w:rsidRPr="00DA0C94">
        <w:rPr>
          <w:lang w:val="en-GB"/>
        </w:rPr>
        <w:t>Organizations</w:t>
      </w:r>
      <w:r w:rsidR="00B57B82" w:rsidRPr="00DA0C94">
        <w:rPr>
          <w:lang w:val="en-GB"/>
        </w:rPr>
        <w:t xml:space="preserve"> such as the Community Chest and the NCSS</w:t>
      </w:r>
      <w:r w:rsidR="00B57B82" w:rsidRPr="00DA0C94">
        <w:rPr>
          <w:vertAlign w:val="superscript"/>
          <w:lang w:val="en-GB"/>
        </w:rPr>
        <w:footnoteReference w:id="18"/>
      </w:r>
      <w:r w:rsidR="00B57B82" w:rsidRPr="00DA0C94">
        <w:rPr>
          <w:lang w:val="en-GB"/>
        </w:rPr>
        <w:t xml:space="preserve"> </w:t>
      </w:r>
      <w:r w:rsidR="00046D00" w:rsidRPr="00DA0C94">
        <w:rPr>
          <w:lang w:val="en-GB"/>
        </w:rPr>
        <w:t>ha</w:t>
      </w:r>
      <w:r w:rsidR="00046D00">
        <w:rPr>
          <w:lang w:val="en-GB"/>
        </w:rPr>
        <w:t>d</w:t>
      </w:r>
      <w:r w:rsidR="00046D00" w:rsidRPr="00DA0C94">
        <w:rPr>
          <w:lang w:val="en-GB"/>
        </w:rPr>
        <w:t xml:space="preserve"> </w:t>
      </w:r>
      <w:r w:rsidR="00B57B82" w:rsidRPr="00DA0C94">
        <w:rPr>
          <w:lang w:val="en-GB"/>
        </w:rPr>
        <w:t>conducted benchmarks research and obtained data for use as locally.</w:t>
      </w:r>
    </w:p>
    <w:p w14:paraId="5437BD55" w14:textId="77777777" w:rsidR="00B57B82" w:rsidRPr="00DA0C94" w:rsidRDefault="00B57B82" w:rsidP="00B57B82">
      <w:pPr>
        <w:pStyle w:val="BodyTextMain"/>
        <w:rPr>
          <w:sz w:val="20"/>
          <w:lang w:val="en-GB"/>
        </w:rPr>
      </w:pPr>
    </w:p>
    <w:p w14:paraId="79673F91" w14:textId="5D34B33A" w:rsidR="00B57B82" w:rsidRPr="00C10812" w:rsidRDefault="00B57B82" w:rsidP="00B57B82">
      <w:pPr>
        <w:pStyle w:val="BodyTextMain"/>
        <w:rPr>
          <w:spacing w:val="-4"/>
          <w:lang w:val="en-GB"/>
        </w:rPr>
      </w:pPr>
      <w:r w:rsidRPr="00C10812">
        <w:rPr>
          <w:spacing w:val="-4"/>
          <w:lang w:val="en-GB"/>
        </w:rPr>
        <w:t xml:space="preserve">Another plausible approach </w:t>
      </w:r>
      <w:r w:rsidR="00CF6A70" w:rsidRPr="00C10812">
        <w:rPr>
          <w:spacing w:val="-4"/>
          <w:lang w:val="en-GB"/>
        </w:rPr>
        <w:t xml:space="preserve">would be </w:t>
      </w:r>
      <w:r w:rsidRPr="00C10812">
        <w:rPr>
          <w:spacing w:val="-4"/>
          <w:lang w:val="en-GB"/>
        </w:rPr>
        <w:t xml:space="preserve">to set measurements against the baseline. With a known denominator, companies </w:t>
      </w:r>
      <w:r w:rsidR="00CF6A70" w:rsidRPr="00C10812">
        <w:rPr>
          <w:spacing w:val="-4"/>
          <w:lang w:val="en-GB"/>
        </w:rPr>
        <w:t xml:space="preserve">would </w:t>
      </w:r>
      <w:r w:rsidRPr="00C10812">
        <w:rPr>
          <w:spacing w:val="-4"/>
          <w:lang w:val="en-GB"/>
        </w:rPr>
        <w:t xml:space="preserve">be able to measure the amount of improvement from their initiatives and seek further progress. </w:t>
      </w:r>
      <w:r w:rsidR="004A123D">
        <w:rPr>
          <w:spacing w:val="-4"/>
          <w:lang w:val="en-GB"/>
        </w:rPr>
        <w:t xml:space="preserve">Examples of baselines included data obtained from national surveys conducted by </w:t>
      </w:r>
      <w:r w:rsidRPr="00C10812">
        <w:rPr>
          <w:spacing w:val="-4"/>
          <w:lang w:val="en-GB"/>
        </w:rPr>
        <w:t xml:space="preserve">Government bodies </w:t>
      </w:r>
      <w:r w:rsidR="00CF6A70" w:rsidRPr="00C10812">
        <w:rPr>
          <w:spacing w:val="-4"/>
          <w:lang w:val="en-GB"/>
        </w:rPr>
        <w:t>and</w:t>
      </w:r>
      <w:r w:rsidRPr="00C10812">
        <w:rPr>
          <w:spacing w:val="-4"/>
          <w:lang w:val="en-GB"/>
        </w:rPr>
        <w:t xml:space="preserve"> non-governmental </w:t>
      </w:r>
      <w:r w:rsidR="00556891" w:rsidRPr="00C10812">
        <w:rPr>
          <w:spacing w:val="-4"/>
          <w:lang w:val="en-GB"/>
        </w:rPr>
        <w:t>organizations</w:t>
      </w:r>
      <w:r w:rsidR="004A123D">
        <w:rPr>
          <w:spacing w:val="-4"/>
          <w:lang w:val="en-GB"/>
        </w:rPr>
        <w:t>.</w:t>
      </w:r>
      <w:r w:rsidRPr="00C10812">
        <w:rPr>
          <w:spacing w:val="-4"/>
          <w:lang w:val="en-GB"/>
        </w:rPr>
        <w:t xml:space="preserve"> </w:t>
      </w:r>
      <w:r w:rsidR="004A123D">
        <w:rPr>
          <w:spacing w:val="-4"/>
          <w:lang w:val="en-GB"/>
        </w:rPr>
        <w:t>These</w:t>
      </w:r>
      <w:r w:rsidRPr="00C10812">
        <w:rPr>
          <w:spacing w:val="-4"/>
          <w:lang w:val="en-GB"/>
        </w:rPr>
        <w:t xml:space="preserve"> data </w:t>
      </w:r>
      <w:r w:rsidR="007D3D05">
        <w:rPr>
          <w:spacing w:val="-4"/>
          <w:lang w:val="en-GB"/>
        </w:rPr>
        <w:t xml:space="preserve">were </w:t>
      </w:r>
      <w:r w:rsidRPr="00C10812">
        <w:rPr>
          <w:spacing w:val="-4"/>
          <w:lang w:val="en-GB"/>
        </w:rPr>
        <w:t xml:space="preserve">available on public sites such as the Department of Statistics Singapore (i.e., </w:t>
      </w:r>
      <w:proofErr w:type="spellStart"/>
      <w:r w:rsidRPr="00C10812">
        <w:rPr>
          <w:spacing w:val="-4"/>
          <w:lang w:val="en-GB"/>
        </w:rPr>
        <w:t>SingStat</w:t>
      </w:r>
      <w:proofErr w:type="spellEnd"/>
      <w:r w:rsidRPr="00C10812">
        <w:rPr>
          <w:spacing w:val="-4"/>
          <w:lang w:val="en-GB"/>
        </w:rPr>
        <w:t>).</w:t>
      </w:r>
    </w:p>
    <w:p w14:paraId="576422E0" w14:textId="77777777" w:rsidR="00B57B82" w:rsidRPr="00DA0C94" w:rsidRDefault="00B57B82" w:rsidP="00B57B82">
      <w:pPr>
        <w:pStyle w:val="BodyTextMain"/>
        <w:rPr>
          <w:sz w:val="20"/>
          <w:lang w:val="en-GB"/>
        </w:rPr>
      </w:pPr>
    </w:p>
    <w:p w14:paraId="379AC00B" w14:textId="77777777" w:rsidR="00B57B82" w:rsidRPr="00DA0C94" w:rsidRDefault="00B57B82" w:rsidP="00B57B82">
      <w:pPr>
        <w:pStyle w:val="BodyTextMain"/>
        <w:rPr>
          <w:sz w:val="20"/>
          <w:lang w:val="en-GB"/>
        </w:rPr>
      </w:pPr>
    </w:p>
    <w:p w14:paraId="08FE87C7" w14:textId="77777777" w:rsidR="00B57B82" w:rsidRPr="00DA0C94" w:rsidRDefault="00B57B82" w:rsidP="00C10812">
      <w:pPr>
        <w:pStyle w:val="Casehead1"/>
        <w:keepNext/>
        <w:rPr>
          <w:lang w:val="en-GB"/>
        </w:rPr>
      </w:pPr>
      <w:r w:rsidRPr="00DA0C94">
        <w:rPr>
          <w:lang w:val="en-GB"/>
        </w:rPr>
        <w:t>THE DECISIONS</w:t>
      </w:r>
    </w:p>
    <w:p w14:paraId="27AB9890" w14:textId="77777777" w:rsidR="00B57B82" w:rsidRPr="00DA0C94" w:rsidRDefault="00B57B82" w:rsidP="00C10812">
      <w:pPr>
        <w:pStyle w:val="BodyTextMain"/>
        <w:keepNext/>
        <w:rPr>
          <w:sz w:val="20"/>
          <w:highlight w:val="white"/>
          <w:lang w:val="en-GB"/>
        </w:rPr>
      </w:pPr>
    </w:p>
    <w:p w14:paraId="7D0899C9" w14:textId="38C36B20" w:rsidR="00B57B82" w:rsidRPr="008C623B" w:rsidRDefault="00B57B82" w:rsidP="008C623B">
      <w:pPr>
        <w:pStyle w:val="BodyTextMain"/>
      </w:pPr>
      <w:r w:rsidRPr="008C623B">
        <w:rPr>
          <w:highlight w:val="white"/>
        </w:rPr>
        <w:t xml:space="preserve">The past meetings between </w:t>
      </w:r>
      <w:proofErr w:type="spellStart"/>
      <w:r w:rsidRPr="008C623B">
        <w:rPr>
          <w:highlight w:val="white"/>
        </w:rPr>
        <w:t>Buay</w:t>
      </w:r>
      <w:proofErr w:type="spellEnd"/>
      <w:r w:rsidRPr="008C623B">
        <w:rPr>
          <w:highlight w:val="white"/>
        </w:rPr>
        <w:t xml:space="preserve">, the </w:t>
      </w:r>
      <w:r w:rsidR="00CF6A70" w:rsidRPr="008C623B">
        <w:rPr>
          <w:highlight w:val="white"/>
        </w:rPr>
        <w:t>b</w:t>
      </w:r>
      <w:r w:rsidRPr="008C623B">
        <w:rPr>
          <w:highlight w:val="white"/>
        </w:rPr>
        <w:t xml:space="preserve">oard of </w:t>
      </w:r>
      <w:r w:rsidR="00CF6A70" w:rsidRPr="008C623B">
        <w:rPr>
          <w:highlight w:val="white"/>
        </w:rPr>
        <w:t>d</w:t>
      </w:r>
      <w:r w:rsidRPr="008C623B">
        <w:rPr>
          <w:highlight w:val="white"/>
        </w:rPr>
        <w:t>irectors</w:t>
      </w:r>
      <w:r w:rsidR="00CF6A70" w:rsidRPr="008C623B">
        <w:rPr>
          <w:highlight w:val="white"/>
        </w:rPr>
        <w:t>,</w:t>
      </w:r>
      <w:r w:rsidRPr="008C623B">
        <w:rPr>
          <w:highlight w:val="white"/>
        </w:rPr>
        <w:t xml:space="preserve"> and senior management had </w:t>
      </w:r>
      <w:r w:rsidR="00CF6A70" w:rsidRPr="008C623B">
        <w:rPr>
          <w:highlight w:val="white"/>
        </w:rPr>
        <w:t>raised</w:t>
      </w:r>
      <w:r w:rsidRPr="008C623B">
        <w:rPr>
          <w:highlight w:val="white"/>
        </w:rPr>
        <w:t xml:space="preserve"> numerous points of contention for and against the proposal for </w:t>
      </w:r>
      <w:r w:rsidR="004875E0" w:rsidRPr="008C623B">
        <w:rPr>
          <w:highlight w:val="white"/>
        </w:rPr>
        <w:t>SingTel</w:t>
      </w:r>
      <w:r w:rsidRPr="008C623B">
        <w:rPr>
          <w:highlight w:val="white"/>
        </w:rPr>
        <w:t xml:space="preserve"> to switch its </w:t>
      </w:r>
      <w:r w:rsidR="00CF6A70" w:rsidRPr="008C623B">
        <w:rPr>
          <w:highlight w:val="white"/>
        </w:rPr>
        <w:t xml:space="preserve">CSR </w:t>
      </w:r>
      <w:r w:rsidR="00046D00" w:rsidRPr="008C623B">
        <w:t xml:space="preserve">efforts </w:t>
      </w:r>
      <w:r w:rsidRPr="008C623B">
        <w:t xml:space="preserve">from a philanthropic </w:t>
      </w:r>
      <w:r w:rsidR="00CF6A70" w:rsidRPr="008C623B">
        <w:t xml:space="preserve">perspective </w:t>
      </w:r>
      <w:r w:rsidRPr="008C623B">
        <w:t xml:space="preserve">to a strategic angle. With the ongoing commitment to largely cash philanthropic efforts, </w:t>
      </w:r>
      <w:r w:rsidR="004875E0" w:rsidRPr="008C623B">
        <w:t>SingTel</w:t>
      </w:r>
      <w:r w:rsidRPr="008C623B">
        <w:t xml:space="preserve"> seemed to be doing reasonably well in the field of CSR. This </w:t>
      </w:r>
      <w:r w:rsidR="00CF6A70" w:rsidRPr="008C623B">
        <w:t xml:space="preserve">positive progress </w:t>
      </w:r>
      <w:r w:rsidRPr="008C623B">
        <w:t xml:space="preserve">was also supported by </w:t>
      </w:r>
      <w:r w:rsidR="004875E0" w:rsidRPr="008C623B">
        <w:t>SingTel</w:t>
      </w:r>
      <w:r w:rsidRPr="008C623B">
        <w:t>’s performance in the MSCI ESG ratings</w:t>
      </w:r>
      <w:r w:rsidR="00CF6A70" w:rsidRPr="008C623B">
        <w:t>,</w:t>
      </w:r>
      <w:r w:rsidRPr="008C623B">
        <w:t xml:space="preserve"> which had ranked </w:t>
      </w:r>
      <w:r w:rsidR="004875E0" w:rsidRPr="008C623B">
        <w:t>SingTel</w:t>
      </w:r>
      <w:r w:rsidRPr="008C623B">
        <w:t xml:space="preserve"> </w:t>
      </w:r>
      <w:r w:rsidR="00CF6A70" w:rsidRPr="008C623B">
        <w:t xml:space="preserve">higher </w:t>
      </w:r>
      <w:r w:rsidRPr="008C623B">
        <w:t>than the average performance of other Singapore</w:t>
      </w:r>
      <w:r w:rsidR="00CF6A70" w:rsidRPr="008C623B">
        <w:t xml:space="preserve"> companies</w:t>
      </w:r>
      <w:r w:rsidRPr="008C623B">
        <w:t xml:space="preserve">. Yet, the global trend and the pressure from external stakeholders </w:t>
      </w:r>
      <w:r w:rsidR="00CF6A70" w:rsidRPr="008C623B">
        <w:t xml:space="preserve">pointed </w:t>
      </w:r>
      <w:r w:rsidRPr="008C623B">
        <w:t>toward an opportunity for a more strategic CSR</w:t>
      </w:r>
      <w:r w:rsidR="001E73DD">
        <w:t xml:space="preserve"> approach</w:t>
      </w:r>
      <w:r w:rsidRPr="008C623B">
        <w:t xml:space="preserve"> that </w:t>
      </w:r>
      <w:r w:rsidR="00556891" w:rsidRPr="008C623B">
        <w:t>capitalized</w:t>
      </w:r>
      <w:r w:rsidRPr="008C623B">
        <w:t xml:space="preserve"> on collaboration and internal alignment. This </w:t>
      </w:r>
      <w:r w:rsidR="00CF6A70" w:rsidRPr="008C623B">
        <w:t xml:space="preserve">opportunity offered the </w:t>
      </w:r>
      <w:r w:rsidRPr="008C623B">
        <w:t xml:space="preserve">possibility of reaping numerous tangible and intangible benefits but at the same time, its implementation demanded a higher cost and was clouded by uncertainties. </w:t>
      </w:r>
    </w:p>
    <w:p w14:paraId="4E00AD2E" w14:textId="77777777" w:rsidR="00B57B82" w:rsidRPr="008C623B" w:rsidRDefault="00B57B82" w:rsidP="008C623B">
      <w:pPr>
        <w:pStyle w:val="BodyTextMain"/>
      </w:pPr>
    </w:p>
    <w:p w14:paraId="6E3A37AB" w14:textId="3E13552C" w:rsidR="00F819FC" w:rsidRPr="007D3D05" w:rsidRDefault="00B57B82" w:rsidP="00F819FC">
      <w:pPr>
        <w:pStyle w:val="BodyTextMain"/>
        <w:rPr>
          <w:rFonts w:ascii="Arial" w:hAnsi="Arial" w:cs="Arial"/>
          <w:b/>
          <w:caps/>
          <w:spacing w:val="-2"/>
          <w:lang w:val="en-GB"/>
        </w:rPr>
      </w:pPr>
      <w:r w:rsidRPr="007D3D05">
        <w:rPr>
          <w:spacing w:val="-2"/>
          <w:lang w:val="en-GB"/>
        </w:rPr>
        <w:t xml:space="preserve">In view of the </w:t>
      </w:r>
      <w:r w:rsidR="007D3D05" w:rsidRPr="007D3D05">
        <w:rPr>
          <w:spacing w:val="-2"/>
          <w:lang w:val="en-GB"/>
        </w:rPr>
        <w:t>pros</w:t>
      </w:r>
      <w:r w:rsidRPr="007D3D05">
        <w:rPr>
          <w:spacing w:val="-2"/>
          <w:lang w:val="en-GB"/>
        </w:rPr>
        <w:t xml:space="preserve"> and </w:t>
      </w:r>
      <w:r w:rsidR="007D3D05" w:rsidRPr="007D3D05">
        <w:rPr>
          <w:spacing w:val="-2"/>
          <w:lang w:val="en-GB"/>
        </w:rPr>
        <w:t>cons</w:t>
      </w:r>
      <w:r w:rsidRPr="007D3D05">
        <w:rPr>
          <w:spacing w:val="-2"/>
          <w:lang w:val="en-GB"/>
        </w:rPr>
        <w:t xml:space="preserve"> of </w:t>
      </w:r>
      <w:proofErr w:type="spellStart"/>
      <w:r w:rsidRPr="007D3D05">
        <w:rPr>
          <w:spacing w:val="-2"/>
          <w:lang w:val="en-GB"/>
        </w:rPr>
        <w:t>Buay’s</w:t>
      </w:r>
      <w:proofErr w:type="spellEnd"/>
      <w:r w:rsidRPr="007D3D05">
        <w:rPr>
          <w:spacing w:val="-2"/>
          <w:lang w:val="en-GB"/>
        </w:rPr>
        <w:t xml:space="preserve"> proposal, should the </w:t>
      </w:r>
      <w:r w:rsidR="00772C2B" w:rsidRPr="007D3D05">
        <w:rPr>
          <w:spacing w:val="-2"/>
          <w:lang w:val="en-GB"/>
        </w:rPr>
        <w:t>b</w:t>
      </w:r>
      <w:r w:rsidRPr="007D3D05">
        <w:rPr>
          <w:spacing w:val="-2"/>
          <w:lang w:val="en-GB"/>
        </w:rPr>
        <w:t xml:space="preserve">oard of </w:t>
      </w:r>
      <w:r w:rsidR="00772C2B" w:rsidRPr="007D3D05">
        <w:rPr>
          <w:spacing w:val="-2"/>
          <w:lang w:val="en-GB"/>
        </w:rPr>
        <w:t>d</w:t>
      </w:r>
      <w:r w:rsidRPr="007D3D05">
        <w:rPr>
          <w:spacing w:val="-2"/>
          <w:lang w:val="en-GB"/>
        </w:rPr>
        <w:t xml:space="preserve">irectors approve the shift toward a strategic CSR approach? Even if the </w:t>
      </w:r>
      <w:r w:rsidR="00772C2B" w:rsidRPr="007D3D05">
        <w:rPr>
          <w:spacing w:val="-2"/>
          <w:lang w:val="en-GB"/>
        </w:rPr>
        <w:t>b</w:t>
      </w:r>
      <w:r w:rsidRPr="007D3D05">
        <w:rPr>
          <w:spacing w:val="-2"/>
          <w:lang w:val="en-GB"/>
        </w:rPr>
        <w:t xml:space="preserve">oard of </w:t>
      </w:r>
      <w:r w:rsidR="00772C2B" w:rsidRPr="007D3D05">
        <w:rPr>
          <w:spacing w:val="-2"/>
          <w:lang w:val="en-GB"/>
        </w:rPr>
        <w:t>d</w:t>
      </w:r>
      <w:r w:rsidRPr="007D3D05">
        <w:rPr>
          <w:spacing w:val="-2"/>
          <w:lang w:val="en-GB"/>
        </w:rPr>
        <w:t xml:space="preserve">irectors agreed to the proposal, it would still require multi-stakeholder buy-in and funding. How should </w:t>
      </w:r>
      <w:r w:rsidR="004875E0" w:rsidRPr="007D3D05">
        <w:rPr>
          <w:spacing w:val="-2"/>
          <w:lang w:val="en-GB"/>
        </w:rPr>
        <w:t>SingTel</w:t>
      </w:r>
      <w:r w:rsidRPr="007D3D05">
        <w:rPr>
          <w:spacing w:val="-2"/>
          <w:lang w:val="en-GB"/>
        </w:rPr>
        <w:t xml:space="preserve"> approach this problem </w:t>
      </w:r>
      <w:r w:rsidR="007D3D05" w:rsidRPr="007D3D05">
        <w:rPr>
          <w:spacing w:val="-2"/>
          <w:lang w:val="en-GB"/>
        </w:rPr>
        <w:t xml:space="preserve">of </w:t>
      </w:r>
      <w:r w:rsidRPr="007D3D05">
        <w:rPr>
          <w:spacing w:val="-2"/>
          <w:lang w:val="en-GB"/>
        </w:rPr>
        <w:t>implement</w:t>
      </w:r>
      <w:r w:rsidR="007D3D05" w:rsidRPr="007D3D05">
        <w:rPr>
          <w:spacing w:val="-2"/>
          <w:lang w:val="en-GB"/>
        </w:rPr>
        <w:t>ing</w:t>
      </w:r>
      <w:r w:rsidRPr="007D3D05">
        <w:rPr>
          <w:spacing w:val="-2"/>
          <w:lang w:val="en-GB"/>
        </w:rPr>
        <w:t xml:space="preserve"> strategic CSR</w:t>
      </w:r>
      <w:r w:rsidR="007D3D05" w:rsidRPr="007D3D05">
        <w:rPr>
          <w:spacing w:val="-2"/>
          <w:lang w:val="en-GB"/>
        </w:rPr>
        <w:t>?</w:t>
      </w:r>
      <w:r w:rsidR="00F819FC" w:rsidRPr="007D3D05">
        <w:rPr>
          <w:spacing w:val="-2"/>
          <w:lang w:val="en-GB"/>
        </w:rPr>
        <w:br w:type="page"/>
      </w:r>
    </w:p>
    <w:p w14:paraId="6A5A2E5E" w14:textId="457BF9C5" w:rsidR="00671D8A" w:rsidRPr="00DA0C94" w:rsidRDefault="00671D8A" w:rsidP="00671D8A">
      <w:pPr>
        <w:pStyle w:val="ExhibitHeading"/>
        <w:rPr>
          <w:lang w:val="en-GB"/>
        </w:rPr>
      </w:pPr>
      <w:r w:rsidRPr="00DA0C94">
        <w:rPr>
          <w:lang w:val="en-GB"/>
        </w:rPr>
        <w:t xml:space="preserve">Exhibit 1: COMPARISON OF </w:t>
      </w:r>
      <w:r w:rsidR="00772C2B">
        <w:rPr>
          <w:lang w:val="en-GB"/>
        </w:rPr>
        <w:t xml:space="preserve">corporate social responsibility initiatives at </w:t>
      </w:r>
      <w:r w:rsidR="004875E0">
        <w:rPr>
          <w:lang w:val="en-GB"/>
        </w:rPr>
        <w:t>SINGTEL</w:t>
      </w:r>
      <w:r w:rsidRPr="00DA0C94">
        <w:rPr>
          <w:lang w:val="en-GB"/>
        </w:rPr>
        <w:t xml:space="preserve"> AND </w:t>
      </w:r>
      <w:r w:rsidR="00772C2B">
        <w:rPr>
          <w:lang w:val="en-GB"/>
        </w:rPr>
        <w:t xml:space="preserve">its </w:t>
      </w:r>
      <w:r w:rsidRPr="00DA0C94">
        <w:rPr>
          <w:lang w:val="en-GB"/>
        </w:rPr>
        <w:t>PEERS IN 2012</w:t>
      </w:r>
    </w:p>
    <w:p w14:paraId="20B1C0F7" w14:textId="77777777" w:rsidR="00671D8A" w:rsidRPr="00DA0C94" w:rsidRDefault="00671D8A" w:rsidP="00671D8A">
      <w:pPr>
        <w:pStyle w:val="BodyTextMain"/>
        <w:rPr>
          <w:sz w:val="20"/>
          <w:lang w:val="en-GB"/>
        </w:rPr>
      </w:pPr>
    </w:p>
    <w:p w14:paraId="5E447E06" w14:textId="22A08A9B" w:rsidR="00671D8A" w:rsidRPr="00DA0C94" w:rsidRDefault="00671D8A" w:rsidP="00671D8A">
      <w:pPr>
        <w:pStyle w:val="ExhibitText"/>
        <w:rPr>
          <w:sz w:val="18"/>
          <w:szCs w:val="18"/>
          <w:lang w:val="en-GB"/>
        </w:rPr>
      </w:pPr>
      <w:r w:rsidRPr="00DA0C94">
        <w:rPr>
          <w:sz w:val="18"/>
          <w:szCs w:val="18"/>
          <w:lang w:val="en-GB"/>
        </w:rPr>
        <w:t xml:space="preserve">This exhibit displays </w:t>
      </w:r>
      <w:r w:rsidR="004875E0">
        <w:rPr>
          <w:sz w:val="18"/>
          <w:szCs w:val="18"/>
          <w:lang w:val="en-GB"/>
        </w:rPr>
        <w:t>SingTel</w:t>
      </w:r>
      <w:r w:rsidR="00772C2B">
        <w:rPr>
          <w:sz w:val="18"/>
          <w:szCs w:val="18"/>
          <w:lang w:val="en-GB"/>
        </w:rPr>
        <w:t>’s</w:t>
      </w:r>
      <w:r w:rsidR="00772C2B" w:rsidRPr="00DA0C94">
        <w:rPr>
          <w:sz w:val="18"/>
          <w:szCs w:val="18"/>
          <w:lang w:val="en-GB"/>
        </w:rPr>
        <w:t xml:space="preserve"> </w:t>
      </w:r>
      <w:r w:rsidR="00772C2B">
        <w:rPr>
          <w:sz w:val="18"/>
          <w:szCs w:val="18"/>
          <w:lang w:val="en-GB"/>
        </w:rPr>
        <w:t>environmental, social, and governance (</w:t>
      </w:r>
      <w:r w:rsidRPr="00DA0C94">
        <w:rPr>
          <w:sz w:val="18"/>
          <w:szCs w:val="18"/>
          <w:lang w:val="en-GB"/>
        </w:rPr>
        <w:t>ESG</w:t>
      </w:r>
      <w:r w:rsidR="00772C2B">
        <w:rPr>
          <w:sz w:val="18"/>
          <w:szCs w:val="18"/>
          <w:lang w:val="en-GB"/>
        </w:rPr>
        <w:t>)</w:t>
      </w:r>
      <w:r w:rsidRPr="00DA0C94">
        <w:rPr>
          <w:sz w:val="18"/>
          <w:szCs w:val="18"/>
          <w:lang w:val="en-GB"/>
        </w:rPr>
        <w:t xml:space="preserve"> scores</w:t>
      </w:r>
      <w:r w:rsidR="00772C2B">
        <w:rPr>
          <w:sz w:val="18"/>
          <w:szCs w:val="18"/>
          <w:lang w:val="en-GB"/>
        </w:rPr>
        <w:t>,</w:t>
      </w:r>
      <w:r w:rsidRPr="00DA0C94">
        <w:rPr>
          <w:sz w:val="18"/>
          <w:szCs w:val="18"/>
          <w:lang w:val="en-GB"/>
        </w:rPr>
        <w:t xml:space="preserve"> </w:t>
      </w:r>
      <w:r w:rsidR="00772C2B">
        <w:rPr>
          <w:sz w:val="18"/>
          <w:szCs w:val="18"/>
          <w:lang w:val="en-GB"/>
        </w:rPr>
        <w:t xml:space="preserve">as </w:t>
      </w:r>
      <w:r w:rsidRPr="00DA0C94">
        <w:rPr>
          <w:sz w:val="18"/>
          <w:szCs w:val="18"/>
          <w:lang w:val="en-GB"/>
        </w:rPr>
        <w:t>rated by Morgan Stanley Capital International Inc. (MSCI) in 2012</w:t>
      </w:r>
      <w:r w:rsidR="00772C2B">
        <w:rPr>
          <w:sz w:val="18"/>
          <w:szCs w:val="18"/>
          <w:lang w:val="en-GB"/>
        </w:rPr>
        <w:t>,</w:t>
      </w:r>
      <w:r w:rsidRPr="00DA0C94">
        <w:rPr>
          <w:sz w:val="18"/>
          <w:szCs w:val="18"/>
          <w:lang w:val="en-GB"/>
        </w:rPr>
        <w:t xml:space="preserve"> relative to local and global companies in the similar telecommunication industry. The ESG performance indicators in the dataset were scored by a binary scoring model: </w:t>
      </w:r>
      <w:r w:rsidR="009600A6">
        <w:rPr>
          <w:sz w:val="18"/>
          <w:szCs w:val="18"/>
          <w:lang w:val="en-GB"/>
        </w:rPr>
        <w:t>(</w:t>
      </w:r>
      <w:r w:rsidRPr="00DA0C94">
        <w:rPr>
          <w:sz w:val="18"/>
          <w:szCs w:val="18"/>
          <w:lang w:val="en-GB"/>
        </w:rPr>
        <w:t xml:space="preserve">1) If the company does not meet the assessment criteria established for an indicator, it is signified with “1”; </w:t>
      </w:r>
      <w:r w:rsidR="009600A6">
        <w:rPr>
          <w:sz w:val="18"/>
          <w:szCs w:val="18"/>
          <w:lang w:val="en-GB"/>
        </w:rPr>
        <w:t>(</w:t>
      </w:r>
      <w:r w:rsidRPr="00DA0C94">
        <w:rPr>
          <w:sz w:val="18"/>
          <w:szCs w:val="18"/>
          <w:lang w:val="en-GB"/>
        </w:rPr>
        <w:t xml:space="preserve">2) If the company meets the assessment criteria established for an indicator, it is signified with “0”; </w:t>
      </w:r>
      <w:r w:rsidR="009600A6">
        <w:rPr>
          <w:sz w:val="18"/>
          <w:szCs w:val="18"/>
          <w:lang w:val="en-GB"/>
        </w:rPr>
        <w:t>(</w:t>
      </w:r>
      <w:r w:rsidRPr="00DA0C94">
        <w:rPr>
          <w:sz w:val="18"/>
          <w:szCs w:val="18"/>
          <w:lang w:val="en-GB"/>
        </w:rPr>
        <w:t xml:space="preserve">3) If the company has not been researched on for a particular indicator, it is signified with a blank cell. A lower score signified a better performance. </w:t>
      </w:r>
      <w:r w:rsidR="009600A6">
        <w:rPr>
          <w:sz w:val="18"/>
          <w:szCs w:val="18"/>
          <w:lang w:val="en-GB"/>
        </w:rPr>
        <w:t>The result</w:t>
      </w:r>
      <w:r w:rsidR="00DB6F9B">
        <w:rPr>
          <w:sz w:val="18"/>
          <w:szCs w:val="18"/>
          <w:lang w:val="en-GB"/>
        </w:rPr>
        <w:t>s</w:t>
      </w:r>
      <w:r w:rsidR="009600A6">
        <w:rPr>
          <w:sz w:val="18"/>
          <w:szCs w:val="18"/>
          <w:lang w:val="en-GB"/>
        </w:rPr>
        <w:t xml:space="preserve"> shown below take into consideration</w:t>
      </w:r>
      <w:r w:rsidRPr="00DA0C94">
        <w:rPr>
          <w:sz w:val="18"/>
          <w:szCs w:val="18"/>
          <w:lang w:val="en-GB"/>
        </w:rPr>
        <w:t xml:space="preserve"> 16 environment</w:t>
      </w:r>
      <w:r w:rsidR="009600A6">
        <w:rPr>
          <w:sz w:val="18"/>
          <w:szCs w:val="18"/>
          <w:lang w:val="en-GB"/>
        </w:rPr>
        <w:t>al factors</w:t>
      </w:r>
      <w:r w:rsidRPr="00DA0C94">
        <w:rPr>
          <w:sz w:val="18"/>
          <w:szCs w:val="18"/>
          <w:lang w:val="en-GB"/>
        </w:rPr>
        <w:t>, 17 social</w:t>
      </w:r>
      <w:r w:rsidR="009600A6">
        <w:rPr>
          <w:sz w:val="18"/>
          <w:szCs w:val="18"/>
          <w:lang w:val="en-GB"/>
        </w:rPr>
        <w:t xml:space="preserve"> factors</w:t>
      </w:r>
      <w:r w:rsidR="00772C2B">
        <w:rPr>
          <w:sz w:val="18"/>
          <w:szCs w:val="18"/>
          <w:lang w:val="en-GB"/>
        </w:rPr>
        <w:t>,</w:t>
      </w:r>
      <w:r w:rsidRPr="00DA0C94">
        <w:rPr>
          <w:sz w:val="18"/>
          <w:szCs w:val="18"/>
          <w:lang w:val="en-GB"/>
        </w:rPr>
        <w:t xml:space="preserve"> and 71 governance factors</w:t>
      </w:r>
      <w:r w:rsidR="00772C2B">
        <w:rPr>
          <w:sz w:val="18"/>
          <w:szCs w:val="18"/>
          <w:lang w:val="en-GB"/>
        </w:rPr>
        <w:t>,</w:t>
      </w:r>
      <w:r w:rsidRPr="00DA0C94">
        <w:rPr>
          <w:sz w:val="18"/>
          <w:szCs w:val="18"/>
          <w:lang w:val="en-GB"/>
        </w:rPr>
        <w:t xml:space="preserve"> such as carbon emission reporting, violations of human rights, investigations for unfair labour practices</w:t>
      </w:r>
      <w:r w:rsidR="00772C2B">
        <w:rPr>
          <w:sz w:val="18"/>
          <w:szCs w:val="18"/>
          <w:lang w:val="en-GB"/>
        </w:rPr>
        <w:t>,</w:t>
      </w:r>
      <w:r w:rsidRPr="00DA0C94">
        <w:rPr>
          <w:sz w:val="18"/>
          <w:szCs w:val="18"/>
          <w:lang w:val="en-GB"/>
        </w:rPr>
        <w:t xml:space="preserve"> and </w:t>
      </w:r>
      <w:r w:rsidR="009600A6">
        <w:rPr>
          <w:sz w:val="18"/>
          <w:szCs w:val="18"/>
          <w:lang w:val="en-GB"/>
        </w:rPr>
        <w:t xml:space="preserve">having </w:t>
      </w:r>
      <w:r w:rsidRPr="00DA0C94">
        <w:rPr>
          <w:sz w:val="18"/>
          <w:szCs w:val="18"/>
          <w:lang w:val="en-GB"/>
        </w:rPr>
        <w:t>an independent board. Companies with lower MSCI numerical number have better performance in the ESG factors as the scores identified the areas of concerns.</w:t>
      </w:r>
    </w:p>
    <w:p w14:paraId="04A39229" w14:textId="77777777" w:rsidR="00671D8A" w:rsidRPr="00DA0C94" w:rsidRDefault="00671D8A" w:rsidP="00671D8A">
      <w:pPr>
        <w:jc w:val="both"/>
        <w:rPr>
          <w:b/>
          <w:sz w:val="18"/>
          <w:lang w:val="en-GB"/>
        </w:rPr>
      </w:pPr>
    </w:p>
    <w:tbl>
      <w:tblPr>
        <w:tblStyle w:val="TableGrid"/>
        <w:tblW w:w="9015" w:type="dxa"/>
        <w:jc w:val="center"/>
        <w:tblLayout w:type="fixed"/>
        <w:tblLook w:val="0600" w:firstRow="0" w:lastRow="0" w:firstColumn="0" w:lastColumn="0" w:noHBand="1" w:noVBand="1"/>
      </w:tblPr>
      <w:tblGrid>
        <w:gridCol w:w="2235"/>
        <w:gridCol w:w="1560"/>
        <w:gridCol w:w="1710"/>
        <w:gridCol w:w="1590"/>
        <w:gridCol w:w="1920"/>
      </w:tblGrid>
      <w:tr w:rsidR="00671D8A" w:rsidRPr="00DA0C94" w14:paraId="2711E1A0" w14:textId="77777777" w:rsidTr="00671D8A">
        <w:trPr>
          <w:jc w:val="center"/>
        </w:trPr>
        <w:tc>
          <w:tcPr>
            <w:tcW w:w="2235" w:type="dxa"/>
            <w:vAlign w:val="center"/>
          </w:tcPr>
          <w:p w14:paraId="122AEA8A" w14:textId="77777777" w:rsidR="00671D8A" w:rsidRPr="00DA0C94" w:rsidRDefault="00671D8A" w:rsidP="00671D8A">
            <w:pPr>
              <w:pStyle w:val="ExhibitText"/>
              <w:jc w:val="left"/>
              <w:rPr>
                <w:b/>
                <w:sz w:val="18"/>
                <w:szCs w:val="18"/>
                <w:lang w:val="en-GB"/>
              </w:rPr>
            </w:pPr>
            <w:r w:rsidRPr="00DA0C94">
              <w:rPr>
                <w:b/>
                <w:sz w:val="18"/>
                <w:szCs w:val="18"/>
                <w:lang w:val="en-GB"/>
              </w:rPr>
              <w:t>Average Results in 2012</w:t>
            </w:r>
          </w:p>
        </w:tc>
        <w:tc>
          <w:tcPr>
            <w:tcW w:w="1560" w:type="dxa"/>
            <w:vAlign w:val="center"/>
          </w:tcPr>
          <w:p w14:paraId="767C828B" w14:textId="3457F7F5" w:rsidR="00671D8A" w:rsidRPr="00DA0C94" w:rsidRDefault="00671D8A" w:rsidP="00671D8A">
            <w:pPr>
              <w:pStyle w:val="ExhibitText"/>
              <w:jc w:val="center"/>
              <w:rPr>
                <w:b/>
                <w:sz w:val="18"/>
                <w:szCs w:val="18"/>
                <w:lang w:val="en-GB"/>
              </w:rPr>
            </w:pPr>
            <w:r w:rsidRPr="00DA0C94">
              <w:rPr>
                <w:b/>
                <w:sz w:val="18"/>
                <w:szCs w:val="18"/>
                <w:lang w:val="en-GB"/>
              </w:rPr>
              <w:t>Overall ESG</w:t>
            </w:r>
            <w:r w:rsidR="00C6044D">
              <w:rPr>
                <w:b/>
                <w:sz w:val="18"/>
                <w:szCs w:val="18"/>
                <w:lang w:val="en-GB"/>
              </w:rPr>
              <w:t xml:space="preserve"> Rating</w:t>
            </w:r>
            <w:r w:rsidRPr="00DA0C94">
              <w:rPr>
                <w:b/>
                <w:sz w:val="18"/>
                <w:szCs w:val="18"/>
                <w:lang w:val="en-GB"/>
              </w:rPr>
              <w:t xml:space="preserve"> (104)</w:t>
            </w:r>
          </w:p>
        </w:tc>
        <w:tc>
          <w:tcPr>
            <w:tcW w:w="1710" w:type="dxa"/>
            <w:vAlign w:val="center"/>
          </w:tcPr>
          <w:p w14:paraId="6C470A8D" w14:textId="4D889936" w:rsidR="00671D8A" w:rsidRPr="00DA0C94" w:rsidRDefault="00671D8A" w:rsidP="00671D8A">
            <w:pPr>
              <w:pStyle w:val="ExhibitText"/>
              <w:jc w:val="center"/>
              <w:rPr>
                <w:b/>
                <w:sz w:val="18"/>
                <w:szCs w:val="18"/>
                <w:lang w:val="en-GB"/>
              </w:rPr>
            </w:pPr>
            <w:r w:rsidRPr="00DA0C94">
              <w:rPr>
                <w:b/>
                <w:sz w:val="18"/>
                <w:szCs w:val="18"/>
                <w:lang w:val="en-GB"/>
              </w:rPr>
              <w:t>Environment</w:t>
            </w:r>
            <w:r w:rsidR="009600A6">
              <w:rPr>
                <w:b/>
                <w:sz w:val="18"/>
                <w:szCs w:val="18"/>
                <w:lang w:val="en-GB"/>
              </w:rPr>
              <w:t>al</w:t>
            </w:r>
            <w:r w:rsidRPr="00DA0C94">
              <w:rPr>
                <w:b/>
                <w:sz w:val="18"/>
                <w:szCs w:val="18"/>
                <w:lang w:val="en-GB"/>
              </w:rPr>
              <w:t xml:space="preserve"> </w:t>
            </w:r>
            <w:r w:rsidR="00C6044D">
              <w:rPr>
                <w:b/>
                <w:sz w:val="18"/>
                <w:szCs w:val="18"/>
                <w:lang w:val="en-GB"/>
              </w:rPr>
              <w:t xml:space="preserve">Rating </w:t>
            </w:r>
            <w:r w:rsidRPr="00DA0C94">
              <w:rPr>
                <w:b/>
                <w:sz w:val="18"/>
                <w:szCs w:val="18"/>
                <w:lang w:val="en-GB"/>
              </w:rPr>
              <w:t>(16)</w:t>
            </w:r>
          </w:p>
        </w:tc>
        <w:tc>
          <w:tcPr>
            <w:tcW w:w="1590" w:type="dxa"/>
            <w:vAlign w:val="center"/>
          </w:tcPr>
          <w:p w14:paraId="6F678E3F" w14:textId="42355BBE" w:rsidR="00671D8A" w:rsidRPr="00DA0C94" w:rsidRDefault="00671D8A" w:rsidP="00671D8A">
            <w:pPr>
              <w:pStyle w:val="ExhibitText"/>
              <w:jc w:val="center"/>
              <w:rPr>
                <w:b/>
                <w:sz w:val="18"/>
                <w:szCs w:val="18"/>
                <w:lang w:val="en-GB"/>
              </w:rPr>
            </w:pPr>
            <w:r w:rsidRPr="00DA0C94">
              <w:rPr>
                <w:b/>
                <w:sz w:val="18"/>
                <w:szCs w:val="18"/>
                <w:lang w:val="en-GB"/>
              </w:rPr>
              <w:t xml:space="preserve">Social </w:t>
            </w:r>
            <w:r w:rsidR="00C6044D">
              <w:rPr>
                <w:b/>
                <w:sz w:val="18"/>
                <w:szCs w:val="18"/>
                <w:lang w:val="en-GB"/>
              </w:rPr>
              <w:t xml:space="preserve">Rating </w:t>
            </w:r>
            <w:r w:rsidRPr="00DA0C94">
              <w:rPr>
                <w:b/>
                <w:sz w:val="18"/>
                <w:szCs w:val="18"/>
                <w:lang w:val="en-GB"/>
              </w:rPr>
              <w:t>(17)</w:t>
            </w:r>
          </w:p>
        </w:tc>
        <w:tc>
          <w:tcPr>
            <w:tcW w:w="1920" w:type="dxa"/>
            <w:vAlign w:val="center"/>
          </w:tcPr>
          <w:p w14:paraId="243BD973" w14:textId="140D6443" w:rsidR="00671D8A" w:rsidRPr="00DA0C94" w:rsidRDefault="00671D8A" w:rsidP="00671D8A">
            <w:pPr>
              <w:pStyle w:val="ExhibitText"/>
              <w:jc w:val="center"/>
              <w:rPr>
                <w:b/>
                <w:sz w:val="18"/>
                <w:szCs w:val="18"/>
                <w:lang w:val="en-GB"/>
              </w:rPr>
            </w:pPr>
            <w:r w:rsidRPr="00DA0C94">
              <w:rPr>
                <w:b/>
                <w:sz w:val="18"/>
                <w:szCs w:val="18"/>
                <w:lang w:val="en-GB"/>
              </w:rPr>
              <w:t xml:space="preserve">Governance </w:t>
            </w:r>
            <w:r w:rsidR="00C6044D">
              <w:rPr>
                <w:b/>
                <w:sz w:val="18"/>
                <w:szCs w:val="18"/>
                <w:lang w:val="en-GB"/>
              </w:rPr>
              <w:t xml:space="preserve">Rating </w:t>
            </w:r>
            <w:r w:rsidRPr="00DA0C94">
              <w:rPr>
                <w:b/>
                <w:sz w:val="18"/>
                <w:szCs w:val="18"/>
                <w:lang w:val="en-GB"/>
              </w:rPr>
              <w:t>(71)</w:t>
            </w:r>
          </w:p>
        </w:tc>
      </w:tr>
      <w:tr w:rsidR="00671D8A" w:rsidRPr="00DA0C94" w14:paraId="28DB8F58" w14:textId="77777777" w:rsidTr="00671D8A">
        <w:trPr>
          <w:jc w:val="center"/>
        </w:trPr>
        <w:tc>
          <w:tcPr>
            <w:tcW w:w="2235" w:type="dxa"/>
            <w:vAlign w:val="center"/>
          </w:tcPr>
          <w:p w14:paraId="74099096" w14:textId="77777777" w:rsidR="00671D8A" w:rsidRPr="00DA0C94" w:rsidRDefault="00671D8A" w:rsidP="00671D8A">
            <w:pPr>
              <w:pStyle w:val="ExhibitText"/>
              <w:jc w:val="left"/>
              <w:rPr>
                <w:sz w:val="18"/>
                <w:szCs w:val="18"/>
                <w:lang w:val="en-GB"/>
              </w:rPr>
            </w:pPr>
            <w:r w:rsidRPr="00DA0C94">
              <w:rPr>
                <w:sz w:val="18"/>
                <w:szCs w:val="18"/>
                <w:lang w:val="en-GB"/>
              </w:rPr>
              <w:t>Global Companies</w:t>
            </w:r>
          </w:p>
        </w:tc>
        <w:tc>
          <w:tcPr>
            <w:tcW w:w="1560" w:type="dxa"/>
          </w:tcPr>
          <w:p w14:paraId="2DFCC60D" w14:textId="77777777" w:rsidR="00671D8A" w:rsidRPr="00DA0C94" w:rsidRDefault="00671D8A" w:rsidP="00671D8A">
            <w:pPr>
              <w:pStyle w:val="ExhibitText"/>
              <w:jc w:val="center"/>
              <w:rPr>
                <w:sz w:val="18"/>
                <w:szCs w:val="18"/>
                <w:lang w:val="en-GB"/>
              </w:rPr>
            </w:pPr>
            <w:r w:rsidRPr="00DA0C94">
              <w:rPr>
                <w:sz w:val="18"/>
                <w:szCs w:val="18"/>
                <w:lang w:val="en-GB"/>
              </w:rPr>
              <w:t>24.45</w:t>
            </w:r>
          </w:p>
        </w:tc>
        <w:tc>
          <w:tcPr>
            <w:tcW w:w="1710" w:type="dxa"/>
          </w:tcPr>
          <w:p w14:paraId="5546A86E" w14:textId="77777777" w:rsidR="00671D8A" w:rsidRPr="00DA0C94" w:rsidRDefault="00671D8A" w:rsidP="00671D8A">
            <w:pPr>
              <w:pStyle w:val="ExhibitText"/>
              <w:jc w:val="center"/>
              <w:rPr>
                <w:sz w:val="18"/>
                <w:szCs w:val="18"/>
                <w:lang w:val="en-GB"/>
              </w:rPr>
            </w:pPr>
            <w:r w:rsidRPr="00DA0C94">
              <w:rPr>
                <w:sz w:val="18"/>
                <w:szCs w:val="18"/>
                <w:lang w:val="en-GB"/>
              </w:rPr>
              <w:t>3.73</w:t>
            </w:r>
          </w:p>
        </w:tc>
        <w:tc>
          <w:tcPr>
            <w:tcW w:w="1590" w:type="dxa"/>
          </w:tcPr>
          <w:p w14:paraId="12B85749" w14:textId="77777777" w:rsidR="00671D8A" w:rsidRPr="00DA0C94" w:rsidRDefault="00671D8A" w:rsidP="00671D8A">
            <w:pPr>
              <w:pStyle w:val="ExhibitText"/>
              <w:jc w:val="center"/>
              <w:rPr>
                <w:sz w:val="18"/>
                <w:szCs w:val="18"/>
                <w:lang w:val="en-GB"/>
              </w:rPr>
            </w:pPr>
            <w:r w:rsidRPr="00DA0C94">
              <w:rPr>
                <w:sz w:val="18"/>
                <w:szCs w:val="18"/>
                <w:lang w:val="en-GB"/>
              </w:rPr>
              <w:t>4.04</w:t>
            </w:r>
          </w:p>
        </w:tc>
        <w:tc>
          <w:tcPr>
            <w:tcW w:w="1920" w:type="dxa"/>
          </w:tcPr>
          <w:p w14:paraId="44F93E65" w14:textId="77777777" w:rsidR="00671D8A" w:rsidRPr="00DA0C94" w:rsidRDefault="00671D8A" w:rsidP="00671D8A">
            <w:pPr>
              <w:pStyle w:val="ExhibitText"/>
              <w:jc w:val="center"/>
              <w:rPr>
                <w:sz w:val="18"/>
                <w:szCs w:val="18"/>
                <w:lang w:val="en-GB"/>
              </w:rPr>
            </w:pPr>
            <w:r w:rsidRPr="00DA0C94">
              <w:rPr>
                <w:sz w:val="18"/>
                <w:szCs w:val="18"/>
                <w:lang w:val="en-GB"/>
              </w:rPr>
              <w:t>11.56</w:t>
            </w:r>
          </w:p>
        </w:tc>
      </w:tr>
      <w:tr w:rsidR="00671D8A" w:rsidRPr="00DA0C94" w14:paraId="6AD5A1F0" w14:textId="77777777" w:rsidTr="00671D8A">
        <w:trPr>
          <w:jc w:val="center"/>
        </w:trPr>
        <w:tc>
          <w:tcPr>
            <w:tcW w:w="2235" w:type="dxa"/>
            <w:vAlign w:val="center"/>
          </w:tcPr>
          <w:p w14:paraId="0A16F6F8" w14:textId="77777777" w:rsidR="00671D8A" w:rsidRPr="00DA0C94" w:rsidRDefault="00671D8A" w:rsidP="00671D8A">
            <w:pPr>
              <w:pStyle w:val="ExhibitText"/>
              <w:jc w:val="left"/>
              <w:rPr>
                <w:sz w:val="18"/>
                <w:szCs w:val="18"/>
                <w:lang w:val="en-GB"/>
              </w:rPr>
            </w:pPr>
            <w:r w:rsidRPr="00DA0C94">
              <w:rPr>
                <w:sz w:val="18"/>
                <w:szCs w:val="18"/>
                <w:lang w:val="en-GB"/>
              </w:rPr>
              <w:t>Local Companies</w:t>
            </w:r>
          </w:p>
        </w:tc>
        <w:tc>
          <w:tcPr>
            <w:tcW w:w="1560" w:type="dxa"/>
          </w:tcPr>
          <w:p w14:paraId="2E0D2CF6" w14:textId="77777777" w:rsidR="00671D8A" w:rsidRPr="00DA0C94" w:rsidRDefault="00671D8A" w:rsidP="00671D8A">
            <w:pPr>
              <w:pStyle w:val="ExhibitText"/>
              <w:jc w:val="center"/>
              <w:rPr>
                <w:sz w:val="18"/>
                <w:szCs w:val="18"/>
                <w:lang w:val="en-GB"/>
              </w:rPr>
            </w:pPr>
            <w:r w:rsidRPr="00DA0C94">
              <w:rPr>
                <w:sz w:val="18"/>
                <w:szCs w:val="18"/>
                <w:lang w:val="en-GB"/>
              </w:rPr>
              <w:t>23.29</w:t>
            </w:r>
          </w:p>
        </w:tc>
        <w:tc>
          <w:tcPr>
            <w:tcW w:w="1710" w:type="dxa"/>
          </w:tcPr>
          <w:p w14:paraId="4A829AEE" w14:textId="77777777" w:rsidR="00671D8A" w:rsidRPr="00DA0C94" w:rsidRDefault="00671D8A" w:rsidP="00671D8A">
            <w:pPr>
              <w:pStyle w:val="ExhibitText"/>
              <w:jc w:val="center"/>
              <w:rPr>
                <w:sz w:val="18"/>
                <w:szCs w:val="18"/>
                <w:lang w:val="en-GB"/>
              </w:rPr>
            </w:pPr>
            <w:r w:rsidRPr="00DA0C94">
              <w:rPr>
                <w:sz w:val="18"/>
                <w:szCs w:val="18"/>
                <w:lang w:val="en-GB"/>
              </w:rPr>
              <w:t>5.75</w:t>
            </w:r>
          </w:p>
        </w:tc>
        <w:tc>
          <w:tcPr>
            <w:tcW w:w="1590" w:type="dxa"/>
          </w:tcPr>
          <w:p w14:paraId="0F7E73D5" w14:textId="77777777" w:rsidR="00671D8A" w:rsidRPr="00DA0C94" w:rsidRDefault="00671D8A" w:rsidP="00671D8A">
            <w:pPr>
              <w:pStyle w:val="ExhibitText"/>
              <w:jc w:val="center"/>
              <w:rPr>
                <w:sz w:val="18"/>
                <w:szCs w:val="18"/>
                <w:lang w:val="en-GB"/>
              </w:rPr>
            </w:pPr>
            <w:r w:rsidRPr="00DA0C94">
              <w:rPr>
                <w:sz w:val="18"/>
                <w:szCs w:val="18"/>
                <w:lang w:val="en-GB"/>
              </w:rPr>
              <w:t>5.26</w:t>
            </w:r>
          </w:p>
        </w:tc>
        <w:tc>
          <w:tcPr>
            <w:tcW w:w="1920" w:type="dxa"/>
          </w:tcPr>
          <w:p w14:paraId="012E5DEB" w14:textId="77777777" w:rsidR="00671D8A" w:rsidRPr="00DA0C94" w:rsidRDefault="00671D8A" w:rsidP="00671D8A">
            <w:pPr>
              <w:pStyle w:val="ExhibitText"/>
              <w:jc w:val="center"/>
              <w:rPr>
                <w:sz w:val="18"/>
                <w:szCs w:val="18"/>
                <w:lang w:val="en-GB"/>
              </w:rPr>
            </w:pPr>
            <w:r w:rsidRPr="00DA0C94">
              <w:rPr>
                <w:sz w:val="18"/>
                <w:szCs w:val="18"/>
                <w:lang w:val="en-GB"/>
              </w:rPr>
              <w:t>12.27</w:t>
            </w:r>
          </w:p>
        </w:tc>
      </w:tr>
      <w:tr w:rsidR="00671D8A" w:rsidRPr="00DA0C94" w14:paraId="3391E9B8" w14:textId="77777777" w:rsidTr="00671D8A">
        <w:trPr>
          <w:jc w:val="center"/>
        </w:trPr>
        <w:tc>
          <w:tcPr>
            <w:tcW w:w="2235" w:type="dxa"/>
            <w:vAlign w:val="center"/>
          </w:tcPr>
          <w:p w14:paraId="20B25C6B" w14:textId="7C5F3521" w:rsidR="00671D8A" w:rsidRPr="00DA0C94" w:rsidRDefault="004875E0" w:rsidP="00671D8A">
            <w:pPr>
              <w:pStyle w:val="ExhibitText"/>
              <w:jc w:val="left"/>
              <w:rPr>
                <w:sz w:val="18"/>
                <w:szCs w:val="18"/>
                <w:lang w:val="en-GB"/>
              </w:rPr>
            </w:pPr>
            <w:r>
              <w:rPr>
                <w:sz w:val="18"/>
                <w:szCs w:val="18"/>
                <w:lang w:val="en-GB"/>
              </w:rPr>
              <w:t>SingTel</w:t>
            </w:r>
          </w:p>
        </w:tc>
        <w:tc>
          <w:tcPr>
            <w:tcW w:w="1560" w:type="dxa"/>
          </w:tcPr>
          <w:p w14:paraId="759026FF" w14:textId="77777777" w:rsidR="00671D8A" w:rsidRPr="00DA0C94" w:rsidRDefault="00671D8A" w:rsidP="00671D8A">
            <w:pPr>
              <w:pStyle w:val="ExhibitText"/>
              <w:jc w:val="center"/>
              <w:rPr>
                <w:sz w:val="18"/>
                <w:szCs w:val="18"/>
                <w:lang w:val="en-GB"/>
              </w:rPr>
            </w:pPr>
            <w:r w:rsidRPr="00DA0C94">
              <w:rPr>
                <w:sz w:val="18"/>
                <w:szCs w:val="18"/>
                <w:lang w:val="en-GB"/>
              </w:rPr>
              <w:t>17.75</w:t>
            </w:r>
          </w:p>
        </w:tc>
        <w:tc>
          <w:tcPr>
            <w:tcW w:w="1710" w:type="dxa"/>
          </w:tcPr>
          <w:p w14:paraId="3634F255" w14:textId="77777777" w:rsidR="00671D8A" w:rsidRPr="00DA0C94" w:rsidRDefault="00671D8A" w:rsidP="00671D8A">
            <w:pPr>
              <w:pStyle w:val="ExhibitText"/>
              <w:jc w:val="center"/>
              <w:rPr>
                <w:sz w:val="18"/>
                <w:szCs w:val="18"/>
                <w:lang w:val="en-GB"/>
              </w:rPr>
            </w:pPr>
            <w:r w:rsidRPr="00DA0C94">
              <w:rPr>
                <w:sz w:val="18"/>
                <w:szCs w:val="18"/>
                <w:lang w:val="en-GB"/>
              </w:rPr>
              <w:t>1.17</w:t>
            </w:r>
          </w:p>
        </w:tc>
        <w:tc>
          <w:tcPr>
            <w:tcW w:w="1590" w:type="dxa"/>
          </w:tcPr>
          <w:p w14:paraId="28417DB9" w14:textId="77777777" w:rsidR="00671D8A" w:rsidRPr="00DA0C94" w:rsidRDefault="00671D8A" w:rsidP="00671D8A">
            <w:pPr>
              <w:pStyle w:val="ExhibitText"/>
              <w:jc w:val="center"/>
              <w:rPr>
                <w:sz w:val="18"/>
                <w:szCs w:val="18"/>
                <w:lang w:val="en-GB"/>
              </w:rPr>
            </w:pPr>
            <w:r w:rsidRPr="00DA0C94">
              <w:rPr>
                <w:sz w:val="18"/>
                <w:szCs w:val="18"/>
                <w:lang w:val="en-GB"/>
              </w:rPr>
              <w:t>5.00</w:t>
            </w:r>
          </w:p>
        </w:tc>
        <w:tc>
          <w:tcPr>
            <w:tcW w:w="1920" w:type="dxa"/>
          </w:tcPr>
          <w:p w14:paraId="7380E9B0" w14:textId="77777777" w:rsidR="00671D8A" w:rsidRPr="00DA0C94" w:rsidRDefault="00671D8A" w:rsidP="00671D8A">
            <w:pPr>
              <w:pStyle w:val="ExhibitText"/>
              <w:jc w:val="center"/>
              <w:rPr>
                <w:sz w:val="18"/>
                <w:szCs w:val="18"/>
                <w:lang w:val="en-GB"/>
              </w:rPr>
            </w:pPr>
            <w:r w:rsidRPr="00DA0C94">
              <w:rPr>
                <w:sz w:val="18"/>
                <w:szCs w:val="18"/>
                <w:lang w:val="en-GB"/>
              </w:rPr>
              <w:t>11.58</w:t>
            </w:r>
          </w:p>
        </w:tc>
      </w:tr>
    </w:tbl>
    <w:p w14:paraId="7FBFF728" w14:textId="77777777" w:rsidR="00671D8A" w:rsidRPr="00DA0C94" w:rsidRDefault="00671D8A" w:rsidP="00671D8A">
      <w:pPr>
        <w:rPr>
          <w:b/>
          <w:sz w:val="18"/>
          <w:lang w:val="en-GB"/>
        </w:rPr>
      </w:pPr>
    </w:p>
    <w:p w14:paraId="0279A608" w14:textId="48FA8AC3" w:rsidR="00671D8A" w:rsidRPr="00DA0C94" w:rsidRDefault="00671D8A" w:rsidP="00671D8A">
      <w:pPr>
        <w:pStyle w:val="Footnote"/>
        <w:rPr>
          <w:lang w:val="en-GB"/>
        </w:rPr>
      </w:pPr>
      <w:r w:rsidRPr="00DA0C94">
        <w:rPr>
          <w:lang w:val="en-GB"/>
        </w:rPr>
        <w:t>Source: M</w:t>
      </w:r>
      <w:r w:rsidR="00C6044D">
        <w:rPr>
          <w:lang w:val="en-GB"/>
        </w:rPr>
        <w:t xml:space="preserve">organ </w:t>
      </w:r>
      <w:r w:rsidRPr="00DA0C94">
        <w:rPr>
          <w:lang w:val="en-GB"/>
        </w:rPr>
        <w:t>S</w:t>
      </w:r>
      <w:r w:rsidR="00C6044D">
        <w:rPr>
          <w:lang w:val="en-GB"/>
        </w:rPr>
        <w:t xml:space="preserve">tanley </w:t>
      </w:r>
      <w:r w:rsidRPr="00DA0C94">
        <w:rPr>
          <w:lang w:val="en-GB"/>
        </w:rPr>
        <w:t>C</w:t>
      </w:r>
      <w:r w:rsidR="00C6044D">
        <w:rPr>
          <w:lang w:val="en-GB"/>
        </w:rPr>
        <w:t xml:space="preserve">apital </w:t>
      </w:r>
      <w:r w:rsidRPr="00DA0C94">
        <w:rPr>
          <w:lang w:val="en-GB"/>
        </w:rPr>
        <w:t>I</w:t>
      </w:r>
      <w:r w:rsidR="00C6044D">
        <w:rPr>
          <w:lang w:val="en-GB"/>
        </w:rPr>
        <w:t>nternational</w:t>
      </w:r>
      <w:r w:rsidRPr="00DA0C94">
        <w:rPr>
          <w:lang w:val="en-GB"/>
        </w:rPr>
        <w:t xml:space="preserve"> Inc., 2014, accessed December 5, 2017.</w:t>
      </w:r>
    </w:p>
    <w:p w14:paraId="2804DA37" w14:textId="77777777" w:rsidR="00B57B82" w:rsidRPr="00DA0C94" w:rsidRDefault="00B57B82" w:rsidP="00B57B82">
      <w:pPr>
        <w:pStyle w:val="BodyTextMain"/>
        <w:rPr>
          <w:sz w:val="20"/>
          <w:lang w:val="en-GB"/>
        </w:rPr>
      </w:pPr>
      <w:bookmarkStart w:id="2" w:name="_3znysh7" w:colFirst="0" w:colLast="0"/>
      <w:bookmarkEnd w:id="2"/>
    </w:p>
    <w:sectPr w:rsidR="00B57B82" w:rsidRPr="00DA0C94"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70776" w14:textId="77777777" w:rsidR="00DC6B53" w:rsidRDefault="00DC6B53" w:rsidP="00D75295">
      <w:r>
        <w:separator/>
      </w:r>
    </w:p>
  </w:endnote>
  <w:endnote w:type="continuationSeparator" w:id="0">
    <w:p w14:paraId="6F0A8991" w14:textId="77777777" w:rsidR="00DC6B53" w:rsidRDefault="00DC6B5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14CE8" w14:textId="77777777" w:rsidR="00DC6B53" w:rsidRDefault="00DC6B53" w:rsidP="00D75295">
      <w:r>
        <w:separator/>
      </w:r>
    </w:p>
  </w:footnote>
  <w:footnote w:type="continuationSeparator" w:id="0">
    <w:p w14:paraId="28CAE3FB" w14:textId="77777777" w:rsidR="00DC6B53" w:rsidRDefault="00DC6B53" w:rsidP="00D75295">
      <w:r>
        <w:continuationSeparator/>
      </w:r>
    </w:p>
  </w:footnote>
  <w:footnote w:id="1">
    <w:p w14:paraId="2F1F20C7" w14:textId="56A4E73E" w:rsidR="0049661E" w:rsidRPr="00866A5B" w:rsidRDefault="0049661E" w:rsidP="00B57B82">
      <w:pPr>
        <w:pStyle w:val="Footnote"/>
      </w:pPr>
      <w:r w:rsidRPr="00866A5B">
        <w:rPr>
          <w:vertAlign w:val="superscript"/>
        </w:rPr>
        <w:footnoteRef/>
      </w:r>
      <w:r w:rsidRPr="00866A5B">
        <w:t xml:space="preserve"> Community Chest (Singapore) </w:t>
      </w:r>
      <w:r>
        <w:t>wa</w:t>
      </w:r>
      <w:r w:rsidRPr="00866A5B">
        <w:t>s a non-profit organization, part of the National Council of Social Service (NCSS) to support people by engaging communities in fundraising and volunteering programs.</w:t>
      </w:r>
    </w:p>
  </w:footnote>
  <w:footnote w:id="2">
    <w:p w14:paraId="58393F8B" w14:textId="0F482CBD" w:rsidR="0049661E" w:rsidRPr="00866A5B" w:rsidRDefault="0049661E" w:rsidP="00B57B82">
      <w:pPr>
        <w:pStyle w:val="Footnote"/>
      </w:pPr>
      <w:r w:rsidRPr="00866A5B">
        <w:rPr>
          <w:vertAlign w:val="superscript"/>
        </w:rPr>
        <w:footnoteRef/>
      </w:r>
      <w:r w:rsidRPr="00866A5B">
        <w:t xml:space="preserve"> SHARE st</w:t>
      </w:r>
      <w:r>
        <w:t>ood</w:t>
      </w:r>
      <w:r w:rsidRPr="00866A5B">
        <w:t xml:space="preserve"> for Social Help and Assistance Raised by Employees.</w:t>
      </w:r>
    </w:p>
  </w:footnote>
  <w:footnote w:id="3">
    <w:p w14:paraId="11C3AFB6" w14:textId="6E499A47" w:rsidR="0049661E" w:rsidRPr="001E73DD" w:rsidRDefault="0049661E">
      <w:pPr>
        <w:pStyle w:val="FootnoteText"/>
        <w:rPr>
          <w:b/>
          <w:spacing w:val="-2"/>
          <w:vertAlign w:val="superscript"/>
        </w:rPr>
      </w:pPr>
      <w:r w:rsidRPr="001E73DD">
        <w:rPr>
          <w:rFonts w:ascii="Arial" w:hAnsi="Arial" w:cs="Arial"/>
          <w:spacing w:val="-2"/>
          <w:sz w:val="17"/>
          <w:szCs w:val="17"/>
          <w:vertAlign w:val="superscript"/>
        </w:rPr>
        <w:footnoteRef/>
      </w:r>
      <w:r w:rsidRPr="001E73DD">
        <w:rPr>
          <w:rFonts w:ascii="Arial" w:hAnsi="Arial" w:cs="Arial"/>
          <w:spacing w:val="-2"/>
          <w:sz w:val="17"/>
          <w:szCs w:val="17"/>
        </w:rPr>
        <w:t xml:space="preserve"> S$ = SGD = Singapore dollar; S$</w:t>
      </w:r>
      <w:r w:rsidR="003C725A" w:rsidRPr="001E73DD">
        <w:rPr>
          <w:rFonts w:ascii="Arial" w:hAnsi="Arial" w:cs="Arial"/>
          <w:spacing w:val="-2"/>
          <w:sz w:val="17"/>
          <w:szCs w:val="17"/>
        </w:rPr>
        <w:t>1 = US$</w:t>
      </w:r>
      <w:r w:rsidR="00E96074" w:rsidRPr="001E73DD">
        <w:rPr>
          <w:rFonts w:ascii="Arial" w:hAnsi="Arial" w:cs="Arial"/>
          <w:spacing w:val="-2"/>
          <w:sz w:val="17"/>
          <w:szCs w:val="17"/>
        </w:rPr>
        <w:t>0.7922</w:t>
      </w:r>
      <w:r w:rsidRPr="001E73DD">
        <w:rPr>
          <w:rFonts w:ascii="Arial" w:hAnsi="Arial" w:cs="Arial"/>
          <w:spacing w:val="-2"/>
          <w:sz w:val="17"/>
          <w:szCs w:val="17"/>
        </w:rPr>
        <w:t xml:space="preserve"> on </w:t>
      </w:r>
      <w:r w:rsidR="00E96074" w:rsidRPr="001E73DD">
        <w:rPr>
          <w:rFonts w:ascii="Arial" w:hAnsi="Arial" w:cs="Arial"/>
          <w:spacing w:val="-2"/>
          <w:sz w:val="17"/>
          <w:szCs w:val="17"/>
        </w:rPr>
        <w:t>December</w:t>
      </w:r>
      <w:r w:rsidR="004875E0" w:rsidRPr="001E73DD">
        <w:rPr>
          <w:rFonts w:ascii="Arial" w:hAnsi="Arial" w:cs="Arial"/>
          <w:spacing w:val="-2"/>
          <w:sz w:val="17"/>
          <w:szCs w:val="17"/>
        </w:rPr>
        <w:t xml:space="preserve"> 31</w:t>
      </w:r>
      <w:r w:rsidR="00E96074" w:rsidRPr="001E73DD">
        <w:rPr>
          <w:rFonts w:ascii="Arial" w:hAnsi="Arial" w:cs="Arial"/>
          <w:spacing w:val="-2"/>
          <w:sz w:val="17"/>
          <w:szCs w:val="17"/>
        </w:rPr>
        <w:t>, 2013</w:t>
      </w:r>
      <w:r w:rsidRPr="001E73DD">
        <w:rPr>
          <w:rFonts w:ascii="Arial" w:hAnsi="Arial" w:cs="Arial"/>
          <w:spacing w:val="-2"/>
          <w:sz w:val="17"/>
          <w:szCs w:val="17"/>
        </w:rPr>
        <w:t xml:space="preserve">; all currency amounts are in S$ unless otherwise indicated. </w:t>
      </w:r>
    </w:p>
  </w:footnote>
  <w:footnote w:id="4">
    <w:p w14:paraId="0A55F5BE" w14:textId="1F7C42F5" w:rsidR="008C623B" w:rsidRDefault="008C623B" w:rsidP="008C623B">
      <w:pPr>
        <w:pStyle w:val="Footnote"/>
      </w:pPr>
      <w:bookmarkStart w:id="0" w:name="_1t3h5sf" w:colFirst="0" w:colLast="0"/>
      <w:bookmarkEnd w:id="0"/>
      <w:r>
        <w:rPr>
          <w:rStyle w:val="FootnoteReference"/>
        </w:rPr>
        <w:footnoteRef/>
      </w:r>
      <w:r>
        <w:t xml:space="preserve"> “Who We </w:t>
      </w:r>
      <w:proofErr w:type="gramStart"/>
      <w:r>
        <w:t>Are</w:t>
      </w:r>
      <w:proofErr w:type="gramEnd"/>
      <w:r>
        <w:t>,” accessed June 18, 2019, www.unglobalcompact.org/.</w:t>
      </w:r>
    </w:p>
  </w:footnote>
  <w:footnote w:id="5">
    <w:p w14:paraId="219E7513" w14:textId="7AC23AB9" w:rsidR="0049661E" w:rsidRPr="00866A5B" w:rsidRDefault="0049661E" w:rsidP="00B57B82">
      <w:pPr>
        <w:pStyle w:val="Footnote"/>
      </w:pPr>
      <w:r w:rsidRPr="00866A5B">
        <w:rPr>
          <w:vertAlign w:val="superscript"/>
        </w:rPr>
        <w:footnoteRef/>
      </w:r>
      <w:r w:rsidRPr="00866A5B">
        <w:t xml:space="preserve"> Heike Bruch and Frank Walter, </w:t>
      </w:r>
      <w:r w:rsidRPr="00866A5B">
        <w:rPr>
          <w:i/>
        </w:rPr>
        <w:t>"</w:t>
      </w:r>
      <w:r w:rsidRPr="00866A5B">
        <w:t>The Keys to Rethinking Corporate Philanthropy,</w:t>
      </w:r>
      <w:r w:rsidRPr="00866A5B">
        <w:rPr>
          <w:i/>
        </w:rPr>
        <w:t>"</w:t>
      </w:r>
      <w:r w:rsidRPr="00866A5B">
        <w:t xml:space="preserve"> </w:t>
      </w:r>
      <w:r w:rsidRPr="00BA7B97">
        <w:rPr>
          <w:i/>
        </w:rPr>
        <w:t>MIT Sloan Management Review</w:t>
      </w:r>
      <w:r>
        <w:t xml:space="preserve"> 47, no.1 (2005): 49–55.</w:t>
      </w:r>
      <w:r w:rsidRPr="00866A5B">
        <w:t xml:space="preserve"> </w:t>
      </w:r>
      <w:r w:rsidRPr="009B15EB">
        <w:t>Available</w:t>
      </w:r>
      <w:r w:rsidRPr="00821AB4">
        <w:t xml:space="preserve"> </w:t>
      </w:r>
      <w:r>
        <w:t>from Ivey Publishing, product no. SMR47111.</w:t>
      </w:r>
    </w:p>
  </w:footnote>
  <w:footnote w:id="6">
    <w:p w14:paraId="56FE1266" w14:textId="4F01DC0F" w:rsidR="0049661E" w:rsidRPr="00874D2C" w:rsidRDefault="0049661E" w:rsidP="00B57B82">
      <w:pPr>
        <w:pStyle w:val="Footnote"/>
        <w:rPr>
          <w:spacing w:val="-6"/>
        </w:rPr>
      </w:pPr>
      <w:r w:rsidRPr="00874D2C">
        <w:rPr>
          <w:spacing w:val="-6"/>
          <w:vertAlign w:val="superscript"/>
        </w:rPr>
        <w:footnoteRef/>
      </w:r>
      <w:r w:rsidR="00BC0DB0" w:rsidRPr="00874D2C">
        <w:rPr>
          <w:spacing w:val="-6"/>
        </w:rPr>
        <w:t xml:space="preserve"> </w:t>
      </w:r>
      <w:r w:rsidRPr="00874D2C">
        <w:rPr>
          <w:spacing w:val="-6"/>
        </w:rPr>
        <w:t xml:space="preserve">Rob Gross, </w:t>
      </w:r>
      <w:r w:rsidRPr="00874D2C">
        <w:rPr>
          <w:i/>
          <w:spacing w:val="-6"/>
        </w:rPr>
        <w:t>Corporate Social Responsibility and Employee Engagement: Making the Connection,</w:t>
      </w:r>
      <w:r w:rsidRPr="00874D2C">
        <w:rPr>
          <w:spacing w:val="-6"/>
        </w:rPr>
        <w:t xml:space="preserve"> white paper commissioned by Bill Holland, president, Mandrake, accessed December 27, 2017, </w:t>
      </w:r>
      <w:r w:rsidR="0018104B" w:rsidRPr="00874D2C">
        <w:rPr>
          <w:spacing w:val="-6"/>
        </w:rPr>
        <w:t>www.mandrake.ca/bill/images/corporate_responsibility_white_paper.pdf</w:t>
      </w:r>
      <w:r w:rsidRPr="00874D2C">
        <w:rPr>
          <w:spacing w:val="-6"/>
        </w:rPr>
        <w:t xml:space="preserve">. </w:t>
      </w:r>
    </w:p>
  </w:footnote>
  <w:footnote w:id="7">
    <w:p w14:paraId="6FFA61B5" w14:textId="2B1682A9" w:rsidR="0049661E" w:rsidRPr="00BA7B97" w:rsidRDefault="0049661E" w:rsidP="00B57B82">
      <w:pPr>
        <w:pStyle w:val="Footnote"/>
        <w:rPr>
          <w:b/>
        </w:rPr>
      </w:pPr>
      <w:r w:rsidRPr="00866A5B">
        <w:rPr>
          <w:vertAlign w:val="superscript"/>
        </w:rPr>
        <w:footnoteRef/>
      </w:r>
      <w:r w:rsidRPr="00866A5B">
        <w:t xml:space="preserve"> Jacquelyn Smith, “The Companies </w:t>
      </w:r>
      <w:r>
        <w:t>w</w:t>
      </w:r>
      <w:r w:rsidRPr="00866A5B">
        <w:t>ith the Best CSR Reputations</w:t>
      </w:r>
      <w:r w:rsidRPr="00866A5B">
        <w:rPr>
          <w:i/>
        </w:rPr>
        <w:t>,”</w:t>
      </w:r>
      <w:r w:rsidRPr="00866A5B">
        <w:t xml:space="preserve"> </w:t>
      </w:r>
      <w:r w:rsidRPr="00866A5B">
        <w:rPr>
          <w:i/>
        </w:rPr>
        <w:t>Forbes</w:t>
      </w:r>
      <w:r w:rsidRPr="00866A5B">
        <w:t xml:space="preserve">, October 2, 2013, </w:t>
      </w:r>
      <w:r>
        <w:t xml:space="preserve">accessed </w:t>
      </w:r>
      <w:r w:rsidR="007E3D9B" w:rsidRPr="00DA0C94">
        <w:rPr>
          <w:lang w:val="en-GB"/>
        </w:rPr>
        <w:t>December 5, 2017</w:t>
      </w:r>
      <w:r>
        <w:t xml:space="preserve">, </w:t>
      </w:r>
      <w:r w:rsidR="0018104B" w:rsidRPr="00874D2C">
        <w:t>www.forbes.com/sites/jacquelynsmith/2013/10/02/the-companies-with-the-best-csr-reputations-2/#6c7de84c34ff</w:t>
      </w:r>
      <w:r w:rsidRPr="00866A5B">
        <w:t xml:space="preserve">. </w:t>
      </w:r>
    </w:p>
  </w:footnote>
  <w:footnote w:id="8">
    <w:p w14:paraId="73834414" w14:textId="71F0E922" w:rsidR="0049661E" w:rsidRPr="00866A5B" w:rsidRDefault="0049661E" w:rsidP="00B57B82">
      <w:pPr>
        <w:pStyle w:val="Footnote"/>
      </w:pPr>
      <w:r w:rsidRPr="00866A5B">
        <w:rPr>
          <w:vertAlign w:val="superscript"/>
        </w:rPr>
        <w:footnoteRef/>
      </w:r>
      <w:r w:rsidRPr="00866A5B">
        <w:t xml:space="preserve"> Lois A. Mohr, Deborah J. Webb, and Katherine E. Harris, "Do Consumers Expect Companies to </w:t>
      </w:r>
      <w:r>
        <w:t>B</w:t>
      </w:r>
      <w:r w:rsidRPr="00866A5B">
        <w:t xml:space="preserve">e Socially Responsible? The Impact of Corporate Social Responsibility on Buying Behavior," </w:t>
      </w:r>
      <w:r w:rsidRPr="00BA7B97">
        <w:rPr>
          <w:i/>
        </w:rPr>
        <w:t>Journal of Consumer Affairs</w:t>
      </w:r>
      <w:r>
        <w:t xml:space="preserve"> 35</w:t>
      </w:r>
      <w:r w:rsidRPr="00866A5B">
        <w:t>,</w:t>
      </w:r>
      <w:r>
        <w:t xml:space="preserve"> no. 1</w:t>
      </w:r>
      <w:r w:rsidRPr="00866A5B">
        <w:t xml:space="preserve"> </w:t>
      </w:r>
      <w:r>
        <w:t>(</w:t>
      </w:r>
      <w:r w:rsidRPr="00866A5B">
        <w:t>2005</w:t>
      </w:r>
      <w:r>
        <w:t>): 45–72</w:t>
      </w:r>
      <w:r w:rsidRPr="00866A5B">
        <w:t>.</w:t>
      </w:r>
    </w:p>
  </w:footnote>
  <w:footnote w:id="9">
    <w:p w14:paraId="0DD79FB1" w14:textId="1E6284AA" w:rsidR="0049661E" w:rsidRPr="00866A5B" w:rsidRDefault="0049661E" w:rsidP="00B57B82">
      <w:pPr>
        <w:pStyle w:val="Footnote"/>
      </w:pPr>
      <w:r w:rsidRPr="00866A5B">
        <w:rPr>
          <w:vertAlign w:val="superscript"/>
        </w:rPr>
        <w:footnoteRef/>
      </w:r>
      <w:r w:rsidRPr="00866A5B">
        <w:t xml:space="preserve"> Archie B. Carroll, </w:t>
      </w:r>
      <w:r w:rsidRPr="00BA7B97">
        <w:rPr>
          <w:i/>
        </w:rPr>
        <w:t>Business and Society: Ethics, Sustainability, and Stakeholder Management</w:t>
      </w:r>
      <w:r w:rsidRPr="00866A5B">
        <w:t xml:space="preserve"> </w:t>
      </w:r>
      <w:r>
        <w:t>(</w:t>
      </w:r>
      <w:r w:rsidRPr="00866A5B">
        <w:t>Stamford</w:t>
      </w:r>
      <w:r>
        <w:t>, CT</w:t>
      </w:r>
      <w:r w:rsidRPr="00866A5B">
        <w:t xml:space="preserve">: Cengage </w:t>
      </w:r>
      <w:r>
        <w:t>L</w:t>
      </w:r>
      <w:r w:rsidRPr="00866A5B">
        <w:t>earning, 2013</w:t>
      </w:r>
      <w:r>
        <w:t>)</w:t>
      </w:r>
      <w:r w:rsidR="00974CF3">
        <w:t>:</w:t>
      </w:r>
      <w:r w:rsidR="00874D2C">
        <w:t xml:space="preserve"> 386</w:t>
      </w:r>
      <w:r w:rsidRPr="00866A5B">
        <w:t>.</w:t>
      </w:r>
    </w:p>
  </w:footnote>
  <w:footnote w:id="10">
    <w:p w14:paraId="2415F67C" w14:textId="7CBBE482" w:rsidR="0049661E" w:rsidRPr="00866A5B" w:rsidRDefault="0049661E" w:rsidP="00B57B82">
      <w:pPr>
        <w:pStyle w:val="Footnote"/>
      </w:pPr>
      <w:r w:rsidRPr="00866A5B">
        <w:rPr>
          <w:vertAlign w:val="superscript"/>
        </w:rPr>
        <w:footnoteRef/>
      </w:r>
      <w:r w:rsidRPr="00866A5B">
        <w:t xml:space="preserve"> Dana </w:t>
      </w:r>
      <w:proofErr w:type="spellStart"/>
      <w:r w:rsidRPr="00866A5B">
        <w:t>O’Donavan</w:t>
      </w:r>
      <w:proofErr w:type="spellEnd"/>
      <w:r w:rsidRPr="00866A5B">
        <w:t xml:space="preserve">, “Why Bother with Next-Generation Collaboration? Two Words: Differential Impact,” Living Cities, June 22, 2012, </w:t>
      </w:r>
      <w:r w:rsidR="00863DBC" w:rsidRPr="00420BCE">
        <w:t>www.livingcities.org/blog/116-why-bother-with-next-generation-collaboration-two-words-differential-impact</w:t>
      </w:r>
      <w:r w:rsidRPr="00866A5B">
        <w:t>.</w:t>
      </w:r>
    </w:p>
  </w:footnote>
  <w:footnote w:id="11">
    <w:p w14:paraId="799DBAD3" w14:textId="085AAC05" w:rsidR="0049661E" w:rsidRPr="00866A5B" w:rsidRDefault="0049661E" w:rsidP="00B57B82">
      <w:pPr>
        <w:pStyle w:val="Footnote"/>
      </w:pPr>
      <w:r w:rsidRPr="00B57B82">
        <w:rPr>
          <w:vertAlign w:val="superscript"/>
        </w:rPr>
        <w:footnoteRef/>
      </w:r>
      <w:r w:rsidRPr="00866A5B">
        <w:t xml:space="preserve"> </w:t>
      </w:r>
      <w:r>
        <w:t xml:space="preserve">Bruch and Walter, op. cit. </w:t>
      </w:r>
    </w:p>
  </w:footnote>
  <w:footnote w:id="12">
    <w:p w14:paraId="3315314E" w14:textId="09C12F66" w:rsidR="0049661E" w:rsidRPr="00B57B82" w:rsidRDefault="0049661E" w:rsidP="00B57B82">
      <w:pPr>
        <w:pStyle w:val="Footnote"/>
        <w:rPr>
          <w:spacing w:val="-2"/>
        </w:rPr>
      </w:pPr>
      <w:r w:rsidRPr="00B57B82">
        <w:rPr>
          <w:spacing w:val="-2"/>
          <w:vertAlign w:val="superscript"/>
        </w:rPr>
        <w:footnoteRef/>
      </w:r>
      <w:r w:rsidRPr="00B57B82">
        <w:rPr>
          <w:spacing w:val="-2"/>
        </w:rPr>
        <w:t xml:space="preserve"> Tracey Keys, Thomas W. </w:t>
      </w:r>
      <w:proofErr w:type="spellStart"/>
      <w:r w:rsidRPr="00B57B82">
        <w:rPr>
          <w:spacing w:val="-2"/>
        </w:rPr>
        <w:t>Malnight</w:t>
      </w:r>
      <w:proofErr w:type="spellEnd"/>
      <w:r w:rsidRPr="00B57B82">
        <w:rPr>
          <w:spacing w:val="-2"/>
        </w:rPr>
        <w:t xml:space="preserve">, and </w:t>
      </w:r>
      <w:proofErr w:type="spellStart"/>
      <w:r w:rsidRPr="00B57B82">
        <w:rPr>
          <w:spacing w:val="-2"/>
        </w:rPr>
        <w:t>Kees</w:t>
      </w:r>
      <w:proofErr w:type="spellEnd"/>
      <w:r w:rsidRPr="00B57B82">
        <w:rPr>
          <w:spacing w:val="-2"/>
        </w:rPr>
        <w:t xml:space="preserve"> </w:t>
      </w:r>
      <w:r>
        <w:rPr>
          <w:spacing w:val="-2"/>
        </w:rPr>
        <w:t>v</w:t>
      </w:r>
      <w:r w:rsidRPr="00B57B82">
        <w:rPr>
          <w:spacing w:val="-2"/>
        </w:rPr>
        <w:t xml:space="preserve">an </w:t>
      </w:r>
      <w:r>
        <w:rPr>
          <w:spacing w:val="-2"/>
        </w:rPr>
        <w:t>d</w:t>
      </w:r>
      <w:r w:rsidRPr="00B57B82">
        <w:rPr>
          <w:spacing w:val="-2"/>
        </w:rPr>
        <w:t xml:space="preserve">er </w:t>
      </w:r>
      <w:proofErr w:type="spellStart"/>
      <w:r w:rsidRPr="00B57B82">
        <w:rPr>
          <w:spacing w:val="-2"/>
        </w:rPr>
        <w:t>Graaf</w:t>
      </w:r>
      <w:proofErr w:type="spellEnd"/>
      <w:r w:rsidRPr="00B57B82">
        <w:rPr>
          <w:spacing w:val="-2"/>
        </w:rPr>
        <w:t xml:space="preserve">, </w:t>
      </w:r>
      <w:r w:rsidRPr="00BA7B97">
        <w:rPr>
          <w:i/>
          <w:spacing w:val="-2"/>
        </w:rPr>
        <w:t>Making the Most of Corporate Social Responsibility</w:t>
      </w:r>
      <w:r w:rsidRPr="00B57B82">
        <w:rPr>
          <w:spacing w:val="-2"/>
        </w:rPr>
        <w:t xml:space="preserve">, </w:t>
      </w:r>
      <w:r w:rsidRPr="00B57B82">
        <w:rPr>
          <w:i/>
          <w:spacing w:val="-2"/>
        </w:rPr>
        <w:t>McKinsey &amp; Company</w:t>
      </w:r>
      <w:r w:rsidRPr="00B57B82">
        <w:rPr>
          <w:spacing w:val="-2"/>
        </w:rPr>
        <w:t xml:space="preserve">, December 2009, </w:t>
      </w:r>
      <w:r>
        <w:rPr>
          <w:spacing w:val="-2"/>
        </w:rPr>
        <w:t xml:space="preserve">accessed </w:t>
      </w:r>
      <w:r w:rsidR="007E3D9B" w:rsidRPr="00DA0C94">
        <w:rPr>
          <w:lang w:val="en-GB"/>
        </w:rPr>
        <w:t>December 5, 2017</w:t>
      </w:r>
      <w:r w:rsidR="00863DBC">
        <w:rPr>
          <w:lang w:val="en-GB"/>
        </w:rPr>
        <w:t xml:space="preserve">, </w:t>
      </w:r>
      <w:r w:rsidR="00863DBC" w:rsidRPr="00420BCE">
        <w:rPr>
          <w:spacing w:val="-2"/>
        </w:rPr>
        <w:t>www.mckinsey.com/global-themes/leadership/making-the-most-of-corporate-social-responsibility</w:t>
      </w:r>
      <w:r w:rsidRPr="00B57B82">
        <w:rPr>
          <w:spacing w:val="-2"/>
        </w:rPr>
        <w:t>.</w:t>
      </w:r>
    </w:p>
  </w:footnote>
  <w:footnote w:id="13">
    <w:p w14:paraId="4F115287" w14:textId="49B35DA3" w:rsidR="0049661E" w:rsidRPr="00866A5B" w:rsidRDefault="0049661E" w:rsidP="00B57B82">
      <w:pPr>
        <w:pStyle w:val="Footnote"/>
      </w:pPr>
      <w:r w:rsidRPr="00866A5B">
        <w:rPr>
          <w:vertAlign w:val="superscript"/>
        </w:rPr>
        <w:footnoteRef/>
      </w:r>
      <w:r w:rsidRPr="00866A5B">
        <w:t xml:space="preserve"> </w:t>
      </w:r>
      <w:proofErr w:type="spellStart"/>
      <w:r w:rsidRPr="00866A5B">
        <w:t>Torben</w:t>
      </w:r>
      <w:proofErr w:type="spellEnd"/>
      <w:r w:rsidRPr="00866A5B">
        <w:t xml:space="preserve"> Rick, “What </w:t>
      </w:r>
      <w:r>
        <w:t>I</w:t>
      </w:r>
      <w:r w:rsidRPr="00866A5B">
        <w:t>s the Relationship between Corporate Culture and Strategy,</w:t>
      </w:r>
      <w:r w:rsidRPr="00866A5B">
        <w:rPr>
          <w:i/>
        </w:rPr>
        <w:t>”</w:t>
      </w:r>
      <w:r w:rsidRPr="00866A5B">
        <w:t xml:space="preserve"> June 7, 2013, </w:t>
      </w:r>
      <w:r>
        <w:t xml:space="preserve">accessed </w:t>
      </w:r>
      <w:r w:rsidR="007E3D9B" w:rsidRPr="00DA0C94">
        <w:rPr>
          <w:lang w:val="en-GB"/>
        </w:rPr>
        <w:t>December 5, 2017</w:t>
      </w:r>
      <w:r>
        <w:t xml:space="preserve">, </w:t>
      </w:r>
      <w:r w:rsidRPr="00B57B82">
        <w:t>www.torbenrick.eu/blog/strategy/relationship-between-culture-and-strategy/</w:t>
      </w:r>
      <w:r w:rsidRPr="00866A5B">
        <w:t xml:space="preserve">. </w:t>
      </w:r>
    </w:p>
  </w:footnote>
  <w:footnote w:id="14">
    <w:p w14:paraId="6697F309" w14:textId="4ACF434D" w:rsidR="0049661E" w:rsidRPr="00866A5B" w:rsidRDefault="0049661E" w:rsidP="00B57B82">
      <w:pPr>
        <w:pStyle w:val="Footnote"/>
      </w:pPr>
      <w:r w:rsidRPr="00866A5B">
        <w:rPr>
          <w:vertAlign w:val="superscript"/>
        </w:rPr>
        <w:footnoteRef/>
      </w:r>
      <w:r w:rsidRPr="00866A5B">
        <w:t xml:space="preserve"> </w:t>
      </w:r>
      <w:proofErr w:type="spellStart"/>
      <w:r w:rsidRPr="00866A5B">
        <w:t>Singtel’s</w:t>
      </w:r>
      <w:proofErr w:type="spellEnd"/>
      <w:r w:rsidRPr="00866A5B">
        <w:t xml:space="preserve"> core values </w:t>
      </w:r>
      <w:r>
        <w:t>we</w:t>
      </w:r>
      <w:r w:rsidRPr="00866A5B">
        <w:t>re integrity and ethics, teamwork, personal excellence, the challenger spirit</w:t>
      </w:r>
      <w:r>
        <w:t>,</w:t>
      </w:r>
      <w:r w:rsidRPr="00866A5B">
        <w:t xml:space="preserve"> and diversity</w:t>
      </w:r>
      <w:r>
        <w:t>.</w:t>
      </w:r>
    </w:p>
  </w:footnote>
  <w:footnote w:id="15">
    <w:p w14:paraId="6E5392FB" w14:textId="21F55965" w:rsidR="0049661E" w:rsidRPr="00B57B82" w:rsidRDefault="0049661E" w:rsidP="00B57B82">
      <w:pPr>
        <w:pStyle w:val="Footnote"/>
      </w:pPr>
      <w:r w:rsidRPr="00866A5B">
        <w:rPr>
          <w:vertAlign w:val="superscript"/>
        </w:rPr>
        <w:footnoteRef/>
      </w:r>
      <w:r w:rsidRPr="00866A5B">
        <w:t xml:space="preserve"> </w:t>
      </w:r>
      <w:proofErr w:type="spellStart"/>
      <w:r w:rsidRPr="00866A5B">
        <w:t>Bijaya</w:t>
      </w:r>
      <w:proofErr w:type="spellEnd"/>
      <w:r w:rsidRPr="00866A5B">
        <w:t xml:space="preserve"> Kumar </w:t>
      </w:r>
      <w:proofErr w:type="spellStart"/>
      <w:r w:rsidRPr="00866A5B">
        <w:t>Sundaray</w:t>
      </w:r>
      <w:proofErr w:type="spellEnd"/>
      <w:r w:rsidRPr="00866A5B">
        <w:t>, “Employee Engagement: A Driver of Organizational Effectiveness,</w:t>
      </w:r>
      <w:r w:rsidRPr="00866A5B">
        <w:rPr>
          <w:i/>
        </w:rPr>
        <w:t>”</w:t>
      </w:r>
      <w:r w:rsidRPr="00866A5B">
        <w:t xml:space="preserve"> </w:t>
      </w:r>
      <w:r w:rsidRPr="00866A5B">
        <w:rPr>
          <w:i/>
        </w:rPr>
        <w:t>European Journal of Business and Management</w:t>
      </w:r>
      <w:r>
        <w:rPr>
          <w:i/>
        </w:rPr>
        <w:t xml:space="preserve"> </w:t>
      </w:r>
      <w:r>
        <w:t>3, no. 8 (2011): 53–59</w:t>
      </w:r>
      <w:r w:rsidR="00041E70">
        <w:t>.</w:t>
      </w:r>
    </w:p>
  </w:footnote>
  <w:footnote w:id="16">
    <w:p w14:paraId="173AAAE9" w14:textId="5C732DDD" w:rsidR="0049661E" w:rsidRPr="00866A5B" w:rsidRDefault="0049661E" w:rsidP="00B57B82">
      <w:pPr>
        <w:pStyle w:val="Footnote"/>
      </w:pPr>
      <w:r w:rsidRPr="00866A5B">
        <w:rPr>
          <w:vertAlign w:val="superscript"/>
        </w:rPr>
        <w:footnoteRef/>
      </w:r>
      <w:r w:rsidRPr="00866A5B">
        <w:t xml:space="preserve"> </w:t>
      </w:r>
      <w:r>
        <w:t xml:space="preserve">Gross, op. cit. </w:t>
      </w:r>
    </w:p>
  </w:footnote>
  <w:footnote w:id="17">
    <w:p w14:paraId="40BB6CB5" w14:textId="6A05C81B" w:rsidR="0049661E" w:rsidRPr="00866A5B" w:rsidRDefault="0049661E" w:rsidP="00B57B82">
      <w:pPr>
        <w:pStyle w:val="Footnote"/>
      </w:pPr>
      <w:r w:rsidRPr="00866A5B">
        <w:rPr>
          <w:vertAlign w:val="superscript"/>
        </w:rPr>
        <w:footnoteRef/>
      </w:r>
      <w:r w:rsidRPr="00866A5B">
        <w:t xml:space="preserve"> Thomas Lys, James Naughton, </w:t>
      </w:r>
      <w:r>
        <w:t xml:space="preserve">and </w:t>
      </w:r>
      <w:r w:rsidRPr="00866A5B">
        <w:t>Clare Wang, “Pinpointing the Value in CSR,</w:t>
      </w:r>
      <w:r w:rsidRPr="00866A5B">
        <w:rPr>
          <w:i/>
        </w:rPr>
        <w:t>” Kellogg Insight</w:t>
      </w:r>
      <w:r w:rsidRPr="00866A5B">
        <w:t xml:space="preserve">, March 4, 2013, </w:t>
      </w:r>
      <w:r>
        <w:t xml:space="preserve">accessed </w:t>
      </w:r>
      <w:r w:rsidR="007E3D9B" w:rsidRPr="00DA0C94">
        <w:rPr>
          <w:lang w:val="en-GB"/>
        </w:rPr>
        <w:t>December 5, 2017</w:t>
      </w:r>
      <w:r>
        <w:t xml:space="preserve">, </w:t>
      </w:r>
      <w:hyperlink r:id="rId1">
        <w:r w:rsidRPr="00866A5B">
          <w:t>https://insight.kellogg.northwestern.edu/article/pinpointing_the_value_in_csr</w:t>
        </w:r>
      </w:hyperlink>
      <w:r w:rsidRPr="00866A5B">
        <w:t xml:space="preserve">. </w:t>
      </w:r>
    </w:p>
  </w:footnote>
  <w:footnote w:id="18">
    <w:p w14:paraId="71464134" w14:textId="0E5F47B6" w:rsidR="0049661E" w:rsidRPr="00866A5B" w:rsidRDefault="0049661E" w:rsidP="00B57B82">
      <w:pPr>
        <w:pStyle w:val="Footnote"/>
      </w:pPr>
      <w:r w:rsidRPr="00866A5B">
        <w:rPr>
          <w:vertAlign w:val="superscript"/>
        </w:rPr>
        <w:footnoteRef/>
      </w:r>
      <w:r w:rsidRPr="00866A5B">
        <w:t xml:space="preserve"> </w:t>
      </w:r>
      <w:r>
        <w:t xml:space="preserve">The </w:t>
      </w:r>
      <w:r w:rsidRPr="00866A5B">
        <w:t xml:space="preserve">NCSS </w:t>
      </w:r>
      <w:r>
        <w:t>wa</w:t>
      </w:r>
      <w:r w:rsidRPr="00866A5B">
        <w:t xml:space="preserve">s the umbrella body for some 450 </w:t>
      </w:r>
      <w:r>
        <w:t xml:space="preserve">voluntary welfare organizations </w:t>
      </w:r>
      <w:r w:rsidRPr="00866A5B">
        <w:t>in Singapore that provide</w:t>
      </w:r>
      <w:r>
        <w:t>d</w:t>
      </w:r>
      <w:r w:rsidRPr="00866A5B">
        <w:t xml:space="preserve"> leadership and direction in social services to enhance the capabilities of social service organizations and to provide strategic partnerships for social services.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2BA44924" w:rsidR="0049661E" w:rsidRPr="00C92CC4" w:rsidRDefault="0049661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71899">
      <w:rPr>
        <w:rFonts w:ascii="Arial" w:hAnsi="Arial"/>
        <w:b/>
        <w:noProof/>
      </w:rPr>
      <w:t>10</w:t>
    </w:r>
    <w:r>
      <w:rPr>
        <w:rFonts w:ascii="Arial" w:hAnsi="Arial"/>
        <w:b/>
      </w:rPr>
      <w:fldChar w:fldCharType="end"/>
    </w:r>
    <w:r>
      <w:rPr>
        <w:rFonts w:ascii="Arial" w:hAnsi="Arial"/>
        <w:b/>
      </w:rPr>
      <w:tab/>
    </w:r>
    <w:r w:rsidR="00615224">
      <w:rPr>
        <w:rFonts w:ascii="Arial" w:hAnsi="Arial"/>
        <w:b/>
      </w:rPr>
      <w:t>9B19M053</w:t>
    </w:r>
  </w:p>
  <w:p w14:paraId="2B53C0A0" w14:textId="77777777" w:rsidR="0049661E" w:rsidRDefault="0049661E" w:rsidP="00D13667">
    <w:pPr>
      <w:pStyle w:val="Header"/>
      <w:tabs>
        <w:tab w:val="clear" w:pos="4680"/>
      </w:tabs>
      <w:rPr>
        <w:sz w:val="18"/>
        <w:szCs w:val="18"/>
      </w:rPr>
    </w:pPr>
  </w:p>
  <w:p w14:paraId="47119730" w14:textId="77777777" w:rsidR="0049661E" w:rsidRPr="00C92CC4" w:rsidRDefault="0049661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A4DC4"/>
    <w:rsid w:val="0000085A"/>
    <w:rsid w:val="00000AC4"/>
    <w:rsid w:val="00007063"/>
    <w:rsid w:val="00013360"/>
    <w:rsid w:val="00016759"/>
    <w:rsid w:val="000216CE"/>
    <w:rsid w:val="00024ED4"/>
    <w:rsid w:val="00025DC7"/>
    <w:rsid w:val="00034A7C"/>
    <w:rsid w:val="00035F09"/>
    <w:rsid w:val="00041E70"/>
    <w:rsid w:val="00044ECC"/>
    <w:rsid w:val="00046D00"/>
    <w:rsid w:val="000531D3"/>
    <w:rsid w:val="00054335"/>
    <w:rsid w:val="0005646B"/>
    <w:rsid w:val="0008102D"/>
    <w:rsid w:val="00086B26"/>
    <w:rsid w:val="00094C0E"/>
    <w:rsid w:val="000A146D"/>
    <w:rsid w:val="000D2A2F"/>
    <w:rsid w:val="000D390C"/>
    <w:rsid w:val="000D7091"/>
    <w:rsid w:val="000F0C22"/>
    <w:rsid w:val="000F6B09"/>
    <w:rsid w:val="000F6FDA"/>
    <w:rsid w:val="000F6FDC"/>
    <w:rsid w:val="00104567"/>
    <w:rsid w:val="00104916"/>
    <w:rsid w:val="00104AA7"/>
    <w:rsid w:val="0012732D"/>
    <w:rsid w:val="00143F25"/>
    <w:rsid w:val="001513CA"/>
    <w:rsid w:val="00152682"/>
    <w:rsid w:val="00154FC9"/>
    <w:rsid w:val="00172009"/>
    <w:rsid w:val="0018104B"/>
    <w:rsid w:val="00181A4F"/>
    <w:rsid w:val="0019005A"/>
    <w:rsid w:val="0019241A"/>
    <w:rsid w:val="00192A18"/>
    <w:rsid w:val="00193AA7"/>
    <w:rsid w:val="001A22D1"/>
    <w:rsid w:val="001A752D"/>
    <w:rsid w:val="001A757E"/>
    <w:rsid w:val="001B5032"/>
    <w:rsid w:val="001C7777"/>
    <w:rsid w:val="001D344B"/>
    <w:rsid w:val="001E364F"/>
    <w:rsid w:val="001E73DD"/>
    <w:rsid w:val="001F035F"/>
    <w:rsid w:val="001F4222"/>
    <w:rsid w:val="00203AA1"/>
    <w:rsid w:val="00213E98"/>
    <w:rsid w:val="00213ECC"/>
    <w:rsid w:val="00220211"/>
    <w:rsid w:val="00230150"/>
    <w:rsid w:val="0023081A"/>
    <w:rsid w:val="00233111"/>
    <w:rsid w:val="00265FA8"/>
    <w:rsid w:val="00271899"/>
    <w:rsid w:val="00282DCE"/>
    <w:rsid w:val="002C4E29"/>
    <w:rsid w:val="002F460C"/>
    <w:rsid w:val="002F48D6"/>
    <w:rsid w:val="00317391"/>
    <w:rsid w:val="00326216"/>
    <w:rsid w:val="00335042"/>
    <w:rsid w:val="00336580"/>
    <w:rsid w:val="00354899"/>
    <w:rsid w:val="00355FD6"/>
    <w:rsid w:val="00357685"/>
    <w:rsid w:val="00364A5C"/>
    <w:rsid w:val="00365DE7"/>
    <w:rsid w:val="00373FB1"/>
    <w:rsid w:val="00381C4E"/>
    <w:rsid w:val="00396C76"/>
    <w:rsid w:val="003B30D8"/>
    <w:rsid w:val="003B7EF2"/>
    <w:rsid w:val="003C3FA4"/>
    <w:rsid w:val="003C725A"/>
    <w:rsid w:val="003D0BA1"/>
    <w:rsid w:val="003E5875"/>
    <w:rsid w:val="003F2B0C"/>
    <w:rsid w:val="004105B2"/>
    <w:rsid w:val="0041145A"/>
    <w:rsid w:val="00412900"/>
    <w:rsid w:val="00420BCE"/>
    <w:rsid w:val="004221E4"/>
    <w:rsid w:val="00422E04"/>
    <w:rsid w:val="004273F8"/>
    <w:rsid w:val="004355A3"/>
    <w:rsid w:val="00446546"/>
    <w:rsid w:val="00452769"/>
    <w:rsid w:val="00454FA7"/>
    <w:rsid w:val="00465348"/>
    <w:rsid w:val="004670BB"/>
    <w:rsid w:val="004875E0"/>
    <w:rsid w:val="0049661E"/>
    <w:rsid w:val="004979A5"/>
    <w:rsid w:val="004A123D"/>
    <w:rsid w:val="004A25E0"/>
    <w:rsid w:val="004B1CCB"/>
    <w:rsid w:val="004B632F"/>
    <w:rsid w:val="004C1B36"/>
    <w:rsid w:val="004D3FB1"/>
    <w:rsid w:val="004D6F21"/>
    <w:rsid w:val="004D73A5"/>
    <w:rsid w:val="005160F1"/>
    <w:rsid w:val="00524F2F"/>
    <w:rsid w:val="00527E5C"/>
    <w:rsid w:val="00532CF5"/>
    <w:rsid w:val="0054069F"/>
    <w:rsid w:val="00546C22"/>
    <w:rsid w:val="005528CB"/>
    <w:rsid w:val="00556891"/>
    <w:rsid w:val="00566771"/>
    <w:rsid w:val="00576078"/>
    <w:rsid w:val="00581E2E"/>
    <w:rsid w:val="00584F15"/>
    <w:rsid w:val="0059514B"/>
    <w:rsid w:val="005A1B0F"/>
    <w:rsid w:val="005B5EFE"/>
    <w:rsid w:val="00615224"/>
    <w:rsid w:val="006163F7"/>
    <w:rsid w:val="0061734D"/>
    <w:rsid w:val="006228F5"/>
    <w:rsid w:val="00623FCB"/>
    <w:rsid w:val="00627C63"/>
    <w:rsid w:val="0063350B"/>
    <w:rsid w:val="00643220"/>
    <w:rsid w:val="00652606"/>
    <w:rsid w:val="00671D8A"/>
    <w:rsid w:val="006946EE"/>
    <w:rsid w:val="006A58A9"/>
    <w:rsid w:val="006A606D"/>
    <w:rsid w:val="006A7C58"/>
    <w:rsid w:val="006B2549"/>
    <w:rsid w:val="006B5FAC"/>
    <w:rsid w:val="006C0371"/>
    <w:rsid w:val="006C08B6"/>
    <w:rsid w:val="006C0B1A"/>
    <w:rsid w:val="006C6065"/>
    <w:rsid w:val="006C7F9F"/>
    <w:rsid w:val="006D1175"/>
    <w:rsid w:val="006E2F6D"/>
    <w:rsid w:val="006E58F6"/>
    <w:rsid w:val="006E77E1"/>
    <w:rsid w:val="006F131D"/>
    <w:rsid w:val="00705070"/>
    <w:rsid w:val="00711642"/>
    <w:rsid w:val="00737C5A"/>
    <w:rsid w:val="007507C6"/>
    <w:rsid w:val="00751E0B"/>
    <w:rsid w:val="00752BCD"/>
    <w:rsid w:val="00766DA1"/>
    <w:rsid w:val="00772C2B"/>
    <w:rsid w:val="00780D94"/>
    <w:rsid w:val="007866A6"/>
    <w:rsid w:val="0079057E"/>
    <w:rsid w:val="007A130D"/>
    <w:rsid w:val="007B7846"/>
    <w:rsid w:val="007C7C53"/>
    <w:rsid w:val="007D1A2D"/>
    <w:rsid w:val="007D3D05"/>
    <w:rsid w:val="007D4102"/>
    <w:rsid w:val="007E3D9B"/>
    <w:rsid w:val="007E54A7"/>
    <w:rsid w:val="007F25B2"/>
    <w:rsid w:val="007F43B7"/>
    <w:rsid w:val="00821AB4"/>
    <w:rsid w:val="00821FFC"/>
    <w:rsid w:val="008271CA"/>
    <w:rsid w:val="008448D3"/>
    <w:rsid w:val="008467D5"/>
    <w:rsid w:val="00863DBC"/>
    <w:rsid w:val="008734DF"/>
    <w:rsid w:val="00874D2C"/>
    <w:rsid w:val="008A0074"/>
    <w:rsid w:val="008A4DC4"/>
    <w:rsid w:val="008B438C"/>
    <w:rsid w:val="008C623B"/>
    <w:rsid w:val="008D06CA"/>
    <w:rsid w:val="008D3A46"/>
    <w:rsid w:val="008F2385"/>
    <w:rsid w:val="009067A4"/>
    <w:rsid w:val="00930885"/>
    <w:rsid w:val="00933D68"/>
    <w:rsid w:val="009340DB"/>
    <w:rsid w:val="0094618C"/>
    <w:rsid w:val="0095684B"/>
    <w:rsid w:val="009600A6"/>
    <w:rsid w:val="00972498"/>
    <w:rsid w:val="0097481F"/>
    <w:rsid w:val="00974CC6"/>
    <w:rsid w:val="00974CF3"/>
    <w:rsid w:val="00976AD4"/>
    <w:rsid w:val="00995547"/>
    <w:rsid w:val="009A312F"/>
    <w:rsid w:val="009A5348"/>
    <w:rsid w:val="009B0AB7"/>
    <w:rsid w:val="009B15EB"/>
    <w:rsid w:val="009C12C4"/>
    <w:rsid w:val="009C76D5"/>
    <w:rsid w:val="009D4483"/>
    <w:rsid w:val="009F7AA4"/>
    <w:rsid w:val="00A10AD7"/>
    <w:rsid w:val="00A114C6"/>
    <w:rsid w:val="00A559DB"/>
    <w:rsid w:val="00A569EA"/>
    <w:rsid w:val="00A676A0"/>
    <w:rsid w:val="00A85D00"/>
    <w:rsid w:val="00A86257"/>
    <w:rsid w:val="00A9623F"/>
    <w:rsid w:val="00AB17D9"/>
    <w:rsid w:val="00AB71DA"/>
    <w:rsid w:val="00AE395C"/>
    <w:rsid w:val="00AF35FC"/>
    <w:rsid w:val="00AF5556"/>
    <w:rsid w:val="00B03639"/>
    <w:rsid w:val="00B0652A"/>
    <w:rsid w:val="00B24B51"/>
    <w:rsid w:val="00B40937"/>
    <w:rsid w:val="00B423EF"/>
    <w:rsid w:val="00B453DE"/>
    <w:rsid w:val="00B57B82"/>
    <w:rsid w:val="00B62497"/>
    <w:rsid w:val="00B70E8E"/>
    <w:rsid w:val="00B72597"/>
    <w:rsid w:val="00B740D2"/>
    <w:rsid w:val="00B86729"/>
    <w:rsid w:val="00B87DC0"/>
    <w:rsid w:val="00B901F9"/>
    <w:rsid w:val="00BA7B97"/>
    <w:rsid w:val="00BC0DB0"/>
    <w:rsid w:val="00BC4D98"/>
    <w:rsid w:val="00BD6EFB"/>
    <w:rsid w:val="00BE3DF5"/>
    <w:rsid w:val="00BF5EAB"/>
    <w:rsid w:val="00C02410"/>
    <w:rsid w:val="00C10812"/>
    <w:rsid w:val="00C1584D"/>
    <w:rsid w:val="00C15BE2"/>
    <w:rsid w:val="00C3447F"/>
    <w:rsid w:val="00C44714"/>
    <w:rsid w:val="00C6044D"/>
    <w:rsid w:val="00C67102"/>
    <w:rsid w:val="00C81491"/>
    <w:rsid w:val="00C81676"/>
    <w:rsid w:val="00C857CC"/>
    <w:rsid w:val="00C85C5D"/>
    <w:rsid w:val="00C92CC4"/>
    <w:rsid w:val="00CA0AFB"/>
    <w:rsid w:val="00CA2CE1"/>
    <w:rsid w:val="00CA3976"/>
    <w:rsid w:val="00CA50E3"/>
    <w:rsid w:val="00CA6F23"/>
    <w:rsid w:val="00CA757B"/>
    <w:rsid w:val="00CC1787"/>
    <w:rsid w:val="00CC182C"/>
    <w:rsid w:val="00CD0824"/>
    <w:rsid w:val="00CD0D4F"/>
    <w:rsid w:val="00CD2908"/>
    <w:rsid w:val="00CF6A70"/>
    <w:rsid w:val="00D03A82"/>
    <w:rsid w:val="00D13667"/>
    <w:rsid w:val="00D15344"/>
    <w:rsid w:val="00D21140"/>
    <w:rsid w:val="00D23F57"/>
    <w:rsid w:val="00D309F7"/>
    <w:rsid w:val="00D31BEC"/>
    <w:rsid w:val="00D51E5B"/>
    <w:rsid w:val="00D572F2"/>
    <w:rsid w:val="00D6059D"/>
    <w:rsid w:val="00D63150"/>
    <w:rsid w:val="00D636BA"/>
    <w:rsid w:val="00D64A32"/>
    <w:rsid w:val="00D64EFC"/>
    <w:rsid w:val="00D75295"/>
    <w:rsid w:val="00D76CE9"/>
    <w:rsid w:val="00D97F12"/>
    <w:rsid w:val="00DA0C94"/>
    <w:rsid w:val="00DA6095"/>
    <w:rsid w:val="00DB42E7"/>
    <w:rsid w:val="00DB6F9B"/>
    <w:rsid w:val="00DC09D8"/>
    <w:rsid w:val="00DC6B53"/>
    <w:rsid w:val="00DE01A6"/>
    <w:rsid w:val="00DE7A98"/>
    <w:rsid w:val="00DF32C2"/>
    <w:rsid w:val="00E32ABD"/>
    <w:rsid w:val="00E471A7"/>
    <w:rsid w:val="00E5213E"/>
    <w:rsid w:val="00E635CF"/>
    <w:rsid w:val="00E91005"/>
    <w:rsid w:val="00E96074"/>
    <w:rsid w:val="00EB010E"/>
    <w:rsid w:val="00EB1E3B"/>
    <w:rsid w:val="00EC3AB1"/>
    <w:rsid w:val="00EC6E0A"/>
    <w:rsid w:val="00ED4E18"/>
    <w:rsid w:val="00ED7922"/>
    <w:rsid w:val="00EE02C4"/>
    <w:rsid w:val="00EE1F37"/>
    <w:rsid w:val="00F0159C"/>
    <w:rsid w:val="00F105B7"/>
    <w:rsid w:val="00F13220"/>
    <w:rsid w:val="00F17A21"/>
    <w:rsid w:val="00F37B27"/>
    <w:rsid w:val="00F46556"/>
    <w:rsid w:val="00F47919"/>
    <w:rsid w:val="00F50E91"/>
    <w:rsid w:val="00F57D29"/>
    <w:rsid w:val="00F60786"/>
    <w:rsid w:val="00F819FC"/>
    <w:rsid w:val="00F91B62"/>
    <w:rsid w:val="00F91BC7"/>
    <w:rsid w:val="00F96201"/>
    <w:rsid w:val="00FA1BBC"/>
    <w:rsid w:val="00FA2261"/>
    <w:rsid w:val="00FD0B18"/>
    <w:rsid w:val="00FD0EFD"/>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DEFBC626-E0F8-4C98-99B8-5B6C310A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7F25B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sight.kellogg.northwestern.edu/article/pinpointing_the_value_in_c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83785-4973-43C5-A30F-715C0D850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4621</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2019-03-19T13:46:00Z</cp:lastPrinted>
  <dcterms:created xsi:type="dcterms:W3CDTF">2019-06-07T18:44:00Z</dcterms:created>
  <dcterms:modified xsi:type="dcterms:W3CDTF">2019-06-18T18:01:00Z</dcterms:modified>
</cp:coreProperties>
</file>