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23DDBB4" w14:textId="1CC37FBE" w:rsidR="00DC4821" w:rsidRPr="00A43F68" w:rsidRDefault="00A43F68" w:rsidP="00C02410">
      <w:pPr>
        <w:pBdr>
          <w:bottom w:val="single" w:sz="18" w:space="1" w:color="auto"/>
        </w:pBdr>
        <w:tabs>
          <w:tab w:val="left" w:pos="-1440"/>
          <w:tab w:val="left" w:pos="-720"/>
          <w:tab w:val="left" w:pos="1"/>
        </w:tabs>
        <w:jc w:val="both"/>
        <w:rPr>
          <w:rFonts w:ascii="Arial" w:hAnsi="Arial"/>
          <w:b/>
          <w:noProof/>
          <w:sz w:val="24"/>
          <w:lang w:val="en-CA" w:eastAsia="zh-CN"/>
        </w:rPr>
      </w:pPr>
      <w:r w:rsidRPr="00A43F68">
        <w:rPr>
          <w:rFonts w:ascii="Arial" w:hAnsi="Arial"/>
          <w:b/>
          <w:noProof/>
          <w:sz w:val="24"/>
          <w:lang w:val="en-CA" w:eastAsia="en-CA"/>
        </w:rPr>
        <w:drawing>
          <wp:inline distT="0" distB="0" distL="0" distR="0" wp14:anchorId="1C6CFE02" wp14:editId="1C595797">
            <wp:extent cx="2613804" cy="551245"/>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14:paraId="61BBD9A0" w14:textId="2682DBB4" w:rsidR="00C02410" w:rsidRPr="00A43F68" w:rsidRDefault="00EB600D" w:rsidP="00C02410">
      <w:pPr>
        <w:pStyle w:val="ProductNumber"/>
        <w:rPr>
          <w:lang w:val="en-CA"/>
        </w:rPr>
      </w:pPr>
      <w:r w:rsidRPr="00A43F68">
        <w:rPr>
          <w:lang w:val="en-CA"/>
        </w:rPr>
        <w:t>9B19M</w:t>
      </w:r>
      <w:r w:rsidR="00A43F68" w:rsidRPr="00A43F68">
        <w:rPr>
          <w:lang w:val="en-CA"/>
        </w:rPr>
        <w:t>054</w:t>
      </w:r>
    </w:p>
    <w:p w14:paraId="4E057522" w14:textId="7A113CB1" w:rsidR="00D75295" w:rsidRPr="00A43F68" w:rsidRDefault="00D75295" w:rsidP="00D75295">
      <w:pPr>
        <w:jc w:val="right"/>
        <w:rPr>
          <w:rFonts w:ascii="Arial" w:hAnsi="Arial"/>
          <w:b/>
          <w:lang w:val="en-CA"/>
        </w:rPr>
      </w:pPr>
    </w:p>
    <w:p w14:paraId="02524312" w14:textId="77777777" w:rsidR="001901C0" w:rsidRPr="00A43F68" w:rsidRDefault="001901C0" w:rsidP="00D75295">
      <w:pPr>
        <w:jc w:val="right"/>
        <w:rPr>
          <w:rFonts w:ascii="Arial" w:hAnsi="Arial"/>
          <w:b/>
          <w:lang w:val="en-CA"/>
        </w:rPr>
      </w:pPr>
    </w:p>
    <w:p w14:paraId="2F03D26A" w14:textId="0C96B32E" w:rsidR="006D171A" w:rsidRPr="00A43F68" w:rsidRDefault="003D30B2" w:rsidP="00013360">
      <w:pPr>
        <w:pStyle w:val="CaseTitle"/>
        <w:spacing w:after="0" w:line="240" w:lineRule="auto"/>
        <w:rPr>
          <w:sz w:val="20"/>
          <w:szCs w:val="20"/>
          <w:lang w:val="en-CA"/>
        </w:rPr>
      </w:pPr>
      <w:r w:rsidRPr="00A43F68">
        <w:rPr>
          <w:lang w:val="en-CA"/>
        </w:rPr>
        <w:t>tassal GROUP LIMITED: from SALMON TO A BROADER SEAFOOD MARKET</w:t>
      </w:r>
      <w:r w:rsidR="006D171A" w:rsidRPr="00A43F68">
        <w:rPr>
          <w:rStyle w:val="EndnoteReference"/>
          <w:lang w:val="en-CA"/>
        </w:rPr>
        <w:endnoteReference w:id="1"/>
      </w:r>
    </w:p>
    <w:p w14:paraId="40ABF6FD" w14:textId="77777777" w:rsidR="006D171A" w:rsidRPr="00A43F68" w:rsidRDefault="006D171A" w:rsidP="00013360">
      <w:pPr>
        <w:pStyle w:val="CaseTitle"/>
        <w:spacing w:after="0" w:line="240" w:lineRule="auto"/>
        <w:rPr>
          <w:sz w:val="20"/>
          <w:szCs w:val="20"/>
          <w:lang w:val="en-CA"/>
        </w:rPr>
      </w:pPr>
    </w:p>
    <w:p w14:paraId="202F1085" w14:textId="77777777" w:rsidR="006D171A" w:rsidRPr="00A43F68" w:rsidRDefault="006D171A" w:rsidP="00013360">
      <w:pPr>
        <w:pStyle w:val="CaseTitle"/>
        <w:spacing w:after="0" w:line="240" w:lineRule="auto"/>
        <w:rPr>
          <w:sz w:val="20"/>
          <w:szCs w:val="20"/>
          <w:lang w:val="en-CA"/>
        </w:rPr>
      </w:pPr>
    </w:p>
    <w:p w14:paraId="58B0C73F" w14:textId="38BDA4AE" w:rsidR="006D171A" w:rsidRPr="00A43F68" w:rsidRDefault="00A43F68" w:rsidP="00086B26">
      <w:pPr>
        <w:pStyle w:val="StyleCopyrightStatementAfter0ptBottomSinglesolidline1"/>
        <w:rPr>
          <w:lang w:val="en-CA"/>
        </w:rPr>
      </w:pPr>
      <w:r w:rsidRPr="00A43F68">
        <w:rPr>
          <w:lang w:val="en-CA"/>
        </w:rPr>
        <w:t xml:space="preserve">Wiboon Kittilaksanawong and </w:t>
      </w:r>
      <w:r w:rsidR="006D171A" w:rsidRPr="00A43F68">
        <w:rPr>
          <w:lang w:val="en-CA"/>
        </w:rPr>
        <w:t>Deborah Lea Broadby</w:t>
      </w:r>
      <w:r w:rsidR="006D171A" w:rsidRPr="00A43F68">
        <w:rPr>
          <w:rFonts w:cs="Arial"/>
          <w:szCs w:val="16"/>
          <w:lang w:val="en-CA"/>
        </w:rPr>
        <w:t xml:space="preserve"> </w:t>
      </w:r>
      <w:r w:rsidR="006D171A" w:rsidRPr="00A43F68">
        <w:rPr>
          <w:lang w:val="en-CA"/>
        </w:rPr>
        <w:t>wrote this case solely to provide material for class discussion. The authors do not intend to illustrate either effective or ineffective handling of a managerial situation. The authors may have disguised certain names and other identifying information to protect confidentiality.</w:t>
      </w:r>
    </w:p>
    <w:p w14:paraId="10D89D5F" w14:textId="65048820" w:rsidR="006D171A" w:rsidRPr="00A43F68" w:rsidRDefault="006D171A" w:rsidP="00086B26">
      <w:pPr>
        <w:pStyle w:val="StyleCopyrightStatementAfter0ptBottomSinglesolidline1"/>
        <w:rPr>
          <w:lang w:val="en-CA"/>
        </w:rPr>
      </w:pPr>
    </w:p>
    <w:p w14:paraId="6C63232B" w14:textId="77777777" w:rsidR="00A43F68" w:rsidRPr="00A43F68" w:rsidRDefault="00A43F68" w:rsidP="00A43F68">
      <w:pPr>
        <w:pStyle w:val="StyleStyleCopyrightStatementAfter0ptBottomSinglesolid"/>
        <w:rPr>
          <w:rFonts w:cs="Arial"/>
          <w:color w:val="FFFFFF" w:themeColor="background1"/>
          <w:szCs w:val="16"/>
          <w:lang w:val="en-CA"/>
        </w:rPr>
      </w:pPr>
      <w:r w:rsidRPr="00A43F68">
        <w:rPr>
          <w:rFonts w:cs="Arial"/>
          <w:szCs w:val="16"/>
          <w:lang w:val="en-CA"/>
        </w:rPr>
        <w:t xml:space="preserve">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cases@ivey.ca; www.iveycases.com. Our goal is to publish materials of the highest quality; submit any errata to publishcases@ivey.ca. </w:t>
      </w:r>
      <w:r w:rsidRPr="00A43F68">
        <w:rPr>
          <w:rFonts w:cs="Arial"/>
          <w:color w:val="FFFFFF" w:themeColor="background1"/>
          <w:szCs w:val="16"/>
          <w:lang w:val="en-CA"/>
        </w:rPr>
        <w:t>i1v2e5y5pubs</w:t>
      </w:r>
    </w:p>
    <w:p w14:paraId="38575EF0" w14:textId="77777777" w:rsidR="00A43F68" w:rsidRPr="00A43F68" w:rsidRDefault="00A43F68" w:rsidP="00A43F68">
      <w:pPr>
        <w:pStyle w:val="StyleStyleCopyrightStatementAfter0ptBottomSinglesolid"/>
        <w:rPr>
          <w:rFonts w:cs="Arial"/>
          <w:color w:val="FFFFFF" w:themeColor="background1"/>
          <w:szCs w:val="16"/>
          <w:lang w:val="en-CA"/>
        </w:rPr>
      </w:pPr>
    </w:p>
    <w:p w14:paraId="3922E14F" w14:textId="5D28302B" w:rsidR="006D171A" w:rsidRPr="00A43F68" w:rsidRDefault="00A43F68" w:rsidP="00A323B0">
      <w:pPr>
        <w:pStyle w:val="StyleStyleCopyrightStatementAfter0ptBottomSinglesolid"/>
        <w:rPr>
          <w:rFonts w:cs="Arial"/>
          <w:color w:val="FFFFFF" w:themeColor="background1"/>
          <w:szCs w:val="16"/>
          <w:lang w:val="en-CA"/>
        </w:rPr>
      </w:pPr>
      <w:r w:rsidRPr="00A43F68">
        <w:rPr>
          <w:rFonts w:cs="Arial"/>
          <w:iCs w:val="0"/>
          <w:color w:val="auto"/>
          <w:szCs w:val="16"/>
          <w:lang w:val="en-CA"/>
        </w:rPr>
        <w:t>Copyright © 2019, Ivey Business School Foundation</w:t>
      </w:r>
      <w:r w:rsidR="00A63B74" w:rsidRPr="00A43F68">
        <w:rPr>
          <w:rFonts w:cs="Arial"/>
          <w:iCs w:val="0"/>
          <w:color w:val="auto"/>
          <w:szCs w:val="16"/>
          <w:lang w:val="en-CA"/>
        </w:rPr>
        <w:tab/>
        <w:t>Version: 2019-06</w:t>
      </w:r>
      <w:r w:rsidR="006D171A" w:rsidRPr="00A43F68">
        <w:rPr>
          <w:rFonts w:cs="Arial"/>
          <w:iCs w:val="0"/>
          <w:color w:val="auto"/>
          <w:szCs w:val="16"/>
          <w:lang w:val="en-CA"/>
        </w:rPr>
        <w:t>-</w:t>
      </w:r>
      <w:r w:rsidR="007A46C8" w:rsidRPr="00A43F68">
        <w:rPr>
          <w:rFonts w:cs="Arial"/>
          <w:iCs w:val="0"/>
          <w:color w:val="auto"/>
          <w:szCs w:val="16"/>
          <w:lang w:val="en-CA" w:eastAsia="zh-CN"/>
        </w:rPr>
        <w:t>1</w:t>
      </w:r>
      <w:r w:rsidRPr="00A43F68">
        <w:rPr>
          <w:rFonts w:cs="Arial"/>
          <w:iCs w:val="0"/>
          <w:color w:val="auto"/>
          <w:szCs w:val="16"/>
          <w:lang w:val="en-CA" w:eastAsia="zh-CN"/>
        </w:rPr>
        <w:t>7</w:t>
      </w:r>
    </w:p>
    <w:p w14:paraId="0A2A54E4" w14:textId="77777777" w:rsidR="006D171A" w:rsidRPr="00A43F68" w:rsidRDefault="006D171A" w:rsidP="00751E0B">
      <w:pPr>
        <w:pStyle w:val="StyleCopyrightStatementAfter0ptBottomSinglesolidline1"/>
        <w:rPr>
          <w:rFonts w:ascii="Times New Roman" w:hAnsi="Times New Roman"/>
          <w:sz w:val="20"/>
          <w:lang w:val="en-CA"/>
        </w:rPr>
      </w:pPr>
    </w:p>
    <w:p w14:paraId="0739BFC6" w14:textId="77777777" w:rsidR="006D171A" w:rsidRPr="00A43F68" w:rsidRDefault="006D171A" w:rsidP="00751E0B">
      <w:pPr>
        <w:pStyle w:val="StyleCopyrightStatementAfter0ptBottomSinglesolidline1"/>
        <w:rPr>
          <w:rFonts w:ascii="Times New Roman" w:hAnsi="Times New Roman"/>
          <w:sz w:val="20"/>
          <w:lang w:val="en-CA"/>
        </w:rPr>
      </w:pPr>
    </w:p>
    <w:p w14:paraId="562D9D7E" w14:textId="5EC394F9" w:rsidR="006D171A" w:rsidRPr="00A43F68" w:rsidRDefault="006D171A" w:rsidP="003D30B2">
      <w:pPr>
        <w:jc w:val="right"/>
        <w:rPr>
          <w:kern w:val="2"/>
          <w:sz w:val="22"/>
          <w:szCs w:val="22"/>
          <w:lang w:val="en-CA"/>
        </w:rPr>
      </w:pPr>
      <w:r w:rsidRPr="00A43F68">
        <w:rPr>
          <w:kern w:val="2"/>
          <w:sz w:val="22"/>
          <w:szCs w:val="22"/>
          <w:lang w:val="en-CA"/>
        </w:rPr>
        <w:t>The proposed acquisition of De Costi Seafoods will further build on our domestic salmon capabilities, increase Tassal’s vertical integration in salmon, drive increased scale, and provide Tassal with access to the broader seafood market. This increased scale will drive further efficiencies and benefits to both Tassal’s salmon offering as well as seafood, and uniquely position Tassal for its next phase of growth.</w:t>
      </w:r>
      <w:r w:rsidRPr="00A43F68">
        <w:rPr>
          <w:kern w:val="2"/>
          <w:sz w:val="22"/>
          <w:szCs w:val="22"/>
          <w:vertAlign w:val="superscript"/>
          <w:lang w:val="en-CA"/>
        </w:rPr>
        <w:endnoteReference w:id="2"/>
      </w:r>
    </w:p>
    <w:p w14:paraId="2EFFC36A" w14:textId="77777777" w:rsidR="006D171A" w:rsidRPr="00A43F68" w:rsidRDefault="006D171A" w:rsidP="003D30B2">
      <w:pPr>
        <w:jc w:val="both"/>
        <w:rPr>
          <w:kern w:val="2"/>
          <w:sz w:val="22"/>
          <w:szCs w:val="22"/>
          <w:lang w:val="en-CA"/>
        </w:rPr>
      </w:pPr>
    </w:p>
    <w:p w14:paraId="24F88EC7" w14:textId="081B559A" w:rsidR="006D171A" w:rsidRPr="00A43F68" w:rsidRDefault="006D171A" w:rsidP="003D30B2">
      <w:pPr>
        <w:jc w:val="right"/>
        <w:rPr>
          <w:kern w:val="2"/>
          <w:sz w:val="22"/>
          <w:szCs w:val="22"/>
          <w:lang w:val="en-CA"/>
        </w:rPr>
      </w:pPr>
      <w:r w:rsidRPr="00A43F68">
        <w:rPr>
          <w:kern w:val="2"/>
          <w:sz w:val="22"/>
          <w:szCs w:val="22"/>
          <w:lang w:val="en-CA"/>
        </w:rPr>
        <w:t>Mark Ryan, chief executive officer (CEO) of Tassal Group Limited</w:t>
      </w:r>
    </w:p>
    <w:p w14:paraId="6E8A36E4" w14:textId="77777777" w:rsidR="006D171A" w:rsidRPr="00A43F68" w:rsidRDefault="006D171A" w:rsidP="003D30B2">
      <w:pPr>
        <w:jc w:val="both"/>
        <w:rPr>
          <w:kern w:val="2"/>
          <w:sz w:val="22"/>
          <w:szCs w:val="22"/>
          <w:lang w:val="en-CA"/>
        </w:rPr>
      </w:pPr>
    </w:p>
    <w:p w14:paraId="4768B76C" w14:textId="037D1507" w:rsidR="006D171A" w:rsidRPr="00A43F68" w:rsidRDefault="006D171A" w:rsidP="003D30B2">
      <w:pPr>
        <w:jc w:val="both"/>
        <w:rPr>
          <w:kern w:val="2"/>
          <w:sz w:val="22"/>
          <w:szCs w:val="22"/>
          <w:lang w:val="en-CA"/>
        </w:rPr>
      </w:pPr>
      <w:r w:rsidRPr="00A43F68">
        <w:rPr>
          <w:kern w:val="2"/>
          <w:sz w:val="22"/>
          <w:szCs w:val="22"/>
          <w:lang w:val="en-CA"/>
        </w:rPr>
        <w:t>In August 2018, Tassal Group Limited (Tassal) signed a deal to acquire a shrimp farming business from the Fortune Group’s prawn aquaculture business.</w:t>
      </w:r>
      <w:r w:rsidRPr="00A43F68">
        <w:rPr>
          <w:kern w:val="2"/>
          <w:sz w:val="22"/>
          <w:szCs w:val="22"/>
          <w:vertAlign w:val="superscript"/>
          <w:lang w:val="en-CA"/>
        </w:rPr>
        <w:endnoteReference w:id="3"/>
      </w:r>
      <w:r w:rsidRPr="00A43F68">
        <w:rPr>
          <w:kern w:val="2"/>
          <w:sz w:val="22"/>
          <w:szCs w:val="22"/>
          <w:lang w:val="en-CA" w:eastAsia="zh-CN"/>
        </w:rPr>
        <w:t xml:space="preserve"> This strategic move was to further diversify from its core salmon market to a seafood market. Earlier, i</w:t>
      </w:r>
      <w:r w:rsidRPr="00A43F68">
        <w:rPr>
          <w:kern w:val="2"/>
          <w:sz w:val="22"/>
          <w:szCs w:val="22"/>
          <w:lang w:val="en-CA"/>
        </w:rPr>
        <w:t>n July 2015, Tassal announced the acquisition of De Costi Seafoods Company (De Costi) in a deal of combined cash and shares.</w:t>
      </w:r>
      <w:r w:rsidRPr="00A43F68">
        <w:rPr>
          <w:kern w:val="2"/>
          <w:sz w:val="22"/>
          <w:szCs w:val="22"/>
          <w:vertAlign w:val="superscript"/>
          <w:lang w:val="en-CA"/>
        </w:rPr>
        <w:endnoteReference w:id="4"/>
      </w:r>
      <w:r w:rsidRPr="00A43F68">
        <w:rPr>
          <w:kern w:val="2"/>
          <w:sz w:val="22"/>
          <w:szCs w:val="22"/>
          <w:lang w:val="en-CA"/>
        </w:rPr>
        <w:t xml:space="preserve"> The acquisition would allow Tassal to address a A$4.3 billion</w:t>
      </w:r>
      <w:r w:rsidRPr="00A43F68">
        <w:rPr>
          <w:rStyle w:val="EndnoteReference"/>
          <w:kern w:val="2"/>
          <w:sz w:val="22"/>
          <w:szCs w:val="22"/>
          <w:lang w:val="en-CA"/>
        </w:rPr>
        <w:endnoteReference w:id="5"/>
      </w:r>
      <w:r w:rsidRPr="00A43F68">
        <w:rPr>
          <w:kern w:val="2"/>
          <w:sz w:val="22"/>
          <w:szCs w:val="22"/>
          <w:lang w:val="en-CA"/>
        </w:rPr>
        <w:t xml:space="preserve"> Australian seafood market that was much larger than the previously addressable salmon market of only $700 million, while simultaneously improving their economies of scale and scope in production, logistics, and retailing.</w:t>
      </w:r>
      <w:r w:rsidRPr="00A43F68">
        <w:rPr>
          <w:kern w:val="2"/>
          <w:sz w:val="22"/>
          <w:szCs w:val="22"/>
          <w:vertAlign w:val="superscript"/>
          <w:lang w:val="en-CA"/>
        </w:rPr>
        <w:endnoteReference w:id="6"/>
      </w:r>
      <w:r w:rsidRPr="00A43F68">
        <w:rPr>
          <w:kern w:val="2"/>
          <w:sz w:val="22"/>
          <w:szCs w:val="22"/>
          <w:lang w:val="en-CA"/>
        </w:rPr>
        <w:t xml:space="preserve"> Such species diversification was not a new strategy for Tassal: in 2013, the company launched the Salamanca brand for wholesaling imported Norwegian salmon in Australia.</w:t>
      </w:r>
      <w:r w:rsidRPr="00A43F68">
        <w:rPr>
          <w:kern w:val="2"/>
          <w:sz w:val="22"/>
          <w:szCs w:val="22"/>
          <w:vertAlign w:val="superscript"/>
          <w:lang w:val="en-CA"/>
        </w:rPr>
        <w:endnoteReference w:id="7"/>
      </w:r>
      <w:r w:rsidRPr="00A43F68">
        <w:rPr>
          <w:kern w:val="2"/>
          <w:sz w:val="22"/>
          <w:szCs w:val="22"/>
          <w:lang w:val="en-CA"/>
        </w:rPr>
        <w:t xml:space="preserve"> Tassal was the largest among the three major producers of premium Tasmanian salmon farmed in inshore pens located in Macquarie Harbour.</w:t>
      </w:r>
      <w:r w:rsidRPr="00A43F68">
        <w:rPr>
          <w:kern w:val="2"/>
          <w:sz w:val="22"/>
          <w:szCs w:val="22"/>
          <w:vertAlign w:val="superscript"/>
          <w:lang w:val="en-CA"/>
        </w:rPr>
        <w:endnoteReference w:id="8"/>
      </w:r>
      <w:r w:rsidRPr="00A43F68">
        <w:rPr>
          <w:kern w:val="2"/>
          <w:sz w:val="22"/>
          <w:szCs w:val="22"/>
          <w:lang w:val="en-CA"/>
        </w:rPr>
        <w:t xml:space="preserve"> However, the harbour had been under the scrutiny of the Australian authority for mass production and adverse environmental impacts.</w:t>
      </w:r>
      <w:r w:rsidRPr="00A43F68">
        <w:rPr>
          <w:kern w:val="2"/>
          <w:sz w:val="22"/>
          <w:szCs w:val="22"/>
          <w:vertAlign w:val="superscript"/>
          <w:lang w:val="en-CA"/>
        </w:rPr>
        <w:endnoteReference w:id="9"/>
      </w:r>
      <w:r w:rsidRPr="00A43F68">
        <w:rPr>
          <w:kern w:val="2"/>
          <w:sz w:val="22"/>
          <w:szCs w:val="22"/>
          <w:lang w:val="en-CA"/>
        </w:rPr>
        <w:t xml:space="preserve"> </w:t>
      </w:r>
    </w:p>
    <w:p w14:paraId="175187F9" w14:textId="77777777" w:rsidR="006D171A" w:rsidRPr="00A43F68" w:rsidRDefault="006D171A" w:rsidP="003D30B2">
      <w:pPr>
        <w:jc w:val="both"/>
        <w:rPr>
          <w:kern w:val="2"/>
          <w:sz w:val="22"/>
          <w:szCs w:val="22"/>
          <w:lang w:val="en-CA"/>
        </w:rPr>
      </w:pPr>
    </w:p>
    <w:p w14:paraId="2DDA17DA" w14:textId="3A58E9A9" w:rsidR="006D171A" w:rsidRPr="00A43F68" w:rsidRDefault="006D171A" w:rsidP="003D30B2">
      <w:pPr>
        <w:jc w:val="both"/>
        <w:rPr>
          <w:spacing w:val="-2"/>
          <w:kern w:val="2"/>
          <w:sz w:val="22"/>
          <w:szCs w:val="22"/>
          <w:lang w:val="en-CA"/>
        </w:rPr>
      </w:pPr>
      <w:r w:rsidRPr="00A43F68">
        <w:rPr>
          <w:spacing w:val="-2"/>
          <w:kern w:val="2"/>
          <w:sz w:val="22"/>
          <w:szCs w:val="22"/>
          <w:lang w:val="en-CA"/>
        </w:rPr>
        <w:t>Given the problems with Macquarie Harbour, Tassal’s CEO, Mark Ryan, had many questions to answer: Should Tassal continue to expand overseas? What were the motives behind the acquisition of De Costi? Did the company have sufficient capabilities and resources to cope with the high demand for Tasmanian salmon, particularly in the Asian market?</w:t>
      </w:r>
      <w:r w:rsidRPr="00A43F68">
        <w:rPr>
          <w:spacing w:val="-2"/>
          <w:kern w:val="2"/>
          <w:sz w:val="22"/>
          <w:szCs w:val="22"/>
          <w:vertAlign w:val="superscript"/>
          <w:lang w:val="en-CA"/>
        </w:rPr>
        <w:endnoteReference w:id="10"/>
      </w:r>
      <w:r w:rsidRPr="00A43F68">
        <w:rPr>
          <w:spacing w:val="-2"/>
          <w:kern w:val="2"/>
          <w:sz w:val="22"/>
          <w:szCs w:val="22"/>
          <w:lang w:val="en-CA"/>
        </w:rPr>
        <w:t xml:space="preserve"> Did the acquisition address Tassal’s vision and its long-term strategy?</w:t>
      </w:r>
    </w:p>
    <w:p w14:paraId="22D1C91C" w14:textId="77777777" w:rsidR="006D171A" w:rsidRPr="00A43F68" w:rsidRDefault="006D171A" w:rsidP="003D30B2">
      <w:pPr>
        <w:jc w:val="both"/>
        <w:rPr>
          <w:kern w:val="2"/>
          <w:sz w:val="22"/>
          <w:szCs w:val="22"/>
          <w:lang w:val="en-CA"/>
        </w:rPr>
      </w:pPr>
    </w:p>
    <w:p w14:paraId="651CF283" w14:textId="77777777" w:rsidR="006D171A" w:rsidRPr="00A43F68" w:rsidRDefault="006D171A" w:rsidP="003D30B2">
      <w:pPr>
        <w:jc w:val="both"/>
        <w:rPr>
          <w:kern w:val="2"/>
          <w:sz w:val="22"/>
          <w:szCs w:val="22"/>
          <w:lang w:val="en-CA"/>
        </w:rPr>
      </w:pPr>
    </w:p>
    <w:p w14:paraId="22908666" w14:textId="77777777" w:rsidR="006D171A" w:rsidRPr="00A43F68" w:rsidRDefault="006D171A" w:rsidP="003D30B2">
      <w:pPr>
        <w:jc w:val="both"/>
        <w:rPr>
          <w:rFonts w:ascii="Arial" w:hAnsi="Arial"/>
          <w:b/>
          <w:kern w:val="2"/>
          <w:lang w:val="en-CA"/>
        </w:rPr>
      </w:pPr>
      <w:r w:rsidRPr="00A43F68">
        <w:rPr>
          <w:rFonts w:ascii="Arial" w:hAnsi="Arial"/>
          <w:b/>
          <w:kern w:val="2"/>
          <w:lang w:val="en-CA"/>
        </w:rPr>
        <w:t>HISTORY AND DEVELOPMENT</w:t>
      </w:r>
    </w:p>
    <w:p w14:paraId="1D80C5BB" w14:textId="77777777" w:rsidR="006D171A" w:rsidRPr="00A43F68" w:rsidRDefault="006D171A" w:rsidP="003D30B2">
      <w:pPr>
        <w:jc w:val="both"/>
        <w:rPr>
          <w:kern w:val="2"/>
          <w:sz w:val="22"/>
          <w:szCs w:val="22"/>
          <w:lang w:val="en-CA"/>
        </w:rPr>
      </w:pPr>
    </w:p>
    <w:p w14:paraId="702E6621" w14:textId="026738CE" w:rsidR="006D171A" w:rsidRPr="00A43F68" w:rsidRDefault="006D171A" w:rsidP="003D30B2">
      <w:pPr>
        <w:jc w:val="both"/>
        <w:rPr>
          <w:kern w:val="2"/>
          <w:sz w:val="22"/>
          <w:szCs w:val="22"/>
          <w:lang w:val="en-CA"/>
        </w:rPr>
      </w:pPr>
      <w:r w:rsidRPr="00A43F68">
        <w:rPr>
          <w:kern w:val="2"/>
          <w:sz w:val="22"/>
          <w:szCs w:val="22"/>
          <w:lang w:val="en-CA"/>
        </w:rPr>
        <w:t>Tassal was founded in 1986 on the island state of Tasmania, Australia, as a small salmon farm and hatchery. It was listed on the Australian Securities Exchange in 2003, with headquarters in Hobart, Tasmania’s capital. It believed in vertical integration as an effective strategy as early as 2007 when its first salmon shop and restaurant were opened.</w:t>
      </w:r>
      <w:r w:rsidRPr="00A43F68">
        <w:rPr>
          <w:kern w:val="2"/>
          <w:sz w:val="22"/>
          <w:szCs w:val="22"/>
          <w:vertAlign w:val="superscript"/>
          <w:lang w:val="en-CA"/>
        </w:rPr>
        <w:endnoteReference w:id="11"/>
      </w:r>
      <w:r w:rsidRPr="00A43F68">
        <w:rPr>
          <w:kern w:val="2"/>
          <w:sz w:val="22"/>
          <w:szCs w:val="22"/>
          <w:lang w:val="en-CA"/>
        </w:rPr>
        <w:t xml:space="preserve"> In 2010, it was Australia’s largest salmon producer, sharing 70 per cent of the country’s production. Tassal opened a second hatchery and salmon shop in </w:t>
      </w:r>
      <w:r w:rsidRPr="00A43F68">
        <w:rPr>
          <w:kern w:val="2"/>
          <w:sz w:val="22"/>
          <w:szCs w:val="22"/>
          <w:lang w:val="en-CA"/>
        </w:rPr>
        <w:lastRenderedPageBreak/>
        <w:t>Kew, Melbourne, in the same year. In 2011, it launched innovative products, such as Tassal Gourmet Salmon Smallgoods and Tassal Salt Reduced Smoked Salmon. In 2013, it launched Salamanca Seafood Company to sell high-quality smoked Norwegian Atlantic salmon</w:t>
      </w:r>
      <w:r w:rsidRPr="00A43F68">
        <w:rPr>
          <w:lang w:val="en-CA"/>
        </w:rPr>
        <w:t xml:space="preserve"> </w:t>
      </w:r>
      <w:r w:rsidRPr="00A43F68">
        <w:rPr>
          <w:kern w:val="2"/>
          <w:sz w:val="22"/>
          <w:szCs w:val="22"/>
          <w:lang w:val="en-CA"/>
        </w:rPr>
        <w:t>to the domestic wholesale market.</w:t>
      </w:r>
      <w:r w:rsidRPr="00A43F68">
        <w:rPr>
          <w:kern w:val="2"/>
          <w:sz w:val="22"/>
          <w:szCs w:val="22"/>
          <w:vertAlign w:val="superscript"/>
          <w:lang w:val="en-CA"/>
        </w:rPr>
        <w:endnoteReference w:id="12"/>
      </w:r>
    </w:p>
    <w:p w14:paraId="3F10FFF7" w14:textId="77777777" w:rsidR="006D171A" w:rsidRPr="00A43F68" w:rsidRDefault="006D171A" w:rsidP="003D30B2">
      <w:pPr>
        <w:jc w:val="both"/>
        <w:rPr>
          <w:kern w:val="2"/>
          <w:sz w:val="22"/>
          <w:szCs w:val="22"/>
          <w:lang w:val="en-CA"/>
        </w:rPr>
      </w:pPr>
    </w:p>
    <w:p w14:paraId="0A3889DD" w14:textId="77777777" w:rsidR="006D171A" w:rsidRPr="00A43F68" w:rsidRDefault="006D171A" w:rsidP="003D30B2">
      <w:pPr>
        <w:jc w:val="both"/>
        <w:rPr>
          <w:kern w:val="2"/>
          <w:sz w:val="22"/>
          <w:szCs w:val="22"/>
          <w:lang w:val="en-CA"/>
        </w:rPr>
      </w:pPr>
    </w:p>
    <w:p w14:paraId="360DA2AD" w14:textId="77777777" w:rsidR="006D171A" w:rsidRPr="00A43F68" w:rsidRDefault="006D171A" w:rsidP="003D30B2">
      <w:pPr>
        <w:jc w:val="both"/>
        <w:rPr>
          <w:rFonts w:ascii="Arial" w:hAnsi="Arial" w:cs="Arial"/>
          <w:b/>
          <w:kern w:val="2"/>
          <w:lang w:val="en-CA"/>
        </w:rPr>
      </w:pPr>
      <w:r w:rsidRPr="00A43F68">
        <w:rPr>
          <w:rFonts w:ascii="Arial" w:hAnsi="Arial" w:cs="Arial"/>
          <w:b/>
          <w:kern w:val="2"/>
          <w:lang w:val="en-CA"/>
        </w:rPr>
        <w:t>Growth Strategy</w:t>
      </w:r>
    </w:p>
    <w:p w14:paraId="442693F3" w14:textId="77777777" w:rsidR="006D171A" w:rsidRPr="00A43F68" w:rsidRDefault="006D171A" w:rsidP="003D30B2">
      <w:pPr>
        <w:jc w:val="both"/>
        <w:rPr>
          <w:kern w:val="2"/>
          <w:sz w:val="22"/>
          <w:szCs w:val="22"/>
          <w:lang w:val="en-CA"/>
        </w:rPr>
      </w:pPr>
    </w:p>
    <w:p w14:paraId="1706A799" w14:textId="5483381B" w:rsidR="006D171A" w:rsidRPr="00A43F68" w:rsidRDefault="006D171A" w:rsidP="003D30B2">
      <w:pPr>
        <w:jc w:val="both"/>
        <w:rPr>
          <w:sz w:val="22"/>
          <w:szCs w:val="22"/>
          <w:lang w:val="en-CA"/>
        </w:rPr>
      </w:pPr>
      <w:r w:rsidRPr="00A43F68">
        <w:rPr>
          <w:sz w:val="22"/>
          <w:szCs w:val="22"/>
          <w:lang w:val="en-CA"/>
        </w:rPr>
        <w:t>Tassal had grown through several mergers and acquisitions. It acquired some of the 11 companies that owned leases in Tasmanian waters, becoming the industry leader with its high market share and large variety of distribution channels.</w:t>
      </w:r>
      <w:r w:rsidRPr="00A43F68">
        <w:rPr>
          <w:sz w:val="22"/>
          <w:szCs w:val="22"/>
          <w:vertAlign w:val="superscript"/>
          <w:lang w:val="en-CA"/>
        </w:rPr>
        <w:endnoteReference w:id="13"/>
      </w:r>
      <w:r w:rsidRPr="00A43F68">
        <w:rPr>
          <w:sz w:val="22"/>
          <w:szCs w:val="22"/>
          <w:lang w:val="en-CA"/>
        </w:rPr>
        <w:t xml:space="preserve"> Tassal provided customers with a large variety of fresh, smoked, canned, and frozen salmon products under various brands, including Tassal, Superior Gold, Tasmanian Smokehouse, De Costi Seafood, and Salamanca Seafood. As a vertically integrated company, Tassal had supply chains scattered throughout the state</w:t>
      </w:r>
      <w:r w:rsidRPr="00A43F68">
        <w:rPr>
          <w:rFonts w:ascii="Arial" w:eastAsia="Calibri" w:hAnsi="Arial" w:cs="Arial"/>
          <w:lang w:val="en-CA"/>
        </w:rPr>
        <w:t>—</w:t>
      </w:r>
      <w:r w:rsidRPr="00A43F68">
        <w:rPr>
          <w:sz w:val="22"/>
          <w:szCs w:val="22"/>
          <w:lang w:val="en-CA"/>
        </w:rPr>
        <w:t>freshwater hatcheries, saltwater aquaculture, sales and marketing, and distribution and retail (</w:t>
      </w:r>
      <w:r w:rsidRPr="00A43F68">
        <w:rPr>
          <w:sz w:val="22"/>
          <w:szCs w:val="22"/>
          <w:lang w:val="en-CA" w:eastAsia="zh-CN"/>
        </w:rPr>
        <w:t xml:space="preserve">see </w:t>
      </w:r>
      <w:r w:rsidRPr="00A43F68">
        <w:rPr>
          <w:sz w:val="22"/>
          <w:szCs w:val="22"/>
          <w:lang w:val="en-CA"/>
        </w:rPr>
        <w:t>Exhibit 1). It also had a sales and marketing office on the mainland in Melbourne, Victoria.</w:t>
      </w:r>
      <w:r w:rsidRPr="00A43F68">
        <w:rPr>
          <w:sz w:val="22"/>
          <w:szCs w:val="22"/>
          <w:vertAlign w:val="superscript"/>
          <w:lang w:val="en-CA"/>
        </w:rPr>
        <w:endnoteReference w:id="14"/>
      </w:r>
    </w:p>
    <w:p w14:paraId="755855A5" w14:textId="77777777" w:rsidR="006D171A" w:rsidRPr="00A43F68" w:rsidRDefault="006D171A" w:rsidP="003D30B2">
      <w:pPr>
        <w:jc w:val="both"/>
        <w:rPr>
          <w:kern w:val="2"/>
          <w:sz w:val="18"/>
          <w:szCs w:val="18"/>
          <w:lang w:val="en-CA"/>
        </w:rPr>
      </w:pPr>
    </w:p>
    <w:p w14:paraId="58DA9C91" w14:textId="4725CA92" w:rsidR="006D171A" w:rsidRPr="00A43F68" w:rsidRDefault="006D171A" w:rsidP="003D30B2">
      <w:pPr>
        <w:jc w:val="both"/>
        <w:rPr>
          <w:kern w:val="2"/>
          <w:sz w:val="22"/>
          <w:szCs w:val="22"/>
          <w:lang w:val="en-CA"/>
        </w:rPr>
      </w:pPr>
      <w:r w:rsidRPr="00A43F68">
        <w:rPr>
          <w:kern w:val="2"/>
          <w:sz w:val="22"/>
          <w:szCs w:val="22"/>
          <w:lang w:val="en-CA"/>
        </w:rPr>
        <w:t>Tassal focused on increasing the per capita consumption of salmon in the Australian market, increasing the margins by improving production processes and strengthening market promotions. Australians were willing to pay slightly more for domestic-quality seafood.</w:t>
      </w:r>
      <w:r w:rsidRPr="00A43F68">
        <w:rPr>
          <w:kern w:val="2"/>
          <w:sz w:val="22"/>
          <w:szCs w:val="22"/>
          <w:vertAlign w:val="superscript"/>
          <w:lang w:val="en-CA"/>
        </w:rPr>
        <w:endnoteReference w:id="15"/>
      </w:r>
      <w:r w:rsidRPr="00A43F68">
        <w:rPr>
          <w:kern w:val="2"/>
          <w:sz w:val="22"/>
          <w:szCs w:val="22"/>
          <w:lang w:val="en-CA"/>
        </w:rPr>
        <w:t xml:space="preserve"> Increased fish supply, better pricing, and efficiency improvements had driven the growth of Tassal’s revenues and profits. Tassal derived 70 per cent and 30 per</w:t>
      </w:r>
      <w:r w:rsidR="00DC4821" w:rsidRPr="00A43F68">
        <w:rPr>
          <w:kern w:val="2"/>
          <w:sz w:val="22"/>
          <w:szCs w:val="22"/>
          <w:lang w:val="en-CA"/>
        </w:rPr>
        <w:t xml:space="preserve"> </w:t>
      </w:r>
      <w:r w:rsidRPr="00A43F68">
        <w:rPr>
          <w:kern w:val="2"/>
          <w:sz w:val="22"/>
          <w:szCs w:val="22"/>
          <w:lang w:val="en-CA"/>
        </w:rPr>
        <w:t>cent of its revenues from the domestic and export market, respectively.</w:t>
      </w:r>
      <w:r w:rsidRPr="00A43F68">
        <w:rPr>
          <w:kern w:val="2"/>
          <w:sz w:val="22"/>
          <w:szCs w:val="22"/>
          <w:vertAlign w:val="superscript"/>
          <w:lang w:val="en-CA"/>
        </w:rPr>
        <w:endnoteReference w:id="16"/>
      </w:r>
      <w:r w:rsidRPr="00A43F68">
        <w:rPr>
          <w:kern w:val="2"/>
          <w:sz w:val="22"/>
          <w:szCs w:val="22"/>
          <w:lang w:val="en-CA"/>
        </w:rPr>
        <w:t xml:space="preserve"> The salmon and seafood segments accounted for approximately 84 per cent and 16 per cent of the company’s total sales, respectively.</w:t>
      </w:r>
      <w:r w:rsidRPr="00A43F68">
        <w:rPr>
          <w:kern w:val="2"/>
          <w:sz w:val="22"/>
          <w:szCs w:val="22"/>
          <w:vertAlign w:val="superscript"/>
          <w:lang w:val="en-CA"/>
        </w:rPr>
        <w:endnoteReference w:id="17"/>
      </w:r>
      <w:r w:rsidRPr="00A43F68">
        <w:rPr>
          <w:kern w:val="2"/>
          <w:sz w:val="22"/>
          <w:szCs w:val="22"/>
          <w:lang w:val="en-CA"/>
        </w:rPr>
        <w:t xml:space="preserve"> Domestic consumption was thus particularly important to maintaining Tassal’s profitability, as it could compensate for exchange rate fluctuations in the export market. These factors had contributed to Tassal’s financial performance in 2016.</w:t>
      </w:r>
      <w:r w:rsidRPr="00A43F68">
        <w:rPr>
          <w:kern w:val="2"/>
          <w:sz w:val="22"/>
          <w:szCs w:val="22"/>
          <w:vertAlign w:val="superscript"/>
          <w:lang w:val="en-CA"/>
        </w:rPr>
        <w:endnoteReference w:id="18"/>
      </w:r>
      <w:r w:rsidRPr="00A43F68">
        <w:rPr>
          <w:kern w:val="2"/>
          <w:sz w:val="22"/>
          <w:szCs w:val="22"/>
          <w:lang w:val="en-CA"/>
        </w:rPr>
        <w:t xml:space="preserve"> </w:t>
      </w:r>
    </w:p>
    <w:p w14:paraId="55B549CE" w14:textId="77777777" w:rsidR="006D171A" w:rsidRPr="00A43F68" w:rsidRDefault="006D171A" w:rsidP="003D30B2">
      <w:pPr>
        <w:jc w:val="both"/>
        <w:rPr>
          <w:kern w:val="2"/>
          <w:sz w:val="18"/>
          <w:szCs w:val="18"/>
          <w:lang w:val="en-CA"/>
        </w:rPr>
      </w:pPr>
    </w:p>
    <w:p w14:paraId="26DD4997" w14:textId="77777777" w:rsidR="006D171A" w:rsidRPr="00A43F68" w:rsidRDefault="006D171A" w:rsidP="003D30B2">
      <w:pPr>
        <w:jc w:val="both"/>
        <w:rPr>
          <w:kern w:val="2"/>
          <w:sz w:val="18"/>
          <w:szCs w:val="18"/>
          <w:lang w:val="en-CA"/>
        </w:rPr>
      </w:pPr>
    </w:p>
    <w:p w14:paraId="125CF2F6" w14:textId="77777777" w:rsidR="006D171A" w:rsidRPr="00A43F68" w:rsidRDefault="006D171A" w:rsidP="003D30B2">
      <w:pPr>
        <w:jc w:val="both"/>
        <w:rPr>
          <w:rFonts w:ascii="Arial" w:hAnsi="Arial"/>
          <w:b/>
          <w:kern w:val="2"/>
          <w:lang w:val="en-CA"/>
        </w:rPr>
      </w:pPr>
      <w:r w:rsidRPr="00A43F68">
        <w:rPr>
          <w:rFonts w:ascii="Arial" w:hAnsi="Arial"/>
          <w:b/>
          <w:kern w:val="2"/>
          <w:lang w:val="en-CA"/>
        </w:rPr>
        <w:t>Brand Strategy</w:t>
      </w:r>
    </w:p>
    <w:p w14:paraId="12E17753" w14:textId="77777777" w:rsidR="006D171A" w:rsidRPr="00A43F68" w:rsidRDefault="006D171A" w:rsidP="003D30B2">
      <w:pPr>
        <w:jc w:val="both"/>
        <w:rPr>
          <w:kern w:val="2"/>
          <w:sz w:val="18"/>
          <w:szCs w:val="18"/>
          <w:lang w:val="en-CA"/>
        </w:rPr>
      </w:pPr>
    </w:p>
    <w:p w14:paraId="6EAB6837" w14:textId="74EDE340" w:rsidR="006D171A" w:rsidRPr="00A43F68" w:rsidRDefault="006D171A" w:rsidP="003D30B2">
      <w:pPr>
        <w:jc w:val="both"/>
        <w:rPr>
          <w:sz w:val="22"/>
          <w:szCs w:val="22"/>
          <w:lang w:val="en-CA"/>
        </w:rPr>
      </w:pPr>
      <w:r w:rsidRPr="00A43F68">
        <w:rPr>
          <w:sz w:val="22"/>
          <w:szCs w:val="22"/>
          <w:lang w:val="en-CA"/>
        </w:rPr>
        <w:t>The Tassal brand, dedicated for the local Tasmanian salmon, was Tassal’s cornerstone.</w:t>
      </w:r>
      <w:r w:rsidRPr="00A43F68">
        <w:rPr>
          <w:sz w:val="22"/>
          <w:szCs w:val="22"/>
          <w:vertAlign w:val="superscript"/>
          <w:lang w:val="en-CA"/>
        </w:rPr>
        <w:endnoteReference w:id="19"/>
      </w:r>
      <w:r w:rsidRPr="00A43F68">
        <w:rPr>
          <w:sz w:val="22"/>
          <w:szCs w:val="22"/>
          <w:lang w:val="en-CA"/>
        </w:rPr>
        <w:t xml:space="preserve"> Other brands were also introduced for salmons from other areas. For example, in 2013, the company created the Salamanca Seafood brand for selling imported Norwegian salmon to Australian wholesalers. It was also a hedge against risks in locally farmed salmons. The acquisition of De Costi in 2015 was also intended for brand and product extension.</w:t>
      </w:r>
      <w:r w:rsidRPr="00A43F68">
        <w:rPr>
          <w:sz w:val="22"/>
          <w:szCs w:val="22"/>
          <w:vertAlign w:val="superscript"/>
          <w:lang w:val="en-CA"/>
        </w:rPr>
        <w:endnoteReference w:id="20"/>
      </w:r>
    </w:p>
    <w:p w14:paraId="40CA079B" w14:textId="77777777" w:rsidR="006D171A" w:rsidRPr="00A43F68" w:rsidRDefault="006D171A" w:rsidP="003D30B2">
      <w:pPr>
        <w:jc w:val="both"/>
        <w:rPr>
          <w:kern w:val="2"/>
          <w:sz w:val="18"/>
          <w:szCs w:val="18"/>
          <w:lang w:val="en-CA"/>
        </w:rPr>
      </w:pPr>
    </w:p>
    <w:p w14:paraId="2192A871" w14:textId="77777777" w:rsidR="006D171A" w:rsidRPr="00A43F68" w:rsidRDefault="006D171A" w:rsidP="003D30B2">
      <w:pPr>
        <w:jc w:val="both"/>
        <w:rPr>
          <w:kern w:val="2"/>
          <w:sz w:val="18"/>
          <w:szCs w:val="18"/>
          <w:lang w:val="en-CA"/>
        </w:rPr>
      </w:pPr>
    </w:p>
    <w:p w14:paraId="1254B671" w14:textId="77777777" w:rsidR="006D171A" w:rsidRPr="00A43F68" w:rsidRDefault="006D171A" w:rsidP="003D30B2">
      <w:pPr>
        <w:jc w:val="both"/>
        <w:rPr>
          <w:rFonts w:ascii="Arial" w:hAnsi="Arial"/>
          <w:b/>
          <w:kern w:val="2"/>
          <w:lang w:val="en-CA"/>
        </w:rPr>
      </w:pPr>
      <w:r w:rsidRPr="00A43F68">
        <w:rPr>
          <w:rFonts w:ascii="Arial" w:hAnsi="Arial"/>
          <w:b/>
          <w:kern w:val="2"/>
          <w:lang w:val="en-CA"/>
        </w:rPr>
        <w:t>Accreditations</w:t>
      </w:r>
    </w:p>
    <w:p w14:paraId="56E7DA27" w14:textId="77777777" w:rsidR="006D171A" w:rsidRPr="00A43F68" w:rsidRDefault="006D171A" w:rsidP="003D30B2">
      <w:pPr>
        <w:jc w:val="both"/>
        <w:rPr>
          <w:kern w:val="2"/>
          <w:sz w:val="18"/>
          <w:szCs w:val="18"/>
          <w:lang w:val="en-CA"/>
        </w:rPr>
      </w:pPr>
    </w:p>
    <w:p w14:paraId="17A8E07D" w14:textId="1FAD757A" w:rsidR="006D171A" w:rsidRPr="00A43F68" w:rsidRDefault="006D171A" w:rsidP="003D30B2">
      <w:pPr>
        <w:jc w:val="both"/>
        <w:rPr>
          <w:kern w:val="2"/>
          <w:sz w:val="22"/>
          <w:szCs w:val="22"/>
          <w:lang w:val="en-CA"/>
        </w:rPr>
      </w:pPr>
      <w:r w:rsidRPr="00A43F68">
        <w:rPr>
          <w:kern w:val="2"/>
          <w:sz w:val="22"/>
          <w:szCs w:val="22"/>
          <w:lang w:val="en-CA"/>
        </w:rPr>
        <w:t>In 2012, Tassal joined WWF-Australia (</w:t>
      </w:r>
      <w:bookmarkStart w:id="6" w:name="_Hlk10204511"/>
      <w:r w:rsidRPr="00A43F68">
        <w:rPr>
          <w:kern w:val="2"/>
          <w:sz w:val="22"/>
          <w:szCs w:val="22"/>
          <w:lang w:val="en-CA"/>
        </w:rPr>
        <w:t>World Wide Fund for Nature</w:t>
      </w:r>
      <w:bookmarkEnd w:id="6"/>
      <w:r w:rsidRPr="00A43F68">
        <w:rPr>
          <w:kern w:val="2"/>
          <w:sz w:val="22"/>
          <w:szCs w:val="22"/>
          <w:lang w:val="en-CA"/>
        </w:rPr>
        <w:t>) in a three-year partnership project.</w:t>
      </w:r>
      <w:r w:rsidRPr="00A43F68">
        <w:rPr>
          <w:kern w:val="2"/>
          <w:sz w:val="22"/>
          <w:szCs w:val="22"/>
          <w:vertAlign w:val="superscript"/>
          <w:lang w:val="en-CA"/>
        </w:rPr>
        <w:endnoteReference w:id="21"/>
      </w:r>
      <w:r w:rsidRPr="00A43F68">
        <w:rPr>
          <w:kern w:val="2"/>
          <w:sz w:val="22"/>
          <w:szCs w:val="22"/>
          <w:lang w:val="en-CA"/>
        </w:rPr>
        <w:t xml:space="preserve"> It was the only salmon producer in Australia that was authorized to use the WWF logo on product packaging.</w:t>
      </w:r>
      <w:r w:rsidRPr="00A43F68">
        <w:rPr>
          <w:kern w:val="2"/>
          <w:sz w:val="22"/>
          <w:szCs w:val="22"/>
          <w:vertAlign w:val="superscript"/>
          <w:lang w:val="en-CA"/>
        </w:rPr>
        <w:endnoteReference w:id="22"/>
      </w:r>
      <w:r w:rsidRPr="00A43F68">
        <w:rPr>
          <w:kern w:val="2"/>
          <w:sz w:val="22"/>
          <w:szCs w:val="22"/>
          <w:lang w:val="en-CA"/>
        </w:rPr>
        <w:t xml:space="preserve"> The company had received numerous awards for achieving the highest global standard of responsible seafood production. In 2012, it was the first salmon producer in Australia to achieve the full Best Aquaculture Practices certification at the farm level by the Global Aquaculture Alliance. In 2014, it was the first company to achieve Aquaculture Stewardship Council certification, the gold-star rating of sustainable salmon farming.</w:t>
      </w:r>
      <w:r w:rsidRPr="00A43F68">
        <w:rPr>
          <w:kern w:val="2"/>
          <w:sz w:val="22"/>
          <w:szCs w:val="22"/>
          <w:vertAlign w:val="superscript"/>
          <w:lang w:val="en-CA"/>
        </w:rPr>
        <w:endnoteReference w:id="23"/>
      </w:r>
    </w:p>
    <w:p w14:paraId="44B8D87A" w14:textId="77777777" w:rsidR="006D171A" w:rsidRPr="00A43F68" w:rsidRDefault="006D171A" w:rsidP="003D30B2">
      <w:pPr>
        <w:jc w:val="both"/>
        <w:rPr>
          <w:kern w:val="2"/>
          <w:sz w:val="18"/>
          <w:szCs w:val="18"/>
          <w:lang w:val="en-CA"/>
        </w:rPr>
      </w:pPr>
    </w:p>
    <w:p w14:paraId="02559B96" w14:textId="77777777" w:rsidR="006D171A" w:rsidRPr="00A43F68" w:rsidRDefault="006D171A" w:rsidP="003D30B2">
      <w:pPr>
        <w:jc w:val="both"/>
        <w:rPr>
          <w:kern w:val="2"/>
          <w:sz w:val="18"/>
          <w:szCs w:val="18"/>
          <w:lang w:val="en-CA"/>
        </w:rPr>
      </w:pPr>
    </w:p>
    <w:p w14:paraId="293E861C" w14:textId="77777777" w:rsidR="006D171A" w:rsidRPr="00A43F68" w:rsidRDefault="006D171A" w:rsidP="00EB600D">
      <w:pPr>
        <w:jc w:val="both"/>
        <w:rPr>
          <w:rFonts w:ascii="Arial" w:hAnsi="Arial"/>
          <w:b/>
          <w:kern w:val="2"/>
          <w:lang w:val="en-CA"/>
        </w:rPr>
      </w:pPr>
      <w:r w:rsidRPr="00A43F68">
        <w:rPr>
          <w:rFonts w:ascii="Arial" w:hAnsi="Arial"/>
          <w:b/>
          <w:kern w:val="2"/>
          <w:lang w:val="en-CA"/>
        </w:rPr>
        <w:t>COMPETITIVE ENVIRONMENT</w:t>
      </w:r>
      <w:r w:rsidRPr="00A43F68" w:rsidDel="00680AF9">
        <w:rPr>
          <w:rFonts w:ascii="Arial" w:hAnsi="Arial"/>
          <w:b/>
          <w:kern w:val="2"/>
          <w:lang w:val="en-CA"/>
        </w:rPr>
        <w:t xml:space="preserve"> </w:t>
      </w:r>
    </w:p>
    <w:p w14:paraId="5EABB7FD" w14:textId="77777777" w:rsidR="006D171A" w:rsidRPr="00A43F68" w:rsidRDefault="006D171A" w:rsidP="00EB600D">
      <w:pPr>
        <w:jc w:val="both"/>
        <w:rPr>
          <w:kern w:val="2"/>
          <w:sz w:val="18"/>
          <w:szCs w:val="18"/>
          <w:lang w:val="en-CA"/>
        </w:rPr>
      </w:pPr>
    </w:p>
    <w:p w14:paraId="7CBE5141" w14:textId="5C809F90" w:rsidR="006D171A" w:rsidRPr="00A43F68" w:rsidRDefault="006D171A" w:rsidP="00EB600D">
      <w:pPr>
        <w:jc w:val="both"/>
        <w:rPr>
          <w:spacing w:val="-4"/>
          <w:kern w:val="2"/>
          <w:sz w:val="22"/>
          <w:szCs w:val="22"/>
          <w:lang w:val="en-CA"/>
        </w:rPr>
      </w:pPr>
      <w:r w:rsidRPr="00A43F68">
        <w:rPr>
          <w:spacing w:val="-4"/>
          <w:kern w:val="2"/>
          <w:sz w:val="22"/>
          <w:szCs w:val="22"/>
          <w:lang w:val="en-CA"/>
        </w:rPr>
        <w:t>The Australian fisheries and aquaculture industry was a minor producer and exporter, producing less than 0.2 per cent of the global market share, which was valued at approximately $3.1 billion.</w:t>
      </w:r>
      <w:r w:rsidRPr="00A43F68">
        <w:rPr>
          <w:spacing w:val="-4"/>
          <w:kern w:val="2"/>
          <w:sz w:val="22"/>
          <w:szCs w:val="22"/>
          <w:vertAlign w:val="superscript"/>
          <w:lang w:val="en-CA"/>
        </w:rPr>
        <w:endnoteReference w:id="24"/>
      </w:r>
      <w:r w:rsidRPr="00A43F68">
        <w:rPr>
          <w:spacing w:val="-4"/>
          <w:kern w:val="2"/>
          <w:sz w:val="22"/>
          <w:szCs w:val="22"/>
          <w:lang w:val="en-CA"/>
        </w:rPr>
        <w:t xml:space="preserve"> Tasmanian salmon was a </w:t>
      </w:r>
      <w:r w:rsidRPr="00A43F68">
        <w:rPr>
          <w:spacing w:val="-4"/>
          <w:kern w:val="2"/>
          <w:sz w:val="22"/>
          <w:szCs w:val="22"/>
          <w:lang w:val="en-CA"/>
        </w:rPr>
        <w:lastRenderedPageBreak/>
        <w:t>premium product, selling at a better price in the local market. In 2016, Australia’s salmon farming industry was worth more than $700 million.</w:t>
      </w:r>
      <w:r w:rsidRPr="00A43F68">
        <w:rPr>
          <w:spacing w:val="-4"/>
          <w:kern w:val="2"/>
          <w:sz w:val="22"/>
          <w:szCs w:val="22"/>
          <w:vertAlign w:val="superscript"/>
          <w:lang w:val="en-CA"/>
        </w:rPr>
        <w:endnoteReference w:id="25"/>
      </w:r>
      <w:r w:rsidRPr="00A43F68">
        <w:rPr>
          <w:spacing w:val="-4"/>
          <w:kern w:val="2"/>
          <w:sz w:val="22"/>
          <w:szCs w:val="22"/>
          <w:lang w:val="en-CA"/>
        </w:rPr>
        <w:t xml:space="preserve"> There were a few major domestic players and international competitors.</w:t>
      </w:r>
    </w:p>
    <w:p w14:paraId="32B7BCB2" w14:textId="4D7633C6" w:rsidR="006D171A" w:rsidRPr="00A43F68" w:rsidRDefault="006D171A" w:rsidP="003D30B2">
      <w:pPr>
        <w:jc w:val="both"/>
        <w:rPr>
          <w:kern w:val="2"/>
          <w:sz w:val="22"/>
          <w:szCs w:val="22"/>
          <w:lang w:val="en-CA"/>
        </w:rPr>
      </w:pPr>
      <w:r w:rsidRPr="00A43F68">
        <w:rPr>
          <w:kern w:val="2"/>
          <w:sz w:val="22"/>
          <w:szCs w:val="22"/>
          <w:lang w:val="en-CA"/>
        </w:rPr>
        <w:t>Tasmania’s second-largest salmon farmer behind Tassal was Huon Aquaculture Limited (Huon), founded in 1986 and headquartered in Dover, Tasmania. Due to a strong domestic demand and premium prices for Tasmanian salmon, Huon mainly focused on the domestic market’s wholesalers, supplying salmon to restaurants, supermarkets, fishmongers, and other food businesses.</w:t>
      </w:r>
      <w:r w:rsidRPr="00A43F68">
        <w:rPr>
          <w:kern w:val="2"/>
          <w:sz w:val="22"/>
          <w:szCs w:val="22"/>
          <w:vertAlign w:val="superscript"/>
          <w:lang w:val="en-CA"/>
        </w:rPr>
        <w:endnoteReference w:id="26"/>
      </w:r>
    </w:p>
    <w:p w14:paraId="4DCEB74E" w14:textId="77777777" w:rsidR="006D171A" w:rsidRPr="00A43F68" w:rsidRDefault="006D171A" w:rsidP="003D30B2">
      <w:pPr>
        <w:jc w:val="both"/>
        <w:rPr>
          <w:kern w:val="2"/>
          <w:sz w:val="22"/>
          <w:szCs w:val="22"/>
          <w:lang w:val="en-CA"/>
        </w:rPr>
      </w:pPr>
    </w:p>
    <w:p w14:paraId="0E5AFF7C" w14:textId="3D2BAC23" w:rsidR="006D171A" w:rsidRPr="00A43F68" w:rsidRDefault="006D171A" w:rsidP="003D30B2">
      <w:pPr>
        <w:jc w:val="both"/>
        <w:rPr>
          <w:kern w:val="2"/>
          <w:sz w:val="22"/>
          <w:szCs w:val="22"/>
          <w:lang w:val="en-CA"/>
        </w:rPr>
      </w:pPr>
      <w:r w:rsidRPr="00A43F68">
        <w:rPr>
          <w:kern w:val="2"/>
          <w:sz w:val="22"/>
          <w:szCs w:val="22"/>
          <w:lang w:val="en-CA"/>
        </w:rPr>
        <w:t>Founded in 1949, Petuna Seafoods Tasmania (Petuna) leased fishing pens in the Macquarie Harbour alongside Huon and Tassal. In 2010, it sold half of its shares to Sealord Group Limited, an Australian and New Zealand global seafood enterprise, creating opportunities for major facility upgrades and large infrastructure investments, including marine farms and hatcheries.</w:t>
      </w:r>
      <w:r w:rsidRPr="00A43F68">
        <w:rPr>
          <w:kern w:val="2"/>
          <w:sz w:val="22"/>
          <w:szCs w:val="22"/>
          <w:vertAlign w:val="superscript"/>
          <w:lang w:val="en-CA"/>
        </w:rPr>
        <w:endnoteReference w:id="27"/>
      </w:r>
    </w:p>
    <w:p w14:paraId="5407EAD9" w14:textId="77777777" w:rsidR="006D171A" w:rsidRPr="00A43F68" w:rsidRDefault="006D171A" w:rsidP="003D30B2">
      <w:pPr>
        <w:jc w:val="both"/>
        <w:rPr>
          <w:kern w:val="2"/>
          <w:sz w:val="22"/>
          <w:szCs w:val="22"/>
          <w:lang w:val="en-CA"/>
        </w:rPr>
      </w:pPr>
    </w:p>
    <w:p w14:paraId="4EC96684" w14:textId="6CA469AA" w:rsidR="006D171A" w:rsidRPr="00A43F68" w:rsidRDefault="006D171A" w:rsidP="003D30B2">
      <w:pPr>
        <w:jc w:val="both"/>
        <w:rPr>
          <w:kern w:val="2"/>
          <w:sz w:val="22"/>
          <w:szCs w:val="22"/>
          <w:lang w:val="en-CA"/>
        </w:rPr>
      </w:pPr>
      <w:r w:rsidRPr="00A43F68">
        <w:rPr>
          <w:kern w:val="2"/>
          <w:sz w:val="22"/>
          <w:szCs w:val="22"/>
          <w:lang w:val="en-CA"/>
        </w:rPr>
        <w:t>Van Diemen Aquaculture Limited and Saltas Limited were relatively small compared to the first three producers of Atlantic salmon</w:t>
      </w:r>
      <w:r w:rsidRPr="00A43F68">
        <w:rPr>
          <w:rFonts w:ascii="Arial" w:eastAsia="Calibri" w:hAnsi="Arial" w:cs="Arial"/>
          <w:lang w:val="en-CA"/>
        </w:rPr>
        <w:t>—</w:t>
      </w:r>
      <w:r w:rsidRPr="00A43F68">
        <w:rPr>
          <w:kern w:val="2"/>
          <w:sz w:val="22"/>
          <w:szCs w:val="22"/>
          <w:lang w:val="en-CA"/>
        </w:rPr>
        <w:t>Tassal, Huon, and Petuna. The former was a sea farmer, while the latter mainly operated hatcheries. Both were privately owned and sold products domestically.</w:t>
      </w:r>
      <w:r w:rsidRPr="00A43F68">
        <w:rPr>
          <w:kern w:val="2"/>
          <w:sz w:val="22"/>
          <w:szCs w:val="22"/>
          <w:vertAlign w:val="superscript"/>
          <w:lang w:val="en-CA"/>
        </w:rPr>
        <w:endnoteReference w:id="28"/>
      </w:r>
    </w:p>
    <w:p w14:paraId="1F6EAE12" w14:textId="77777777" w:rsidR="006D171A" w:rsidRPr="00A43F68" w:rsidRDefault="006D171A" w:rsidP="003D30B2">
      <w:pPr>
        <w:jc w:val="both"/>
        <w:rPr>
          <w:kern w:val="2"/>
          <w:sz w:val="22"/>
          <w:szCs w:val="22"/>
          <w:lang w:val="en-CA"/>
        </w:rPr>
      </w:pPr>
    </w:p>
    <w:p w14:paraId="7418B364" w14:textId="4356A0CA" w:rsidR="006D171A" w:rsidRPr="00A43F68" w:rsidRDefault="006D171A" w:rsidP="003D30B2">
      <w:pPr>
        <w:jc w:val="both"/>
        <w:rPr>
          <w:kern w:val="2"/>
          <w:sz w:val="22"/>
          <w:szCs w:val="22"/>
          <w:lang w:val="en-CA"/>
        </w:rPr>
      </w:pPr>
      <w:r w:rsidRPr="00A43F68">
        <w:rPr>
          <w:kern w:val="2"/>
          <w:sz w:val="22"/>
          <w:szCs w:val="22"/>
          <w:lang w:val="en-CA"/>
        </w:rPr>
        <w:t>To meet the strong domestic demand, it was necessary to import salmon from overseas. However, international competitors were not seen as a threat to the three major domestic players, as the imports still allowed them to maintain competitive pricing with a relatively higher quality product.</w:t>
      </w:r>
      <w:r w:rsidRPr="00A43F68">
        <w:rPr>
          <w:kern w:val="2"/>
          <w:sz w:val="22"/>
          <w:szCs w:val="22"/>
          <w:vertAlign w:val="superscript"/>
          <w:lang w:val="en-CA"/>
        </w:rPr>
        <w:endnoteReference w:id="29"/>
      </w:r>
    </w:p>
    <w:p w14:paraId="72A6EEC6" w14:textId="77777777" w:rsidR="006D171A" w:rsidRPr="00A43F68" w:rsidRDefault="006D171A" w:rsidP="003D30B2">
      <w:pPr>
        <w:jc w:val="both"/>
        <w:rPr>
          <w:kern w:val="2"/>
          <w:sz w:val="22"/>
          <w:szCs w:val="22"/>
          <w:lang w:val="en-CA"/>
        </w:rPr>
      </w:pPr>
    </w:p>
    <w:p w14:paraId="09230E0E" w14:textId="77777777" w:rsidR="006D171A" w:rsidRPr="00A43F68" w:rsidRDefault="006D171A" w:rsidP="003D30B2">
      <w:pPr>
        <w:jc w:val="both"/>
        <w:rPr>
          <w:kern w:val="2"/>
          <w:sz w:val="22"/>
          <w:szCs w:val="22"/>
          <w:lang w:val="en-CA"/>
        </w:rPr>
      </w:pPr>
    </w:p>
    <w:p w14:paraId="20DEE6C3" w14:textId="77777777" w:rsidR="006D171A" w:rsidRPr="00A43F68" w:rsidRDefault="006D171A" w:rsidP="003D30B2">
      <w:pPr>
        <w:jc w:val="both"/>
        <w:rPr>
          <w:rFonts w:ascii="Arial" w:hAnsi="Arial"/>
          <w:b/>
          <w:kern w:val="2"/>
          <w:lang w:val="en-CA"/>
        </w:rPr>
      </w:pPr>
      <w:r w:rsidRPr="00A43F68">
        <w:rPr>
          <w:rFonts w:ascii="Arial" w:hAnsi="Arial"/>
          <w:b/>
          <w:kern w:val="2"/>
          <w:lang w:val="en-CA"/>
        </w:rPr>
        <w:t>ACQUISITION OF DE COSTI SEAFOODS</w:t>
      </w:r>
    </w:p>
    <w:p w14:paraId="224778BF" w14:textId="77777777" w:rsidR="006D171A" w:rsidRPr="00A43F68" w:rsidRDefault="006D171A" w:rsidP="003D30B2">
      <w:pPr>
        <w:jc w:val="both"/>
        <w:rPr>
          <w:kern w:val="2"/>
          <w:sz w:val="22"/>
          <w:szCs w:val="22"/>
          <w:lang w:val="en-CA"/>
        </w:rPr>
      </w:pPr>
    </w:p>
    <w:p w14:paraId="2AEFE9D1" w14:textId="33F69287" w:rsidR="006D171A" w:rsidRPr="00A43F68" w:rsidRDefault="006D171A" w:rsidP="003D30B2">
      <w:pPr>
        <w:jc w:val="both"/>
        <w:rPr>
          <w:kern w:val="2"/>
          <w:sz w:val="22"/>
          <w:szCs w:val="22"/>
          <w:lang w:val="en-CA"/>
        </w:rPr>
      </w:pPr>
      <w:r w:rsidRPr="00A43F68">
        <w:rPr>
          <w:kern w:val="2"/>
          <w:sz w:val="22"/>
          <w:szCs w:val="22"/>
          <w:lang w:val="en-CA"/>
        </w:rPr>
        <w:t>In July 2015, Tassal announced the acquisition of De Costi to combine salmon and seafood markets into its operations. This strategic move was intended to ensure the sales growth and returns of its seafood category. The resulting increased scale would strengthen efficiencies and benefits in Tassal’s salmon and seafood categories while preparing the company for future growth.</w:t>
      </w:r>
      <w:r w:rsidRPr="00A43F68">
        <w:rPr>
          <w:kern w:val="2"/>
          <w:sz w:val="22"/>
          <w:szCs w:val="22"/>
          <w:vertAlign w:val="superscript"/>
          <w:lang w:val="en-CA"/>
        </w:rPr>
        <w:endnoteReference w:id="30"/>
      </w:r>
      <w:r w:rsidRPr="00A43F68">
        <w:rPr>
          <w:kern w:val="2"/>
          <w:sz w:val="22"/>
          <w:szCs w:val="22"/>
          <w:lang w:val="en-CA"/>
        </w:rPr>
        <w:t xml:space="preserve"> De Costi was a logical target because it was one of the largest players in the Australian seafood industry.</w:t>
      </w:r>
      <w:r w:rsidRPr="00A43F68">
        <w:rPr>
          <w:kern w:val="2"/>
          <w:sz w:val="22"/>
          <w:szCs w:val="22"/>
          <w:vertAlign w:val="superscript"/>
          <w:lang w:val="en-CA"/>
        </w:rPr>
        <w:endnoteReference w:id="31"/>
      </w:r>
    </w:p>
    <w:p w14:paraId="50E9B3C4" w14:textId="77777777" w:rsidR="006D171A" w:rsidRPr="00A43F68" w:rsidRDefault="006D171A" w:rsidP="003D30B2">
      <w:pPr>
        <w:jc w:val="both"/>
        <w:rPr>
          <w:kern w:val="2"/>
          <w:sz w:val="22"/>
          <w:szCs w:val="22"/>
          <w:lang w:val="en-CA"/>
        </w:rPr>
      </w:pPr>
    </w:p>
    <w:p w14:paraId="30A252ED" w14:textId="6D00E399" w:rsidR="006D171A" w:rsidRPr="00A43F68" w:rsidRDefault="006D171A" w:rsidP="003D30B2">
      <w:pPr>
        <w:jc w:val="both"/>
        <w:rPr>
          <w:kern w:val="2"/>
          <w:sz w:val="22"/>
          <w:szCs w:val="22"/>
          <w:lang w:val="en-CA"/>
        </w:rPr>
      </w:pPr>
      <w:r w:rsidRPr="00A43F68">
        <w:rPr>
          <w:kern w:val="2"/>
          <w:sz w:val="22"/>
          <w:szCs w:val="22"/>
          <w:lang w:val="en-CA"/>
        </w:rPr>
        <w:t>In 1974, George Costi and his wife started out with a small fish stall at Paddington Markets in Sydney, before founding De Costi in 1981. Its head office, procurement, and distribution centres were in Lidcombe, New South Wales.</w:t>
      </w:r>
      <w:r w:rsidRPr="00A43F68">
        <w:rPr>
          <w:kern w:val="2"/>
          <w:sz w:val="22"/>
          <w:szCs w:val="22"/>
          <w:vertAlign w:val="superscript"/>
          <w:lang w:val="en-CA"/>
        </w:rPr>
        <w:endnoteReference w:id="32"/>
      </w:r>
      <w:r w:rsidRPr="00A43F68">
        <w:rPr>
          <w:kern w:val="2"/>
          <w:sz w:val="22"/>
          <w:szCs w:val="22"/>
          <w:lang w:val="en-CA"/>
        </w:rPr>
        <w:t xml:space="preserve"> From a humble beginning, De Costi had developed into one of Australia’s largest fresh seafood suppliers. Its facilities were fully automated, with large areas to facilitate huge volumes of seafood processing and packaging for further distribution.</w:t>
      </w:r>
      <w:r w:rsidRPr="00A43F68">
        <w:rPr>
          <w:kern w:val="2"/>
          <w:sz w:val="22"/>
          <w:szCs w:val="22"/>
          <w:vertAlign w:val="superscript"/>
          <w:lang w:val="en-CA"/>
        </w:rPr>
        <w:endnoteReference w:id="33"/>
      </w:r>
    </w:p>
    <w:p w14:paraId="5E541714" w14:textId="77777777" w:rsidR="006D171A" w:rsidRPr="00A43F68" w:rsidRDefault="006D171A" w:rsidP="003D30B2">
      <w:pPr>
        <w:jc w:val="both"/>
        <w:rPr>
          <w:kern w:val="2"/>
          <w:sz w:val="22"/>
          <w:szCs w:val="22"/>
          <w:lang w:val="en-CA"/>
        </w:rPr>
      </w:pPr>
    </w:p>
    <w:p w14:paraId="5B0630F5" w14:textId="0F14F63C" w:rsidR="006D171A" w:rsidRPr="00A43F68" w:rsidRDefault="006D171A" w:rsidP="003D30B2">
      <w:pPr>
        <w:jc w:val="both"/>
        <w:rPr>
          <w:spacing w:val="-2"/>
          <w:kern w:val="2"/>
          <w:sz w:val="22"/>
          <w:szCs w:val="22"/>
          <w:lang w:val="en-CA"/>
        </w:rPr>
      </w:pPr>
      <w:r w:rsidRPr="00A43F68">
        <w:rPr>
          <w:spacing w:val="-2"/>
          <w:kern w:val="2"/>
          <w:sz w:val="22"/>
          <w:szCs w:val="22"/>
          <w:lang w:val="en-CA"/>
        </w:rPr>
        <w:t xml:space="preserve">De Costi distributed its seafood products mostly to the eastern side of Australia and South Australia. Its main customer was </w:t>
      </w:r>
      <w:bookmarkStart w:id="9" w:name="_Hlk10207929"/>
      <w:r w:rsidRPr="00A43F68">
        <w:rPr>
          <w:spacing w:val="-2"/>
          <w:kern w:val="2"/>
          <w:sz w:val="22"/>
          <w:szCs w:val="22"/>
          <w:lang w:val="en-CA"/>
        </w:rPr>
        <w:t>Woolworths Group Limited</w:t>
      </w:r>
      <w:bookmarkEnd w:id="9"/>
      <w:r w:rsidRPr="00A43F68">
        <w:rPr>
          <w:spacing w:val="-2"/>
          <w:kern w:val="2"/>
          <w:sz w:val="22"/>
          <w:szCs w:val="22"/>
          <w:lang w:val="en-CA"/>
        </w:rPr>
        <w:t>, a major Australian company with extensive retail interests throughout Australia and New Zealand. It also supplied to Metcash Limited, which was Australia’s leading wholesale distribution and marketing company. In 2015, De Costi’s turnover was approximately $1</w:t>
      </w:r>
      <w:r w:rsidR="002A75A4" w:rsidRPr="00A43F68">
        <w:rPr>
          <w:spacing w:val="-2"/>
          <w:kern w:val="2"/>
          <w:sz w:val="22"/>
          <w:szCs w:val="22"/>
          <w:lang w:val="en-CA"/>
        </w:rPr>
        <w:t>3</w:t>
      </w:r>
      <w:r w:rsidRPr="00A43F68">
        <w:rPr>
          <w:spacing w:val="-2"/>
          <w:kern w:val="2"/>
          <w:sz w:val="22"/>
          <w:szCs w:val="22"/>
          <w:lang w:val="en-CA"/>
        </w:rPr>
        <w:t>8 million, with an earnings before interest, tax, depreciation, and amortization (EBITDA) of approximately $10 million and net profit before tax of approximately $5.3 million (see Exhibit 2).</w:t>
      </w:r>
      <w:r w:rsidRPr="00A43F68">
        <w:rPr>
          <w:spacing w:val="-2"/>
          <w:kern w:val="2"/>
          <w:sz w:val="22"/>
          <w:szCs w:val="22"/>
          <w:vertAlign w:val="superscript"/>
          <w:lang w:val="en-CA"/>
        </w:rPr>
        <w:endnoteReference w:id="34"/>
      </w:r>
    </w:p>
    <w:p w14:paraId="179106EA" w14:textId="77777777" w:rsidR="006D171A" w:rsidRPr="00A43F68" w:rsidRDefault="006D171A" w:rsidP="003D30B2">
      <w:pPr>
        <w:jc w:val="both"/>
        <w:rPr>
          <w:kern w:val="2"/>
          <w:sz w:val="22"/>
          <w:szCs w:val="22"/>
          <w:lang w:val="en-CA"/>
        </w:rPr>
      </w:pPr>
    </w:p>
    <w:p w14:paraId="31C305AB" w14:textId="77777777" w:rsidR="006D171A" w:rsidRPr="00A43F68" w:rsidRDefault="006D171A" w:rsidP="003D30B2">
      <w:pPr>
        <w:jc w:val="both"/>
        <w:rPr>
          <w:kern w:val="2"/>
          <w:sz w:val="22"/>
          <w:szCs w:val="22"/>
          <w:lang w:val="en-CA"/>
        </w:rPr>
      </w:pPr>
    </w:p>
    <w:p w14:paraId="21BD2F9D" w14:textId="77777777" w:rsidR="006D171A" w:rsidRPr="00A43F68" w:rsidRDefault="006D171A" w:rsidP="00EB600D">
      <w:pPr>
        <w:jc w:val="both"/>
        <w:rPr>
          <w:rFonts w:ascii="Arial" w:hAnsi="Arial" w:cs="Arial"/>
          <w:b/>
          <w:kern w:val="2"/>
          <w:lang w:val="en-CA"/>
        </w:rPr>
      </w:pPr>
      <w:r w:rsidRPr="00A43F68">
        <w:rPr>
          <w:rFonts w:ascii="Arial" w:hAnsi="Arial" w:cs="Arial"/>
          <w:b/>
          <w:kern w:val="2"/>
          <w:lang w:val="en-CA"/>
        </w:rPr>
        <w:t xml:space="preserve">Motivations </w:t>
      </w:r>
    </w:p>
    <w:p w14:paraId="71D8603E" w14:textId="77777777" w:rsidR="006D171A" w:rsidRPr="00A43F68" w:rsidRDefault="006D171A" w:rsidP="00EB600D">
      <w:pPr>
        <w:jc w:val="both"/>
        <w:rPr>
          <w:kern w:val="2"/>
          <w:sz w:val="22"/>
          <w:szCs w:val="22"/>
          <w:lang w:val="en-CA"/>
        </w:rPr>
      </w:pPr>
    </w:p>
    <w:p w14:paraId="14F10BEF" w14:textId="63D0975F" w:rsidR="006D171A" w:rsidRPr="00A43F68" w:rsidRDefault="006D171A" w:rsidP="00EB600D">
      <w:pPr>
        <w:jc w:val="both"/>
        <w:rPr>
          <w:spacing w:val="-2"/>
          <w:kern w:val="2"/>
          <w:sz w:val="22"/>
          <w:szCs w:val="22"/>
          <w:lang w:val="en-CA"/>
        </w:rPr>
      </w:pPr>
      <w:r w:rsidRPr="00A43F68">
        <w:rPr>
          <w:spacing w:val="-2"/>
          <w:kern w:val="2"/>
          <w:sz w:val="22"/>
          <w:szCs w:val="22"/>
          <w:lang w:val="en-CA"/>
        </w:rPr>
        <w:t>The acquisition would allow Tassal to access a larger combined salmon and seafood market in Australia. In 2015, the total seafood industry in Australia was worth $4.3 billion, of which salmon and other seafood were worth $0.7 billion and $3.6 billion, respectively.</w:t>
      </w:r>
      <w:r w:rsidRPr="00A43F68">
        <w:rPr>
          <w:spacing w:val="-2"/>
          <w:kern w:val="2"/>
          <w:sz w:val="22"/>
          <w:szCs w:val="22"/>
          <w:vertAlign w:val="superscript"/>
          <w:lang w:val="en-CA"/>
        </w:rPr>
        <w:endnoteReference w:id="35"/>
      </w:r>
      <w:r w:rsidRPr="00A43F68">
        <w:rPr>
          <w:spacing w:val="-2"/>
          <w:kern w:val="2"/>
          <w:sz w:val="22"/>
          <w:szCs w:val="22"/>
          <w:lang w:val="en-CA"/>
        </w:rPr>
        <w:t xml:space="preserve"> The acquisition could bring about synergies within the two entities, including product expansion and production efficiency. Tassal could continue to improve existing production facilities while creating new ones, including new fish pens, without large capital outlays.</w:t>
      </w:r>
    </w:p>
    <w:p w14:paraId="4B7469DA" w14:textId="43B0AE2B" w:rsidR="006D171A" w:rsidRPr="00A43F68" w:rsidRDefault="006D171A" w:rsidP="003D30B2">
      <w:pPr>
        <w:jc w:val="both"/>
        <w:rPr>
          <w:kern w:val="2"/>
          <w:sz w:val="22"/>
          <w:szCs w:val="22"/>
          <w:lang w:val="en-CA"/>
        </w:rPr>
      </w:pPr>
      <w:r w:rsidRPr="00A43F68">
        <w:rPr>
          <w:kern w:val="2"/>
          <w:sz w:val="22"/>
          <w:szCs w:val="22"/>
          <w:lang w:val="en-CA"/>
        </w:rPr>
        <w:t>By joining forces with De Costi, Tassal could improve its customer value proposition, with a wider and more sustainable product range. Tassal could also improve category management of its new seafood products. The acquisition would improve Tassal’s product technology and innovation, thereby increasing its product exposure in Australia’s states and export markets. It would also open new opportunities for Tassal in other food services and help the company build relationships with other retail stores. The acquisition would allow Tassal to focus on its original brand in wholesaling while expanding the retail base through the De Costi brand. The move would also align perfectly with Tassal’s strategy to create and maintain multiple brands and to avoid diluting its original brand. According to Ryan, the acquisition had put in place the right foundations for Tassal to pursue the salmon and seafood strategy.</w:t>
      </w:r>
      <w:r w:rsidRPr="00A43F68">
        <w:rPr>
          <w:kern w:val="2"/>
          <w:sz w:val="22"/>
          <w:szCs w:val="22"/>
          <w:vertAlign w:val="superscript"/>
          <w:lang w:val="en-CA"/>
        </w:rPr>
        <w:endnoteReference w:id="36"/>
      </w:r>
      <w:r w:rsidRPr="00A43F68">
        <w:rPr>
          <w:kern w:val="2"/>
          <w:sz w:val="22"/>
          <w:szCs w:val="22"/>
          <w:lang w:val="en-CA"/>
        </w:rPr>
        <w:t xml:space="preserve"> </w:t>
      </w:r>
    </w:p>
    <w:p w14:paraId="4C0D9E0C" w14:textId="77777777" w:rsidR="006D171A" w:rsidRPr="00A43F68" w:rsidRDefault="006D171A" w:rsidP="003D30B2">
      <w:pPr>
        <w:jc w:val="both"/>
        <w:rPr>
          <w:kern w:val="2"/>
          <w:sz w:val="22"/>
          <w:szCs w:val="22"/>
          <w:lang w:val="en-CA"/>
        </w:rPr>
      </w:pPr>
    </w:p>
    <w:p w14:paraId="417501A2" w14:textId="6C168F06" w:rsidR="006D171A" w:rsidRPr="00A43F68" w:rsidRDefault="006D171A" w:rsidP="003D30B2">
      <w:pPr>
        <w:jc w:val="both"/>
        <w:rPr>
          <w:kern w:val="2"/>
          <w:sz w:val="22"/>
          <w:szCs w:val="22"/>
          <w:lang w:val="en-CA"/>
        </w:rPr>
      </w:pPr>
      <w:r w:rsidRPr="00A43F68">
        <w:rPr>
          <w:kern w:val="2"/>
          <w:sz w:val="22"/>
          <w:szCs w:val="22"/>
          <w:lang w:val="en-CA"/>
        </w:rPr>
        <w:t>The acquisition would help Tassal maintain its overall profitability in the face of uncertainty in local fish farming, changes in climatic conditions, and exchange rate fluctuations for international markets. During fiscal year (FY) 2016, Tassal was faced with higher costs and less-than-optimal supply due to warm water throughout the summer and autumn months, while a high percentage of retail sales volume and pricing were already locked in.</w:t>
      </w:r>
      <w:r w:rsidRPr="00A43F68">
        <w:rPr>
          <w:kern w:val="2"/>
          <w:sz w:val="22"/>
          <w:szCs w:val="22"/>
          <w:vertAlign w:val="superscript"/>
          <w:lang w:val="en-CA"/>
        </w:rPr>
        <w:endnoteReference w:id="37"/>
      </w:r>
      <w:r w:rsidRPr="00A43F68">
        <w:rPr>
          <w:kern w:val="2"/>
          <w:sz w:val="22"/>
          <w:szCs w:val="22"/>
          <w:lang w:val="en-CA"/>
        </w:rPr>
        <w:t xml:space="preserve"> These unfavourable issues were reflected in Tassal’s financials for the second half of 2016, where the salmon revenue was comparatively lower than expected.</w:t>
      </w:r>
      <w:r w:rsidRPr="00A43F68">
        <w:rPr>
          <w:kern w:val="2"/>
          <w:sz w:val="22"/>
          <w:szCs w:val="22"/>
          <w:vertAlign w:val="superscript"/>
          <w:lang w:val="en-CA"/>
        </w:rPr>
        <w:endnoteReference w:id="38"/>
      </w:r>
    </w:p>
    <w:p w14:paraId="40CC846F" w14:textId="77777777" w:rsidR="006D171A" w:rsidRPr="00A43F68" w:rsidRDefault="006D171A" w:rsidP="003D30B2">
      <w:pPr>
        <w:jc w:val="both"/>
        <w:rPr>
          <w:kern w:val="2"/>
          <w:sz w:val="22"/>
          <w:szCs w:val="22"/>
          <w:lang w:val="en-CA"/>
        </w:rPr>
      </w:pPr>
    </w:p>
    <w:p w14:paraId="01017556" w14:textId="77777777" w:rsidR="006D171A" w:rsidRPr="00A43F68" w:rsidRDefault="006D171A" w:rsidP="003D30B2">
      <w:pPr>
        <w:jc w:val="both"/>
        <w:rPr>
          <w:kern w:val="2"/>
          <w:sz w:val="22"/>
          <w:szCs w:val="22"/>
          <w:lang w:val="en-CA"/>
        </w:rPr>
      </w:pPr>
    </w:p>
    <w:p w14:paraId="2FFF2402" w14:textId="1EAC0B4C" w:rsidR="006D171A" w:rsidRPr="00A43F68" w:rsidRDefault="006D171A" w:rsidP="003D30B2">
      <w:pPr>
        <w:jc w:val="both"/>
        <w:rPr>
          <w:rFonts w:ascii="Arial" w:hAnsi="Arial" w:cs="Arial"/>
          <w:b/>
          <w:kern w:val="2"/>
          <w:lang w:val="en-CA"/>
        </w:rPr>
      </w:pPr>
      <w:r w:rsidRPr="00A43F68">
        <w:rPr>
          <w:rFonts w:ascii="Arial" w:hAnsi="Arial" w:cs="Arial"/>
          <w:b/>
          <w:kern w:val="2"/>
          <w:lang w:val="en-CA"/>
        </w:rPr>
        <w:t>Terms of the Acquisition Deal</w:t>
      </w:r>
    </w:p>
    <w:p w14:paraId="6A152A4E" w14:textId="77777777" w:rsidR="006D171A" w:rsidRPr="00A43F68" w:rsidRDefault="006D171A" w:rsidP="003D30B2">
      <w:pPr>
        <w:jc w:val="both"/>
        <w:rPr>
          <w:kern w:val="2"/>
          <w:sz w:val="22"/>
          <w:szCs w:val="22"/>
          <w:lang w:val="en-CA"/>
        </w:rPr>
      </w:pPr>
    </w:p>
    <w:p w14:paraId="4904E5EA" w14:textId="07806E67" w:rsidR="006D171A" w:rsidRPr="00A43F68" w:rsidRDefault="006D171A" w:rsidP="003D30B2">
      <w:pPr>
        <w:jc w:val="both"/>
        <w:rPr>
          <w:kern w:val="2"/>
          <w:sz w:val="22"/>
          <w:szCs w:val="22"/>
          <w:lang w:val="en-CA"/>
        </w:rPr>
      </w:pPr>
      <w:r w:rsidRPr="00A43F68">
        <w:rPr>
          <w:kern w:val="2"/>
          <w:sz w:val="22"/>
          <w:szCs w:val="22"/>
          <w:lang w:val="en-CA"/>
        </w:rPr>
        <w:t>The payment for the acquisition comprised two components</w:t>
      </w:r>
      <w:r w:rsidRPr="00A43F68">
        <w:rPr>
          <w:rFonts w:ascii="Arial" w:eastAsia="Calibri" w:hAnsi="Arial" w:cs="Arial"/>
          <w:lang w:val="en-CA"/>
        </w:rPr>
        <w:t>—</w:t>
      </w:r>
      <w:r w:rsidRPr="00A43F68">
        <w:rPr>
          <w:kern w:val="2"/>
          <w:sz w:val="22"/>
          <w:szCs w:val="22"/>
          <w:lang w:val="en-CA"/>
        </w:rPr>
        <w:t>first, an upfront cash payment of $50 million at the completion of the proposed acquisition; second, a growth-based earnout payable in new Tassal shares over each of the three financial years from FY 2016 to 2018. The compliance, restructuring, alignment, and integration costs for De Costi amounted to $1.1 million.</w:t>
      </w:r>
      <w:r w:rsidRPr="00A43F68">
        <w:rPr>
          <w:kern w:val="2"/>
          <w:sz w:val="22"/>
          <w:szCs w:val="22"/>
          <w:vertAlign w:val="superscript"/>
          <w:lang w:val="en-CA"/>
        </w:rPr>
        <w:endnoteReference w:id="39"/>
      </w:r>
    </w:p>
    <w:p w14:paraId="5BF50FA2" w14:textId="77777777" w:rsidR="006D171A" w:rsidRPr="00A43F68" w:rsidRDefault="006D171A" w:rsidP="003D30B2">
      <w:pPr>
        <w:jc w:val="both"/>
        <w:rPr>
          <w:kern w:val="2"/>
          <w:sz w:val="22"/>
          <w:szCs w:val="22"/>
          <w:lang w:val="en-CA"/>
        </w:rPr>
      </w:pPr>
    </w:p>
    <w:p w14:paraId="63659A95" w14:textId="54E315EA" w:rsidR="006D171A" w:rsidRPr="00A43F68" w:rsidRDefault="006D171A" w:rsidP="003D30B2">
      <w:pPr>
        <w:jc w:val="both"/>
        <w:rPr>
          <w:kern w:val="2"/>
          <w:sz w:val="22"/>
          <w:szCs w:val="22"/>
          <w:lang w:val="en-CA"/>
        </w:rPr>
      </w:pPr>
      <w:r w:rsidRPr="00A43F68">
        <w:rPr>
          <w:kern w:val="2"/>
          <w:sz w:val="22"/>
          <w:szCs w:val="22"/>
          <w:lang w:val="en-CA"/>
        </w:rPr>
        <w:t>In particular, the upfront payment was based on a multiple of five times the maintainable EBITDA of De Costi’s business in 2015, which was about $10 million. The growth-based earnout, depending on meeting the performance targets, would also be paid for approximately five times the maintainable EDITDA over the three-year period from FY 2016 to 2018. This contingent earnout was capped at a maximum nominal amount of $30 million and a maximum of 10 million new Tassal shares for that entire period.</w:t>
      </w:r>
      <w:r w:rsidRPr="00A43F68">
        <w:rPr>
          <w:kern w:val="2"/>
          <w:sz w:val="22"/>
          <w:szCs w:val="22"/>
          <w:vertAlign w:val="superscript"/>
          <w:lang w:val="en-CA"/>
        </w:rPr>
        <w:endnoteReference w:id="40"/>
      </w:r>
    </w:p>
    <w:p w14:paraId="4BE83313" w14:textId="77777777" w:rsidR="006D171A" w:rsidRPr="00A43F68" w:rsidRDefault="006D171A" w:rsidP="003D30B2">
      <w:pPr>
        <w:jc w:val="both"/>
        <w:rPr>
          <w:kern w:val="2"/>
          <w:sz w:val="22"/>
          <w:szCs w:val="22"/>
          <w:lang w:val="en-CA"/>
        </w:rPr>
      </w:pPr>
    </w:p>
    <w:p w14:paraId="25FC3DCA" w14:textId="581BA58A" w:rsidR="006D171A" w:rsidRPr="00A43F68" w:rsidRDefault="006D171A" w:rsidP="003D30B2">
      <w:pPr>
        <w:jc w:val="both"/>
        <w:rPr>
          <w:kern w:val="2"/>
          <w:sz w:val="22"/>
          <w:szCs w:val="22"/>
          <w:lang w:val="en-CA"/>
        </w:rPr>
      </w:pPr>
      <w:r w:rsidRPr="00A43F68">
        <w:rPr>
          <w:kern w:val="2"/>
          <w:sz w:val="22"/>
          <w:szCs w:val="22"/>
          <w:lang w:val="en-CA"/>
        </w:rPr>
        <w:t>Under such contingent payment, Tassal issued 2.1 million new shares to De Costi</w:t>
      </w:r>
      <w:r w:rsidRPr="00A43F68">
        <w:rPr>
          <w:rFonts w:ascii="Arial" w:eastAsia="Calibri" w:hAnsi="Arial" w:cs="Arial"/>
          <w:lang w:val="en-CA"/>
        </w:rPr>
        <w:t xml:space="preserve"> (</w:t>
      </w:r>
      <w:r w:rsidRPr="00A43F68">
        <w:rPr>
          <w:kern w:val="2"/>
          <w:sz w:val="22"/>
          <w:szCs w:val="22"/>
          <w:lang w:val="en-CA"/>
        </w:rPr>
        <w:t>based on its FY 2016 performance), which were 65.6 per cent of the maximum possible earnout for that year (see Exhibit 3).</w:t>
      </w:r>
      <w:r w:rsidRPr="00A43F68">
        <w:rPr>
          <w:kern w:val="2"/>
          <w:sz w:val="22"/>
          <w:szCs w:val="22"/>
          <w:vertAlign w:val="superscript"/>
          <w:lang w:val="en-CA"/>
        </w:rPr>
        <w:endnoteReference w:id="41"/>
      </w:r>
      <w:r w:rsidRPr="00A43F68">
        <w:rPr>
          <w:kern w:val="2"/>
          <w:sz w:val="22"/>
          <w:szCs w:val="22"/>
          <w:lang w:val="en-CA"/>
        </w:rPr>
        <w:t xml:space="preserve"> Because of De Costi’s increased post-acquisition operating performance in FY 2017, Tassal issued two million new shares to De Costi, which were 60 per cent of the maximum possible </w:t>
      </w:r>
      <w:r w:rsidR="007A46C8" w:rsidRPr="00A43F68">
        <w:rPr>
          <w:kern w:val="2"/>
          <w:sz w:val="22"/>
          <w:szCs w:val="22"/>
          <w:lang w:val="en-CA"/>
        </w:rPr>
        <w:t>earnout for</w:t>
      </w:r>
      <w:r w:rsidRPr="00A43F68">
        <w:rPr>
          <w:kern w:val="2"/>
          <w:sz w:val="22"/>
          <w:szCs w:val="22"/>
          <w:lang w:val="en-CA"/>
        </w:rPr>
        <w:t xml:space="preserve"> FY 2017.</w:t>
      </w:r>
      <w:r w:rsidRPr="00A43F68">
        <w:rPr>
          <w:kern w:val="2"/>
          <w:sz w:val="22"/>
          <w:szCs w:val="22"/>
          <w:vertAlign w:val="superscript"/>
          <w:lang w:val="en-CA"/>
        </w:rPr>
        <w:endnoteReference w:id="42"/>
      </w:r>
    </w:p>
    <w:p w14:paraId="58DB38B6" w14:textId="77777777" w:rsidR="006D171A" w:rsidRPr="00A43F68" w:rsidRDefault="006D171A" w:rsidP="003D30B2">
      <w:pPr>
        <w:jc w:val="both"/>
        <w:rPr>
          <w:kern w:val="2"/>
          <w:sz w:val="22"/>
          <w:szCs w:val="22"/>
          <w:lang w:val="en-CA"/>
        </w:rPr>
      </w:pPr>
    </w:p>
    <w:p w14:paraId="6D1B7F26" w14:textId="77777777" w:rsidR="006D171A" w:rsidRPr="00A43F68" w:rsidRDefault="006D171A" w:rsidP="003D30B2">
      <w:pPr>
        <w:jc w:val="both"/>
        <w:rPr>
          <w:kern w:val="2"/>
          <w:sz w:val="22"/>
          <w:szCs w:val="22"/>
          <w:lang w:val="en-CA"/>
        </w:rPr>
      </w:pPr>
    </w:p>
    <w:p w14:paraId="52E9B742" w14:textId="77777777" w:rsidR="006D171A" w:rsidRPr="00A43F68" w:rsidRDefault="006D171A" w:rsidP="002955A0">
      <w:pPr>
        <w:keepNext/>
        <w:jc w:val="both"/>
        <w:rPr>
          <w:rFonts w:ascii="Arial" w:hAnsi="Arial" w:cs="Arial"/>
          <w:b/>
          <w:kern w:val="2"/>
          <w:lang w:val="en-CA"/>
        </w:rPr>
      </w:pPr>
      <w:r w:rsidRPr="00A43F68">
        <w:rPr>
          <w:rFonts w:ascii="Arial" w:hAnsi="Arial" w:cs="Arial"/>
          <w:b/>
          <w:kern w:val="2"/>
          <w:lang w:val="en-CA"/>
        </w:rPr>
        <w:t>Financial Impacts</w:t>
      </w:r>
    </w:p>
    <w:p w14:paraId="6B2852E3" w14:textId="77777777" w:rsidR="006D171A" w:rsidRPr="00A43F68" w:rsidRDefault="006D171A" w:rsidP="002955A0">
      <w:pPr>
        <w:keepNext/>
        <w:jc w:val="both"/>
        <w:rPr>
          <w:kern w:val="2"/>
          <w:sz w:val="22"/>
          <w:szCs w:val="22"/>
          <w:lang w:val="en-CA"/>
        </w:rPr>
      </w:pPr>
    </w:p>
    <w:p w14:paraId="0500CE99" w14:textId="033E3F89" w:rsidR="006D171A" w:rsidRPr="00A43F68" w:rsidRDefault="006D171A" w:rsidP="002955A0">
      <w:pPr>
        <w:keepNext/>
        <w:jc w:val="both"/>
        <w:rPr>
          <w:kern w:val="2"/>
          <w:sz w:val="22"/>
          <w:szCs w:val="22"/>
          <w:lang w:val="en-CA"/>
        </w:rPr>
      </w:pPr>
      <w:r w:rsidRPr="00A43F68">
        <w:rPr>
          <w:kern w:val="2"/>
          <w:sz w:val="22"/>
          <w:szCs w:val="22"/>
          <w:lang w:val="en-CA"/>
        </w:rPr>
        <w:t>Tassal had restructured De Costi to ensure that it provided a solid operating platform for Tassal’s sustainable growth initiatives. The restructuring addressed inefficiencies in the seafood supply chain while integrating Tassal’s best practices to increase operational capabilities and further synergies. Despite higher salmon costs and relatively locked-in domestic channel sales, Tassal had achieved good performance due to its efficient production and supply chain—particularly in the wholesale market. Such supply chain efficiencies could be partly attributed to De Costi’s strong location advantage, which enabled it to service retailers along the east coast of Australia and South Australia.</w:t>
      </w:r>
      <w:r w:rsidRPr="00A43F68">
        <w:rPr>
          <w:kern w:val="2"/>
          <w:sz w:val="22"/>
          <w:szCs w:val="22"/>
          <w:vertAlign w:val="superscript"/>
          <w:lang w:val="en-CA"/>
        </w:rPr>
        <w:endnoteReference w:id="43"/>
      </w:r>
      <w:r w:rsidRPr="00A43F68">
        <w:rPr>
          <w:kern w:val="2"/>
          <w:sz w:val="22"/>
          <w:szCs w:val="22"/>
          <w:lang w:val="en-CA"/>
        </w:rPr>
        <w:t xml:space="preserve"> </w:t>
      </w:r>
    </w:p>
    <w:p w14:paraId="0B026813" w14:textId="77777777" w:rsidR="006D171A" w:rsidRPr="00A43F68" w:rsidRDefault="006D171A" w:rsidP="003D30B2">
      <w:pPr>
        <w:jc w:val="both"/>
        <w:rPr>
          <w:kern w:val="2"/>
          <w:sz w:val="22"/>
          <w:szCs w:val="22"/>
          <w:lang w:val="en-CA"/>
        </w:rPr>
      </w:pPr>
    </w:p>
    <w:p w14:paraId="765F65FC" w14:textId="5598F423" w:rsidR="006D171A" w:rsidRPr="00A43F68" w:rsidRDefault="006D171A" w:rsidP="003D30B2">
      <w:pPr>
        <w:jc w:val="both"/>
        <w:rPr>
          <w:spacing w:val="-4"/>
          <w:kern w:val="2"/>
          <w:sz w:val="22"/>
          <w:szCs w:val="22"/>
          <w:lang w:val="en-CA"/>
        </w:rPr>
      </w:pPr>
      <w:r w:rsidRPr="00A43F68">
        <w:rPr>
          <w:spacing w:val="-4"/>
          <w:kern w:val="2"/>
          <w:sz w:val="22"/>
          <w:szCs w:val="22"/>
          <w:lang w:val="en-CA"/>
        </w:rPr>
        <w:t xml:space="preserve">In particular, Tassal’s EBITDA in FY 2016 was up by </w:t>
      </w:r>
      <w:r w:rsidR="00C7018B" w:rsidRPr="00A43F68">
        <w:rPr>
          <w:spacing w:val="-4"/>
          <w:kern w:val="2"/>
          <w:sz w:val="22"/>
          <w:szCs w:val="22"/>
          <w:lang w:val="en-CA" w:eastAsia="zh-CN"/>
        </w:rPr>
        <w:t>4</w:t>
      </w:r>
      <w:r w:rsidRPr="00A43F68">
        <w:rPr>
          <w:spacing w:val="-4"/>
          <w:kern w:val="2"/>
          <w:sz w:val="22"/>
          <w:szCs w:val="22"/>
          <w:lang w:val="en-CA"/>
        </w:rPr>
        <w:t xml:space="preserve"> per cent to $</w:t>
      </w:r>
      <w:r w:rsidR="00C7018B" w:rsidRPr="00A43F68">
        <w:rPr>
          <w:spacing w:val="-4"/>
          <w:kern w:val="2"/>
          <w:sz w:val="22"/>
          <w:szCs w:val="22"/>
          <w:lang w:val="en-CA" w:eastAsia="zh-CN"/>
        </w:rPr>
        <w:t>97</w:t>
      </w:r>
      <w:r w:rsidRPr="00A43F68">
        <w:rPr>
          <w:spacing w:val="-4"/>
          <w:kern w:val="2"/>
          <w:sz w:val="22"/>
          <w:szCs w:val="22"/>
          <w:lang w:val="en-CA"/>
        </w:rPr>
        <w:t>.2</w:t>
      </w:r>
      <w:r w:rsidR="00C7018B" w:rsidRPr="00A43F68">
        <w:rPr>
          <w:spacing w:val="-4"/>
          <w:kern w:val="2"/>
          <w:sz w:val="22"/>
          <w:szCs w:val="22"/>
          <w:lang w:val="en-CA" w:eastAsia="zh-CN"/>
        </w:rPr>
        <w:t>9</w:t>
      </w:r>
      <w:r w:rsidRPr="00A43F68">
        <w:rPr>
          <w:spacing w:val="-4"/>
          <w:kern w:val="2"/>
          <w:sz w:val="22"/>
          <w:szCs w:val="22"/>
          <w:lang w:val="en-CA"/>
        </w:rPr>
        <w:t xml:space="preserve"> million (see Exhibit 4). This increase was partly due to additional earnings from De Costi and improved operational efficiencies of balancing the product mix. Importantly, the cash flow had also increased to $50.2 million, which could buffer Tassal from adverse conditions—especially from the local salmon farming—while facilitating its investments for profitability and growth in the long-term. In FY 2016, Tassal also received a five-year tenor of core debt facilities from existing Westpac Banking Corporation and Bankwest, which provided the company sufficient leeway to counter agricultural risks and allowed it to consider expansion opportunities.</w:t>
      </w:r>
      <w:r w:rsidRPr="00A43F68">
        <w:rPr>
          <w:spacing w:val="-4"/>
          <w:kern w:val="2"/>
          <w:sz w:val="22"/>
          <w:szCs w:val="22"/>
          <w:vertAlign w:val="superscript"/>
          <w:lang w:val="en-CA"/>
        </w:rPr>
        <w:endnoteReference w:id="44"/>
      </w:r>
    </w:p>
    <w:p w14:paraId="44D86085" w14:textId="77777777" w:rsidR="006D171A" w:rsidRPr="00A43F68" w:rsidRDefault="006D171A" w:rsidP="003D30B2">
      <w:pPr>
        <w:jc w:val="both"/>
        <w:rPr>
          <w:kern w:val="2"/>
          <w:sz w:val="22"/>
          <w:szCs w:val="22"/>
          <w:lang w:val="en-CA"/>
        </w:rPr>
      </w:pPr>
    </w:p>
    <w:p w14:paraId="3BFB9E6A" w14:textId="4E3A4121" w:rsidR="006D171A" w:rsidRPr="00A43F68" w:rsidRDefault="006D171A" w:rsidP="003D30B2">
      <w:pPr>
        <w:jc w:val="both"/>
        <w:rPr>
          <w:kern w:val="2"/>
          <w:sz w:val="22"/>
          <w:szCs w:val="22"/>
          <w:lang w:val="en-CA"/>
        </w:rPr>
      </w:pPr>
      <w:r w:rsidRPr="00A43F68">
        <w:rPr>
          <w:kern w:val="2"/>
          <w:sz w:val="22"/>
          <w:szCs w:val="22"/>
          <w:lang w:val="en-CA"/>
        </w:rPr>
        <w:t>Following the acquisition in FY 2016, however, Tassal’s net debt had increased to $69.6 million ($48.9 million of which was used to fund the acquisition). The gearing ratio and funding ratio had also increased (see Exhibit 5).</w:t>
      </w:r>
      <w:r w:rsidRPr="00A43F68">
        <w:rPr>
          <w:kern w:val="2"/>
          <w:sz w:val="22"/>
          <w:szCs w:val="22"/>
          <w:vertAlign w:val="superscript"/>
          <w:lang w:val="en-CA"/>
        </w:rPr>
        <w:endnoteReference w:id="45"/>
      </w:r>
      <w:r w:rsidRPr="00A43F68">
        <w:rPr>
          <w:kern w:val="2"/>
          <w:sz w:val="22"/>
          <w:szCs w:val="22"/>
          <w:lang w:val="en-CA"/>
        </w:rPr>
        <w:t xml:space="preserve"> In the first half of 2018, Tassal reported a growth in revenue and operating earnings of 23 per cent and a growth in operating cash flows of 69.2 per cent to $40.6 million. The higher cash flows and the capital raised in the second half of 2017 had significantly reduced the gearing ratio to 13 per cent, which provided greater flexibility for long-term investments. These positive figures had substantially strengthened Tassal’s overall financial position.</w:t>
      </w:r>
      <w:r w:rsidRPr="00A43F68">
        <w:rPr>
          <w:kern w:val="2"/>
          <w:sz w:val="22"/>
          <w:szCs w:val="22"/>
          <w:vertAlign w:val="superscript"/>
          <w:lang w:val="en-CA"/>
        </w:rPr>
        <w:endnoteReference w:id="46"/>
      </w:r>
      <w:r w:rsidRPr="00A43F68">
        <w:rPr>
          <w:kern w:val="2"/>
          <w:sz w:val="22"/>
          <w:szCs w:val="22"/>
          <w:lang w:val="en-CA"/>
        </w:rPr>
        <w:t xml:space="preserve"> </w:t>
      </w:r>
    </w:p>
    <w:p w14:paraId="3EF92904" w14:textId="77777777" w:rsidR="006D171A" w:rsidRPr="00A43F68" w:rsidRDefault="006D171A" w:rsidP="003D30B2">
      <w:pPr>
        <w:jc w:val="both"/>
        <w:rPr>
          <w:kern w:val="2"/>
          <w:sz w:val="22"/>
          <w:szCs w:val="22"/>
          <w:lang w:val="en-CA"/>
        </w:rPr>
      </w:pPr>
    </w:p>
    <w:p w14:paraId="77A7567E" w14:textId="146EF8BD" w:rsidR="006D171A" w:rsidRPr="00A43F68" w:rsidRDefault="006D171A" w:rsidP="003D30B2">
      <w:pPr>
        <w:jc w:val="both"/>
        <w:rPr>
          <w:sz w:val="22"/>
          <w:szCs w:val="22"/>
          <w:lang w:val="en-CA"/>
        </w:rPr>
      </w:pPr>
      <w:r w:rsidRPr="00A43F68">
        <w:rPr>
          <w:sz w:val="22"/>
          <w:szCs w:val="22"/>
          <w:lang w:val="en-CA"/>
        </w:rPr>
        <w:t xml:space="preserve">The earnout arrangements could be tricky for De Costi, especially when </w:t>
      </w:r>
      <w:r w:rsidR="00384A63" w:rsidRPr="00A43F68">
        <w:rPr>
          <w:sz w:val="22"/>
          <w:szCs w:val="22"/>
          <w:lang w:val="en-CA"/>
        </w:rPr>
        <w:t>the earnout</w:t>
      </w:r>
      <w:r w:rsidRPr="00A43F68">
        <w:rPr>
          <w:sz w:val="22"/>
          <w:szCs w:val="22"/>
          <w:lang w:val="en-CA"/>
        </w:rPr>
        <w:t xml:space="preserve"> was tied to</w:t>
      </w:r>
      <w:r w:rsidR="00384A63" w:rsidRPr="00A43F68">
        <w:rPr>
          <w:sz w:val="22"/>
          <w:szCs w:val="22"/>
          <w:lang w:val="en-CA"/>
        </w:rPr>
        <w:t xml:space="preserve"> the company’s</w:t>
      </w:r>
      <w:r w:rsidRPr="00A43F68">
        <w:rPr>
          <w:sz w:val="22"/>
          <w:szCs w:val="22"/>
          <w:lang w:val="en-CA"/>
        </w:rPr>
        <w:t xml:space="preserve"> profits or sales.</w:t>
      </w:r>
      <w:r w:rsidRPr="00A43F68">
        <w:rPr>
          <w:sz w:val="22"/>
          <w:szCs w:val="22"/>
          <w:vertAlign w:val="superscript"/>
          <w:lang w:val="en-CA"/>
        </w:rPr>
        <w:endnoteReference w:id="47"/>
      </w:r>
      <w:r w:rsidRPr="00A43F68">
        <w:rPr>
          <w:sz w:val="22"/>
          <w:szCs w:val="22"/>
          <w:lang w:val="en-CA"/>
        </w:rPr>
        <w:t xml:space="preserve"> In particular, De Costi would become a division of Tassal and have to achieve some mutually agreed upon goals, and it could not fully control the necessary resources to achieve them. However, the integration had improved the earnings of both entities. In particular, Tassal reported an additional expense of $6.7 million to be paid from the company as part of the terms for the earnout payment in FY 2017.</w:t>
      </w:r>
      <w:r w:rsidRPr="00A43F68">
        <w:rPr>
          <w:sz w:val="22"/>
          <w:szCs w:val="22"/>
          <w:vertAlign w:val="superscript"/>
          <w:lang w:val="en-CA"/>
        </w:rPr>
        <w:endnoteReference w:id="48"/>
      </w:r>
    </w:p>
    <w:p w14:paraId="69AE0A05" w14:textId="77777777" w:rsidR="006D171A" w:rsidRPr="00A43F68" w:rsidRDefault="006D171A" w:rsidP="003D30B2">
      <w:pPr>
        <w:jc w:val="both"/>
        <w:rPr>
          <w:kern w:val="2"/>
          <w:sz w:val="22"/>
          <w:szCs w:val="22"/>
          <w:lang w:val="en-CA"/>
        </w:rPr>
      </w:pPr>
    </w:p>
    <w:p w14:paraId="54C35189" w14:textId="1C66FB73" w:rsidR="006D171A" w:rsidRPr="00A43F68" w:rsidRDefault="006D171A" w:rsidP="003D30B2">
      <w:pPr>
        <w:jc w:val="both"/>
        <w:rPr>
          <w:spacing w:val="-2"/>
          <w:kern w:val="2"/>
          <w:sz w:val="22"/>
          <w:szCs w:val="22"/>
          <w:lang w:val="en-CA"/>
        </w:rPr>
      </w:pPr>
      <w:r w:rsidRPr="00A43F68">
        <w:rPr>
          <w:spacing w:val="-2"/>
          <w:kern w:val="2"/>
          <w:sz w:val="22"/>
          <w:szCs w:val="22"/>
          <w:lang w:val="en-CA"/>
        </w:rPr>
        <w:t>Tassal’s operational focus on De Costi’s advantages—innovative product and packaging, supply chain efficiencies, strong distribution of seafood in Australia’s eastern seaboard, and species diversification—was a success, as the seafood revenue in the first half of 2018 grew to $42.5 million from $41.1 million and $35.7 million in the same period of 2017 and 2016, respectively. With Tassal’s market dynamics and De Costi’s supply chain efficiencies, the combined entity had been successful in species diversification. The acquisition allowed Tassal to effectively put in place a strong set of competencies—particularly in vertical integration, from aquaculture to processing and marketing—to diversify into the wider seafood market.</w:t>
      </w:r>
      <w:r w:rsidRPr="00A43F68">
        <w:rPr>
          <w:spacing w:val="-2"/>
          <w:kern w:val="2"/>
          <w:sz w:val="22"/>
          <w:szCs w:val="22"/>
          <w:vertAlign w:val="superscript"/>
          <w:lang w:val="en-CA"/>
        </w:rPr>
        <w:endnoteReference w:id="49"/>
      </w:r>
    </w:p>
    <w:p w14:paraId="641BC7F0" w14:textId="77777777" w:rsidR="006D171A" w:rsidRPr="00A43F68" w:rsidRDefault="006D171A" w:rsidP="003D30B2">
      <w:pPr>
        <w:jc w:val="both"/>
        <w:rPr>
          <w:kern w:val="2"/>
          <w:sz w:val="22"/>
          <w:szCs w:val="22"/>
          <w:lang w:val="en-CA"/>
        </w:rPr>
      </w:pPr>
    </w:p>
    <w:p w14:paraId="18D233DB" w14:textId="77777777" w:rsidR="006D171A" w:rsidRPr="00A43F68" w:rsidRDefault="006D171A" w:rsidP="003D30B2">
      <w:pPr>
        <w:jc w:val="both"/>
        <w:rPr>
          <w:kern w:val="2"/>
          <w:sz w:val="22"/>
          <w:szCs w:val="22"/>
          <w:lang w:val="en-CA"/>
        </w:rPr>
      </w:pPr>
    </w:p>
    <w:p w14:paraId="531C2117" w14:textId="77777777" w:rsidR="006D171A" w:rsidRPr="00A43F68" w:rsidRDefault="006D171A" w:rsidP="003D30B2">
      <w:pPr>
        <w:jc w:val="both"/>
        <w:rPr>
          <w:rFonts w:ascii="Arial" w:hAnsi="Arial"/>
          <w:b/>
          <w:kern w:val="2"/>
          <w:lang w:val="en-CA"/>
        </w:rPr>
      </w:pPr>
      <w:r w:rsidRPr="00A43F68">
        <w:rPr>
          <w:rFonts w:ascii="Arial" w:hAnsi="Arial"/>
          <w:b/>
          <w:kern w:val="2"/>
          <w:lang w:val="en-CA"/>
        </w:rPr>
        <w:t>Strategic Impacts</w:t>
      </w:r>
    </w:p>
    <w:p w14:paraId="792E4299" w14:textId="77777777" w:rsidR="006D171A" w:rsidRPr="00A43F68" w:rsidRDefault="006D171A" w:rsidP="003D30B2">
      <w:pPr>
        <w:jc w:val="both"/>
        <w:rPr>
          <w:kern w:val="2"/>
          <w:sz w:val="22"/>
          <w:szCs w:val="22"/>
          <w:lang w:val="en-CA"/>
        </w:rPr>
      </w:pPr>
    </w:p>
    <w:p w14:paraId="7EBDE037" w14:textId="2DDF5FFF" w:rsidR="006D171A" w:rsidRPr="00A43F68" w:rsidRDefault="006D171A" w:rsidP="003D30B2">
      <w:pPr>
        <w:jc w:val="both"/>
        <w:rPr>
          <w:kern w:val="2"/>
          <w:sz w:val="22"/>
          <w:szCs w:val="22"/>
          <w:lang w:val="en-CA"/>
        </w:rPr>
      </w:pPr>
      <w:r w:rsidRPr="00A43F68">
        <w:rPr>
          <w:kern w:val="2"/>
          <w:sz w:val="22"/>
          <w:szCs w:val="22"/>
          <w:lang w:val="en-CA"/>
        </w:rPr>
        <w:t>The acquisition of De Costi—one of the market leaders in the seafood industry, with strong retail outlets—was a very important strategic move that allowed Tassal to address a much larger Australian seafood market of $4.3 billion from the previously addressable salmon market of only $700 million.</w:t>
      </w:r>
      <w:r w:rsidRPr="00A43F68">
        <w:rPr>
          <w:kern w:val="2"/>
          <w:sz w:val="22"/>
          <w:szCs w:val="22"/>
          <w:vertAlign w:val="superscript"/>
          <w:lang w:val="en-CA"/>
        </w:rPr>
        <w:endnoteReference w:id="50"/>
      </w:r>
      <w:r w:rsidRPr="00A43F68">
        <w:rPr>
          <w:kern w:val="2"/>
          <w:sz w:val="22"/>
          <w:szCs w:val="22"/>
          <w:lang w:val="en-CA"/>
        </w:rPr>
        <w:t xml:space="preserve"> This acquisition was a major pivot point in Tassal’s product portfolios and technology to ensure strong sustainable growth. The acquisition had helped in driving Tassal’s seafood sales through a better use of supply chain channels and an optimization of operational costs. Tassal was shifting its focus to a balanced marketing mix by reducing the retail sales and focusing more on the larger volume of the wholesale market. The company was also focused on improv</w:t>
      </w:r>
      <w:r w:rsidR="00E028B4" w:rsidRPr="00A43F68">
        <w:rPr>
          <w:kern w:val="2"/>
          <w:sz w:val="22"/>
          <w:szCs w:val="22"/>
          <w:lang w:val="en-CA"/>
        </w:rPr>
        <w:t xml:space="preserve">ing </w:t>
      </w:r>
      <w:r w:rsidRPr="00A43F68">
        <w:rPr>
          <w:kern w:val="2"/>
          <w:sz w:val="22"/>
          <w:szCs w:val="22"/>
          <w:lang w:val="en-CA"/>
        </w:rPr>
        <w:t>product and packaging and a balanced salmon number and weight. The strategic shift had helped Tassal to improve cash flows and optimize returns.</w:t>
      </w:r>
      <w:r w:rsidRPr="00A43F68">
        <w:rPr>
          <w:kern w:val="2"/>
          <w:sz w:val="22"/>
          <w:szCs w:val="22"/>
          <w:vertAlign w:val="superscript"/>
          <w:lang w:val="en-CA"/>
        </w:rPr>
        <w:endnoteReference w:id="51"/>
      </w:r>
    </w:p>
    <w:p w14:paraId="554F88E7" w14:textId="77777777" w:rsidR="006D171A" w:rsidRPr="00A43F68" w:rsidRDefault="006D171A" w:rsidP="003D30B2">
      <w:pPr>
        <w:jc w:val="both"/>
        <w:rPr>
          <w:kern w:val="2"/>
          <w:sz w:val="22"/>
          <w:szCs w:val="22"/>
          <w:lang w:val="en-CA"/>
        </w:rPr>
      </w:pPr>
    </w:p>
    <w:p w14:paraId="6743E78C" w14:textId="324A2D8C" w:rsidR="006D171A" w:rsidRPr="00A43F68" w:rsidRDefault="006D171A" w:rsidP="003D30B2">
      <w:pPr>
        <w:jc w:val="both"/>
        <w:rPr>
          <w:kern w:val="2"/>
          <w:sz w:val="22"/>
          <w:szCs w:val="22"/>
          <w:lang w:val="en-CA"/>
        </w:rPr>
      </w:pPr>
      <w:r w:rsidRPr="00A43F68">
        <w:rPr>
          <w:kern w:val="2"/>
          <w:sz w:val="22"/>
          <w:szCs w:val="22"/>
          <w:lang w:val="en-CA"/>
        </w:rPr>
        <w:t>The vision of both companies aligned well in that the De Costi mantra was to source the best-tasting, freshest seafood possible, while Tassal aimed to create a better tomorrow for the industry.</w:t>
      </w:r>
      <w:r w:rsidRPr="00A43F68">
        <w:rPr>
          <w:kern w:val="2"/>
          <w:sz w:val="22"/>
          <w:szCs w:val="22"/>
          <w:vertAlign w:val="superscript"/>
          <w:lang w:val="en-CA"/>
        </w:rPr>
        <w:endnoteReference w:id="52"/>
      </w:r>
      <w:r w:rsidRPr="00A43F68">
        <w:rPr>
          <w:kern w:val="2"/>
          <w:sz w:val="22"/>
          <w:szCs w:val="22"/>
          <w:lang w:val="en-CA"/>
        </w:rPr>
        <w:t xml:space="preserve"> As George Costi, the company’s former CEO, agreed to continue managing the operations of seafood products for at least three years, the post-acquisition integration had proceeded smoothly. This friendly acquisition was successful, as De Costi’s seafood segment continued to grow within the Tassal group.</w:t>
      </w:r>
      <w:r w:rsidRPr="00A43F68">
        <w:rPr>
          <w:kern w:val="2"/>
          <w:sz w:val="22"/>
          <w:szCs w:val="22"/>
          <w:vertAlign w:val="superscript"/>
          <w:lang w:val="en-CA"/>
        </w:rPr>
        <w:endnoteReference w:id="53"/>
      </w:r>
      <w:r w:rsidRPr="00A43F68">
        <w:rPr>
          <w:kern w:val="2"/>
          <w:sz w:val="22"/>
          <w:szCs w:val="22"/>
          <w:lang w:val="en-CA"/>
        </w:rPr>
        <w:t xml:space="preserve"> </w:t>
      </w:r>
    </w:p>
    <w:p w14:paraId="3316D9B3" w14:textId="77777777" w:rsidR="006D171A" w:rsidRPr="00A43F68" w:rsidRDefault="006D171A" w:rsidP="003D30B2">
      <w:pPr>
        <w:jc w:val="both"/>
        <w:rPr>
          <w:kern w:val="2"/>
          <w:sz w:val="22"/>
          <w:szCs w:val="22"/>
          <w:lang w:val="en-CA"/>
        </w:rPr>
      </w:pPr>
    </w:p>
    <w:p w14:paraId="0EAA7AD4" w14:textId="2EE5A543" w:rsidR="006D171A" w:rsidRPr="00A43F68" w:rsidRDefault="006D171A" w:rsidP="003D30B2">
      <w:pPr>
        <w:jc w:val="both"/>
        <w:rPr>
          <w:spacing w:val="-2"/>
          <w:kern w:val="2"/>
          <w:sz w:val="22"/>
          <w:szCs w:val="22"/>
          <w:lang w:val="en-CA"/>
        </w:rPr>
      </w:pPr>
      <w:r w:rsidRPr="00A43F68">
        <w:rPr>
          <w:spacing w:val="-2"/>
          <w:kern w:val="2"/>
          <w:sz w:val="22"/>
          <w:szCs w:val="22"/>
          <w:lang w:val="en-CA"/>
        </w:rPr>
        <w:t>The acquisition fulfilled Tassal’s quest for species diversification, from salmonids to the entire seafood segment. In 2018, Tassal signed a deal via a De Costi subsidiary to acquire a shrimp farm for over $20 million from the Fortune Group’s prawn aquaculture business, aiming to increase its shrimp production sixfold.</w:t>
      </w:r>
      <w:r w:rsidRPr="00A43F68">
        <w:rPr>
          <w:spacing w:val="-2"/>
          <w:kern w:val="2"/>
          <w:sz w:val="22"/>
          <w:szCs w:val="22"/>
          <w:vertAlign w:val="superscript"/>
          <w:lang w:val="en-CA"/>
        </w:rPr>
        <w:endnoteReference w:id="54"/>
      </w:r>
      <w:r w:rsidRPr="00A43F68">
        <w:rPr>
          <w:spacing w:val="-2"/>
          <w:kern w:val="2"/>
          <w:sz w:val="22"/>
          <w:szCs w:val="22"/>
          <w:lang w:val="en-CA"/>
        </w:rPr>
        <w:t xml:space="preserve"> The acquisition of prawn farms was a further step in its diversification. With the market value of $750 million in 2015, prawns were a major segment in the Australian seafood market that still had a shortfall in supply of approximately $420 million.</w:t>
      </w:r>
      <w:r w:rsidRPr="00A43F68">
        <w:rPr>
          <w:spacing w:val="-2"/>
          <w:kern w:val="2"/>
          <w:sz w:val="22"/>
          <w:szCs w:val="22"/>
          <w:vertAlign w:val="superscript"/>
          <w:lang w:val="en-CA"/>
        </w:rPr>
        <w:endnoteReference w:id="55"/>
      </w:r>
      <w:r w:rsidRPr="00A43F68">
        <w:rPr>
          <w:spacing w:val="-2"/>
          <w:kern w:val="2"/>
          <w:sz w:val="22"/>
          <w:szCs w:val="22"/>
          <w:lang w:val="en-CA"/>
        </w:rPr>
        <w:t xml:space="preserve"> Due to the strict regulations for obtaining a prawn-farming licence, it was easier to simply acquire a company to overcome that entry barrier. This further step would be facilitated by leveraging De Costi’s supply chain advantages and Tassal’s market leadership.</w:t>
      </w:r>
      <w:r w:rsidRPr="00A43F68">
        <w:rPr>
          <w:spacing w:val="-2"/>
          <w:kern w:val="2"/>
          <w:sz w:val="22"/>
          <w:szCs w:val="22"/>
          <w:vertAlign w:val="superscript"/>
          <w:lang w:val="en-CA"/>
        </w:rPr>
        <w:endnoteReference w:id="56"/>
      </w:r>
      <w:r w:rsidRPr="00A43F68">
        <w:rPr>
          <w:spacing w:val="-2"/>
          <w:kern w:val="2"/>
          <w:sz w:val="22"/>
          <w:szCs w:val="22"/>
          <w:lang w:val="en-CA"/>
        </w:rPr>
        <w:t xml:space="preserve"> </w:t>
      </w:r>
    </w:p>
    <w:p w14:paraId="3D36BF7A" w14:textId="77777777" w:rsidR="006D171A" w:rsidRPr="00A43F68" w:rsidRDefault="006D171A" w:rsidP="003D30B2">
      <w:pPr>
        <w:jc w:val="both"/>
        <w:rPr>
          <w:kern w:val="2"/>
          <w:sz w:val="22"/>
          <w:szCs w:val="22"/>
          <w:lang w:val="en-CA"/>
        </w:rPr>
      </w:pPr>
    </w:p>
    <w:p w14:paraId="785C8874" w14:textId="79C7EF59" w:rsidR="006D171A" w:rsidRPr="00A43F68" w:rsidRDefault="006D171A" w:rsidP="003D30B2">
      <w:pPr>
        <w:jc w:val="both"/>
        <w:rPr>
          <w:kern w:val="2"/>
          <w:sz w:val="22"/>
          <w:szCs w:val="22"/>
          <w:lang w:val="en-CA"/>
        </w:rPr>
      </w:pPr>
      <w:r w:rsidRPr="00A43F68">
        <w:rPr>
          <w:kern w:val="2"/>
          <w:sz w:val="22"/>
          <w:szCs w:val="22"/>
          <w:lang w:val="en-CA"/>
        </w:rPr>
        <w:t>Species diversification was a risky move if the parties involved were not familiar with the associated risks in the new segments. Tassal’s prior experience in pioneering vertical integration in the salmon business would be a valuable asset for the company to replicate this expertise in other seafood segments in order to drive category growth (see Exhibit 6).</w:t>
      </w:r>
      <w:r w:rsidRPr="00A43F68">
        <w:rPr>
          <w:kern w:val="2"/>
          <w:sz w:val="22"/>
          <w:szCs w:val="22"/>
          <w:vertAlign w:val="superscript"/>
          <w:lang w:val="en-CA"/>
        </w:rPr>
        <w:endnoteReference w:id="57"/>
      </w:r>
    </w:p>
    <w:p w14:paraId="10EBC1E1" w14:textId="77777777" w:rsidR="006D171A" w:rsidRPr="00A43F68" w:rsidRDefault="006D171A" w:rsidP="003D30B2">
      <w:pPr>
        <w:jc w:val="both"/>
        <w:rPr>
          <w:kern w:val="2"/>
          <w:sz w:val="22"/>
          <w:szCs w:val="22"/>
          <w:lang w:val="en-CA"/>
        </w:rPr>
      </w:pPr>
    </w:p>
    <w:p w14:paraId="3F799268" w14:textId="21F22BF0" w:rsidR="006D171A" w:rsidRPr="00A43F68" w:rsidRDefault="006D171A" w:rsidP="003D30B2">
      <w:pPr>
        <w:jc w:val="both"/>
        <w:rPr>
          <w:kern w:val="2"/>
          <w:sz w:val="22"/>
          <w:szCs w:val="22"/>
          <w:lang w:val="en-CA"/>
        </w:rPr>
      </w:pPr>
      <w:r w:rsidRPr="00A43F68">
        <w:rPr>
          <w:kern w:val="2"/>
          <w:sz w:val="22"/>
          <w:szCs w:val="22"/>
          <w:lang w:val="en-CA"/>
        </w:rPr>
        <w:t>Based on sales channels, the Australian seafood industry was divided into retail, food service, and institutional markets.</w:t>
      </w:r>
      <w:r w:rsidRPr="00A43F68">
        <w:rPr>
          <w:kern w:val="2"/>
          <w:sz w:val="22"/>
          <w:szCs w:val="22"/>
          <w:vertAlign w:val="superscript"/>
          <w:lang w:val="en-CA"/>
        </w:rPr>
        <w:endnoteReference w:id="58"/>
      </w:r>
      <w:r w:rsidRPr="00A43F68">
        <w:rPr>
          <w:kern w:val="2"/>
          <w:sz w:val="22"/>
          <w:szCs w:val="22"/>
          <w:lang w:val="en-CA"/>
        </w:rPr>
        <w:t xml:space="preserve"> The acquisition of De Costi had given Tassal easy access to the retail seafood market. Although the seafood segment accounted for less than 20 per cent of Tassal’s total revenue, the acquisition of De Costi had allowed Tassal to leverage both companies’ market positioning and </w:t>
      </w:r>
      <w:r w:rsidR="007A46C8" w:rsidRPr="00A43F68">
        <w:rPr>
          <w:kern w:val="2"/>
          <w:sz w:val="22"/>
          <w:szCs w:val="22"/>
          <w:lang w:val="en-CA"/>
        </w:rPr>
        <w:t>supply chain</w:t>
      </w:r>
      <w:r w:rsidRPr="00A43F68">
        <w:rPr>
          <w:kern w:val="2"/>
          <w:sz w:val="22"/>
          <w:szCs w:val="22"/>
          <w:lang w:val="en-CA"/>
        </w:rPr>
        <w:t xml:space="preserve"> efficiency to further improve market share in both salmon and seafood.</w:t>
      </w:r>
      <w:r w:rsidRPr="00A43F68">
        <w:rPr>
          <w:kern w:val="2"/>
          <w:sz w:val="22"/>
          <w:szCs w:val="22"/>
          <w:vertAlign w:val="superscript"/>
          <w:lang w:val="en-CA"/>
        </w:rPr>
        <w:endnoteReference w:id="59"/>
      </w:r>
    </w:p>
    <w:p w14:paraId="35F26611" w14:textId="77777777" w:rsidR="006D171A" w:rsidRPr="00A43F68" w:rsidRDefault="006D171A" w:rsidP="003D30B2">
      <w:pPr>
        <w:jc w:val="both"/>
        <w:rPr>
          <w:kern w:val="2"/>
          <w:sz w:val="22"/>
          <w:szCs w:val="22"/>
          <w:lang w:val="en-CA"/>
        </w:rPr>
      </w:pPr>
    </w:p>
    <w:p w14:paraId="2F425C30" w14:textId="77777777" w:rsidR="006D171A" w:rsidRPr="00A43F68" w:rsidRDefault="006D171A" w:rsidP="003D30B2">
      <w:pPr>
        <w:jc w:val="both"/>
        <w:rPr>
          <w:kern w:val="2"/>
          <w:sz w:val="22"/>
          <w:szCs w:val="22"/>
          <w:lang w:val="en-CA"/>
        </w:rPr>
      </w:pPr>
    </w:p>
    <w:p w14:paraId="1FD77841" w14:textId="77777777" w:rsidR="006D171A" w:rsidRPr="00A43F68" w:rsidRDefault="006D171A" w:rsidP="003D30B2">
      <w:pPr>
        <w:jc w:val="both"/>
        <w:rPr>
          <w:rFonts w:ascii="Arial" w:hAnsi="Arial"/>
          <w:b/>
          <w:kern w:val="2"/>
          <w:lang w:val="en-CA"/>
        </w:rPr>
      </w:pPr>
      <w:r w:rsidRPr="00A43F68">
        <w:rPr>
          <w:rFonts w:ascii="Arial" w:hAnsi="Arial"/>
          <w:b/>
          <w:kern w:val="2"/>
          <w:lang w:val="en-CA"/>
        </w:rPr>
        <w:t>TROUBLES IN MACQUARIE HARBOUR</w:t>
      </w:r>
    </w:p>
    <w:p w14:paraId="282D0EC9" w14:textId="77777777" w:rsidR="006D171A" w:rsidRPr="00A43F68" w:rsidRDefault="006D171A" w:rsidP="003D30B2">
      <w:pPr>
        <w:jc w:val="both"/>
        <w:rPr>
          <w:kern w:val="2"/>
          <w:sz w:val="22"/>
          <w:szCs w:val="22"/>
          <w:lang w:val="en-CA"/>
        </w:rPr>
      </w:pPr>
    </w:p>
    <w:p w14:paraId="639CFF32" w14:textId="66B72778" w:rsidR="006D171A" w:rsidRPr="00A43F68" w:rsidRDefault="006D171A" w:rsidP="003D30B2">
      <w:pPr>
        <w:jc w:val="both"/>
        <w:rPr>
          <w:kern w:val="2"/>
          <w:sz w:val="22"/>
          <w:szCs w:val="22"/>
          <w:lang w:val="en-CA"/>
        </w:rPr>
      </w:pPr>
      <w:r w:rsidRPr="00A43F68">
        <w:rPr>
          <w:kern w:val="2"/>
          <w:sz w:val="22"/>
          <w:szCs w:val="22"/>
          <w:lang w:val="en-CA"/>
        </w:rPr>
        <w:t>Salmon farming was introduced in Tasmania in the 1980s after it was found that this island state could successfully farm Atlantic salmon.</w:t>
      </w:r>
      <w:r w:rsidRPr="00A43F68">
        <w:rPr>
          <w:kern w:val="2"/>
          <w:sz w:val="22"/>
          <w:szCs w:val="22"/>
          <w:vertAlign w:val="superscript"/>
          <w:lang w:val="en-CA"/>
        </w:rPr>
        <w:endnoteReference w:id="60"/>
      </w:r>
      <w:r w:rsidRPr="00A43F68">
        <w:rPr>
          <w:kern w:val="2"/>
          <w:sz w:val="22"/>
          <w:szCs w:val="22"/>
          <w:lang w:val="en-CA"/>
        </w:rPr>
        <w:t xml:space="preserve"> Tasmanian salmon was considered a fine delicacy and a premium product in Australia. Among 11 companies, only the three large salmon farmers—Tassal, Huon, and Petuna</w:t>
      </w:r>
      <w:r w:rsidRPr="00A43F68">
        <w:rPr>
          <w:rFonts w:ascii="Arial" w:eastAsia="Calibri" w:hAnsi="Arial" w:cs="Arial"/>
          <w:lang w:val="en-CA"/>
        </w:rPr>
        <w:t>—</w:t>
      </w:r>
      <w:r w:rsidRPr="00A43F68">
        <w:rPr>
          <w:kern w:val="2"/>
          <w:sz w:val="22"/>
          <w:szCs w:val="22"/>
          <w:lang w:val="en-CA"/>
        </w:rPr>
        <w:t>remained farming salmon in Tasmanian waters. Tasmania was the largest salmon export state in Australia (see Exhibit 7).</w:t>
      </w:r>
      <w:r w:rsidRPr="00A43F68">
        <w:rPr>
          <w:kern w:val="2"/>
          <w:sz w:val="22"/>
          <w:szCs w:val="22"/>
          <w:vertAlign w:val="superscript"/>
          <w:lang w:val="en-CA"/>
        </w:rPr>
        <w:endnoteReference w:id="61"/>
      </w:r>
      <w:r w:rsidRPr="00A43F68">
        <w:rPr>
          <w:kern w:val="2"/>
          <w:sz w:val="22"/>
          <w:szCs w:val="22"/>
          <w:lang w:val="en-CA"/>
        </w:rPr>
        <w:t xml:space="preserve"> Macquarie Harbour was the first place where intensive salmon farming started in Australia. It was located on the west coast of Tasmania, bordering on a wilderness World Heritage Site. These three companies were still farming salmon in this inlet.</w:t>
      </w:r>
      <w:r w:rsidRPr="00A43F68">
        <w:rPr>
          <w:kern w:val="2"/>
          <w:sz w:val="22"/>
          <w:szCs w:val="22"/>
          <w:vertAlign w:val="superscript"/>
          <w:lang w:val="en-CA"/>
        </w:rPr>
        <w:endnoteReference w:id="62"/>
      </w:r>
      <w:r w:rsidRPr="00A43F68">
        <w:rPr>
          <w:kern w:val="2"/>
          <w:sz w:val="22"/>
          <w:szCs w:val="22"/>
          <w:lang w:val="en-CA"/>
        </w:rPr>
        <w:t xml:space="preserve"> The production capacity of salmon pens in the harbour had more than doubled over the last few years, up until 2018.</w:t>
      </w:r>
      <w:r w:rsidRPr="00A43F68">
        <w:rPr>
          <w:kern w:val="2"/>
          <w:sz w:val="22"/>
          <w:szCs w:val="22"/>
          <w:vertAlign w:val="superscript"/>
          <w:lang w:val="en-CA"/>
        </w:rPr>
        <w:endnoteReference w:id="63"/>
      </w:r>
    </w:p>
    <w:p w14:paraId="18F71AA0" w14:textId="77777777" w:rsidR="006D171A" w:rsidRPr="00A43F68" w:rsidRDefault="006D171A" w:rsidP="003D30B2">
      <w:pPr>
        <w:jc w:val="both"/>
        <w:rPr>
          <w:kern w:val="2"/>
          <w:sz w:val="22"/>
          <w:szCs w:val="22"/>
          <w:lang w:val="en-CA"/>
        </w:rPr>
      </w:pPr>
    </w:p>
    <w:p w14:paraId="5AC53075" w14:textId="43170A29" w:rsidR="006D171A" w:rsidRPr="00A43F68" w:rsidRDefault="006D171A" w:rsidP="003D30B2">
      <w:pPr>
        <w:jc w:val="both"/>
        <w:rPr>
          <w:kern w:val="2"/>
          <w:sz w:val="22"/>
          <w:szCs w:val="22"/>
          <w:lang w:val="en-CA"/>
        </w:rPr>
      </w:pPr>
      <w:r w:rsidRPr="00A43F68">
        <w:rPr>
          <w:kern w:val="2"/>
          <w:sz w:val="22"/>
          <w:szCs w:val="22"/>
          <w:lang w:val="en-CA"/>
        </w:rPr>
        <w:t>However, the environmental impact of salmon farming on the area had put the harbour in a state of stress. The Environment Protection Authority, which was Tasmania’s principal environmental regulator, stated that 21,000 tons of fish feed had ended up on the sea floor in 2015, creating huge areas of waste.</w:t>
      </w:r>
      <w:r w:rsidRPr="00A43F68">
        <w:rPr>
          <w:kern w:val="2"/>
          <w:sz w:val="22"/>
          <w:szCs w:val="22"/>
          <w:vertAlign w:val="superscript"/>
          <w:lang w:val="en-CA"/>
        </w:rPr>
        <w:endnoteReference w:id="64"/>
      </w:r>
      <w:r w:rsidRPr="00A43F68">
        <w:rPr>
          <w:kern w:val="2"/>
          <w:sz w:val="22"/>
          <w:szCs w:val="22"/>
          <w:lang w:val="en-CA"/>
        </w:rPr>
        <w:t xml:space="preserve"> The specialists stated that the natural landscape of Macquarie Harbour was not suitable for intensive farming due to its narrow inlet, known as Hell’s Gates. The inlet was not wide enough to create a big enough tide to help drain the harbour of the feces and fish feed that were ending up on the sea floor.</w:t>
      </w:r>
      <w:r w:rsidRPr="00A43F68">
        <w:rPr>
          <w:kern w:val="2"/>
          <w:sz w:val="22"/>
          <w:szCs w:val="22"/>
          <w:vertAlign w:val="superscript"/>
          <w:lang w:val="en-CA"/>
        </w:rPr>
        <w:endnoteReference w:id="65"/>
      </w:r>
      <w:r w:rsidRPr="00A43F68">
        <w:rPr>
          <w:kern w:val="2"/>
          <w:sz w:val="22"/>
          <w:szCs w:val="22"/>
          <w:lang w:val="en-CA"/>
        </w:rPr>
        <w:t xml:space="preserve"> Such deposits were detrimental to the sustainability of the ecology, and the farm’s production capacity was forced to step down to 9,000 tons in 2018 from 21,500 tons in 2017.</w:t>
      </w:r>
      <w:r w:rsidRPr="00A43F68">
        <w:rPr>
          <w:kern w:val="2"/>
          <w:sz w:val="22"/>
          <w:szCs w:val="22"/>
          <w:vertAlign w:val="superscript"/>
          <w:lang w:val="en-CA"/>
        </w:rPr>
        <w:endnoteReference w:id="66"/>
      </w:r>
    </w:p>
    <w:p w14:paraId="59E0EB84" w14:textId="77777777" w:rsidR="006D171A" w:rsidRPr="00A43F68" w:rsidRDefault="006D171A" w:rsidP="003D30B2">
      <w:pPr>
        <w:jc w:val="both"/>
        <w:rPr>
          <w:kern w:val="2"/>
          <w:sz w:val="22"/>
          <w:szCs w:val="22"/>
          <w:lang w:val="en-CA"/>
        </w:rPr>
      </w:pPr>
    </w:p>
    <w:p w14:paraId="24B82030" w14:textId="65EDAB4C" w:rsidR="006D171A" w:rsidRPr="00A43F68" w:rsidRDefault="006D171A" w:rsidP="003D30B2">
      <w:pPr>
        <w:jc w:val="both"/>
        <w:rPr>
          <w:kern w:val="2"/>
          <w:sz w:val="22"/>
          <w:szCs w:val="22"/>
          <w:lang w:val="en-CA"/>
        </w:rPr>
      </w:pPr>
      <w:r w:rsidRPr="00A43F68">
        <w:rPr>
          <w:kern w:val="2"/>
          <w:sz w:val="22"/>
          <w:szCs w:val="22"/>
          <w:lang w:val="en-CA"/>
        </w:rPr>
        <w:t>In 2016, Tassal accounted for about 70 per cent of the state’s farmed salmon—a capital-intensive industry with a three-year harvesting cycle.</w:t>
      </w:r>
      <w:r w:rsidRPr="00A43F68">
        <w:rPr>
          <w:kern w:val="2"/>
          <w:sz w:val="22"/>
          <w:szCs w:val="22"/>
          <w:vertAlign w:val="superscript"/>
          <w:lang w:val="en-CA"/>
        </w:rPr>
        <w:endnoteReference w:id="67"/>
      </w:r>
      <w:r w:rsidRPr="00A43F68">
        <w:rPr>
          <w:kern w:val="2"/>
          <w:sz w:val="22"/>
          <w:szCs w:val="22"/>
          <w:lang w:val="en-CA"/>
        </w:rPr>
        <w:t xml:space="preserve"> Tassal owned three leases in Macquarie Harbour. Any troubles in Macquarie pens would be reflected negatively in Tassal’s income statement. The cost of farmed salmon production was increasing year after year. Marine farming, however, was much more expensive than maintaining the pens in Macquarie Harbour.</w:t>
      </w:r>
      <w:r w:rsidRPr="00A43F68">
        <w:rPr>
          <w:kern w:val="2"/>
          <w:sz w:val="22"/>
          <w:szCs w:val="22"/>
          <w:vertAlign w:val="superscript"/>
          <w:lang w:val="en-CA"/>
        </w:rPr>
        <w:endnoteReference w:id="68"/>
      </w:r>
    </w:p>
    <w:p w14:paraId="46B7A73B" w14:textId="77777777" w:rsidR="006D171A" w:rsidRPr="00A43F68" w:rsidRDefault="006D171A" w:rsidP="003D30B2">
      <w:pPr>
        <w:jc w:val="both"/>
        <w:rPr>
          <w:kern w:val="2"/>
          <w:sz w:val="22"/>
          <w:szCs w:val="22"/>
          <w:lang w:val="en-CA"/>
        </w:rPr>
      </w:pPr>
    </w:p>
    <w:p w14:paraId="0E975B74" w14:textId="215C8CAA" w:rsidR="006D171A" w:rsidRPr="00A43F68" w:rsidRDefault="006D171A" w:rsidP="003D30B2">
      <w:pPr>
        <w:jc w:val="both"/>
        <w:rPr>
          <w:sz w:val="22"/>
          <w:szCs w:val="22"/>
          <w:lang w:val="en-CA"/>
        </w:rPr>
      </w:pPr>
      <w:r w:rsidRPr="00A43F68">
        <w:rPr>
          <w:sz w:val="22"/>
          <w:szCs w:val="22"/>
          <w:lang w:val="en-CA"/>
        </w:rPr>
        <w:t>Ocean warming and a reduction in dissolved oxygen levels were harming the growth and weight gain of the salmons that were being farmed in Tasmanian waters. With warmer waters, the farms required more labour for bathing the fish at harbour pens to combat amoebic gill disease.</w:t>
      </w:r>
      <w:r w:rsidRPr="00A43F68">
        <w:rPr>
          <w:sz w:val="22"/>
          <w:szCs w:val="22"/>
          <w:vertAlign w:val="superscript"/>
          <w:lang w:val="en-CA"/>
        </w:rPr>
        <w:endnoteReference w:id="69"/>
      </w:r>
      <w:r w:rsidRPr="00A43F68">
        <w:rPr>
          <w:sz w:val="22"/>
          <w:szCs w:val="22"/>
          <w:lang w:val="en-CA"/>
        </w:rPr>
        <w:t xml:space="preserve"> Also, protests over the use of synthetic astaxanthin—a chemical in the fish feed used to ensure that farmed salmon had pink flesh similar to wild-caught—had forced major salmon producers in Macquarie Harbour to move to natural astaxanthin, which further drove up costs.</w:t>
      </w:r>
      <w:r w:rsidRPr="00A43F68">
        <w:rPr>
          <w:sz w:val="22"/>
          <w:szCs w:val="22"/>
          <w:vertAlign w:val="superscript"/>
          <w:lang w:val="en-CA"/>
        </w:rPr>
        <w:endnoteReference w:id="70"/>
      </w:r>
      <w:r w:rsidRPr="00A43F68">
        <w:rPr>
          <w:sz w:val="22"/>
          <w:szCs w:val="22"/>
          <w:lang w:val="en-CA"/>
        </w:rPr>
        <w:t xml:space="preserve"> Then, following the massive death of salmon in Tassal’s pens and the ensuing investigations in early 2018, there was public outcry for closing down the pens, though the warming ocean water was considered to be the cause. To overcome such public resistance, Tassal and Petuna had jointly managed their salmon pens in Macquarie Bay to ensure the sustainability of the seabed and the allied ecosystem.</w:t>
      </w:r>
      <w:r w:rsidRPr="00A43F68">
        <w:rPr>
          <w:sz w:val="22"/>
          <w:szCs w:val="22"/>
          <w:vertAlign w:val="superscript"/>
          <w:lang w:val="en-CA"/>
        </w:rPr>
        <w:endnoteReference w:id="71"/>
      </w:r>
      <w:r w:rsidRPr="00A43F68">
        <w:rPr>
          <w:sz w:val="22"/>
          <w:szCs w:val="22"/>
          <w:lang w:val="en-CA"/>
        </w:rPr>
        <w:t xml:space="preserve"> </w:t>
      </w:r>
    </w:p>
    <w:p w14:paraId="5F9C1C86" w14:textId="77777777" w:rsidR="006D171A" w:rsidRPr="00A43F68" w:rsidRDefault="006D171A" w:rsidP="003D30B2">
      <w:pPr>
        <w:jc w:val="both"/>
        <w:rPr>
          <w:kern w:val="2"/>
          <w:sz w:val="22"/>
          <w:szCs w:val="22"/>
          <w:lang w:val="en-CA"/>
        </w:rPr>
      </w:pPr>
    </w:p>
    <w:p w14:paraId="02FF210B" w14:textId="768D0E67" w:rsidR="006D171A" w:rsidRPr="00A43F68" w:rsidRDefault="006D171A" w:rsidP="003D30B2">
      <w:pPr>
        <w:jc w:val="both"/>
        <w:rPr>
          <w:sz w:val="22"/>
          <w:szCs w:val="22"/>
          <w:lang w:val="en-CA"/>
        </w:rPr>
      </w:pPr>
      <w:r w:rsidRPr="00A43F68">
        <w:rPr>
          <w:sz w:val="22"/>
          <w:szCs w:val="22"/>
          <w:lang w:val="en-CA"/>
        </w:rPr>
        <w:t>The increased costs had also forced Tassal to withdraw from renewing some fixed-price salmon supply contracts. According to Ryan, this move was to balance out the supply-side stress due to the large-scale deaths and increasing production costs of farmed salmon. Tassal’s expansion into the larger seafood industry and plans for vertical integration of prawn farms might also be viewed in the light of these issues to maintain a balanced product mix and mitigate risks of Tasmanian salmon farming. Therefore, the acquisition of De Costi had provided Tassal with access to the related seafood markets. Importantly, the acquisition and other diversification efforts would help to buffer troubles in the salmon farming industry, at least in the short term.</w:t>
      </w:r>
      <w:r w:rsidRPr="00A43F68">
        <w:rPr>
          <w:sz w:val="22"/>
          <w:szCs w:val="22"/>
          <w:vertAlign w:val="superscript"/>
          <w:lang w:val="en-CA"/>
        </w:rPr>
        <w:endnoteReference w:id="72"/>
      </w:r>
      <w:r w:rsidRPr="00A43F68">
        <w:rPr>
          <w:sz w:val="22"/>
          <w:szCs w:val="22"/>
          <w:lang w:val="en-CA"/>
        </w:rPr>
        <w:t xml:space="preserve"> </w:t>
      </w:r>
    </w:p>
    <w:p w14:paraId="10A346BD" w14:textId="77777777" w:rsidR="006D171A" w:rsidRPr="00A43F68" w:rsidRDefault="006D171A" w:rsidP="003D30B2">
      <w:pPr>
        <w:jc w:val="both"/>
        <w:rPr>
          <w:kern w:val="2"/>
          <w:sz w:val="22"/>
          <w:szCs w:val="22"/>
          <w:lang w:val="en-CA"/>
        </w:rPr>
      </w:pPr>
    </w:p>
    <w:p w14:paraId="62DD8CCA" w14:textId="3A73D6E4" w:rsidR="006D171A" w:rsidRPr="00A43F68" w:rsidRDefault="006D171A" w:rsidP="003D30B2">
      <w:pPr>
        <w:jc w:val="both"/>
        <w:rPr>
          <w:kern w:val="2"/>
          <w:sz w:val="22"/>
          <w:szCs w:val="22"/>
          <w:lang w:val="en-CA"/>
        </w:rPr>
      </w:pPr>
      <w:r w:rsidRPr="00A43F68">
        <w:rPr>
          <w:kern w:val="2"/>
          <w:sz w:val="22"/>
          <w:szCs w:val="22"/>
          <w:lang w:val="en-CA"/>
        </w:rPr>
        <w:t>Although Australian salmon production was only a small percentage of global salmon production, any adverse changes would have repercussions in the domestic seafood market. In 2018, Tassal had resumed exports to take advantage of high global prices. Tassal believed that their bigger fish could be sold at premium prices, particularly in Asia, as the company planned to open a sales office in China.</w:t>
      </w:r>
      <w:r w:rsidRPr="00A43F68">
        <w:rPr>
          <w:kern w:val="2"/>
          <w:sz w:val="22"/>
          <w:szCs w:val="22"/>
          <w:vertAlign w:val="superscript"/>
          <w:lang w:val="en-CA"/>
        </w:rPr>
        <w:endnoteReference w:id="73"/>
      </w:r>
    </w:p>
    <w:p w14:paraId="686F00D7" w14:textId="77777777" w:rsidR="006D171A" w:rsidRPr="00A43F68" w:rsidRDefault="006D171A" w:rsidP="003D30B2">
      <w:pPr>
        <w:jc w:val="both"/>
        <w:rPr>
          <w:kern w:val="2"/>
          <w:sz w:val="22"/>
          <w:szCs w:val="22"/>
          <w:lang w:val="en-CA"/>
        </w:rPr>
      </w:pPr>
    </w:p>
    <w:p w14:paraId="058021AF" w14:textId="77777777" w:rsidR="006D171A" w:rsidRPr="00A43F68" w:rsidRDefault="006D171A" w:rsidP="003D30B2">
      <w:pPr>
        <w:jc w:val="both"/>
        <w:rPr>
          <w:kern w:val="2"/>
          <w:sz w:val="22"/>
          <w:szCs w:val="22"/>
          <w:lang w:val="en-CA"/>
        </w:rPr>
      </w:pPr>
    </w:p>
    <w:p w14:paraId="1F98E76E" w14:textId="77777777" w:rsidR="006D171A" w:rsidRPr="00A43F68" w:rsidRDefault="006D171A" w:rsidP="003D30B2">
      <w:pPr>
        <w:jc w:val="both"/>
        <w:rPr>
          <w:rFonts w:ascii="Arial" w:hAnsi="Arial" w:cs="Arial"/>
          <w:b/>
          <w:kern w:val="2"/>
          <w:lang w:val="en-CA"/>
        </w:rPr>
      </w:pPr>
      <w:r w:rsidRPr="00A43F68">
        <w:rPr>
          <w:rFonts w:ascii="Arial" w:hAnsi="Arial" w:cs="Arial"/>
          <w:b/>
          <w:kern w:val="2"/>
          <w:lang w:val="en-CA"/>
        </w:rPr>
        <w:t>EXPANSION TO ASIAN MARKETS</w:t>
      </w:r>
    </w:p>
    <w:p w14:paraId="47F32AEC" w14:textId="77777777" w:rsidR="006D171A" w:rsidRPr="00A43F68" w:rsidRDefault="006D171A" w:rsidP="003D30B2">
      <w:pPr>
        <w:jc w:val="both"/>
        <w:rPr>
          <w:kern w:val="2"/>
          <w:sz w:val="22"/>
          <w:szCs w:val="22"/>
          <w:lang w:val="en-CA"/>
        </w:rPr>
      </w:pPr>
    </w:p>
    <w:p w14:paraId="56C26FE8" w14:textId="1C6E6B8C" w:rsidR="006D171A" w:rsidRPr="00A43F68" w:rsidRDefault="006D171A" w:rsidP="003D30B2">
      <w:pPr>
        <w:jc w:val="both"/>
        <w:rPr>
          <w:kern w:val="2"/>
          <w:sz w:val="22"/>
          <w:szCs w:val="22"/>
          <w:lang w:val="en-CA"/>
        </w:rPr>
      </w:pPr>
      <w:r w:rsidRPr="00A43F68">
        <w:rPr>
          <w:kern w:val="2"/>
          <w:sz w:val="22"/>
          <w:szCs w:val="22"/>
          <w:lang w:val="en-CA"/>
        </w:rPr>
        <w:t>The demand for seafood in Asian markets was expected to increase due to stable economic growth, a rise in population, and the availability of seafood. Seafood was a relatively cheaper alternative to meat for Australian, Indian, and Chinese customers.</w:t>
      </w:r>
      <w:r w:rsidRPr="00A43F68">
        <w:rPr>
          <w:kern w:val="2"/>
          <w:sz w:val="22"/>
          <w:szCs w:val="22"/>
          <w:vertAlign w:val="superscript"/>
          <w:lang w:val="en-CA"/>
        </w:rPr>
        <w:endnoteReference w:id="74"/>
      </w:r>
      <w:r w:rsidRPr="00A43F68">
        <w:rPr>
          <w:kern w:val="2"/>
          <w:sz w:val="22"/>
          <w:szCs w:val="22"/>
          <w:lang w:val="en-CA"/>
        </w:rPr>
        <w:t xml:space="preserve"> The expansion into seafood, including the prawns market, would help Tassal offset losses owing to increasing costs of salmon production and deaths of salmon in marine pens from climatic changes. Since the acquisition of De Costi, Tassal had entered into several joint ventures and planned for further acquisitions, and its balance sheet supported such plans.</w:t>
      </w:r>
      <w:r w:rsidRPr="00A43F68">
        <w:rPr>
          <w:kern w:val="2"/>
          <w:sz w:val="22"/>
          <w:szCs w:val="22"/>
          <w:vertAlign w:val="superscript"/>
          <w:lang w:val="en-CA"/>
        </w:rPr>
        <w:endnoteReference w:id="75"/>
      </w:r>
      <w:r w:rsidRPr="00A43F68">
        <w:rPr>
          <w:kern w:val="2"/>
          <w:sz w:val="22"/>
          <w:szCs w:val="22"/>
          <w:lang w:val="en-CA"/>
        </w:rPr>
        <w:t xml:space="preserve"> </w:t>
      </w:r>
    </w:p>
    <w:p w14:paraId="7C4BFEC1" w14:textId="77777777" w:rsidR="006D171A" w:rsidRPr="00A43F68" w:rsidRDefault="006D171A" w:rsidP="003D30B2">
      <w:pPr>
        <w:jc w:val="both"/>
        <w:rPr>
          <w:kern w:val="2"/>
          <w:sz w:val="22"/>
          <w:szCs w:val="22"/>
          <w:lang w:val="en-CA"/>
        </w:rPr>
      </w:pPr>
    </w:p>
    <w:p w14:paraId="3D7FF897" w14:textId="17625BC4" w:rsidR="006D171A" w:rsidRPr="00A43F68" w:rsidRDefault="006D171A" w:rsidP="003D30B2">
      <w:pPr>
        <w:jc w:val="both"/>
        <w:rPr>
          <w:kern w:val="2"/>
          <w:sz w:val="22"/>
          <w:szCs w:val="22"/>
          <w:lang w:val="en-CA"/>
        </w:rPr>
      </w:pPr>
      <w:r w:rsidRPr="00A43F68">
        <w:rPr>
          <w:kern w:val="2"/>
          <w:sz w:val="22"/>
          <w:szCs w:val="22"/>
          <w:lang w:val="en-CA"/>
        </w:rPr>
        <w:t>Australian exports of fresh Atlantic salmon to China had risen steeply in January and October 2017 from the same months of 2016 (see Exhibit 8A, 8B, and 8C). China imported 5,137 metric tons of salmon in 2017, which was an increase of 477 per cent.</w:t>
      </w:r>
      <w:r w:rsidRPr="00A43F68">
        <w:rPr>
          <w:kern w:val="2"/>
          <w:sz w:val="22"/>
          <w:szCs w:val="22"/>
          <w:vertAlign w:val="superscript"/>
          <w:lang w:val="en-CA"/>
        </w:rPr>
        <w:endnoteReference w:id="76"/>
      </w:r>
      <w:r w:rsidRPr="00A43F68">
        <w:rPr>
          <w:kern w:val="2"/>
          <w:sz w:val="22"/>
          <w:szCs w:val="22"/>
          <w:lang w:val="en-CA"/>
        </w:rPr>
        <w:t xml:space="preserve"> According to Ryan, </w:t>
      </w:r>
    </w:p>
    <w:p w14:paraId="592C5C3C" w14:textId="77777777" w:rsidR="006D171A" w:rsidRPr="00A43F68" w:rsidRDefault="006D171A" w:rsidP="00CD74B8">
      <w:pPr>
        <w:ind w:left="720"/>
        <w:jc w:val="both"/>
        <w:rPr>
          <w:kern w:val="2"/>
          <w:sz w:val="22"/>
          <w:szCs w:val="22"/>
          <w:lang w:val="en-CA"/>
        </w:rPr>
      </w:pPr>
    </w:p>
    <w:p w14:paraId="0A792C66" w14:textId="17F6B134" w:rsidR="006D171A" w:rsidRPr="00A43F68" w:rsidRDefault="006D171A" w:rsidP="00CD74B8">
      <w:pPr>
        <w:ind w:left="720"/>
        <w:jc w:val="both"/>
        <w:rPr>
          <w:kern w:val="2"/>
          <w:sz w:val="22"/>
          <w:szCs w:val="22"/>
          <w:lang w:val="en-CA"/>
        </w:rPr>
      </w:pPr>
      <w:r w:rsidRPr="00A43F68">
        <w:rPr>
          <w:kern w:val="2"/>
          <w:sz w:val="22"/>
          <w:szCs w:val="22"/>
          <w:lang w:val="en-CA"/>
        </w:rPr>
        <w:t>Supply volumes are seasonal, and the recent increases have been in part due to strong biomass growth from our farms, with fish reaching their optimal harvest weight and seasonality of market demand. We are harvesting some of the largest salmon in the world at present, meaning a strong supply of very large fish, which the Chinese tend to favour.</w:t>
      </w:r>
      <w:r w:rsidRPr="00A43F68">
        <w:rPr>
          <w:kern w:val="2"/>
          <w:sz w:val="22"/>
          <w:szCs w:val="22"/>
          <w:vertAlign w:val="superscript"/>
          <w:lang w:val="en-CA"/>
        </w:rPr>
        <w:endnoteReference w:id="77"/>
      </w:r>
    </w:p>
    <w:p w14:paraId="397CCE35" w14:textId="77777777" w:rsidR="006D171A" w:rsidRPr="00A43F68" w:rsidRDefault="006D171A" w:rsidP="003D30B2">
      <w:pPr>
        <w:jc w:val="both"/>
        <w:rPr>
          <w:kern w:val="2"/>
          <w:sz w:val="22"/>
          <w:szCs w:val="22"/>
          <w:lang w:val="en-CA"/>
        </w:rPr>
      </w:pPr>
    </w:p>
    <w:p w14:paraId="20D72E1C" w14:textId="56FB51ED" w:rsidR="003D30B2" w:rsidRPr="00A43F68" w:rsidRDefault="006D171A" w:rsidP="003D30B2">
      <w:pPr>
        <w:jc w:val="both"/>
        <w:rPr>
          <w:kern w:val="2"/>
          <w:sz w:val="22"/>
          <w:szCs w:val="22"/>
          <w:lang w:val="en-CA"/>
        </w:rPr>
      </w:pPr>
      <w:r w:rsidRPr="00A43F68">
        <w:rPr>
          <w:kern w:val="2"/>
          <w:sz w:val="22"/>
          <w:szCs w:val="22"/>
          <w:lang w:val="en-CA"/>
        </w:rPr>
        <w:t>For Tassal, the forecast for an increase in salmon consumption in China and possibly other Asian countries</w:t>
      </w:r>
      <w:r w:rsidRPr="00A43F68">
        <w:rPr>
          <w:rFonts w:ascii="Arial" w:eastAsia="Calibri" w:hAnsi="Arial" w:cs="Arial"/>
          <w:lang w:val="en-CA"/>
        </w:rPr>
        <w:t>—</w:t>
      </w:r>
      <w:r w:rsidRPr="00A43F68">
        <w:rPr>
          <w:kern w:val="2"/>
          <w:sz w:val="22"/>
          <w:szCs w:val="22"/>
          <w:lang w:val="en-CA"/>
        </w:rPr>
        <w:t>like Japan and South Korea, where Australian salmon was perceived as a premium fish</w:t>
      </w:r>
      <w:r w:rsidRPr="00A43F68">
        <w:rPr>
          <w:rFonts w:ascii="Arial" w:eastAsia="Calibri" w:hAnsi="Arial" w:cs="Arial"/>
          <w:lang w:val="en-CA"/>
        </w:rPr>
        <w:t>—</w:t>
      </w:r>
      <w:r w:rsidRPr="00A43F68">
        <w:rPr>
          <w:kern w:val="2"/>
          <w:sz w:val="22"/>
          <w:szCs w:val="22"/>
          <w:lang w:val="en-CA"/>
        </w:rPr>
        <w:t>was a great opportunity for long-term growth.</w:t>
      </w:r>
      <w:r w:rsidRPr="00A43F68">
        <w:rPr>
          <w:kern w:val="2"/>
          <w:sz w:val="22"/>
          <w:szCs w:val="22"/>
          <w:vertAlign w:val="superscript"/>
          <w:lang w:val="en-CA"/>
        </w:rPr>
        <w:endnoteReference w:id="78"/>
      </w:r>
      <w:r w:rsidRPr="00A43F68">
        <w:rPr>
          <w:kern w:val="2"/>
          <w:sz w:val="22"/>
          <w:szCs w:val="22"/>
          <w:lang w:val="en-CA"/>
        </w:rPr>
        <w:t xml:space="preserve"> </w:t>
      </w:r>
      <w:r w:rsidR="003D30B2" w:rsidRPr="00A43F68">
        <w:rPr>
          <w:kern w:val="2"/>
          <w:sz w:val="22"/>
          <w:szCs w:val="22"/>
          <w:lang w:val="en-CA"/>
        </w:rPr>
        <w:t>Given environmental challenges in Macquarie Harbour and the growing demand for the salmon and broader seafood markets in Asia</w:t>
      </w:r>
      <w:r w:rsidR="00190B6F" w:rsidRPr="00A43F68">
        <w:rPr>
          <w:kern w:val="2"/>
          <w:sz w:val="22"/>
          <w:szCs w:val="22"/>
          <w:lang w:val="en-CA"/>
        </w:rPr>
        <w:t xml:space="preserve">, </w:t>
      </w:r>
      <w:r w:rsidR="00356BCF" w:rsidRPr="00A43F68">
        <w:rPr>
          <w:kern w:val="2"/>
          <w:sz w:val="22"/>
          <w:szCs w:val="22"/>
          <w:lang w:val="en-CA"/>
        </w:rPr>
        <w:t xml:space="preserve">Ryan wondered </w:t>
      </w:r>
      <w:r w:rsidR="00EB600D" w:rsidRPr="00A43F68">
        <w:rPr>
          <w:kern w:val="2"/>
          <w:sz w:val="22"/>
          <w:szCs w:val="22"/>
          <w:lang w:val="en-CA"/>
        </w:rPr>
        <w:t xml:space="preserve">whether </w:t>
      </w:r>
      <w:r w:rsidR="00B73E84" w:rsidRPr="00A43F68">
        <w:rPr>
          <w:kern w:val="2"/>
          <w:sz w:val="22"/>
          <w:szCs w:val="22"/>
          <w:lang w:val="en-CA"/>
        </w:rPr>
        <w:t>Tassal’s acquisition of</w:t>
      </w:r>
      <w:r w:rsidR="003D30B2" w:rsidRPr="00A43F68">
        <w:rPr>
          <w:kern w:val="2"/>
          <w:sz w:val="22"/>
          <w:szCs w:val="22"/>
          <w:lang w:val="en-CA"/>
        </w:rPr>
        <w:t xml:space="preserve"> De Costi ma</w:t>
      </w:r>
      <w:r w:rsidR="00356BCF" w:rsidRPr="00A43F68">
        <w:rPr>
          <w:kern w:val="2"/>
          <w:sz w:val="22"/>
          <w:szCs w:val="22"/>
          <w:lang w:val="en-CA"/>
        </w:rPr>
        <w:t>d</w:t>
      </w:r>
      <w:r w:rsidR="003D30B2" w:rsidRPr="00A43F68">
        <w:rPr>
          <w:kern w:val="2"/>
          <w:sz w:val="22"/>
          <w:szCs w:val="22"/>
          <w:lang w:val="en-CA"/>
        </w:rPr>
        <w:t>e sense</w:t>
      </w:r>
      <w:r w:rsidR="004637AC" w:rsidRPr="00A43F68">
        <w:rPr>
          <w:kern w:val="2"/>
          <w:sz w:val="22"/>
          <w:szCs w:val="22"/>
          <w:lang w:val="en-CA"/>
        </w:rPr>
        <w:t>.</w:t>
      </w:r>
    </w:p>
    <w:p w14:paraId="2C183161" w14:textId="2A514AFE" w:rsidR="003D30B2" w:rsidRPr="00A43F68" w:rsidRDefault="003D30B2">
      <w:pPr>
        <w:spacing w:after="200" w:line="276" w:lineRule="auto"/>
        <w:rPr>
          <w:rFonts w:ascii="Arial" w:hAnsi="Arial" w:cs="Arial"/>
          <w:b/>
          <w:caps/>
          <w:lang w:val="en-CA"/>
        </w:rPr>
      </w:pPr>
      <w:r w:rsidRPr="00A43F68">
        <w:rPr>
          <w:lang w:val="en-CA"/>
        </w:rPr>
        <w:br w:type="page"/>
      </w:r>
    </w:p>
    <w:p w14:paraId="10E04514" w14:textId="77777777" w:rsidR="003D30B2" w:rsidRPr="00A43F68" w:rsidRDefault="003D30B2" w:rsidP="003D30B2">
      <w:pPr>
        <w:jc w:val="center"/>
        <w:outlineLvl w:val="0"/>
        <w:rPr>
          <w:rFonts w:ascii="Arial" w:hAnsi="Arial" w:cs="Arial"/>
          <w:b/>
          <w:caps/>
          <w:kern w:val="2"/>
          <w:lang w:val="en-CA"/>
        </w:rPr>
      </w:pPr>
      <w:r w:rsidRPr="00A43F68">
        <w:rPr>
          <w:rFonts w:ascii="Arial" w:hAnsi="Arial" w:cs="Arial"/>
          <w:b/>
          <w:caps/>
          <w:kern w:val="2"/>
          <w:lang w:val="en-CA"/>
        </w:rPr>
        <w:t>Exhibit 1: TASSAL’S OPERATIONAL BASES</w:t>
      </w:r>
    </w:p>
    <w:p w14:paraId="06C6D368" w14:textId="77777777" w:rsidR="003D30B2" w:rsidRPr="00A43F68" w:rsidRDefault="003D30B2" w:rsidP="003D30B2">
      <w:pPr>
        <w:jc w:val="both"/>
        <w:rPr>
          <w:rFonts w:ascii="Arial" w:eastAsiaTheme="minorEastAsia" w:hAnsi="Arial" w:cs="Arial"/>
          <w:kern w:val="2"/>
          <w:lang w:val="en-CA" w:eastAsia="zh-CN"/>
        </w:rPr>
      </w:pPr>
    </w:p>
    <w:tbl>
      <w:tblPr>
        <w:tblW w:w="8115" w:type="dxa"/>
        <w:jc w:val="center"/>
        <w:tblLayout w:type="fixed"/>
        <w:tblLook w:val="04A0" w:firstRow="1" w:lastRow="0" w:firstColumn="1" w:lastColumn="0" w:noHBand="0" w:noVBand="1"/>
      </w:tblPr>
      <w:tblGrid>
        <w:gridCol w:w="2445"/>
        <w:gridCol w:w="1890"/>
        <w:gridCol w:w="3780"/>
      </w:tblGrid>
      <w:tr w:rsidR="003D30B2" w:rsidRPr="00A43F68" w14:paraId="316B62F0" w14:textId="77777777" w:rsidTr="00A63B74">
        <w:trPr>
          <w:trHeight w:val="240"/>
          <w:jc w:val="center"/>
        </w:trPr>
        <w:tc>
          <w:tcPr>
            <w:tcW w:w="244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4A8E6AB" w14:textId="77777777" w:rsidR="003D30B2" w:rsidRPr="00A43F68" w:rsidRDefault="003D30B2" w:rsidP="00A63B74">
            <w:pPr>
              <w:rPr>
                <w:rFonts w:ascii="Arial" w:eastAsia="SimSun" w:hAnsi="Arial" w:cs="Arial"/>
                <w:b/>
                <w:bCs/>
                <w:color w:val="000000"/>
                <w:sz w:val="19"/>
                <w:szCs w:val="19"/>
                <w:lang w:val="en-CA" w:eastAsia="zh-CN"/>
              </w:rPr>
            </w:pPr>
            <w:r w:rsidRPr="00A43F68">
              <w:rPr>
                <w:rFonts w:ascii="Arial" w:eastAsia="SimSun" w:hAnsi="Arial" w:cs="Arial"/>
                <w:b/>
                <w:bCs/>
                <w:color w:val="000000"/>
                <w:sz w:val="19"/>
                <w:szCs w:val="19"/>
                <w:lang w:val="en-CA" w:eastAsia="zh-CN"/>
              </w:rPr>
              <w:t>Area</w:t>
            </w:r>
          </w:p>
        </w:tc>
        <w:tc>
          <w:tcPr>
            <w:tcW w:w="1890" w:type="dxa"/>
            <w:tcBorders>
              <w:top w:val="single" w:sz="4" w:space="0" w:color="auto"/>
              <w:left w:val="nil"/>
              <w:bottom w:val="single" w:sz="4" w:space="0" w:color="auto"/>
              <w:right w:val="single" w:sz="4" w:space="0" w:color="auto"/>
            </w:tcBorders>
            <w:shd w:val="clear" w:color="auto" w:fill="auto"/>
            <w:noWrap/>
            <w:vAlign w:val="bottom"/>
            <w:hideMark/>
          </w:tcPr>
          <w:p w14:paraId="2EA5F634" w14:textId="77777777" w:rsidR="003D30B2" w:rsidRPr="00A43F68" w:rsidRDefault="003D30B2" w:rsidP="003D30B2">
            <w:pPr>
              <w:jc w:val="center"/>
              <w:rPr>
                <w:rFonts w:ascii="Arial" w:eastAsia="SimSun" w:hAnsi="Arial" w:cs="Arial"/>
                <w:b/>
                <w:bCs/>
                <w:color w:val="000000"/>
                <w:sz w:val="19"/>
                <w:szCs w:val="19"/>
                <w:lang w:val="en-CA" w:eastAsia="zh-CN"/>
              </w:rPr>
            </w:pPr>
            <w:r w:rsidRPr="00A43F68">
              <w:rPr>
                <w:rFonts w:ascii="Arial" w:eastAsia="SimSun" w:hAnsi="Arial" w:cs="Arial"/>
                <w:b/>
                <w:bCs/>
                <w:color w:val="000000"/>
                <w:sz w:val="19"/>
                <w:szCs w:val="19"/>
                <w:lang w:val="en-CA" w:eastAsia="zh-CN"/>
              </w:rPr>
              <w:t>State</w:t>
            </w:r>
          </w:p>
        </w:tc>
        <w:tc>
          <w:tcPr>
            <w:tcW w:w="3780" w:type="dxa"/>
            <w:tcBorders>
              <w:top w:val="single" w:sz="4" w:space="0" w:color="auto"/>
              <w:left w:val="nil"/>
              <w:bottom w:val="single" w:sz="4" w:space="0" w:color="auto"/>
              <w:right w:val="single" w:sz="4" w:space="0" w:color="auto"/>
            </w:tcBorders>
            <w:shd w:val="clear" w:color="auto" w:fill="auto"/>
            <w:noWrap/>
            <w:vAlign w:val="bottom"/>
            <w:hideMark/>
          </w:tcPr>
          <w:p w14:paraId="2FE2F8B1" w14:textId="0282E35E" w:rsidR="003D30B2" w:rsidRPr="00A43F68" w:rsidRDefault="003D30B2" w:rsidP="003D30B2">
            <w:pPr>
              <w:jc w:val="center"/>
              <w:rPr>
                <w:rFonts w:ascii="Arial" w:eastAsia="SimSun" w:hAnsi="Arial" w:cs="Arial"/>
                <w:b/>
                <w:bCs/>
                <w:color w:val="000000"/>
                <w:sz w:val="19"/>
                <w:szCs w:val="19"/>
                <w:lang w:val="en-CA" w:eastAsia="zh-CN"/>
              </w:rPr>
            </w:pPr>
            <w:r w:rsidRPr="00A43F68">
              <w:rPr>
                <w:rFonts w:ascii="Arial" w:eastAsia="SimSun" w:hAnsi="Arial" w:cs="Arial"/>
                <w:b/>
                <w:bCs/>
                <w:color w:val="000000"/>
                <w:sz w:val="19"/>
                <w:szCs w:val="19"/>
                <w:lang w:val="en-CA" w:eastAsia="zh-CN"/>
              </w:rPr>
              <w:t>Operation</w:t>
            </w:r>
            <w:r w:rsidR="00AF3EA0" w:rsidRPr="00A43F68">
              <w:rPr>
                <w:rFonts w:ascii="Arial" w:eastAsia="SimSun" w:hAnsi="Arial" w:cs="Arial"/>
                <w:b/>
                <w:bCs/>
                <w:color w:val="000000"/>
                <w:sz w:val="19"/>
                <w:szCs w:val="19"/>
                <w:lang w:val="en-CA" w:eastAsia="zh-CN"/>
              </w:rPr>
              <w:t xml:space="preserve"> </w:t>
            </w:r>
            <w:r w:rsidR="000A310F" w:rsidRPr="00A43F68">
              <w:rPr>
                <w:rFonts w:ascii="Arial" w:eastAsia="SimSun" w:hAnsi="Arial" w:cs="Arial"/>
                <w:b/>
                <w:bCs/>
                <w:color w:val="000000"/>
                <w:sz w:val="19"/>
                <w:szCs w:val="19"/>
                <w:lang w:val="en-CA" w:eastAsia="zh-CN"/>
              </w:rPr>
              <w:t>type</w:t>
            </w:r>
          </w:p>
        </w:tc>
      </w:tr>
      <w:tr w:rsidR="003D30B2" w:rsidRPr="00A43F68" w14:paraId="591F8A67" w14:textId="77777777" w:rsidTr="00EB600D">
        <w:trPr>
          <w:trHeight w:val="240"/>
          <w:jc w:val="center"/>
        </w:trPr>
        <w:tc>
          <w:tcPr>
            <w:tcW w:w="2445" w:type="dxa"/>
            <w:tcBorders>
              <w:top w:val="nil"/>
              <w:left w:val="single" w:sz="4" w:space="0" w:color="auto"/>
              <w:bottom w:val="single" w:sz="4" w:space="0" w:color="auto"/>
              <w:right w:val="single" w:sz="4" w:space="0" w:color="auto"/>
            </w:tcBorders>
            <w:shd w:val="clear" w:color="auto" w:fill="auto"/>
            <w:noWrap/>
            <w:vAlign w:val="bottom"/>
            <w:hideMark/>
          </w:tcPr>
          <w:p w14:paraId="7FBF5358" w14:textId="77777777" w:rsidR="003D30B2" w:rsidRPr="00A43F68" w:rsidRDefault="003D30B2" w:rsidP="003D30B2">
            <w:pPr>
              <w:rPr>
                <w:rFonts w:ascii="Arial" w:eastAsia="SimSun" w:hAnsi="Arial" w:cs="Arial"/>
                <w:color w:val="000000"/>
                <w:sz w:val="19"/>
                <w:szCs w:val="19"/>
                <w:lang w:val="en-CA" w:eastAsia="zh-CN"/>
              </w:rPr>
            </w:pPr>
            <w:r w:rsidRPr="00A43F68">
              <w:rPr>
                <w:rFonts w:ascii="Arial" w:eastAsia="SimSun" w:hAnsi="Arial" w:cs="Arial"/>
                <w:color w:val="000000"/>
                <w:sz w:val="19"/>
                <w:szCs w:val="19"/>
                <w:lang w:val="en-CA" w:eastAsia="zh-CN"/>
              </w:rPr>
              <w:t>Hobart</w:t>
            </w:r>
          </w:p>
        </w:tc>
        <w:tc>
          <w:tcPr>
            <w:tcW w:w="1890" w:type="dxa"/>
            <w:tcBorders>
              <w:top w:val="nil"/>
              <w:left w:val="nil"/>
              <w:bottom w:val="single" w:sz="4" w:space="0" w:color="auto"/>
              <w:right w:val="single" w:sz="4" w:space="0" w:color="auto"/>
            </w:tcBorders>
            <w:shd w:val="clear" w:color="auto" w:fill="auto"/>
            <w:noWrap/>
            <w:vAlign w:val="bottom"/>
            <w:hideMark/>
          </w:tcPr>
          <w:p w14:paraId="69ED6614" w14:textId="77777777" w:rsidR="003D30B2" w:rsidRPr="00A43F68" w:rsidRDefault="003D30B2" w:rsidP="003D30B2">
            <w:pPr>
              <w:jc w:val="center"/>
              <w:rPr>
                <w:rFonts w:ascii="Arial" w:eastAsia="SimSun" w:hAnsi="Arial" w:cs="Arial"/>
                <w:color w:val="000000"/>
                <w:sz w:val="19"/>
                <w:szCs w:val="19"/>
                <w:lang w:val="en-CA" w:eastAsia="zh-CN"/>
              </w:rPr>
            </w:pPr>
            <w:r w:rsidRPr="00A43F68">
              <w:rPr>
                <w:rFonts w:ascii="Arial" w:eastAsia="SimSun" w:hAnsi="Arial" w:cs="Arial"/>
                <w:color w:val="000000"/>
                <w:sz w:val="19"/>
                <w:szCs w:val="19"/>
                <w:lang w:val="en-CA" w:eastAsia="zh-CN"/>
              </w:rPr>
              <w:t>Tasmania</w:t>
            </w:r>
          </w:p>
        </w:tc>
        <w:tc>
          <w:tcPr>
            <w:tcW w:w="3780" w:type="dxa"/>
            <w:tcBorders>
              <w:top w:val="nil"/>
              <w:left w:val="nil"/>
              <w:bottom w:val="single" w:sz="4" w:space="0" w:color="auto"/>
              <w:right w:val="single" w:sz="4" w:space="0" w:color="auto"/>
            </w:tcBorders>
            <w:shd w:val="clear" w:color="auto" w:fill="auto"/>
            <w:noWrap/>
            <w:vAlign w:val="bottom"/>
            <w:hideMark/>
          </w:tcPr>
          <w:p w14:paraId="53720B12" w14:textId="6513EBAB" w:rsidR="003D30B2" w:rsidRPr="00A43F68" w:rsidRDefault="00892FFB" w:rsidP="003D30B2">
            <w:pPr>
              <w:jc w:val="center"/>
              <w:rPr>
                <w:rFonts w:ascii="Arial" w:eastAsia="SimSun" w:hAnsi="Arial" w:cs="Arial"/>
                <w:color w:val="000000"/>
                <w:sz w:val="19"/>
                <w:szCs w:val="19"/>
                <w:lang w:val="en-CA" w:eastAsia="zh-CN"/>
              </w:rPr>
            </w:pPr>
            <w:r w:rsidRPr="00A43F68">
              <w:rPr>
                <w:rFonts w:ascii="Arial" w:eastAsia="SimSun" w:hAnsi="Arial" w:cs="Arial"/>
                <w:color w:val="000000"/>
                <w:sz w:val="19"/>
                <w:szCs w:val="19"/>
                <w:lang w:val="en-CA" w:eastAsia="zh-CN"/>
              </w:rPr>
              <w:t>Head office</w:t>
            </w:r>
            <w:r w:rsidR="00AF3EA0" w:rsidRPr="00A43F68">
              <w:rPr>
                <w:rFonts w:ascii="Arial" w:eastAsia="SimSun" w:hAnsi="Arial" w:cs="Arial"/>
                <w:color w:val="000000"/>
                <w:sz w:val="19"/>
                <w:szCs w:val="19"/>
                <w:lang w:val="en-CA" w:eastAsia="zh-CN"/>
              </w:rPr>
              <w:t>—</w:t>
            </w:r>
            <w:r w:rsidRPr="00A43F68">
              <w:rPr>
                <w:rFonts w:ascii="Arial" w:eastAsia="SimSun" w:hAnsi="Arial" w:cs="Arial"/>
                <w:color w:val="000000"/>
                <w:sz w:val="19"/>
                <w:szCs w:val="19"/>
                <w:lang w:val="en-CA" w:eastAsia="zh-CN"/>
              </w:rPr>
              <w:t>salmon shop, Salamanca</w:t>
            </w:r>
          </w:p>
        </w:tc>
      </w:tr>
      <w:tr w:rsidR="003D30B2" w:rsidRPr="00A43F68" w14:paraId="729E3017" w14:textId="77777777" w:rsidTr="00EB600D">
        <w:trPr>
          <w:trHeight w:val="240"/>
          <w:jc w:val="center"/>
        </w:trPr>
        <w:tc>
          <w:tcPr>
            <w:tcW w:w="2445" w:type="dxa"/>
            <w:tcBorders>
              <w:top w:val="nil"/>
              <w:left w:val="single" w:sz="4" w:space="0" w:color="auto"/>
              <w:bottom w:val="single" w:sz="4" w:space="0" w:color="auto"/>
              <w:right w:val="single" w:sz="4" w:space="0" w:color="auto"/>
            </w:tcBorders>
            <w:shd w:val="clear" w:color="auto" w:fill="auto"/>
            <w:noWrap/>
            <w:vAlign w:val="bottom"/>
            <w:hideMark/>
          </w:tcPr>
          <w:p w14:paraId="2A0D7B98" w14:textId="77777777" w:rsidR="003D30B2" w:rsidRPr="00A43F68" w:rsidRDefault="003D30B2" w:rsidP="003D30B2">
            <w:pPr>
              <w:rPr>
                <w:rFonts w:ascii="Arial" w:eastAsia="SimSun" w:hAnsi="Arial" w:cs="Arial"/>
                <w:color w:val="000000"/>
                <w:sz w:val="19"/>
                <w:szCs w:val="19"/>
                <w:lang w:val="en-CA" w:eastAsia="zh-CN"/>
              </w:rPr>
            </w:pPr>
            <w:r w:rsidRPr="00A43F68">
              <w:rPr>
                <w:rFonts w:ascii="Arial" w:eastAsia="SimSun" w:hAnsi="Arial" w:cs="Arial"/>
                <w:color w:val="000000"/>
                <w:sz w:val="19"/>
                <w:szCs w:val="19"/>
                <w:lang w:val="en-CA" w:eastAsia="zh-CN"/>
              </w:rPr>
              <w:t>Okehampton</w:t>
            </w:r>
          </w:p>
        </w:tc>
        <w:tc>
          <w:tcPr>
            <w:tcW w:w="1890" w:type="dxa"/>
            <w:tcBorders>
              <w:top w:val="nil"/>
              <w:left w:val="nil"/>
              <w:bottom w:val="single" w:sz="4" w:space="0" w:color="auto"/>
              <w:right w:val="single" w:sz="4" w:space="0" w:color="auto"/>
            </w:tcBorders>
            <w:shd w:val="clear" w:color="auto" w:fill="auto"/>
            <w:noWrap/>
            <w:vAlign w:val="bottom"/>
            <w:hideMark/>
          </w:tcPr>
          <w:p w14:paraId="624B3874" w14:textId="77777777" w:rsidR="003D30B2" w:rsidRPr="00A43F68" w:rsidRDefault="003D30B2" w:rsidP="003D30B2">
            <w:pPr>
              <w:jc w:val="center"/>
              <w:rPr>
                <w:rFonts w:ascii="Arial" w:eastAsia="SimSun" w:hAnsi="Arial" w:cs="Arial"/>
                <w:color w:val="000000"/>
                <w:sz w:val="19"/>
                <w:szCs w:val="19"/>
                <w:lang w:val="en-CA" w:eastAsia="zh-CN"/>
              </w:rPr>
            </w:pPr>
            <w:r w:rsidRPr="00A43F68">
              <w:rPr>
                <w:rFonts w:ascii="Arial" w:eastAsia="SimSun" w:hAnsi="Arial" w:cs="Arial"/>
                <w:color w:val="000000"/>
                <w:sz w:val="19"/>
                <w:szCs w:val="19"/>
                <w:lang w:val="en-CA" w:eastAsia="zh-CN"/>
              </w:rPr>
              <w:t>Tasmania</w:t>
            </w:r>
          </w:p>
        </w:tc>
        <w:tc>
          <w:tcPr>
            <w:tcW w:w="3780" w:type="dxa"/>
            <w:tcBorders>
              <w:top w:val="nil"/>
              <w:left w:val="nil"/>
              <w:bottom w:val="single" w:sz="4" w:space="0" w:color="auto"/>
              <w:right w:val="single" w:sz="4" w:space="0" w:color="auto"/>
            </w:tcBorders>
            <w:shd w:val="clear" w:color="auto" w:fill="auto"/>
            <w:noWrap/>
            <w:vAlign w:val="bottom"/>
            <w:hideMark/>
          </w:tcPr>
          <w:p w14:paraId="7AC1A9DB" w14:textId="35D4EF33" w:rsidR="003D30B2" w:rsidRPr="00A43F68" w:rsidRDefault="00892FFB" w:rsidP="003D30B2">
            <w:pPr>
              <w:jc w:val="center"/>
              <w:rPr>
                <w:rFonts w:ascii="Arial" w:eastAsia="SimSun" w:hAnsi="Arial" w:cs="Arial"/>
                <w:color w:val="000000"/>
                <w:sz w:val="19"/>
                <w:szCs w:val="19"/>
                <w:lang w:val="en-CA" w:eastAsia="zh-CN"/>
              </w:rPr>
            </w:pPr>
            <w:r w:rsidRPr="00A43F68">
              <w:rPr>
                <w:rFonts w:ascii="Arial" w:eastAsia="SimSun" w:hAnsi="Arial" w:cs="Arial"/>
                <w:color w:val="000000"/>
                <w:sz w:val="19"/>
                <w:szCs w:val="19"/>
                <w:lang w:val="en-CA" w:eastAsia="zh-CN"/>
              </w:rPr>
              <w:t>Marine operations</w:t>
            </w:r>
          </w:p>
        </w:tc>
      </w:tr>
      <w:tr w:rsidR="003D30B2" w:rsidRPr="00A43F68" w14:paraId="045BA382" w14:textId="77777777" w:rsidTr="00EB600D">
        <w:trPr>
          <w:trHeight w:val="240"/>
          <w:jc w:val="center"/>
        </w:trPr>
        <w:tc>
          <w:tcPr>
            <w:tcW w:w="2445" w:type="dxa"/>
            <w:tcBorders>
              <w:top w:val="nil"/>
              <w:left w:val="single" w:sz="4" w:space="0" w:color="auto"/>
              <w:bottom w:val="single" w:sz="4" w:space="0" w:color="auto"/>
              <w:right w:val="single" w:sz="4" w:space="0" w:color="auto"/>
            </w:tcBorders>
            <w:shd w:val="clear" w:color="auto" w:fill="auto"/>
            <w:noWrap/>
            <w:vAlign w:val="bottom"/>
            <w:hideMark/>
          </w:tcPr>
          <w:p w14:paraId="39A7D42C" w14:textId="77777777" w:rsidR="003D30B2" w:rsidRPr="00A43F68" w:rsidRDefault="003D30B2" w:rsidP="003D30B2">
            <w:pPr>
              <w:rPr>
                <w:rFonts w:ascii="Arial" w:eastAsia="SimSun" w:hAnsi="Arial" w:cs="Arial"/>
                <w:color w:val="000000"/>
                <w:sz w:val="19"/>
                <w:szCs w:val="19"/>
                <w:lang w:val="en-CA" w:eastAsia="zh-CN"/>
              </w:rPr>
            </w:pPr>
            <w:r w:rsidRPr="00A43F68">
              <w:rPr>
                <w:rFonts w:ascii="Arial" w:eastAsia="SimSun" w:hAnsi="Arial" w:cs="Arial"/>
                <w:color w:val="000000"/>
                <w:sz w:val="19"/>
                <w:szCs w:val="19"/>
                <w:lang w:val="en-CA" w:eastAsia="zh-CN"/>
              </w:rPr>
              <w:t>Eastern Zone</w:t>
            </w:r>
          </w:p>
        </w:tc>
        <w:tc>
          <w:tcPr>
            <w:tcW w:w="1890" w:type="dxa"/>
            <w:tcBorders>
              <w:top w:val="nil"/>
              <w:left w:val="nil"/>
              <w:bottom w:val="single" w:sz="4" w:space="0" w:color="auto"/>
              <w:right w:val="single" w:sz="4" w:space="0" w:color="auto"/>
            </w:tcBorders>
            <w:shd w:val="clear" w:color="auto" w:fill="auto"/>
            <w:noWrap/>
            <w:vAlign w:val="bottom"/>
            <w:hideMark/>
          </w:tcPr>
          <w:p w14:paraId="76837286" w14:textId="77777777" w:rsidR="003D30B2" w:rsidRPr="00A43F68" w:rsidRDefault="003D30B2" w:rsidP="003D30B2">
            <w:pPr>
              <w:jc w:val="center"/>
              <w:rPr>
                <w:rFonts w:ascii="Arial" w:eastAsia="SimSun" w:hAnsi="Arial" w:cs="Arial"/>
                <w:color w:val="000000"/>
                <w:sz w:val="19"/>
                <w:szCs w:val="19"/>
                <w:lang w:val="en-CA" w:eastAsia="zh-CN"/>
              </w:rPr>
            </w:pPr>
            <w:r w:rsidRPr="00A43F68">
              <w:rPr>
                <w:rFonts w:ascii="Arial" w:eastAsia="SimSun" w:hAnsi="Arial" w:cs="Arial"/>
                <w:color w:val="000000"/>
                <w:sz w:val="19"/>
                <w:szCs w:val="19"/>
                <w:lang w:val="en-CA" w:eastAsia="zh-CN"/>
              </w:rPr>
              <w:t>Tasmania</w:t>
            </w:r>
          </w:p>
        </w:tc>
        <w:tc>
          <w:tcPr>
            <w:tcW w:w="3780" w:type="dxa"/>
            <w:tcBorders>
              <w:top w:val="nil"/>
              <w:left w:val="nil"/>
              <w:bottom w:val="single" w:sz="4" w:space="0" w:color="auto"/>
              <w:right w:val="single" w:sz="4" w:space="0" w:color="auto"/>
            </w:tcBorders>
            <w:shd w:val="clear" w:color="auto" w:fill="auto"/>
            <w:noWrap/>
            <w:vAlign w:val="bottom"/>
            <w:hideMark/>
          </w:tcPr>
          <w:p w14:paraId="2BCD7704" w14:textId="437C307F" w:rsidR="003D30B2" w:rsidRPr="00A43F68" w:rsidRDefault="00892FFB" w:rsidP="003D30B2">
            <w:pPr>
              <w:jc w:val="center"/>
              <w:rPr>
                <w:rFonts w:ascii="Arial" w:eastAsia="SimSun" w:hAnsi="Arial" w:cs="Arial"/>
                <w:color w:val="000000"/>
                <w:sz w:val="19"/>
                <w:szCs w:val="19"/>
                <w:lang w:val="en-CA" w:eastAsia="zh-CN"/>
              </w:rPr>
            </w:pPr>
            <w:r w:rsidRPr="00A43F68">
              <w:rPr>
                <w:rFonts w:ascii="Arial" w:eastAsia="SimSun" w:hAnsi="Arial" w:cs="Arial"/>
                <w:color w:val="000000"/>
                <w:sz w:val="19"/>
                <w:szCs w:val="19"/>
                <w:lang w:val="en-CA" w:eastAsia="zh-CN"/>
              </w:rPr>
              <w:t>Marine operations</w:t>
            </w:r>
          </w:p>
        </w:tc>
      </w:tr>
      <w:tr w:rsidR="003D30B2" w:rsidRPr="00A43F68" w14:paraId="4EB4A1CB" w14:textId="77777777" w:rsidTr="00EB600D">
        <w:trPr>
          <w:trHeight w:val="240"/>
          <w:jc w:val="center"/>
        </w:trPr>
        <w:tc>
          <w:tcPr>
            <w:tcW w:w="2445" w:type="dxa"/>
            <w:tcBorders>
              <w:top w:val="nil"/>
              <w:left w:val="single" w:sz="4" w:space="0" w:color="auto"/>
              <w:bottom w:val="single" w:sz="4" w:space="0" w:color="auto"/>
              <w:right w:val="single" w:sz="4" w:space="0" w:color="auto"/>
            </w:tcBorders>
            <w:shd w:val="clear" w:color="auto" w:fill="auto"/>
            <w:noWrap/>
            <w:vAlign w:val="bottom"/>
            <w:hideMark/>
          </w:tcPr>
          <w:p w14:paraId="4A9C578A" w14:textId="77777777" w:rsidR="003D30B2" w:rsidRPr="00A43F68" w:rsidRDefault="003D30B2" w:rsidP="003D30B2">
            <w:pPr>
              <w:rPr>
                <w:rFonts w:ascii="Arial" w:eastAsia="SimSun" w:hAnsi="Arial" w:cs="Arial"/>
                <w:color w:val="000000"/>
                <w:sz w:val="19"/>
                <w:szCs w:val="19"/>
                <w:lang w:val="en-CA" w:eastAsia="zh-CN"/>
              </w:rPr>
            </w:pPr>
            <w:r w:rsidRPr="00A43F68">
              <w:rPr>
                <w:rFonts w:ascii="Arial" w:eastAsia="SimSun" w:hAnsi="Arial" w:cs="Arial"/>
                <w:color w:val="000000"/>
                <w:sz w:val="19"/>
                <w:szCs w:val="19"/>
                <w:lang w:val="en-CA" w:eastAsia="zh-CN"/>
              </w:rPr>
              <w:t>Channel Zone</w:t>
            </w:r>
          </w:p>
        </w:tc>
        <w:tc>
          <w:tcPr>
            <w:tcW w:w="1890" w:type="dxa"/>
            <w:tcBorders>
              <w:top w:val="nil"/>
              <w:left w:val="nil"/>
              <w:bottom w:val="single" w:sz="4" w:space="0" w:color="auto"/>
              <w:right w:val="single" w:sz="4" w:space="0" w:color="auto"/>
            </w:tcBorders>
            <w:shd w:val="clear" w:color="auto" w:fill="auto"/>
            <w:noWrap/>
            <w:vAlign w:val="bottom"/>
            <w:hideMark/>
          </w:tcPr>
          <w:p w14:paraId="6AD73481" w14:textId="77777777" w:rsidR="003D30B2" w:rsidRPr="00A43F68" w:rsidRDefault="003D30B2" w:rsidP="003D30B2">
            <w:pPr>
              <w:jc w:val="center"/>
              <w:rPr>
                <w:rFonts w:ascii="Arial" w:eastAsia="SimSun" w:hAnsi="Arial" w:cs="Arial"/>
                <w:color w:val="000000"/>
                <w:sz w:val="19"/>
                <w:szCs w:val="19"/>
                <w:lang w:val="en-CA" w:eastAsia="zh-CN"/>
              </w:rPr>
            </w:pPr>
            <w:r w:rsidRPr="00A43F68">
              <w:rPr>
                <w:rFonts w:ascii="Arial" w:eastAsia="SimSun" w:hAnsi="Arial" w:cs="Arial"/>
                <w:color w:val="000000"/>
                <w:sz w:val="19"/>
                <w:szCs w:val="19"/>
                <w:lang w:val="en-CA" w:eastAsia="zh-CN"/>
              </w:rPr>
              <w:t>Tasmania</w:t>
            </w:r>
          </w:p>
        </w:tc>
        <w:tc>
          <w:tcPr>
            <w:tcW w:w="3780" w:type="dxa"/>
            <w:tcBorders>
              <w:top w:val="nil"/>
              <w:left w:val="nil"/>
              <w:bottom w:val="single" w:sz="4" w:space="0" w:color="auto"/>
              <w:right w:val="single" w:sz="4" w:space="0" w:color="auto"/>
            </w:tcBorders>
            <w:shd w:val="clear" w:color="auto" w:fill="auto"/>
            <w:noWrap/>
            <w:vAlign w:val="bottom"/>
            <w:hideMark/>
          </w:tcPr>
          <w:p w14:paraId="5D061DDD" w14:textId="2CFC370C" w:rsidR="003D30B2" w:rsidRPr="00A43F68" w:rsidRDefault="00892FFB" w:rsidP="003D30B2">
            <w:pPr>
              <w:jc w:val="center"/>
              <w:rPr>
                <w:rFonts w:ascii="Arial" w:eastAsia="SimSun" w:hAnsi="Arial" w:cs="Arial"/>
                <w:color w:val="000000"/>
                <w:sz w:val="19"/>
                <w:szCs w:val="19"/>
                <w:lang w:val="en-CA" w:eastAsia="zh-CN"/>
              </w:rPr>
            </w:pPr>
            <w:r w:rsidRPr="00A43F68">
              <w:rPr>
                <w:rFonts w:ascii="Arial" w:eastAsia="SimSun" w:hAnsi="Arial" w:cs="Arial"/>
                <w:color w:val="000000"/>
                <w:sz w:val="19"/>
                <w:szCs w:val="19"/>
                <w:lang w:val="en-CA" w:eastAsia="zh-CN"/>
              </w:rPr>
              <w:t>Marine operations</w:t>
            </w:r>
          </w:p>
        </w:tc>
      </w:tr>
      <w:tr w:rsidR="003D30B2" w:rsidRPr="00A43F68" w14:paraId="7F947DB4" w14:textId="77777777" w:rsidTr="00EB600D">
        <w:trPr>
          <w:trHeight w:val="240"/>
          <w:jc w:val="center"/>
        </w:trPr>
        <w:tc>
          <w:tcPr>
            <w:tcW w:w="2445" w:type="dxa"/>
            <w:tcBorders>
              <w:top w:val="nil"/>
              <w:left w:val="single" w:sz="4" w:space="0" w:color="auto"/>
              <w:bottom w:val="single" w:sz="4" w:space="0" w:color="auto"/>
              <w:right w:val="single" w:sz="4" w:space="0" w:color="auto"/>
            </w:tcBorders>
            <w:shd w:val="clear" w:color="auto" w:fill="auto"/>
            <w:noWrap/>
            <w:vAlign w:val="bottom"/>
            <w:hideMark/>
          </w:tcPr>
          <w:p w14:paraId="02AFC1EA" w14:textId="77777777" w:rsidR="003D30B2" w:rsidRPr="00A43F68" w:rsidRDefault="003D30B2" w:rsidP="003D30B2">
            <w:pPr>
              <w:rPr>
                <w:rFonts w:ascii="Arial" w:eastAsia="SimSun" w:hAnsi="Arial" w:cs="Arial"/>
                <w:color w:val="000000"/>
                <w:sz w:val="19"/>
                <w:szCs w:val="19"/>
                <w:lang w:val="en-CA" w:eastAsia="zh-CN"/>
              </w:rPr>
            </w:pPr>
            <w:r w:rsidRPr="00A43F68">
              <w:rPr>
                <w:rFonts w:ascii="Arial" w:eastAsia="SimSun" w:hAnsi="Arial" w:cs="Arial"/>
                <w:color w:val="000000"/>
                <w:sz w:val="19"/>
                <w:szCs w:val="19"/>
                <w:lang w:val="en-CA" w:eastAsia="zh-CN"/>
              </w:rPr>
              <w:t>Southern Zone</w:t>
            </w:r>
          </w:p>
        </w:tc>
        <w:tc>
          <w:tcPr>
            <w:tcW w:w="1890" w:type="dxa"/>
            <w:tcBorders>
              <w:top w:val="nil"/>
              <w:left w:val="nil"/>
              <w:bottom w:val="single" w:sz="4" w:space="0" w:color="auto"/>
              <w:right w:val="single" w:sz="4" w:space="0" w:color="auto"/>
            </w:tcBorders>
            <w:shd w:val="clear" w:color="auto" w:fill="auto"/>
            <w:noWrap/>
            <w:vAlign w:val="bottom"/>
            <w:hideMark/>
          </w:tcPr>
          <w:p w14:paraId="2BAEE754" w14:textId="77777777" w:rsidR="003D30B2" w:rsidRPr="00A43F68" w:rsidRDefault="003D30B2" w:rsidP="003D30B2">
            <w:pPr>
              <w:jc w:val="center"/>
              <w:rPr>
                <w:rFonts w:ascii="Arial" w:eastAsia="SimSun" w:hAnsi="Arial" w:cs="Arial"/>
                <w:color w:val="000000"/>
                <w:sz w:val="19"/>
                <w:szCs w:val="19"/>
                <w:lang w:val="en-CA" w:eastAsia="zh-CN"/>
              </w:rPr>
            </w:pPr>
            <w:r w:rsidRPr="00A43F68">
              <w:rPr>
                <w:rFonts w:ascii="Arial" w:eastAsia="SimSun" w:hAnsi="Arial" w:cs="Arial"/>
                <w:color w:val="000000"/>
                <w:sz w:val="19"/>
                <w:szCs w:val="19"/>
                <w:lang w:val="en-CA" w:eastAsia="zh-CN"/>
              </w:rPr>
              <w:t>Tasmania</w:t>
            </w:r>
          </w:p>
        </w:tc>
        <w:tc>
          <w:tcPr>
            <w:tcW w:w="3780" w:type="dxa"/>
            <w:tcBorders>
              <w:top w:val="nil"/>
              <w:left w:val="nil"/>
              <w:bottom w:val="single" w:sz="4" w:space="0" w:color="auto"/>
              <w:right w:val="single" w:sz="4" w:space="0" w:color="auto"/>
            </w:tcBorders>
            <w:shd w:val="clear" w:color="auto" w:fill="auto"/>
            <w:noWrap/>
            <w:vAlign w:val="bottom"/>
            <w:hideMark/>
          </w:tcPr>
          <w:p w14:paraId="6FED59A2" w14:textId="2785630D" w:rsidR="003D30B2" w:rsidRPr="00A43F68" w:rsidRDefault="003D30B2" w:rsidP="003D30B2">
            <w:pPr>
              <w:jc w:val="center"/>
              <w:rPr>
                <w:rFonts w:ascii="Arial" w:eastAsia="SimSun" w:hAnsi="Arial" w:cs="Arial"/>
                <w:color w:val="000000"/>
                <w:sz w:val="19"/>
                <w:szCs w:val="19"/>
                <w:lang w:val="en-CA" w:eastAsia="zh-CN"/>
              </w:rPr>
            </w:pPr>
            <w:r w:rsidRPr="00A43F68">
              <w:rPr>
                <w:rFonts w:ascii="Arial" w:eastAsia="SimSun" w:hAnsi="Arial" w:cs="Arial"/>
                <w:color w:val="000000"/>
                <w:sz w:val="19"/>
                <w:szCs w:val="19"/>
                <w:lang w:val="en-CA" w:eastAsia="zh-CN"/>
              </w:rPr>
              <w:t>Mar</w:t>
            </w:r>
            <w:r w:rsidR="00892FFB" w:rsidRPr="00A43F68">
              <w:rPr>
                <w:rFonts w:ascii="Arial" w:eastAsia="SimSun" w:hAnsi="Arial" w:cs="Arial"/>
                <w:color w:val="000000"/>
                <w:sz w:val="19"/>
                <w:szCs w:val="19"/>
                <w:lang w:val="en-CA" w:eastAsia="zh-CN"/>
              </w:rPr>
              <w:t>ine operations</w:t>
            </w:r>
          </w:p>
        </w:tc>
      </w:tr>
      <w:tr w:rsidR="003D30B2" w:rsidRPr="00A43F68" w14:paraId="649E89ED" w14:textId="77777777" w:rsidTr="00EB600D">
        <w:trPr>
          <w:trHeight w:val="240"/>
          <w:jc w:val="center"/>
        </w:trPr>
        <w:tc>
          <w:tcPr>
            <w:tcW w:w="2445" w:type="dxa"/>
            <w:tcBorders>
              <w:top w:val="nil"/>
              <w:left w:val="single" w:sz="4" w:space="0" w:color="auto"/>
              <w:bottom w:val="single" w:sz="4" w:space="0" w:color="auto"/>
              <w:right w:val="single" w:sz="4" w:space="0" w:color="auto"/>
            </w:tcBorders>
            <w:shd w:val="clear" w:color="auto" w:fill="auto"/>
            <w:noWrap/>
            <w:vAlign w:val="bottom"/>
            <w:hideMark/>
          </w:tcPr>
          <w:p w14:paraId="7EA76B48" w14:textId="77777777" w:rsidR="003D30B2" w:rsidRPr="00A43F68" w:rsidRDefault="003D30B2" w:rsidP="003D30B2">
            <w:pPr>
              <w:rPr>
                <w:rFonts w:ascii="Arial" w:eastAsia="SimSun" w:hAnsi="Arial" w:cs="Arial"/>
                <w:color w:val="000000"/>
                <w:sz w:val="19"/>
                <w:szCs w:val="19"/>
                <w:lang w:val="en-CA" w:eastAsia="zh-CN"/>
              </w:rPr>
            </w:pPr>
            <w:r w:rsidRPr="00A43F68">
              <w:rPr>
                <w:rFonts w:ascii="Arial" w:eastAsia="SimSun" w:hAnsi="Arial" w:cs="Arial"/>
                <w:color w:val="000000"/>
                <w:sz w:val="19"/>
                <w:szCs w:val="19"/>
                <w:lang w:val="en-CA" w:eastAsia="zh-CN"/>
              </w:rPr>
              <w:t>Western Zone</w:t>
            </w:r>
          </w:p>
        </w:tc>
        <w:tc>
          <w:tcPr>
            <w:tcW w:w="1890" w:type="dxa"/>
            <w:tcBorders>
              <w:top w:val="nil"/>
              <w:left w:val="nil"/>
              <w:bottom w:val="single" w:sz="4" w:space="0" w:color="auto"/>
              <w:right w:val="single" w:sz="4" w:space="0" w:color="auto"/>
            </w:tcBorders>
            <w:shd w:val="clear" w:color="auto" w:fill="auto"/>
            <w:noWrap/>
            <w:vAlign w:val="bottom"/>
            <w:hideMark/>
          </w:tcPr>
          <w:p w14:paraId="77CBA3F6" w14:textId="77777777" w:rsidR="003D30B2" w:rsidRPr="00A43F68" w:rsidRDefault="003D30B2" w:rsidP="003D30B2">
            <w:pPr>
              <w:jc w:val="center"/>
              <w:rPr>
                <w:rFonts w:ascii="Arial" w:eastAsia="SimSun" w:hAnsi="Arial" w:cs="Arial"/>
                <w:color w:val="000000"/>
                <w:sz w:val="19"/>
                <w:szCs w:val="19"/>
                <w:lang w:val="en-CA" w:eastAsia="zh-CN"/>
              </w:rPr>
            </w:pPr>
            <w:r w:rsidRPr="00A43F68">
              <w:rPr>
                <w:rFonts w:ascii="Arial" w:eastAsia="SimSun" w:hAnsi="Arial" w:cs="Arial"/>
                <w:color w:val="000000"/>
                <w:sz w:val="19"/>
                <w:szCs w:val="19"/>
                <w:lang w:val="en-CA" w:eastAsia="zh-CN"/>
              </w:rPr>
              <w:t>Tasmania</w:t>
            </w:r>
          </w:p>
        </w:tc>
        <w:tc>
          <w:tcPr>
            <w:tcW w:w="3780" w:type="dxa"/>
            <w:tcBorders>
              <w:top w:val="nil"/>
              <w:left w:val="nil"/>
              <w:bottom w:val="single" w:sz="4" w:space="0" w:color="auto"/>
              <w:right w:val="single" w:sz="4" w:space="0" w:color="auto"/>
            </w:tcBorders>
            <w:shd w:val="clear" w:color="auto" w:fill="auto"/>
            <w:noWrap/>
            <w:vAlign w:val="bottom"/>
            <w:hideMark/>
          </w:tcPr>
          <w:p w14:paraId="5A5E097B" w14:textId="7F154E92" w:rsidR="003D30B2" w:rsidRPr="00A43F68" w:rsidRDefault="00892FFB" w:rsidP="003D30B2">
            <w:pPr>
              <w:jc w:val="center"/>
              <w:rPr>
                <w:rFonts w:ascii="Arial" w:eastAsia="SimSun" w:hAnsi="Arial" w:cs="Arial"/>
                <w:color w:val="000000"/>
                <w:sz w:val="19"/>
                <w:szCs w:val="19"/>
                <w:lang w:val="en-CA" w:eastAsia="zh-CN"/>
              </w:rPr>
            </w:pPr>
            <w:r w:rsidRPr="00A43F68">
              <w:rPr>
                <w:rFonts w:ascii="Arial" w:eastAsia="SimSun" w:hAnsi="Arial" w:cs="Arial"/>
                <w:color w:val="000000"/>
                <w:sz w:val="19"/>
                <w:szCs w:val="19"/>
                <w:lang w:val="en-CA" w:eastAsia="zh-CN"/>
              </w:rPr>
              <w:t>Marine operations</w:t>
            </w:r>
          </w:p>
        </w:tc>
      </w:tr>
      <w:tr w:rsidR="003D30B2" w:rsidRPr="00A43F68" w14:paraId="564E6162" w14:textId="77777777" w:rsidTr="00EB600D">
        <w:trPr>
          <w:trHeight w:val="240"/>
          <w:jc w:val="center"/>
        </w:trPr>
        <w:tc>
          <w:tcPr>
            <w:tcW w:w="2445" w:type="dxa"/>
            <w:tcBorders>
              <w:top w:val="nil"/>
              <w:left w:val="single" w:sz="4" w:space="0" w:color="auto"/>
              <w:bottom w:val="single" w:sz="4" w:space="0" w:color="auto"/>
              <w:right w:val="single" w:sz="4" w:space="0" w:color="auto"/>
            </w:tcBorders>
            <w:shd w:val="clear" w:color="auto" w:fill="auto"/>
            <w:noWrap/>
            <w:vAlign w:val="bottom"/>
            <w:hideMark/>
          </w:tcPr>
          <w:p w14:paraId="311E258F" w14:textId="77777777" w:rsidR="003D30B2" w:rsidRPr="00A43F68" w:rsidRDefault="003D30B2" w:rsidP="003D30B2">
            <w:pPr>
              <w:rPr>
                <w:rFonts w:ascii="Arial" w:eastAsia="SimSun" w:hAnsi="Arial" w:cs="Arial"/>
                <w:color w:val="000000"/>
                <w:sz w:val="19"/>
                <w:szCs w:val="19"/>
                <w:lang w:val="en-CA" w:eastAsia="zh-CN"/>
              </w:rPr>
            </w:pPr>
            <w:r w:rsidRPr="00A43F68">
              <w:rPr>
                <w:rFonts w:ascii="Arial" w:eastAsia="SimSun" w:hAnsi="Arial" w:cs="Arial"/>
                <w:color w:val="000000"/>
                <w:sz w:val="19"/>
                <w:szCs w:val="19"/>
                <w:lang w:val="en-CA" w:eastAsia="zh-CN"/>
              </w:rPr>
              <w:t>Margate</w:t>
            </w:r>
          </w:p>
        </w:tc>
        <w:tc>
          <w:tcPr>
            <w:tcW w:w="1890" w:type="dxa"/>
            <w:tcBorders>
              <w:top w:val="nil"/>
              <w:left w:val="nil"/>
              <w:bottom w:val="single" w:sz="4" w:space="0" w:color="auto"/>
              <w:right w:val="single" w:sz="4" w:space="0" w:color="auto"/>
            </w:tcBorders>
            <w:shd w:val="clear" w:color="auto" w:fill="auto"/>
            <w:noWrap/>
            <w:vAlign w:val="bottom"/>
            <w:hideMark/>
          </w:tcPr>
          <w:p w14:paraId="6C93BE55" w14:textId="77777777" w:rsidR="003D30B2" w:rsidRPr="00A43F68" w:rsidRDefault="003D30B2" w:rsidP="003D30B2">
            <w:pPr>
              <w:jc w:val="center"/>
              <w:rPr>
                <w:rFonts w:ascii="Arial" w:eastAsia="SimSun" w:hAnsi="Arial" w:cs="Arial"/>
                <w:color w:val="000000"/>
                <w:sz w:val="19"/>
                <w:szCs w:val="19"/>
                <w:lang w:val="en-CA" w:eastAsia="zh-CN"/>
              </w:rPr>
            </w:pPr>
            <w:r w:rsidRPr="00A43F68">
              <w:rPr>
                <w:rFonts w:ascii="Arial" w:eastAsia="SimSun" w:hAnsi="Arial" w:cs="Arial"/>
                <w:color w:val="000000"/>
                <w:sz w:val="19"/>
                <w:szCs w:val="19"/>
                <w:lang w:val="en-CA" w:eastAsia="zh-CN"/>
              </w:rPr>
              <w:t>Tasmania</w:t>
            </w:r>
          </w:p>
        </w:tc>
        <w:tc>
          <w:tcPr>
            <w:tcW w:w="3780" w:type="dxa"/>
            <w:tcBorders>
              <w:top w:val="nil"/>
              <w:left w:val="nil"/>
              <w:bottom w:val="single" w:sz="4" w:space="0" w:color="auto"/>
              <w:right w:val="single" w:sz="4" w:space="0" w:color="auto"/>
            </w:tcBorders>
            <w:shd w:val="clear" w:color="auto" w:fill="auto"/>
            <w:noWrap/>
            <w:vAlign w:val="bottom"/>
            <w:hideMark/>
          </w:tcPr>
          <w:p w14:paraId="7AF9A57B" w14:textId="4844EB64" w:rsidR="003D30B2" w:rsidRPr="00A43F68" w:rsidRDefault="003D30B2" w:rsidP="003D30B2">
            <w:pPr>
              <w:jc w:val="center"/>
              <w:rPr>
                <w:rFonts w:ascii="Arial" w:eastAsia="SimSun" w:hAnsi="Arial" w:cs="Arial"/>
                <w:color w:val="000000"/>
                <w:sz w:val="19"/>
                <w:szCs w:val="19"/>
                <w:lang w:val="en-CA" w:eastAsia="zh-CN"/>
              </w:rPr>
            </w:pPr>
            <w:r w:rsidRPr="00A43F68">
              <w:rPr>
                <w:rFonts w:ascii="Arial" w:eastAsia="SimSun" w:hAnsi="Arial" w:cs="Arial"/>
                <w:color w:val="000000"/>
                <w:sz w:val="19"/>
                <w:szCs w:val="19"/>
                <w:lang w:val="en-CA" w:eastAsia="zh-CN"/>
              </w:rPr>
              <w:t xml:space="preserve">Processing and </w:t>
            </w:r>
            <w:r w:rsidR="00892FFB" w:rsidRPr="00A43F68">
              <w:rPr>
                <w:rFonts w:ascii="Arial" w:eastAsia="SimSun" w:hAnsi="Arial" w:cs="Arial"/>
                <w:color w:val="000000"/>
                <w:sz w:val="19"/>
                <w:szCs w:val="19"/>
                <w:lang w:val="en-CA" w:eastAsia="zh-CN"/>
              </w:rPr>
              <w:t>administration</w:t>
            </w:r>
          </w:p>
        </w:tc>
      </w:tr>
      <w:tr w:rsidR="003D30B2" w:rsidRPr="00A43F68" w14:paraId="5CA20F9A" w14:textId="77777777" w:rsidTr="00EB600D">
        <w:trPr>
          <w:trHeight w:val="240"/>
          <w:jc w:val="center"/>
        </w:trPr>
        <w:tc>
          <w:tcPr>
            <w:tcW w:w="2445" w:type="dxa"/>
            <w:tcBorders>
              <w:top w:val="nil"/>
              <w:left w:val="single" w:sz="4" w:space="0" w:color="auto"/>
              <w:bottom w:val="single" w:sz="4" w:space="0" w:color="auto"/>
              <w:right w:val="single" w:sz="4" w:space="0" w:color="auto"/>
            </w:tcBorders>
            <w:shd w:val="clear" w:color="auto" w:fill="auto"/>
            <w:noWrap/>
            <w:vAlign w:val="bottom"/>
            <w:hideMark/>
          </w:tcPr>
          <w:p w14:paraId="17FAD6A1" w14:textId="77777777" w:rsidR="003D30B2" w:rsidRPr="00A43F68" w:rsidRDefault="003D30B2" w:rsidP="003D30B2">
            <w:pPr>
              <w:rPr>
                <w:rFonts w:ascii="Arial" w:eastAsia="SimSun" w:hAnsi="Arial" w:cs="Arial"/>
                <w:color w:val="000000"/>
                <w:sz w:val="19"/>
                <w:szCs w:val="19"/>
                <w:lang w:val="en-CA" w:eastAsia="zh-CN"/>
              </w:rPr>
            </w:pPr>
            <w:r w:rsidRPr="00A43F68">
              <w:rPr>
                <w:rFonts w:ascii="Arial" w:eastAsia="SimSun" w:hAnsi="Arial" w:cs="Arial"/>
                <w:color w:val="000000"/>
                <w:sz w:val="19"/>
                <w:szCs w:val="19"/>
                <w:lang w:val="en-CA" w:eastAsia="zh-CN"/>
              </w:rPr>
              <w:t>Huonville</w:t>
            </w:r>
          </w:p>
        </w:tc>
        <w:tc>
          <w:tcPr>
            <w:tcW w:w="1890" w:type="dxa"/>
            <w:tcBorders>
              <w:top w:val="nil"/>
              <w:left w:val="nil"/>
              <w:bottom w:val="single" w:sz="4" w:space="0" w:color="auto"/>
              <w:right w:val="single" w:sz="4" w:space="0" w:color="auto"/>
            </w:tcBorders>
            <w:shd w:val="clear" w:color="auto" w:fill="auto"/>
            <w:noWrap/>
            <w:vAlign w:val="bottom"/>
            <w:hideMark/>
          </w:tcPr>
          <w:p w14:paraId="0D0892CB" w14:textId="77777777" w:rsidR="003D30B2" w:rsidRPr="00A43F68" w:rsidRDefault="003D30B2" w:rsidP="003D30B2">
            <w:pPr>
              <w:jc w:val="center"/>
              <w:rPr>
                <w:rFonts w:ascii="Arial" w:eastAsia="SimSun" w:hAnsi="Arial" w:cs="Arial"/>
                <w:color w:val="000000"/>
                <w:sz w:val="19"/>
                <w:szCs w:val="19"/>
                <w:lang w:val="en-CA" w:eastAsia="zh-CN"/>
              </w:rPr>
            </w:pPr>
            <w:r w:rsidRPr="00A43F68">
              <w:rPr>
                <w:rFonts w:ascii="Arial" w:eastAsia="SimSun" w:hAnsi="Arial" w:cs="Arial"/>
                <w:color w:val="000000"/>
                <w:sz w:val="19"/>
                <w:szCs w:val="19"/>
                <w:lang w:val="en-CA" w:eastAsia="zh-CN"/>
              </w:rPr>
              <w:t>Tasmania</w:t>
            </w:r>
          </w:p>
        </w:tc>
        <w:tc>
          <w:tcPr>
            <w:tcW w:w="3780" w:type="dxa"/>
            <w:tcBorders>
              <w:top w:val="nil"/>
              <w:left w:val="nil"/>
              <w:bottom w:val="single" w:sz="4" w:space="0" w:color="auto"/>
              <w:right w:val="single" w:sz="4" w:space="0" w:color="auto"/>
            </w:tcBorders>
            <w:shd w:val="clear" w:color="auto" w:fill="auto"/>
            <w:noWrap/>
            <w:vAlign w:val="bottom"/>
            <w:hideMark/>
          </w:tcPr>
          <w:p w14:paraId="1CF420FB" w14:textId="77777777" w:rsidR="003D30B2" w:rsidRPr="00A43F68" w:rsidRDefault="003D30B2" w:rsidP="003D30B2">
            <w:pPr>
              <w:jc w:val="center"/>
              <w:rPr>
                <w:rFonts w:ascii="Arial" w:eastAsia="SimSun" w:hAnsi="Arial" w:cs="Arial"/>
                <w:color w:val="000000"/>
                <w:sz w:val="19"/>
                <w:szCs w:val="19"/>
                <w:lang w:val="en-CA" w:eastAsia="zh-CN"/>
              </w:rPr>
            </w:pPr>
            <w:r w:rsidRPr="00A43F68">
              <w:rPr>
                <w:rFonts w:ascii="Arial" w:eastAsia="SimSun" w:hAnsi="Arial" w:cs="Arial"/>
                <w:color w:val="000000"/>
                <w:sz w:val="19"/>
                <w:szCs w:val="19"/>
                <w:lang w:val="en-CA" w:eastAsia="zh-CN"/>
              </w:rPr>
              <w:t>Processing</w:t>
            </w:r>
          </w:p>
        </w:tc>
      </w:tr>
      <w:tr w:rsidR="003D30B2" w:rsidRPr="00A43F68" w14:paraId="5B793B10" w14:textId="77777777" w:rsidTr="00EB600D">
        <w:trPr>
          <w:trHeight w:val="240"/>
          <w:jc w:val="center"/>
        </w:trPr>
        <w:tc>
          <w:tcPr>
            <w:tcW w:w="2445" w:type="dxa"/>
            <w:tcBorders>
              <w:top w:val="nil"/>
              <w:left w:val="single" w:sz="4" w:space="0" w:color="auto"/>
              <w:bottom w:val="single" w:sz="4" w:space="0" w:color="auto"/>
              <w:right w:val="single" w:sz="4" w:space="0" w:color="auto"/>
            </w:tcBorders>
            <w:shd w:val="clear" w:color="auto" w:fill="auto"/>
            <w:noWrap/>
            <w:vAlign w:val="bottom"/>
            <w:hideMark/>
          </w:tcPr>
          <w:p w14:paraId="503D7FA7" w14:textId="77777777" w:rsidR="003D30B2" w:rsidRPr="00A43F68" w:rsidRDefault="003D30B2" w:rsidP="003D30B2">
            <w:pPr>
              <w:rPr>
                <w:rFonts w:ascii="Arial" w:eastAsia="SimSun" w:hAnsi="Arial" w:cs="Arial"/>
                <w:color w:val="000000"/>
                <w:sz w:val="19"/>
                <w:szCs w:val="19"/>
                <w:lang w:val="en-CA" w:eastAsia="zh-CN"/>
              </w:rPr>
            </w:pPr>
            <w:r w:rsidRPr="00A43F68">
              <w:rPr>
                <w:rFonts w:ascii="Arial" w:eastAsia="SimSun" w:hAnsi="Arial" w:cs="Arial"/>
                <w:color w:val="000000"/>
                <w:sz w:val="19"/>
                <w:szCs w:val="19"/>
                <w:lang w:val="en-CA" w:eastAsia="zh-CN"/>
              </w:rPr>
              <w:t>Dover</w:t>
            </w:r>
          </w:p>
        </w:tc>
        <w:tc>
          <w:tcPr>
            <w:tcW w:w="1890" w:type="dxa"/>
            <w:tcBorders>
              <w:top w:val="nil"/>
              <w:left w:val="nil"/>
              <w:bottom w:val="single" w:sz="4" w:space="0" w:color="auto"/>
              <w:right w:val="single" w:sz="4" w:space="0" w:color="auto"/>
            </w:tcBorders>
            <w:shd w:val="clear" w:color="auto" w:fill="auto"/>
            <w:noWrap/>
            <w:vAlign w:val="bottom"/>
            <w:hideMark/>
          </w:tcPr>
          <w:p w14:paraId="62571B68" w14:textId="77777777" w:rsidR="003D30B2" w:rsidRPr="00A43F68" w:rsidRDefault="003D30B2" w:rsidP="003D30B2">
            <w:pPr>
              <w:jc w:val="center"/>
              <w:rPr>
                <w:rFonts w:ascii="Arial" w:eastAsia="SimSun" w:hAnsi="Arial" w:cs="Arial"/>
                <w:color w:val="000000"/>
                <w:sz w:val="19"/>
                <w:szCs w:val="19"/>
                <w:lang w:val="en-CA" w:eastAsia="zh-CN"/>
              </w:rPr>
            </w:pPr>
            <w:r w:rsidRPr="00A43F68">
              <w:rPr>
                <w:rFonts w:ascii="Arial" w:eastAsia="SimSun" w:hAnsi="Arial" w:cs="Arial"/>
                <w:color w:val="000000"/>
                <w:sz w:val="19"/>
                <w:szCs w:val="19"/>
                <w:lang w:val="en-CA" w:eastAsia="zh-CN"/>
              </w:rPr>
              <w:t>Tasmania</w:t>
            </w:r>
          </w:p>
        </w:tc>
        <w:tc>
          <w:tcPr>
            <w:tcW w:w="3780" w:type="dxa"/>
            <w:tcBorders>
              <w:top w:val="nil"/>
              <w:left w:val="nil"/>
              <w:bottom w:val="single" w:sz="4" w:space="0" w:color="auto"/>
              <w:right w:val="single" w:sz="4" w:space="0" w:color="auto"/>
            </w:tcBorders>
            <w:shd w:val="clear" w:color="auto" w:fill="auto"/>
            <w:noWrap/>
            <w:vAlign w:val="bottom"/>
            <w:hideMark/>
          </w:tcPr>
          <w:p w14:paraId="42C35AA5" w14:textId="77777777" w:rsidR="003D30B2" w:rsidRPr="00A43F68" w:rsidRDefault="003D30B2" w:rsidP="003D30B2">
            <w:pPr>
              <w:jc w:val="center"/>
              <w:rPr>
                <w:rFonts w:ascii="Arial" w:eastAsia="SimSun" w:hAnsi="Arial" w:cs="Arial"/>
                <w:color w:val="000000"/>
                <w:sz w:val="19"/>
                <w:szCs w:val="19"/>
                <w:lang w:val="en-CA" w:eastAsia="zh-CN"/>
              </w:rPr>
            </w:pPr>
            <w:r w:rsidRPr="00A43F68">
              <w:rPr>
                <w:rFonts w:ascii="Arial" w:eastAsia="SimSun" w:hAnsi="Arial" w:cs="Arial"/>
                <w:color w:val="000000"/>
                <w:sz w:val="19"/>
                <w:szCs w:val="19"/>
                <w:lang w:val="en-CA" w:eastAsia="zh-CN"/>
              </w:rPr>
              <w:t>Processing</w:t>
            </w:r>
          </w:p>
        </w:tc>
      </w:tr>
      <w:tr w:rsidR="003D30B2" w:rsidRPr="00A43F68" w14:paraId="42917136" w14:textId="77777777" w:rsidTr="00EB600D">
        <w:trPr>
          <w:trHeight w:val="240"/>
          <w:jc w:val="center"/>
        </w:trPr>
        <w:tc>
          <w:tcPr>
            <w:tcW w:w="2445" w:type="dxa"/>
            <w:tcBorders>
              <w:top w:val="nil"/>
              <w:left w:val="single" w:sz="4" w:space="0" w:color="auto"/>
              <w:bottom w:val="single" w:sz="4" w:space="0" w:color="auto"/>
              <w:right w:val="single" w:sz="4" w:space="0" w:color="auto"/>
            </w:tcBorders>
            <w:shd w:val="clear" w:color="auto" w:fill="auto"/>
            <w:noWrap/>
            <w:vAlign w:val="bottom"/>
            <w:hideMark/>
          </w:tcPr>
          <w:p w14:paraId="54DBCDD2" w14:textId="77777777" w:rsidR="003D30B2" w:rsidRPr="00A43F68" w:rsidRDefault="003D30B2" w:rsidP="003D30B2">
            <w:pPr>
              <w:rPr>
                <w:rFonts w:ascii="Arial" w:eastAsia="SimSun" w:hAnsi="Arial" w:cs="Arial"/>
                <w:color w:val="000000"/>
                <w:sz w:val="19"/>
                <w:szCs w:val="19"/>
                <w:lang w:val="en-CA" w:eastAsia="zh-CN"/>
              </w:rPr>
            </w:pPr>
            <w:r w:rsidRPr="00A43F68">
              <w:rPr>
                <w:rFonts w:ascii="Arial" w:eastAsia="SimSun" w:hAnsi="Arial" w:cs="Arial"/>
                <w:color w:val="000000"/>
                <w:sz w:val="19"/>
                <w:szCs w:val="19"/>
                <w:lang w:val="en-CA" w:eastAsia="zh-CN"/>
              </w:rPr>
              <w:t>Russell Falls</w:t>
            </w:r>
          </w:p>
        </w:tc>
        <w:tc>
          <w:tcPr>
            <w:tcW w:w="1890" w:type="dxa"/>
            <w:tcBorders>
              <w:top w:val="nil"/>
              <w:left w:val="nil"/>
              <w:bottom w:val="single" w:sz="4" w:space="0" w:color="auto"/>
              <w:right w:val="single" w:sz="4" w:space="0" w:color="auto"/>
            </w:tcBorders>
            <w:shd w:val="clear" w:color="auto" w:fill="auto"/>
            <w:noWrap/>
            <w:vAlign w:val="bottom"/>
            <w:hideMark/>
          </w:tcPr>
          <w:p w14:paraId="0F73D88B" w14:textId="77777777" w:rsidR="003D30B2" w:rsidRPr="00A43F68" w:rsidRDefault="003D30B2" w:rsidP="003D30B2">
            <w:pPr>
              <w:jc w:val="center"/>
              <w:rPr>
                <w:rFonts w:ascii="Arial" w:eastAsia="SimSun" w:hAnsi="Arial" w:cs="Arial"/>
                <w:color w:val="000000"/>
                <w:sz w:val="19"/>
                <w:szCs w:val="19"/>
                <w:lang w:val="en-CA" w:eastAsia="zh-CN"/>
              </w:rPr>
            </w:pPr>
            <w:r w:rsidRPr="00A43F68">
              <w:rPr>
                <w:rFonts w:ascii="Arial" w:eastAsia="SimSun" w:hAnsi="Arial" w:cs="Arial"/>
                <w:color w:val="000000"/>
                <w:sz w:val="19"/>
                <w:szCs w:val="19"/>
                <w:lang w:val="en-CA" w:eastAsia="zh-CN"/>
              </w:rPr>
              <w:t>Tasmania</w:t>
            </w:r>
          </w:p>
        </w:tc>
        <w:tc>
          <w:tcPr>
            <w:tcW w:w="3780" w:type="dxa"/>
            <w:tcBorders>
              <w:top w:val="nil"/>
              <w:left w:val="nil"/>
              <w:bottom w:val="single" w:sz="4" w:space="0" w:color="auto"/>
              <w:right w:val="single" w:sz="4" w:space="0" w:color="auto"/>
            </w:tcBorders>
            <w:shd w:val="clear" w:color="auto" w:fill="auto"/>
            <w:noWrap/>
            <w:vAlign w:val="bottom"/>
            <w:hideMark/>
          </w:tcPr>
          <w:p w14:paraId="6A470B82" w14:textId="77777777" w:rsidR="003D30B2" w:rsidRPr="00A43F68" w:rsidRDefault="003D30B2" w:rsidP="003D30B2">
            <w:pPr>
              <w:jc w:val="center"/>
              <w:rPr>
                <w:rFonts w:ascii="Arial" w:eastAsia="SimSun" w:hAnsi="Arial" w:cs="Arial"/>
                <w:color w:val="000000"/>
                <w:sz w:val="19"/>
                <w:szCs w:val="19"/>
                <w:lang w:val="en-CA" w:eastAsia="zh-CN"/>
              </w:rPr>
            </w:pPr>
            <w:r w:rsidRPr="00A43F68">
              <w:rPr>
                <w:rFonts w:ascii="Arial" w:eastAsia="SimSun" w:hAnsi="Arial" w:cs="Arial"/>
                <w:color w:val="000000"/>
                <w:sz w:val="19"/>
                <w:szCs w:val="19"/>
                <w:lang w:val="en-CA" w:eastAsia="zh-CN"/>
              </w:rPr>
              <w:t>Hatchery</w:t>
            </w:r>
          </w:p>
        </w:tc>
      </w:tr>
      <w:tr w:rsidR="003D30B2" w:rsidRPr="00A43F68" w14:paraId="26D40A1E" w14:textId="77777777" w:rsidTr="00EB600D">
        <w:trPr>
          <w:trHeight w:val="240"/>
          <w:jc w:val="center"/>
        </w:trPr>
        <w:tc>
          <w:tcPr>
            <w:tcW w:w="2445" w:type="dxa"/>
            <w:tcBorders>
              <w:top w:val="nil"/>
              <w:left w:val="single" w:sz="4" w:space="0" w:color="auto"/>
              <w:bottom w:val="single" w:sz="4" w:space="0" w:color="auto"/>
              <w:right w:val="single" w:sz="4" w:space="0" w:color="auto"/>
            </w:tcBorders>
            <w:shd w:val="clear" w:color="auto" w:fill="auto"/>
            <w:noWrap/>
            <w:vAlign w:val="bottom"/>
            <w:hideMark/>
          </w:tcPr>
          <w:p w14:paraId="60B10F8A" w14:textId="77777777" w:rsidR="003D30B2" w:rsidRPr="00A43F68" w:rsidRDefault="003D30B2" w:rsidP="003D30B2">
            <w:pPr>
              <w:rPr>
                <w:rFonts w:ascii="Arial" w:eastAsia="SimSun" w:hAnsi="Arial" w:cs="Arial"/>
                <w:color w:val="000000"/>
                <w:sz w:val="19"/>
                <w:szCs w:val="19"/>
                <w:lang w:val="en-CA" w:eastAsia="zh-CN"/>
              </w:rPr>
            </w:pPr>
            <w:r w:rsidRPr="00A43F68">
              <w:rPr>
                <w:rFonts w:ascii="Arial" w:eastAsia="SimSun" w:hAnsi="Arial" w:cs="Arial"/>
                <w:color w:val="000000"/>
                <w:sz w:val="19"/>
                <w:szCs w:val="19"/>
                <w:lang w:val="en-CA" w:eastAsia="zh-CN"/>
              </w:rPr>
              <w:t>Rookwood Road 1 and 2</w:t>
            </w:r>
          </w:p>
        </w:tc>
        <w:tc>
          <w:tcPr>
            <w:tcW w:w="1890" w:type="dxa"/>
            <w:tcBorders>
              <w:top w:val="nil"/>
              <w:left w:val="nil"/>
              <w:bottom w:val="single" w:sz="4" w:space="0" w:color="auto"/>
              <w:right w:val="single" w:sz="4" w:space="0" w:color="auto"/>
            </w:tcBorders>
            <w:shd w:val="clear" w:color="auto" w:fill="auto"/>
            <w:noWrap/>
            <w:vAlign w:val="bottom"/>
            <w:hideMark/>
          </w:tcPr>
          <w:p w14:paraId="03AE02B2" w14:textId="77777777" w:rsidR="003D30B2" w:rsidRPr="00A43F68" w:rsidRDefault="003D30B2" w:rsidP="003D30B2">
            <w:pPr>
              <w:jc w:val="center"/>
              <w:rPr>
                <w:rFonts w:ascii="Arial" w:eastAsia="SimSun" w:hAnsi="Arial" w:cs="Arial"/>
                <w:color w:val="000000"/>
                <w:sz w:val="19"/>
                <w:szCs w:val="19"/>
                <w:lang w:val="en-CA" w:eastAsia="zh-CN"/>
              </w:rPr>
            </w:pPr>
            <w:r w:rsidRPr="00A43F68">
              <w:rPr>
                <w:rFonts w:ascii="Arial" w:eastAsia="SimSun" w:hAnsi="Arial" w:cs="Arial"/>
                <w:color w:val="000000"/>
                <w:sz w:val="19"/>
                <w:szCs w:val="19"/>
                <w:lang w:val="en-CA" w:eastAsia="zh-CN"/>
              </w:rPr>
              <w:t>Tasmania</w:t>
            </w:r>
          </w:p>
        </w:tc>
        <w:tc>
          <w:tcPr>
            <w:tcW w:w="3780" w:type="dxa"/>
            <w:tcBorders>
              <w:top w:val="nil"/>
              <w:left w:val="nil"/>
              <w:bottom w:val="single" w:sz="4" w:space="0" w:color="auto"/>
              <w:right w:val="single" w:sz="4" w:space="0" w:color="auto"/>
            </w:tcBorders>
            <w:shd w:val="clear" w:color="auto" w:fill="auto"/>
            <w:noWrap/>
            <w:vAlign w:val="bottom"/>
            <w:hideMark/>
          </w:tcPr>
          <w:p w14:paraId="45AA06CF" w14:textId="77777777" w:rsidR="003D30B2" w:rsidRPr="00A43F68" w:rsidRDefault="003D30B2" w:rsidP="003D30B2">
            <w:pPr>
              <w:jc w:val="center"/>
              <w:rPr>
                <w:rFonts w:ascii="Arial" w:eastAsia="SimSun" w:hAnsi="Arial" w:cs="Arial"/>
                <w:color w:val="000000"/>
                <w:sz w:val="19"/>
                <w:szCs w:val="19"/>
                <w:lang w:val="en-CA" w:eastAsia="zh-CN"/>
              </w:rPr>
            </w:pPr>
            <w:r w:rsidRPr="00A43F68">
              <w:rPr>
                <w:rFonts w:ascii="Arial" w:eastAsia="SimSun" w:hAnsi="Arial" w:cs="Arial"/>
                <w:color w:val="000000"/>
                <w:sz w:val="19"/>
                <w:szCs w:val="19"/>
                <w:lang w:val="en-CA" w:eastAsia="zh-CN"/>
              </w:rPr>
              <w:t>Hatcheries</w:t>
            </w:r>
          </w:p>
        </w:tc>
      </w:tr>
      <w:tr w:rsidR="003D30B2" w:rsidRPr="00A43F68" w14:paraId="38712A8C" w14:textId="77777777" w:rsidTr="00EB600D">
        <w:trPr>
          <w:trHeight w:val="240"/>
          <w:jc w:val="center"/>
        </w:trPr>
        <w:tc>
          <w:tcPr>
            <w:tcW w:w="2445" w:type="dxa"/>
            <w:tcBorders>
              <w:top w:val="nil"/>
              <w:left w:val="single" w:sz="4" w:space="0" w:color="auto"/>
              <w:bottom w:val="single" w:sz="4" w:space="0" w:color="auto"/>
              <w:right w:val="single" w:sz="4" w:space="0" w:color="auto"/>
            </w:tcBorders>
            <w:shd w:val="clear" w:color="auto" w:fill="auto"/>
            <w:noWrap/>
            <w:vAlign w:val="bottom"/>
            <w:hideMark/>
          </w:tcPr>
          <w:p w14:paraId="2F94EF5A" w14:textId="77777777" w:rsidR="003D30B2" w:rsidRPr="00A43F68" w:rsidRDefault="003D30B2" w:rsidP="003D30B2">
            <w:pPr>
              <w:rPr>
                <w:rFonts w:ascii="Arial" w:eastAsia="SimSun" w:hAnsi="Arial" w:cs="Arial"/>
                <w:color w:val="000000"/>
                <w:sz w:val="19"/>
                <w:szCs w:val="19"/>
                <w:lang w:val="en-CA" w:eastAsia="zh-CN"/>
              </w:rPr>
            </w:pPr>
            <w:r w:rsidRPr="00A43F68">
              <w:rPr>
                <w:rFonts w:ascii="Arial" w:eastAsia="SimSun" w:hAnsi="Arial" w:cs="Arial"/>
                <w:color w:val="000000"/>
                <w:sz w:val="19"/>
                <w:szCs w:val="19"/>
                <w:lang w:val="en-CA" w:eastAsia="zh-CN"/>
              </w:rPr>
              <w:t>Triabunna</w:t>
            </w:r>
          </w:p>
        </w:tc>
        <w:tc>
          <w:tcPr>
            <w:tcW w:w="1890" w:type="dxa"/>
            <w:tcBorders>
              <w:top w:val="nil"/>
              <w:left w:val="nil"/>
              <w:bottom w:val="single" w:sz="4" w:space="0" w:color="auto"/>
              <w:right w:val="single" w:sz="4" w:space="0" w:color="auto"/>
            </w:tcBorders>
            <w:shd w:val="clear" w:color="auto" w:fill="auto"/>
            <w:noWrap/>
            <w:vAlign w:val="bottom"/>
            <w:hideMark/>
          </w:tcPr>
          <w:p w14:paraId="7FAF09FC" w14:textId="77777777" w:rsidR="003D30B2" w:rsidRPr="00A43F68" w:rsidRDefault="003D30B2" w:rsidP="003D30B2">
            <w:pPr>
              <w:jc w:val="center"/>
              <w:rPr>
                <w:rFonts w:ascii="Arial" w:eastAsia="SimSun" w:hAnsi="Arial" w:cs="Arial"/>
                <w:color w:val="000000"/>
                <w:sz w:val="19"/>
                <w:szCs w:val="19"/>
                <w:lang w:val="en-CA" w:eastAsia="zh-CN"/>
              </w:rPr>
            </w:pPr>
            <w:r w:rsidRPr="00A43F68">
              <w:rPr>
                <w:rFonts w:ascii="Arial" w:eastAsia="SimSun" w:hAnsi="Arial" w:cs="Arial"/>
                <w:color w:val="000000"/>
                <w:sz w:val="19"/>
                <w:szCs w:val="19"/>
                <w:lang w:val="en-CA" w:eastAsia="zh-CN"/>
              </w:rPr>
              <w:t>Tasmania</w:t>
            </w:r>
          </w:p>
        </w:tc>
        <w:tc>
          <w:tcPr>
            <w:tcW w:w="3780" w:type="dxa"/>
            <w:tcBorders>
              <w:top w:val="nil"/>
              <w:left w:val="nil"/>
              <w:bottom w:val="single" w:sz="4" w:space="0" w:color="auto"/>
              <w:right w:val="single" w:sz="4" w:space="0" w:color="auto"/>
            </w:tcBorders>
            <w:shd w:val="clear" w:color="auto" w:fill="auto"/>
            <w:noWrap/>
            <w:vAlign w:val="bottom"/>
            <w:hideMark/>
          </w:tcPr>
          <w:p w14:paraId="791F14E2" w14:textId="1707473A" w:rsidR="003D30B2" w:rsidRPr="00A43F68" w:rsidRDefault="00892FFB" w:rsidP="003D30B2">
            <w:pPr>
              <w:jc w:val="center"/>
              <w:rPr>
                <w:rFonts w:ascii="Arial" w:eastAsia="SimSun" w:hAnsi="Arial" w:cs="Arial"/>
                <w:color w:val="000000"/>
                <w:sz w:val="19"/>
                <w:szCs w:val="19"/>
                <w:lang w:val="en-CA" w:eastAsia="zh-CN"/>
              </w:rPr>
            </w:pPr>
            <w:r w:rsidRPr="00A43F68">
              <w:rPr>
                <w:rFonts w:ascii="Arial" w:eastAsia="SimSun" w:hAnsi="Arial" w:cs="Arial"/>
                <w:color w:val="000000"/>
                <w:sz w:val="19"/>
                <w:szCs w:val="19"/>
                <w:lang w:val="en-CA" w:eastAsia="zh-CN"/>
              </w:rPr>
              <w:t>Value added, by-products</w:t>
            </w:r>
          </w:p>
        </w:tc>
      </w:tr>
      <w:tr w:rsidR="003D30B2" w:rsidRPr="00A43F68" w14:paraId="56A78D2B" w14:textId="77777777" w:rsidTr="00EB600D">
        <w:trPr>
          <w:trHeight w:val="240"/>
          <w:jc w:val="center"/>
        </w:trPr>
        <w:tc>
          <w:tcPr>
            <w:tcW w:w="2445" w:type="dxa"/>
            <w:tcBorders>
              <w:top w:val="nil"/>
              <w:left w:val="single" w:sz="4" w:space="0" w:color="auto"/>
              <w:bottom w:val="single" w:sz="4" w:space="0" w:color="auto"/>
              <w:right w:val="single" w:sz="4" w:space="0" w:color="auto"/>
            </w:tcBorders>
            <w:shd w:val="clear" w:color="auto" w:fill="auto"/>
            <w:noWrap/>
            <w:vAlign w:val="bottom"/>
            <w:hideMark/>
          </w:tcPr>
          <w:p w14:paraId="687A0DDB" w14:textId="77777777" w:rsidR="003D30B2" w:rsidRPr="00A43F68" w:rsidRDefault="003D30B2" w:rsidP="003D30B2">
            <w:pPr>
              <w:rPr>
                <w:rFonts w:ascii="Arial" w:eastAsia="SimSun" w:hAnsi="Arial" w:cs="Arial"/>
                <w:color w:val="000000"/>
                <w:sz w:val="19"/>
                <w:szCs w:val="19"/>
                <w:lang w:val="en-CA" w:eastAsia="zh-CN"/>
              </w:rPr>
            </w:pPr>
            <w:r w:rsidRPr="00A43F68">
              <w:rPr>
                <w:rFonts w:ascii="Arial" w:eastAsia="SimSun" w:hAnsi="Arial" w:cs="Arial"/>
                <w:color w:val="000000"/>
                <w:sz w:val="19"/>
                <w:szCs w:val="19"/>
                <w:lang w:val="en-CA" w:eastAsia="zh-CN"/>
              </w:rPr>
              <w:t>Sydney</w:t>
            </w:r>
          </w:p>
        </w:tc>
        <w:tc>
          <w:tcPr>
            <w:tcW w:w="1890" w:type="dxa"/>
            <w:tcBorders>
              <w:top w:val="nil"/>
              <w:left w:val="nil"/>
              <w:bottom w:val="single" w:sz="4" w:space="0" w:color="auto"/>
              <w:right w:val="single" w:sz="4" w:space="0" w:color="auto"/>
            </w:tcBorders>
            <w:shd w:val="clear" w:color="auto" w:fill="auto"/>
            <w:noWrap/>
            <w:vAlign w:val="bottom"/>
            <w:hideMark/>
          </w:tcPr>
          <w:p w14:paraId="2D7271F6" w14:textId="77777777" w:rsidR="003D30B2" w:rsidRPr="00A43F68" w:rsidRDefault="003D30B2" w:rsidP="003D30B2">
            <w:pPr>
              <w:jc w:val="center"/>
              <w:rPr>
                <w:rFonts w:ascii="Arial" w:eastAsia="SimSun" w:hAnsi="Arial" w:cs="Arial"/>
                <w:color w:val="000000"/>
                <w:sz w:val="19"/>
                <w:szCs w:val="19"/>
                <w:lang w:val="en-CA" w:eastAsia="zh-CN"/>
              </w:rPr>
            </w:pPr>
            <w:r w:rsidRPr="00A43F68">
              <w:rPr>
                <w:rFonts w:ascii="Arial" w:eastAsia="SimSun" w:hAnsi="Arial" w:cs="Arial"/>
                <w:color w:val="000000"/>
                <w:sz w:val="19"/>
                <w:szCs w:val="19"/>
                <w:lang w:val="en-CA" w:eastAsia="zh-CN"/>
              </w:rPr>
              <w:t>New South Wales</w:t>
            </w:r>
          </w:p>
        </w:tc>
        <w:tc>
          <w:tcPr>
            <w:tcW w:w="3780" w:type="dxa"/>
            <w:tcBorders>
              <w:top w:val="nil"/>
              <w:left w:val="nil"/>
              <w:bottom w:val="single" w:sz="4" w:space="0" w:color="auto"/>
              <w:right w:val="single" w:sz="4" w:space="0" w:color="auto"/>
            </w:tcBorders>
            <w:shd w:val="clear" w:color="auto" w:fill="auto"/>
            <w:noWrap/>
            <w:vAlign w:val="bottom"/>
            <w:hideMark/>
          </w:tcPr>
          <w:p w14:paraId="1A8AB752" w14:textId="0F1CBA4A" w:rsidR="003D30B2" w:rsidRPr="00A43F68" w:rsidRDefault="003D30B2" w:rsidP="003D30B2">
            <w:pPr>
              <w:jc w:val="center"/>
              <w:rPr>
                <w:rFonts w:ascii="Arial" w:eastAsia="SimSun" w:hAnsi="Arial" w:cs="Arial"/>
                <w:color w:val="000000"/>
                <w:sz w:val="19"/>
                <w:szCs w:val="19"/>
                <w:lang w:val="en-CA" w:eastAsia="zh-CN"/>
              </w:rPr>
            </w:pPr>
            <w:r w:rsidRPr="00A43F68">
              <w:rPr>
                <w:rFonts w:ascii="Arial" w:eastAsia="SimSun" w:hAnsi="Arial" w:cs="Arial"/>
                <w:color w:val="000000"/>
                <w:sz w:val="19"/>
                <w:szCs w:val="19"/>
                <w:lang w:val="en-CA" w:eastAsia="zh-CN"/>
              </w:rPr>
              <w:t xml:space="preserve">Processing and </w:t>
            </w:r>
            <w:r w:rsidR="00892FFB" w:rsidRPr="00A43F68">
              <w:rPr>
                <w:rFonts w:ascii="Arial" w:eastAsia="SimSun" w:hAnsi="Arial" w:cs="Arial"/>
                <w:color w:val="000000"/>
                <w:sz w:val="19"/>
                <w:szCs w:val="19"/>
                <w:lang w:val="en-CA" w:eastAsia="zh-CN"/>
              </w:rPr>
              <w:t>sales</w:t>
            </w:r>
          </w:p>
        </w:tc>
      </w:tr>
      <w:tr w:rsidR="003D30B2" w:rsidRPr="00A43F68" w14:paraId="043B922B" w14:textId="77777777" w:rsidTr="00EB600D">
        <w:trPr>
          <w:trHeight w:val="240"/>
          <w:jc w:val="center"/>
        </w:trPr>
        <w:tc>
          <w:tcPr>
            <w:tcW w:w="2445" w:type="dxa"/>
            <w:tcBorders>
              <w:top w:val="nil"/>
              <w:left w:val="single" w:sz="4" w:space="0" w:color="auto"/>
              <w:bottom w:val="single" w:sz="4" w:space="0" w:color="auto"/>
              <w:right w:val="single" w:sz="4" w:space="0" w:color="auto"/>
            </w:tcBorders>
            <w:shd w:val="clear" w:color="auto" w:fill="auto"/>
            <w:noWrap/>
            <w:vAlign w:val="bottom"/>
            <w:hideMark/>
          </w:tcPr>
          <w:p w14:paraId="74DF964A" w14:textId="77777777" w:rsidR="003D30B2" w:rsidRPr="00A43F68" w:rsidRDefault="003D30B2" w:rsidP="003D30B2">
            <w:pPr>
              <w:rPr>
                <w:rFonts w:ascii="Arial" w:eastAsia="SimSun" w:hAnsi="Arial" w:cs="Arial"/>
                <w:color w:val="000000"/>
                <w:sz w:val="19"/>
                <w:szCs w:val="19"/>
                <w:lang w:val="en-CA" w:eastAsia="zh-CN"/>
              </w:rPr>
            </w:pPr>
            <w:r w:rsidRPr="00A43F68">
              <w:rPr>
                <w:rFonts w:ascii="Arial" w:eastAsia="SimSun" w:hAnsi="Arial" w:cs="Arial"/>
                <w:color w:val="000000"/>
                <w:sz w:val="19"/>
                <w:szCs w:val="19"/>
                <w:lang w:val="en-CA" w:eastAsia="zh-CN"/>
              </w:rPr>
              <w:t>Melbourne</w:t>
            </w:r>
          </w:p>
        </w:tc>
        <w:tc>
          <w:tcPr>
            <w:tcW w:w="1890" w:type="dxa"/>
            <w:tcBorders>
              <w:top w:val="nil"/>
              <w:left w:val="nil"/>
              <w:bottom w:val="single" w:sz="4" w:space="0" w:color="auto"/>
              <w:right w:val="single" w:sz="4" w:space="0" w:color="auto"/>
            </w:tcBorders>
            <w:shd w:val="clear" w:color="auto" w:fill="auto"/>
            <w:noWrap/>
            <w:vAlign w:val="bottom"/>
            <w:hideMark/>
          </w:tcPr>
          <w:p w14:paraId="409595C2" w14:textId="77777777" w:rsidR="003D30B2" w:rsidRPr="00A43F68" w:rsidRDefault="003D30B2" w:rsidP="003D30B2">
            <w:pPr>
              <w:jc w:val="center"/>
              <w:rPr>
                <w:rFonts w:ascii="Arial" w:eastAsia="SimSun" w:hAnsi="Arial" w:cs="Arial"/>
                <w:color w:val="000000"/>
                <w:sz w:val="19"/>
                <w:szCs w:val="19"/>
                <w:lang w:val="en-CA" w:eastAsia="zh-CN"/>
              </w:rPr>
            </w:pPr>
            <w:r w:rsidRPr="00A43F68">
              <w:rPr>
                <w:rFonts w:ascii="Arial" w:eastAsia="SimSun" w:hAnsi="Arial" w:cs="Arial"/>
                <w:color w:val="000000"/>
                <w:sz w:val="19"/>
                <w:szCs w:val="19"/>
                <w:lang w:val="en-CA" w:eastAsia="zh-CN"/>
              </w:rPr>
              <w:t>Victoria</w:t>
            </w:r>
          </w:p>
        </w:tc>
        <w:tc>
          <w:tcPr>
            <w:tcW w:w="3780" w:type="dxa"/>
            <w:tcBorders>
              <w:top w:val="nil"/>
              <w:left w:val="nil"/>
              <w:bottom w:val="single" w:sz="4" w:space="0" w:color="auto"/>
              <w:right w:val="single" w:sz="4" w:space="0" w:color="auto"/>
            </w:tcBorders>
            <w:shd w:val="clear" w:color="auto" w:fill="auto"/>
            <w:noWrap/>
            <w:vAlign w:val="bottom"/>
            <w:hideMark/>
          </w:tcPr>
          <w:p w14:paraId="459F1D80" w14:textId="5C235E4E" w:rsidR="003D30B2" w:rsidRPr="00A43F68" w:rsidRDefault="003D30B2" w:rsidP="003D30B2">
            <w:pPr>
              <w:jc w:val="center"/>
              <w:rPr>
                <w:rFonts w:ascii="Arial" w:eastAsia="SimSun" w:hAnsi="Arial" w:cs="Arial"/>
                <w:color w:val="000000"/>
                <w:sz w:val="19"/>
                <w:szCs w:val="19"/>
                <w:lang w:val="en-CA" w:eastAsia="zh-CN"/>
              </w:rPr>
            </w:pPr>
            <w:r w:rsidRPr="00A43F68">
              <w:rPr>
                <w:rFonts w:ascii="Arial" w:eastAsia="SimSun" w:hAnsi="Arial" w:cs="Arial"/>
                <w:color w:val="000000"/>
                <w:sz w:val="19"/>
                <w:szCs w:val="19"/>
                <w:lang w:val="en-CA" w:eastAsia="zh-CN"/>
              </w:rPr>
              <w:t xml:space="preserve">Sales and </w:t>
            </w:r>
            <w:r w:rsidR="00892FFB" w:rsidRPr="00A43F68">
              <w:rPr>
                <w:rFonts w:ascii="Arial" w:eastAsia="SimSun" w:hAnsi="Arial" w:cs="Arial"/>
                <w:color w:val="000000"/>
                <w:sz w:val="19"/>
                <w:szCs w:val="19"/>
                <w:lang w:val="en-CA" w:eastAsia="zh-CN"/>
              </w:rPr>
              <w:t>marketing</w:t>
            </w:r>
          </w:p>
        </w:tc>
      </w:tr>
    </w:tbl>
    <w:p w14:paraId="7C6326DA" w14:textId="77777777" w:rsidR="003D30B2" w:rsidRPr="00A43F68" w:rsidRDefault="003D30B2" w:rsidP="003D30B2">
      <w:pPr>
        <w:jc w:val="both"/>
        <w:rPr>
          <w:rFonts w:ascii="Arial" w:hAnsi="Arial" w:cs="Arial"/>
          <w:kern w:val="2"/>
          <w:lang w:val="en-CA"/>
        </w:rPr>
      </w:pPr>
    </w:p>
    <w:p w14:paraId="02D671FC" w14:textId="77777777" w:rsidR="003D30B2" w:rsidRPr="00A43F68" w:rsidRDefault="003D30B2" w:rsidP="003D30B2">
      <w:pPr>
        <w:jc w:val="both"/>
        <w:rPr>
          <w:rFonts w:ascii="Arial" w:hAnsi="Arial" w:cs="Arial"/>
          <w:kern w:val="2"/>
          <w:sz w:val="17"/>
          <w:szCs w:val="17"/>
          <w:lang w:val="en-CA"/>
        </w:rPr>
      </w:pPr>
      <w:r w:rsidRPr="00A43F68">
        <w:rPr>
          <w:rFonts w:ascii="Arial" w:hAnsi="Arial" w:cs="Arial"/>
          <w:kern w:val="2"/>
          <w:sz w:val="17"/>
          <w:szCs w:val="17"/>
          <w:lang w:val="en-CA"/>
        </w:rPr>
        <w:t>Source: Created by the case authors based on Tassal Group Limited, “Our Operations,” accessed October 26, 2018, https://tassalgroup.com.au/our-planet/our-operations/.</w:t>
      </w:r>
    </w:p>
    <w:p w14:paraId="77DF7C87" w14:textId="77777777" w:rsidR="003D30B2" w:rsidRPr="00A43F68" w:rsidRDefault="003D30B2" w:rsidP="003D30B2">
      <w:pPr>
        <w:rPr>
          <w:rFonts w:ascii="Arial" w:hAnsi="Arial" w:cs="Arial"/>
          <w:kern w:val="2"/>
          <w:sz w:val="17"/>
          <w:szCs w:val="17"/>
          <w:lang w:val="en-CA"/>
        </w:rPr>
      </w:pPr>
    </w:p>
    <w:p w14:paraId="53B938C9" w14:textId="77777777" w:rsidR="003D30B2" w:rsidRPr="00A43F68" w:rsidRDefault="003D30B2" w:rsidP="003D30B2">
      <w:pPr>
        <w:rPr>
          <w:rFonts w:ascii="Arial" w:hAnsi="Arial" w:cs="Arial"/>
          <w:kern w:val="2"/>
          <w:sz w:val="17"/>
          <w:szCs w:val="17"/>
          <w:lang w:val="en-CA"/>
        </w:rPr>
      </w:pPr>
    </w:p>
    <w:p w14:paraId="76DD12A4" w14:textId="3D039411" w:rsidR="003D30B2" w:rsidRPr="00A43F68" w:rsidRDefault="003D30B2" w:rsidP="003D30B2">
      <w:pPr>
        <w:jc w:val="center"/>
        <w:outlineLvl w:val="0"/>
        <w:rPr>
          <w:rFonts w:ascii="Arial" w:hAnsi="Arial" w:cs="Arial"/>
          <w:b/>
          <w:caps/>
          <w:kern w:val="2"/>
          <w:lang w:val="en-CA"/>
        </w:rPr>
      </w:pPr>
      <w:r w:rsidRPr="00A43F68">
        <w:rPr>
          <w:rFonts w:ascii="Arial" w:hAnsi="Arial" w:cs="Arial"/>
          <w:b/>
          <w:caps/>
          <w:kern w:val="2"/>
          <w:lang w:val="en-CA"/>
        </w:rPr>
        <w:t xml:space="preserve">Exhibit </w:t>
      </w:r>
      <w:r w:rsidR="00DE3D2F" w:rsidRPr="00A43F68">
        <w:rPr>
          <w:rFonts w:ascii="Arial" w:hAnsi="Arial" w:cs="Arial"/>
          <w:b/>
          <w:caps/>
          <w:kern w:val="2"/>
          <w:lang w:val="en-CA"/>
        </w:rPr>
        <w:t>2</w:t>
      </w:r>
      <w:r w:rsidRPr="00A43F68">
        <w:rPr>
          <w:rFonts w:ascii="Arial" w:hAnsi="Arial" w:cs="Arial"/>
          <w:b/>
          <w:caps/>
          <w:kern w:val="2"/>
          <w:lang w:val="en-CA"/>
        </w:rPr>
        <w:t>: DE COSTI SEAFOOD’S INCOME STATEMENT (IN million A$)</w:t>
      </w:r>
    </w:p>
    <w:p w14:paraId="1A211A7C" w14:textId="77777777" w:rsidR="003D30B2" w:rsidRPr="00A43F68" w:rsidRDefault="003D30B2" w:rsidP="003D30B2">
      <w:pPr>
        <w:jc w:val="both"/>
        <w:rPr>
          <w:rFonts w:ascii="Arial" w:eastAsiaTheme="minorEastAsia" w:hAnsi="Arial" w:cs="Arial"/>
          <w:kern w:val="2"/>
          <w:lang w:val="en-CA" w:eastAsia="zh-CN"/>
        </w:rPr>
      </w:pPr>
    </w:p>
    <w:tbl>
      <w:tblPr>
        <w:tblW w:w="8925" w:type="dxa"/>
        <w:jc w:val="center"/>
        <w:tblLook w:val="04A0" w:firstRow="1" w:lastRow="0" w:firstColumn="1" w:lastColumn="0" w:noHBand="0" w:noVBand="1"/>
      </w:tblPr>
      <w:tblGrid>
        <w:gridCol w:w="1545"/>
        <w:gridCol w:w="939"/>
        <w:gridCol w:w="939"/>
        <w:gridCol w:w="939"/>
        <w:gridCol w:w="939"/>
        <w:gridCol w:w="939"/>
        <w:gridCol w:w="939"/>
        <w:gridCol w:w="939"/>
        <w:gridCol w:w="807"/>
      </w:tblGrid>
      <w:tr w:rsidR="00EB600D" w:rsidRPr="00A43F68" w14:paraId="00838871" w14:textId="77777777" w:rsidTr="00EB600D">
        <w:trPr>
          <w:trHeight w:val="240"/>
          <w:jc w:val="center"/>
        </w:trPr>
        <w:tc>
          <w:tcPr>
            <w:tcW w:w="1545" w:type="dxa"/>
            <w:tcBorders>
              <w:top w:val="nil"/>
              <w:left w:val="nil"/>
              <w:bottom w:val="nil"/>
              <w:right w:val="nil"/>
            </w:tcBorders>
            <w:shd w:val="clear" w:color="auto" w:fill="auto"/>
            <w:noWrap/>
            <w:vAlign w:val="bottom"/>
            <w:hideMark/>
          </w:tcPr>
          <w:p w14:paraId="0301D919" w14:textId="77777777" w:rsidR="003D30B2" w:rsidRPr="00A43F68" w:rsidRDefault="003D30B2" w:rsidP="003D30B2">
            <w:pPr>
              <w:rPr>
                <w:rFonts w:ascii="Arial" w:eastAsia="SimSun" w:hAnsi="Arial" w:cs="Arial"/>
                <w:color w:val="000000"/>
                <w:sz w:val="19"/>
                <w:szCs w:val="19"/>
                <w:lang w:val="en-CA" w:eastAsia="zh-CN"/>
              </w:rPr>
            </w:pPr>
          </w:p>
        </w:tc>
        <w:tc>
          <w:tcPr>
            <w:tcW w:w="93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8F24395" w14:textId="77777777" w:rsidR="003D30B2" w:rsidRPr="00A43F68" w:rsidRDefault="003D30B2" w:rsidP="003D30B2">
            <w:pPr>
              <w:jc w:val="center"/>
              <w:rPr>
                <w:rFonts w:ascii="Arial" w:eastAsia="SimSun" w:hAnsi="Arial" w:cs="Arial"/>
                <w:b/>
                <w:bCs/>
                <w:color w:val="000000"/>
                <w:sz w:val="19"/>
                <w:szCs w:val="19"/>
                <w:lang w:val="en-CA" w:eastAsia="zh-CN"/>
              </w:rPr>
            </w:pPr>
            <w:r w:rsidRPr="00A43F68">
              <w:rPr>
                <w:rFonts w:ascii="Arial" w:eastAsia="SimSun" w:hAnsi="Arial" w:cs="Arial"/>
                <w:b/>
                <w:bCs/>
                <w:color w:val="000000"/>
                <w:sz w:val="19"/>
                <w:szCs w:val="19"/>
                <w:lang w:val="en-CA" w:eastAsia="zh-CN"/>
              </w:rPr>
              <w:t>2013</w:t>
            </w:r>
          </w:p>
        </w:tc>
        <w:tc>
          <w:tcPr>
            <w:tcW w:w="939" w:type="dxa"/>
            <w:tcBorders>
              <w:top w:val="single" w:sz="4" w:space="0" w:color="auto"/>
              <w:left w:val="nil"/>
              <w:bottom w:val="single" w:sz="4" w:space="0" w:color="auto"/>
              <w:right w:val="single" w:sz="4" w:space="0" w:color="auto"/>
            </w:tcBorders>
            <w:shd w:val="clear" w:color="auto" w:fill="auto"/>
            <w:noWrap/>
            <w:vAlign w:val="bottom"/>
            <w:hideMark/>
          </w:tcPr>
          <w:p w14:paraId="0117B17B" w14:textId="77777777" w:rsidR="003D30B2" w:rsidRPr="00A43F68" w:rsidRDefault="003D30B2" w:rsidP="003D30B2">
            <w:pPr>
              <w:jc w:val="center"/>
              <w:rPr>
                <w:rFonts w:ascii="Arial" w:eastAsia="SimSun" w:hAnsi="Arial" w:cs="Arial"/>
                <w:b/>
                <w:bCs/>
                <w:color w:val="000000"/>
                <w:sz w:val="19"/>
                <w:szCs w:val="19"/>
                <w:lang w:val="en-CA" w:eastAsia="zh-CN"/>
              </w:rPr>
            </w:pPr>
            <w:r w:rsidRPr="00A43F68">
              <w:rPr>
                <w:rFonts w:ascii="Arial" w:eastAsia="SimSun" w:hAnsi="Arial" w:cs="Arial"/>
                <w:b/>
                <w:bCs/>
                <w:color w:val="000000"/>
                <w:sz w:val="19"/>
                <w:szCs w:val="19"/>
                <w:lang w:val="en-CA" w:eastAsia="zh-CN"/>
              </w:rPr>
              <w:t>2014</w:t>
            </w:r>
          </w:p>
        </w:tc>
        <w:tc>
          <w:tcPr>
            <w:tcW w:w="939" w:type="dxa"/>
            <w:tcBorders>
              <w:top w:val="single" w:sz="4" w:space="0" w:color="auto"/>
              <w:left w:val="nil"/>
              <w:bottom w:val="single" w:sz="4" w:space="0" w:color="auto"/>
              <w:right w:val="single" w:sz="4" w:space="0" w:color="auto"/>
            </w:tcBorders>
            <w:shd w:val="clear" w:color="auto" w:fill="auto"/>
            <w:noWrap/>
            <w:vAlign w:val="bottom"/>
            <w:hideMark/>
          </w:tcPr>
          <w:p w14:paraId="050079F4" w14:textId="77777777" w:rsidR="003D30B2" w:rsidRPr="00A43F68" w:rsidRDefault="003D30B2" w:rsidP="003D30B2">
            <w:pPr>
              <w:jc w:val="center"/>
              <w:rPr>
                <w:rFonts w:ascii="Arial" w:eastAsia="SimSun" w:hAnsi="Arial" w:cs="Arial"/>
                <w:b/>
                <w:bCs/>
                <w:color w:val="000000"/>
                <w:sz w:val="19"/>
                <w:szCs w:val="19"/>
                <w:lang w:val="en-CA" w:eastAsia="zh-CN"/>
              </w:rPr>
            </w:pPr>
            <w:r w:rsidRPr="00A43F68">
              <w:rPr>
                <w:rFonts w:ascii="Arial" w:eastAsia="SimSun" w:hAnsi="Arial" w:cs="Arial"/>
                <w:b/>
                <w:bCs/>
                <w:color w:val="000000"/>
                <w:sz w:val="19"/>
                <w:szCs w:val="19"/>
                <w:lang w:val="en-CA" w:eastAsia="zh-CN"/>
              </w:rPr>
              <w:t>2015E</w:t>
            </w:r>
          </w:p>
        </w:tc>
        <w:tc>
          <w:tcPr>
            <w:tcW w:w="939" w:type="dxa"/>
            <w:tcBorders>
              <w:top w:val="single" w:sz="4" w:space="0" w:color="auto"/>
              <w:left w:val="nil"/>
              <w:bottom w:val="single" w:sz="4" w:space="0" w:color="auto"/>
              <w:right w:val="single" w:sz="4" w:space="0" w:color="auto"/>
            </w:tcBorders>
            <w:shd w:val="clear" w:color="auto" w:fill="auto"/>
            <w:noWrap/>
            <w:vAlign w:val="bottom"/>
            <w:hideMark/>
          </w:tcPr>
          <w:p w14:paraId="7E5336F1" w14:textId="77777777" w:rsidR="003D30B2" w:rsidRPr="00A43F68" w:rsidRDefault="003D30B2" w:rsidP="003D30B2">
            <w:pPr>
              <w:jc w:val="center"/>
              <w:rPr>
                <w:rFonts w:ascii="Arial" w:eastAsia="SimSun" w:hAnsi="Arial" w:cs="Arial"/>
                <w:b/>
                <w:bCs/>
                <w:color w:val="000000"/>
                <w:sz w:val="19"/>
                <w:szCs w:val="19"/>
                <w:lang w:val="en-CA" w:eastAsia="zh-CN"/>
              </w:rPr>
            </w:pPr>
            <w:r w:rsidRPr="00A43F68">
              <w:rPr>
                <w:rFonts w:ascii="Arial" w:eastAsia="SimSun" w:hAnsi="Arial" w:cs="Arial"/>
                <w:b/>
                <w:bCs/>
                <w:color w:val="000000"/>
                <w:sz w:val="19"/>
                <w:szCs w:val="19"/>
                <w:lang w:val="en-CA" w:eastAsia="zh-CN"/>
              </w:rPr>
              <w:t>2016E</w:t>
            </w:r>
          </w:p>
        </w:tc>
        <w:tc>
          <w:tcPr>
            <w:tcW w:w="939" w:type="dxa"/>
            <w:tcBorders>
              <w:top w:val="single" w:sz="4" w:space="0" w:color="auto"/>
              <w:left w:val="nil"/>
              <w:bottom w:val="single" w:sz="4" w:space="0" w:color="auto"/>
              <w:right w:val="single" w:sz="4" w:space="0" w:color="auto"/>
            </w:tcBorders>
            <w:shd w:val="clear" w:color="auto" w:fill="auto"/>
            <w:noWrap/>
            <w:vAlign w:val="bottom"/>
            <w:hideMark/>
          </w:tcPr>
          <w:p w14:paraId="596FB4D1" w14:textId="77777777" w:rsidR="003D30B2" w:rsidRPr="00A43F68" w:rsidRDefault="003D30B2" w:rsidP="003D30B2">
            <w:pPr>
              <w:jc w:val="center"/>
              <w:rPr>
                <w:rFonts w:ascii="Arial" w:eastAsia="SimSun" w:hAnsi="Arial" w:cs="Arial"/>
                <w:b/>
                <w:bCs/>
                <w:color w:val="000000"/>
                <w:sz w:val="19"/>
                <w:szCs w:val="19"/>
                <w:lang w:val="en-CA" w:eastAsia="zh-CN"/>
              </w:rPr>
            </w:pPr>
            <w:r w:rsidRPr="00A43F68">
              <w:rPr>
                <w:rFonts w:ascii="Arial" w:eastAsia="SimSun" w:hAnsi="Arial" w:cs="Arial"/>
                <w:b/>
                <w:bCs/>
                <w:color w:val="000000"/>
                <w:sz w:val="19"/>
                <w:szCs w:val="19"/>
                <w:lang w:val="en-CA" w:eastAsia="zh-CN"/>
              </w:rPr>
              <w:t>2017E</w:t>
            </w:r>
          </w:p>
        </w:tc>
        <w:tc>
          <w:tcPr>
            <w:tcW w:w="939" w:type="dxa"/>
            <w:tcBorders>
              <w:top w:val="single" w:sz="4" w:space="0" w:color="auto"/>
              <w:left w:val="nil"/>
              <w:bottom w:val="single" w:sz="4" w:space="0" w:color="auto"/>
              <w:right w:val="single" w:sz="4" w:space="0" w:color="auto"/>
            </w:tcBorders>
            <w:shd w:val="clear" w:color="auto" w:fill="auto"/>
            <w:noWrap/>
            <w:vAlign w:val="bottom"/>
            <w:hideMark/>
          </w:tcPr>
          <w:p w14:paraId="2D789ADB" w14:textId="77777777" w:rsidR="003D30B2" w:rsidRPr="00A43F68" w:rsidRDefault="003D30B2" w:rsidP="003D30B2">
            <w:pPr>
              <w:jc w:val="center"/>
              <w:rPr>
                <w:rFonts w:ascii="Arial" w:eastAsia="SimSun" w:hAnsi="Arial" w:cs="Arial"/>
                <w:b/>
                <w:bCs/>
                <w:color w:val="000000"/>
                <w:sz w:val="19"/>
                <w:szCs w:val="19"/>
                <w:lang w:val="en-CA" w:eastAsia="zh-CN"/>
              </w:rPr>
            </w:pPr>
            <w:r w:rsidRPr="00A43F68">
              <w:rPr>
                <w:rFonts w:ascii="Arial" w:eastAsia="SimSun" w:hAnsi="Arial" w:cs="Arial"/>
                <w:b/>
                <w:bCs/>
                <w:color w:val="000000"/>
                <w:sz w:val="19"/>
                <w:szCs w:val="19"/>
                <w:lang w:val="en-CA" w:eastAsia="zh-CN"/>
              </w:rPr>
              <w:t>2018E</w:t>
            </w:r>
          </w:p>
        </w:tc>
        <w:tc>
          <w:tcPr>
            <w:tcW w:w="939" w:type="dxa"/>
            <w:tcBorders>
              <w:top w:val="single" w:sz="4" w:space="0" w:color="auto"/>
              <w:left w:val="nil"/>
              <w:bottom w:val="single" w:sz="4" w:space="0" w:color="auto"/>
              <w:right w:val="single" w:sz="4" w:space="0" w:color="auto"/>
            </w:tcBorders>
            <w:shd w:val="clear" w:color="auto" w:fill="auto"/>
            <w:noWrap/>
            <w:vAlign w:val="bottom"/>
            <w:hideMark/>
          </w:tcPr>
          <w:p w14:paraId="06D990BD" w14:textId="77777777" w:rsidR="003D30B2" w:rsidRPr="00A43F68" w:rsidRDefault="003D30B2" w:rsidP="003D30B2">
            <w:pPr>
              <w:jc w:val="center"/>
              <w:rPr>
                <w:rFonts w:ascii="Arial" w:eastAsia="SimSun" w:hAnsi="Arial" w:cs="Arial"/>
                <w:b/>
                <w:bCs/>
                <w:color w:val="000000"/>
                <w:sz w:val="19"/>
                <w:szCs w:val="19"/>
                <w:lang w:val="en-CA" w:eastAsia="zh-CN"/>
              </w:rPr>
            </w:pPr>
            <w:r w:rsidRPr="00A43F68">
              <w:rPr>
                <w:rFonts w:ascii="Arial" w:eastAsia="SimSun" w:hAnsi="Arial" w:cs="Arial"/>
                <w:b/>
                <w:bCs/>
                <w:color w:val="000000"/>
                <w:sz w:val="19"/>
                <w:szCs w:val="19"/>
                <w:lang w:val="en-CA" w:eastAsia="zh-CN"/>
              </w:rPr>
              <w:t>2019E</w:t>
            </w:r>
          </w:p>
        </w:tc>
        <w:tc>
          <w:tcPr>
            <w:tcW w:w="807" w:type="dxa"/>
            <w:tcBorders>
              <w:top w:val="single" w:sz="4" w:space="0" w:color="auto"/>
              <w:left w:val="nil"/>
              <w:bottom w:val="single" w:sz="4" w:space="0" w:color="auto"/>
              <w:right w:val="single" w:sz="4" w:space="0" w:color="auto"/>
            </w:tcBorders>
            <w:shd w:val="clear" w:color="auto" w:fill="auto"/>
            <w:noWrap/>
            <w:vAlign w:val="bottom"/>
            <w:hideMark/>
          </w:tcPr>
          <w:p w14:paraId="63925995" w14:textId="77777777" w:rsidR="003D30B2" w:rsidRPr="00A43F68" w:rsidRDefault="003D30B2" w:rsidP="003D30B2">
            <w:pPr>
              <w:jc w:val="center"/>
              <w:rPr>
                <w:rFonts w:ascii="Arial" w:eastAsia="SimSun" w:hAnsi="Arial" w:cs="Arial"/>
                <w:b/>
                <w:bCs/>
                <w:color w:val="000000"/>
                <w:sz w:val="19"/>
                <w:szCs w:val="19"/>
                <w:lang w:val="en-CA" w:eastAsia="zh-CN"/>
              </w:rPr>
            </w:pPr>
            <w:r w:rsidRPr="00A43F68">
              <w:rPr>
                <w:rFonts w:ascii="Arial" w:eastAsia="SimSun" w:hAnsi="Arial" w:cs="Arial"/>
                <w:b/>
                <w:bCs/>
                <w:color w:val="000000"/>
                <w:sz w:val="19"/>
                <w:szCs w:val="19"/>
                <w:lang w:val="en-CA" w:eastAsia="zh-CN"/>
              </w:rPr>
              <w:t>2020E</w:t>
            </w:r>
          </w:p>
        </w:tc>
      </w:tr>
      <w:tr w:rsidR="00EB600D" w:rsidRPr="00A43F68" w14:paraId="00747585" w14:textId="77777777" w:rsidTr="00EB600D">
        <w:trPr>
          <w:trHeight w:val="240"/>
          <w:jc w:val="center"/>
        </w:trPr>
        <w:tc>
          <w:tcPr>
            <w:tcW w:w="154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1160C53" w14:textId="573C3A3D" w:rsidR="003D30B2" w:rsidRPr="00A43F68" w:rsidRDefault="003D30B2" w:rsidP="003D30B2">
            <w:pPr>
              <w:rPr>
                <w:rFonts w:ascii="Arial" w:eastAsia="SimSun" w:hAnsi="Arial" w:cs="Arial"/>
                <w:b/>
                <w:bCs/>
                <w:color w:val="000000"/>
                <w:sz w:val="19"/>
                <w:szCs w:val="19"/>
                <w:lang w:val="en-CA" w:eastAsia="zh-CN"/>
              </w:rPr>
            </w:pPr>
            <w:r w:rsidRPr="00A43F68">
              <w:rPr>
                <w:rFonts w:ascii="Arial" w:eastAsia="SimSun" w:hAnsi="Arial" w:cs="Arial"/>
                <w:b/>
                <w:bCs/>
                <w:color w:val="000000"/>
                <w:sz w:val="19"/>
                <w:szCs w:val="19"/>
                <w:lang w:val="en-CA" w:eastAsia="zh-CN"/>
              </w:rPr>
              <w:t xml:space="preserve">Total </w:t>
            </w:r>
            <w:r w:rsidR="008A2D8B" w:rsidRPr="00A43F68">
              <w:rPr>
                <w:rFonts w:ascii="Arial" w:eastAsia="SimSun" w:hAnsi="Arial" w:cs="Arial"/>
                <w:b/>
                <w:bCs/>
                <w:color w:val="000000"/>
                <w:sz w:val="19"/>
                <w:szCs w:val="19"/>
                <w:lang w:val="en-CA" w:eastAsia="zh-CN"/>
              </w:rPr>
              <w:t>r</w:t>
            </w:r>
            <w:r w:rsidRPr="00A43F68">
              <w:rPr>
                <w:rFonts w:ascii="Arial" w:eastAsia="SimSun" w:hAnsi="Arial" w:cs="Arial"/>
                <w:b/>
                <w:bCs/>
                <w:color w:val="000000"/>
                <w:sz w:val="19"/>
                <w:szCs w:val="19"/>
                <w:lang w:val="en-CA" w:eastAsia="zh-CN"/>
              </w:rPr>
              <w:t>evenue</w:t>
            </w:r>
          </w:p>
        </w:tc>
        <w:tc>
          <w:tcPr>
            <w:tcW w:w="939" w:type="dxa"/>
            <w:tcBorders>
              <w:top w:val="nil"/>
              <w:left w:val="nil"/>
              <w:bottom w:val="single" w:sz="4" w:space="0" w:color="auto"/>
              <w:right w:val="single" w:sz="4" w:space="0" w:color="auto"/>
            </w:tcBorders>
            <w:shd w:val="clear" w:color="auto" w:fill="auto"/>
            <w:noWrap/>
            <w:vAlign w:val="bottom"/>
            <w:hideMark/>
          </w:tcPr>
          <w:p w14:paraId="55E3AB9C" w14:textId="67DACAA3" w:rsidR="003D30B2" w:rsidRPr="00A43F68" w:rsidRDefault="003D30B2" w:rsidP="003D30B2">
            <w:pPr>
              <w:jc w:val="right"/>
              <w:rPr>
                <w:rFonts w:ascii="Arial" w:eastAsia="SimSun" w:hAnsi="Arial" w:cs="Arial"/>
                <w:color w:val="000000"/>
                <w:sz w:val="19"/>
                <w:szCs w:val="19"/>
                <w:lang w:val="en-CA" w:eastAsia="zh-CN"/>
              </w:rPr>
            </w:pPr>
            <w:r w:rsidRPr="00A43F68">
              <w:rPr>
                <w:rFonts w:ascii="Arial" w:eastAsia="SimSun" w:hAnsi="Arial" w:cs="Arial"/>
                <w:color w:val="000000"/>
                <w:sz w:val="19"/>
                <w:szCs w:val="19"/>
                <w:lang w:val="en-CA" w:eastAsia="zh-CN"/>
              </w:rPr>
              <w:t>102.28</w:t>
            </w:r>
          </w:p>
        </w:tc>
        <w:tc>
          <w:tcPr>
            <w:tcW w:w="939" w:type="dxa"/>
            <w:tcBorders>
              <w:top w:val="nil"/>
              <w:left w:val="nil"/>
              <w:bottom w:val="single" w:sz="4" w:space="0" w:color="auto"/>
              <w:right w:val="single" w:sz="4" w:space="0" w:color="auto"/>
            </w:tcBorders>
            <w:shd w:val="clear" w:color="auto" w:fill="auto"/>
            <w:noWrap/>
            <w:vAlign w:val="bottom"/>
            <w:hideMark/>
          </w:tcPr>
          <w:p w14:paraId="1A3B74B6" w14:textId="4F9CCCF2" w:rsidR="003D30B2" w:rsidRPr="00A43F68" w:rsidRDefault="003D30B2" w:rsidP="003D30B2">
            <w:pPr>
              <w:jc w:val="right"/>
              <w:rPr>
                <w:rFonts w:ascii="Arial" w:eastAsia="SimSun" w:hAnsi="Arial" w:cs="Arial"/>
                <w:color w:val="000000"/>
                <w:sz w:val="19"/>
                <w:szCs w:val="19"/>
                <w:lang w:val="en-CA" w:eastAsia="zh-CN"/>
              </w:rPr>
            </w:pPr>
            <w:r w:rsidRPr="00A43F68">
              <w:rPr>
                <w:rFonts w:ascii="Arial" w:eastAsia="SimSun" w:hAnsi="Arial" w:cs="Arial"/>
                <w:color w:val="000000"/>
                <w:sz w:val="19"/>
                <w:szCs w:val="19"/>
                <w:lang w:val="en-CA" w:eastAsia="zh-CN"/>
              </w:rPr>
              <w:t>115.85</w:t>
            </w:r>
          </w:p>
        </w:tc>
        <w:tc>
          <w:tcPr>
            <w:tcW w:w="939" w:type="dxa"/>
            <w:tcBorders>
              <w:top w:val="nil"/>
              <w:left w:val="nil"/>
              <w:bottom w:val="single" w:sz="4" w:space="0" w:color="auto"/>
              <w:right w:val="single" w:sz="4" w:space="0" w:color="auto"/>
            </w:tcBorders>
            <w:shd w:val="clear" w:color="auto" w:fill="auto"/>
            <w:noWrap/>
            <w:vAlign w:val="bottom"/>
            <w:hideMark/>
          </w:tcPr>
          <w:p w14:paraId="75F93950" w14:textId="4D6F31CF" w:rsidR="003D30B2" w:rsidRPr="00A43F68" w:rsidRDefault="003D30B2" w:rsidP="003D30B2">
            <w:pPr>
              <w:jc w:val="right"/>
              <w:rPr>
                <w:rFonts w:ascii="Arial" w:eastAsia="SimSun" w:hAnsi="Arial" w:cs="Arial"/>
                <w:color w:val="000000"/>
                <w:sz w:val="19"/>
                <w:szCs w:val="19"/>
                <w:lang w:val="en-CA" w:eastAsia="zh-CN"/>
              </w:rPr>
            </w:pPr>
            <w:r w:rsidRPr="00A43F68">
              <w:rPr>
                <w:rFonts w:ascii="Arial" w:eastAsia="SimSun" w:hAnsi="Arial" w:cs="Arial"/>
                <w:color w:val="000000"/>
                <w:sz w:val="19"/>
                <w:szCs w:val="19"/>
                <w:lang w:val="en-CA" w:eastAsia="zh-CN"/>
              </w:rPr>
              <w:t>138.40</w:t>
            </w:r>
          </w:p>
        </w:tc>
        <w:tc>
          <w:tcPr>
            <w:tcW w:w="939" w:type="dxa"/>
            <w:tcBorders>
              <w:top w:val="nil"/>
              <w:left w:val="nil"/>
              <w:bottom w:val="single" w:sz="4" w:space="0" w:color="auto"/>
              <w:right w:val="single" w:sz="4" w:space="0" w:color="auto"/>
            </w:tcBorders>
            <w:shd w:val="clear" w:color="auto" w:fill="auto"/>
            <w:noWrap/>
            <w:vAlign w:val="bottom"/>
            <w:hideMark/>
          </w:tcPr>
          <w:p w14:paraId="7518B209" w14:textId="3DD6C07E" w:rsidR="003D30B2" w:rsidRPr="00A43F68" w:rsidRDefault="003D30B2" w:rsidP="003D30B2">
            <w:pPr>
              <w:jc w:val="right"/>
              <w:rPr>
                <w:rFonts w:ascii="Arial" w:eastAsia="SimSun" w:hAnsi="Arial" w:cs="Arial"/>
                <w:color w:val="000000"/>
                <w:sz w:val="19"/>
                <w:szCs w:val="19"/>
                <w:lang w:val="en-CA" w:eastAsia="zh-CN"/>
              </w:rPr>
            </w:pPr>
            <w:r w:rsidRPr="00A43F68">
              <w:rPr>
                <w:rFonts w:ascii="Arial" w:eastAsia="SimSun" w:hAnsi="Arial" w:cs="Arial"/>
                <w:color w:val="000000"/>
                <w:sz w:val="19"/>
                <w:szCs w:val="19"/>
                <w:lang w:val="en-CA" w:eastAsia="zh-CN"/>
              </w:rPr>
              <w:t>152.24</w:t>
            </w:r>
          </w:p>
        </w:tc>
        <w:tc>
          <w:tcPr>
            <w:tcW w:w="939" w:type="dxa"/>
            <w:tcBorders>
              <w:top w:val="nil"/>
              <w:left w:val="nil"/>
              <w:bottom w:val="single" w:sz="4" w:space="0" w:color="auto"/>
              <w:right w:val="single" w:sz="4" w:space="0" w:color="auto"/>
            </w:tcBorders>
            <w:shd w:val="clear" w:color="auto" w:fill="auto"/>
            <w:noWrap/>
            <w:vAlign w:val="bottom"/>
            <w:hideMark/>
          </w:tcPr>
          <w:p w14:paraId="4F730CC3" w14:textId="72A389FF" w:rsidR="003D30B2" w:rsidRPr="00A43F68" w:rsidRDefault="003D30B2" w:rsidP="003D30B2">
            <w:pPr>
              <w:jc w:val="right"/>
              <w:rPr>
                <w:rFonts w:ascii="Arial" w:eastAsia="SimSun" w:hAnsi="Arial" w:cs="Arial"/>
                <w:color w:val="000000"/>
                <w:sz w:val="19"/>
                <w:szCs w:val="19"/>
                <w:lang w:val="en-CA" w:eastAsia="zh-CN"/>
              </w:rPr>
            </w:pPr>
            <w:r w:rsidRPr="00A43F68">
              <w:rPr>
                <w:rFonts w:ascii="Arial" w:eastAsia="SimSun" w:hAnsi="Arial" w:cs="Arial"/>
                <w:color w:val="000000"/>
                <w:sz w:val="19"/>
                <w:szCs w:val="19"/>
                <w:lang w:val="en-CA" w:eastAsia="zh-CN"/>
              </w:rPr>
              <w:t>164.42</w:t>
            </w:r>
          </w:p>
        </w:tc>
        <w:tc>
          <w:tcPr>
            <w:tcW w:w="939" w:type="dxa"/>
            <w:tcBorders>
              <w:top w:val="nil"/>
              <w:left w:val="nil"/>
              <w:bottom w:val="single" w:sz="4" w:space="0" w:color="auto"/>
              <w:right w:val="single" w:sz="4" w:space="0" w:color="auto"/>
            </w:tcBorders>
            <w:shd w:val="clear" w:color="auto" w:fill="auto"/>
            <w:noWrap/>
            <w:vAlign w:val="bottom"/>
            <w:hideMark/>
          </w:tcPr>
          <w:p w14:paraId="0BBD7AAC" w14:textId="06F1EEE1" w:rsidR="003D30B2" w:rsidRPr="00A43F68" w:rsidRDefault="003D30B2" w:rsidP="003D30B2">
            <w:pPr>
              <w:jc w:val="right"/>
              <w:rPr>
                <w:rFonts w:ascii="Arial" w:eastAsia="SimSun" w:hAnsi="Arial" w:cs="Arial"/>
                <w:color w:val="000000"/>
                <w:sz w:val="19"/>
                <w:szCs w:val="19"/>
                <w:lang w:val="en-CA" w:eastAsia="zh-CN"/>
              </w:rPr>
            </w:pPr>
            <w:r w:rsidRPr="00A43F68">
              <w:rPr>
                <w:rFonts w:ascii="Arial" w:eastAsia="SimSun" w:hAnsi="Arial" w:cs="Arial"/>
                <w:color w:val="000000"/>
                <w:sz w:val="19"/>
                <w:szCs w:val="19"/>
                <w:lang w:val="en-CA" w:eastAsia="zh-CN"/>
              </w:rPr>
              <w:t>174.28</w:t>
            </w:r>
          </w:p>
        </w:tc>
        <w:tc>
          <w:tcPr>
            <w:tcW w:w="939" w:type="dxa"/>
            <w:tcBorders>
              <w:top w:val="nil"/>
              <w:left w:val="nil"/>
              <w:bottom w:val="single" w:sz="4" w:space="0" w:color="auto"/>
              <w:right w:val="single" w:sz="4" w:space="0" w:color="auto"/>
            </w:tcBorders>
            <w:shd w:val="clear" w:color="auto" w:fill="auto"/>
            <w:noWrap/>
            <w:vAlign w:val="bottom"/>
            <w:hideMark/>
          </w:tcPr>
          <w:p w14:paraId="7F17C630" w14:textId="0A65EF4E" w:rsidR="003D30B2" w:rsidRPr="00A43F68" w:rsidRDefault="003D30B2" w:rsidP="003D30B2">
            <w:pPr>
              <w:jc w:val="right"/>
              <w:rPr>
                <w:rFonts w:ascii="Arial" w:eastAsia="SimSun" w:hAnsi="Arial" w:cs="Arial"/>
                <w:color w:val="000000"/>
                <w:sz w:val="19"/>
                <w:szCs w:val="19"/>
                <w:lang w:val="en-CA" w:eastAsia="zh-CN"/>
              </w:rPr>
            </w:pPr>
            <w:r w:rsidRPr="00A43F68">
              <w:rPr>
                <w:rFonts w:ascii="Arial" w:eastAsia="SimSun" w:hAnsi="Arial" w:cs="Arial"/>
                <w:color w:val="000000"/>
                <w:sz w:val="19"/>
                <w:szCs w:val="19"/>
                <w:lang w:val="en-CA" w:eastAsia="zh-CN"/>
              </w:rPr>
              <w:t>181.25</w:t>
            </w:r>
          </w:p>
        </w:tc>
        <w:tc>
          <w:tcPr>
            <w:tcW w:w="807" w:type="dxa"/>
            <w:tcBorders>
              <w:top w:val="nil"/>
              <w:left w:val="nil"/>
              <w:bottom w:val="single" w:sz="4" w:space="0" w:color="auto"/>
              <w:right w:val="single" w:sz="4" w:space="0" w:color="auto"/>
            </w:tcBorders>
            <w:shd w:val="clear" w:color="auto" w:fill="auto"/>
            <w:noWrap/>
            <w:vAlign w:val="bottom"/>
            <w:hideMark/>
          </w:tcPr>
          <w:p w14:paraId="4E1B17FF" w14:textId="039A3458" w:rsidR="003D30B2" w:rsidRPr="00A43F68" w:rsidRDefault="003D30B2" w:rsidP="003D30B2">
            <w:pPr>
              <w:jc w:val="right"/>
              <w:rPr>
                <w:rFonts w:ascii="Arial" w:eastAsia="SimSun" w:hAnsi="Arial" w:cs="Arial"/>
                <w:color w:val="000000"/>
                <w:sz w:val="19"/>
                <w:szCs w:val="19"/>
                <w:lang w:val="en-CA" w:eastAsia="zh-CN"/>
              </w:rPr>
            </w:pPr>
            <w:r w:rsidRPr="00A43F68">
              <w:rPr>
                <w:rFonts w:ascii="Arial" w:eastAsia="SimSun" w:hAnsi="Arial" w:cs="Arial"/>
                <w:color w:val="000000"/>
                <w:sz w:val="19"/>
                <w:szCs w:val="19"/>
                <w:lang w:val="en-CA" w:eastAsia="zh-CN"/>
              </w:rPr>
              <w:t>188.50</w:t>
            </w:r>
          </w:p>
        </w:tc>
      </w:tr>
      <w:tr w:rsidR="00EB600D" w:rsidRPr="00A43F68" w14:paraId="1929547A" w14:textId="77777777" w:rsidTr="00EB600D">
        <w:trPr>
          <w:trHeight w:val="240"/>
          <w:jc w:val="center"/>
        </w:trPr>
        <w:tc>
          <w:tcPr>
            <w:tcW w:w="1545" w:type="dxa"/>
            <w:tcBorders>
              <w:top w:val="nil"/>
              <w:left w:val="single" w:sz="4" w:space="0" w:color="auto"/>
              <w:bottom w:val="single" w:sz="4" w:space="0" w:color="auto"/>
              <w:right w:val="single" w:sz="4" w:space="0" w:color="auto"/>
            </w:tcBorders>
            <w:shd w:val="clear" w:color="auto" w:fill="auto"/>
            <w:noWrap/>
            <w:vAlign w:val="bottom"/>
            <w:hideMark/>
          </w:tcPr>
          <w:p w14:paraId="0ECD27AA" w14:textId="3C93220F" w:rsidR="003D30B2" w:rsidRPr="00A43F68" w:rsidRDefault="003D30B2" w:rsidP="003D30B2">
            <w:pPr>
              <w:rPr>
                <w:rFonts w:ascii="Arial" w:eastAsia="SimSun" w:hAnsi="Arial" w:cs="Arial"/>
                <w:b/>
                <w:bCs/>
                <w:color w:val="000000"/>
                <w:sz w:val="19"/>
                <w:szCs w:val="19"/>
                <w:lang w:val="en-CA" w:eastAsia="zh-CN"/>
              </w:rPr>
            </w:pPr>
            <w:r w:rsidRPr="00A43F68">
              <w:rPr>
                <w:rFonts w:ascii="Arial" w:eastAsia="SimSun" w:hAnsi="Arial" w:cs="Arial"/>
                <w:b/>
                <w:bCs/>
                <w:color w:val="000000"/>
                <w:sz w:val="19"/>
                <w:szCs w:val="19"/>
                <w:lang w:val="en-CA" w:eastAsia="zh-CN"/>
              </w:rPr>
              <w:t xml:space="preserve">Gross </w:t>
            </w:r>
            <w:r w:rsidR="008A2D8B" w:rsidRPr="00A43F68">
              <w:rPr>
                <w:rFonts w:ascii="Arial" w:eastAsia="SimSun" w:hAnsi="Arial" w:cs="Arial"/>
                <w:b/>
                <w:bCs/>
                <w:color w:val="000000"/>
                <w:sz w:val="19"/>
                <w:szCs w:val="19"/>
                <w:lang w:val="en-CA" w:eastAsia="zh-CN"/>
              </w:rPr>
              <w:t>p</w:t>
            </w:r>
            <w:r w:rsidRPr="00A43F68">
              <w:rPr>
                <w:rFonts w:ascii="Arial" w:eastAsia="SimSun" w:hAnsi="Arial" w:cs="Arial"/>
                <w:b/>
                <w:bCs/>
                <w:color w:val="000000"/>
                <w:sz w:val="19"/>
                <w:szCs w:val="19"/>
                <w:lang w:val="en-CA" w:eastAsia="zh-CN"/>
              </w:rPr>
              <w:t>rofit</w:t>
            </w:r>
          </w:p>
        </w:tc>
        <w:tc>
          <w:tcPr>
            <w:tcW w:w="939" w:type="dxa"/>
            <w:tcBorders>
              <w:top w:val="nil"/>
              <w:left w:val="nil"/>
              <w:bottom w:val="single" w:sz="4" w:space="0" w:color="auto"/>
              <w:right w:val="single" w:sz="4" w:space="0" w:color="auto"/>
            </w:tcBorders>
            <w:shd w:val="clear" w:color="auto" w:fill="auto"/>
            <w:noWrap/>
            <w:vAlign w:val="bottom"/>
            <w:hideMark/>
          </w:tcPr>
          <w:p w14:paraId="6F776F03" w14:textId="4DD6BF80" w:rsidR="003D30B2" w:rsidRPr="00A43F68" w:rsidRDefault="003D30B2" w:rsidP="003D30B2">
            <w:pPr>
              <w:jc w:val="right"/>
              <w:rPr>
                <w:rFonts w:ascii="Arial" w:eastAsia="SimSun" w:hAnsi="Arial" w:cs="Arial"/>
                <w:color w:val="000000"/>
                <w:sz w:val="19"/>
                <w:szCs w:val="19"/>
                <w:lang w:val="en-CA" w:eastAsia="zh-CN"/>
              </w:rPr>
            </w:pPr>
            <w:r w:rsidRPr="00A43F68">
              <w:rPr>
                <w:rFonts w:ascii="Arial" w:eastAsia="SimSun" w:hAnsi="Arial" w:cs="Arial"/>
                <w:color w:val="000000"/>
                <w:sz w:val="19"/>
                <w:szCs w:val="19"/>
                <w:lang w:val="en-CA" w:eastAsia="zh-CN"/>
              </w:rPr>
              <w:t>15.22</w:t>
            </w:r>
          </w:p>
        </w:tc>
        <w:tc>
          <w:tcPr>
            <w:tcW w:w="939" w:type="dxa"/>
            <w:tcBorders>
              <w:top w:val="nil"/>
              <w:left w:val="nil"/>
              <w:bottom w:val="single" w:sz="4" w:space="0" w:color="auto"/>
              <w:right w:val="single" w:sz="4" w:space="0" w:color="auto"/>
            </w:tcBorders>
            <w:shd w:val="clear" w:color="auto" w:fill="auto"/>
            <w:noWrap/>
            <w:vAlign w:val="bottom"/>
            <w:hideMark/>
          </w:tcPr>
          <w:p w14:paraId="53EAABA7" w14:textId="427D7FCB" w:rsidR="003D30B2" w:rsidRPr="00A43F68" w:rsidRDefault="003D30B2" w:rsidP="003D30B2">
            <w:pPr>
              <w:jc w:val="right"/>
              <w:rPr>
                <w:rFonts w:ascii="Arial" w:eastAsia="SimSun" w:hAnsi="Arial" w:cs="Arial"/>
                <w:color w:val="000000"/>
                <w:sz w:val="19"/>
                <w:szCs w:val="19"/>
                <w:lang w:val="en-CA" w:eastAsia="zh-CN"/>
              </w:rPr>
            </w:pPr>
            <w:r w:rsidRPr="00A43F68">
              <w:rPr>
                <w:rFonts w:ascii="Arial" w:eastAsia="SimSun" w:hAnsi="Arial" w:cs="Arial"/>
                <w:color w:val="000000"/>
                <w:sz w:val="19"/>
                <w:szCs w:val="19"/>
                <w:lang w:val="en-CA" w:eastAsia="zh-CN"/>
              </w:rPr>
              <w:t>17.96</w:t>
            </w:r>
          </w:p>
        </w:tc>
        <w:tc>
          <w:tcPr>
            <w:tcW w:w="939" w:type="dxa"/>
            <w:tcBorders>
              <w:top w:val="nil"/>
              <w:left w:val="nil"/>
              <w:bottom w:val="single" w:sz="4" w:space="0" w:color="auto"/>
              <w:right w:val="single" w:sz="4" w:space="0" w:color="auto"/>
            </w:tcBorders>
            <w:shd w:val="clear" w:color="auto" w:fill="auto"/>
            <w:noWrap/>
            <w:vAlign w:val="bottom"/>
            <w:hideMark/>
          </w:tcPr>
          <w:p w14:paraId="6CC81AEE" w14:textId="639C76F8" w:rsidR="003D30B2" w:rsidRPr="00A43F68" w:rsidRDefault="003D30B2" w:rsidP="003D30B2">
            <w:pPr>
              <w:jc w:val="right"/>
              <w:rPr>
                <w:rFonts w:ascii="Arial" w:eastAsia="SimSun" w:hAnsi="Arial" w:cs="Arial"/>
                <w:color w:val="000000"/>
                <w:sz w:val="19"/>
                <w:szCs w:val="19"/>
                <w:lang w:val="en-CA" w:eastAsia="zh-CN"/>
              </w:rPr>
            </w:pPr>
            <w:r w:rsidRPr="00A43F68">
              <w:rPr>
                <w:rFonts w:ascii="Arial" w:eastAsia="SimSun" w:hAnsi="Arial" w:cs="Arial"/>
                <w:color w:val="000000"/>
                <w:sz w:val="19"/>
                <w:szCs w:val="19"/>
                <w:lang w:val="en-CA" w:eastAsia="zh-CN"/>
              </w:rPr>
              <w:t>25.70</w:t>
            </w:r>
          </w:p>
        </w:tc>
        <w:tc>
          <w:tcPr>
            <w:tcW w:w="939" w:type="dxa"/>
            <w:tcBorders>
              <w:top w:val="nil"/>
              <w:left w:val="nil"/>
              <w:bottom w:val="single" w:sz="4" w:space="0" w:color="auto"/>
              <w:right w:val="single" w:sz="4" w:space="0" w:color="auto"/>
            </w:tcBorders>
            <w:shd w:val="clear" w:color="auto" w:fill="auto"/>
            <w:noWrap/>
            <w:vAlign w:val="bottom"/>
            <w:hideMark/>
          </w:tcPr>
          <w:p w14:paraId="53BE0090" w14:textId="048CFB56" w:rsidR="003D30B2" w:rsidRPr="00A43F68" w:rsidRDefault="003D30B2" w:rsidP="003D30B2">
            <w:pPr>
              <w:jc w:val="right"/>
              <w:rPr>
                <w:rFonts w:ascii="Arial" w:eastAsia="SimSun" w:hAnsi="Arial" w:cs="Arial"/>
                <w:color w:val="000000"/>
                <w:sz w:val="19"/>
                <w:szCs w:val="19"/>
                <w:lang w:val="en-CA" w:eastAsia="zh-CN"/>
              </w:rPr>
            </w:pPr>
            <w:r w:rsidRPr="00A43F68">
              <w:rPr>
                <w:rFonts w:ascii="Arial" w:eastAsia="SimSun" w:hAnsi="Arial" w:cs="Arial"/>
                <w:color w:val="000000"/>
                <w:sz w:val="19"/>
                <w:szCs w:val="19"/>
                <w:lang w:val="en-CA" w:eastAsia="zh-CN"/>
              </w:rPr>
              <w:t>28.27</w:t>
            </w:r>
          </w:p>
        </w:tc>
        <w:tc>
          <w:tcPr>
            <w:tcW w:w="939" w:type="dxa"/>
            <w:tcBorders>
              <w:top w:val="nil"/>
              <w:left w:val="nil"/>
              <w:bottom w:val="single" w:sz="4" w:space="0" w:color="auto"/>
              <w:right w:val="single" w:sz="4" w:space="0" w:color="auto"/>
            </w:tcBorders>
            <w:shd w:val="clear" w:color="auto" w:fill="auto"/>
            <w:noWrap/>
            <w:vAlign w:val="bottom"/>
            <w:hideMark/>
          </w:tcPr>
          <w:p w14:paraId="3B2887ED" w14:textId="2F92D3A8" w:rsidR="003D30B2" w:rsidRPr="00A43F68" w:rsidRDefault="003D30B2" w:rsidP="003D30B2">
            <w:pPr>
              <w:jc w:val="right"/>
              <w:rPr>
                <w:rFonts w:ascii="Arial" w:eastAsia="SimSun" w:hAnsi="Arial" w:cs="Arial"/>
                <w:color w:val="000000"/>
                <w:sz w:val="19"/>
                <w:szCs w:val="19"/>
                <w:lang w:val="en-CA" w:eastAsia="zh-CN"/>
              </w:rPr>
            </w:pPr>
            <w:r w:rsidRPr="00A43F68">
              <w:rPr>
                <w:rFonts w:ascii="Arial" w:eastAsia="SimSun" w:hAnsi="Arial" w:cs="Arial"/>
                <w:color w:val="000000"/>
                <w:sz w:val="19"/>
                <w:szCs w:val="19"/>
                <w:lang w:val="en-CA" w:eastAsia="zh-CN"/>
              </w:rPr>
              <w:t>30.53</w:t>
            </w:r>
          </w:p>
        </w:tc>
        <w:tc>
          <w:tcPr>
            <w:tcW w:w="939" w:type="dxa"/>
            <w:tcBorders>
              <w:top w:val="nil"/>
              <w:left w:val="nil"/>
              <w:bottom w:val="single" w:sz="4" w:space="0" w:color="auto"/>
              <w:right w:val="single" w:sz="4" w:space="0" w:color="auto"/>
            </w:tcBorders>
            <w:shd w:val="clear" w:color="auto" w:fill="auto"/>
            <w:noWrap/>
            <w:vAlign w:val="bottom"/>
            <w:hideMark/>
          </w:tcPr>
          <w:p w14:paraId="1CF3735B" w14:textId="2ECE9D76" w:rsidR="003D30B2" w:rsidRPr="00A43F68" w:rsidRDefault="003D30B2" w:rsidP="003D30B2">
            <w:pPr>
              <w:jc w:val="right"/>
              <w:rPr>
                <w:rFonts w:ascii="Arial" w:eastAsia="SimSun" w:hAnsi="Arial" w:cs="Arial"/>
                <w:color w:val="000000"/>
                <w:sz w:val="19"/>
                <w:szCs w:val="19"/>
                <w:lang w:val="en-CA" w:eastAsia="zh-CN"/>
              </w:rPr>
            </w:pPr>
            <w:r w:rsidRPr="00A43F68">
              <w:rPr>
                <w:rFonts w:ascii="Arial" w:eastAsia="SimSun" w:hAnsi="Arial" w:cs="Arial"/>
                <w:color w:val="000000"/>
                <w:sz w:val="19"/>
                <w:szCs w:val="19"/>
                <w:lang w:val="en-CA" w:eastAsia="zh-CN"/>
              </w:rPr>
              <w:t>32.36</w:t>
            </w:r>
          </w:p>
        </w:tc>
        <w:tc>
          <w:tcPr>
            <w:tcW w:w="939" w:type="dxa"/>
            <w:tcBorders>
              <w:top w:val="nil"/>
              <w:left w:val="nil"/>
              <w:bottom w:val="single" w:sz="4" w:space="0" w:color="auto"/>
              <w:right w:val="single" w:sz="4" w:space="0" w:color="auto"/>
            </w:tcBorders>
            <w:shd w:val="clear" w:color="auto" w:fill="auto"/>
            <w:noWrap/>
            <w:vAlign w:val="bottom"/>
            <w:hideMark/>
          </w:tcPr>
          <w:p w14:paraId="429D1EE2" w14:textId="477B9201" w:rsidR="003D30B2" w:rsidRPr="00A43F68" w:rsidRDefault="003D30B2" w:rsidP="006061A1">
            <w:pPr>
              <w:jc w:val="right"/>
              <w:rPr>
                <w:rFonts w:ascii="Arial" w:eastAsia="SimSun" w:hAnsi="Arial" w:cs="Arial"/>
                <w:color w:val="000000"/>
                <w:sz w:val="19"/>
                <w:szCs w:val="19"/>
                <w:lang w:val="en-CA" w:eastAsia="zh-CN"/>
              </w:rPr>
            </w:pPr>
            <w:r w:rsidRPr="00A43F68">
              <w:rPr>
                <w:rFonts w:ascii="Arial" w:eastAsia="SimSun" w:hAnsi="Arial" w:cs="Arial"/>
                <w:color w:val="000000"/>
                <w:sz w:val="19"/>
                <w:szCs w:val="19"/>
                <w:lang w:val="en-CA" w:eastAsia="zh-CN"/>
              </w:rPr>
              <w:t>33.</w:t>
            </w:r>
            <w:r w:rsidR="006061A1" w:rsidRPr="00A43F68">
              <w:rPr>
                <w:rFonts w:ascii="Arial" w:eastAsia="SimSun" w:hAnsi="Arial" w:cs="Arial"/>
                <w:color w:val="000000"/>
                <w:sz w:val="19"/>
                <w:szCs w:val="19"/>
                <w:lang w:val="en-CA" w:eastAsia="zh-CN"/>
              </w:rPr>
              <w:t>6</w:t>
            </w:r>
          </w:p>
        </w:tc>
        <w:tc>
          <w:tcPr>
            <w:tcW w:w="807" w:type="dxa"/>
            <w:tcBorders>
              <w:top w:val="nil"/>
              <w:left w:val="nil"/>
              <w:bottom w:val="single" w:sz="4" w:space="0" w:color="auto"/>
              <w:right w:val="single" w:sz="4" w:space="0" w:color="auto"/>
            </w:tcBorders>
            <w:shd w:val="clear" w:color="auto" w:fill="auto"/>
            <w:noWrap/>
            <w:vAlign w:val="bottom"/>
            <w:hideMark/>
          </w:tcPr>
          <w:p w14:paraId="20B6A01E" w14:textId="6A9D1DE8" w:rsidR="003D30B2" w:rsidRPr="00A43F68" w:rsidRDefault="003D30B2" w:rsidP="003D30B2">
            <w:pPr>
              <w:jc w:val="right"/>
              <w:rPr>
                <w:rFonts w:ascii="Arial" w:eastAsia="SimSun" w:hAnsi="Arial" w:cs="Arial"/>
                <w:color w:val="000000"/>
                <w:sz w:val="19"/>
                <w:szCs w:val="19"/>
                <w:lang w:val="en-CA" w:eastAsia="zh-CN"/>
              </w:rPr>
            </w:pPr>
            <w:r w:rsidRPr="00A43F68">
              <w:rPr>
                <w:rFonts w:ascii="Arial" w:eastAsia="SimSun" w:hAnsi="Arial" w:cs="Arial"/>
                <w:color w:val="000000"/>
                <w:sz w:val="19"/>
                <w:szCs w:val="19"/>
                <w:lang w:val="en-CA" w:eastAsia="zh-CN"/>
              </w:rPr>
              <w:t>35.00</w:t>
            </w:r>
          </w:p>
        </w:tc>
      </w:tr>
      <w:tr w:rsidR="00EB600D" w:rsidRPr="00A43F68" w14:paraId="214A292C" w14:textId="77777777" w:rsidTr="00EB600D">
        <w:trPr>
          <w:trHeight w:val="240"/>
          <w:jc w:val="center"/>
        </w:trPr>
        <w:tc>
          <w:tcPr>
            <w:tcW w:w="1545" w:type="dxa"/>
            <w:tcBorders>
              <w:top w:val="nil"/>
              <w:left w:val="single" w:sz="4" w:space="0" w:color="auto"/>
              <w:bottom w:val="single" w:sz="4" w:space="0" w:color="auto"/>
              <w:right w:val="single" w:sz="4" w:space="0" w:color="auto"/>
            </w:tcBorders>
            <w:shd w:val="clear" w:color="auto" w:fill="auto"/>
            <w:noWrap/>
            <w:vAlign w:val="bottom"/>
            <w:hideMark/>
          </w:tcPr>
          <w:p w14:paraId="619A7AED" w14:textId="77777777" w:rsidR="003D30B2" w:rsidRPr="00A43F68" w:rsidRDefault="003D30B2" w:rsidP="003D30B2">
            <w:pPr>
              <w:rPr>
                <w:rFonts w:ascii="Arial" w:eastAsia="SimSun" w:hAnsi="Arial" w:cs="Arial"/>
                <w:b/>
                <w:bCs/>
                <w:color w:val="000000"/>
                <w:sz w:val="19"/>
                <w:szCs w:val="19"/>
                <w:lang w:val="en-CA" w:eastAsia="zh-CN"/>
              </w:rPr>
            </w:pPr>
            <w:r w:rsidRPr="00A43F68">
              <w:rPr>
                <w:rFonts w:ascii="Arial" w:eastAsia="SimSun" w:hAnsi="Arial" w:cs="Arial"/>
                <w:b/>
                <w:bCs/>
                <w:color w:val="000000"/>
                <w:sz w:val="19"/>
                <w:szCs w:val="19"/>
                <w:lang w:val="en-CA" w:eastAsia="zh-CN"/>
              </w:rPr>
              <w:t>EBITDA</w:t>
            </w:r>
          </w:p>
        </w:tc>
        <w:tc>
          <w:tcPr>
            <w:tcW w:w="939" w:type="dxa"/>
            <w:tcBorders>
              <w:top w:val="nil"/>
              <w:left w:val="nil"/>
              <w:bottom w:val="single" w:sz="4" w:space="0" w:color="auto"/>
              <w:right w:val="single" w:sz="4" w:space="0" w:color="auto"/>
            </w:tcBorders>
            <w:shd w:val="clear" w:color="auto" w:fill="auto"/>
            <w:noWrap/>
            <w:vAlign w:val="bottom"/>
            <w:hideMark/>
          </w:tcPr>
          <w:p w14:paraId="7E6AAF2F" w14:textId="28913C8D" w:rsidR="003D30B2" w:rsidRPr="00A43F68" w:rsidRDefault="003D30B2" w:rsidP="003D30B2">
            <w:pPr>
              <w:jc w:val="right"/>
              <w:rPr>
                <w:rFonts w:ascii="Arial" w:eastAsia="SimSun" w:hAnsi="Arial" w:cs="Arial"/>
                <w:color w:val="000000"/>
                <w:sz w:val="19"/>
                <w:szCs w:val="19"/>
                <w:lang w:val="en-CA" w:eastAsia="zh-CN"/>
              </w:rPr>
            </w:pPr>
            <w:r w:rsidRPr="00A43F68">
              <w:rPr>
                <w:rFonts w:ascii="Arial" w:eastAsia="SimSun" w:hAnsi="Arial" w:cs="Arial"/>
                <w:color w:val="000000"/>
                <w:sz w:val="19"/>
                <w:szCs w:val="19"/>
                <w:lang w:val="en-CA" w:eastAsia="zh-CN"/>
              </w:rPr>
              <w:t>3.08</w:t>
            </w:r>
          </w:p>
        </w:tc>
        <w:tc>
          <w:tcPr>
            <w:tcW w:w="939" w:type="dxa"/>
            <w:tcBorders>
              <w:top w:val="nil"/>
              <w:left w:val="nil"/>
              <w:bottom w:val="single" w:sz="4" w:space="0" w:color="auto"/>
              <w:right w:val="single" w:sz="4" w:space="0" w:color="auto"/>
            </w:tcBorders>
            <w:shd w:val="clear" w:color="auto" w:fill="auto"/>
            <w:noWrap/>
            <w:vAlign w:val="bottom"/>
            <w:hideMark/>
          </w:tcPr>
          <w:p w14:paraId="5DCF9D27" w14:textId="66CCBCF2" w:rsidR="003D30B2" w:rsidRPr="00A43F68" w:rsidRDefault="003D30B2" w:rsidP="003D30B2">
            <w:pPr>
              <w:jc w:val="right"/>
              <w:rPr>
                <w:rFonts w:ascii="Arial" w:eastAsia="SimSun" w:hAnsi="Arial" w:cs="Arial"/>
                <w:color w:val="000000"/>
                <w:sz w:val="19"/>
                <w:szCs w:val="19"/>
                <w:lang w:val="en-CA" w:eastAsia="zh-CN"/>
              </w:rPr>
            </w:pPr>
            <w:r w:rsidRPr="00A43F68">
              <w:rPr>
                <w:rFonts w:ascii="Arial" w:eastAsia="SimSun" w:hAnsi="Arial" w:cs="Arial"/>
                <w:color w:val="000000"/>
                <w:sz w:val="19"/>
                <w:szCs w:val="19"/>
                <w:lang w:val="en-CA" w:eastAsia="zh-CN"/>
              </w:rPr>
              <w:t>5.8</w:t>
            </w:r>
            <w:r w:rsidR="0048611C" w:rsidRPr="00A43F68">
              <w:rPr>
                <w:rFonts w:ascii="Arial" w:eastAsia="SimSun" w:hAnsi="Arial" w:cs="Arial"/>
                <w:color w:val="000000"/>
                <w:sz w:val="19"/>
                <w:szCs w:val="19"/>
                <w:lang w:val="en-CA" w:eastAsia="zh-CN"/>
              </w:rPr>
              <w:t>1</w:t>
            </w:r>
          </w:p>
        </w:tc>
        <w:tc>
          <w:tcPr>
            <w:tcW w:w="939" w:type="dxa"/>
            <w:tcBorders>
              <w:top w:val="nil"/>
              <w:left w:val="nil"/>
              <w:bottom w:val="single" w:sz="4" w:space="0" w:color="auto"/>
              <w:right w:val="single" w:sz="4" w:space="0" w:color="auto"/>
            </w:tcBorders>
            <w:shd w:val="clear" w:color="auto" w:fill="auto"/>
            <w:noWrap/>
            <w:vAlign w:val="bottom"/>
            <w:hideMark/>
          </w:tcPr>
          <w:p w14:paraId="00CCBD69" w14:textId="577973F1" w:rsidR="003D30B2" w:rsidRPr="00A43F68" w:rsidRDefault="003D30B2" w:rsidP="003D30B2">
            <w:pPr>
              <w:jc w:val="right"/>
              <w:rPr>
                <w:rFonts w:ascii="Arial" w:eastAsia="SimSun" w:hAnsi="Arial" w:cs="Arial"/>
                <w:color w:val="000000"/>
                <w:sz w:val="19"/>
                <w:szCs w:val="19"/>
                <w:lang w:val="en-CA" w:eastAsia="zh-CN"/>
              </w:rPr>
            </w:pPr>
            <w:r w:rsidRPr="00A43F68">
              <w:rPr>
                <w:rFonts w:ascii="Arial" w:eastAsia="SimSun" w:hAnsi="Arial" w:cs="Arial"/>
                <w:color w:val="000000"/>
                <w:sz w:val="19"/>
                <w:szCs w:val="19"/>
                <w:lang w:val="en-CA" w:eastAsia="zh-CN"/>
              </w:rPr>
              <w:t>10.2</w:t>
            </w:r>
            <w:r w:rsidR="0048611C" w:rsidRPr="00A43F68">
              <w:rPr>
                <w:rFonts w:ascii="Arial" w:eastAsia="SimSun" w:hAnsi="Arial" w:cs="Arial"/>
                <w:color w:val="000000"/>
                <w:sz w:val="19"/>
                <w:szCs w:val="19"/>
                <w:lang w:val="en-CA" w:eastAsia="zh-CN"/>
              </w:rPr>
              <w:t>5</w:t>
            </w:r>
          </w:p>
        </w:tc>
        <w:tc>
          <w:tcPr>
            <w:tcW w:w="939" w:type="dxa"/>
            <w:tcBorders>
              <w:top w:val="nil"/>
              <w:left w:val="nil"/>
              <w:bottom w:val="single" w:sz="4" w:space="0" w:color="auto"/>
              <w:right w:val="single" w:sz="4" w:space="0" w:color="auto"/>
            </w:tcBorders>
            <w:shd w:val="clear" w:color="auto" w:fill="auto"/>
            <w:noWrap/>
            <w:vAlign w:val="bottom"/>
            <w:hideMark/>
          </w:tcPr>
          <w:p w14:paraId="498B0942" w14:textId="6961D132" w:rsidR="003D30B2" w:rsidRPr="00A43F68" w:rsidRDefault="003D30B2" w:rsidP="003D30B2">
            <w:pPr>
              <w:jc w:val="right"/>
              <w:rPr>
                <w:rFonts w:ascii="Arial" w:eastAsia="SimSun" w:hAnsi="Arial" w:cs="Arial"/>
                <w:color w:val="000000"/>
                <w:sz w:val="19"/>
                <w:szCs w:val="19"/>
                <w:lang w:val="en-CA" w:eastAsia="zh-CN"/>
              </w:rPr>
            </w:pPr>
            <w:r w:rsidRPr="00A43F68">
              <w:rPr>
                <w:rFonts w:ascii="Arial" w:eastAsia="SimSun" w:hAnsi="Arial" w:cs="Arial"/>
                <w:color w:val="000000"/>
                <w:sz w:val="19"/>
                <w:szCs w:val="19"/>
                <w:lang w:val="en-CA" w:eastAsia="zh-CN"/>
              </w:rPr>
              <w:t>11.27</w:t>
            </w:r>
          </w:p>
        </w:tc>
        <w:tc>
          <w:tcPr>
            <w:tcW w:w="939" w:type="dxa"/>
            <w:tcBorders>
              <w:top w:val="nil"/>
              <w:left w:val="nil"/>
              <w:bottom w:val="single" w:sz="4" w:space="0" w:color="auto"/>
              <w:right w:val="single" w:sz="4" w:space="0" w:color="auto"/>
            </w:tcBorders>
            <w:shd w:val="clear" w:color="auto" w:fill="auto"/>
            <w:noWrap/>
            <w:vAlign w:val="bottom"/>
            <w:hideMark/>
          </w:tcPr>
          <w:p w14:paraId="75EF17F2" w14:textId="68A35389" w:rsidR="003D30B2" w:rsidRPr="00A43F68" w:rsidRDefault="003D30B2" w:rsidP="003D30B2">
            <w:pPr>
              <w:jc w:val="right"/>
              <w:rPr>
                <w:rFonts w:ascii="Arial" w:eastAsia="SimSun" w:hAnsi="Arial" w:cs="Arial"/>
                <w:color w:val="000000"/>
                <w:sz w:val="19"/>
                <w:szCs w:val="19"/>
                <w:lang w:val="en-CA" w:eastAsia="zh-CN"/>
              </w:rPr>
            </w:pPr>
            <w:r w:rsidRPr="00A43F68">
              <w:rPr>
                <w:rFonts w:ascii="Arial" w:eastAsia="SimSun" w:hAnsi="Arial" w:cs="Arial"/>
                <w:color w:val="000000"/>
                <w:sz w:val="19"/>
                <w:szCs w:val="19"/>
                <w:lang w:val="en-CA" w:eastAsia="zh-CN"/>
              </w:rPr>
              <w:t>12.17</w:t>
            </w:r>
          </w:p>
        </w:tc>
        <w:tc>
          <w:tcPr>
            <w:tcW w:w="939" w:type="dxa"/>
            <w:tcBorders>
              <w:top w:val="nil"/>
              <w:left w:val="nil"/>
              <w:bottom w:val="single" w:sz="4" w:space="0" w:color="auto"/>
              <w:right w:val="single" w:sz="4" w:space="0" w:color="auto"/>
            </w:tcBorders>
            <w:shd w:val="clear" w:color="auto" w:fill="auto"/>
            <w:noWrap/>
            <w:vAlign w:val="bottom"/>
            <w:hideMark/>
          </w:tcPr>
          <w:p w14:paraId="70768497" w14:textId="5CC8AFF2" w:rsidR="003D30B2" w:rsidRPr="00A43F68" w:rsidRDefault="003D30B2" w:rsidP="003D30B2">
            <w:pPr>
              <w:jc w:val="right"/>
              <w:rPr>
                <w:rFonts w:ascii="Arial" w:eastAsia="SimSun" w:hAnsi="Arial" w:cs="Arial"/>
                <w:color w:val="000000"/>
                <w:sz w:val="19"/>
                <w:szCs w:val="19"/>
                <w:lang w:val="en-CA" w:eastAsia="zh-CN"/>
              </w:rPr>
            </w:pPr>
            <w:r w:rsidRPr="00A43F68">
              <w:rPr>
                <w:rFonts w:ascii="Arial" w:eastAsia="SimSun" w:hAnsi="Arial" w:cs="Arial"/>
                <w:color w:val="000000"/>
                <w:sz w:val="19"/>
                <w:szCs w:val="19"/>
                <w:lang w:val="en-CA" w:eastAsia="zh-CN"/>
              </w:rPr>
              <w:t>12.90</w:t>
            </w:r>
          </w:p>
        </w:tc>
        <w:tc>
          <w:tcPr>
            <w:tcW w:w="939" w:type="dxa"/>
            <w:tcBorders>
              <w:top w:val="nil"/>
              <w:left w:val="nil"/>
              <w:bottom w:val="single" w:sz="4" w:space="0" w:color="auto"/>
              <w:right w:val="single" w:sz="4" w:space="0" w:color="auto"/>
            </w:tcBorders>
            <w:shd w:val="clear" w:color="auto" w:fill="auto"/>
            <w:noWrap/>
            <w:vAlign w:val="bottom"/>
            <w:hideMark/>
          </w:tcPr>
          <w:p w14:paraId="0DC9816E" w14:textId="1A12B673" w:rsidR="003D30B2" w:rsidRPr="00A43F68" w:rsidRDefault="003D30B2" w:rsidP="003D30B2">
            <w:pPr>
              <w:jc w:val="right"/>
              <w:rPr>
                <w:rFonts w:ascii="Arial" w:eastAsia="SimSun" w:hAnsi="Arial" w:cs="Arial"/>
                <w:color w:val="000000"/>
                <w:sz w:val="19"/>
                <w:szCs w:val="19"/>
                <w:lang w:val="en-CA" w:eastAsia="zh-CN"/>
              </w:rPr>
            </w:pPr>
            <w:r w:rsidRPr="00A43F68">
              <w:rPr>
                <w:rFonts w:ascii="Arial" w:eastAsia="SimSun" w:hAnsi="Arial" w:cs="Arial"/>
                <w:color w:val="000000"/>
                <w:sz w:val="19"/>
                <w:szCs w:val="19"/>
                <w:lang w:val="en-CA" w:eastAsia="zh-CN"/>
              </w:rPr>
              <w:t>13.4</w:t>
            </w:r>
            <w:r w:rsidR="0048611C" w:rsidRPr="00A43F68">
              <w:rPr>
                <w:rFonts w:ascii="Arial" w:eastAsia="SimSun" w:hAnsi="Arial" w:cs="Arial"/>
                <w:color w:val="000000"/>
                <w:sz w:val="19"/>
                <w:szCs w:val="19"/>
                <w:lang w:val="en-CA" w:eastAsia="zh-CN"/>
              </w:rPr>
              <w:t>2</w:t>
            </w:r>
          </w:p>
        </w:tc>
        <w:tc>
          <w:tcPr>
            <w:tcW w:w="807" w:type="dxa"/>
            <w:tcBorders>
              <w:top w:val="nil"/>
              <w:left w:val="nil"/>
              <w:bottom w:val="single" w:sz="4" w:space="0" w:color="auto"/>
              <w:right w:val="single" w:sz="4" w:space="0" w:color="auto"/>
            </w:tcBorders>
            <w:shd w:val="clear" w:color="auto" w:fill="auto"/>
            <w:noWrap/>
            <w:vAlign w:val="bottom"/>
            <w:hideMark/>
          </w:tcPr>
          <w:p w14:paraId="06771415" w14:textId="5AEE23F4" w:rsidR="003D30B2" w:rsidRPr="00A43F68" w:rsidRDefault="003D30B2" w:rsidP="003D30B2">
            <w:pPr>
              <w:jc w:val="right"/>
              <w:rPr>
                <w:rFonts w:ascii="Arial" w:eastAsia="SimSun" w:hAnsi="Arial" w:cs="Arial"/>
                <w:color w:val="000000"/>
                <w:sz w:val="19"/>
                <w:szCs w:val="19"/>
                <w:lang w:val="en-CA" w:eastAsia="zh-CN"/>
              </w:rPr>
            </w:pPr>
            <w:r w:rsidRPr="00A43F68">
              <w:rPr>
                <w:rFonts w:ascii="Arial" w:eastAsia="SimSun" w:hAnsi="Arial" w:cs="Arial"/>
                <w:color w:val="000000"/>
                <w:sz w:val="19"/>
                <w:szCs w:val="19"/>
                <w:lang w:val="en-CA" w:eastAsia="zh-CN"/>
              </w:rPr>
              <w:t>13.95</w:t>
            </w:r>
          </w:p>
        </w:tc>
      </w:tr>
      <w:tr w:rsidR="00EB600D" w:rsidRPr="00A43F68" w14:paraId="19FCD5E7" w14:textId="77777777" w:rsidTr="00EB600D">
        <w:trPr>
          <w:trHeight w:val="240"/>
          <w:jc w:val="center"/>
        </w:trPr>
        <w:tc>
          <w:tcPr>
            <w:tcW w:w="1545" w:type="dxa"/>
            <w:tcBorders>
              <w:top w:val="nil"/>
              <w:left w:val="single" w:sz="4" w:space="0" w:color="auto"/>
              <w:bottom w:val="single" w:sz="4" w:space="0" w:color="auto"/>
              <w:right w:val="single" w:sz="4" w:space="0" w:color="auto"/>
            </w:tcBorders>
            <w:shd w:val="clear" w:color="auto" w:fill="auto"/>
            <w:noWrap/>
            <w:vAlign w:val="bottom"/>
            <w:hideMark/>
          </w:tcPr>
          <w:p w14:paraId="351A31A9" w14:textId="77777777" w:rsidR="003D30B2" w:rsidRPr="00A43F68" w:rsidRDefault="003D30B2" w:rsidP="003D30B2">
            <w:pPr>
              <w:rPr>
                <w:rFonts w:ascii="Arial" w:eastAsia="SimSun" w:hAnsi="Arial" w:cs="Arial"/>
                <w:b/>
                <w:bCs/>
                <w:color w:val="000000"/>
                <w:sz w:val="19"/>
                <w:szCs w:val="19"/>
                <w:lang w:val="en-CA" w:eastAsia="zh-CN"/>
              </w:rPr>
            </w:pPr>
            <w:r w:rsidRPr="00A43F68">
              <w:rPr>
                <w:rFonts w:ascii="Arial" w:eastAsia="SimSun" w:hAnsi="Arial" w:cs="Arial"/>
                <w:b/>
                <w:bCs/>
                <w:color w:val="000000"/>
                <w:sz w:val="19"/>
                <w:szCs w:val="19"/>
                <w:lang w:val="en-CA" w:eastAsia="zh-CN"/>
              </w:rPr>
              <w:t>EBIT</w:t>
            </w:r>
          </w:p>
        </w:tc>
        <w:tc>
          <w:tcPr>
            <w:tcW w:w="939" w:type="dxa"/>
            <w:tcBorders>
              <w:top w:val="nil"/>
              <w:left w:val="nil"/>
              <w:bottom w:val="single" w:sz="4" w:space="0" w:color="auto"/>
              <w:right w:val="single" w:sz="4" w:space="0" w:color="auto"/>
            </w:tcBorders>
            <w:shd w:val="clear" w:color="auto" w:fill="auto"/>
            <w:noWrap/>
            <w:vAlign w:val="bottom"/>
            <w:hideMark/>
          </w:tcPr>
          <w:p w14:paraId="48EFEE78" w14:textId="7CE64119" w:rsidR="003D30B2" w:rsidRPr="00A43F68" w:rsidRDefault="003D30B2" w:rsidP="003D30B2">
            <w:pPr>
              <w:jc w:val="right"/>
              <w:rPr>
                <w:rFonts w:ascii="Arial" w:eastAsia="SimSun" w:hAnsi="Arial" w:cs="Arial"/>
                <w:color w:val="000000"/>
                <w:sz w:val="19"/>
                <w:szCs w:val="19"/>
                <w:lang w:val="en-CA" w:eastAsia="zh-CN"/>
              </w:rPr>
            </w:pPr>
            <w:r w:rsidRPr="00A43F68">
              <w:rPr>
                <w:rFonts w:ascii="Arial" w:eastAsia="SimSun" w:hAnsi="Arial" w:cs="Arial"/>
                <w:color w:val="000000"/>
                <w:sz w:val="19"/>
                <w:szCs w:val="19"/>
                <w:lang w:val="en-CA" w:eastAsia="zh-CN"/>
              </w:rPr>
              <w:t>1.84</w:t>
            </w:r>
          </w:p>
        </w:tc>
        <w:tc>
          <w:tcPr>
            <w:tcW w:w="939" w:type="dxa"/>
            <w:tcBorders>
              <w:top w:val="nil"/>
              <w:left w:val="nil"/>
              <w:bottom w:val="single" w:sz="4" w:space="0" w:color="auto"/>
              <w:right w:val="single" w:sz="4" w:space="0" w:color="auto"/>
            </w:tcBorders>
            <w:shd w:val="clear" w:color="auto" w:fill="auto"/>
            <w:noWrap/>
            <w:vAlign w:val="bottom"/>
            <w:hideMark/>
          </w:tcPr>
          <w:p w14:paraId="379C55C6" w14:textId="285C46C8" w:rsidR="003D30B2" w:rsidRPr="00A43F68" w:rsidRDefault="003D30B2" w:rsidP="003D30B2">
            <w:pPr>
              <w:jc w:val="right"/>
              <w:rPr>
                <w:rFonts w:ascii="Arial" w:eastAsia="SimSun" w:hAnsi="Arial" w:cs="Arial"/>
                <w:color w:val="000000"/>
                <w:sz w:val="19"/>
                <w:szCs w:val="19"/>
                <w:lang w:val="en-CA" w:eastAsia="zh-CN"/>
              </w:rPr>
            </w:pPr>
            <w:r w:rsidRPr="00A43F68">
              <w:rPr>
                <w:rFonts w:ascii="Arial" w:eastAsia="SimSun" w:hAnsi="Arial" w:cs="Arial"/>
                <w:color w:val="000000"/>
                <w:sz w:val="19"/>
                <w:szCs w:val="19"/>
                <w:lang w:val="en-CA" w:eastAsia="zh-CN"/>
              </w:rPr>
              <w:t>4.57</w:t>
            </w:r>
          </w:p>
        </w:tc>
        <w:tc>
          <w:tcPr>
            <w:tcW w:w="939" w:type="dxa"/>
            <w:tcBorders>
              <w:top w:val="nil"/>
              <w:left w:val="nil"/>
              <w:bottom w:val="single" w:sz="4" w:space="0" w:color="auto"/>
              <w:right w:val="single" w:sz="4" w:space="0" w:color="auto"/>
            </w:tcBorders>
            <w:shd w:val="clear" w:color="auto" w:fill="auto"/>
            <w:noWrap/>
            <w:vAlign w:val="bottom"/>
            <w:hideMark/>
          </w:tcPr>
          <w:p w14:paraId="03936127" w14:textId="7714334E" w:rsidR="003D30B2" w:rsidRPr="00A43F68" w:rsidRDefault="003D30B2" w:rsidP="003D30B2">
            <w:pPr>
              <w:jc w:val="right"/>
              <w:rPr>
                <w:rFonts w:ascii="Arial" w:eastAsia="SimSun" w:hAnsi="Arial" w:cs="Arial"/>
                <w:color w:val="000000"/>
                <w:sz w:val="19"/>
                <w:szCs w:val="19"/>
                <w:lang w:val="en-CA" w:eastAsia="zh-CN"/>
              </w:rPr>
            </w:pPr>
            <w:r w:rsidRPr="00A43F68">
              <w:rPr>
                <w:rFonts w:ascii="Arial" w:eastAsia="SimSun" w:hAnsi="Arial" w:cs="Arial"/>
                <w:color w:val="000000"/>
                <w:sz w:val="19"/>
                <w:szCs w:val="19"/>
                <w:lang w:val="en-CA" w:eastAsia="zh-CN"/>
              </w:rPr>
              <w:t>8.55</w:t>
            </w:r>
          </w:p>
        </w:tc>
        <w:tc>
          <w:tcPr>
            <w:tcW w:w="939" w:type="dxa"/>
            <w:tcBorders>
              <w:top w:val="nil"/>
              <w:left w:val="nil"/>
              <w:bottom w:val="single" w:sz="4" w:space="0" w:color="auto"/>
              <w:right w:val="single" w:sz="4" w:space="0" w:color="auto"/>
            </w:tcBorders>
            <w:shd w:val="clear" w:color="auto" w:fill="auto"/>
            <w:noWrap/>
            <w:vAlign w:val="bottom"/>
            <w:hideMark/>
          </w:tcPr>
          <w:p w14:paraId="4802CEF0" w14:textId="5D013092" w:rsidR="003D30B2" w:rsidRPr="00A43F68" w:rsidRDefault="003D30B2" w:rsidP="003D30B2">
            <w:pPr>
              <w:jc w:val="right"/>
              <w:rPr>
                <w:rFonts w:ascii="Arial" w:eastAsia="SimSun" w:hAnsi="Arial" w:cs="Arial"/>
                <w:color w:val="000000"/>
                <w:sz w:val="19"/>
                <w:szCs w:val="19"/>
                <w:lang w:val="en-CA" w:eastAsia="zh-CN"/>
              </w:rPr>
            </w:pPr>
            <w:r w:rsidRPr="00A43F68">
              <w:rPr>
                <w:rFonts w:ascii="Arial" w:eastAsia="SimSun" w:hAnsi="Arial" w:cs="Arial"/>
                <w:color w:val="000000"/>
                <w:sz w:val="19"/>
                <w:szCs w:val="19"/>
                <w:lang w:val="en-CA" w:eastAsia="zh-CN"/>
              </w:rPr>
              <w:t>9.21</w:t>
            </w:r>
          </w:p>
        </w:tc>
        <w:tc>
          <w:tcPr>
            <w:tcW w:w="939" w:type="dxa"/>
            <w:tcBorders>
              <w:top w:val="nil"/>
              <w:left w:val="nil"/>
              <w:bottom w:val="single" w:sz="4" w:space="0" w:color="auto"/>
              <w:right w:val="single" w:sz="4" w:space="0" w:color="auto"/>
            </w:tcBorders>
            <w:shd w:val="clear" w:color="auto" w:fill="auto"/>
            <w:noWrap/>
            <w:vAlign w:val="bottom"/>
            <w:hideMark/>
          </w:tcPr>
          <w:p w14:paraId="2EC9A8C0" w14:textId="11B126FC" w:rsidR="003D30B2" w:rsidRPr="00A43F68" w:rsidRDefault="003D30B2" w:rsidP="003D30B2">
            <w:pPr>
              <w:jc w:val="right"/>
              <w:rPr>
                <w:rFonts w:ascii="Arial" w:eastAsia="SimSun" w:hAnsi="Arial" w:cs="Arial"/>
                <w:color w:val="000000"/>
                <w:sz w:val="19"/>
                <w:szCs w:val="19"/>
                <w:lang w:val="en-CA" w:eastAsia="zh-CN"/>
              </w:rPr>
            </w:pPr>
            <w:r w:rsidRPr="00A43F68">
              <w:rPr>
                <w:rFonts w:ascii="Arial" w:eastAsia="SimSun" w:hAnsi="Arial" w:cs="Arial"/>
                <w:color w:val="000000"/>
                <w:sz w:val="19"/>
                <w:szCs w:val="19"/>
                <w:lang w:val="en-CA" w:eastAsia="zh-CN"/>
              </w:rPr>
              <w:t>10.06</w:t>
            </w:r>
          </w:p>
        </w:tc>
        <w:tc>
          <w:tcPr>
            <w:tcW w:w="939" w:type="dxa"/>
            <w:tcBorders>
              <w:top w:val="nil"/>
              <w:left w:val="nil"/>
              <w:bottom w:val="single" w:sz="4" w:space="0" w:color="auto"/>
              <w:right w:val="single" w:sz="4" w:space="0" w:color="auto"/>
            </w:tcBorders>
            <w:shd w:val="clear" w:color="auto" w:fill="auto"/>
            <w:noWrap/>
            <w:vAlign w:val="bottom"/>
            <w:hideMark/>
          </w:tcPr>
          <w:p w14:paraId="095BA63E" w14:textId="54315222" w:rsidR="003D30B2" w:rsidRPr="00A43F68" w:rsidRDefault="003D30B2" w:rsidP="003D30B2">
            <w:pPr>
              <w:jc w:val="right"/>
              <w:rPr>
                <w:rFonts w:ascii="Arial" w:eastAsia="SimSun" w:hAnsi="Arial" w:cs="Arial"/>
                <w:color w:val="000000"/>
                <w:sz w:val="19"/>
                <w:szCs w:val="19"/>
                <w:lang w:val="en-CA" w:eastAsia="zh-CN"/>
              </w:rPr>
            </w:pPr>
            <w:r w:rsidRPr="00A43F68">
              <w:rPr>
                <w:rFonts w:ascii="Arial" w:eastAsia="SimSun" w:hAnsi="Arial" w:cs="Arial"/>
                <w:color w:val="000000"/>
                <w:sz w:val="19"/>
                <w:szCs w:val="19"/>
                <w:lang w:val="en-CA" w:eastAsia="zh-CN"/>
              </w:rPr>
              <w:t>10.75</w:t>
            </w:r>
          </w:p>
        </w:tc>
        <w:tc>
          <w:tcPr>
            <w:tcW w:w="939" w:type="dxa"/>
            <w:tcBorders>
              <w:top w:val="nil"/>
              <w:left w:val="nil"/>
              <w:bottom w:val="single" w:sz="4" w:space="0" w:color="auto"/>
              <w:right w:val="single" w:sz="4" w:space="0" w:color="auto"/>
            </w:tcBorders>
            <w:shd w:val="clear" w:color="auto" w:fill="auto"/>
            <w:noWrap/>
            <w:vAlign w:val="bottom"/>
            <w:hideMark/>
          </w:tcPr>
          <w:p w14:paraId="1C055FDC" w14:textId="0328D239" w:rsidR="003D30B2" w:rsidRPr="00A43F68" w:rsidRDefault="003D30B2" w:rsidP="003D30B2">
            <w:pPr>
              <w:jc w:val="right"/>
              <w:rPr>
                <w:rFonts w:ascii="Arial" w:eastAsia="SimSun" w:hAnsi="Arial" w:cs="Arial"/>
                <w:color w:val="000000"/>
                <w:sz w:val="19"/>
                <w:szCs w:val="19"/>
                <w:lang w:val="en-CA" w:eastAsia="zh-CN"/>
              </w:rPr>
            </w:pPr>
            <w:r w:rsidRPr="00A43F68">
              <w:rPr>
                <w:rFonts w:ascii="Arial" w:eastAsia="SimSun" w:hAnsi="Arial" w:cs="Arial"/>
                <w:color w:val="000000"/>
                <w:sz w:val="19"/>
                <w:szCs w:val="19"/>
                <w:lang w:val="en-CA" w:eastAsia="zh-CN"/>
              </w:rPr>
              <w:t>11.21</w:t>
            </w:r>
          </w:p>
        </w:tc>
        <w:tc>
          <w:tcPr>
            <w:tcW w:w="807" w:type="dxa"/>
            <w:tcBorders>
              <w:top w:val="nil"/>
              <w:left w:val="nil"/>
              <w:bottom w:val="single" w:sz="4" w:space="0" w:color="auto"/>
              <w:right w:val="single" w:sz="4" w:space="0" w:color="auto"/>
            </w:tcBorders>
            <w:shd w:val="clear" w:color="auto" w:fill="auto"/>
            <w:noWrap/>
            <w:vAlign w:val="bottom"/>
            <w:hideMark/>
          </w:tcPr>
          <w:p w14:paraId="153B2B67" w14:textId="50158F73" w:rsidR="003D30B2" w:rsidRPr="00A43F68" w:rsidRDefault="003D30B2" w:rsidP="003D30B2">
            <w:pPr>
              <w:jc w:val="right"/>
              <w:rPr>
                <w:rFonts w:ascii="Arial" w:eastAsia="SimSun" w:hAnsi="Arial" w:cs="Arial"/>
                <w:color w:val="000000"/>
                <w:sz w:val="19"/>
                <w:szCs w:val="19"/>
                <w:lang w:val="en-CA" w:eastAsia="zh-CN"/>
              </w:rPr>
            </w:pPr>
            <w:r w:rsidRPr="00A43F68">
              <w:rPr>
                <w:rFonts w:ascii="Arial" w:eastAsia="SimSun" w:hAnsi="Arial" w:cs="Arial"/>
                <w:color w:val="000000"/>
                <w:sz w:val="19"/>
                <w:szCs w:val="19"/>
                <w:lang w:val="en-CA" w:eastAsia="zh-CN"/>
              </w:rPr>
              <w:t>11.70</w:t>
            </w:r>
          </w:p>
        </w:tc>
      </w:tr>
      <w:tr w:rsidR="00EB600D" w:rsidRPr="00A43F68" w14:paraId="254215C3" w14:textId="77777777" w:rsidTr="00EB600D">
        <w:trPr>
          <w:trHeight w:val="240"/>
          <w:jc w:val="center"/>
        </w:trPr>
        <w:tc>
          <w:tcPr>
            <w:tcW w:w="1545" w:type="dxa"/>
            <w:tcBorders>
              <w:top w:val="nil"/>
              <w:left w:val="single" w:sz="4" w:space="0" w:color="auto"/>
              <w:bottom w:val="single" w:sz="4" w:space="0" w:color="auto"/>
              <w:right w:val="single" w:sz="4" w:space="0" w:color="auto"/>
            </w:tcBorders>
            <w:shd w:val="clear" w:color="auto" w:fill="auto"/>
            <w:noWrap/>
            <w:vAlign w:val="bottom"/>
            <w:hideMark/>
          </w:tcPr>
          <w:p w14:paraId="13A6BD56" w14:textId="34640C9E" w:rsidR="003D30B2" w:rsidRPr="00A43F68" w:rsidRDefault="003D30B2" w:rsidP="003D30B2">
            <w:pPr>
              <w:rPr>
                <w:rFonts w:ascii="Arial" w:eastAsia="SimSun" w:hAnsi="Arial" w:cs="Arial"/>
                <w:b/>
                <w:bCs/>
                <w:color w:val="000000"/>
                <w:sz w:val="19"/>
                <w:szCs w:val="19"/>
                <w:lang w:val="en-CA" w:eastAsia="zh-CN"/>
              </w:rPr>
            </w:pPr>
            <w:r w:rsidRPr="00A43F68">
              <w:rPr>
                <w:rFonts w:ascii="Arial" w:eastAsia="SimSun" w:hAnsi="Arial" w:cs="Arial"/>
                <w:b/>
                <w:bCs/>
                <w:color w:val="000000"/>
                <w:sz w:val="19"/>
                <w:szCs w:val="19"/>
                <w:lang w:val="en-CA" w:eastAsia="zh-CN"/>
              </w:rPr>
              <w:t>Pre-</w:t>
            </w:r>
            <w:r w:rsidR="008A2D8B" w:rsidRPr="00A43F68">
              <w:rPr>
                <w:rFonts w:ascii="Arial" w:eastAsia="SimSun" w:hAnsi="Arial" w:cs="Arial"/>
                <w:b/>
                <w:bCs/>
                <w:color w:val="000000"/>
                <w:sz w:val="19"/>
                <w:szCs w:val="19"/>
                <w:lang w:val="en-CA" w:eastAsia="zh-CN"/>
              </w:rPr>
              <w:t>t</w:t>
            </w:r>
            <w:r w:rsidRPr="00A43F68">
              <w:rPr>
                <w:rFonts w:ascii="Arial" w:eastAsia="SimSun" w:hAnsi="Arial" w:cs="Arial"/>
                <w:b/>
                <w:bCs/>
                <w:color w:val="000000"/>
                <w:sz w:val="19"/>
                <w:szCs w:val="19"/>
                <w:lang w:val="en-CA" w:eastAsia="zh-CN"/>
              </w:rPr>
              <w:t xml:space="preserve">ax </w:t>
            </w:r>
            <w:r w:rsidR="008A2D8B" w:rsidRPr="00A43F68">
              <w:rPr>
                <w:rFonts w:ascii="Arial" w:eastAsia="SimSun" w:hAnsi="Arial" w:cs="Arial"/>
                <w:b/>
                <w:bCs/>
                <w:color w:val="000000"/>
                <w:sz w:val="19"/>
                <w:szCs w:val="19"/>
                <w:lang w:val="en-CA" w:eastAsia="zh-CN"/>
              </w:rPr>
              <w:t>p</w:t>
            </w:r>
            <w:r w:rsidRPr="00A43F68">
              <w:rPr>
                <w:rFonts w:ascii="Arial" w:eastAsia="SimSun" w:hAnsi="Arial" w:cs="Arial"/>
                <w:b/>
                <w:bCs/>
                <w:color w:val="000000"/>
                <w:sz w:val="19"/>
                <w:szCs w:val="19"/>
                <w:lang w:val="en-CA" w:eastAsia="zh-CN"/>
              </w:rPr>
              <w:t>rofit</w:t>
            </w:r>
          </w:p>
        </w:tc>
        <w:tc>
          <w:tcPr>
            <w:tcW w:w="939" w:type="dxa"/>
            <w:tcBorders>
              <w:top w:val="nil"/>
              <w:left w:val="nil"/>
              <w:bottom w:val="single" w:sz="4" w:space="0" w:color="auto"/>
              <w:right w:val="single" w:sz="4" w:space="0" w:color="auto"/>
            </w:tcBorders>
            <w:shd w:val="clear" w:color="auto" w:fill="auto"/>
            <w:noWrap/>
            <w:vAlign w:val="bottom"/>
            <w:hideMark/>
          </w:tcPr>
          <w:p w14:paraId="7EBA4B7A" w14:textId="662D1834" w:rsidR="003D30B2" w:rsidRPr="00A43F68" w:rsidRDefault="003D30B2" w:rsidP="003D30B2">
            <w:pPr>
              <w:jc w:val="right"/>
              <w:rPr>
                <w:rFonts w:ascii="Arial" w:eastAsia="SimSun" w:hAnsi="Arial" w:cs="Arial"/>
                <w:color w:val="000000"/>
                <w:sz w:val="19"/>
                <w:szCs w:val="19"/>
                <w:lang w:val="en-CA" w:eastAsia="zh-CN"/>
              </w:rPr>
            </w:pPr>
            <w:r w:rsidRPr="00A43F68">
              <w:rPr>
                <w:rFonts w:ascii="Arial" w:eastAsia="SimSun" w:hAnsi="Arial" w:cs="Arial"/>
                <w:color w:val="000000"/>
                <w:sz w:val="19"/>
                <w:szCs w:val="19"/>
                <w:lang w:val="en-CA" w:eastAsia="zh-CN"/>
              </w:rPr>
              <w:t>1.51</w:t>
            </w:r>
          </w:p>
        </w:tc>
        <w:tc>
          <w:tcPr>
            <w:tcW w:w="939" w:type="dxa"/>
            <w:tcBorders>
              <w:top w:val="nil"/>
              <w:left w:val="nil"/>
              <w:bottom w:val="single" w:sz="4" w:space="0" w:color="auto"/>
              <w:right w:val="single" w:sz="4" w:space="0" w:color="auto"/>
            </w:tcBorders>
            <w:shd w:val="clear" w:color="auto" w:fill="auto"/>
            <w:noWrap/>
            <w:vAlign w:val="bottom"/>
            <w:hideMark/>
          </w:tcPr>
          <w:p w14:paraId="4BEE9336" w14:textId="6B06632C" w:rsidR="003D30B2" w:rsidRPr="00A43F68" w:rsidRDefault="003D30B2" w:rsidP="003D30B2">
            <w:pPr>
              <w:jc w:val="right"/>
              <w:rPr>
                <w:rFonts w:ascii="Arial" w:eastAsia="SimSun" w:hAnsi="Arial" w:cs="Arial"/>
                <w:color w:val="000000"/>
                <w:sz w:val="19"/>
                <w:szCs w:val="19"/>
                <w:lang w:val="en-CA" w:eastAsia="zh-CN"/>
              </w:rPr>
            </w:pPr>
            <w:r w:rsidRPr="00A43F68">
              <w:rPr>
                <w:rFonts w:ascii="Arial" w:eastAsia="SimSun" w:hAnsi="Arial" w:cs="Arial"/>
                <w:color w:val="000000"/>
                <w:sz w:val="19"/>
                <w:szCs w:val="19"/>
                <w:lang w:val="en-CA" w:eastAsia="zh-CN"/>
              </w:rPr>
              <w:t>3.67</w:t>
            </w:r>
          </w:p>
        </w:tc>
        <w:tc>
          <w:tcPr>
            <w:tcW w:w="939" w:type="dxa"/>
            <w:tcBorders>
              <w:top w:val="nil"/>
              <w:left w:val="nil"/>
              <w:bottom w:val="single" w:sz="4" w:space="0" w:color="auto"/>
              <w:right w:val="single" w:sz="4" w:space="0" w:color="auto"/>
            </w:tcBorders>
            <w:shd w:val="clear" w:color="auto" w:fill="auto"/>
            <w:noWrap/>
            <w:vAlign w:val="bottom"/>
            <w:hideMark/>
          </w:tcPr>
          <w:p w14:paraId="1A925D41" w14:textId="6F17787B" w:rsidR="003D30B2" w:rsidRPr="00A43F68" w:rsidRDefault="003D30B2" w:rsidP="003D30B2">
            <w:pPr>
              <w:jc w:val="right"/>
              <w:rPr>
                <w:rFonts w:ascii="Arial" w:eastAsia="SimSun" w:hAnsi="Arial" w:cs="Arial"/>
                <w:color w:val="000000"/>
                <w:sz w:val="19"/>
                <w:szCs w:val="19"/>
                <w:lang w:val="en-CA" w:eastAsia="zh-CN"/>
              </w:rPr>
            </w:pPr>
            <w:r w:rsidRPr="00A43F68">
              <w:rPr>
                <w:rFonts w:ascii="Arial" w:eastAsia="SimSun" w:hAnsi="Arial" w:cs="Arial"/>
                <w:color w:val="000000"/>
                <w:sz w:val="19"/>
                <w:szCs w:val="19"/>
                <w:lang w:val="en-CA" w:eastAsia="zh-CN"/>
              </w:rPr>
              <w:t>7.61</w:t>
            </w:r>
          </w:p>
        </w:tc>
        <w:tc>
          <w:tcPr>
            <w:tcW w:w="939" w:type="dxa"/>
            <w:tcBorders>
              <w:top w:val="nil"/>
              <w:left w:val="nil"/>
              <w:bottom w:val="single" w:sz="4" w:space="0" w:color="auto"/>
              <w:right w:val="single" w:sz="4" w:space="0" w:color="auto"/>
            </w:tcBorders>
            <w:shd w:val="clear" w:color="auto" w:fill="auto"/>
            <w:noWrap/>
            <w:vAlign w:val="bottom"/>
            <w:hideMark/>
          </w:tcPr>
          <w:p w14:paraId="7C1049E5" w14:textId="7275FD4B" w:rsidR="003D30B2" w:rsidRPr="00A43F68" w:rsidRDefault="003D30B2" w:rsidP="003D30B2">
            <w:pPr>
              <w:jc w:val="right"/>
              <w:rPr>
                <w:rFonts w:ascii="Arial" w:eastAsia="SimSun" w:hAnsi="Arial" w:cs="Arial"/>
                <w:color w:val="000000"/>
                <w:sz w:val="19"/>
                <w:szCs w:val="19"/>
                <w:lang w:val="en-CA" w:eastAsia="zh-CN"/>
              </w:rPr>
            </w:pPr>
            <w:r w:rsidRPr="00A43F68">
              <w:rPr>
                <w:rFonts w:ascii="Arial" w:eastAsia="SimSun" w:hAnsi="Arial" w:cs="Arial"/>
                <w:color w:val="000000"/>
                <w:sz w:val="19"/>
                <w:szCs w:val="19"/>
                <w:lang w:val="en-CA" w:eastAsia="zh-CN"/>
              </w:rPr>
              <w:t>8.02</w:t>
            </w:r>
          </w:p>
        </w:tc>
        <w:tc>
          <w:tcPr>
            <w:tcW w:w="939" w:type="dxa"/>
            <w:tcBorders>
              <w:top w:val="nil"/>
              <w:left w:val="nil"/>
              <w:bottom w:val="single" w:sz="4" w:space="0" w:color="auto"/>
              <w:right w:val="single" w:sz="4" w:space="0" w:color="auto"/>
            </w:tcBorders>
            <w:shd w:val="clear" w:color="auto" w:fill="auto"/>
            <w:noWrap/>
            <w:vAlign w:val="bottom"/>
            <w:hideMark/>
          </w:tcPr>
          <w:p w14:paraId="17EFDABE" w14:textId="338314C4" w:rsidR="003D30B2" w:rsidRPr="00A43F68" w:rsidRDefault="003D30B2" w:rsidP="003D30B2">
            <w:pPr>
              <w:jc w:val="right"/>
              <w:rPr>
                <w:rFonts w:ascii="Arial" w:eastAsia="SimSun" w:hAnsi="Arial" w:cs="Arial"/>
                <w:color w:val="000000"/>
                <w:sz w:val="19"/>
                <w:szCs w:val="19"/>
                <w:lang w:val="en-CA" w:eastAsia="zh-CN"/>
              </w:rPr>
            </w:pPr>
            <w:r w:rsidRPr="00A43F68">
              <w:rPr>
                <w:rFonts w:ascii="Arial" w:eastAsia="SimSun" w:hAnsi="Arial" w:cs="Arial"/>
                <w:color w:val="000000"/>
                <w:sz w:val="19"/>
                <w:szCs w:val="19"/>
                <w:lang w:val="en-CA" w:eastAsia="zh-CN"/>
              </w:rPr>
              <w:t>8.65</w:t>
            </w:r>
          </w:p>
        </w:tc>
        <w:tc>
          <w:tcPr>
            <w:tcW w:w="939" w:type="dxa"/>
            <w:tcBorders>
              <w:top w:val="nil"/>
              <w:left w:val="nil"/>
              <w:bottom w:val="single" w:sz="4" w:space="0" w:color="auto"/>
              <w:right w:val="single" w:sz="4" w:space="0" w:color="auto"/>
            </w:tcBorders>
            <w:shd w:val="clear" w:color="auto" w:fill="auto"/>
            <w:noWrap/>
            <w:vAlign w:val="bottom"/>
            <w:hideMark/>
          </w:tcPr>
          <w:p w14:paraId="67A76AEF" w14:textId="46C07A0C" w:rsidR="003D30B2" w:rsidRPr="00A43F68" w:rsidRDefault="003D30B2" w:rsidP="003D30B2">
            <w:pPr>
              <w:jc w:val="right"/>
              <w:rPr>
                <w:rFonts w:ascii="Arial" w:eastAsia="SimSun" w:hAnsi="Arial" w:cs="Arial"/>
                <w:color w:val="000000"/>
                <w:sz w:val="19"/>
                <w:szCs w:val="19"/>
                <w:lang w:val="en-CA" w:eastAsia="zh-CN"/>
              </w:rPr>
            </w:pPr>
            <w:r w:rsidRPr="00A43F68">
              <w:rPr>
                <w:rFonts w:ascii="Arial" w:eastAsia="SimSun" w:hAnsi="Arial" w:cs="Arial"/>
                <w:color w:val="000000"/>
                <w:sz w:val="19"/>
                <w:szCs w:val="19"/>
                <w:lang w:val="en-CA" w:eastAsia="zh-CN"/>
              </w:rPr>
              <w:t>9.10</w:t>
            </w:r>
          </w:p>
        </w:tc>
        <w:tc>
          <w:tcPr>
            <w:tcW w:w="939" w:type="dxa"/>
            <w:tcBorders>
              <w:top w:val="nil"/>
              <w:left w:val="nil"/>
              <w:bottom w:val="single" w:sz="4" w:space="0" w:color="auto"/>
              <w:right w:val="single" w:sz="4" w:space="0" w:color="auto"/>
            </w:tcBorders>
            <w:shd w:val="clear" w:color="auto" w:fill="auto"/>
            <w:noWrap/>
            <w:vAlign w:val="bottom"/>
            <w:hideMark/>
          </w:tcPr>
          <w:p w14:paraId="1CBE50B5" w14:textId="6116E5D7" w:rsidR="003D30B2" w:rsidRPr="00A43F68" w:rsidRDefault="003D30B2" w:rsidP="003D30B2">
            <w:pPr>
              <w:jc w:val="right"/>
              <w:rPr>
                <w:rFonts w:ascii="Arial" w:eastAsia="SimSun" w:hAnsi="Arial" w:cs="Arial"/>
                <w:color w:val="000000"/>
                <w:sz w:val="19"/>
                <w:szCs w:val="19"/>
                <w:lang w:val="en-CA" w:eastAsia="zh-CN"/>
              </w:rPr>
            </w:pPr>
            <w:r w:rsidRPr="00A43F68">
              <w:rPr>
                <w:rFonts w:ascii="Arial" w:eastAsia="SimSun" w:hAnsi="Arial" w:cs="Arial"/>
                <w:color w:val="000000"/>
                <w:sz w:val="19"/>
                <w:szCs w:val="19"/>
                <w:lang w:val="en-CA" w:eastAsia="zh-CN"/>
              </w:rPr>
              <w:t>9.35</w:t>
            </w:r>
          </w:p>
        </w:tc>
        <w:tc>
          <w:tcPr>
            <w:tcW w:w="807" w:type="dxa"/>
            <w:tcBorders>
              <w:top w:val="nil"/>
              <w:left w:val="nil"/>
              <w:bottom w:val="single" w:sz="4" w:space="0" w:color="auto"/>
              <w:right w:val="single" w:sz="4" w:space="0" w:color="auto"/>
            </w:tcBorders>
            <w:shd w:val="clear" w:color="auto" w:fill="auto"/>
            <w:noWrap/>
            <w:vAlign w:val="bottom"/>
            <w:hideMark/>
          </w:tcPr>
          <w:p w14:paraId="4C2AE939" w14:textId="467C4DE2" w:rsidR="003D30B2" w:rsidRPr="00A43F68" w:rsidRDefault="003D30B2" w:rsidP="003D30B2">
            <w:pPr>
              <w:jc w:val="right"/>
              <w:rPr>
                <w:rFonts w:ascii="Arial" w:eastAsia="SimSun" w:hAnsi="Arial" w:cs="Arial"/>
                <w:color w:val="000000"/>
                <w:sz w:val="19"/>
                <w:szCs w:val="19"/>
                <w:lang w:val="en-CA" w:eastAsia="zh-CN"/>
              </w:rPr>
            </w:pPr>
            <w:r w:rsidRPr="00A43F68">
              <w:rPr>
                <w:rFonts w:ascii="Arial" w:eastAsia="SimSun" w:hAnsi="Arial" w:cs="Arial"/>
                <w:color w:val="000000"/>
                <w:sz w:val="19"/>
                <w:szCs w:val="19"/>
                <w:lang w:val="en-CA" w:eastAsia="zh-CN"/>
              </w:rPr>
              <w:t>9.69</w:t>
            </w:r>
          </w:p>
        </w:tc>
      </w:tr>
      <w:tr w:rsidR="00EB600D" w:rsidRPr="00A43F68" w14:paraId="1287ECD6" w14:textId="77777777" w:rsidTr="00EB600D">
        <w:trPr>
          <w:trHeight w:val="240"/>
          <w:jc w:val="center"/>
        </w:trPr>
        <w:tc>
          <w:tcPr>
            <w:tcW w:w="1545" w:type="dxa"/>
            <w:tcBorders>
              <w:top w:val="nil"/>
              <w:left w:val="single" w:sz="4" w:space="0" w:color="auto"/>
              <w:bottom w:val="single" w:sz="4" w:space="0" w:color="auto"/>
              <w:right w:val="single" w:sz="4" w:space="0" w:color="auto"/>
            </w:tcBorders>
            <w:shd w:val="clear" w:color="auto" w:fill="auto"/>
            <w:noWrap/>
            <w:vAlign w:val="bottom"/>
            <w:hideMark/>
          </w:tcPr>
          <w:p w14:paraId="73499C73" w14:textId="77777777" w:rsidR="003D30B2" w:rsidRPr="00A43F68" w:rsidRDefault="003D30B2" w:rsidP="003D30B2">
            <w:pPr>
              <w:rPr>
                <w:rFonts w:ascii="Arial" w:eastAsia="SimSun" w:hAnsi="Arial" w:cs="Arial"/>
                <w:b/>
                <w:bCs/>
                <w:color w:val="000000"/>
                <w:sz w:val="19"/>
                <w:szCs w:val="19"/>
                <w:lang w:val="en-CA" w:eastAsia="zh-CN"/>
              </w:rPr>
            </w:pPr>
            <w:r w:rsidRPr="00A43F68">
              <w:rPr>
                <w:rFonts w:ascii="Arial" w:eastAsia="SimSun" w:hAnsi="Arial" w:cs="Arial"/>
                <w:b/>
                <w:bCs/>
                <w:color w:val="000000"/>
                <w:sz w:val="19"/>
                <w:szCs w:val="19"/>
                <w:lang w:val="en-CA" w:eastAsia="zh-CN"/>
              </w:rPr>
              <w:t>NPAT</w:t>
            </w:r>
          </w:p>
        </w:tc>
        <w:tc>
          <w:tcPr>
            <w:tcW w:w="939" w:type="dxa"/>
            <w:tcBorders>
              <w:top w:val="nil"/>
              <w:left w:val="nil"/>
              <w:bottom w:val="single" w:sz="4" w:space="0" w:color="auto"/>
              <w:right w:val="single" w:sz="4" w:space="0" w:color="auto"/>
            </w:tcBorders>
            <w:shd w:val="clear" w:color="auto" w:fill="auto"/>
            <w:noWrap/>
            <w:vAlign w:val="bottom"/>
            <w:hideMark/>
          </w:tcPr>
          <w:p w14:paraId="6A03D3F9" w14:textId="29C4BCB5" w:rsidR="003D30B2" w:rsidRPr="00A43F68" w:rsidRDefault="003D30B2" w:rsidP="003D30B2">
            <w:pPr>
              <w:jc w:val="right"/>
              <w:rPr>
                <w:rFonts w:ascii="Arial" w:eastAsia="SimSun" w:hAnsi="Arial" w:cs="Arial"/>
                <w:color w:val="000000"/>
                <w:sz w:val="19"/>
                <w:szCs w:val="19"/>
                <w:lang w:val="en-CA" w:eastAsia="zh-CN"/>
              </w:rPr>
            </w:pPr>
            <w:r w:rsidRPr="00A43F68">
              <w:rPr>
                <w:rFonts w:ascii="Arial" w:eastAsia="SimSun" w:hAnsi="Arial" w:cs="Arial"/>
                <w:color w:val="000000"/>
                <w:sz w:val="19"/>
                <w:szCs w:val="19"/>
                <w:lang w:val="en-CA" w:eastAsia="zh-CN"/>
              </w:rPr>
              <w:t>1.00</w:t>
            </w:r>
          </w:p>
        </w:tc>
        <w:tc>
          <w:tcPr>
            <w:tcW w:w="939" w:type="dxa"/>
            <w:tcBorders>
              <w:top w:val="nil"/>
              <w:left w:val="nil"/>
              <w:bottom w:val="single" w:sz="4" w:space="0" w:color="auto"/>
              <w:right w:val="single" w:sz="4" w:space="0" w:color="auto"/>
            </w:tcBorders>
            <w:shd w:val="clear" w:color="auto" w:fill="auto"/>
            <w:noWrap/>
            <w:vAlign w:val="bottom"/>
            <w:hideMark/>
          </w:tcPr>
          <w:p w14:paraId="2FE7DC63" w14:textId="7B882AEA" w:rsidR="003D30B2" w:rsidRPr="00A43F68" w:rsidRDefault="003D30B2" w:rsidP="003D30B2">
            <w:pPr>
              <w:jc w:val="right"/>
              <w:rPr>
                <w:rFonts w:ascii="Arial" w:eastAsia="SimSun" w:hAnsi="Arial" w:cs="Arial"/>
                <w:color w:val="000000"/>
                <w:sz w:val="19"/>
                <w:szCs w:val="19"/>
                <w:lang w:val="en-CA" w:eastAsia="zh-CN"/>
              </w:rPr>
            </w:pPr>
            <w:r w:rsidRPr="00A43F68">
              <w:rPr>
                <w:rFonts w:ascii="Arial" w:eastAsia="SimSun" w:hAnsi="Arial" w:cs="Arial"/>
                <w:color w:val="000000"/>
                <w:sz w:val="19"/>
                <w:szCs w:val="19"/>
                <w:lang w:val="en-CA" w:eastAsia="zh-CN"/>
              </w:rPr>
              <w:t>2.86</w:t>
            </w:r>
          </w:p>
        </w:tc>
        <w:tc>
          <w:tcPr>
            <w:tcW w:w="939" w:type="dxa"/>
            <w:tcBorders>
              <w:top w:val="nil"/>
              <w:left w:val="nil"/>
              <w:bottom w:val="single" w:sz="4" w:space="0" w:color="auto"/>
              <w:right w:val="single" w:sz="4" w:space="0" w:color="auto"/>
            </w:tcBorders>
            <w:shd w:val="clear" w:color="auto" w:fill="auto"/>
            <w:noWrap/>
            <w:vAlign w:val="bottom"/>
            <w:hideMark/>
          </w:tcPr>
          <w:p w14:paraId="6CFE8F23" w14:textId="31E357EF" w:rsidR="003D30B2" w:rsidRPr="00A43F68" w:rsidRDefault="003D30B2" w:rsidP="003D30B2">
            <w:pPr>
              <w:jc w:val="right"/>
              <w:rPr>
                <w:rFonts w:ascii="Arial" w:eastAsia="SimSun" w:hAnsi="Arial" w:cs="Arial"/>
                <w:color w:val="000000"/>
                <w:sz w:val="19"/>
                <w:szCs w:val="19"/>
                <w:lang w:val="en-CA" w:eastAsia="zh-CN"/>
              </w:rPr>
            </w:pPr>
            <w:r w:rsidRPr="00A43F68">
              <w:rPr>
                <w:rFonts w:ascii="Arial" w:eastAsia="SimSun" w:hAnsi="Arial" w:cs="Arial"/>
                <w:color w:val="000000"/>
                <w:sz w:val="19"/>
                <w:szCs w:val="19"/>
                <w:lang w:val="en-CA" w:eastAsia="zh-CN"/>
              </w:rPr>
              <w:t>5.22</w:t>
            </w:r>
          </w:p>
        </w:tc>
        <w:tc>
          <w:tcPr>
            <w:tcW w:w="939" w:type="dxa"/>
            <w:tcBorders>
              <w:top w:val="nil"/>
              <w:left w:val="nil"/>
              <w:bottom w:val="single" w:sz="4" w:space="0" w:color="auto"/>
              <w:right w:val="single" w:sz="4" w:space="0" w:color="auto"/>
            </w:tcBorders>
            <w:shd w:val="clear" w:color="auto" w:fill="auto"/>
            <w:noWrap/>
            <w:vAlign w:val="bottom"/>
            <w:hideMark/>
          </w:tcPr>
          <w:p w14:paraId="7CC6355C" w14:textId="79B1284A" w:rsidR="003D30B2" w:rsidRPr="00A43F68" w:rsidRDefault="003D30B2" w:rsidP="003D30B2">
            <w:pPr>
              <w:jc w:val="right"/>
              <w:rPr>
                <w:rFonts w:ascii="Arial" w:eastAsia="SimSun" w:hAnsi="Arial" w:cs="Arial"/>
                <w:color w:val="000000"/>
                <w:sz w:val="19"/>
                <w:szCs w:val="19"/>
                <w:lang w:val="en-CA" w:eastAsia="zh-CN"/>
              </w:rPr>
            </w:pPr>
            <w:r w:rsidRPr="00A43F68">
              <w:rPr>
                <w:rFonts w:ascii="Arial" w:eastAsia="SimSun" w:hAnsi="Arial" w:cs="Arial"/>
                <w:color w:val="000000"/>
                <w:sz w:val="19"/>
                <w:szCs w:val="19"/>
                <w:lang w:val="en-CA" w:eastAsia="zh-CN"/>
              </w:rPr>
              <w:t>5.51</w:t>
            </w:r>
          </w:p>
        </w:tc>
        <w:tc>
          <w:tcPr>
            <w:tcW w:w="939" w:type="dxa"/>
            <w:tcBorders>
              <w:top w:val="nil"/>
              <w:left w:val="nil"/>
              <w:bottom w:val="single" w:sz="4" w:space="0" w:color="auto"/>
              <w:right w:val="single" w:sz="4" w:space="0" w:color="auto"/>
            </w:tcBorders>
            <w:shd w:val="clear" w:color="auto" w:fill="auto"/>
            <w:noWrap/>
            <w:vAlign w:val="bottom"/>
            <w:hideMark/>
          </w:tcPr>
          <w:p w14:paraId="5AFA102B" w14:textId="1C638F21" w:rsidR="003D30B2" w:rsidRPr="00A43F68" w:rsidRDefault="003D30B2" w:rsidP="003D30B2">
            <w:pPr>
              <w:jc w:val="right"/>
              <w:rPr>
                <w:rFonts w:ascii="Arial" w:eastAsia="SimSun" w:hAnsi="Arial" w:cs="Arial"/>
                <w:color w:val="000000"/>
                <w:sz w:val="19"/>
                <w:szCs w:val="19"/>
                <w:lang w:val="en-CA" w:eastAsia="zh-CN"/>
              </w:rPr>
            </w:pPr>
            <w:r w:rsidRPr="00A43F68">
              <w:rPr>
                <w:rFonts w:ascii="Arial" w:eastAsia="SimSun" w:hAnsi="Arial" w:cs="Arial"/>
                <w:color w:val="000000"/>
                <w:sz w:val="19"/>
                <w:szCs w:val="19"/>
                <w:lang w:val="en-CA" w:eastAsia="zh-CN"/>
              </w:rPr>
              <w:t>5.94</w:t>
            </w:r>
          </w:p>
        </w:tc>
        <w:tc>
          <w:tcPr>
            <w:tcW w:w="939" w:type="dxa"/>
            <w:tcBorders>
              <w:top w:val="nil"/>
              <w:left w:val="nil"/>
              <w:bottom w:val="single" w:sz="4" w:space="0" w:color="auto"/>
              <w:right w:val="single" w:sz="4" w:space="0" w:color="auto"/>
            </w:tcBorders>
            <w:shd w:val="clear" w:color="auto" w:fill="auto"/>
            <w:noWrap/>
            <w:vAlign w:val="bottom"/>
            <w:hideMark/>
          </w:tcPr>
          <w:p w14:paraId="464B244D" w14:textId="32769C5D" w:rsidR="003D30B2" w:rsidRPr="00A43F68" w:rsidRDefault="003D30B2" w:rsidP="003D30B2">
            <w:pPr>
              <w:jc w:val="right"/>
              <w:rPr>
                <w:rFonts w:ascii="Arial" w:eastAsia="SimSun" w:hAnsi="Arial" w:cs="Arial"/>
                <w:color w:val="000000"/>
                <w:sz w:val="19"/>
                <w:szCs w:val="19"/>
                <w:lang w:val="en-CA" w:eastAsia="zh-CN"/>
              </w:rPr>
            </w:pPr>
            <w:r w:rsidRPr="00A43F68">
              <w:rPr>
                <w:rFonts w:ascii="Arial" w:eastAsia="SimSun" w:hAnsi="Arial" w:cs="Arial"/>
                <w:color w:val="000000"/>
                <w:sz w:val="19"/>
                <w:szCs w:val="19"/>
                <w:lang w:val="en-CA" w:eastAsia="zh-CN"/>
              </w:rPr>
              <w:t>6.25</w:t>
            </w:r>
          </w:p>
        </w:tc>
        <w:tc>
          <w:tcPr>
            <w:tcW w:w="939" w:type="dxa"/>
            <w:tcBorders>
              <w:top w:val="nil"/>
              <w:left w:val="nil"/>
              <w:bottom w:val="single" w:sz="4" w:space="0" w:color="auto"/>
              <w:right w:val="single" w:sz="4" w:space="0" w:color="auto"/>
            </w:tcBorders>
            <w:shd w:val="clear" w:color="auto" w:fill="auto"/>
            <w:noWrap/>
            <w:vAlign w:val="bottom"/>
            <w:hideMark/>
          </w:tcPr>
          <w:p w14:paraId="4BBC8047" w14:textId="0B59582E" w:rsidR="003D30B2" w:rsidRPr="00A43F68" w:rsidRDefault="003D30B2" w:rsidP="003D30B2">
            <w:pPr>
              <w:jc w:val="right"/>
              <w:rPr>
                <w:rFonts w:ascii="Arial" w:eastAsia="SimSun" w:hAnsi="Arial" w:cs="Arial"/>
                <w:color w:val="000000"/>
                <w:sz w:val="19"/>
                <w:szCs w:val="19"/>
                <w:lang w:val="en-CA" w:eastAsia="zh-CN"/>
              </w:rPr>
            </w:pPr>
            <w:r w:rsidRPr="00A43F68">
              <w:rPr>
                <w:rFonts w:ascii="Arial" w:eastAsia="SimSun" w:hAnsi="Arial" w:cs="Arial"/>
                <w:color w:val="000000"/>
                <w:sz w:val="19"/>
                <w:szCs w:val="19"/>
                <w:lang w:val="en-CA" w:eastAsia="zh-CN"/>
              </w:rPr>
              <w:t>6.41</w:t>
            </w:r>
          </w:p>
        </w:tc>
        <w:tc>
          <w:tcPr>
            <w:tcW w:w="807" w:type="dxa"/>
            <w:tcBorders>
              <w:top w:val="nil"/>
              <w:left w:val="nil"/>
              <w:bottom w:val="single" w:sz="4" w:space="0" w:color="auto"/>
              <w:right w:val="single" w:sz="4" w:space="0" w:color="auto"/>
            </w:tcBorders>
            <w:shd w:val="clear" w:color="auto" w:fill="auto"/>
            <w:noWrap/>
            <w:vAlign w:val="bottom"/>
            <w:hideMark/>
          </w:tcPr>
          <w:p w14:paraId="199209A0" w14:textId="7D989F9E" w:rsidR="003D30B2" w:rsidRPr="00A43F68" w:rsidRDefault="003D30B2" w:rsidP="003D30B2">
            <w:pPr>
              <w:jc w:val="right"/>
              <w:rPr>
                <w:rFonts w:ascii="Arial" w:eastAsia="SimSun" w:hAnsi="Arial" w:cs="Arial"/>
                <w:color w:val="000000"/>
                <w:sz w:val="19"/>
                <w:szCs w:val="19"/>
                <w:lang w:val="en-CA" w:eastAsia="zh-CN"/>
              </w:rPr>
            </w:pPr>
            <w:r w:rsidRPr="00A43F68">
              <w:rPr>
                <w:rFonts w:ascii="Arial" w:eastAsia="SimSun" w:hAnsi="Arial" w:cs="Arial"/>
                <w:color w:val="000000"/>
                <w:sz w:val="19"/>
                <w:szCs w:val="19"/>
                <w:lang w:val="en-CA" w:eastAsia="zh-CN"/>
              </w:rPr>
              <w:t>6.65</w:t>
            </w:r>
          </w:p>
        </w:tc>
      </w:tr>
    </w:tbl>
    <w:p w14:paraId="03957994" w14:textId="77777777" w:rsidR="003D30B2" w:rsidRPr="00A43F68" w:rsidRDefault="003D30B2" w:rsidP="003D30B2">
      <w:pPr>
        <w:jc w:val="both"/>
        <w:rPr>
          <w:rFonts w:ascii="Arial" w:hAnsi="Arial" w:cs="Arial"/>
          <w:kern w:val="2"/>
          <w:sz w:val="17"/>
          <w:szCs w:val="17"/>
          <w:lang w:val="en-CA"/>
        </w:rPr>
      </w:pPr>
    </w:p>
    <w:p w14:paraId="1865E036" w14:textId="53E5C3BB" w:rsidR="003D30B2" w:rsidRPr="00A43F68" w:rsidRDefault="003D30B2" w:rsidP="003D30B2">
      <w:pPr>
        <w:jc w:val="both"/>
        <w:rPr>
          <w:rFonts w:ascii="Arial" w:hAnsi="Arial" w:cs="Arial"/>
          <w:kern w:val="2"/>
          <w:sz w:val="17"/>
          <w:szCs w:val="17"/>
          <w:lang w:val="en-CA"/>
        </w:rPr>
      </w:pPr>
      <w:r w:rsidRPr="00A43F68">
        <w:rPr>
          <w:rFonts w:ascii="Arial" w:hAnsi="Arial" w:cs="Arial"/>
          <w:kern w:val="2"/>
          <w:sz w:val="17"/>
          <w:szCs w:val="17"/>
          <w:lang w:val="en-CA"/>
        </w:rPr>
        <w:t>Notes: EBITDA = earnings before interest, taxes, depreciation, and amortization; EBIT = earnings before interest and taxes; NPAT = net profits after taxes; E = expected.</w:t>
      </w:r>
    </w:p>
    <w:p w14:paraId="175728FF" w14:textId="1ED6D1BF" w:rsidR="003D30B2" w:rsidRPr="00A43F68" w:rsidRDefault="003D30B2" w:rsidP="003D30B2">
      <w:pPr>
        <w:jc w:val="both"/>
        <w:rPr>
          <w:rFonts w:ascii="Arial" w:hAnsi="Arial" w:cs="Arial"/>
          <w:kern w:val="2"/>
          <w:sz w:val="17"/>
          <w:szCs w:val="17"/>
          <w:lang w:val="en-CA"/>
        </w:rPr>
      </w:pPr>
      <w:r w:rsidRPr="00A43F68">
        <w:rPr>
          <w:rFonts w:ascii="Arial" w:hAnsi="Arial" w:cs="Arial"/>
          <w:kern w:val="2"/>
          <w:sz w:val="17"/>
          <w:szCs w:val="17"/>
          <w:lang w:val="en-CA"/>
        </w:rPr>
        <w:t xml:space="preserve">Source: Created by the case authors based on </w:t>
      </w:r>
      <w:r w:rsidR="002C6B11" w:rsidRPr="00A43F68">
        <w:rPr>
          <w:rFonts w:ascii="Arial" w:hAnsi="Arial" w:cs="Arial"/>
          <w:kern w:val="2"/>
          <w:sz w:val="17"/>
          <w:szCs w:val="17"/>
          <w:lang w:val="en-CA"/>
        </w:rPr>
        <w:t>CFA Institute,</w:t>
      </w:r>
      <w:r w:rsidR="002C6B11" w:rsidRPr="00A43F68" w:rsidDel="002C6B11">
        <w:rPr>
          <w:rFonts w:ascii="Arial" w:hAnsi="Arial" w:cs="Arial"/>
          <w:i/>
          <w:kern w:val="2"/>
          <w:sz w:val="17"/>
          <w:szCs w:val="17"/>
          <w:lang w:val="en-CA"/>
        </w:rPr>
        <w:t xml:space="preserve"> </w:t>
      </w:r>
      <w:r w:rsidRPr="00A43F68">
        <w:rPr>
          <w:rFonts w:ascii="Arial" w:hAnsi="Arial" w:cs="Arial"/>
          <w:i/>
          <w:kern w:val="2"/>
          <w:sz w:val="17"/>
          <w:szCs w:val="17"/>
          <w:lang w:val="en-CA"/>
        </w:rPr>
        <w:t>Tassal Group Limited</w:t>
      </w:r>
      <w:r w:rsidRPr="00A43F68">
        <w:rPr>
          <w:rFonts w:ascii="Arial" w:hAnsi="Arial" w:cs="Arial"/>
          <w:kern w:val="2"/>
          <w:sz w:val="17"/>
          <w:szCs w:val="17"/>
          <w:lang w:val="en-CA"/>
        </w:rPr>
        <w:t xml:space="preserve">, </w:t>
      </w:r>
      <w:r w:rsidR="002C6B11" w:rsidRPr="00A43F68">
        <w:rPr>
          <w:rFonts w:ascii="Arial" w:hAnsi="Arial" w:cs="Arial"/>
          <w:kern w:val="2"/>
          <w:sz w:val="17"/>
          <w:szCs w:val="17"/>
          <w:lang w:val="en-CA"/>
        </w:rPr>
        <w:t xml:space="preserve">12, </w:t>
      </w:r>
      <w:r w:rsidRPr="00A43F68">
        <w:rPr>
          <w:rFonts w:ascii="Arial" w:hAnsi="Arial" w:cs="Arial"/>
          <w:kern w:val="2"/>
          <w:sz w:val="17"/>
          <w:szCs w:val="17"/>
          <w:lang w:val="en-CA"/>
        </w:rPr>
        <w:t>September 17, 2015, accessed October 26, 2018,</w:t>
      </w:r>
      <w:r w:rsidR="008A2D8B" w:rsidRPr="00A43F68">
        <w:rPr>
          <w:rFonts w:ascii="Arial" w:hAnsi="Arial" w:cs="Arial"/>
          <w:kern w:val="2"/>
          <w:sz w:val="17"/>
          <w:szCs w:val="17"/>
          <w:lang w:val="en-CA"/>
        </w:rPr>
        <w:t xml:space="preserve"> </w:t>
      </w:r>
      <w:r w:rsidRPr="00A43F68">
        <w:rPr>
          <w:rFonts w:ascii="Arial" w:hAnsi="Arial" w:cs="Arial"/>
          <w:kern w:val="2"/>
          <w:sz w:val="17"/>
          <w:szCs w:val="17"/>
          <w:lang w:val="en-CA"/>
        </w:rPr>
        <w:t>www.arx.cfa/up/post/872/Melbourne-University-of-Melbourne.pdf.</w:t>
      </w:r>
    </w:p>
    <w:p w14:paraId="05CC8D04" w14:textId="77777777" w:rsidR="003D30B2" w:rsidRPr="00A43F68" w:rsidRDefault="003D30B2" w:rsidP="003D30B2">
      <w:pPr>
        <w:rPr>
          <w:rFonts w:ascii="Arial" w:hAnsi="Arial" w:cs="Arial"/>
          <w:kern w:val="2"/>
          <w:sz w:val="17"/>
          <w:szCs w:val="17"/>
          <w:lang w:val="en-CA"/>
        </w:rPr>
      </w:pPr>
    </w:p>
    <w:p w14:paraId="134A85C8" w14:textId="77777777" w:rsidR="003D30B2" w:rsidRPr="00A43F68" w:rsidRDefault="003D30B2" w:rsidP="003D30B2">
      <w:pPr>
        <w:rPr>
          <w:rFonts w:ascii="Arial" w:hAnsi="Arial" w:cs="Arial"/>
          <w:kern w:val="2"/>
          <w:sz w:val="17"/>
          <w:szCs w:val="17"/>
          <w:lang w:val="en-CA"/>
        </w:rPr>
      </w:pPr>
    </w:p>
    <w:p w14:paraId="2CFB0D65" w14:textId="3239513F" w:rsidR="003D30B2" w:rsidRPr="00A43F68" w:rsidRDefault="003D30B2" w:rsidP="003D30B2">
      <w:pPr>
        <w:jc w:val="center"/>
        <w:outlineLvl w:val="0"/>
        <w:rPr>
          <w:rFonts w:ascii="Arial" w:hAnsi="Arial" w:cs="Arial"/>
          <w:b/>
          <w:caps/>
          <w:kern w:val="2"/>
          <w:lang w:val="en-CA"/>
        </w:rPr>
      </w:pPr>
      <w:r w:rsidRPr="00A43F68">
        <w:rPr>
          <w:rFonts w:ascii="Arial" w:hAnsi="Arial" w:cs="Arial"/>
          <w:b/>
          <w:caps/>
          <w:kern w:val="2"/>
          <w:lang w:val="en-CA"/>
        </w:rPr>
        <w:t xml:space="preserve">Exhibit </w:t>
      </w:r>
      <w:r w:rsidR="00DE3D2F" w:rsidRPr="00A43F68">
        <w:rPr>
          <w:rFonts w:ascii="Arial" w:hAnsi="Arial" w:cs="Arial"/>
          <w:b/>
          <w:caps/>
          <w:kern w:val="2"/>
          <w:lang w:val="en-CA"/>
        </w:rPr>
        <w:t>3</w:t>
      </w:r>
      <w:r w:rsidRPr="00A43F68">
        <w:rPr>
          <w:rFonts w:ascii="Arial" w:hAnsi="Arial" w:cs="Arial"/>
          <w:b/>
          <w:caps/>
          <w:kern w:val="2"/>
          <w:lang w:val="en-CA"/>
        </w:rPr>
        <w:t xml:space="preserve">: DE COSTI SEAFOOD’S standalone income and </w:t>
      </w:r>
      <w:r w:rsidR="00963BBA" w:rsidRPr="00A43F68">
        <w:rPr>
          <w:rFonts w:ascii="Arial" w:hAnsi="Arial" w:cs="Arial"/>
          <w:b/>
          <w:caps/>
          <w:kern w:val="2"/>
          <w:lang w:val="en-CA"/>
        </w:rPr>
        <w:t>earnout</w:t>
      </w:r>
      <w:r w:rsidRPr="00A43F68">
        <w:rPr>
          <w:rFonts w:ascii="Arial" w:hAnsi="Arial" w:cs="Arial"/>
          <w:b/>
          <w:caps/>
          <w:kern w:val="2"/>
          <w:lang w:val="en-CA"/>
        </w:rPr>
        <w:t xml:space="preserve"> (post-acquisition)</w:t>
      </w:r>
    </w:p>
    <w:p w14:paraId="363D96F6" w14:textId="77777777" w:rsidR="003D30B2" w:rsidRPr="00A43F68" w:rsidRDefault="003D30B2" w:rsidP="003D30B2">
      <w:pPr>
        <w:jc w:val="both"/>
        <w:rPr>
          <w:rFonts w:ascii="Arial" w:eastAsiaTheme="minorEastAsia" w:hAnsi="Arial" w:cs="Arial"/>
          <w:kern w:val="2"/>
          <w:lang w:val="en-CA" w:eastAsia="zh-CN"/>
        </w:rPr>
      </w:pPr>
    </w:p>
    <w:tbl>
      <w:tblPr>
        <w:tblW w:w="8380" w:type="dxa"/>
        <w:jc w:val="center"/>
        <w:tblLook w:val="04A0" w:firstRow="1" w:lastRow="0" w:firstColumn="1" w:lastColumn="0" w:noHBand="0" w:noVBand="1"/>
      </w:tblPr>
      <w:tblGrid>
        <w:gridCol w:w="4500"/>
        <w:gridCol w:w="1940"/>
        <w:gridCol w:w="1940"/>
      </w:tblGrid>
      <w:tr w:rsidR="003D30B2" w:rsidRPr="00A43F68" w14:paraId="616ADC0C" w14:textId="77777777" w:rsidTr="003D30B2">
        <w:trPr>
          <w:trHeight w:val="240"/>
          <w:jc w:val="center"/>
        </w:trPr>
        <w:tc>
          <w:tcPr>
            <w:tcW w:w="4500" w:type="dxa"/>
            <w:tcBorders>
              <w:top w:val="nil"/>
              <w:left w:val="nil"/>
              <w:bottom w:val="nil"/>
              <w:right w:val="nil"/>
            </w:tcBorders>
            <w:shd w:val="clear" w:color="auto" w:fill="auto"/>
            <w:vAlign w:val="bottom"/>
            <w:hideMark/>
          </w:tcPr>
          <w:p w14:paraId="73D528D7" w14:textId="77777777" w:rsidR="003D30B2" w:rsidRPr="00A43F68" w:rsidRDefault="003D30B2" w:rsidP="003D30B2">
            <w:pPr>
              <w:rPr>
                <w:rFonts w:ascii="Arial" w:eastAsia="SimSun" w:hAnsi="Arial" w:cs="Arial"/>
                <w:color w:val="000000"/>
                <w:sz w:val="19"/>
                <w:szCs w:val="19"/>
                <w:lang w:val="en-CA" w:eastAsia="zh-CN"/>
              </w:rPr>
            </w:pPr>
          </w:p>
        </w:tc>
        <w:tc>
          <w:tcPr>
            <w:tcW w:w="194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38CB943" w14:textId="48C3581A" w:rsidR="003D30B2" w:rsidRPr="00A43F68" w:rsidRDefault="003D30B2" w:rsidP="003D30B2">
            <w:pPr>
              <w:jc w:val="center"/>
              <w:rPr>
                <w:rFonts w:ascii="Arial" w:eastAsia="SimSun" w:hAnsi="Arial" w:cs="Arial"/>
                <w:b/>
                <w:bCs/>
                <w:color w:val="000000"/>
                <w:sz w:val="19"/>
                <w:szCs w:val="19"/>
                <w:lang w:val="en-CA" w:eastAsia="zh-CN"/>
              </w:rPr>
            </w:pPr>
            <w:r w:rsidRPr="00A43F68">
              <w:rPr>
                <w:rFonts w:ascii="Arial" w:eastAsia="SimSun" w:hAnsi="Arial" w:cs="Arial"/>
                <w:b/>
                <w:bCs/>
                <w:color w:val="000000"/>
                <w:sz w:val="19"/>
                <w:szCs w:val="19"/>
                <w:lang w:val="en-CA" w:eastAsia="zh-CN"/>
              </w:rPr>
              <w:t>FY</w:t>
            </w:r>
            <w:r w:rsidR="00963BBA" w:rsidRPr="00A43F68">
              <w:rPr>
                <w:rFonts w:ascii="Arial" w:eastAsia="SimSun" w:hAnsi="Arial" w:cs="Arial"/>
                <w:b/>
                <w:bCs/>
                <w:color w:val="000000"/>
                <w:sz w:val="19"/>
                <w:szCs w:val="19"/>
                <w:lang w:val="en-CA" w:eastAsia="zh-CN"/>
              </w:rPr>
              <w:t xml:space="preserve"> </w:t>
            </w:r>
            <w:r w:rsidRPr="00A43F68">
              <w:rPr>
                <w:rFonts w:ascii="Arial" w:eastAsia="SimSun" w:hAnsi="Arial" w:cs="Arial"/>
                <w:b/>
                <w:bCs/>
                <w:color w:val="000000"/>
                <w:sz w:val="19"/>
                <w:szCs w:val="19"/>
                <w:lang w:val="en-CA" w:eastAsia="zh-CN"/>
              </w:rPr>
              <w:t>2016</w:t>
            </w:r>
          </w:p>
        </w:tc>
        <w:tc>
          <w:tcPr>
            <w:tcW w:w="1940" w:type="dxa"/>
            <w:tcBorders>
              <w:top w:val="single" w:sz="4" w:space="0" w:color="auto"/>
              <w:left w:val="nil"/>
              <w:bottom w:val="single" w:sz="4" w:space="0" w:color="auto"/>
              <w:right w:val="single" w:sz="4" w:space="0" w:color="auto"/>
            </w:tcBorders>
            <w:shd w:val="clear" w:color="auto" w:fill="auto"/>
            <w:vAlign w:val="bottom"/>
            <w:hideMark/>
          </w:tcPr>
          <w:p w14:paraId="58AC349A" w14:textId="0917C586" w:rsidR="003D30B2" w:rsidRPr="00A43F68" w:rsidRDefault="003D30B2" w:rsidP="003D30B2">
            <w:pPr>
              <w:jc w:val="center"/>
              <w:rPr>
                <w:rFonts w:ascii="Arial" w:eastAsia="SimSun" w:hAnsi="Arial" w:cs="Arial"/>
                <w:b/>
                <w:bCs/>
                <w:color w:val="000000"/>
                <w:sz w:val="19"/>
                <w:szCs w:val="19"/>
                <w:lang w:val="en-CA" w:eastAsia="zh-CN"/>
              </w:rPr>
            </w:pPr>
            <w:r w:rsidRPr="00A43F68">
              <w:rPr>
                <w:rFonts w:ascii="Arial" w:eastAsia="SimSun" w:hAnsi="Arial" w:cs="Arial"/>
                <w:b/>
                <w:bCs/>
                <w:color w:val="000000"/>
                <w:sz w:val="19"/>
                <w:szCs w:val="19"/>
                <w:lang w:val="en-CA" w:eastAsia="zh-CN"/>
              </w:rPr>
              <w:t>FY</w:t>
            </w:r>
            <w:r w:rsidR="00963BBA" w:rsidRPr="00A43F68">
              <w:rPr>
                <w:rFonts w:ascii="Arial" w:eastAsia="SimSun" w:hAnsi="Arial" w:cs="Arial"/>
                <w:b/>
                <w:bCs/>
                <w:color w:val="000000"/>
                <w:sz w:val="19"/>
                <w:szCs w:val="19"/>
                <w:lang w:val="en-CA" w:eastAsia="zh-CN"/>
              </w:rPr>
              <w:t xml:space="preserve"> </w:t>
            </w:r>
            <w:r w:rsidRPr="00A43F68">
              <w:rPr>
                <w:rFonts w:ascii="Arial" w:eastAsia="SimSun" w:hAnsi="Arial" w:cs="Arial"/>
                <w:b/>
                <w:bCs/>
                <w:color w:val="000000"/>
                <w:sz w:val="19"/>
                <w:szCs w:val="19"/>
                <w:lang w:val="en-CA" w:eastAsia="zh-CN"/>
              </w:rPr>
              <w:t>2017</w:t>
            </w:r>
          </w:p>
        </w:tc>
      </w:tr>
      <w:tr w:rsidR="003D30B2" w:rsidRPr="00A43F68" w14:paraId="24A4B45A" w14:textId="77777777" w:rsidTr="003D30B2">
        <w:trPr>
          <w:trHeight w:val="240"/>
          <w:jc w:val="center"/>
        </w:trPr>
        <w:tc>
          <w:tcPr>
            <w:tcW w:w="45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B88ABF9" w14:textId="77777777" w:rsidR="003D30B2" w:rsidRPr="00A43F68" w:rsidRDefault="003D30B2" w:rsidP="003D30B2">
            <w:pPr>
              <w:rPr>
                <w:rFonts w:ascii="Arial" w:eastAsia="SimSun" w:hAnsi="Arial" w:cs="Arial"/>
                <w:b/>
                <w:bCs/>
                <w:color w:val="000000"/>
                <w:sz w:val="19"/>
                <w:szCs w:val="19"/>
                <w:lang w:val="en-CA" w:eastAsia="zh-CN"/>
              </w:rPr>
            </w:pPr>
            <w:r w:rsidRPr="00A43F68">
              <w:rPr>
                <w:rFonts w:ascii="Arial" w:eastAsia="SimSun" w:hAnsi="Arial" w:cs="Arial"/>
                <w:b/>
                <w:bCs/>
                <w:color w:val="000000"/>
                <w:sz w:val="19"/>
                <w:szCs w:val="19"/>
                <w:lang w:val="en-CA" w:eastAsia="zh-CN"/>
              </w:rPr>
              <w:t>De Costi Seafood's EBITDA</w:t>
            </w:r>
          </w:p>
        </w:tc>
        <w:tc>
          <w:tcPr>
            <w:tcW w:w="1940" w:type="dxa"/>
            <w:tcBorders>
              <w:top w:val="nil"/>
              <w:left w:val="nil"/>
              <w:bottom w:val="single" w:sz="4" w:space="0" w:color="auto"/>
              <w:right w:val="single" w:sz="4" w:space="0" w:color="auto"/>
            </w:tcBorders>
            <w:shd w:val="clear" w:color="auto" w:fill="auto"/>
            <w:vAlign w:val="center"/>
            <w:hideMark/>
          </w:tcPr>
          <w:p w14:paraId="253A53B7" w14:textId="77777777" w:rsidR="003D30B2" w:rsidRPr="00A43F68" w:rsidRDefault="003D30B2" w:rsidP="003D30B2">
            <w:pPr>
              <w:jc w:val="center"/>
              <w:rPr>
                <w:rFonts w:ascii="Arial" w:eastAsia="SimSun" w:hAnsi="Arial" w:cs="Arial"/>
                <w:color w:val="000000"/>
                <w:sz w:val="19"/>
                <w:szCs w:val="19"/>
                <w:lang w:val="en-CA" w:eastAsia="zh-CN"/>
              </w:rPr>
            </w:pPr>
            <w:r w:rsidRPr="00A43F68">
              <w:rPr>
                <w:rFonts w:ascii="Arial" w:eastAsia="SimSun" w:hAnsi="Arial" w:cs="Arial"/>
                <w:color w:val="000000"/>
                <w:sz w:val="19"/>
                <w:szCs w:val="19"/>
                <w:lang w:val="en-CA" w:eastAsia="zh-CN"/>
              </w:rPr>
              <w:t>A$11.4 million</w:t>
            </w:r>
          </w:p>
        </w:tc>
        <w:tc>
          <w:tcPr>
            <w:tcW w:w="1940" w:type="dxa"/>
            <w:tcBorders>
              <w:top w:val="nil"/>
              <w:left w:val="nil"/>
              <w:bottom w:val="single" w:sz="4" w:space="0" w:color="auto"/>
              <w:right w:val="single" w:sz="4" w:space="0" w:color="auto"/>
            </w:tcBorders>
            <w:shd w:val="clear" w:color="auto" w:fill="auto"/>
            <w:vAlign w:val="center"/>
            <w:hideMark/>
          </w:tcPr>
          <w:p w14:paraId="49AA484E" w14:textId="77777777" w:rsidR="003D30B2" w:rsidRPr="00A43F68" w:rsidRDefault="003D30B2" w:rsidP="003D30B2">
            <w:pPr>
              <w:jc w:val="center"/>
              <w:rPr>
                <w:rFonts w:ascii="Arial" w:eastAsia="SimSun" w:hAnsi="Arial" w:cs="Arial"/>
                <w:color w:val="000000"/>
                <w:sz w:val="19"/>
                <w:szCs w:val="19"/>
                <w:lang w:val="en-CA" w:eastAsia="zh-CN"/>
              </w:rPr>
            </w:pPr>
            <w:r w:rsidRPr="00A43F68">
              <w:rPr>
                <w:rFonts w:ascii="Arial" w:eastAsia="SimSun" w:hAnsi="Arial" w:cs="Arial"/>
                <w:color w:val="000000"/>
                <w:sz w:val="19"/>
                <w:szCs w:val="19"/>
                <w:lang w:val="en-CA" w:eastAsia="zh-CN"/>
              </w:rPr>
              <w:t>A$12.7 million</w:t>
            </w:r>
          </w:p>
        </w:tc>
      </w:tr>
      <w:tr w:rsidR="003D30B2" w:rsidRPr="00A43F68" w14:paraId="22D24624" w14:textId="77777777" w:rsidTr="003D30B2">
        <w:trPr>
          <w:trHeight w:val="240"/>
          <w:jc w:val="center"/>
        </w:trPr>
        <w:tc>
          <w:tcPr>
            <w:tcW w:w="4500" w:type="dxa"/>
            <w:tcBorders>
              <w:top w:val="nil"/>
              <w:left w:val="single" w:sz="4" w:space="0" w:color="auto"/>
              <w:bottom w:val="single" w:sz="4" w:space="0" w:color="auto"/>
              <w:right w:val="single" w:sz="4" w:space="0" w:color="auto"/>
            </w:tcBorders>
            <w:shd w:val="clear" w:color="auto" w:fill="auto"/>
            <w:vAlign w:val="center"/>
            <w:hideMark/>
          </w:tcPr>
          <w:p w14:paraId="5DA79644" w14:textId="77777777" w:rsidR="003D30B2" w:rsidRPr="00A43F68" w:rsidRDefault="003D30B2" w:rsidP="003D30B2">
            <w:pPr>
              <w:rPr>
                <w:rFonts w:ascii="Arial" w:eastAsia="SimSun" w:hAnsi="Arial" w:cs="Arial"/>
                <w:b/>
                <w:bCs/>
                <w:color w:val="000000"/>
                <w:sz w:val="19"/>
                <w:szCs w:val="19"/>
                <w:lang w:val="en-CA" w:eastAsia="zh-CN"/>
              </w:rPr>
            </w:pPr>
            <w:r w:rsidRPr="00A43F68">
              <w:rPr>
                <w:rFonts w:ascii="Arial" w:eastAsia="SimSun" w:hAnsi="Arial" w:cs="Arial"/>
                <w:b/>
                <w:bCs/>
                <w:color w:val="000000"/>
                <w:sz w:val="19"/>
                <w:szCs w:val="19"/>
                <w:lang w:val="en-CA" w:eastAsia="zh-CN"/>
              </w:rPr>
              <w:t>Contingent consideration (CC)</w:t>
            </w:r>
          </w:p>
        </w:tc>
        <w:tc>
          <w:tcPr>
            <w:tcW w:w="1940" w:type="dxa"/>
            <w:tcBorders>
              <w:top w:val="nil"/>
              <w:left w:val="nil"/>
              <w:bottom w:val="single" w:sz="4" w:space="0" w:color="auto"/>
              <w:right w:val="single" w:sz="4" w:space="0" w:color="auto"/>
            </w:tcBorders>
            <w:shd w:val="clear" w:color="auto" w:fill="auto"/>
            <w:vAlign w:val="center"/>
            <w:hideMark/>
          </w:tcPr>
          <w:p w14:paraId="013CAA0A" w14:textId="77777777" w:rsidR="003D30B2" w:rsidRPr="00A43F68" w:rsidRDefault="003D30B2" w:rsidP="003D30B2">
            <w:pPr>
              <w:jc w:val="center"/>
              <w:rPr>
                <w:rFonts w:ascii="Arial" w:eastAsia="SimSun" w:hAnsi="Arial" w:cs="Arial"/>
                <w:color w:val="000000"/>
                <w:sz w:val="19"/>
                <w:szCs w:val="19"/>
                <w:lang w:val="en-CA" w:eastAsia="zh-CN"/>
              </w:rPr>
            </w:pPr>
            <w:r w:rsidRPr="00A43F68">
              <w:rPr>
                <w:rFonts w:ascii="Arial" w:eastAsia="SimSun" w:hAnsi="Arial" w:cs="Arial"/>
                <w:color w:val="000000"/>
                <w:sz w:val="19"/>
                <w:szCs w:val="19"/>
                <w:lang w:val="en-CA" w:eastAsia="zh-CN"/>
              </w:rPr>
              <w:t>2.1 million shares</w:t>
            </w:r>
          </w:p>
        </w:tc>
        <w:tc>
          <w:tcPr>
            <w:tcW w:w="1940" w:type="dxa"/>
            <w:tcBorders>
              <w:top w:val="nil"/>
              <w:left w:val="nil"/>
              <w:bottom w:val="single" w:sz="4" w:space="0" w:color="auto"/>
              <w:right w:val="single" w:sz="4" w:space="0" w:color="auto"/>
            </w:tcBorders>
            <w:shd w:val="clear" w:color="auto" w:fill="auto"/>
            <w:vAlign w:val="center"/>
            <w:hideMark/>
          </w:tcPr>
          <w:p w14:paraId="0F53F45D" w14:textId="77777777" w:rsidR="003D30B2" w:rsidRPr="00A43F68" w:rsidRDefault="003D30B2" w:rsidP="003D30B2">
            <w:pPr>
              <w:jc w:val="center"/>
              <w:rPr>
                <w:rFonts w:ascii="Arial" w:eastAsia="SimSun" w:hAnsi="Arial" w:cs="Arial"/>
                <w:color w:val="000000"/>
                <w:sz w:val="19"/>
                <w:szCs w:val="19"/>
                <w:lang w:val="en-CA" w:eastAsia="zh-CN"/>
              </w:rPr>
            </w:pPr>
            <w:r w:rsidRPr="00A43F68">
              <w:rPr>
                <w:rFonts w:ascii="Arial" w:eastAsia="SimSun" w:hAnsi="Arial" w:cs="Arial"/>
                <w:color w:val="000000"/>
                <w:sz w:val="19"/>
                <w:szCs w:val="19"/>
                <w:lang w:val="en-CA" w:eastAsia="zh-CN"/>
              </w:rPr>
              <w:t>2.0 million shares</w:t>
            </w:r>
          </w:p>
        </w:tc>
      </w:tr>
      <w:tr w:rsidR="003D30B2" w:rsidRPr="00A43F68" w14:paraId="516359FF" w14:textId="77777777" w:rsidTr="003D30B2">
        <w:trPr>
          <w:trHeight w:val="480"/>
          <w:jc w:val="center"/>
        </w:trPr>
        <w:tc>
          <w:tcPr>
            <w:tcW w:w="4500" w:type="dxa"/>
            <w:tcBorders>
              <w:top w:val="nil"/>
              <w:left w:val="single" w:sz="4" w:space="0" w:color="auto"/>
              <w:bottom w:val="single" w:sz="4" w:space="0" w:color="auto"/>
              <w:right w:val="single" w:sz="4" w:space="0" w:color="auto"/>
            </w:tcBorders>
            <w:shd w:val="clear" w:color="auto" w:fill="auto"/>
            <w:vAlign w:val="center"/>
            <w:hideMark/>
          </w:tcPr>
          <w:p w14:paraId="77D99473" w14:textId="5BEEB4F4" w:rsidR="003D30B2" w:rsidRPr="00A43F68" w:rsidRDefault="003D30B2" w:rsidP="003D30B2">
            <w:pPr>
              <w:rPr>
                <w:rFonts w:ascii="Arial" w:eastAsia="SimSun" w:hAnsi="Arial" w:cs="Arial"/>
                <w:b/>
                <w:bCs/>
                <w:color w:val="000000"/>
                <w:sz w:val="19"/>
                <w:szCs w:val="19"/>
                <w:lang w:val="en-CA" w:eastAsia="zh-CN"/>
              </w:rPr>
            </w:pPr>
            <w:r w:rsidRPr="00A43F68">
              <w:rPr>
                <w:rFonts w:ascii="Arial" w:eastAsia="SimSun" w:hAnsi="Arial" w:cs="Arial"/>
                <w:b/>
                <w:bCs/>
                <w:color w:val="000000"/>
                <w:sz w:val="19"/>
                <w:szCs w:val="19"/>
                <w:lang w:val="en-CA" w:eastAsia="zh-CN"/>
              </w:rPr>
              <w:t xml:space="preserve">CC as a percentage of maximum possible </w:t>
            </w:r>
            <w:r w:rsidR="00963BBA" w:rsidRPr="00A43F68">
              <w:rPr>
                <w:rFonts w:ascii="Arial" w:eastAsia="SimSun" w:hAnsi="Arial" w:cs="Arial"/>
                <w:b/>
                <w:bCs/>
                <w:color w:val="000000"/>
                <w:sz w:val="19"/>
                <w:szCs w:val="19"/>
                <w:lang w:val="en-CA" w:eastAsia="zh-CN"/>
              </w:rPr>
              <w:t xml:space="preserve">earnout </w:t>
            </w:r>
            <w:r w:rsidRPr="00A43F68">
              <w:rPr>
                <w:rFonts w:ascii="Arial" w:eastAsia="SimSun" w:hAnsi="Arial" w:cs="Arial"/>
                <w:b/>
                <w:bCs/>
                <w:color w:val="000000"/>
                <w:sz w:val="19"/>
                <w:szCs w:val="19"/>
                <w:lang w:val="en-CA" w:eastAsia="zh-CN"/>
              </w:rPr>
              <w:t>for the FY</w:t>
            </w:r>
          </w:p>
        </w:tc>
        <w:tc>
          <w:tcPr>
            <w:tcW w:w="1940" w:type="dxa"/>
            <w:tcBorders>
              <w:top w:val="nil"/>
              <w:left w:val="nil"/>
              <w:bottom w:val="single" w:sz="4" w:space="0" w:color="auto"/>
              <w:right w:val="single" w:sz="4" w:space="0" w:color="auto"/>
            </w:tcBorders>
            <w:shd w:val="clear" w:color="auto" w:fill="auto"/>
            <w:vAlign w:val="center"/>
            <w:hideMark/>
          </w:tcPr>
          <w:p w14:paraId="7120FF44" w14:textId="77777777" w:rsidR="003D30B2" w:rsidRPr="00A43F68" w:rsidRDefault="003D30B2" w:rsidP="003D30B2">
            <w:pPr>
              <w:jc w:val="center"/>
              <w:rPr>
                <w:rFonts w:ascii="Arial" w:eastAsia="SimSun" w:hAnsi="Arial" w:cs="Arial"/>
                <w:color w:val="000000"/>
                <w:sz w:val="19"/>
                <w:szCs w:val="19"/>
                <w:lang w:val="en-CA" w:eastAsia="zh-CN"/>
              </w:rPr>
            </w:pPr>
            <w:r w:rsidRPr="00A43F68">
              <w:rPr>
                <w:rFonts w:ascii="Arial" w:eastAsia="SimSun" w:hAnsi="Arial" w:cs="Arial"/>
                <w:color w:val="000000"/>
                <w:sz w:val="19"/>
                <w:szCs w:val="19"/>
                <w:lang w:val="en-CA" w:eastAsia="zh-CN"/>
              </w:rPr>
              <w:t>65.6%</w:t>
            </w:r>
          </w:p>
        </w:tc>
        <w:tc>
          <w:tcPr>
            <w:tcW w:w="1940" w:type="dxa"/>
            <w:tcBorders>
              <w:top w:val="nil"/>
              <w:left w:val="nil"/>
              <w:bottom w:val="single" w:sz="4" w:space="0" w:color="auto"/>
              <w:right w:val="single" w:sz="4" w:space="0" w:color="auto"/>
            </w:tcBorders>
            <w:shd w:val="clear" w:color="auto" w:fill="auto"/>
            <w:vAlign w:val="center"/>
            <w:hideMark/>
          </w:tcPr>
          <w:p w14:paraId="19EDC320" w14:textId="77777777" w:rsidR="003D30B2" w:rsidRPr="00A43F68" w:rsidRDefault="003D30B2" w:rsidP="003D30B2">
            <w:pPr>
              <w:jc w:val="center"/>
              <w:rPr>
                <w:rFonts w:ascii="Arial" w:eastAsia="SimSun" w:hAnsi="Arial" w:cs="Arial"/>
                <w:color w:val="000000"/>
                <w:sz w:val="19"/>
                <w:szCs w:val="19"/>
                <w:lang w:val="en-CA" w:eastAsia="zh-CN"/>
              </w:rPr>
            </w:pPr>
            <w:r w:rsidRPr="00A43F68">
              <w:rPr>
                <w:rFonts w:ascii="Arial" w:eastAsia="SimSun" w:hAnsi="Arial" w:cs="Arial"/>
                <w:color w:val="000000"/>
                <w:sz w:val="19"/>
                <w:szCs w:val="19"/>
                <w:lang w:val="en-CA" w:eastAsia="zh-CN"/>
              </w:rPr>
              <w:t>60.0%</w:t>
            </w:r>
          </w:p>
        </w:tc>
      </w:tr>
    </w:tbl>
    <w:p w14:paraId="6B806E64" w14:textId="77777777" w:rsidR="003D30B2" w:rsidRPr="00A43F68" w:rsidRDefault="003D30B2" w:rsidP="003D30B2">
      <w:pPr>
        <w:jc w:val="both"/>
        <w:rPr>
          <w:rFonts w:ascii="Arial" w:hAnsi="Arial" w:cs="Arial"/>
          <w:kern w:val="2"/>
          <w:lang w:val="en-CA"/>
        </w:rPr>
      </w:pPr>
    </w:p>
    <w:p w14:paraId="0A2719CB" w14:textId="0E86143E" w:rsidR="00963BBA" w:rsidRPr="00A43F68" w:rsidRDefault="00963BBA" w:rsidP="003D30B2">
      <w:pPr>
        <w:jc w:val="both"/>
        <w:rPr>
          <w:rFonts w:ascii="Arial" w:hAnsi="Arial" w:cs="Arial"/>
          <w:kern w:val="2"/>
          <w:sz w:val="17"/>
          <w:szCs w:val="17"/>
          <w:lang w:val="en-CA"/>
        </w:rPr>
      </w:pPr>
      <w:r w:rsidRPr="00A43F68">
        <w:rPr>
          <w:rFonts w:ascii="Arial" w:hAnsi="Arial" w:cs="Arial"/>
          <w:kern w:val="2"/>
          <w:sz w:val="17"/>
          <w:szCs w:val="17"/>
          <w:lang w:val="en-CA"/>
        </w:rPr>
        <w:t>Note: FY = fiscal year.</w:t>
      </w:r>
    </w:p>
    <w:p w14:paraId="3917DB9A" w14:textId="6BE9EFB3" w:rsidR="003D30B2" w:rsidRPr="00A43F68" w:rsidRDefault="003D30B2" w:rsidP="003D30B2">
      <w:pPr>
        <w:jc w:val="both"/>
        <w:rPr>
          <w:rFonts w:ascii="Arial" w:hAnsi="Arial" w:cs="Arial"/>
          <w:kern w:val="2"/>
          <w:sz w:val="17"/>
          <w:szCs w:val="17"/>
          <w:lang w:val="en-CA"/>
        </w:rPr>
      </w:pPr>
      <w:r w:rsidRPr="00A43F68">
        <w:rPr>
          <w:rFonts w:ascii="Arial" w:hAnsi="Arial" w:cs="Arial"/>
          <w:kern w:val="2"/>
          <w:sz w:val="17"/>
          <w:szCs w:val="17"/>
          <w:lang w:val="en-CA"/>
        </w:rPr>
        <w:t xml:space="preserve">Source: Created by the case authors based on Tassal Group Limited, </w:t>
      </w:r>
      <w:r w:rsidRPr="00A43F68">
        <w:rPr>
          <w:rFonts w:ascii="Arial" w:hAnsi="Arial" w:cs="Arial"/>
          <w:i/>
          <w:kern w:val="2"/>
          <w:sz w:val="17"/>
          <w:szCs w:val="17"/>
          <w:lang w:val="en-CA"/>
        </w:rPr>
        <w:t>Annual Report 2016</w:t>
      </w:r>
      <w:r w:rsidRPr="00A43F68">
        <w:rPr>
          <w:rFonts w:ascii="Arial" w:hAnsi="Arial" w:cs="Arial"/>
          <w:kern w:val="2"/>
          <w:sz w:val="17"/>
          <w:szCs w:val="17"/>
          <w:lang w:val="en-CA"/>
        </w:rPr>
        <w:t>,</w:t>
      </w:r>
      <w:r w:rsidR="00963BBA" w:rsidRPr="00A43F68">
        <w:rPr>
          <w:rFonts w:ascii="Arial" w:hAnsi="Arial" w:cs="Arial"/>
          <w:kern w:val="2"/>
          <w:sz w:val="17"/>
          <w:szCs w:val="17"/>
          <w:lang w:val="en-CA"/>
        </w:rPr>
        <w:t xml:space="preserve"> 5,</w:t>
      </w:r>
      <w:r w:rsidRPr="00A43F68">
        <w:rPr>
          <w:rFonts w:ascii="Arial" w:hAnsi="Arial" w:cs="Arial"/>
          <w:kern w:val="2"/>
          <w:sz w:val="17"/>
          <w:szCs w:val="17"/>
          <w:lang w:val="en-CA"/>
        </w:rPr>
        <w:t xml:space="preserve"> accessed October 26, 2018, www.annualreports.com/HostedData/AnnualReportArchive/T/ASX_TGR_2016.pdf; Tassal Group Limited, </w:t>
      </w:r>
      <w:r w:rsidRPr="00A43F68">
        <w:rPr>
          <w:rFonts w:ascii="Arial" w:hAnsi="Arial" w:cs="Arial"/>
          <w:i/>
          <w:kern w:val="2"/>
          <w:sz w:val="17"/>
          <w:szCs w:val="17"/>
          <w:lang w:val="en-CA"/>
        </w:rPr>
        <w:t>Annual Report 2017</w:t>
      </w:r>
      <w:r w:rsidRPr="00A43F68">
        <w:rPr>
          <w:rFonts w:ascii="Arial" w:hAnsi="Arial" w:cs="Arial"/>
          <w:kern w:val="2"/>
          <w:sz w:val="17"/>
          <w:szCs w:val="17"/>
          <w:lang w:val="en-CA"/>
        </w:rPr>
        <w:t>,</w:t>
      </w:r>
      <w:r w:rsidR="00963BBA" w:rsidRPr="00A43F68">
        <w:rPr>
          <w:rFonts w:ascii="Arial" w:hAnsi="Arial" w:cs="Arial"/>
          <w:kern w:val="2"/>
          <w:sz w:val="17"/>
          <w:szCs w:val="17"/>
          <w:lang w:val="en-CA"/>
        </w:rPr>
        <w:t xml:space="preserve"> 2,</w:t>
      </w:r>
      <w:r w:rsidRPr="00A43F68">
        <w:rPr>
          <w:rFonts w:ascii="Arial" w:hAnsi="Arial" w:cs="Arial"/>
          <w:kern w:val="2"/>
          <w:sz w:val="17"/>
          <w:szCs w:val="17"/>
          <w:lang w:val="en-CA"/>
        </w:rPr>
        <w:t xml:space="preserve"> accessed October 26, </w:t>
      </w:r>
      <w:r w:rsidR="00DC4821" w:rsidRPr="00A43F68">
        <w:rPr>
          <w:rFonts w:ascii="Arial" w:hAnsi="Arial" w:cs="Arial"/>
          <w:kern w:val="2"/>
          <w:sz w:val="17"/>
          <w:szCs w:val="17"/>
          <w:lang w:val="en-CA"/>
        </w:rPr>
        <w:t>20</w:t>
      </w:r>
      <w:r w:rsidRPr="00A43F68">
        <w:rPr>
          <w:rFonts w:ascii="Arial" w:hAnsi="Arial" w:cs="Arial"/>
          <w:kern w:val="2"/>
          <w:sz w:val="17"/>
          <w:szCs w:val="17"/>
          <w:lang w:val="en-CA"/>
        </w:rPr>
        <w:t>18, www.tassal.com.au/wp-content/uploads/2017/09/1717106-2017-Annual-Report.pdf</w:t>
      </w:r>
      <w:r w:rsidR="00963BBA" w:rsidRPr="00A43F68">
        <w:rPr>
          <w:rFonts w:ascii="Arial" w:hAnsi="Arial" w:cs="Arial"/>
          <w:kern w:val="2"/>
          <w:sz w:val="17"/>
          <w:szCs w:val="17"/>
          <w:lang w:val="en-CA"/>
        </w:rPr>
        <w:t>.</w:t>
      </w:r>
    </w:p>
    <w:p w14:paraId="635084BA" w14:textId="6EE31A27" w:rsidR="003D30B2" w:rsidRPr="00A43F68" w:rsidRDefault="003D30B2" w:rsidP="003D30B2">
      <w:pPr>
        <w:rPr>
          <w:rFonts w:ascii="Arial" w:hAnsi="Arial" w:cs="Arial"/>
          <w:kern w:val="2"/>
          <w:sz w:val="17"/>
          <w:szCs w:val="17"/>
          <w:lang w:val="en-CA"/>
        </w:rPr>
      </w:pPr>
    </w:p>
    <w:p w14:paraId="2300AEFC" w14:textId="77777777" w:rsidR="003D30B2" w:rsidRPr="00A43F68" w:rsidRDefault="003D30B2" w:rsidP="003D30B2">
      <w:pPr>
        <w:rPr>
          <w:rFonts w:ascii="Arial" w:hAnsi="Arial" w:cs="Arial"/>
          <w:kern w:val="2"/>
          <w:sz w:val="17"/>
          <w:szCs w:val="17"/>
          <w:lang w:val="en-CA" w:eastAsia="zh-CN"/>
        </w:rPr>
      </w:pPr>
    </w:p>
    <w:p w14:paraId="2A4A5100" w14:textId="77777777" w:rsidR="00E6675B" w:rsidRPr="00A43F68" w:rsidRDefault="00E6675B" w:rsidP="003D30B2">
      <w:pPr>
        <w:rPr>
          <w:rFonts w:ascii="Arial" w:hAnsi="Arial" w:cs="Arial"/>
          <w:kern w:val="2"/>
          <w:sz w:val="17"/>
          <w:szCs w:val="17"/>
          <w:lang w:val="en-CA" w:eastAsia="zh-CN"/>
        </w:rPr>
      </w:pPr>
    </w:p>
    <w:p w14:paraId="00123CA7" w14:textId="77777777" w:rsidR="00E6675B" w:rsidRPr="00A43F68" w:rsidRDefault="00E6675B" w:rsidP="003D30B2">
      <w:pPr>
        <w:rPr>
          <w:rFonts w:ascii="Arial" w:hAnsi="Arial" w:cs="Arial"/>
          <w:kern w:val="2"/>
          <w:sz w:val="17"/>
          <w:szCs w:val="17"/>
          <w:lang w:val="en-CA" w:eastAsia="zh-CN"/>
        </w:rPr>
      </w:pPr>
    </w:p>
    <w:p w14:paraId="56AD895D" w14:textId="77777777" w:rsidR="00E6675B" w:rsidRPr="00A43F68" w:rsidRDefault="00E6675B" w:rsidP="003D30B2">
      <w:pPr>
        <w:rPr>
          <w:rFonts w:ascii="Arial" w:hAnsi="Arial" w:cs="Arial"/>
          <w:kern w:val="2"/>
          <w:sz w:val="17"/>
          <w:szCs w:val="17"/>
          <w:lang w:val="en-CA" w:eastAsia="zh-CN"/>
        </w:rPr>
      </w:pPr>
    </w:p>
    <w:p w14:paraId="6C45C419" w14:textId="3138A8FD" w:rsidR="003D30B2" w:rsidRPr="00A43F68" w:rsidRDefault="003D30B2" w:rsidP="003D30B2">
      <w:pPr>
        <w:jc w:val="center"/>
        <w:outlineLvl w:val="0"/>
        <w:rPr>
          <w:rFonts w:ascii="Arial" w:hAnsi="Arial" w:cs="Arial"/>
          <w:b/>
          <w:caps/>
          <w:kern w:val="2"/>
          <w:lang w:val="en-CA"/>
        </w:rPr>
      </w:pPr>
      <w:r w:rsidRPr="00A43F68">
        <w:rPr>
          <w:rFonts w:ascii="Arial" w:hAnsi="Arial" w:cs="Arial"/>
          <w:b/>
          <w:caps/>
          <w:kern w:val="2"/>
          <w:lang w:val="en-CA"/>
        </w:rPr>
        <w:t xml:space="preserve">Exhibit </w:t>
      </w:r>
      <w:r w:rsidR="00DE3D2F" w:rsidRPr="00A43F68">
        <w:rPr>
          <w:rFonts w:ascii="Arial" w:hAnsi="Arial" w:cs="Arial"/>
          <w:b/>
          <w:caps/>
          <w:kern w:val="2"/>
          <w:lang w:val="en-CA"/>
        </w:rPr>
        <w:t>4</w:t>
      </w:r>
      <w:r w:rsidRPr="00A43F68">
        <w:rPr>
          <w:rFonts w:ascii="Arial" w:hAnsi="Arial" w:cs="Arial"/>
          <w:b/>
          <w:caps/>
          <w:kern w:val="2"/>
          <w:lang w:val="en-CA"/>
        </w:rPr>
        <w:t>: TASSAL GROUP LIMITED’S KEY FINANCIALS (IN MILLION A$)</w:t>
      </w:r>
    </w:p>
    <w:p w14:paraId="4B80E905" w14:textId="77777777" w:rsidR="003D30B2" w:rsidRPr="00A43F68" w:rsidRDefault="003D30B2" w:rsidP="003D30B2">
      <w:pPr>
        <w:jc w:val="both"/>
        <w:rPr>
          <w:rFonts w:ascii="Arial" w:eastAsiaTheme="minorEastAsia" w:hAnsi="Arial" w:cs="Arial"/>
          <w:kern w:val="2"/>
          <w:lang w:val="en-CA" w:eastAsia="zh-CN"/>
        </w:rPr>
      </w:pPr>
    </w:p>
    <w:tbl>
      <w:tblPr>
        <w:tblW w:w="6578" w:type="dxa"/>
        <w:jc w:val="center"/>
        <w:tblLook w:val="04A0" w:firstRow="1" w:lastRow="0" w:firstColumn="1" w:lastColumn="0" w:noHBand="0" w:noVBand="1"/>
      </w:tblPr>
      <w:tblGrid>
        <w:gridCol w:w="2000"/>
        <w:gridCol w:w="900"/>
        <w:gridCol w:w="900"/>
        <w:gridCol w:w="900"/>
        <w:gridCol w:w="939"/>
        <w:gridCol w:w="939"/>
      </w:tblGrid>
      <w:tr w:rsidR="003D30B2" w:rsidRPr="00A43F68" w14:paraId="76DD9F3C" w14:textId="77777777" w:rsidTr="003D30B2">
        <w:trPr>
          <w:trHeight w:val="240"/>
          <w:jc w:val="center"/>
        </w:trPr>
        <w:tc>
          <w:tcPr>
            <w:tcW w:w="2000" w:type="dxa"/>
            <w:tcBorders>
              <w:top w:val="nil"/>
              <w:left w:val="nil"/>
              <w:bottom w:val="nil"/>
              <w:right w:val="nil"/>
            </w:tcBorders>
            <w:shd w:val="clear" w:color="auto" w:fill="auto"/>
            <w:noWrap/>
            <w:vAlign w:val="bottom"/>
            <w:hideMark/>
          </w:tcPr>
          <w:p w14:paraId="2B783B0F" w14:textId="77777777" w:rsidR="003D30B2" w:rsidRPr="00A43F68" w:rsidRDefault="003D30B2" w:rsidP="003D30B2">
            <w:pPr>
              <w:rPr>
                <w:rFonts w:ascii="Arial" w:eastAsia="SimSun" w:hAnsi="Arial" w:cs="Arial"/>
                <w:color w:val="000000"/>
                <w:sz w:val="19"/>
                <w:szCs w:val="19"/>
                <w:lang w:val="en-CA" w:eastAsia="zh-CN"/>
              </w:rPr>
            </w:pPr>
          </w:p>
        </w:tc>
        <w:tc>
          <w:tcPr>
            <w:tcW w:w="9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E7E8AE9" w14:textId="77777777" w:rsidR="003D30B2" w:rsidRPr="00A43F68" w:rsidRDefault="003D30B2" w:rsidP="003D30B2">
            <w:pPr>
              <w:jc w:val="center"/>
              <w:rPr>
                <w:rFonts w:ascii="Arial" w:eastAsia="SimSun" w:hAnsi="Arial" w:cs="Arial"/>
                <w:b/>
                <w:bCs/>
                <w:color w:val="000000"/>
                <w:sz w:val="19"/>
                <w:szCs w:val="19"/>
                <w:lang w:val="en-CA" w:eastAsia="zh-CN"/>
              </w:rPr>
            </w:pPr>
            <w:r w:rsidRPr="00A43F68">
              <w:rPr>
                <w:rFonts w:ascii="Arial" w:eastAsia="SimSun" w:hAnsi="Arial" w:cs="Arial"/>
                <w:b/>
                <w:bCs/>
                <w:color w:val="000000"/>
                <w:sz w:val="19"/>
                <w:szCs w:val="19"/>
                <w:lang w:val="en-CA" w:eastAsia="zh-CN"/>
              </w:rPr>
              <w:t>2013</w:t>
            </w:r>
          </w:p>
        </w:tc>
        <w:tc>
          <w:tcPr>
            <w:tcW w:w="900" w:type="dxa"/>
            <w:tcBorders>
              <w:top w:val="single" w:sz="4" w:space="0" w:color="auto"/>
              <w:left w:val="nil"/>
              <w:bottom w:val="single" w:sz="4" w:space="0" w:color="auto"/>
              <w:right w:val="single" w:sz="4" w:space="0" w:color="auto"/>
            </w:tcBorders>
            <w:shd w:val="clear" w:color="auto" w:fill="auto"/>
            <w:noWrap/>
            <w:vAlign w:val="bottom"/>
            <w:hideMark/>
          </w:tcPr>
          <w:p w14:paraId="17A3EC08" w14:textId="77777777" w:rsidR="003D30B2" w:rsidRPr="00A43F68" w:rsidRDefault="003D30B2" w:rsidP="003D30B2">
            <w:pPr>
              <w:jc w:val="center"/>
              <w:rPr>
                <w:rFonts w:ascii="Arial" w:eastAsia="SimSun" w:hAnsi="Arial" w:cs="Arial"/>
                <w:b/>
                <w:bCs/>
                <w:color w:val="000000"/>
                <w:sz w:val="19"/>
                <w:szCs w:val="19"/>
                <w:lang w:val="en-CA" w:eastAsia="zh-CN"/>
              </w:rPr>
            </w:pPr>
            <w:r w:rsidRPr="00A43F68">
              <w:rPr>
                <w:rFonts w:ascii="Arial" w:eastAsia="SimSun" w:hAnsi="Arial" w:cs="Arial"/>
                <w:b/>
                <w:bCs/>
                <w:color w:val="000000"/>
                <w:sz w:val="19"/>
                <w:szCs w:val="19"/>
                <w:lang w:val="en-CA" w:eastAsia="zh-CN"/>
              </w:rPr>
              <w:t>2014</w:t>
            </w:r>
          </w:p>
        </w:tc>
        <w:tc>
          <w:tcPr>
            <w:tcW w:w="900" w:type="dxa"/>
            <w:tcBorders>
              <w:top w:val="single" w:sz="4" w:space="0" w:color="auto"/>
              <w:left w:val="nil"/>
              <w:bottom w:val="single" w:sz="4" w:space="0" w:color="auto"/>
              <w:right w:val="single" w:sz="4" w:space="0" w:color="auto"/>
            </w:tcBorders>
            <w:shd w:val="clear" w:color="auto" w:fill="auto"/>
            <w:noWrap/>
            <w:vAlign w:val="bottom"/>
            <w:hideMark/>
          </w:tcPr>
          <w:p w14:paraId="06A2AB27" w14:textId="77777777" w:rsidR="003D30B2" w:rsidRPr="00A43F68" w:rsidRDefault="003D30B2" w:rsidP="003D30B2">
            <w:pPr>
              <w:jc w:val="center"/>
              <w:rPr>
                <w:rFonts w:ascii="Arial" w:eastAsia="SimSun" w:hAnsi="Arial" w:cs="Arial"/>
                <w:b/>
                <w:bCs/>
                <w:color w:val="000000"/>
                <w:sz w:val="19"/>
                <w:szCs w:val="19"/>
                <w:lang w:val="en-CA" w:eastAsia="zh-CN"/>
              </w:rPr>
            </w:pPr>
            <w:r w:rsidRPr="00A43F68">
              <w:rPr>
                <w:rFonts w:ascii="Arial" w:eastAsia="SimSun" w:hAnsi="Arial" w:cs="Arial"/>
                <w:b/>
                <w:bCs/>
                <w:color w:val="000000"/>
                <w:sz w:val="19"/>
                <w:szCs w:val="19"/>
                <w:lang w:val="en-CA" w:eastAsia="zh-CN"/>
              </w:rPr>
              <w:t>2015</w:t>
            </w:r>
          </w:p>
        </w:tc>
        <w:tc>
          <w:tcPr>
            <w:tcW w:w="939" w:type="dxa"/>
            <w:tcBorders>
              <w:top w:val="single" w:sz="4" w:space="0" w:color="auto"/>
              <w:left w:val="nil"/>
              <w:bottom w:val="single" w:sz="4" w:space="0" w:color="auto"/>
              <w:right w:val="single" w:sz="4" w:space="0" w:color="auto"/>
            </w:tcBorders>
            <w:shd w:val="clear" w:color="auto" w:fill="auto"/>
            <w:noWrap/>
            <w:vAlign w:val="bottom"/>
            <w:hideMark/>
          </w:tcPr>
          <w:p w14:paraId="298CAC25" w14:textId="77777777" w:rsidR="003D30B2" w:rsidRPr="00A43F68" w:rsidRDefault="003D30B2" w:rsidP="003D30B2">
            <w:pPr>
              <w:jc w:val="center"/>
              <w:rPr>
                <w:rFonts w:ascii="Arial" w:eastAsia="SimSun" w:hAnsi="Arial" w:cs="Arial"/>
                <w:b/>
                <w:bCs/>
                <w:color w:val="000000"/>
                <w:sz w:val="19"/>
                <w:szCs w:val="19"/>
                <w:lang w:val="en-CA" w:eastAsia="zh-CN"/>
              </w:rPr>
            </w:pPr>
            <w:r w:rsidRPr="00A43F68">
              <w:rPr>
                <w:rFonts w:ascii="Arial" w:eastAsia="SimSun" w:hAnsi="Arial" w:cs="Arial"/>
                <w:b/>
                <w:bCs/>
                <w:color w:val="000000"/>
                <w:sz w:val="19"/>
                <w:szCs w:val="19"/>
                <w:lang w:val="en-CA" w:eastAsia="zh-CN"/>
              </w:rPr>
              <w:t>2016</w:t>
            </w:r>
          </w:p>
        </w:tc>
        <w:tc>
          <w:tcPr>
            <w:tcW w:w="939" w:type="dxa"/>
            <w:tcBorders>
              <w:top w:val="single" w:sz="4" w:space="0" w:color="auto"/>
              <w:left w:val="nil"/>
              <w:bottom w:val="single" w:sz="4" w:space="0" w:color="auto"/>
              <w:right w:val="single" w:sz="4" w:space="0" w:color="auto"/>
            </w:tcBorders>
            <w:shd w:val="clear" w:color="auto" w:fill="auto"/>
            <w:noWrap/>
            <w:vAlign w:val="bottom"/>
            <w:hideMark/>
          </w:tcPr>
          <w:p w14:paraId="14B4CB08" w14:textId="77777777" w:rsidR="003D30B2" w:rsidRPr="00A43F68" w:rsidRDefault="003D30B2" w:rsidP="003D30B2">
            <w:pPr>
              <w:jc w:val="center"/>
              <w:rPr>
                <w:rFonts w:ascii="Arial" w:eastAsia="SimSun" w:hAnsi="Arial" w:cs="Arial"/>
                <w:b/>
                <w:bCs/>
                <w:color w:val="000000"/>
                <w:sz w:val="19"/>
                <w:szCs w:val="19"/>
                <w:lang w:val="en-CA" w:eastAsia="zh-CN"/>
              </w:rPr>
            </w:pPr>
            <w:r w:rsidRPr="00A43F68">
              <w:rPr>
                <w:rFonts w:ascii="Arial" w:eastAsia="SimSun" w:hAnsi="Arial" w:cs="Arial"/>
                <w:b/>
                <w:bCs/>
                <w:color w:val="000000"/>
                <w:sz w:val="19"/>
                <w:szCs w:val="19"/>
                <w:lang w:val="en-CA" w:eastAsia="zh-CN"/>
              </w:rPr>
              <w:t>2017</w:t>
            </w:r>
          </w:p>
        </w:tc>
      </w:tr>
      <w:tr w:rsidR="003D30B2" w:rsidRPr="00A43F68" w14:paraId="582298C0" w14:textId="77777777" w:rsidTr="003D30B2">
        <w:trPr>
          <w:trHeight w:val="240"/>
          <w:jc w:val="center"/>
        </w:trPr>
        <w:tc>
          <w:tcPr>
            <w:tcW w:w="20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F32BCE1" w14:textId="1A8F1968" w:rsidR="003D30B2" w:rsidRPr="00A43F68" w:rsidRDefault="003D30B2" w:rsidP="003D30B2">
            <w:pPr>
              <w:rPr>
                <w:rFonts w:ascii="Arial" w:eastAsia="SimSun" w:hAnsi="Arial" w:cs="Arial"/>
                <w:b/>
                <w:bCs/>
                <w:color w:val="000000"/>
                <w:sz w:val="19"/>
                <w:szCs w:val="19"/>
                <w:lang w:val="en-CA" w:eastAsia="zh-CN"/>
              </w:rPr>
            </w:pPr>
            <w:r w:rsidRPr="00A43F68">
              <w:rPr>
                <w:rFonts w:ascii="Arial" w:eastAsia="SimSun" w:hAnsi="Arial" w:cs="Arial"/>
                <w:b/>
                <w:bCs/>
                <w:color w:val="000000"/>
                <w:sz w:val="19"/>
                <w:szCs w:val="19"/>
                <w:lang w:val="en-CA" w:eastAsia="zh-CN"/>
              </w:rPr>
              <w:t xml:space="preserve">Total </w:t>
            </w:r>
            <w:r w:rsidR="008A2D8B" w:rsidRPr="00A43F68">
              <w:rPr>
                <w:rFonts w:ascii="Arial" w:eastAsia="SimSun" w:hAnsi="Arial" w:cs="Arial"/>
                <w:b/>
                <w:bCs/>
                <w:color w:val="000000"/>
                <w:sz w:val="19"/>
                <w:szCs w:val="19"/>
                <w:lang w:val="en-CA" w:eastAsia="zh-CN"/>
              </w:rPr>
              <w:t>r</w:t>
            </w:r>
            <w:r w:rsidRPr="00A43F68">
              <w:rPr>
                <w:rFonts w:ascii="Arial" w:eastAsia="SimSun" w:hAnsi="Arial" w:cs="Arial"/>
                <w:b/>
                <w:bCs/>
                <w:color w:val="000000"/>
                <w:sz w:val="19"/>
                <w:szCs w:val="19"/>
                <w:lang w:val="en-CA" w:eastAsia="zh-CN"/>
              </w:rPr>
              <w:t>evenue</w:t>
            </w:r>
          </w:p>
        </w:tc>
        <w:tc>
          <w:tcPr>
            <w:tcW w:w="900" w:type="dxa"/>
            <w:tcBorders>
              <w:top w:val="nil"/>
              <w:left w:val="nil"/>
              <w:bottom w:val="single" w:sz="4" w:space="0" w:color="auto"/>
              <w:right w:val="single" w:sz="4" w:space="0" w:color="auto"/>
            </w:tcBorders>
            <w:shd w:val="clear" w:color="auto" w:fill="auto"/>
            <w:noWrap/>
            <w:vAlign w:val="bottom"/>
            <w:hideMark/>
          </w:tcPr>
          <w:p w14:paraId="4884D5C9" w14:textId="63307877" w:rsidR="003D30B2" w:rsidRPr="00A43F68" w:rsidRDefault="003D30B2" w:rsidP="003D30B2">
            <w:pPr>
              <w:jc w:val="right"/>
              <w:rPr>
                <w:rFonts w:ascii="Arial" w:eastAsia="SimSun" w:hAnsi="Arial" w:cs="Arial"/>
                <w:color w:val="000000"/>
                <w:sz w:val="19"/>
                <w:szCs w:val="19"/>
                <w:lang w:val="en-CA" w:eastAsia="zh-CN"/>
              </w:rPr>
            </w:pPr>
            <w:r w:rsidRPr="00A43F68">
              <w:rPr>
                <w:rFonts w:ascii="Arial" w:eastAsia="SimSun" w:hAnsi="Arial" w:cs="Arial"/>
                <w:color w:val="000000"/>
                <w:sz w:val="19"/>
                <w:szCs w:val="19"/>
                <w:lang w:val="en-CA" w:eastAsia="zh-CN"/>
              </w:rPr>
              <w:t>272.07</w:t>
            </w:r>
          </w:p>
        </w:tc>
        <w:tc>
          <w:tcPr>
            <w:tcW w:w="900" w:type="dxa"/>
            <w:tcBorders>
              <w:top w:val="nil"/>
              <w:left w:val="nil"/>
              <w:bottom w:val="single" w:sz="4" w:space="0" w:color="auto"/>
              <w:right w:val="single" w:sz="4" w:space="0" w:color="auto"/>
            </w:tcBorders>
            <w:shd w:val="clear" w:color="auto" w:fill="auto"/>
            <w:noWrap/>
            <w:vAlign w:val="bottom"/>
            <w:hideMark/>
          </w:tcPr>
          <w:p w14:paraId="2B0A55E4" w14:textId="558A6809" w:rsidR="003D30B2" w:rsidRPr="00A43F68" w:rsidRDefault="003D30B2" w:rsidP="003D30B2">
            <w:pPr>
              <w:jc w:val="right"/>
              <w:rPr>
                <w:rFonts w:ascii="Arial" w:eastAsia="SimSun" w:hAnsi="Arial" w:cs="Arial"/>
                <w:color w:val="000000"/>
                <w:sz w:val="19"/>
                <w:szCs w:val="19"/>
                <w:lang w:val="en-CA" w:eastAsia="zh-CN"/>
              </w:rPr>
            </w:pPr>
            <w:r w:rsidRPr="00A43F68">
              <w:rPr>
                <w:rFonts w:ascii="Arial" w:eastAsia="SimSun" w:hAnsi="Arial" w:cs="Arial"/>
                <w:color w:val="000000"/>
                <w:sz w:val="19"/>
                <w:szCs w:val="19"/>
                <w:lang w:val="en-CA" w:eastAsia="zh-CN"/>
              </w:rPr>
              <w:t>265.73</w:t>
            </w:r>
          </w:p>
        </w:tc>
        <w:tc>
          <w:tcPr>
            <w:tcW w:w="900" w:type="dxa"/>
            <w:tcBorders>
              <w:top w:val="nil"/>
              <w:left w:val="nil"/>
              <w:bottom w:val="single" w:sz="4" w:space="0" w:color="auto"/>
              <w:right w:val="single" w:sz="4" w:space="0" w:color="auto"/>
            </w:tcBorders>
            <w:shd w:val="clear" w:color="auto" w:fill="auto"/>
            <w:noWrap/>
            <w:vAlign w:val="bottom"/>
            <w:hideMark/>
          </w:tcPr>
          <w:p w14:paraId="468DC573" w14:textId="39C6164F" w:rsidR="003D30B2" w:rsidRPr="00A43F68" w:rsidRDefault="003D30B2" w:rsidP="003D30B2">
            <w:pPr>
              <w:jc w:val="right"/>
              <w:rPr>
                <w:rFonts w:ascii="Arial" w:eastAsia="SimSun" w:hAnsi="Arial" w:cs="Arial"/>
                <w:color w:val="000000"/>
                <w:sz w:val="19"/>
                <w:szCs w:val="19"/>
                <w:lang w:val="en-CA" w:eastAsia="zh-CN"/>
              </w:rPr>
            </w:pPr>
            <w:r w:rsidRPr="00A43F68">
              <w:rPr>
                <w:rFonts w:ascii="Arial" w:eastAsia="SimSun" w:hAnsi="Arial" w:cs="Arial"/>
                <w:color w:val="000000"/>
                <w:sz w:val="19"/>
                <w:szCs w:val="19"/>
                <w:lang w:val="en-CA" w:eastAsia="zh-CN"/>
              </w:rPr>
              <w:t>309.36</w:t>
            </w:r>
          </w:p>
        </w:tc>
        <w:tc>
          <w:tcPr>
            <w:tcW w:w="939" w:type="dxa"/>
            <w:tcBorders>
              <w:top w:val="nil"/>
              <w:left w:val="nil"/>
              <w:bottom w:val="single" w:sz="4" w:space="0" w:color="auto"/>
              <w:right w:val="single" w:sz="4" w:space="0" w:color="auto"/>
            </w:tcBorders>
            <w:shd w:val="clear" w:color="auto" w:fill="auto"/>
            <w:noWrap/>
            <w:vAlign w:val="bottom"/>
            <w:hideMark/>
          </w:tcPr>
          <w:p w14:paraId="47DC9A67" w14:textId="77777777" w:rsidR="003D30B2" w:rsidRPr="00A43F68" w:rsidRDefault="003D30B2" w:rsidP="003D30B2">
            <w:pPr>
              <w:jc w:val="right"/>
              <w:rPr>
                <w:rFonts w:ascii="Arial" w:eastAsia="SimSun" w:hAnsi="Arial" w:cs="Arial"/>
                <w:color w:val="000000"/>
                <w:sz w:val="19"/>
                <w:szCs w:val="19"/>
                <w:lang w:val="en-CA" w:eastAsia="zh-CN"/>
              </w:rPr>
            </w:pPr>
            <w:r w:rsidRPr="00A43F68">
              <w:rPr>
                <w:rFonts w:ascii="Arial" w:eastAsia="SimSun" w:hAnsi="Arial" w:cs="Arial"/>
                <w:color w:val="000000"/>
                <w:sz w:val="19"/>
                <w:szCs w:val="19"/>
                <w:lang w:val="en-CA" w:eastAsia="zh-CN"/>
              </w:rPr>
              <w:t>430.92</w:t>
            </w:r>
          </w:p>
        </w:tc>
        <w:tc>
          <w:tcPr>
            <w:tcW w:w="939" w:type="dxa"/>
            <w:tcBorders>
              <w:top w:val="nil"/>
              <w:left w:val="nil"/>
              <w:bottom w:val="single" w:sz="4" w:space="0" w:color="auto"/>
              <w:right w:val="single" w:sz="4" w:space="0" w:color="auto"/>
            </w:tcBorders>
            <w:shd w:val="clear" w:color="auto" w:fill="auto"/>
            <w:noWrap/>
            <w:vAlign w:val="bottom"/>
            <w:hideMark/>
          </w:tcPr>
          <w:p w14:paraId="751C4226" w14:textId="77777777" w:rsidR="003D30B2" w:rsidRPr="00A43F68" w:rsidRDefault="003D30B2" w:rsidP="003D30B2">
            <w:pPr>
              <w:jc w:val="right"/>
              <w:rPr>
                <w:rFonts w:ascii="Arial" w:eastAsia="SimSun" w:hAnsi="Arial" w:cs="Arial"/>
                <w:color w:val="000000"/>
                <w:sz w:val="19"/>
                <w:szCs w:val="19"/>
                <w:lang w:val="en-CA" w:eastAsia="zh-CN"/>
              </w:rPr>
            </w:pPr>
            <w:r w:rsidRPr="00A43F68">
              <w:rPr>
                <w:rFonts w:ascii="Arial" w:eastAsia="SimSun" w:hAnsi="Arial" w:cs="Arial"/>
                <w:color w:val="000000"/>
                <w:sz w:val="19"/>
                <w:szCs w:val="19"/>
                <w:lang w:val="en-CA" w:eastAsia="zh-CN"/>
              </w:rPr>
              <w:t>450.45</w:t>
            </w:r>
          </w:p>
        </w:tc>
      </w:tr>
      <w:tr w:rsidR="003D30B2" w:rsidRPr="00A43F68" w14:paraId="3649CEA4" w14:textId="77777777" w:rsidTr="003D30B2">
        <w:trPr>
          <w:trHeight w:val="240"/>
          <w:jc w:val="center"/>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14:paraId="424ADBC9" w14:textId="7ECE73D5" w:rsidR="003D30B2" w:rsidRPr="00A43F68" w:rsidRDefault="003D30B2" w:rsidP="003D30B2">
            <w:pPr>
              <w:rPr>
                <w:rFonts w:ascii="Arial" w:eastAsia="SimSun" w:hAnsi="Arial" w:cs="Arial"/>
                <w:b/>
                <w:bCs/>
                <w:color w:val="000000"/>
                <w:sz w:val="19"/>
                <w:szCs w:val="19"/>
                <w:lang w:val="en-CA" w:eastAsia="zh-CN"/>
              </w:rPr>
            </w:pPr>
            <w:r w:rsidRPr="00A43F68">
              <w:rPr>
                <w:rFonts w:ascii="Arial" w:eastAsia="SimSun" w:hAnsi="Arial" w:cs="Arial"/>
                <w:b/>
                <w:bCs/>
                <w:color w:val="000000"/>
                <w:sz w:val="19"/>
                <w:szCs w:val="19"/>
                <w:lang w:val="en-CA" w:eastAsia="zh-CN"/>
              </w:rPr>
              <w:t xml:space="preserve">Gross </w:t>
            </w:r>
            <w:r w:rsidR="008A2D8B" w:rsidRPr="00A43F68">
              <w:rPr>
                <w:rFonts w:ascii="Arial" w:eastAsia="SimSun" w:hAnsi="Arial" w:cs="Arial"/>
                <w:b/>
                <w:bCs/>
                <w:color w:val="000000"/>
                <w:sz w:val="19"/>
                <w:szCs w:val="19"/>
                <w:lang w:val="en-CA" w:eastAsia="zh-CN"/>
              </w:rPr>
              <w:t>p</w:t>
            </w:r>
            <w:r w:rsidRPr="00A43F68">
              <w:rPr>
                <w:rFonts w:ascii="Arial" w:eastAsia="SimSun" w:hAnsi="Arial" w:cs="Arial"/>
                <w:b/>
                <w:bCs/>
                <w:color w:val="000000"/>
                <w:sz w:val="19"/>
                <w:szCs w:val="19"/>
                <w:lang w:val="en-CA" w:eastAsia="zh-CN"/>
              </w:rPr>
              <w:t>rofit</w:t>
            </w:r>
          </w:p>
        </w:tc>
        <w:tc>
          <w:tcPr>
            <w:tcW w:w="900" w:type="dxa"/>
            <w:tcBorders>
              <w:top w:val="nil"/>
              <w:left w:val="nil"/>
              <w:bottom w:val="single" w:sz="4" w:space="0" w:color="auto"/>
              <w:right w:val="single" w:sz="4" w:space="0" w:color="auto"/>
            </w:tcBorders>
            <w:shd w:val="clear" w:color="auto" w:fill="auto"/>
            <w:noWrap/>
            <w:vAlign w:val="bottom"/>
            <w:hideMark/>
          </w:tcPr>
          <w:p w14:paraId="4CDE8649" w14:textId="7F52A3E5" w:rsidR="003D30B2" w:rsidRPr="00A43F68" w:rsidRDefault="003D30B2" w:rsidP="003D30B2">
            <w:pPr>
              <w:jc w:val="right"/>
              <w:rPr>
                <w:rFonts w:ascii="Arial" w:eastAsia="SimSun" w:hAnsi="Arial" w:cs="Arial"/>
                <w:color w:val="000000"/>
                <w:sz w:val="19"/>
                <w:szCs w:val="19"/>
                <w:lang w:val="en-CA" w:eastAsia="zh-CN"/>
              </w:rPr>
            </w:pPr>
            <w:r w:rsidRPr="00A43F68">
              <w:rPr>
                <w:rFonts w:ascii="Arial" w:eastAsia="SimSun" w:hAnsi="Arial" w:cs="Arial"/>
                <w:color w:val="000000"/>
                <w:sz w:val="19"/>
                <w:szCs w:val="19"/>
                <w:lang w:val="en-CA" w:eastAsia="zh-CN"/>
              </w:rPr>
              <w:t>135.07</w:t>
            </w:r>
          </w:p>
        </w:tc>
        <w:tc>
          <w:tcPr>
            <w:tcW w:w="900" w:type="dxa"/>
            <w:tcBorders>
              <w:top w:val="nil"/>
              <w:left w:val="nil"/>
              <w:bottom w:val="single" w:sz="4" w:space="0" w:color="auto"/>
              <w:right w:val="single" w:sz="4" w:space="0" w:color="auto"/>
            </w:tcBorders>
            <w:shd w:val="clear" w:color="auto" w:fill="auto"/>
            <w:noWrap/>
            <w:vAlign w:val="bottom"/>
            <w:hideMark/>
          </w:tcPr>
          <w:p w14:paraId="0FD27750" w14:textId="2066882C" w:rsidR="003D30B2" w:rsidRPr="00A43F68" w:rsidRDefault="003D30B2" w:rsidP="003D30B2">
            <w:pPr>
              <w:jc w:val="right"/>
              <w:rPr>
                <w:rFonts w:ascii="Arial" w:eastAsia="SimSun" w:hAnsi="Arial" w:cs="Arial"/>
                <w:color w:val="000000"/>
                <w:sz w:val="19"/>
                <w:szCs w:val="19"/>
                <w:lang w:val="en-CA" w:eastAsia="zh-CN"/>
              </w:rPr>
            </w:pPr>
            <w:r w:rsidRPr="00A43F68">
              <w:rPr>
                <w:rFonts w:ascii="Arial" w:eastAsia="SimSun" w:hAnsi="Arial" w:cs="Arial"/>
                <w:color w:val="000000"/>
                <w:sz w:val="19"/>
                <w:szCs w:val="19"/>
                <w:lang w:val="en-CA" w:eastAsia="zh-CN"/>
              </w:rPr>
              <w:t>144.36</w:t>
            </w:r>
          </w:p>
        </w:tc>
        <w:tc>
          <w:tcPr>
            <w:tcW w:w="900" w:type="dxa"/>
            <w:tcBorders>
              <w:top w:val="nil"/>
              <w:left w:val="nil"/>
              <w:bottom w:val="single" w:sz="4" w:space="0" w:color="auto"/>
              <w:right w:val="single" w:sz="4" w:space="0" w:color="auto"/>
            </w:tcBorders>
            <w:shd w:val="clear" w:color="auto" w:fill="auto"/>
            <w:noWrap/>
            <w:vAlign w:val="bottom"/>
            <w:hideMark/>
          </w:tcPr>
          <w:p w14:paraId="1837F4E8" w14:textId="1882BCC1" w:rsidR="003D30B2" w:rsidRPr="00A43F68" w:rsidRDefault="003D30B2" w:rsidP="003D30B2">
            <w:pPr>
              <w:jc w:val="right"/>
              <w:rPr>
                <w:rFonts w:ascii="Arial" w:eastAsia="SimSun" w:hAnsi="Arial" w:cs="Arial"/>
                <w:color w:val="000000"/>
                <w:sz w:val="19"/>
                <w:szCs w:val="19"/>
                <w:lang w:val="en-CA" w:eastAsia="zh-CN"/>
              </w:rPr>
            </w:pPr>
            <w:r w:rsidRPr="00A43F68">
              <w:rPr>
                <w:rFonts w:ascii="Arial" w:eastAsia="SimSun" w:hAnsi="Arial" w:cs="Arial"/>
                <w:color w:val="000000"/>
                <w:sz w:val="19"/>
                <w:szCs w:val="19"/>
                <w:lang w:val="en-CA" w:eastAsia="zh-CN"/>
              </w:rPr>
              <w:t>171.60</w:t>
            </w:r>
          </w:p>
        </w:tc>
        <w:tc>
          <w:tcPr>
            <w:tcW w:w="939" w:type="dxa"/>
            <w:tcBorders>
              <w:top w:val="nil"/>
              <w:left w:val="nil"/>
              <w:bottom w:val="single" w:sz="4" w:space="0" w:color="auto"/>
              <w:right w:val="single" w:sz="4" w:space="0" w:color="auto"/>
            </w:tcBorders>
            <w:shd w:val="clear" w:color="auto" w:fill="auto"/>
            <w:noWrap/>
            <w:vAlign w:val="bottom"/>
            <w:hideMark/>
          </w:tcPr>
          <w:p w14:paraId="35BB2EA4" w14:textId="77777777" w:rsidR="003D30B2" w:rsidRPr="00A43F68" w:rsidRDefault="003D30B2" w:rsidP="003D30B2">
            <w:pPr>
              <w:jc w:val="center"/>
              <w:rPr>
                <w:rFonts w:ascii="Arial" w:eastAsia="SimSun" w:hAnsi="Arial" w:cs="Arial"/>
                <w:color w:val="000000"/>
                <w:sz w:val="19"/>
                <w:szCs w:val="19"/>
                <w:lang w:val="en-CA" w:eastAsia="zh-CN"/>
              </w:rPr>
            </w:pPr>
            <w:r w:rsidRPr="00A43F68">
              <w:rPr>
                <w:rFonts w:ascii="Arial" w:eastAsia="SimSun" w:hAnsi="Arial" w:cs="Arial"/>
                <w:color w:val="000000"/>
                <w:sz w:val="19"/>
                <w:szCs w:val="19"/>
                <w:lang w:val="en-CA" w:eastAsia="zh-CN"/>
              </w:rPr>
              <w:t>n/a</w:t>
            </w:r>
          </w:p>
        </w:tc>
        <w:tc>
          <w:tcPr>
            <w:tcW w:w="939" w:type="dxa"/>
            <w:tcBorders>
              <w:top w:val="nil"/>
              <w:left w:val="nil"/>
              <w:bottom w:val="single" w:sz="4" w:space="0" w:color="auto"/>
              <w:right w:val="single" w:sz="4" w:space="0" w:color="auto"/>
            </w:tcBorders>
            <w:shd w:val="clear" w:color="auto" w:fill="auto"/>
            <w:noWrap/>
            <w:vAlign w:val="bottom"/>
            <w:hideMark/>
          </w:tcPr>
          <w:p w14:paraId="68F9128E" w14:textId="77777777" w:rsidR="003D30B2" w:rsidRPr="00A43F68" w:rsidRDefault="003D30B2" w:rsidP="003D30B2">
            <w:pPr>
              <w:jc w:val="center"/>
              <w:rPr>
                <w:rFonts w:ascii="Arial" w:eastAsia="SimSun" w:hAnsi="Arial" w:cs="Arial"/>
                <w:color w:val="000000"/>
                <w:sz w:val="19"/>
                <w:szCs w:val="19"/>
                <w:lang w:val="en-CA" w:eastAsia="zh-CN"/>
              </w:rPr>
            </w:pPr>
            <w:r w:rsidRPr="00A43F68">
              <w:rPr>
                <w:rFonts w:ascii="Arial" w:eastAsia="SimSun" w:hAnsi="Arial" w:cs="Arial"/>
                <w:color w:val="000000"/>
                <w:sz w:val="19"/>
                <w:szCs w:val="19"/>
                <w:lang w:val="en-CA" w:eastAsia="zh-CN"/>
              </w:rPr>
              <w:t>n/a</w:t>
            </w:r>
          </w:p>
        </w:tc>
      </w:tr>
      <w:tr w:rsidR="003D30B2" w:rsidRPr="00A43F68" w14:paraId="04295A36" w14:textId="77777777" w:rsidTr="003D30B2">
        <w:trPr>
          <w:trHeight w:val="240"/>
          <w:jc w:val="center"/>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14:paraId="4889497C" w14:textId="77777777" w:rsidR="003D30B2" w:rsidRPr="00A43F68" w:rsidRDefault="003D30B2" w:rsidP="003D30B2">
            <w:pPr>
              <w:rPr>
                <w:rFonts w:ascii="Arial" w:eastAsia="SimSun" w:hAnsi="Arial" w:cs="Arial"/>
                <w:b/>
                <w:bCs/>
                <w:color w:val="000000"/>
                <w:sz w:val="19"/>
                <w:szCs w:val="19"/>
                <w:lang w:val="en-CA" w:eastAsia="zh-CN"/>
              </w:rPr>
            </w:pPr>
            <w:r w:rsidRPr="00A43F68">
              <w:rPr>
                <w:rFonts w:ascii="Arial" w:eastAsia="SimSun" w:hAnsi="Arial" w:cs="Arial"/>
                <w:b/>
                <w:bCs/>
                <w:color w:val="000000"/>
                <w:sz w:val="19"/>
                <w:szCs w:val="19"/>
                <w:lang w:val="en-CA" w:eastAsia="zh-CN"/>
              </w:rPr>
              <w:t>EBITDA</w:t>
            </w:r>
          </w:p>
        </w:tc>
        <w:tc>
          <w:tcPr>
            <w:tcW w:w="900" w:type="dxa"/>
            <w:tcBorders>
              <w:top w:val="nil"/>
              <w:left w:val="nil"/>
              <w:bottom w:val="single" w:sz="4" w:space="0" w:color="auto"/>
              <w:right w:val="single" w:sz="4" w:space="0" w:color="auto"/>
            </w:tcBorders>
            <w:shd w:val="clear" w:color="auto" w:fill="auto"/>
            <w:noWrap/>
            <w:vAlign w:val="bottom"/>
            <w:hideMark/>
          </w:tcPr>
          <w:p w14:paraId="55D50711" w14:textId="6A8FF780" w:rsidR="003D30B2" w:rsidRPr="00A43F68" w:rsidRDefault="003D30B2" w:rsidP="003D30B2">
            <w:pPr>
              <w:jc w:val="right"/>
              <w:rPr>
                <w:rFonts w:ascii="Arial" w:eastAsia="SimSun" w:hAnsi="Arial" w:cs="Arial"/>
                <w:color w:val="000000"/>
                <w:sz w:val="19"/>
                <w:szCs w:val="19"/>
                <w:lang w:val="en-CA" w:eastAsia="zh-CN"/>
              </w:rPr>
            </w:pPr>
            <w:r w:rsidRPr="00A43F68">
              <w:rPr>
                <w:rFonts w:ascii="Arial" w:eastAsia="SimSun" w:hAnsi="Arial" w:cs="Arial"/>
                <w:color w:val="000000"/>
                <w:sz w:val="19"/>
                <w:szCs w:val="19"/>
                <w:lang w:val="en-CA" w:eastAsia="zh-CN"/>
              </w:rPr>
              <w:t>68.29</w:t>
            </w:r>
          </w:p>
        </w:tc>
        <w:tc>
          <w:tcPr>
            <w:tcW w:w="900" w:type="dxa"/>
            <w:tcBorders>
              <w:top w:val="nil"/>
              <w:left w:val="nil"/>
              <w:bottom w:val="single" w:sz="4" w:space="0" w:color="auto"/>
              <w:right w:val="single" w:sz="4" w:space="0" w:color="auto"/>
            </w:tcBorders>
            <w:shd w:val="clear" w:color="auto" w:fill="auto"/>
            <w:noWrap/>
            <w:vAlign w:val="bottom"/>
            <w:hideMark/>
          </w:tcPr>
          <w:p w14:paraId="687CFC07" w14:textId="7827C60B" w:rsidR="003D30B2" w:rsidRPr="00A43F68" w:rsidRDefault="003D30B2" w:rsidP="003D30B2">
            <w:pPr>
              <w:jc w:val="right"/>
              <w:rPr>
                <w:rFonts w:ascii="Arial" w:eastAsia="SimSun" w:hAnsi="Arial" w:cs="Arial"/>
                <w:color w:val="000000"/>
                <w:sz w:val="19"/>
                <w:szCs w:val="19"/>
                <w:lang w:val="en-CA" w:eastAsia="zh-CN"/>
              </w:rPr>
            </w:pPr>
            <w:r w:rsidRPr="00A43F68">
              <w:rPr>
                <w:rFonts w:ascii="Arial" w:eastAsia="SimSun" w:hAnsi="Arial" w:cs="Arial"/>
                <w:color w:val="000000"/>
                <w:sz w:val="19"/>
                <w:szCs w:val="19"/>
                <w:lang w:val="en-CA" w:eastAsia="zh-CN"/>
              </w:rPr>
              <w:t>7</w:t>
            </w:r>
            <w:r w:rsidR="00DA4ECB" w:rsidRPr="00A43F68">
              <w:rPr>
                <w:rFonts w:ascii="Arial" w:eastAsia="SimSun" w:hAnsi="Arial" w:cs="Arial"/>
                <w:color w:val="000000"/>
                <w:sz w:val="19"/>
                <w:szCs w:val="19"/>
                <w:lang w:val="en-CA" w:eastAsia="zh-CN"/>
              </w:rPr>
              <w:t>8</w:t>
            </w:r>
            <w:r w:rsidRPr="00A43F68">
              <w:rPr>
                <w:rFonts w:ascii="Arial" w:eastAsia="SimSun" w:hAnsi="Arial" w:cs="Arial"/>
                <w:color w:val="000000"/>
                <w:sz w:val="19"/>
                <w:szCs w:val="19"/>
                <w:lang w:val="en-CA" w:eastAsia="zh-CN"/>
              </w:rPr>
              <w:t>.</w:t>
            </w:r>
            <w:r w:rsidR="00DA4ECB" w:rsidRPr="00A43F68">
              <w:rPr>
                <w:rFonts w:ascii="Arial" w:eastAsia="SimSun" w:hAnsi="Arial" w:cs="Arial"/>
                <w:color w:val="000000"/>
                <w:sz w:val="19"/>
                <w:szCs w:val="19"/>
                <w:lang w:val="en-CA" w:eastAsia="zh-CN"/>
              </w:rPr>
              <w:t>00</w:t>
            </w:r>
          </w:p>
        </w:tc>
        <w:tc>
          <w:tcPr>
            <w:tcW w:w="900" w:type="dxa"/>
            <w:tcBorders>
              <w:top w:val="nil"/>
              <w:left w:val="nil"/>
              <w:bottom w:val="single" w:sz="4" w:space="0" w:color="auto"/>
              <w:right w:val="single" w:sz="4" w:space="0" w:color="auto"/>
            </w:tcBorders>
            <w:shd w:val="clear" w:color="auto" w:fill="auto"/>
            <w:noWrap/>
            <w:vAlign w:val="bottom"/>
            <w:hideMark/>
          </w:tcPr>
          <w:p w14:paraId="1DDD851E" w14:textId="28E59DCA" w:rsidR="003D30B2" w:rsidRPr="00A43F68" w:rsidRDefault="003D30B2" w:rsidP="003D30B2">
            <w:pPr>
              <w:jc w:val="right"/>
              <w:rPr>
                <w:rFonts w:ascii="Arial" w:eastAsia="SimSun" w:hAnsi="Arial" w:cs="Arial"/>
                <w:color w:val="000000"/>
                <w:sz w:val="19"/>
                <w:szCs w:val="19"/>
                <w:lang w:val="en-CA" w:eastAsia="zh-CN"/>
              </w:rPr>
            </w:pPr>
            <w:r w:rsidRPr="00A43F68">
              <w:rPr>
                <w:rFonts w:ascii="Arial" w:eastAsia="SimSun" w:hAnsi="Arial" w:cs="Arial"/>
                <w:color w:val="000000"/>
                <w:sz w:val="19"/>
                <w:szCs w:val="19"/>
                <w:lang w:val="en-CA" w:eastAsia="zh-CN"/>
              </w:rPr>
              <w:t>93.5</w:t>
            </w:r>
            <w:r w:rsidR="00DA4ECB" w:rsidRPr="00A43F68">
              <w:rPr>
                <w:rFonts w:ascii="Arial" w:eastAsia="SimSun" w:hAnsi="Arial" w:cs="Arial"/>
                <w:color w:val="000000"/>
                <w:sz w:val="19"/>
                <w:szCs w:val="19"/>
                <w:lang w:val="en-CA" w:eastAsia="zh-CN"/>
              </w:rPr>
              <w:t>4</w:t>
            </w:r>
          </w:p>
        </w:tc>
        <w:tc>
          <w:tcPr>
            <w:tcW w:w="939" w:type="dxa"/>
            <w:tcBorders>
              <w:top w:val="nil"/>
              <w:left w:val="nil"/>
              <w:bottom w:val="single" w:sz="4" w:space="0" w:color="auto"/>
              <w:right w:val="single" w:sz="4" w:space="0" w:color="auto"/>
            </w:tcBorders>
            <w:shd w:val="clear" w:color="auto" w:fill="auto"/>
            <w:noWrap/>
            <w:vAlign w:val="bottom"/>
            <w:hideMark/>
          </w:tcPr>
          <w:p w14:paraId="56488AF1" w14:textId="77777777" w:rsidR="003D30B2" w:rsidRPr="00A43F68" w:rsidRDefault="003D30B2" w:rsidP="003D30B2">
            <w:pPr>
              <w:jc w:val="right"/>
              <w:rPr>
                <w:rFonts w:ascii="Arial" w:eastAsia="SimSun" w:hAnsi="Arial" w:cs="Arial"/>
                <w:color w:val="000000"/>
                <w:sz w:val="19"/>
                <w:szCs w:val="19"/>
                <w:lang w:val="en-CA" w:eastAsia="zh-CN"/>
              </w:rPr>
            </w:pPr>
            <w:r w:rsidRPr="00A43F68">
              <w:rPr>
                <w:rFonts w:ascii="Arial" w:eastAsia="SimSun" w:hAnsi="Arial" w:cs="Arial"/>
                <w:color w:val="000000"/>
                <w:sz w:val="19"/>
                <w:szCs w:val="19"/>
                <w:lang w:val="en-CA" w:eastAsia="zh-CN"/>
              </w:rPr>
              <w:t>97.29</w:t>
            </w:r>
          </w:p>
        </w:tc>
        <w:tc>
          <w:tcPr>
            <w:tcW w:w="939" w:type="dxa"/>
            <w:tcBorders>
              <w:top w:val="nil"/>
              <w:left w:val="nil"/>
              <w:bottom w:val="single" w:sz="4" w:space="0" w:color="auto"/>
              <w:right w:val="single" w:sz="4" w:space="0" w:color="auto"/>
            </w:tcBorders>
            <w:shd w:val="clear" w:color="auto" w:fill="auto"/>
            <w:noWrap/>
            <w:vAlign w:val="bottom"/>
            <w:hideMark/>
          </w:tcPr>
          <w:p w14:paraId="38071E7C" w14:textId="77777777" w:rsidR="003D30B2" w:rsidRPr="00A43F68" w:rsidRDefault="003D30B2" w:rsidP="003D30B2">
            <w:pPr>
              <w:jc w:val="right"/>
              <w:rPr>
                <w:rFonts w:ascii="Arial" w:eastAsia="SimSun" w:hAnsi="Arial" w:cs="Arial"/>
                <w:color w:val="000000"/>
                <w:sz w:val="19"/>
                <w:szCs w:val="19"/>
                <w:lang w:val="en-CA" w:eastAsia="zh-CN"/>
              </w:rPr>
            </w:pPr>
            <w:r w:rsidRPr="00A43F68">
              <w:rPr>
                <w:rFonts w:ascii="Arial" w:eastAsia="SimSun" w:hAnsi="Arial" w:cs="Arial"/>
                <w:color w:val="000000"/>
                <w:sz w:val="19"/>
                <w:szCs w:val="19"/>
                <w:lang w:val="en-CA" w:eastAsia="zh-CN"/>
              </w:rPr>
              <w:t>114.55</w:t>
            </w:r>
          </w:p>
        </w:tc>
      </w:tr>
      <w:tr w:rsidR="003D30B2" w:rsidRPr="00A43F68" w14:paraId="13AB76D9" w14:textId="77777777" w:rsidTr="003D30B2">
        <w:trPr>
          <w:trHeight w:val="240"/>
          <w:jc w:val="center"/>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14:paraId="417670F4" w14:textId="77777777" w:rsidR="003D30B2" w:rsidRPr="00A43F68" w:rsidRDefault="003D30B2" w:rsidP="003D30B2">
            <w:pPr>
              <w:rPr>
                <w:rFonts w:ascii="Arial" w:eastAsia="SimSun" w:hAnsi="Arial" w:cs="Arial"/>
                <w:b/>
                <w:bCs/>
                <w:color w:val="000000"/>
                <w:sz w:val="19"/>
                <w:szCs w:val="19"/>
                <w:lang w:val="en-CA" w:eastAsia="zh-CN"/>
              </w:rPr>
            </w:pPr>
            <w:r w:rsidRPr="00A43F68">
              <w:rPr>
                <w:rFonts w:ascii="Arial" w:eastAsia="SimSun" w:hAnsi="Arial" w:cs="Arial"/>
                <w:b/>
                <w:bCs/>
                <w:color w:val="000000"/>
                <w:sz w:val="19"/>
                <w:szCs w:val="19"/>
                <w:lang w:val="en-CA" w:eastAsia="zh-CN"/>
              </w:rPr>
              <w:t>EBIT</w:t>
            </w:r>
          </w:p>
        </w:tc>
        <w:tc>
          <w:tcPr>
            <w:tcW w:w="900" w:type="dxa"/>
            <w:tcBorders>
              <w:top w:val="nil"/>
              <w:left w:val="nil"/>
              <w:bottom w:val="single" w:sz="4" w:space="0" w:color="auto"/>
              <w:right w:val="single" w:sz="4" w:space="0" w:color="auto"/>
            </w:tcBorders>
            <w:shd w:val="clear" w:color="auto" w:fill="auto"/>
            <w:noWrap/>
            <w:vAlign w:val="bottom"/>
            <w:hideMark/>
          </w:tcPr>
          <w:p w14:paraId="77D82857" w14:textId="0BE329B9" w:rsidR="003D30B2" w:rsidRPr="00A43F68" w:rsidRDefault="003D30B2" w:rsidP="003D30B2">
            <w:pPr>
              <w:jc w:val="right"/>
              <w:rPr>
                <w:rFonts w:ascii="Arial" w:eastAsia="SimSun" w:hAnsi="Arial" w:cs="Arial"/>
                <w:color w:val="000000"/>
                <w:sz w:val="19"/>
                <w:szCs w:val="19"/>
                <w:lang w:val="en-CA" w:eastAsia="zh-CN"/>
              </w:rPr>
            </w:pPr>
            <w:r w:rsidRPr="00A43F68">
              <w:rPr>
                <w:rFonts w:ascii="Arial" w:eastAsia="SimSun" w:hAnsi="Arial" w:cs="Arial"/>
                <w:color w:val="000000"/>
                <w:sz w:val="19"/>
                <w:szCs w:val="19"/>
                <w:lang w:val="en-CA" w:eastAsia="zh-CN"/>
              </w:rPr>
              <w:t>52.76</w:t>
            </w:r>
          </w:p>
        </w:tc>
        <w:tc>
          <w:tcPr>
            <w:tcW w:w="900" w:type="dxa"/>
            <w:tcBorders>
              <w:top w:val="nil"/>
              <w:left w:val="nil"/>
              <w:bottom w:val="single" w:sz="4" w:space="0" w:color="auto"/>
              <w:right w:val="single" w:sz="4" w:space="0" w:color="auto"/>
            </w:tcBorders>
            <w:shd w:val="clear" w:color="auto" w:fill="auto"/>
            <w:noWrap/>
            <w:vAlign w:val="bottom"/>
            <w:hideMark/>
          </w:tcPr>
          <w:p w14:paraId="3A907A6E" w14:textId="24C461CB" w:rsidR="003D30B2" w:rsidRPr="00A43F68" w:rsidRDefault="003D30B2" w:rsidP="003D30B2">
            <w:pPr>
              <w:jc w:val="right"/>
              <w:rPr>
                <w:rFonts w:ascii="Arial" w:eastAsia="SimSun" w:hAnsi="Arial" w:cs="Arial"/>
                <w:color w:val="000000"/>
                <w:sz w:val="19"/>
                <w:szCs w:val="19"/>
                <w:lang w:val="en-CA" w:eastAsia="zh-CN"/>
              </w:rPr>
            </w:pPr>
            <w:r w:rsidRPr="00A43F68">
              <w:rPr>
                <w:rFonts w:ascii="Arial" w:eastAsia="SimSun" w:hAnsi="Arial" w:cs="Arial"/>
                <w:color w:val="000000"/>
                <w:sz w:val="19"/>
                <w:szCs w:val="19"/>
                <w:lang w:val="en-CA" w:eastAsia="zh-CN"/>
              </w:rPr>
              <w:t>62.53</w:t>
            </w:r>
          </w:p>
        </w:tc>
        <w:tc>
          <w:tcPr>
            <w:tcW w:w="900" w:type="dxa"/>
            <w:tcBorders>
              <w:top w:val="nil"/>
              <w:left w:val="nil"/>
              <w:bottom w:val="single" w:sz="4" w:space="0" w:color="auto"/>
              <w:right w:val="single" w:sz="4" w:space="0" w:color="auto"/>
            </w:tcBorders>
            <w:shd w:val="clear" w:color="auto" w:fill="auto"/>
            <w:noWrap/>
            <w:vAlign w:val="bottom"/>
            <w:hideMark/>
          </w:tcPr>
          <w:p w14:paraId="53B5AC4B" w14:textId="1CE87C72" w:rsidR="003D30B2" w:rsidRPr="00A43F68" w:rsidRDefault="003D30B2" w:rsidP="003D30B2">
            <w:pPr>
              <w:jc w:val="right"/>
              <w:rPr>
                <w:rFonts w:ascii="Arial" w:eastAsia="SimSun" w:hAnsi="Arial" w:cs="Arial"/>
                <w:color w:val="000000"/>
                <w:sz w:val="19"/>
                <w:szCs w:val="19"/>
                <w:lang w:val="en-CA" w:eastAsia="zh-CN"/>
              </w:rPr>
            </w:pPr>
            <w:r w:rsidRPr="00A43F68">
              <w:rPr>
                <w:rFonts w:ascii="Arial" w:eastAsia="SimSun" w:hAnsi="Arial" w:cs="Arial"/>
                <w:color w:val="000000"/>
                <w:sz w:val="19"/>
                <w:szCs w:val="19"/>
                <w:lang w:val="en-CA" w:eastAsia="zh-CN"/>
              </w:rPr>
              <w:t>75.17</w:t>
            </w:r>
          </w:p>
        </w:tc>
        <w:tc>
          <w:tcPr>
            <w:tcW w:w="939" w:type="dxa"/>
            <w:tcBorders>
              <w:top w:val="nil"/>
              <w:left w:val="nil"/>
              <w:bottom w:val="single" w:sz="4" w:space="0" w:color="auto"/>
              <w:right w:val="single" w:sz="4" w:space="0" w:color="auto"/>
            </w:tcBorders>
            <w:shd w:val="clear" w:color="auto" w:fill="auto"/>
            <w:noWrap/>
            <w:vAlign w:val="bottom"/>
            <w:hideMark/>
          </w:tcPr>
          <w:p w14:paraId="7B9FAD62" w14:textId="77777777" w:rsidR="003D30B2" w:rsidRPr="00A43F68" w:rsidRDefault="003D30B2" w:rsidP="003D30B2">
            <w:pPr>
              <w:jc w:val="right"/>
              <w:rPr>
                <w:rFonts w:ascii="Arial" w:eastAsia="SimSun" w:hAnsi="Arial" w:cs="Arial"/>
                <w:color w:val="000000"/>
                <w:sz w:val="19"/>
                <w:szCs w:val="19"/>
                <w:lang w:val="en-CA" w:eastAsia="zh-CN"/>
              </w:rPr>
            </w:pPr>
            <w:r w:rsidRPr="00A43F68">
              <w:rPr>
                <w:rFonts w:ascii="Arial" w:eastAsia="SimSun" w:hAnsi="Arial" w:cs="Arial"/>
                <w:color w:val="000000"/>
                <w:sz w:val="19"/>
                <w:szCs w:val="19"/>
                <w:lang w:val="en-CA" w:eastAsia="zh-CN"/>
              </w:rPr>
              <w:t>76.28</w:t>
            </w:r>
          </w:p>
        </w:tc>
        <w:tc>
          <w:tcPr>
            <w:tcW w:w="939" w:type="dxa"/>
            <w:tcBorders>
              <w:top w:val="nil"/>
              <w:left w:val="nil"/>
              <w:bottom w:val="single" w:sz="4" w:space="0" w:color="auto"/>
              <w:right w:val="single" w:sz="4" w:space="0" w:color="auto"/>
            </w:tcBorders>
            <w:shd w:val="clear" w:color="auto" w:fill="auto"/>
            <w:noWrap/>
            <w:vAlign w:val="bottom"/>
            <w:hideMark/>
          </w:tcPr>
          <w:p w14:paraId="37CB7745" w14:textId="77777777" w:rsidR="003D30B2" w:rsidRPr="00A43F68" w:rsidRDefault="003D30B2" w:rsidP="003D30B2">
            <w:pPr>
              <w:jc w:val="right"/>
              <w:rPr>
                <w:rFonts w:ascii="Arial" w:eastAsia="SimSun" w:hAnsi="Arial" w:cs="Arial"/>
                <w:color w:val="000000"/>
                <w:sz w:val="19"/>
                <w:szCs w:val="19"/>
                <w:lang w:val="en-CA" w:eastAsia="zh-CN"/>
              </w:rPr>
            </w:pPr>
            <w:r w:rsidRPr="00A43F68">
              <w:rPr>
                <w:rFonts w:ascii="Arial" w:eastAsia="SimSun" w:hAnsi="Arial" w:cs="Arial"/>
                <w:color w:val="000000"/>
                <w:sz w:val="19"/>
                <w:szCs w:val="19"/>
                <w:lang w:val="en-CA" w:eastAsia="zh-CN"/>
              </w:rPr>
              <w:t>93.62</w:t>
            </w:r>
          </w:p>
        </w:tc>
      </w:tr>
      <w:tr w:rsidR="003D30B2" w:rsidRPr="00A43F68" w14:paraId="483D3E36" w14:textId="77777777" w:rsidTr="003D30B2">
        <w:trPr>
          <w:trHeight w:val="240"/>
          <w:jc w:val="center"/>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14:paraId="33FB2213" w14:textId="6DE8695A" w:rsidR="003D30B2" w:rsidRPr="00A43F68" w:rsidRDefault="003D30B2" w:rsidP="003D30B2">
            <w:pPr>
              <w:rPr>
                <w:rFonts w:ascii="Arial" w:eastAsia="SimSun" w:hAnsi="Arial" w:cs="Arial"/>
                <w:b/>
                <w:bCs/>
                <w:color w:val="000000"/>
                <w:sz w:val="19"/>
                <w:szCs w:val="19"/>
                <w:lang w:val="en-CA" w:eastAsia="zh-CN"/>
              </w:rPr>
            </w:pPr>
            <w:r w:rsidRPr="00A43F68">
              <w:rPr>
                <w:rFonts w:ascii="Arial" w:eastAsia="SimSun" w:hAnsi="Arial" w:cs="Arial"/>
                <w:b/>
                <w:bCs/>
                <w:color w:val="000000"/>
                <w:sz w:val="19"/>
                <w:szCs w:val="19"/>
                <w:lang w:val="en-CA" w:eastAsia="zh-CN"/>
              </w:rPr>
              <w:t>Pre-</w:t>
            </w:r>
            <w:r w:rsidR="008A2D8B" w:rsidRPr="00A43F68">
              <w:rPr>
                <w:rFonts w:ascii="Arial" w:eastAsia="SimSun" w:hAnsi="Arial" w:cs="Arial"/>
                <w:b/>
                <w:bCs/>
                <w:color w:val="000000"/>
                <w:sz w:val="19"/>
                <w:szCs w:val="19"/>
                <w:lang w:val="en-CA" w:eastAsia="zh-CN"/>
              </w:rPr>
              <w:t>t</w:t>
            </w:r>
            <w:r w:rsidRPr="00A43F68">
              <w:rPr>
                <w:rFonts w:ascii="Arial" w:eastAsia="SimSun" w:hAnsi="Arial" w:cs="Arial"/>
                <w:b/>
                <w:bCs/>
                <w:color w:val="000000"/>
                <w:sz w:val="19"/>
                <w:szCs w:val="19"/>
                <w:lang w:val="en-CA" w:eastAsia="zh-CN"/>
              </w:rPr>
              <w:t xml:space="preserve">ax </w:t>
            </w:r>
            <w:r w:rsidR="008A2D8B" w:rsidRPr="00A43F68">
              <w:rPr>
                <w:rFonts w:ascii="Arial" w:eastAsia="SimSun" w:hAnsi="Arial" w:cs="Arial"/>
                <w:b/>
                <w:bCs/>
                <w:color w:val="000000"/>
                <w:sz w:val="19"/>
                <w:szCs w:val="19"/>
                <w:lang w:val="en-CA" w:eastAsia="zh-CN"/>
              </w:rPr>
              <w:t>p</w:t>
            </w:r>
            <w:r w:rsidRPr="00A43F68">
              <w:rPr>
                <w:rFonts w:ascii="Arial" w:eastAsia="SimSun" w:hAnsi="Arial" w:cs="Arial"/>
                <w:b/>
                <w:bCs/>
                <w:color w:val="000000"/>
                <w:sz w:val="19"/>
                <w:szCs w:val="19"/>
                <w:lang w:val="en-CA" w:eastAsia="zh-CN"/>
              </w:rPr>
              <w:t>rofit</w:t>
            </w:r>
          </w:p>
        </w:tc>
        <w:tc>
          <w:tcPr>
            <w:tcW w:w="900" w:type="dxa"/>
            <w:tcBorders>
              <w:top w:val="nil"/>
              <w:left w:val="nil"/>
              <w:bottom w:val="single" w:sz="4" w:space="0" w:color="auto"/>
              <w:right w:val="single" w:sz="4" w:space="0" w:color="auto"/>
            </w:tcBorders>
            <w:shd w:val="clear" w:color="auto" w:fill="auto"/>
            <w:noWrap/>
            <w:vAlign w:val="bottom"/>
            <w:hideMark/>
          </w:tcPr>
          <w:p w14:paraId="4456F211" w14:textId="1DFAD0C5" w:rsidR="003D30B2" w:rsidRPr="00A43F68" w:rsidRDefault="003D30B2" w:rsidP="003D30B2">
            <w:pPr>
              <w:jc w:val="right"/>
              <w:rPr>
                <w:rFonts w:ascii="Arial" w:eastAsia="SimSun" w:hAnsi="Arial" w:cs="Arial"/>
                <w:color w:val="000000"/>
                <w:sz w:val="19"/>
                <w:szCs w:val="19"/>
                <w:lang w:val="en-CA" w:eastAsia="zh-CN"/>
              </w:rPr>
            </w:pPr>
            <w:r w:rsidRPr="00A43F68">
              <w:rPr>
                <w:rFonts w:ascii="Arial" w:eastAsia="SimSun" w:hAnsi="Arial" w:cs="Arial"/>
                <w:color w:val="000000"/>
                <w:sz w:val="19"/>
                <w:szCs w:val="19"/>
                <w:lang w:val="en-CA" w:eastAsia="zh-CN"/>
              </w:rPr>
              <w:t>46.76</w:t>
            </w:r>
          </w:p>
        </w:tc>
        <w:tc>
          <w:tcPr>
            <w:tcW w:w="900" w:type="dxa"/>
            <w:tcBorders>
              <w:top w:val="nil"/>
              <w:left w:val="nil"/>
              <w:bottom w:val="single" w:sz="4" w:space="0" w:color="auto"/>
              <w:right w:val="single" w:sz="4" w:space="0" w:color="auto"/>
            </w:tcBorders>
            <w:shd w:val="clear" w:color="auto" w:fill="auto"/>
            <w:noWrap/>
            <w:vAlign w:val="bottom"/>
            <w:hideMark/>
          </w:tcPr>
          <w:p w14:paraId="569154BC" w14:textId="3A27E79D" w:rsidR="003D30B2" w:rsidRPr="00A43F68" w:rsidRDefault="003D30B2" w:rsidP="003D30B2">
            <w:pPr>
              <w:jc w:val="right"/>
              <w:rPr>
                <w:rFonts w:ascii="Arial" w:eastAsia="SimSun" w:hAnsi="Arial" w:cs="Arial"/>
                <w:color w:val="000000"/>
                <w:sz w:val="19"/>
                <w:szCs w:val="19"/>
                <w:lang w:val="en-CA" w:eastAsia="zh-CN"/>
              </w:rPr>
            </w:pPr>
            <w:r w:rsidRPr="00A43F68">
              <w:rPr>
                <w:rFonts w:ascii="Arial" w:eastAsia="SimSun" w:hAnsi="Arial" w:cs="Arial"/>
                <w:color w:val="000000"/>
                <w:sz w:val="19"/>
                <w:szCs w:val="19"/>
                <w:lang w:val="en-CA" w:eastAsia="zh-CN"/>
              </w:rPr>
              <w:t>57.46</w:t>
            </w:r>
          </w:p>
        </w:tc>
        <w:tc>
          <w:tcPr>
            <w:tcW w:w="900" w:type="dxa"/>
            <w:tcBorders>
              <w:top w:val="nil"/>
              <w:left w:val="nil"/>
              <w:bottom w:val="single" w:sz="4" w:space="0" w:color="auto"/>
              <w:right w:val="single" w:sz="4" w:space="0" w:color="auto"/>
            </w:tcBorders>
            <w:shd w:val="clear" w:color="auto" w:fill="auto"/>
            <w:noWrap/>
            <w:vAlign w:val="bottom"/>
            <w:hideMark/>
          </w:tcPr>
          <w:p w14:paraId="206C92FB" w14:textId="27ED47E8" w:rsidR="003D30B2" w:rsidRPr="00A43F68" w:rsidRDefault="003D30B2" w:rsidP="003D30B2">
            <w:pPr>
              <w:jc w:val="right"/>
              <w:rPr>
                <w:rFonts w:ascii="Arial" w:eastAsia="SimSun" w:hAnsi="Arial" w:cs="Arial"/>
                <w:color w:val="000000"/>
                <w:sz w:val="19"/>
                <w:szCs w:val="19"/>
                <w:lang w:val="en-CA" w:eastAsia="zh-CN"/>
              </w:rPr>
            </w:pPr>
            <w:r w:rsidRPr="00A43F68">
              <w:rPr>
                <w:rFonts w:ascii="Arial" w:eastAsia="SimSun" w:hAnsi="Arial" w:cs="Arial"/>
                <w:color w:val="000000"/>
                <w:sz w:val="19"/>
                <w:szCs w:val="19"/>
                <w:lang w:val="en-CA" w:eastAsia="zh-CN"/>
              </w:rPr>
              <w:t>70.45</w:t>
            </w:r>
          </w:p>
        </w:tc>
        <w:tc>
          <w:tcPr>
            <w:tcW w:w="939" w:type="dxa"/>
            <w:tcBorders>
              <w:top w:val="nil"/>
              <w:left w:val="nil"/>
              <w:bottom w:val="single" w:sz="4" w:space="0" w:color="auto"/>
              <w:right w:val="single" w:sz="4" w:space="0" w:color="auto"/>
            </w:tcBorders>
            <w:shd w:val="clear" w:color="auto" w:fill="auto"/>
            <w:noWrap/>
            <w:vAlign w:val="bottom"/>
            <w:hideMark/>
          </w:tcPr>
          <w:p w14:paraId="004F6321" w14:textId="77777777" w:rsidR="003D30B2" w:rsidRPr="00A43F68" w:rsidRDefault="003D30B2" w:rsidP="003D30B2">
            <w:pPr>
              <w:jc w:val="right"/>
              <w:rPr>
                <w:rFonts w:ascii="Arial" w:eastAsia="SimSun" w:hAnsi="Arial" w:cs="Arial"/>
                <w:color w:val="000000"/>
                <w:sz w:val="19"/>
                <w:szCs w:val="19"/>
                <w:lang w:val="en-CA" w:eastAsia="zh-CN"/>
              </w:rPr>
            </w:pPr>
            <w:r w:rsidRPr="00A43F68">
              <w:rPr>
                <w:rFonts w:ascii="Arial" w:eastAsia="SimSun" w:hAnsi="Arial" w:cs="Arial"/>
                <w:color w:val="000000"/>
                <w:sz w:val="19"/>
                <w:szCs w:val="19"/>
                <w:lang w:val="en-CA" w:eastAsia="zh-CN"/>
              </w:rPr>
              <w:t>68.91</w:t>
            </w:r>
          </w:p>
        </w:tc>
        <w:tc>
          <w:tcPr>
            <w:tcW w:w="939" w:type="dxa"/>
            <w:tcBorders>
              <w:top w:val="nil"/>
              <w:left w:val="nil"/>
              <w:bottom w:val="single" w:sz="4" w:space="0" w:color="auto"/>
              <w:right w:val="single" w:sz="4" w:space="0" w:color="auto"/>
            </w:tcBorders>
            <w:shd w:val="clear" w:color="auto" w:fill="auto"/>
            <w:noWrap/>
            <w:vAlign w:val="bottom"/>
            <w:hideMark/>
          </w:tcPr>
          <w:p w14:paraId="009AA875" w14:textId="77777777" w:rsidR="003D30B2" w:rsidRPr="00A43F68" w:rsidRDefault="003D30B2" w:rsidP="003D30B2">
            <w:pPr>
              <w:jc w:val="right"/>
              <w:rPr>
                <w:rFonts w:ascii="Arial" w:eastAsia="SimSun" w:hAnsi="Arial" w:cs="Arial"/>
                <w:color w:val="000000"/>
                <w:sz w:val="19"/>
                <w:szCs w:val="19"/>
                <w:lang w:val="en-CA" w:eastAsia="zh-CN"/>
              </w:rPr>
            </w:pPr>
            <w:r w:rsidRPr="00A43F68">
              <w:rPr>
                <w:rFonts w:ascii="Arial" w:eastAsia="SimSun" w:hAnsi="Arial" w:cs="Arial"/>
                <w:color w:val="000000"/>
                <w:sz w:val="19"/>
                <w:szCs w:val="19"/>
                <w:lang w:val="en-CA" w:eastAsia="zh-CN"/>
              </w:rPr>
              <w:t>85.56</w:t>
            </w:r>
          </w:p>
        </w:tc>
      </w:tr>
      <w:tr w:rsidR="003D30B2" w:rsidRPr="00A43F68" w14:paraId="39012680" w14:textId="77777777" w:rsidTr="003D30B2">
        <w:trPr>
          <w:trHeight w:val="240"/>
          <w:jc w:val="center"/>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14:paraId="70887E2F" w14:textId="77777777" w:rsidR="003D30B2" w:rsidRPr="00A43F68" w:rsidRDefault="003D30B2" w:rsidP="003D30B2">
            <w:pPr>
              <w:rPr>
                <w:rFonts w:ascii="Arial" w:eastAsia="SimSun" w:hAnsi="Arial" w:cs="Arial"/>
                <w:b/>
                <w:bCs/>
                <w:color w:val="000000"/>
                <w:sz w:val="19"/>
                <w:szCs w:val="19"/>
                <w:lang w:val="en-CA" w:eastAsia="zh-CN"/>
              </w:rPr>
            </w:pPr>
            <w:r w:rsidRPr="00A43F68">
              <w:rPr>
                <w:rFonts w:ascii="Arial" w:eastAsia="SimSun" w:hAnsi="Arial" w:cs="Arial"/>
                <w:b/>
                <w:bCs/>
                <w:color w:val="000000"/>
                <w:sz w:val="19"/>
                <w:szCs w:val="19"/>
                <w:lang w:val="en-CA" w:eastAsia="zh-CN"/>
              </w:rPr>
              <w:t>NPAT</w:t>
            </w:r>
          </w:p>
        </w:tc>
        <w:tc>
          <w:tcPr>
            <w:tcW w:w="900" w:type="dxa"/>
            <w:tcBorders>
              <w:top w:val="nil"/>
              <w:left w:val="nil"/>
              <w:bottom w:val="single" w:sz="4" w:space="0" w:color="auto"/>
              <w:right w:val="single" w:sz="4" w:space="0" w:color="auto"/>
            </w:tcBorders>
            <w:shd w:val="clear" w:color="auto" w:fill="auto"/>
            <w:noWrap/>
            <w:vAlign w:val="bottom"/>
            <w:hideMark/>
          </w:tcPr>
          <w:p w14:paraId="3F5DCB0F" w14:textId="54EC48E6" w:rsidR="003D30B2" w:rsidRPr="00A43F68" w:rsidRDefault="003D30B2" w:rsidP="003D30B2">
            <w:pPr>
              <w:jc w:val="right"/>
              <w:rPr>
                <w:rFonts w:ascii="Arial" w:eastAsia="SimSun" w:hAnsi="Arial" w:cs="Arial"/>
                <w:color w:val="000000"/>
                <w:sz w:val="19"/>
                <w:szCs w:val="19"/>
                <w:lang w:val="en-CA" w:eastAsia="zh-CN"/>
              </w:rPr>
            </w:pPr>
            <w:r w:rsidRPr="00A43F68">
              <w:rPr>
                <w:rFonts w:ascii="Arial" w:eastAsia="SimSun" w:hAnsi="Arial" w:cs="Arial"/>
                <w:color w:val="000000"/>
                <w:sz w:val="19"/>
                <w:szCs w:val="19"/>
                <w:lang w:val="en-CA" w:eastAsia="zh-CN"/>
              </w:rPr>
              <w:t>33.46</w:t>
            </w:r>
          </w:p>
        </w:tc>
        <w:tc>
          <w:tcPr>
            <w:tcW w:w="900" w:type="dxa"/>
            <w:tcBorders>
              <w:top w:val="nil"/>
              <w:left w:val="nil"/>
              <w:bottom w:val="single" w:sz="4" w:space="0" w:color="auto"/>
              <w:right w:val="single" w:sz="4" w:space="0" w:color="auto"/>
            </w:tcBorders>
            <w:shd w:val="clear" w:color="auto" w:fill="auto"/>
            <w:noWrap/>
            <w:vAlign w:val="bottom"/>
            <w:hideMark/>
          </w:tcPr>
          <w:p w14:paraId="0C43CD34" w14:textId="07B5938C" w:rsidR="003D30B2" w:rsidRPr="00A43F68" w:rsidRDefault="003D30B2" w:rsidP="003D30B2">
            <w:pPr>
              <w:jc w:val="right"/>
              <w:rPr>
                <w:rFonts w:ascii="Arial" w:eastAsia="SimSun" w:hAnsi="Arial" w:cs="Arial"/>
                <w:color w:val="000000"/>
                <w:sz w:val="19"/>
                <w:szCs w:val="19"/>
                <w:lang w:val="en-CA" w:eastAsia="zh-CN"/>
              </w:rPr>
            </w:pPr>
            <w:r w:rsidRPr="00A43F68">
              <w:rPr>
                <w:rFonts w:ascii="Arial" w:eastAsia="SimSun" w:hAnsi="Arial" w:cs="Arial"/>
                <w:color w:val="000000"/>
                <w:sz w:val="19"/>
                <w:szCs w:val="19"/>
                <w:lang w:val="en-CA" w:eastAsia="zh-CN"/>
              </w:rPr>
              <w:t>41.06</w:t>
            </w:r>
          </w:p>
        </w:tc>
        <w:tc>
          <w:tcPr>
            <w:tcW w:w="900" w:type="dxa"/>
            <w:tcBorders>
              <w:top w:val="nil"/>
              <w:left w:val="nil"/>
              <w:bottom w:val="single" w:sz="4" w:space="0" w:color="auto"/>
              <w:right w:val="single" w:sz="4" w:space="0" w:color="auto"/>
            </w:tcBorders>
            <w:shd w:val="clear" w:color="auto" w:fill="auto"/>
            <w:noWrap/>
            <w:vAlign w:val="bottom"/>
            <w:hideMark/>
          </w:tcPr>
          <w:p w14:paraId="2023F3B2" w14:textId="5BEA1C3A" w:rsidR="003D30B2" w:rsidRPr="00A43F68" w:rsidRDefault="003D30B2" w:rsidP="003D30B2">
            <w:pPr>
              <w:jc w:val="right"/>
              <w:rPr>
                <w:rFonts w:ascii="Arial" w:eastAsia="SimSun" w:hAnsi="Arial" w:cs="Arial"/>
                <w:color w:val="000000"/>
                <w:sz w:val="19"/>
                <w:szCs w:val="19"/>
                <w:lang w:val="en-CA" w:eastAsia="zh-CN"/>
              </w:rPr>
            </w:pPr>
            <w:r w:rsidRPr="00A43F68">
              <w:rPr>
                <w:rFonts w:ascii="Arial" w:eastAsia="SimSun" w:hAnsi="Arial" w:cs="Arial"/>
                <w:color w:val="000000"/>
                <w:sz w:val="19"/>
                <w:szCs w:val="19"/>
                <w:lang w:val="en-CA" w:eastAsia="zh-CN"/>
              </w:rPr>
              <w:t>49.99</w:t>
            </w:r>
          </w:p>
        </w:tc>
        <w:tc>
          <w:tcPr>
            <w:tcW w:w="939" w:type="dxa"/>
            <w:tcBorders>
              <w:top w:val="nil"/>
              <w:left w:val="nil"/>
              <w:bottom w:val="single" w:sz="4" w:space="0" w:color="auto"/>
              <w:right w:val="single" w:sz="4" w:space="0" w:color="auto"/>
            </w:tcBorders>
            <w:shd w:val="clear" w:color="auto" w:fill="auto"/>
            <w:noWrap/>
            <w:vAlign w:val="bottom"/>
            <w:hideMark/>
          </w:tcPr>
          <w:p w14:paraId="1E48C929" w14:textId="77777777" w:rsidR="003D30B2" w:rsidRPr="00A43F68" w:rsidRDefault="003D30B2" w:rsidP="003D30B2">
            <w:pPr>
              <w:jc w:val="right"/>
              <w:rPr>
                <w:rFonts w:ascii="Arial" w:eastAsia="SimSun" w:hAnsi="Arial" w:cs="Arial"/>
                <w:color w:val="000000"/>
                <w:sz w:val="19"/>
                <w:szCs w:val="19"/>
                <w:lang w:val="en-CA" w:eastAsia="zh-CN"/>
              </w:rPr>
            </w:pPr>
            <w:r w:rsidRPr="00A43F68">
              <w:rPr>
                <w:rFonts w:ascii="Arial" w:eastAsia="SimSun" w:hAnsi="Arial" w:cs="Arial"/>
                <w:color w:val="000000"/>
                <w:sz w:val="19"/>
                <w:szCs w:val="19"/>
                <w:lang w:val="en-CA" w:eastAsia="zh-CN"/>
              </w:rPr>
              <w:t>48.49</w:t>
            </w:r>
          </w:p>
        </w:tc>
        <w:tc>
          <w:tcPr>
            <w:tcW w:w="939" w:type="dxa"/>
            <w:tcBorders>
              <w:top w:val="nil"/>
              <w:left w:val="nil"/>
              <w:bottom w:val="single" w:sz="4" w:space="0" w:color="auto"/>
              <w:right w:val="single" w:sz="4" w:space="0" w:color="auto"/>
            </w:tcBorders>
            <w:shd w:val="clear" w:color="auto" w:fill="auto"/>
            <w:noWrap/>
            <w:vAlign w:val="bottom"/>
            <w:hideMark/>
          </w:tcPr>
          <w:p w14:paraId="6959E709" w14:textId="77777777" w:rsidR="003D30B2" w:rsidRPr="00A43F68" w:rsidRDefault="003D30B2" w:rsidP="003D30B2">
            <w:pPr>
              <w:jc w:val="right"/>
              <w:rPr>
                <w:rFonts w:ascii="Arial" w:eastAsia="SimSun" w:hAnsi="Arial" w:cs="Arial"/>
                <w:color w:val="000000"/>
                <w:sz w:val="19"/>
                <w:szCs w:val="19"/>
                <w:lang w:val="en-CA" w:eastAsia="zh-CN"/>
              </w:rPr>
            </w:pPr>
            <w:r w:rsidRPr="00A43F68">
              <w:rPr>
                <w:rFonts w:ascii="Arial" w:eastAsia="SimSun" w:hAnsi="Arial" w:cs="Arial"/>
                <w:color w:val="000000"/>
                <w:sz w:val="19"/>
                <w:szCs w:val="19"/>
                <w:lang w:val="en-CA" w:eastAsia="zh-CN"/>
              </w:rPr>
              <w:t>58.08</w:t>
            </w:r>
          </w:p>
        </w:tc>
      </w:tr>
      <w:tr w:rsidR="003D30B2" w:rsidRPr="00A43F68" w14:paraId="46D1A854" w14:textId="77777777" w:rsidTr="003D30B2">
        <w:trPr>
          <w:trHeight w:val="240"/>
          <w:jc w:val="center"/>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14:paraId="7C2EDB5B" w14:textId="081E9D08" w:rsidR="003D30B2" w:rsidRPr="00A43F68" w:rsidRDefault="003D30B2" w:rsidP="003D30B2">
            <w:pPr>
              <w:rPr>
                <w:rFonts w:ascii="Arial" w:eastAsia="SimSun" w:hAnsi="Arial" w:cs="Arial"/>
                <w:b/>
                <w:bCs/>
                <w:color w:val="000000"/>
                <w:sz w:val="19"/>
                <w:szCs w:val="19"/>
                <w:lang w:val="en-CA" w:eastAsia="zh-CN"/>
              </w:rPr>
            </w:pPr>
            <w:r w:rsidRPr="00A43F68">
              <w:rPr>
                <w:rFonts w:ascii="Arial" w:eastAsia="SimSun" w:hAnsi="Arial" w:cs="Arial"/>
                <w:b/>
                <w:bCs/>
                <w:color w:val="000000"/>
                <w:sz w:val="19"/>
                <w:szCs w:val="19"/>
                <w:lang w:val="en-CA" w:eastAsia="zh-CN"/>
              </w:rPr>
              <w:t xml:space="preserve">Total </w:t>
            </w:r>
            <w:r w:rsidR="008A2D8B" w:rsidRPr="00A43F68">
              <w:rPr>
                <w:rFonts w:ascii="Arial" w:eastAsia="SimSun" w:hAnsi="Arial" w:cs="Arial"/>
                <w:b/>
                <w:bCs/>
                <w:color w:val="000000"/>
                <w:sz w:val="19"/>
                <w:szCs w:val="19"/>
                <w:lang w:val="en-CA" w:eastAsia="zh-CN"/>
              </w:rPr>
              <w:t>a</w:t>
            </w:r>
            <w:r w:rsidRPr="00A43F68">
              <w:rPr>
                <w:rFonts w:ascii="Arial" w:eastAsia="SimSun" w:hAnsi="Arial" w:cs="Arial"/>
                <w:b/>
                <w:bCs/>
                <w:color w:val="000000"/>
                <w:sz w:val="19"/>
                <w:szCs w:val="19"/>
                <w:lang w:val="en-CA" w:eastAsia="zh-CN"/>
              </w:rPr>
              <w:t>ssets</w:t>
            </w:r>
          </w:p>
        </w:tc>
        <w:tc>
          <w:tcPr>
            <w:tcW w:w="900" w:type="dxa"/>
            <w:tcBorders>
              <w:top w:val="nil"/>
              <w:left w:val="nil"/>
              <w:bottom w:val="single" w:sz="4" w:space="0" w:color="auto"/>
              <w:right w:val="single" w:sz="4" w:space="0" w:color="auto"/>
            </w:tcBorders>
            <w:shd w:val="clear" w:color="auto" w:fill="auto"/>
            <w:noWrap/>
            <w:vAlign w:val="bottom"/>
            <w:hideMark/>
          </w:tcPr>
          <w:p w14:paraId="2CA2309D" w14:textId="3F49CA04" w:rsidR="003D30B2" w:rsidRPr="00A43F68" w:rsidRDefault="003D30B2" w:rsidP="003D30B2">
            <w:pPr>
              <w:jc w:val="right"/>
              <w:rPr>
                <w:rFonts w:ascii="Arial" w:eastAsia="SimSun" w:hAnsi="Arial" w:cs="Arial"/>
                <w:color w:val="000000"/>
                <w:sz w:val="19"/>
                <w:szCs w:val="19"/>
                <w:lang w:val="en-CA" w:eastAsia="zh-CN"/>
              </w:rPr>
            </w:pPr>
            <w:r w:rsidRPr="00A43F68">
              <w:rPr>
                <w:rFonts w:ascii="Arial" w:eastAsia="SimSun" w:hAnsi="Arial" w:cs="Arial"/>
                <w:color w:val="000000"/>
                <w:sz w:val="19"/>
                <w:szCs w:val="19"/>
                <w:lang w:val="en-CA" w:eastAsia="zh-CN"/>
              </w:rPr>
              <w:t>506.78</w:t>
            </w:r>
          </w:p>
        </w:tc>
        <w:tc>
          <w:tcPr>
            <w:tcW w:w="900" w:type="dxa"/>
            <w:tcBorders>
              <w:top w:val="nil"/>
              <w:left w:val="nil"/>
              <w:bottom w:val="single" w:sz="4" w:space="0" w:color="auto"/>
              <w:right w:val="single" w:sz="4" w:space="0" w:color="auto"/>
            </w:tcBorders>
            <w:shd w:val="clear" w:color="auto" w:fill="auto"/>
            <w:noWrap/>
            <w:vAlign w:val="bottom"/>
            <w:hideMark/>
          </w:tcPr>
          <w:p w14:paraId="652FC8EE" w14:textId="0CD7D957" w:rsidR="003D30B2" w:rsidRPr="00A43F68" w:rsidRDefault="003D30B2" w:rsidP="003D30B2">
            <w:pPr>
              <w:jc w:val="right"/>
              <w:rPr>
                <w:rFonts w:ascii="Arial" w:eastAsia="SimSun" w:hAnsi="Arial" w:cs="Arial"/>
                <w:color w:val="000000"/>
                <w:sz w:val="19"/>
                <w:szCs w:val="19"/>
                <w:lang w:val="en-CA" w:eastAsia="zh-CN"/>
              </w:rPr>
            </w:pPr>
            <w:r w:rsidRPr="00A43F68">
              <w:rPr>
                <w:rFonts w:ascii="Arial" w:eastAsia="SimSun" w:hAnsi="Arial" w:cs="Arial"/>
                <w:color w:val="000000"/>
                <w:sz w:val="19"/>
                <w:szCs w:val="19"/>
                <w:lang w:val="en-CA" w:eastAsia="zh-CN"/>
              </w:rPr>
              <w:t>536.55</w:t>
            </w:r>
          </w:p>
        </w:tc>
        <w:tc>
          <w:tcPr>
            <w:tcW w:w="900" w:type="dxa"/>
            <w:tcBorders>
              <w:top w:val="nil"/>
              <w:left w:val="nil"/>
              <w:bottom w:val="single" w:sz="4" w:space="0" w:color="auto"/>
              <w:right w:val="single" w:sz="4" w:space="0" w:color="auto"/>
            </w:tcBorders>
            <w:shd w:val="clear" w:color="auto" w:fill="auto"/>
            <w:noWrap/>
            <w:vAlign w:val="bottom"/>
            <w:hideMark/>
          </w:tcPr>
          <w:p w14:paraId="753C40C1" w14:textId="4FB9A8EF" w:rsidR="003D30B2" w:rsidRPr="00A43F68" w:rsidRDefault="003D30B2" w:rsidP="003D30B2">
            <w:pPr>
              <w:jc w:val="right"/>
              <w:rPr>
                <w:rFonts w:ascii="Arial" w:eastAsia="SimSun" w:hAnsi="Arial" w:cs="Arial"/>
                <w:color w:val="000000"/>
                <w:sz w:val="19"/>
                <w:szCs w:val="19"/>
                <w:lang w:val="en-CA" w:eastAsia="zh-CN"/>
              </w:rPr>
            </w:pPr>
            <w:r w:rsidRPr="00A43F68">
              <w:rPr>
                <w:rFonts w:ascii="Arial" w:eastAsia="SimSun" w:hAnsi="Arial" w:cs="Arial"/>
                <w:color w:val="000000"/>
                <w:sz w:val="19"/>
                <w:szCs w:val="19"/>
                <w:lang w:val="en-CA" w:eastAsia="zh-CN"/>
              </w:rPr>
              <w:t>612.93</w:t>
            </w:r>
          </w:p>
        </w:tc>
        <w:tc>
          <w:tcPr>
            <w:tcW w:w="939" w:type="dxa"/>
            <w:tcBorders>
              <w:top w:val="nil"/>
              <w:left w:val="nil"/>
              <w:bottom w:val="single" w:sz="4" w:space="0" w:color="auto"/>
              <w:right w:val="single" w:sz="4" w:space="0" w:color="auto"/>
            </w:tcBorders>
            <w:shd w:val="clear" w:color="auto" w:fill="auto"/>
            <w:noWrap/>
            <w:vAlign w:val="bottom"/>
            <w:hideMark/>
          </w:tcPr>
          <w:p w14:paraId="238D1457" w14:textId="77777777" w:rsidR="003D30B2" w:rsidRPr="00A43F68" w:rsidRDefault="003D30B2" w:rsidP="003D30B2">
            <w:pPr>
              <w:jc w:val="right"/>
              <w:rPr>
                <w:rFonts w:ascii="Arial" w:eastAsia="SimSun" w:hAnsi="Arial" w:cs="Arial"/>
                <w:color w:val="000000"/>
                <w:sz w:val="19"/>
                <w:szCs w:val="19"/>
                <w:lang w:val="en-CA" w:eastAsia="zh-CN"/>
              </w:rPr>
            </w:pPr>
            <w:r w:rsidRPr="00A43F68">
              <w:rPr>
                <w:rFonts w:ascii="Arial" w:eastAsia="SimSun" w:hAnsi="Arial" w:cs="Arial"/>
                <w:color w:val="000000"/>
                <w:sz w:val="19"/>
                <w:szCs w:val="19"/>
                <w:lang w:val="en-CA" w:eastAsia="zh-CN"/>
              </w:rPr>
              <w:t>749.07</w:t>
            </w:r>
          </w:p>
        </w:tc>
        <w:tc>
          <w:tcPr>
            <w:tcW w:w="939" w:type="dxa"/>
            <w:tcBorders>
              <w:top w:val="nil"/>
              <w:left w:val="nil"/>
              <w:bottom w:val="single" w:sz="4" w:space="0" w:color="auto"/>
              <w:right w:val="single" w:sz="4" w:space="0" w:color="auto"/>
            </w:tcBorders>
            <w:shd w:val="clear" w:color="auto" w:fill="auto"/>
            <w:noWrap/>
            <w:vAlign w:val="bottom"/>
            <w:hideMark/>
          </w:tcPr>
          <w:p w14:paraId="76521A8E" w14:textId="77777777" w:rsidR="003D30B2" w:rsidRPr="00A43F68" w:rsidRDefault="003D30B2" w:rsidP="003D30B2">
            <w:pPr>
              <w:jc w:val="right"/>
              <w:rPr>
                <w:rFonts w:ascii="Arial" w:eastAsia="SimSun" w:hAnsi="Arial" w:cs="Arial"/>
                <w:color w:val="000000"/>
                <w:sz w:val="19"/>
                <w:szCs w:val="19"/>
                <w:lang w:val="en-CA" w:eastAsia="zh-CN"/>
              </w:rPr>
            </w:pPr>
            <w:r w:rsidRPr="00A43F68">
              <w:rPr>
                <w:rFonts w:ascii="Arial" w:eastAsia="SimSun" w:hAnsi="Arial" w:cs="Arial"/>
                <w:color w:val="000000"/>
                <w:sz w:val="19"/>
                <w:szCs w:val="19"/>
                <w:lang w:val="en-CA" w:eastAsia="zh-CN"/>
              </w:rPr>
              <w:t>862.75</w:t>
            </w:r>
          </w:p>
        </w:tc>
      </w:tr>
      <w:tr w:rsidR="003D30B2" w:rsidRPr="00A43F68" w14:paraId="55ECDD24" w14:textId="77777777" w:rsidTr="003D30B2">
        <w:trPr>
          <w:trHeight w:val="240"/>
          <w:jc w:val="center"/>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14:paraId="74338A56" w14:textId="197AEEC9" w:rsidR="003D30B2" w:rsidRPr="00A43F68" w:rsidRDefault="003D30B2" w:rsidP="003D30B2">
            <w:pPr>
              <w:rPr>
                <w:rFonts w:ascii="Arial" w:eastAsia="SimSun" w:hAnsi="Arial" w:cs="Arial"/>
                <w:b/>
                <w:bCs/>
                <w:color w:val="000000"/>
                <w:sz w:val="19"/>
                <w:szCs w:val="19"/>
                <w:lang w:val="en-CA" w:eastAsia="zh-CN"/>
              </w:rPr>
            </w:pPr>
            <w:r w:rsidRPr="00A43F68">
              <w:rPr>
                <w:rFonts w:ascii="Arial" w:eastAsia="SimSun" w:hAnsi="Arial" w:cs="Arial"/>
                <w:b/>
                <w:bCs/>
                <w:color w:val="000000"/>
                <w:sz w:val="19"/>
                <w:szCs w:val="19"/>
                <w:lang w:val="en-CA" w:eastAsia="zh-CN"/>
              </w:rPr>
              <w:t xml:space="preserve">Total </w:t>
            </w:r>
            <w:r w:rsidR="008A2D8B" w:rsidRPr="00A43F68">
              <w:rPr>
                <w:rFonts w:ascii="Arial" w:eastAsia="SimSun" w:hAnsi="Arial" w:cs="Arial"/>
                <w:b/>
                <w:bCs/>
                <w:color w:val="000000"/>
                <w:sz w:val="19"/>
                <w:szCs w:val="19"/>
                <w:lang w:val="en-CA" w:eastAsia="zh-CN"/>
              </w:rPr>
              <w:t>l</w:t>
            </w:r>
            <w:r w:rsidRPr="00A43F68">
              <w:rPr>
                <w:rFonts w:ascii="Arial" w:eastAsia="SimSun" w:hAnsi="Arial" w:cs="Arial"/>
                <w:b/>
                <w:bCs/>
                <w:color w:val="000000"/>
                <w:sz w:val="19"/>
                <w:szCs w:val="19"/>
                <w:lang w:val="en-CA" w:eastAsia="zh-CN"/>
              </w:rPr>
              <w:t>iabilities</w:t>
            </w:r>
          </w:p>
        </w:tc>
        <w:tc>
          <w:tcPr>
            <w:tcW w:w="900" w:type="dxa"/>
            <w:tcBorders>
              <w:top w:val="nil"/>
              <w:left w:val="nil"/>
              <w:bottom w:val="single" w:sz="4" w:space="0" w:color="auto"/>
              <w:right w:val="single" w:sz="4" w:space="0" w:color="auto"/>
            </w:tcBorders>
            <w:shd w:val="clear" w:color="auto" w:fill="auto"/>
            <w:noWrap/>
            <w:vAlign w:val="bottom"/>
            <w:hideMark/>
          </w:tcPr>
          <w:p w14:paraId="784EEDB0" w14:textId="2092B9DC" w:rsidR="003D30B2" w:rsidRPr="00A43F68" w:rsidRDefault="003D30B2" w:rsidP="003D30B2">
            <w:pPr>
              <w:jc w:val="right"/>
              <w:rPr>
                <w:rFonts w:ascii="Arial" w:eastAsia="SimSun" w:hAnsi="Arial" w:cs="Arial"/>
                <w:color w:val="000000"/>
                <w:sz w:val="19"/>
                <w:szCs w:val="19"/>
                <w:lang w:val="en-CA" w:eastAsia="zh-CN"/>
              </w:rPr>
            </w:pPr>
            <w:r w:rsidRPr="00A43F68">
              <w:rPr>
                <w:rFonts w:ascii="Arial" w:eastAsia="SimSun" w:hAnsi="Arial" w:cs="Arial"/>
                <w:color w:val="000000"/>
                <w:sz w:val="19"/>
                <w:szCs w:val="19"/>
                <w:lang w:val="en-CA" w:eastAsia="zh-CN"/>
              </w:rPr>
              <w:t>191.24</w:t>
            </w:r>
          </w:p>
        </w:tc>
        <w:tc>
          <w:tcPr>
            <w:tcW w:w="900" w:type="dxa"/>
            <w:tcBorders>
              <w:top w:val="nil"/>
              <w:left w:val="nil"/>
              <w:bottom w:val="single" w:sz="4" w:space="0" w:color="auto"/>
              <w:right w:val="single" w:sz="4" w:space="0" w:color="auto"/>
            </w:tcBorders>
            <w:shd w:val="clear" w:color="auto" w:fill="auto"/>
            <w:noWrap/>
            <w:vAlign w:val="bottom"/>
            <w:hideMark/>
          </w:tcPr>
          <w:p w14:paraId="0701813C" w14:textId="37F0E904" w:rsidR="003D30B2" w:rsidRPr="00A43F68" w:rsidRDefault="003D30B2" w:rsidP="003D30B2">
            <w:pPr>
              <w:jc w:val="right"/>
              <w:rPr>
                <w:rFonts w:ascii="Arial" w:eastAsia="SimSun" w:hAnsi="Arial" w:cs="Arial"/>
                <w:color w:val="000000"/>
                <w:sz w:val="19"/>
                <w:szCs w:val="19"/>
                <w:lang w:val="en-CA" w:eastAsia="zh-CN"/>
              </w:rPr>
            </w:pPr>
            <w:r w:rsidRPr="00A43F68">
              <w:rPr>
                <w:rFonts w:ascii="Arial" w:eastAsia="SimSun" w:hAnsi="Arial" w:cs="Arial"/>
                <w:color w:val="000000"/>
                <w:sz w:val="19"/>
                <w:szCs w:val="19"/>
                <w:lang w:val="en-CA" w:eastAsia="zh-CN"/>
              </w:rPr>
              <w:t>194.62</w:t>
            </w:r>
          </w:p>
        </w:tc>
        <w:tc>
          <w:tcPr>
            <w:tcW w:w="900" w:type="dxa"/>
            <w:tcBorders>
              <w:top w:val="nil"/>
              <w:left w:val="nil"/>
              <w:bottom w:val="single" w:sz="4" w:space="0" w:color="auto"/>
              <w:right w:val="single" w:sz="4" w:space="0" w:color="auto"/>
            </w:tcBorders>
            <w:shd w:val="clear" w:color="auto" w:fill="auto"/>
            <w:noWrap/>
            <w:vAlign w:val="bottom"/>
            <w:hideMark/>
          </w:tcPr>
          <w:p w14:paraId="5FC79DDB" w14:textId="30280BDB" w:rsidR="003D30B2" w:rsidRPr="00A43F68" w:rsidRDefault="003D30B2" w:rsidP="003D30B2">
            <w:pPr>
              <w:jc w:val="right"/>
              <w:rPr>
                <w:rFonts w:ascii="Arial" w:eastAsia="SimSun" w:hAnsi="Arial" w:cs="Arial"/>
                <w:color w:val="000000"/>
                <w:sz w:val="19"/>
                <w:szCs w:val="19"/>
                <w:lang w:val="en-CA" w:eastAsia="zh-CN"/>
              </w:rPr>
            </w:pPr>
            <w:r w:rsidRPr="00A43F68">
              <w:rPr>
                <w:rFonts w:ascii="Arial" w:eastAsia="SimSun" w:hAnsi="Arial" w:cs="Arial"/>
                <w:color w:val="000000"/>
                <w:sz w:val="19"/>
                <w:szCs w:val="19"/>
                <w:lang w:val="en-CA" w:eastAsia="zh-CN"/>
              </w:rPr>
              <w:t>239.64</w:t>
            </w:r>
          </w:p>
        </w:tc>
        <w:tc>
          <w:tcPr>
            <w:tcW w:w="939" w:type="dxa"/>
            <w:tcBorders>
              <w:top w:val="nil"/>
              <w:left w:val="nil"/>
              <w:bottom w:val="single" w:sz="4" w:space="0" w:color="auto"/>
              <w:right w:val="single" w:sz="4" w:space="0" w:color="auto"/>
            </w:tcBorders>
            <w:shd w:val="clear" w:color="auto" w:fill="auto"/>
            <w:noWrap/>
            <w:vAlign w:val="bottom"/>
            <w:hideMark/>
          </w:tcPr>
          <w:p w14:paraId="07FFCA35" w14:textId="77777777" w:rsidR="003D30B2" w:rsidRPr="00A43F68" w:rsidRDefault="003D30B2" w:rsidP="003D30B2">
            <w:pPr>
              <w:jc w:val="right"/>
              <w:rPr>
                <w:rFonts w:ascii="Arial" w:eastAsia="SimSun" w:hAnsi="Arial" w:cs="Arial"/>
                <w:color w:val="000000"/>
                <w:sz w:val="19"/>
                <w:szCs w:val="19"/>
                <w:lang w:val="en-CA" w:eastAsia="zh-CN"/>
              </w:rPr>
            </w:pPr>
            <w:r w:rsidRPr="00A43F68">
              <w:rPr>
                <w:rFonts w:ascii="Arial" w:eastAsia="SimSun" w:hAnsi="Arial" w:cs="Arial"/>
                <w:color w:val="000000"/>
                <w:sz w:val="19"/>
                <w:szCs w:val="19"/>
                <w:lang w:val="en-CA" w:eastAsia="zh-CN"/>
              </w:rPr>
              <w:t>344.74</w:t>
            </w:r>
          </w:p>
        </w:tc>
        <w:tc>
          <w:tcPr>
            <w:tcW w:w="939" w:type="dxa"/>
            <w:tcBorders>
              <w:top w:val="nil"/>
              <w:left w:val="nil"/>
              <w:bottom w:val="single" w:sz="4" w:space="0" w:color="auto"/>
              <w:right w:val="single" w:sz="4" w:space="0" w:color="auto"/>
            </w:tcBorders>
            <w:shd w:val="clear" w:color="auto" w:fill="auto"/>
            <w:noWrap/>
            <w:vAlign w:val="bottom"/>
            <w:hideMark/>
          </w:tcPr>
          <w:p w14:paraId="7AFCF917" w14:textId="77777777" w:rsidR="003D30B2" w:rsidRPr="00A43F68" w:rsidRDefault="003D30B2" w:rsidP="003D30B2">
            <w:pPr>
              <w:jc w:val="right"/>
              <w:rPr>
                <w:rFonts w:ascii="Arial" w:eastAsia="SimSun" w:hAnsi="Arial" w:cs="Arial"/>
                <w:color w:val="000000"/>
                <w:sz w:val="19"/>
                <w:szCs w:val="19"/>
                <w:lang w:val="en-CA" w:eastAsia="zh-CN"/>
              </w:rPr>
            </w:pPr>
            <w:r w:rsidRPr="00A43F68">
              <w:rPr>
                <w:rFonts w:ascii="Arial" w:eastAsia="SimSun" w:hAnsi="Arial" w:cs="Arial"/>
                <w:color w:val="000000"/>
                <w:sz w:val="19"/>
                <w:szCs w:val="19"/>
                <w:lang w:val="en-CA" w:eastAsia="zh-CN"/>
              </w:rPr>
              <w:t>324.86</w:t>
            </w:r>
          </w:p>
        </w:tc>
      </w:tr>
    </w:tbl>
    <w:p w14:paraId="7AEC9C98" w14:textId="77777777" w:rsidR="003D30B2" w:rsidRPr="00A43F68" w:rsidRDefault="003D30B2" w:rsidP="003D30B2">
      <w:pPr>
        <w:jc w:val="both"/>
        <w:rPr>
          <w:rFonts w:ascii="Arial" w:hAnsi="Arial" w:cs="Arial"/>
          <w:kern w:val="2"/>
          <w:lang w:val="en-CA"/>
        </w:rPr>
      </w:pPr>
    </w:p>
    <w:p w14:paraId="62407059" w14:textId="5CF3A782" w:rsidR="003D30B2" w:rsidRPr="00A43F68" w:rsidRDefault="003D30B2" w:rsidP="003D30B2">
      <w:pPr>
        <w:jc w:val="both"/>
        <w:rPr>
          <w:rFonts w:ascii="Arial" w:hAnsi="Arial" w:cs="Arial"/>
          <w:kern w:val="2"/>
          <w:sz w:val="17"/>
          <w:szCs w:val="17"/>
          <w:lang w:val="en-CA"/>
        </w:rPr>
      </w:pPr>
      <w:r w:rsidRPr="00A43F68">
        <w:rPr>
          <w:rFonts w:ascii="Arial" w:hAnsi="Arial" w:cs="Arial"/>
          <w:kern w:val="2"/>
          <w:sz w:val="17"/>
          <w:szCs w:val="17"/>
          <w:lang w:val="en-CA"/>
        </w:rPr>
        <w:t>Note: n/a = not available</w:t>
      </w:r>
      <w:r w:rsidR="00096F15" w:rsidRPr="00A43F68">
        <w:rPr>
          <w:rFonts w:ascii="Arial" w:hAnsi="Arial" w:cs="Arial"/>
          <w:kern w:val="2"/>
          <w:sz w:val="17"/>
          <w:szCs w:val="17"/>
          <w:lang w:val="en-CA"/>
        </w:rPr>
        <w:t>; EBITDA = earnings before interest, taxes, depreciation, and amortization; EBIT = earnings before interest and taxes; NPAT = net profit after taxes.</w:t>
      </w:r>
    </w:p>
    <w:p w14:paraId="5D22ED5B" w14:textId="10A15766" w:rsidR="003D30B2" w:rsidRPr="00A43F68" w:rsidRDefault="003D30B2" w:rsidP="003D30B2">
      <w:pPr>
        <w:jc w:val="both"/>
        <w:rPr>
          <w:rFonts w:ascii="Arial" w:hAnsi="Arial" w:cs="Arial"/>
          <w:kern w:val="2"/>
          <w:sz w:val="17"/>
          <w:szCs w:val="17"/>
          <w:lang w:val="en-CA"/>
        </w:rPr>
      </w:pPr>
      <w:r w:rsidRPr="00A43F68">
        <w:rPr>
          <w:rFonts w:ascii="Arial" w:hAnsi="Arial" w:cs="Arial"/>
          <w:kern w:val="2"/>
          <w:sz w:val="17"/>
          <w:szCs w:val="17"/>
          <w:lang w:val="en-CA"/>
        </w:rPr>
        <w:t xml:space="preserve">Source: Created by the case authors based on </w:t>
      </w:r>
      <w:r w:rsidR="00096F15" w:rsidRPr="00A43F68">
        <w:rPr>
          <w:rFonts w:ascii="Arial" w:hAnsi="Arial" w:cs="Arial"/>
          <w:kern w:val="2"/>
          <w:sz w:val="17"/>
          <w:szCs w:val="17"/>
          <w:lang w:val="en-CA"/>
        </w:rPr>
        <w:t xml:space="preserve">CFA Institute, </w:t>
      </w:r>
      <w:r w:rsidRPr="00A43F68">
        <w:rPr>
          <w:rFonts w:ascii="Arial" w:hAnsi="Arial" w:cs="Arial"/>
          <w:i/>
          <w:kern w:val="2"/>
          <w:sz w:val="17"/>
          <w:szCs w:val="17"/>
          <w:lang w:val="en-CA"/>
        </w:rPr>
        <w:t>Tassal Group Limited</w:t>
      </w:r>
      <w:r w:rsidR="00096F15" w:rsidRPr="00A43F68">
        <w:rPr>
          <w:rFonts w:ascii="Arial" w:hAnsi="Arial" w:cs="Arial"/>
          <w:kern w:val="2"/>
          <w:sz w:val="17"/>
          <w:szCs w:val="17"/>
          <w:lang w:val="en-CA"/>
        </w:rPr>
        <w:t>, 11 (2013–2015)</w:t>
      </w:r>
      <w:r w:rsidRPr="00A43F68">
        <w:rPr>
          <w:rFonts w:ascii="Arial" w:hAnsi="Arial" w:cs="Arial"/>
          <w:kern w:val="2"/>
          <w:sz w:val="17"/>
          <w:szCs w:val="17"/>
          <w:lang w:val="en-CA"/>
        </w:rPr>
        <w:t>, September 17, 2015, accessed October 26, 2018, www.arx.cfa/up/post/872/Melbourne-University-of-Melbourne.pdf; Tassal Group Limited,</w:t>
      </w:r>
      <w:r w:rsidR="00096F15" w:rsidRPr="00A43F68">
        <w:rPr>
          <w:rFonts w:ascii="Arial" w:hAnsi="Arial" w:cs="Arial"/>
          <w:kern w:val="2"/>
          <w:sz w:val="17"/>
          <w:szCs w:val="17"/>
          <w:lang w:val="en-CA"/>
        </w:rPr>
        <w:t xml:space="preserve"> </w:t>
      </w:r>
      <w:r w:rsidRPr="00A43F68">
        <w:rPr>
          <w:rFonts w:ascii="Arial" w:hAnsi="Arial" w:cs="Arial"/>
          <w:i/>
          <w:kern w:val="2"/>
          <w:sz w:val="17"/>
          <w:szCs w:val="17"/>
          <w:lang w:val="en-CA"/>
        </w:rPr>
        <w:t>Annual Report 2017</w:t>
      </w:r>
      <w:r w:rsidRPr="00A43F68">
        <w:rPr>
          <w:rFonts w:ascii="Arial" w:hAnsi="Arial" w:cs="Arial"/>
          <w:kern w:val="2"/>
          <w:sz w:val="17"/>
          <w:szCs w:val="17"/>
          <w:lang w:val="en-CA"/>
        </w:rPr>
        <w:t>,</w:t>
      </w:r>
      <w:r w:rsidR="00096F15" w:rsidRPr="00A43F68">
        <w:rPr>
          <w:rFonts w:ascii="Arial" w:hAnsi="Arial" w:cs="Arial"/>
          <w:kern w:val="2"/>
          <w:sz w:val="17"/>
          <w:szCs w:val="17"/>
          <w:lang w:val="en-CA"/>
        </w:rPr>
        <w:t xml:space="preserve"> 3, 30 (2016–2017), </w:t>
      </w:r>
      <w:r w:rsidRPr="00A43F68">
        <w:rPr>
          <w:rFonts w:ascii="Arial" w:hAnsi="Arial" w:cs="Arial"/>
          <w:kern w:val="2"/>
          <w:sz w:val="17"/>
          <w:szCs w:val="17"/>
          <w:lang w:val="en-CA"/>
        </w:rPr>
        <w:t>accessed October 27, 2018, www.tassal.com.au/wp-content/uploads/2017/09/1717106-2017-Annual-Report.pdf</w:t>
      </w:r>
      <w:r w:rsidR="00096F15" w:rsidRPr="00A43F68">
        <w:rPr>
          <w:rFonts w:ascii="Arial" w:hAnsi="Arial" w:cs="Arial"/>
          <w:kern w:val="2"/>
          <w:sz w:val="17"/>
          <w:szCs w:val="17"/>
          <w:lang w:val="en-CA"/>
        </w:rPr>
        <w:t>.</w:t>
      </w:r>
    </w:p>
    <w:p w14:paraId="1FF8B2E6" w14:textId="77777777" w:rsidR="003D30B2" w:rsidRPr="00A43F68" w:rsidRDefault="003D30B2" w:rsidP="003D30B2">
      <w:pPr>
        <w:rPr>
          <w:rFonts w:ascii="Arial" w:hAnsi="Arial" w:cs="Arial"/>
          <w:kern w:val="2"/>
          <w:sz w:val="17"/>
          <w:szCs w:val="17"/>
          <w:lang w:val="en-CA"/>
        </w:rPr>
      </w:pPr>
    </w:p>
    <w:p w14:paraId="7B322C1B" w14:textId="77777777" w:rsidR="003D30B2" w:rsidRPr="00A43F68" w:rsidRDefault="003D30B2" w:rsidP="003D30B2">
      <w:pPr>
        <w:rPr>
          <w:rFonts w:ascii="Arial" w:hAnsi="Arial" w:cs="Arial"/>
          <w:kern w:val="2"/>
          <w:sz w:val="17"/>
          <w:szCs w:val="17"/>
          <w:lang w:val="en-CA"/>
        </w:rPr>
      </w:pPr>
    </w:p>
    <w:p w14:paraId="4ED31280" w14:textId="65B7BA84" w:rsidR="003D30B2" w:rsidRPr="00A43F68" w:rsidRDefault="003D30B2" w:rsidP="003D30B2">
      <w:pPr>
        <w:jc w:val="center"/>
        <w:outlineLvl w:val="0"/>
        <w:rPr>
          <w:rFonts w:ascii="Arial" w:hAnsi="Arial" w:cs="Arial"/>
          <w:b/>
          <w:caps/>
          <w:kern w:val="2"/>
          <w:lang w:val="en-CA"/>
        </w:rPr>
      </w:pPr>
      <w:r w:rsidRPr="00A43F68">
        <w:rPr>
          <w:rFonts w:ascii="Arial" w:hAnsi="Arial" w:cs="Arial"/>
          <w:b/>
          <w:caps/>
          <w:kern w:val="2"/>
          <w:lang w:val="en-CA"/>
        </w:rPr>
        <w:t xml:space="preserve">Exhibit </w:t>
      </w:r>
      <w:r w:rsidR="00DE3D2F" w:rsidRPr="00A43F68">
        <w:rPr>
          <w:rFonts w:ascii="Arial" w:hAnsi="Arial" w:cs="Arial"/>
          <w:b/>
          <w:caps/>
          <w:kern w:val="2"/>
          <w:lang w:val="en-CA"/>
        </w:rPr>
        <w:t>5</w:t>
      </w:r>
      <w:r w:rsidRPr="00A43F68">
        <w:rPr>
          <w:rFonts w:ascii="Arial" w:hAnsi="Arial" w:cs="Arial"/>
          <w:b/>
          <w:caps/>
          <w:kern w:val="2"/>
          <w:lang w:val="en-CA"/>
        </w:rPr>
        <w:t>: TASSAL GROUP LIMITED’S FINANCIAL RATIOS</w:t>
      </w:r>
      <w:r w:rsidR="00F928FD" w:rsidRPr="00A43F68">
        <w:rPr>
          <w:rFonts w:ascii="Arial" w:hAnsi="Arial" w:cs="Arial"/>
          <w:b/>
          <w:caps/>
          <w:kern w:val="2"/>
          <w:lang w:val="en-CA"/>
        </w:rPr>
        <w:t xml:space="preserve"> (%)</w:t>
      </w:r>
    </w:p>
    <w:p w14:paraId="12799ABC" w14:textId="77777777" w:rsidR="003D30B2" w:rsidRPr="00A43F68" w:rsidRDefault="003D30B2" w:rsidP="003D30B2">
      <w:pPr>
        <w:jc w:val="both"/>
        <w:rPr>
          <w:rFonts w:ascii="Arial" w:eastAsiaTheme="minorEastAsia" w:hAnsi="Arial" w:cs="Arial"/>
          <w:kern w:val="2"/>
          <w:lang w:val="en-CA" w:eastAsia="zh-CN"/>
        </w:rPr>
      </w:pPr>
    </w:p>
    <w:tbl>
      <w:tblPr>
        <w:tblW w:w="7800" w:type="dxa"/>
        <w:jc w:val="center"/>
        <w:tblLook w:val="04A0" w:firstRow="1" w:lastRow="0" w:firstColumn="1" w:lastColumn="0" w:noHBand="0" w:noVBand="1"/>
      </w:tblPr>
      <w:tblGrid>
        <w:gridCol w:w="2200"/>
        <w:gridCol w:w="1120"/>
        <w:gridCol w:w="1120"/>
        <w:gridCol w:w="1120"/>
        <w:gridCol w:w="1120"/>
        <w:gridCol w:w="1120"/>
      </w:tblGrid>
      <w:tr w:rsidR="003D30B2" w:rsidRPr="00A43F68" w14:paraId="536DAF01" w14:textId="77777777" w:rsidTr="003D30B2">
        <w:trPr>
          <w:trHeight w:val="240"/>
          <w:jc w:val="center"/>
        </w:trPr>
        <w:tc>
          <w:tcPr>
            <w:tcW w:w="2200" w:type="dxa"/>
            <w:tcBorders>
              <w:top w:val="nil"/>
              <w:left w:val="nil"/>
              <w:bottom w:val="nil"/>
              <w:right w:val="nil"/>
            </w:tcBorders>
            <w:shd w:val="clear" w:color="auto" w:fill="auto"/>
            <w:noWrap/>
            <w:vAlign w:val="bottom"/>
            <w:hideMark/>
          </w:tcPr>
          <w:p w14:paraId="5E31D6CB" w14:textId="77777777" w:rsidR="003D30B2" w:rsidRPr="00A43F68" w:rsidRDefault="003D30B2" w:rsidP="003D30B2">
            <w:pPr>
              <w:jc w:val="center"/>
              <w:rPr>
                <w:rFonts w:ascii="Arial" w:eastAsia="SimSun" w:hAnsi="Arial" w:cs="Arial"/>
                <w:b/>
                <w:bCs/>
                <w:color w:val="000000"/>
                <w:sz w:val="19"/>
                <w:szCs w:val="19"/>
                <w:lang w:val="en-CA" w:eastAsia="zh-CN"/>
              </w:rPr>
            </w:pPr>
          </w:p>
        </w:tc>
        <w:tc>
          <w:tcPr>
            <w:tcW w:w="11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90A01F0" w14:textId="77777777" w:rsidR="003D30B2" w:rsidRPr="00A43F68" w:rsidRDefault="003D30B2" w:rsidP="003D30B2">
            <w:pPr>
              <w:jc w:val="center"/>
              <w:rPr>
                <w:rFonts w:ascii="Arial" w:eastAsia="SimSun" w:hAnsi="Arial" w:cs="Arial"/>
                <w:b/>
                <w:bCs/>
                <w:color w:val="000000"/>
                <w:sz w:val="19"/>
                <w:szCs w:val="19"/>
                <w:lang w:val="en-CA" w:eastAsia="zh-CN"/>
              </w:rPr>
            </w:pPr>
            <w:r w:rsidRPr="00A43F68">
              <w:rPr>
                <w:rFonts w:ascii="Arial" w:eastAsia="SimSun" w:hAnsi="Arial" w:cs="Arial"/>
                <w:b/>
                <w:bCs/>
                <w:color w:val="000000"/>
                <w:sz w:val="19"/>
                <w:szCs w:val="19"/>
                <w:lang w:val="en-CA" w:eastAsia="zh-CN"/>
              </w:rPr>
              <w:t>2013</w:t>
            </w:r>
          </w:p>
        </w:tc>
        <w:tc>
          <w:tcPr>
            <w:tcW w:w="1120" w:type="dxa"/>
            <w:tcBorders>
              <w:top w:val="single" w:sz="4" w:space="0" w:color="auto"/>
              <w:left w:val="nil"/>
              <w:bottom w:val="single" w:sz="4" w:space="0" w:color="auto"/>
              <w:right w:val="single" w:sz="4" w:space="0" w:color="auto"/>
            </w:tcBorders>
            <w:shd w:val="clear" w:color="auto" w:fill="auto"/>
            <w:noWrap/>
            <w:vAlign w:val="bottom"/>
            <w:hideMark/>
          </w:tcPr>
          <w:p w14:paraId="4FF92602" w14:textId="77777777" w:rsidR="003D30B2" w:rsidRPr="00A43F68" w:rsidRDefault="003D30B2" w:rsidP="003D30B2">
            <w:pPr>
              <w:jc w:val="center"/>
              <w:rPr>
                <w:rFonts w:ascii="Arial" w:eastAsia="SimSun" w:hAnsi="Arial" w:cs="Arial"/>
                <w:b/>
                <w:bCs/>
                <w:color w:val="000000"/>
                <w:sz w:val="19"/>
                <w:szCs w:val="19"/>
                <w:lang w:val="en-CA" w:eastAsia="zh-CN"/>
              </w:rPr>
            </w:pPr>
            <w:r w:rsidRPr="00A43F68">
              <w:rPr>
                <w:rFonts w:ascii="Arial" w:eastAsia="SimSun" w:hAnsi="Arial" w:cs="Arial"/>
                <w:b/>
                <w:bCs/>
                <w:color w:val="000000"/>
                <w:sz w:val="19"/>
                <w:szCs w:val="19"/>
                <w:lang w:val="en-CA" w:eastAsia="zh-CN"/>
              </w:rPr>
              <w:t>2014</w:t>
            </w:r>
          </w:p>
        </w:tc>
        <w:tc>
          <w:tcPr>
            <w:tcW w:w="1120" w:type="dxa"/>
            <w:tcBorders>
              <w:top w:val="single" w:sz="4" w:space="0" w:color="auto"/>
              <w:left w:val="nil"/>
              <w:bottom w:val="single" w:sz="4" w:space="0" w:color="auto"/>
              <w:right w:val="single" w:sz="4" w:space="0" w:color="auto"/>
            </w:tcBorders>
            <w:shd w:val="clear" w:color="auto" w:fill="auto"/>
            <w:noWrap/>
            <w:vAlign w:val="bottom"/>
            <w:hideMark/>
          </w:tcPr>
          <w:p w14:paraId="2434020E" w14:textId="77777777" w:rsidR="003D30B2" w:rsidRPr="00A43F68" w:rsidRDefault="003D30B2" w:rsidP="003D30B2">
            <w:pPr>
              <w:jc w:val="center"/>
              <w:rPr>
                <w:rFonts w:ascii="Arial" w:eastAsia="SimSun" w:hAnsi="Arial" w:cs="Arial"/>
                <w:b/>
                <w:bCs/>
                <w:color w:val="000000"/>
                <w:sz w:val="19"/>
                <w:szCs w:val="19"/>
                <w:lang w:val="en-CA" w:eastAsia="zh-CN"/>
              </w:rPr>
            </w:pPr>
            <w:r w:rsidRPr="00A43F68">
              <w:rPr>
                <w:rFonts w:ascii="Arial" w:eastAsia="SimSun" w:hAnsi="Arial" w:cs="Arial"/>
                <w:b/>
                <w:bCs/>
                <w:color w:val="000000"/>
                <w:sz w:val="19"/>
                <w:szCs w:val="19"/>
                <w:lang w:val="en-CA" w:eastAsia="zh-CN"/>
              </w:rPr>
              <w:t>2015</w:t>
            </w:r>
          </w:p>
        </w:tc>
        <w:tc>
          <w:tcPr>
            <w:tcW w:w="1120" w:type="dxa"/>
            <w:tcBorders>
              <w:top w:val="single" w:sz="4" w:space="0" w:color="auto"/>
              <w:left w:val="nil"/>
              <w:bottom w:val="single" w:sz="4" w:space="0" w:color="auto"/>
              <w:right w:val="single" w:sz="4" w:space="0" w:color="auto"/>
            </w:tcBorders>
            <w:shd w:val="clear" w:color="auto" w:fill="auto"/>
            <w:noWrap/>
            <w:vAlign w:val="bottom"/>
            <w:hideMark/>
          </w:tcPr>
          <w:p w14:paraId="7A3F9911" w14:textId="77777777" w:rsidR="003D30B2" w:rsidRPr="00A43F68" w:rsidRDefault="003D30B2" w:rsidP="003D30B2">
            <w:pPr>
              <w:jc w:val="center"/>
              <w:rPr>
                <w:rFonts w:ascii="Arial" w:eastAsia="SimSun" w:hAnsi="Arial" w:cs="Arial"/>
                <w:b/>
                <w:bCs/>
                <w:color w:val="000000"/>
                <w:sz w:val="19"/>
                <w:szCs w:val="19"/>
                <w:lang w:val="en-CA" w:eastAsia="zh-CN"/>
              </w:rPr>
            </w:pPr>
            <w:r w:rsidRPr="00A43F68">
              <w:rPr>
                <w:rFonts w:ascii="Arial" w:eastAsia="SimSun" w:hAnsi="Arial" w:cs="Arial"/>
                <w:b/>
                <w:bCs/>
                <w:color w:val="000000"/>
                <w:sz w:val="19"/>
                <w:szCs w:val="19"/>
                <w:lang w:val="en-CA" w:eastAsia="zh-CN"/>
              </w:rPr>
              <w:t>2016</w:t>
            </w:r>
          </w:p>
        </w:tc>
        <w:tc>
          <w:tcPr>
            <w:tcW w:w="1120" w:type="dxa"/>
            <w:tcBorders>
              <w:top w:val="single" w:sz="4" w:space="0" w:color="auto"/>
              <w:left w:val="nil"/>
              <w:bottom w:val="single" w:sz="4" w:space="0" w:color="auto"/>
              <w:right w:val="single" w:sz="4" w:space="0" w:color="auto"/>
            </w:tcBorders>
            <w:shd w:val="clear" w:color="auto" w:fill="auto"/>
            <w:noWrap/>
            <w:vAlign w:val="bottom"/>
            <w:hideMark/>
          </w:tcPr>
          <w:p w14:paraId="74E0140A" w14:textId="77777777" w:rsidR="003D30B2" w:rsidRPr="00A43F68" w:rsidRDefault="003D30B2" w:rsidP="003D30B2">
            <w:pPr>
              <w:jc w:val="center"/>
              <w:rPr>
                <w:rFonts w:ascii="Arial" w:eastAsia="SimSun" w:hAnsi="Arial" w:cs="Arial"/>
                <w:b/>
                <w:bCs/>
                <w:color w:val="000000"/>
                <w:sz w:val="19"/>
                <w:szCs w:val="19"/>
                <w:lang w:val="en-CA" w:eastAsia="zh-CN"/>
              </w:rPr>
            </w:pPr>
            <w:r w:rsidRPr="00A43F68">
              <w:rPr>
                <w:rFonts w:ascii="Arial" w:eastAsia="SimSun" w:hAnsi="Arial" w:cs="Arial"/>
                <w:b/>
                <w:bCs/>
                <w:color w:val="000000"/>
                <w:sz w:val="19"/>
                <w:szCs w:val="19"/>
                <w:lang w:val="en-CA" w:eastAsia="zh-CN"/>
              </w:rPr>
              <w:t>2017</w:t>
            </w:r>
          </w:p>
        </w:tc>
      </w:tr>
      <w:tr w:rsidR="003D30B2" w:rsidRPr="00A43F68" w14:paraId="412E07FE" w14:textId="77777777" w:rsidTr="003D30B2">
        <w:trPr>
          <w:trHeight w:val="240"/>
          <w:jc w:val="center"/>
        </w:trPr>
        <w:tc>
          <w:tcPr>
            <w:tcW w:w="2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1DF9E71" w14:textId="77777777" w:rsidR="003D30B2" w:rsidRPr="00A43F68" w:rsidRDefault="003D30B2" w:rsidP="003D30B2">
            <w:pPr>
              <w:rPr>
                <w:rFonts w:ascii="Arial" w:eastAsia="SimSun" w:hAnsi="Arial" w:cs="Arial"/>
                <w:b/>
                <w:bCs/>
                <w:color w:val="000000"/>
                <w:sz w:val="19"/>
                <w:szCs w:val="19"/>
                <w:lang w:val="en-CA" w:eastAsia="zh-CN"/>
              </w:rPr>
            </w:pPr>
            <w:r w:rsidRPr="00A43F68">
              <w:rPr>
                <w:rFonts w:ascii="Arial" w:eastAsia="SimSun" w:hAnsi="Arial" w:cs="Arial"/>
                <w:b/>
                <w:bCs/>
                <w:color w:val="000000"/>
                <w:sz w:val="19"/>
                <w:szCs w:val="19"/>
                <w:lang w:val="en-CA" w:eastAsia="zh-CN"/>
              </w:rPr>
              <w:t>Profit margin</w:t>
            </w:r>
          </w:p>
        </w:tc>
        <w:tc>
          <w:tcPr>
            <w:tcW w:w="1120" w:type="dxa"/>
            <w:tcBorders>
              <w:top w:val="nil"/>
              <w:left w:val="nil"/>
              <w:bottom w:val="single" w:sz="4" w:space="0" w:color="auto"/>
              <w:right w:val="single" w:sz="4" w:space="0" w:color="auto"/>
            </w:tcBorders>
            <w:shd w:val="clear" w:color="auto" w:fill="auto"/>
            <w:noWrap/>
            <w:vAlign w:val="bottom"/>
            <w:hideMark/>
          </w:tcPr>
          <w:p w14:paraId="6ACE3029" w14:textId="1EDB662A" w:rsidR="003D30B2" w:rsidRPr="00A43F68" w:rsidRDefault="003D30B2" w:rsidP="00F928FD">
            <w:pPr>
              <w:jc w:val="center"/>
              <w:rPr>
                <w:rFonts w:ascii="Arial" w:eastAsia="SimSun" w:hAnsi="Arial" w:cs="Arial"/>
                <w:color w:val="000000"/>
                <w:sz w:val="19"/>
                <w:szCs w:val="19"/>
                <w:lang w:val="en-CA" w:eastAsia="zh-CN"/>
              </w:rPr>
            </w:pPr>
            <w:r w:rsidRPr="00A43F68">
              <w:rPr>
                <w:rFonts w:ascii="Arial" w:eastAsia="SimSun" w:hAnsi="Arial" w:cs="Arial"/>
                <w:color w:val="000000"/>
                <w:sz w:val="19"/>
                <w:szCs w:val="19"/>
                <w:lang w:val="en-CA" w:eastAsia="zh-CN"/>
              </w:rPr>
              <w:t>12.3</w:t>
            </w:r>
          </w:p>
        </w:tc>
        <w:tc>
          <w:tcPr>
            <w:tcW w:w="1120" w:type="dxa"/>
            <w:tcBorders>
              <w:top w:val="nil"/>
              <w:left w:val="nil"/>
              <w:bottom w:val="single" w:sz="4" w:space="0" w:color="auto"/>
              <w:right w:val="single" w:sz="4" w:space="0" w:color="auto"/>
            </w:tcBorders>
            <w:shd w:val="clear" w:color="auto" w:fill="auto"/>
            <w:noWrap/>
            <w:vAlign w:val="bottom"/>
            <w:hideMark/>
          </w:tcPr>
          <w:p w14:paraId="031A904E" w14:textId="35F168EB" w:rsidR="003D30B2" w:rsidRPr="00A43F68" w:rsidRDefault="003D30B2" w:rsidP="00F928FD">
            <w:pPr>
              <w:jc w:val="center"/>
              <w:rPr>
                <w:rFonts w:ascii="Arial" w:eastAsia="SimSun" w:hAnsi="Arial" w:cs="Arial"/>
                <w:color w:val="000000"/>
                <w:sz w:val="19"/>
                <w:szCs w:val="19"/>
                <w:lang w:val="en-CA" w:eastAsia="zh-CN"/>
              </w:rPr>
            </w:pPr>
            <w:r w:rsidRPr="00A43F68">
              <w:rPr>
                <w:rFonts w:ascii="Arial" w:eastAsia="SimSun" w:hAnsi="Arial" w:cs="Arial"/>
                <w:color w:val="000000"/>
                <w:sz w:val="19"/>
                <w:szCs w:val="19"/>
                <w:lang w:val="en-CA" w:eastAsia="zh-CN"/>
              </w:rPr>
              <w:t>15.5</w:t>
            </w:r>
          </w:p>
        </w:tc>
        <w:tc>
          <w:tcPr>
            <w:tcW w:w="1120" w:type="dxa"/>
            <w:tcBorders>
              <w:top w:val="nil"/>
              <w:left w:val="nil"/>
              <w:bottom w:val="single" w:sz="4" w:space="0" w:color="auto"/>
              <w:right w:val="single" w:sz="4" w:space="0" w:color="auto"/>
            </w:tcBorders>
            <w:shd w:val="clear" w:color="auto" w:fill="auto"/>
            <w:noWrap/>
            <w:vAlign w:val="bottom"/>
            <w:hideMark/>
          </w:tcPr>
          <w:p w14:paraId="2D1EBA1B" w14:textId="59E6CA58" w:rsidR="003D30B2" w:rsidRPr="00A43F68" w:rsidRDefault="003D30B2" w:rsidP="00F928FD">
            <w:pPr>
              <w:jc w:val="center"/>
              <w:rPr>
                <w:rFonts w:ascii="Arial" w:eastAsia="SimSun" w:hAnsi="Arial" w:cs="Arial"/>
                <w:color w:val="000000"/>
                <w:sz w:val="19"/>
                <w:szCs w:val="19"/>
                <w:lang w:val="en-CA" w:eastAsia="zh-CN"/>
              </w:rPr>
            </w:pPr>
            <w:r w:rsidRPr="00A43F68">
              <w:rPr>
                <w:rFonts w:ascii="Arial" w:eastAsia="SimSun" w:hAnsi="Arial" w:cs="Arial"/>
                <w:color w:val="000000"/>
                <w:sz w:val="19"/>
                <w:szCs w:val="19"/>
                <w:lang w:val="en-CA" w:eastAsia="zh-CN"/>
              </w:rPr>
              <w:t>16.2</w:t>
            </w:r>
          </w:p>
        </w:tc>
        <w:tc>
          <w:tcPr>
            <w:tcW w:w="1120" w:type="dxa"/>
            <w:tcBorders>
              <w:top w:val="nil"/>
              <w:left w:val="nil"/>
              <w:bottom w:val="single" w:sz="4" w:space="0" w:color="auto"/>
              <w:right w:val="single" w:sz="4" w:space="0" w:color="auto"/>
            </w:tcBorders>
            <w:shd w:val="clear" w:color="auto" w:fill="auto"/>
            <w:noWrap/>
            <w:vAlign w:val="bottom"/>
            <w:hideMark/>
          </w:tcPr>
          <w:p w14:paraId="0ED67960" w14:textId="05ED7E52" w:rsidR="003D30B2" w:rsidRPr="00A43F68" w:rsidRDefault="003D30B2" w:rsidP="00F928FD">
            <w:pPr>
              <w:jc w:val="center"/>
              <w:rPr>
                <w:rFonts w:ascii="Arial" w:eastAsia="SimSun" w:hAnsi="Arial" w:cs="Arial"/>
                <w:color w:val="000000"/>
                <w:sz w:val="19"/>
                <w:szCs w:val="19"/>
                <w:lang w:val="en-CA" w:eastAsia="zh-CN"/>
              </w:rPr>
            </w:pPr>
            <w:r w:rsidRPr="00A43F68">
              <w:rPr>
                <w:rFonts w:ascii="Arial" w:eastAsia="SimSun" w:hAnsi="Arial" w:cs="Arial"/>
                <w:color w:val="000000"/>
                <w:sz w:val="19"/>
                <w:szCs w:val="19"/>
                <w:lang w:val="en-CA" w:eastAsia="zh-CN"/>
              </w:rPr>
              <w:t>11.3</w:t>
            </w:r>
          </w:p>
        </w:tc>
        <w:tc>
          <w:tcPr>
            <w:tcW w:w="1120" w:type="dxa"/>
            <w:tcBorders>
              <w:top w:val="nil"/>
              <w:left w:val="nil"/>
              <w:bottom w:val="single" w:sz="4" w:space="0" w:color="auto"/>
              <w:right w:val="single" w:sz="4" w:space="0" w:color="auto"/>
            </w:tcBorders>
            <w:shd w:val="clear" w:color="auto" w:fill="auto"/>
            <w:noWrap/>
            <w:vAlign w:val="bottom"/>
            <w:hideMark/>
          </w:tcPr>
          <w:p w14:paraId="54FB2101" w14:textId="30906A07" w:rsidR="003D30B2" w:rsidRPr="00A43F68" w:rsidRDefault="003D30B2" w:rsidP="00F928FD">
            <w:pPr>
              <w:jc w:val="center"/>
              <w:rPr>
                <w:rFonts w:ascii="Arial" w:eastAsia="SimSun" w:hAnsi="Arial" w:cs="Arial"/>
                <w:color w:val="000000"/>
                <w:sz w:val="19"/>
                <w:szCs w:val="19"/>
                <w:lang w:val="en-CA" w:eastAsia="zh-CN"/>
              </w:rPr>
            </w:pPr>
            <w:r w:rsidRPr="00A43F68">
              <w:rPr>
                <w:rFonts w:ascii="Arial" w:eastAsia="SimSun" w:hAnsi="Arial" w:cs="Arial"/>
                <w:color w:val="000000"/>
                <w:sz w:val="19"/>
                <w:szCs w:val="19"/>
                <w:lang w:val="en-CA" w:eastAsia="zh-CN"/>
              </w:rPr>
              <w:t>12.9</w:t>
            </w:r>
          </w:p>
        </w:tc>
      </w:tr>
      <w:tr w:rsidR="003D30B2" w:rsidRPr="00A43F68" w14:paraId="0AAA439B" w14:textId="77777777" w:rsidTr="003D30B2">
        <w:trPr>
          <w:trHeight w:val="240"/>
          <w:jc w:val="center"/>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14:paraId="1DF572F1" w14:textId="77777777" w:rsidR="003D30B2" w:rsidRPr="00A43F68" w:rsidRDefault="003D30B2" w:rsidP="003D30B2">
            <w:pPr>
              <w:rPr>
                <w:rFonts w:ascii="Arial" w:eastAsia="SimSun" w:hAnsi="Arial" w:cs="Arial"/>
                <w:b/>
                <w:bCs/>
                <w:color w:val="000000"/>
                <w:sz w:val="19"/>
                <w:szCs w:val="19"/>
                <w:lang w:val="en-CA" w:eastAsia="zh-CN"/>
              </w:rPr>
            </w:pPr>
            <w:r w:rsidRPr="00A43F68">
              <w:rPr>
                <w:rFonts w:ascii="Arial" w:eastAsia="SimSun" w:hAnsi="Arial" w:cs="Arial"/>
                <w:b/>
                <w:bCs/>
                <w:color w:val="000000"/>
                <w:sz w:val="19"/>
                <w:szCs w:val="19"/>
                <w:lang w:val="en-CA" w:eastAsia="zh-CN"/>
              </w:rPr>
              <w:t>Revenue growth</w:t>
            </w:r>
          </w:p>
        </w:tc>
        <w:tc>
          <w:tcPr>
            <w:tcW w:w="1120" w:type="dxa"/>
            <w:tcBorders>
              <w:top w:val="nil"/>
              <w:left w:val="nil"/>
              <w:bottom w:val="single" w:sz="4" w:space="0" w:color="auto"/>
              <w:right w:val="single" w:sz="4" w:space="0" w:color="auto"/>
            </w:tcBorders>
            <w:shd w:val="clear" w:color="auto" w:fill="auto"/>
            <w:noWrap/>
            <w:vAlign w:val="bottom"/>
            <w:hideMark/>
          </w:tcPr>
          <w:p w14:paraId="6C474EF4" w14:textId="61EB223C" w:rsidR="003D30B2" w:rsidRPr="00A43F68" w:rsidRDefault="003D30B2" w:rsidP="00F928FD">
            <w:pPr>
              <w:jc w:val="center"/>
              <w:rPr>
                <w:rFonts w:ascii="Arial" w:eastAsia="SimSun" w:hAnsi="Arial" w:cs="Arial"/>
                <w:color w:val="000000"/>
                <w:sz w:val="19"/>
                <w:szCs w:val="19"/>
                <w:lang w:val="en-CA" w:eastAsia="zh-CN"/>
              </w:rPr>
            </w:pPr>
            <w:r w:rsidRPr="00A43F68">
              <w:rPr>
                <w:rFonts w:ascii="Arial" w:eastAsia="SimSun" w:hAnsi="Arial" w:cs="Arial"/>
                <w:color w:val="000000"/>
                <w:sz w:val="19"/>
                <w:szCs w:val="19"/>
                <w:lang w:val="en-CA" w:eastAsia="zh-CN"/>
              </w:rPr>
              <w:t>4.1</w:t>
            </w:r>
          </w:p>
        </w:tc>
        <w:tc>
          <w:tcPr>
            <w:tcW w:w="1120" w:type="dxa"/>
            <w:tcBorders>
              <w:top w:val="nil"/>
              <w:left w:val="nil"/>
              <w:bottom w:val="single" w:sz="4" w:space="0" w:color="auto"/>
              <w:right w:val="single" w:sz="4" w:space="0" w:color="auto"/>
            </w:tcBorders>
            <w:shd w:val="clear" w:color="auto" w:fill="auto"/>
            <w:noWrap/>
            <w:vAlign w:val="bottom"/>
            <w:hideMark/>
          </w:tcPr>
          <w:p w14:paraId="06ACEAD1" w14:textId="0952C0B6" w:rsidR="003D30B2" w:rsidRPr="00A43F68" w:rsidRDefault="003D30B2" w:rsidP="00F928FD">
            <w:pPr>
              <w:jc w:val="center"/>
              <w:rPr>
                <w:rFonts w:ascii="Arial" w:eastAsia="SimSun" w:hAnsi="Arial" w:cs="Arial"/>
                <w:color w:val="000000"/>
                <w:sz w:val="19"/>
                <w:szCs w:val="19"/>
                <w:lang w:val="en-CA" w:eastAsia="zh-CN"/>
              </w:rPr>
            </w:pPr>
            <w:r w:rsidRPr="00A43F68">
              <w:rPr>
                <w:rFonts w:ascii="Arial" w:eastAsia="SimSun" w:hAnsi="Arial" w:cs="Arial"/>
                <w:color w:val="000000"/>
                <w:sz w:val="19"/>
                <w:szCs w:val="19"/>
                <w:lang w:val="en-CA" w:eastAsia="zh-CN"/>
              </w:rPr>
              <w:t>(2.3)</w:t>
            </w:r>
          </w:p>
        </w:tc>
        <w:tc>
          <w:tcPr>
            <w:tcW w:w="1120" w:type="dxa"/>
            <w:tcBorders>
              <w:top w:val="nil"/>
              <w:left w:val="nil"/>
              <w:bottom w:val="single" w:sz="4" w:space="0" w:color="auto"/>
              <w:right w:val="single" w:sz="4" w:space="0" w:color="auto"/>
            </w:tcBorders>
            <w:shd w:val="clear" w:color="auto" w:fill="auto"/>
            <w:noWrap/>
            <w:vAlign w:val="bottom"/>
            <w:hideMark/>
          </w:tcPr>
          <w:p w14:paraId="32B9174A" w14:textId="65E694C9" w:rsidR="003D30B2" w:rsidRPr="00A43F68" w:rsidRDefault="003D30B2" w:rsidP="00F928FD">
            <w:pPr>
              <w:jc w:val="center"/>
              <w:rPr>
                <w:rFonts w:ascii="Arial" w:eastAsia="SimSun" w:hAnsi="Arial" w:cs="Arial"/>
                <w:color w:val="000000"/>
                <w:sz w:val="19"/>
                <w:szCs w:val="19"/>
                <w:lang w:val="en-CA" w:eastAsia="zh-CN"/>
              </w:rPr>
            </w:pPr>
            <w:r w:rsidRPr="00A43F68">
              <w:rPr>
                <w:rFonts w:ascii="Arial" w:eastAsia="SimSun" w:hAnsi="Arial" w:cs="Arial"/>
                <w:color w:val="000000"/>
                <w:sz w:val="19"/>
                <w:szCs w:val="19"/>
                <w:lang w:val="en-CA" w:eastAsia="zh-CN"/>
              </w:rPr>
              <w:t>16.4</w:t>
            </w:r>
          </w:p>
        </w:tc>
        <w:tc>
          <w:tcPr>
            <w:tcW w:w="1120" w:type="dxa"/>
            <w:tcBorders>
              <w:top w:val="nil"/>
              <w:left w:val="nil"/>
              <w:bottom w:val="single" w:sz="4" w:space="0" w:color="auto"/>
              <w:right w:val="single" w:sz="4" w:space="0" w:color="auto"/>
            </w:tcBorders>
            <w:shd w:val="clear" w:color="auto" w:fill="auto"/>
            <w:noWrap/>
            <w:vAlign w:val="bottom"/>
            <w:hideMark/>
          </w:tcPr>
          <w:p w14:paraId="01BF30AD" w14:textId="0313B5EE" w:rsidR="003D30B2" w:rsidRPr="00A43F68" w:rsidRDefault="003D30B2" w:rsidP="00F928FD">
            <w:pPr>
              <w:jc w:val="center"/>
              <w:rPr>
                <w:rFonts w:ascii="Arial" w:eastAsia="SimSun" w:hAnsi="Arial" w:cs="Arial"/>
                <w:color w:val="000000"/>
                <w:sz w:val="19"/>
                <w:szCs w:val="19"/>
                <w:lang w:val="en-CA" w:eastAsia="zh-CN"/>
              </w:rPr>
            </w:pPr>
            <w:r w:rsidRPr="00A43F68">
              <w:rPr>
                <w:rFonts w:ascii="Arial" w:eastAsia="SimSun" w:hAnsi="Arial" w:cs="Arial"/>
                <w:color w:val="000000"/>
                <w:sz w:val="19"/>
                <w:szCs w:val="19"/>
                <w:lang w:val="en-CA" w:eastAsia="zh-CN"/>
              </w:rPr>
              <w:t>39.3</w:t>
            </w:r>
          </w:p>
        </w:tc>
        <w:tc>
          <w:tcPr>
            <w:tcW w:w="1120" w:type="dxa"/>
            <w:tcBorders>
              <w:top w:val="nil"/>
              <w:left w:val="nil"/>
              <w:bottom w:val="single" w:sz="4" w:space="0" w:color="auto"/>
              <w:right w:val="single" w:sz="4" w:space="0" w:color="auto"/>
            </w:tcBorders>
            <w:shd w:val="clear" w:color="auto" w:fill="auto"/>
            <w:noWrap/>
            <w:vAlign w:val="bottom"/>
            <w:hideMark/>
          </w:tcPr>
          <w:p w14:paraId="1EBB1891" w14:textId="10AF4FAD" w:rsidR="003D30B2" w:rsidRPr="00A43F68" w:rsidRDefault="003D30B2" w:rsidP="00F928FD">
            <w:pPr>
              <w:jc w:val="center"/>
              <w:rPr>
                <w:rFonts w:ascii="Arial" w:eastAsia="SimSun" w:hAnsi="Arial" w:cs="Arial"/>
                <w:color w:val="000000"/>
                <w:sz w:val="19"/>
                <w:szCs w:val="19"/>
                <w:lang w:val="en-CA" w:eastAsia="zh-CN"/>
              </w:rPr>
            </w:pPr>
            <w:r w:rsidRPr="00A43F68">
              <w:rPr>
                <w:rFonts w:ascii="Arial" w:eastAsia="SimSun" w:hAnsi="Arial" w:cs="Arial"/>
                <w:color w:val="000000"/>
                <w:sz w:val="19"/>
                <w:szCs w:val="19"/>
                <w:lang w:val="en-CA" w:eastAsia="zh-CN"/>
              </w:rPr>
              <w:t>4.5</w:t>
            </w:r>
          </w:p>
        </w:tc>
      </w:tr>
      <w:tr w:rsidR="003D30B2" w:rsidRPr="00A43F68" w14:paraId="6323FD8B" w14:textId="77777777" w:rsidTr="003D30B2">
        <w:trPr>
          <w:trHeight w:val="240"/>
          <w:jc w:val="center"/>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14:paraId="40F03C05" w14:textId="77777777" w:rsidR="003D30B2" w:rsidRPr="00A43F68" w:rsidRDefault="003D30B2" w:rsidP="003D30B2">
            <w:pPr>
              <w:rPr>
                <w:rFonts w:ascii="Arial" w:eastAsia="SimSun" w:hAnsi="Arial" w:cs="Arial"/>
                <w:b/>
                <w:bCs/>
                <w:color w:val="000000"/>
                <w:sz w:val="19"/>
                <w:szCs w:val="19"/>
                <w:lang w:val="en-CA" w:eastAsia="zh-CN"/>
              </w:rPr>
            </w:pPr>
            <w:r w:rsidRPr="00A43F68">
              <w:rPr>
                <w:rFonts w:ascii="Arial" w:eastAsia="SimSun" w:hAnsi="Arial" w:cs="Arial"/>
                <w:b/>
                <w:bCs/>
                <w:color w:val="000000"/>
                <w:sz w:val="19"/>
                <w:szCs w:val="19"/>
                <w:lang w:val="en-CA" w:eastAsia="zh-CN"/>
              </w:rPr>
              <w:t>Asset growth</w:t>
            </w:r>
          </w:p>
        </w:tc>
        <w:tc>
          <w:tcPr>
            <w:tcW w:w="1120" w:type="dxa"/>
            <w:tcBorders>
              <w:top w:val="nil"/>
              <w:left w:val="nil"/>
              <w:bottom w:val="single" w:sz="4" w:space="0" w:color="auto"/>
              <w:right w:val="single" w:sz="4" w:space="0" w:color="auto"/>
            </w:tcBorders>
            <w:shd w:val="clear" w:color="auto" w:fill="auto"/>
            <w:noWrap/>
            <w:vAlign w:val="bottom"/>
            <w:hideMark/>
          </w:tcPr>
          <w:p w14:paraId="5B3B53D2" w14:textId="148D54DB" w:rsidR="003D30B2" w:rsidRPr="00A43F68" w:rsidRDefault="003D30B2" w:rsidP="00F928FD">
            <w:pPr>
              <w:jc w:val="center"/>
              <w:rPr>
                <w:rFonts w:ascii="Arial" w:eastAsia="SimSun" w:hAnsi="Arial" w:cs="Arial"/>
                <w:color w:val="000000"/>
                <w:sz w:val="19"/>
                <w:szCs w:val="19"/>
                <w:lang w:val="en-CA" w:eastAsia="zh-CN"/>
              </w:rPr>
            </w:pPr>
            <w:r w:rsidRPr="00A43F68">
              <w:rPr>
                <w:rFonts w:ascii="Arial" w:eastAsia="SimSun" w:hAnsi="Arial" w:cs="Arial"/>
                <w:color w:val="000000"/>
                <w:sz w:val="19"/>
                <w:szCs w:val="19"/>
                <w:lang w:val="en-CA" w:eastAsia="zh-CN"/>
              </w:rPr>
              <w:t>3.3</w:t>
            </w:r>
          </w:p>
        </w:tc>
        <w:tc>
          <w:tcPr>
            <w:tcW w:w="1120" w:type="dxa"/>
            <w:tcBorders>
              <w:top w:val="nil"/>
              <w:left w:val="nil"/>
              <w:bottom w:val="single" w:sz="4" w:space="0" w:color="auto"/>
              <w:right w:val="single" w:sz="4" w:space="0" w:color="auto"/>
            </w:tcBorders>
            <w:shd w:val="clear" w:color="auto" w:fill="auto"/>
            <w:noWrap/>
            <w:vAlign w:val="bottom"/>
            <w:hideMark/>
          </w:tcPr>
          <w:p w14:paraId="0E0B8E7C" w14:textId="46B7C894" w:rsidR="003D30B2" w:rsidRPr="00A43F68" w:rsidRDefault="003D30B2" w:rsidP="00F928FD">
            <w:pPr>
              <w:jc w:val="center"/>
              <w:rPr>
                <w:rFonts w:ascii="Arial" w:eastAsia="SimSun" w:hAnsi="Arial" w:cs="Arial"/>
                <w:color w:val="000000"/>
                <w:sz w:val="19"/>
                <w:szCs w:val="19"/>
                <w:lang w:val="en-CA" w:eastAsia="zh-CN"/>
              </w:rPr>
            </w:pPr>
            <w:r w:rsidRPr="00A43F68">
              <w:rPr>
                <w:rFonts w:ascii="Arial" w:eastAsia="SimSun" w:hAnsi="Arial" w:cs="Arial"/>
                <w:color w:val="000000"/>
                <w:sz w:val="19"/>
                <w:szCs w:val="19"/>
                <w:lang w:val="en-CA" w:eastAsia="zh-CN"/>
              </w:rPr>
              <w:t>5.9</w:t>
            </w:r>
          </w:p>
        </w:tc>
        <w:tc>
          <w:tcPr>
            <w:tcW w:w="1120" w:type="dxa"/>
            <w:tcBorders>
              <w:top w:val="nil"/>
              <w:left w:val="nil"/>
              <w:bottom w:val="single" w:sz="4" w:space="0" w:color="auto"/>
              <w:right w:val="single" w:sz="4" w:space="0" w:color="auto"/>
            </w:tcBorders>
            <w:shd w:val="clear" w:color="auto" w:fill="auto"/>
            <w:noWrap/>
            <w:vAlign w:val="bottom"/>
            <w:hideMark/>
          </w:tcPr>
          <w:p w14:paraId="6C65F3CD" w14:textId="0FCDD164" w:rsidR="003D30B2" w:rsidRPr="00A43F68" w:rsidRDefault="003D30B2" w:rsidP="00F928FD">
            <w:pPr>
              <w:jc w:val="center"/>
              <w:rPr>
                <w:rFonts w:ascii="Arial" w:eastAsia="SimSun" w:hAnsi="Arial" w:cs="Arial"/>
                <w:color w:val="000000"/>
                <w:sz w:val="19"/>
                <w:szCs w:val="19"/>
                <w:lang w:val="en-CA" w:eastAsia="zh-CN"/>
              </w:rPr>
            </w:pPr>
            <w:r w:rsidRPr="00A43F68">
              <w:rPr>
                <w:rFonts w:ascii="Arial" w:eastAsia="SimSun" w:hAnsi="Arial" w:cs="Arial"/>
                <w:color w:val="000000"/>
                <w:sz w:val="19"/>
                <w:szCs w:val="19"/>
                <w:lang w:val="en-CA" w:eastAsia="zh-CN"/>
              </w:rPr>
              <w:t>14.2</w:t>
            </w:r>
          </w:p>
        </w:tc>
        <w:tc>
          <w:tcPr>
            <w:tcW w:w="1120" w:type="dxa"/>
            <w:tcBorders>
              <w:top w:val="nil"/>
              <w:left w:val="nil"/>
              <w:bottom w:val="single" w:sz="4" w:space="0" w:color="auto"/>
              <w:right w:val="single" w:sz="4" w:space="0" w:color="auto"/>
            </w:tcBorders>
            <w:shd w:val="clear" w:color="auto" w:fill="auto"/>
            <w:noWrap/>
            <w:vAlign w:val="bottom"/>
            <w:hideMark/>
          </w:tcPr>
          <w:p w14:paraId="1E46E7A0" w14:textId="26373066" w:rsidR="003D30B2" w:rsidRPr="00A43F68" w:rsidRDefault="003D30B2" w:rsidP="00F928FD">
            <w:pPr>
              <w:jc w:val="center"/>
              <w:rPr>
                <w:rFonts w:ascii="Arial" w:eastAsia="SimSun" w:hAnsi="Arial" w:cs="Arial"/>
                <w:color w:val="000000"/>
                <w:sz w:val="19"/>
                <w:szCs w:val="19"/>
                <w:lang w:val="en-CA" w:eastAsia="zh-CN"/>
              </w:rPr>
            </w:pPr>
            <w:r w:rsidRPr="00A43F68">
              <w:rPr>
                <w:rFonts w:ascii="Arial" w:eastAsia="SimSun" w:hAnsi="Arial" w:cs="Arial"/>
                <w:color w:val="000000"/>
                <w:sz w:val="19"/>
                <w:szCs w:val="19"/>
                <w:lang w:val="en-CA" w:eastAsia="zh-CN"/>
              </w:rPr>
              <w:t>22.2</w:t>
            </w:r>
          </w:p>
        </w:tc>
        <w:tc>
          <w:tcPr>
            <w:tcW w:w="1120" w:type="dxa"/>
            <w:tcBorders>
              <w:top w:val="nil"/>
              <w:left w:val="nil"/>
              <w:bottom w:val="single" w:sz="4" w:space="0" w:color="auto"/>
              <w:right w:val="single" w:sz="4" w:space="0" w:color="auto"/>
            </w:tcBorders>
            <w:shd w:val="clear" w:color="auto" w:fill="auto"/>
            <w:noWrap/>
            <w:vAlign w:val="bottom"/>
            <w:hideMark/>
          </w:tcPr>
          <w:p w14:paraId="2130AB2F" w14:textId="0AE86675" w:rsidR="003D30B2" w:rsidRPr="00A43F68" w:rsidRDefault="003D30B2" w:rsidP="00F928FD">
            <w:pPr>
              <w:jc w:val="center"/>
              <w:rPr>
                <w:rFonts w:ascii="Arial" w:eastAsia="SimSun" w:hAnsi="Arial" w:cs="Arial"/>
                <w:color w:val="000000"/>
                <w:sz w:val="19"/>
                <w:szCs w:val="19"/>
                <w:lang w:val="en-CA" w:eastAsia="zh-CN"/>
              </w:rPr>
            </w:pPr>
            <w:r w:rsidRPr="00A43F68">
              <w:rPr>
                <w:rFonts w:ascii="Arial" w:eastAsia="SimSun" w:hAnsi="Arial" w:cs="Arial"/>
                <w:color w:val="000000"/>
                <w:sz w:val="19"/>
                <w:szCs w:val="19"/>
                <w:lang w:val="en-CA" w:eastAsia="zh-CN"/>
              </w:rPr>
              <w:t>15.2</w:t>
            </w:r>
          </w:p>
        </w:tc>
      </w:tr>
      <w:tr w:rsidR="003D30B2" w:rsidRPr="00A43F68" w14:paraId="1F57C370" w14:textId="77777777" w:rsidTr="003D30B2">
        <w:trPr>
          <w:trHeight w:val="240"/>
          <w:jc w:val="center"/>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14:paraId="76C2A4AB" w14:textId="77777777" w:rsidR="003D30B2" w:rsidRPr="00A43F68" w:rsidRDefault="003D30B2" w:rsidP="003D30B2">
            <w:pPr>
              <w:rPr>
                <w:rFonts w:ascii="Arial" w:eastAsia="SimSun" w:hAnsi="Arial" w:cs="Arial"/>
                <w:b/>
                <w:bCs/>
                <w:color w:val="000000"/>
                <w:sz w:val="19"/>
                <w:szCs w:val="19"/>
                <w:lang w:val="en-CA" w:eastAsia="zh-CN"/>
              </w:rPr>
            </w:pPr>
            <w:r w:rsidRPr="00A43F68">
              <w:rPr>
                <w:rFonts w:ascii="Arial" w:eastAsia="SimSun" w:hAnsi="Arial" w:cs="Arial"/>
                <w:b/>
                <w:bCs/>
                <w:color w:val="000000"/>
                <w:sz w:val="19"/>
                <w:szCs w:val="19"/>
                <w:lang w:val="en-CA" w:eastAsia="zh-CN"/>
              </w:rPr>
              <w:t>Liabilities growth</w:t>
            </w:r>
          </w:p>
        </w:tc>
        <w:tc>
          <w:tcPr>
            <w:tcW w:w="1120" w:type="dxa"/>
            <w:tcBorders>
              <w:top w:val="nil"/>
              <w:left w:val="nil"/>
              <w:bottom w:val="single" w:sz="4" w:space="0" w:color="auto"/>
              <w:right w:val="single" w:sz="4" w:space="0" w:color="auto"/>
            </w:tcBorders>
            <w:shd w:val="clear" w:color="auto" w:fill="auto"/>
            <w:noWrap/>
            <w:vAlign w:val="bottom"/>
            <w:hideMark/>
          </w:tcPr>
          <w:p w14:paraId="243438E5" w14:textId="0CFD0F1B" w:rsidR="003D30B2" w:rsidRPr="00A43F68" w:rsidRDefault="003D30B2" w:rsidP="00F928FD">
            <w:pPr>
              <w:jc w:val="center"/>
              <w:rPr>
                <w:rFonts w:ascii="Arial" w:eastAsia="SimSun" w:hAnsi="Arial" w:cs="Arial"/>
                <w:color w:val="000000"/>
                <w:sz w:val="19"/>
                <w:szCs w:val="19"/>
                <w:lang w:val="en-CA" w:eastAsia="zh-CN"/>
              </w:rPr>
            </w:pPr>
            <w:r w:rsidRPr="00A43F68">
              <w:rPr>
                <w:rFonts w:ascii="Arial" w:eastAsia="SimSun" w:hAnsi="Arial" w:cs="Arial"/>
                <w:color w:val="000000"/>
                <w:sz w:val="19"/>
                <w:szCs w:val="19"/>
                <w:lang w:val="en-CA" w:eastAsia="zh-CN"/>
              </w:rPr>
              <w:t>(2.3)</w:t>
            </w:r>
          </w:p>
        </w:tc>
        <w:tc>
          <w:tcPr>
            <w:tcW w:w="1120" w:type="dxa"/>
            <w:tcBorders>
              <w:top w:val="nil"/>
              <w:left w:val="nil"/>
              <w:bottom w:val="single" w:sz="4" w:space="0" w:color="auto"/>
              <w:right w:val="single" w:sz="4" w:space="0" w:color="auto"/>
            </w:tcBorders>
            <w:shd w:val="clear" w:color="auto" w:fill="auto"/>
            <w:noWrap/>
            <w:vAlign w:val="bottom"/>
            <w:hideMark/>
          </w:tcPr>
          <w:p w14:paraId="02777DF0" w14:textId="1396B407" w:rsidR="003D30B2" w:rsidRPr="00A43F68" w:rsidRDefault="003D30B2" w:rsidP="00F928FD">
            <w:pPr>
              <w:jc w:val="center"/>
              <w:rPr>
                <w:rFonts w:ascii="Arial" w:eastAsia="SimSun" w:hAnsi="Arial" w:cs="Arial"/>
                <w:color w:val="000000"/>
                <w:sz w:val="19"/>
                <w:szCs w:val="19"/>
                <w:lang w:val="en-CA" w:eastAsia="zh-CN"/>
              </w:rPr>
            </w:pPr>
            <w:r w:rsidRPr="00A43F68">
              <w:rPr>
                <w:rFonts w:ascii="Arial" w:eastAsia="SimSun" w:hAnsi="Arial" w:cs="Arial"/>
                <w:color w:val="000000"/>
                <w:sz w:val="19"/>
                <w:szCs w:val="19"/>
                <w:lang w:val="en-CA" w:eastAsia="zh-CN"/>
              </w:rPr>
              <w:t>1.8</w:t>
            </w:r>
          </w:p>
        </w:tc>
        <w:tc>
          <w:tcPr>
            <w:tcW w:w="1120" w:type="dxa"/>
            <w:tcBorders>
              <w:top w:val="nil"/>
              <w:left w:val="nil"/>
              <w:bottom w:val="single" w:sz="4" w:space="0" w:color="auto"/>
              <w:right w:val="single" w:sz="4" w:space="0" w:color="auto"/>
            </w:tcBorders>
            <w:shd w:val="clear" w:color="auto" w:fill="auto"/>
            <w:noWrap/>
            <w:vAlign w:val="bottom"/>
            <w:hideMark/>
          </w:tcPr>
          <w:p w14:paraId="3D27245F" w14:textId="0EC0A6DB" w:rsidR="003D30B2" w:rsidRPr="00A43F68" w:rsidRDefault="003D30B2" w:rsidP="00F928FD">
            <w:pPr>
              <w:jc w:val="center"/>
              <w:rPr>
                <w:rFonts w:ascii="Arial" w:eastAsia="SimSun" w:hAnsi="Arial" w:cs="Arial"/>
                <w:color w:val="000000"/>
                <w:sz w:val="19"/>
                <w:szCs w:val="19"/>
                <w:lang w:val="en-CA" w:eastAsia="zh-CN"/>
              </w:rPr>
            </w:pPr>
            <w:r w:rsidRPr="00A43F68">
              <w:rPr>
                <w:rFonts w:ascii="Arial" w:eastAsia="SimSun" w:hAnsi="Arial" w:cs="Arial"/>
                <w:color w:val="000000"/>
                <w:sz w:val="19"/>
                <w:szCs w:val="19"/>
                <w:lang w:val="en-CA" w:eastAsia="zh-CN"/>
              </w:rPr>
              <w:t>23.1</w:t>
            </w:r>
          </w:p>
        </w:tc>
        <w:tc>
          <w:tcPr>
            <w:tcW w:w="1120" w:type="dxa"/>
            <w:tcBorders>
              <w:top w:val="nil"/>
              <w:left w:val="nil"/>
              <w:bottom w:val="single" w:sz="4" w:space="0" w:color="auto"/>
              <w:right w:val="single" w:sz="4" w:space="0" w:color="auto"/>
            </w:tcBorders>
            <w:shd w:val="clear" w:color="auto" w:fill="auto"/>
            <w:noWrap/>
            <w:vAlign w:val="bottom"/>
            <w:hideMark/>
          </w:tcPr>
          <w:p w14:paraId="21AB3598" w14:textId="2E4870BB" w:rsidR="003D30B2" w:rsidRPr="00A43F68" w:rsidRDefault="003D30B2" w:rsidP="00F928FD">
            <w:pPr>
              <w:jc w:val="center"/>
              <w:rPr>
                <w:rFonts w:ascii="Arial" w:eastAsia="SimSun" w:hAnsi="Arial" w:cs="Arial"/>
                <w:color w:val="000000"/>
                <w:sz w:val="19"/>
                <w:szCs w:val="19"/>
                <w:lang w:val="en-CA" w:eastAsia="zh-CN"/>
              </w:rPr>
            </w:pPr>
            <w:r w:rsidRPr="00A43F68">
              <w:rPr>
                <w:rFonts w:ascii="Arial" w:eastAsia="SimSun" w:hAnsi="Arial" w:cs="Arial"/>
                <w:color w:val="000000"/>
                <w:sz w:val="19"/>
                <w:szCs w:val="19"/>
                <w:lang w:val="en-CA" w:eastAsia="zh-CN"/>
              </w:rPr>
              <w:t>43.9</w:t>
            </w:r>
          </w:p>
        </w:tc>
        <w:tc>
          <w:tcPr>
            <w:tcW w:w="1120" w:type="dxa"/>
            <w:tcBorders>
              <w:top w:val="nil"/>
              <w:left w:val="nil"/>
              <w:bottom w:val="single" w:sz="4" w:space="0" w:color="auto"/>
              <w:right w:val="single" w:sz="4" w:space="0" w:color="auto"/>
            </w:tcBorders>
            <w:shd w:val="clear" w:color="auto" w:fill="auto"/>
            <w:noWrap/>
            <w:vAlign w:val="bottom"/>
            <w:hideMark/>
          </w:tcPr>
          <w:p w14:paraId="4033D3F9" w14:textId="7BCD37F3" w:rsidR="003D30B2" w:rsidRPr="00A43F68" w:rsidRDefault="003D30B2" w:rsidP="00F928FD">
            <w:pPr>
              <w:jc w:val="center"/>
              <w:rPr>
                <w:rFonts w:ascii="Arial" w:eastAsia="SimSun" w:hAnsi="Arial" w:cs="Arial"/>
                <w:color w:val="000000"/>
                <w:sz w:val="19"/>
                <w:szCs w:val="19"/>
                <w:lang w:val="en-CA" w:eastAsia="zh-CN"/>
              </w:rPr>
            </w:pPr>
            <w:r w:rsidRPr="00A43F68">
              <w:rPr>
                <w:rFonts w:ascii="Arial" w:eastAsia="SimSun" w:hAnsi="Arial" w:cs="Arial"/>
                <w:color w:val="000000"/>
                <w:sz w:val="19"/>
                <w:szCs w:val="19"/>
                <w:lang w:val="en-CA" w:eastAsia="zh-CN"/>
              </w:rPr>
              <w:t>(5.8)</w:t>
            </w:r>
          </w:p>
        </w:tc>
      </w:tr>
      <w:tr w:rsidR="003D30B2" w:rsidRPr="00A43F68" w14:paraId="1966D5DE" w14:textId="77777777" w:rsidTr="003D30B2">
        <w:trPr>
          <w:trHeight w:val="240"/>
          <w:jc w:val="center"/>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14:paraId="04F15A36" w14:textId="77777777" w:rsidR="003D30B2" w:rsidRPr="00A43F68" w:rsidRDefault="003D30B2" w:rsidP="003D30B2">
            <w:pPr>
              <w:rPr>
                <w:rFonts w:ascii="Arial" w:eastAsia="SimSun" w:hAnsi="Arial" w:cs="Arial"/>
                <w:b/>
                <w:bCs/>
                <w:color w:val="000000"/>
                <w:sz w:val="19"/>
                <w:szCs w:val="19"/>
                <w:lang w:val="en-CA" w:eastAsia="zh-CN"/>
              </w:rPr>
            </w:pPr>
            <w:r w:rsidRPr="00A43F68">
              <w:rPr>
                <w:rFonts w:ascii="Arial" w:eastAsia="SimSun" w:hAnsi="Arial" w:cs="Arial"/>
                <w:b/>
                <w:bCs/>
                <w:color w:val="000000"/>
                <w:sz w:val="19"/>
                <w:szCs w:val="19"/>
                <w:lang w:val="en-CA" w:eastAsia="zh-CN"/>
              </w:rPr>
              <w:t>Debt/asset ratio</w:t>
            </w:r>
          </w:p>
        </w:tc>
        <w:tc>
          <w:tcPr>
            <w:tcW w:w="1120" w:type="dxa"/>
            <w:tcBorders>
              <w:top w:val="nil"/>
              <w:left w:val="nil"/>
              <w:bottom w:val="single" w:sz="4" w:space="0" w:color="auto"/>
              <w:right w:val="single" w:sz="4" w:space="0" w:color="auto"/>
            </w:tcBorders>
            <w:shd w:val="clear" w:color="auto" w:fill="auto"/>
            <w:noWrap/>
            <w:vAlign w:val="bottom"/>
            <w:hideMark/>
          </w:tcPr>
          <w:p w14:paraId="3A1E77C6" w14:textId="0BB919C3" w:rsidR="003D30B2" w:rsidRPr="00A43F68" w:rsidRDefault="003D30B2" w:rsidP="00F928FD">
            <w:pPr>
              <w:jc w:val="center"/>
              <w:rPr>
                <w:rFonts w:ascii="Arial" w:eastAsia="SimSun" w:hAnsi="Arial" w:cs="Arial"/>
                <w:color w:val="000000"/>
                <w:sz w:val="19"/>
                <w:szCs w:val="19"/>
                <w:lang w:val="en-CA" w:eastAsia="zh-CN"/>
              </w:rPr>
            </w:pPr>
            <w:r w:rsidRPr="00A43F68">
              <w:rPr>
                <w:rFonts w:ascii="Arial" w:eastAsia="SimSun" w:hAnsi="Arial" w:cs="Arial"/>
                <w:color w:val="000000"/>
                <w:sz w:val="19"/>
                <w:szCs w:val="19"/>
                <w:lang w:val="en-CA" w:eastAsia="zh-CN"/>
              </w:rPr>
              <w:t>37.7</w:t>
            </w:r>
          </w:p>
        </w:tc>
        <w:tc>
          <w:tcPr>
            <w:tcW w:w="1120" w:type="dxa"/>
            <w:tcBorders>
              <w:top w:val="nil"/>
              <w:left w:val="nil"/>
              <w:bottom w:val="single" w:sz="4" w:space="0" w:color="auto"/>
              <w:right w:val="single" w:sz="4" w:space="0" w:color="auto"/>
            </w:tcBorders>
            <w:shd w:val="clear" w:color="auto" w:fill="auto"/>
            <w:noWrap/>
            <w:vAlign w:val="bottom"/>
            <w:hideMark/>
          </w:tcPr>
          <w:p w14:paraId="3DE5BC93" w14:textId="1785375A" w:rsidR="003D30B2" w:rsidRPr="00A43F68" w:rsidRDefault="003D30B2" w:rsidP="00F928FD">
            <w:pPr>
              <w:jc w:val="center"/>
              <w:rPr>
                <w:rFonts w:ascii="Arial" w:eastAsia="SimSun" w:hAnsi="Arial" w:cs="Arial"/>
                <w:color w:val="000000"/>
                <w:sz w:val="19"/>
                <w:szCs w:val="19"/>
                <w:lang w:val="en-CA" w:eastAsia="zh-CN"/>
              </w:rPr>
            </w:pPr>
            <w:r w:rsidRPr="00A43F68">
              <w:rPr>
                <w:rFonts w:ascii="Arial" w:eastAsia="SimSun" w:hAnsi="Arial" w:cs="Arial"/>
                <w:color w:val="000000"/>
                <w:sz w:val="19"/>
                <w:szCs w:val="19"/>
                <w:lang w:val="en-CA" w:eastAsia="zh-CN"/>
              </w:rPr>
              <w:t>36.3</w:t>
            </w:r>
          </w:p>
        </w:tc>
        <w:tc>
          <w:tcPr>
            <w:tcW w:w="1120" w:type="dxa"/>
            <w:tcBorders>
              <w:top w:val="nil"/>
              <w:left w:val="nil"/>
              <w:bottom w:val="single" w:sz="4" w:space="0" w:color="auto"/>
              <w:right w:val="single" w:sz="4" w:space="0" w:color="auto"/>
            </w:tcBorders>
            <w:shd w:val="clear" w:color="auto" w:fill="auto"/>
            <w:noWrap/>
            <w:vAlign w:val="bottom"/>
            <w:hideMark/>
          </w:tcPr>
          <w:p w14:paraId="31801E7B" w14:textId="0EF2AC17" w:rsidR="003D30B2" w:rsidRPr="00A43F68" w:rsidRDefault="003D30B2" w:rsidP="00F928FD">
            <w:pPr>
              <w:jc w:val="center"/>
              <w:rPr>
                <w:rFonts w:ascii="Arial" w:eastAsia="SimSun" w:hAnsi="Arial" w:cs="Arial"/>
                <w:color w:val="000000"/>
                <w:sz w:val="19"/>
                <w:szCs w:val="19"/>
                <w:lang w:val="en-CA" w:eastAsia="zh-CN"/>
              </w:rPr>
            </w:pPr>
            <w:r w:rsidRPr="00A43F68">
              <w:rPr>
                <w:rFonts w:ascii="Arial" w:eastAsia="SimSun" w:hAnsi="Arial" w:cs="Arial"/>
                <w:color w:val="000000"/>
                <w:sz w:val="19"/>
                <w:szCs w:val="19"/>
                <w:lang w:val="en-CA" w:eastAsia="zh-CN"/>
              </w:rPr>
              <w:t>39.1</w:t>
            </w:r>
          </w:p>
        </w:tc>
        <w:tc>
          <w:tcPr>
            <w:tcW w:w="1120" w:type="dxa"/>
            <w:tcBorders>
              <w:top w:val="nil"/>
              <w:left w:val="nil"/>
              <w:bottom w:val="single" w:sz="4" w:space="0" w:color="auto"/>
              <w:right w:val="single" w:sz="4" w:space="0" w:color="auto"/>
            </w:tcBorders>
            <w:shd w:val="clear" w:color="auto" w:fill="auto"/>
            <w:noWrap/>
            <w:vAlign w:val="bottom"/>
            <w:hideMark/>
          </w:tcPr>
          <w:p w14:paraId="1B1E2EAD" w14:textId="2C197ED7" w:rsidR="003D30B2" w:rsidRPr="00A43F68" w:rsidRDefault="003D30B2" w:rsidP="00F928FD">
            <w:pPr>
              <w:jc w:val="center"/>
              <w:rPr>
                <w:rFonts w:ascii="Arial" w:eastAsia="SimSun" w:hAnsi="Arial" w:cs="Arial"/>
                <w:color w:val="000000"/>
                <w:sz w:val="19"/>
                <w:szCs w:val="19"/>
                <w:lang w:val="en-CA" w:eastAsia="zh-CN"/>
              </w:rPr>
            </w:pPr>
            <w:r w:rsidRPr="00A43F68">
              <w:rPr>
                <w:rFonts w:ascii="Arial" w:eastAsia="SimSun" w:hAnsi="Arial" w:cs="Arial"/>
                <w:color w:val="000000"/>
                <w:sz w:val="19"/>
                <w:szCs w:val="19"/>
                <w:lang w:val="en-CA" w:eastAsia="zh-CN"/>
              </w:rPr>
              <w:t>46.0</w:t>
            </w:r>
          </w:p>
        </w:tc>
        <w:tc>
          <w:tcPr>
            <w:tcW w:w="1120" w:type="dxa"/>
            <w:tcBorders>
              <w:top w:val="nil"/>
              <w:left w:val="nil"/>
              <w:bottom w:val="single" w:sz="4" w:space="0" w:color="auto"/>
              <w:right w:val="single" w:sz="4" w:space="0" w:color="auto"/>
            </w:tcBorders>
            <w:shd w:val="clear" w:color="auto" w:fill="auto"/>
            <w:noWrap/>
            <w:vAlign w:val="bottom"/>
            <w:hideMark/>
          </w:tcPr>
          <w:p w14:paraId="6FF15C17" w14:textId="09D2ECA5" w:rsidR="003D30B2" w:rsidRPr="00A43F68" w:rsidRDefault="003D30B2" w:rsidP="00F928FD">
            <w:pPr>
              <w:jc w:val="center"/>
              <w:rPr>
                <w:rFonts w:ascii="Arial" w:eastAsia="SimSun" w:hAnsi="Arial" w:cs="Arial"/>
                <w:color w:val="000000"/>
                <w:sz w:val="19"/>
                <w:szCs w:val="19"/>
                <w:lang w:val="en-CA" w:eastAsia="zh-CN"/>
              </w:rPr>
            </w:pPr>
            <w:r w:rsidRPr="00A43F68">
              <w:rPr>
                <w:rFonts w:ascii="Arial" w:eastAsia="SimSun" w:hAnsi="Arial" w:cs="Arial"/>
                <w:color w:val="000000"/>
                <w:sz w:val="19"/>
                <w:szCs w:val="19"/>
                <w:lang w:val="en-CA" w:eastAsia="zh-CN"/>
              </w:rPr>
              <w:t>37.7</w:t>
            </w:r>
          </w:p>
        </w:tc>
      </w:tr>
      <w:tr w:rsidR="003D30B2" w:rsidRPr="00A43F68" w14:paraId="5488F536" w14:textId="77777777" w:rsidTr="003D30B2">
        <w:trPr>
          <w:trHeight w:val="240"/>
          <w:jc w:val="center"/>
        </w:trPr>
        <w:tc>
          <w:tcPr>
            <w:tcW w:w="2200" w:type="dxa"/>
            <w:tcBorders>
              <w:top w:val="nil"/>
              <w:left w:val="single" w:sz="4" w:space="0" w:color="auto"/>
              <w:bottom w:val="single" w:sz="4" w:space="0" w:color="auto"/>
              <w:right w:val="single" w:sz="4" w:space="0" w:color="auto"/>
            </w:tcBorders>
            <w:shd w:val="clear" w:color="auto" w:fill="auto"/>
            <w:noWrap/>
            <w:vAlign w:val="bottom"/>
            <w:hideMark/>
          </w:tcPr>
          <w:p w14:paraId="192774B3" w14:textId="77777777" w:rsidR="003D30B2" w:rsidRPr="00A43F68" w:rsidRDefault="003D30B2" w:rsidP="003D30B2">
            <w:pPr>
              <w:rPr>
                <w:rFonts w:ascii="Arial" w:eastAsia="SimSun" w:hAnsi="Arial" w:cs="Arial"/>
                <w:b/>
                <w:bCs/>
                <w:color w:val="000000"/>
                <w:sz w:val="19"/>
                <w:szCs w:val="19"/>
                <w:lang w:val="en-CA" w:eastAsia="zh-CN"/>
              </w:rPr>
            </w:pPr>
            <w:r w:rsidRPr="00A43F68">
              <w:rPr>
                <w:rFonts w:ascii="Arial" w:eastAsia="SimSun" w:hAnsi="Arial" w:cs="Arial"/>
                <w:b/>
                <w:bCs/>
                <w:color w:val="000000"/>
                <w:sz w:val="19"/>
                <w:szCs w:val="19"/>
                <w:lang w:val="en-CA" w:eastAsia="zh-CN"/>
              </w:rPr>
              <w:t>Return on assets</w:t>
            </w:r>
          </w:p>
        </w:tc>
        <w:tc>
          <w:tcPr>
            <w:tcW w:w="1120" w:type="dxa"/>
            <w:tcBorders>
              <w:top w:val="nil"/>
              <w:left w:val="nil"/>
              <w:bottom w:val="single" w:sz="4" w:space="0" w:color="auto"/>
              <w:right w:val="single" w:sz="4" w:space="0" w:color="auto"/>
            </w:tcBorders>
            <w:shd w:val="clear" w:color="auto" w:fill="auto"/>
            <w:noWrap/>
            <w:vAlign w:val="bottom"/>
            <w:hideMark/>
          </w:tcPr>
          <w:p w14:paraId="19B4C2B5" w14:textId="571E06A2" w:rsidR="003D30B2" w:rsidRPr="00A43F68" w:rsidRDefault="003D30B2" w:rsidP="00F928FD">
            <w:pPr>
              <w:jc w:val="center"/>
              <w:rPr>
                <w:rFonts w:ascii="Arial" w:eastAsia="SimSun" w:hAnsi="Arial" w:cs="Arial"/>
                <w:color w:val="000000"/>
                <w:sz w:val="19"/>
                <w:szCs w:val="19"/>
                <w:lang w:val="en-CA" w:eastAsia="zh-CN"/>
              </w:rPr>
            </w:pPr>
            <w:r w:rsidRPr="00A43F68">
              <w:rPr>
                <w:rFonts w:ascii="Arial" w:eastAsia="SimSun" w:hAnsi="Arial" w:cs="Arial"/>
                <w:color w:val="000000"/>
                <w:sz w:val="19"/>
                <w:szCs w:val="19"/>
                <w:lang w:val="en-CA" w:eastAsia="zh-CN"/>
              </w:rPr>
              <w:t>6.6</w:t>
            </w:r>
          </w:p>
        </w:tc>
        <w:tc>
          <w:tcPr>
            <w:tcW w:w="1120" w:type="dxa"/>
            <w:tcBorders>
              <w:top w:val="nil"/>
              <w:left w:val="nil"/>
              <w:bottom w:val="single" w:sz="4" w:space="0" w:color="auto"/>
              <w:right w:val="single" w:sz="4" w:space="0" w:color="auto"/>
            </w:tcBorders>
            <w:shd w:val="clear" w:color="auto" w:fill="auto"/>
            <w:noWrap/>
            <w:vAlign w:val="bottom"/>
            <w:hideMark/>
          </w:tcPr>
          <w:p w14:paraId="469E5EC3" w14:textId="6CA9441F" w:rsidR="003D30B2" w:rsidRPr="00A43F68" w:rsidRDefault="003D30B2" w:rsidP="00F928FD">
            <w:pPr>
              <w:jc w:val="center"/>
              <w:rPr>
                <w:rFonts w:ascii="Arial" w:eastAsia="SimSun" w:hAnsi="Arial" w:cs="Arial"/>
                <w:color w:val="000000"/>
                <w:sz w:val="19"/>
                <w:szCs w:val="19"/>
                <w:lang w:val="en-CA" w:eastAsia="zh-CN"/>
              </w:rPr>
            </w:pPr>
            <w:r w:rsidRPr="00A43F68">
              <w:rPr>
                <w:rFonts w:ascii="Arial" w:eastAsia="SimSun" w:hAnsi="Arial" w:cs="Arial"/>
                <w:color w:val="000000"/>
                <w:sz w:val="19"/>
                <w:szCs w:val="19"/>
                <w:lang w:val="en-CA" w:eastAsia="zh-CN"/>
              </w:rPr>
              <w:t>7.7</w:t>
            </w:r>
          </w:p>
        </w:tc>
        <w:tc>
          <w:tcPr>
            <w:tcW w:w="1120" w:type="dxa"/>
            <w:tcBorders>
              <w:top w:val="nil"/>
              <w:left w:val="nil"/>
              <w:bottom w:val="single" w:sz="4" w:space="0" w:color="auto"/>
              <w:right w:val="single" w:sz="4" w:space="0" w:color="auto"/>
            </w:tcBorders>
            <w:shd w:val="clear" w:color="auto" w:fill="auto"/>
            <w:noWrap/>
            <w:vAlign w:val="bottom"/>
            <w:hideMark/>
          </w:tcPr>
          <w:p w14:paraId="44A643D8" w14:textId="34A73D97" w:rsidR="003D30B2" w:rsidRPr="00A43F68" w:rsidRDefault="003D30B2" w:rsidP="00F928FD">
            <w:pPr>
              <w:jc w:val="center"/>
              <w:rPr>
                <w:rFonts w:ascii="Arial" w:eastAsia="SimSun" w:hAnsi="Arial" w:cs="Arial"/>
                <w:color w:val="000000"/>
                <w:sz w:val="19"/>
                <w:szCs w:val="19"/>
                <w:lang w:val="en-CA" w:eastAsia="zh-CN"/>
              </w:rPr>
            </w:pPr>
            <w:r w:rsidRPr="00A43F68">
              <w:rPr>
                <w:rFonts w:ascii="Arial" w:eastAsia="SimSun" w:hAnsi="Arial" w:cs="Arial"/>
                <w:color w:val="000000"/>
                <w:sz w:val="19"/>
                <w:szCs w:val="19"/>
                <w:lang w:val="en-CA" w:eastAsia="zh-CN"/>
              </w:rPr>
              <w:t>8.2</w:t>
            </w:r>
          </w:p>
        </w:tc>
        <w:tc>
          <w:tcPr>
            <w:tcW w:w="1120" w:type="dxa"/>
            <w:tcBorders>
              <w:top w:val="nil"/>
              <w:left w:val="nil"/>
              <w:bottom w:val="single" w:sz="4" w:space="0" w:color="auto"/>
              <w:right w:val="single" w:sz="4" w:space="0" w:color="auto"/>
            </w:tcBorders>
            <w:shd w:val="clear" w:color="auto" w:fill="auto"/>
            <w:noWrap/>
            <w:vAlign w:val="bottom"/>
            <w:hideMark/>
          </w:tcPr>
          <w:p w14:paraId="3985899D" w14:textId="6923CDD4" w:rsidR="003D30B2" w:rsidRPr="00A43F68" w:rsidRDefault="003D30B2" w:rsidP="00F928FD">
            <w:pPr>
              <w:jc w:val="center"/>
              <w:rPr>
                <w:rFonts w:ascii="Arial" w:eastAsia="SimSun" w:hAnsi="Arial" w:cs="Arial"/>
                <w:color w:val="000000"/>
                <w:sz w:val="19"/>
                <w:szCs w:val="19"/>
                <w:lang w:val="en-CA" w:eastAsia="zh-CN"/>
              </w:rPr>
            </w:pPr>
            <w:r w:rsidRPr="00A43F68">
              <w:rPr>
                <w:rFonts w:ascii="Arial" w:eastAsia="SimSun" w:hAnsi="Arial" w:cs="Arial"/>
                <w:color w:val="000000"/>
                <w:sz w:val="19"/>
                <w:szCs w:val="19"/>
                <w:lang w:val="en-CA" w:eastAsia="zh-CN"/>
              </w:rPr>
              <w:t>6.5</w:t>
            </w:r>
          </w:p>
        </w:tc>
        <w:tc>
          <w:tcPr>
            <w:tcW w:w="1120" w:type="dxa"/>
            <w:tcBorders>
              <w:top w:val="nil"/>
              <w:left w:val="nil"/>
              <w:bottom w:val="single" w:sz="4" w:space="0" w:color="auto"/>
              <w:right w:val="single" w:sz="4" w:space="0" w:color="auto"/>
            </w:tcBorders>
            <w:shd w:val="clear" w:color="auto" w:fill="auto"/>
            <w:noWrap/>
            <w:vAlign w:val="bottom"/>
            <w:hideMark/>
          </w:tcPr>
          <w:p w14:paraId="52FD2533" w14:textId="1D9C220C" w:rsidR="003D30B2" w:rsidRPr="00A43F68" w:rsidRDefault="003D30B2" w:rsidP="00F928FD">
            <w:pPr>
              <w:jc w:val="center"/>
              <w:rPr>
                <w:rFonts w:ascii="Arial" w:eastAsia="SimSun" w:hAnsi="Arial" w:cs="Arial"/>
                <w:color w:val="000000"/>
                <w:sz w:val="19"/>
                <w:szCs w:val="19"/>
                <w:lang w:val="en-CA" w:eastAsia="zh-CN"/>
              </w:rPr>
            </w:pPr>
            <w:r w:rsidRPr="00A43F68">
              <w:rPr>
                <w:rFonts w:ascii="Arial" w:eastAsia="SimSun" w:hAnsi="Arial" w:cs="Arial"/>
                <w:color w:val="000000"/>
                <w:sz w:val="19"/>
                <w:szCs w:val="19"/>
                <w:lang w:val="en-CA" w:eastAsia="zh-CN"/>
              </w:rPr>
              <w:t>6.7</w:t>
            </w:r>
          </w:p>
        </w:tc>
      </w:tr>
    </w:tbl>
    <w:p w14:paraId="2533F0BC" w14:textId="77777777" w:rsidR="003D30B2" w:rsidRPr="00A43F68" w:rsidRDefault="003D30B2" w:rsidP="003D30B2">
      <w:pPr>
        <w:jc w:val="both"/>
        <w:rPr>
          <w:rFonts w:ascii="Arial" w:hAnsi="Arial" w:cs="Arial"/>
          <w:kern w:val="2"/>
          <w:lang w:val="en-CA"/>
        </w:rPr>
      </w:pPr>
    </w:p>
    <w:p w14:paraId="54A72726" w14:textId="7ABEB089" w:rsidR="003D30B2" w:rsidRPr="00A43F68" w:rsidRDefault="003D30B2" w:rsidP="003D30B2">
      <w:pPr>
        <w:jc w:val="both"/>
        <w:rPr>
          <w:rFonts w:ascii="Arial" w:hAnsi="Arial" w:cs="Arial"/>
          <w:kern w:val="2"/>
          <w:sz w:val="17"/>
          <w:szCs w:val="17"/>
          <w:lang w:val="en-CA"/>
        </w:rPr>
      </w:pPr>
      <w:r w:rsidRPr="00A43F68">
        <w:rPr>
          <w:rFonts w:ascii="Arial" w:hAnsi="Arial" w:cs="Arial"/>
          <w:kern w:val="2"/>
          <w:sz w:val="17"/>
          <w:szCs w:val="17"/>
          <w:lang w:val="en-CA"/>
        </w:rPr>
        <w:t xml:space="preserve">Source: Created by the case authors based on </w:t>
      </w:r>
      <w:r w:rsidR="00191480" w:rsidRPr="00A43F68">
        <w:rPr>
          <w:rFonts w:ascii="Arial" w:hAnsi="Arial" w:cs="Arial"/>
          <w:kern w:val="2"/>
          <w:sz w:val="17"/>
          <w:szCs w:val="17"/>
          <w:lang w:val="en-CA"/>
        </w:rPr>
        <w:t xml:space="preserve">CFA Institute, </w:t>
      </w:r>
      <w:r w:rsidRPr="00A43F68">
        <w:rPr>
          <w:rFonts w:ascii="Arial" w:hAnsi="Arial" w:cs="Arial"/>
          <w:i/>
          <w:kern w:val="2"/>
          <w:sz w:val="17"/>
          <w:szCs w:val="17"/>
          <w:lang w:val="en-CA"/>
        </w:rPr>
        <w:t>Tassal Group Limited</w:t>
      </w:r>
      <w:r w:rsidRPr="00A43F68">
        <w:rPr>
          <w:rFonts w:ascii="Arial" w:hAnsi="Arial" w:cs="Arial"/>
          <w:kern w:val="2"/>
          <w:sz w:val="17"/>
          <w:szCs w:val="17"/>
          <w:lang w:val="en-CA"/>
        </w:rPr>
        <w:t xml:space="preserve">, </w:t>
      </w:r>
      <w:r w:rsidR="00191480" w:rsidRPr="00A43F68">
        <w:rPr>
          <w:rFonts w:ascii="Arial" w:hAnsi="Arial" w:cs="Arial"/>
          <w:kern w:val="2"/>
          <w:sz w:val="17"/>
          <w:szCs w:val="17"/>
          <w:lang w:val="en-CA"/>
        </w:rPr>
        <w:t>11 (2012–2015),</w:t>
      </w:r>
      <w:r w:rsidRPr="00A43F68">
        <w:rPr>
          <w:rFonts w:ascii="Arial" w:hAnsi="Arial" w:cs="Arial"/>
          <w:kern w:val="2"/>
          <w:sz w:val="17"/>
          <w:szCs w:val="17"/>
          <w:lang w:val="en-CA"/>
        </w:rPr>
        <w:t xml:space="preserve"> September 17, 2015, accessed October 26, 2018, www.arx.cfa/up/post/872/Melbourne-University-of-Melbourne.pdf</w:t>
      </w:r>
      <w:r w:rsidR="00191480" w:rsidRPr="00A43F68">
        <w:rPr>
          <w:rFonts w:ascii="Arial" w:hAnsi="Arial" w:cs="Arial"/>
          <w:kern w:val="2"/>
          <w:sz w:val="17"/>
          <w:szCs w:val="17"/>
          <w:lang w:val="en-CA"/>
        </w:rPr>
        <w:t xml:space="preserve">; </w:t>
      </w:r>
      <w:r w:rsidRPr="00A43F68">
        <w:rPr>
          <w:rFonts w:ascii="Arial" w:hAnsi="Arial" w:cs="Arial"/>
          <w:kern w:val="2"/>
          <w:sz w:val="17"/>
          <w:szCs w:val="17"/>
          <w:lang w:val="en-CA"/>
        </w:rPr>
        <w:t xml:space="preserve">Tassal Group Limited, </w:t>
      </w:r>
      <w:r w:rsidRPr="00A43F68">
        <w:rPr>
          <w:rFonts w:ascii="Arial" w:hAnsi="Arial" w:cs="Arial"/>
          <w:i/>
          <w:kern w:val="2"/>
          <w:sz w:val="17"/>
          <w:szCs w:val="17"/>
          <w:lang w:val="en-CA"/>
        </w:rPr>
        <w:t>Annual Report 2017</w:t>
      </w:r>
      <w:r w:rsidRPr="00A43F68">
        <w:rPr>
          <w:rFonts w:ascii="Arial" w:hAnsi="Arial" w:cs="Arial"/>
          <w:kern w:val="2"/>
          <w:sz w:val="17"/>
          <w:szCs w:val="17"/>
          <w:lang w:val="en-CA"/>
        </w:rPr>
        <w:t xml:space="preserve">, </w:t>
      </w:r>
      <w:r w:rsidR="00191480" w:rsidRPr="00A43F68">
        <w:rPr>
          <w:rFonts w:ascii="Arial" w:hAnsi="Arial" w:cs="Arial"/>
          <w:kern w:val="2"/>
          <w:sz w:val="17"/>
          <w:szCs w:val="17"/>
          <w:lang w:val="en-CA"/>
        </w:rPr>
        <w:t xml:space="preserve">3, 30 (2016–2017), </w:t>
      </w:r>
      <w:r w:rsidRPr="00A43F68">
        <w:rPr>
          <w:rFonts w:ascii="Arial" w:hAnsi="Arial" w:cs="Arial"/>
          <w:kern w:val="2"/>
          <w:sz w:val="17"/>
          <w:szCs w:val="17"/>
          <w:lang w:val="en-CA"/>
        </w:rPr>
        <w:t>accessed October 27, 2018, www.tassal.com.au/wp-content/uploads/2017/09/1717106-2017-Annual-Report.pdf</w:t>
      </w:r>
      <w:r w:rsidR="00191480" w:rsidRPr="00A43F68">
        <w:rPr>
          <w:rFonts w:ascii="Arial" w:hAnsi="Arial" w:cs="Arial"/>
          <w:kern w:val="2"/>
          <w:sz w:val="17"/>
          <w:szCs w:val="17"/>
          <w:lang w:val="en-CA"/>
        </w:rPr>
        <w:t>.</w:t>
      </w:r>
    </w:p>
    <w:p w14:paraId="2B95C841" w14:textId="77777777" w:rsidR="003D30B2" w:rsidRPr="00A43F68" w:rsidRDefault="003D30B2" w:rsidP="003D30B2">
      <w:pPr>
        <w:rPr>
          <w:rFonts w:ascii="Arial" w:hAnsi="Arial" w:cs="Arial"/>
          <w:kern w:val="2"/>
          <w:sz w:val="17"/>
          <w:szCs w:val="17"/>
          <w:lang w:val="en-CA"/>
        </w:rPr>
      </w:pPr>
    </w:p>
    <w:p w14:paraId="2C302B39" w14:textId="77777777" w:rsidR="003D30B2" w:rsidRPr="00A43F68" w:rsidRDefault="003D30B2" w:rsidP="003D30B2">
      <w:pPr>
        <w:rPr>
          <w:rFonts w:ascii="Arial" w:hAnsi="Arial" w:cs="Arial"/>
          <w:kern w:val="2"/>
          <w:sz w:val="17"/>
          <w:szCs w:val="17"/>
          <w:lang w:val="en-CA"/>
        </w:rPr>
      </w:pPr>
    </w:p>
    <w:p w14:paraId="4EF6F9BB" w14:textId="547B342A" w:rsidR="003D30B2" w:rsidRPr="00A43F68" w:rsidRDefault="003D30B2" w:rsidP="003D30B2">
      <w:pPr>
        <w:jc w:val="center"/>
        <w:outlineLvl w:val="0"/>
        <w:rPr>
          <w:rFonts w:ascii="Arial" w:hAnsi="Arial" w:cs="Arial"/>
          <w:b/>
          <w:caps/>
          <w:kern w:val="2"/>
          <w:lang w:val="en-CA"/>
        </w:rPr>
      </w:pPr>
      <w:r w:rsidRPr="00A43F68">
        <w:rPr>
          <w:rFonts w:ascii="Arial" w:hAnsi="Arial" w:cs="Arial"/>
          <w:b/>
          <w:caps/>
          <w:kern w:val="2"/>
          <w:lang w:val="en-CA"/>
        </w:rPr>
        <w:t xml:space="preserve">Exhibit </w:t>
      </w:r>
      <w:r w:rsidR="00DE3D2F" w:rsidRPr="00A43F68">
        <w:rPr>
          <w:rFonts w:ascii="Arial" w:hAnsi="Arial" w:cs="Arial"/>
          <w:b/>
          <w:caps/>
          <w:kern w:val="2"/>
          <w:lang w:val="en-CA"/>
        </w:rPr>
        <w:t>6</w:t>
      </w:r>
      <w:r w:rsidRPr="00A43F68">
        <w:rPr>
          <w:rFonts w:ascii="Arial" w:hAnsi="Arial" w:cs="Arial"/>
          <w:b/>
          <w:caps/>
          <w:kern w:val="2"/>
          <w:lang w:val="en-CA"/>
        </w:rPr>
        <w:t>: TASSAL’S SUPPLY CHAIN INTEGRATION</w:t>
      </w:r>
    </w:p>
    <w:p w14:paraId="73D75478" w14:textId="77777777" w:rsidR="003D30B2" w:rsidRPr="00A43F68" w:rsidRDefault="003D30B2" w:rsidP="003D30B2">
      <w:pPr>
        <w:jc w:val="both"/>
        <w:rPr>
          <w:rFonts w:ascii="Arial" w:eastAsiaTheme="minorEastAsia" w:hAnsi="Arial" w:cs="Arial"/>
          <w:kern w:val="2"/>
          <w:lang w:val="en-CA" w:eastAsia="zh-CN"/>
        </w:rPr>
      </w:pPr>
    </w:p>
    <w:tbl>
      <w:tblPr>
        <w:tblW w:w="9371" w:type="dxa"/>
        <w:tblInd w:w="93" w:type="dxa"/>
        <w:tblLayout w:type="fixed"/>
        <w:tblLook w:val="04A0" w:firstRow="1" w:lastRow="0" w:firstColumn="1" w:lastColumn="0" w:noHBand="0" w:noVBand="1"/>
      </w:tblPr>
      <w:tblGrid>
        <w:gridCol w:w="1716"/>
        <w:gridCol w:w="1843"/>
        <w:gridCol w:w="2126"/>
        <w:gridCol w:w="1843"/>
        <w:gridCol w:w="1843"/>
      </w:tblGrid>
      <w:tr w:rsidR="003D30B2" w:rsidRPr="00A43F68" w14:paraId="399777A9" w14:textId="77777777" w:rsidTr="00EB70A8">
        <w:trPr>
          <w:trHeight w:val="480"/>
        </w:trPr>
        <w:tc>
          <w:tcPr>
            <w:tcW w:w="171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6D0821F" w14:textId="77777777" w:rsidR="003D30B2" w:rsidRPr="00A43F68" w:rsidRDefault="003D30B2" w:rsidP="003D30B2">
            <w:pPr>
              <w:jc w:val="center"/>
              <w:rPr>
                <w:rFonts w:ascii="Arial" w:eastAsia="SimSun" w:hAnsi="Arial" w:cs="Arial"/>
                <w:b/>
                <w:color w:val="000000"/>
                <w:sz w:val="19"/>
                <w:szCs w:val="19"/>
                <w:lang w:val="en-CA" w:eastAsia="zh-CN"/>
              </w:rPr>
            </w:pPr>
            <w:r w:rsidRPr="00A43F68">
              <w:rPr>
                <w:rFonts w:ascii="Arial" w:eastAsia="SimSun" w:hAnsi="Arial" w:cs="Arial"/>
                <w:b/>
                <w:color w:val="000000"/>
                <w:sz w:val="19"/>
                <w:szCs w:val="19"/>
                <w:lang w:val="en-CA" w:eastAsia="zh-CN"/>
              </w:rPr>
              <w:t>1. Suppliers</w:t>
            </w:r>
          </w:p>
          <w:p w14:paraId="281CA2EC" w14:textId="00876219" w:rsidR="003D30B2" w:rsidRPr="00A43F68" w:rsidRDefault="003D30B2" w:rsidP="003D30B2">
            <w:pPr>
              <w:jc w:val="center"/>
              <w:rPr>
                <w:rFonts w:ascii="Arial" w:eastAsia="SimSun" w:hAnsi="Arial" w:cs="Arial"/>
                <w:b/>
                <w:color w:val="000000"/>
                <w:sz w:val="19"/>
                <w:szCs w:val="19"/>
                <w:lang w:val="en-CA" w:eastAsia="zh-CN"/>
              </w:rPr>
            </w:pPr>
            <w:r w:rsidRPr="00A43F68">
              <w:rPr>
                <w:rFonts w:ascii="Arial" w:eastAsia="SimSun" w:hAnsi="Arial" w:cs="Arial"/>
                <w:b/>
                <w:color w:val="000000"/>
                <w:sz w:val="19"/>
                <w:szCs w:val="19"/>
                <w:lang w:val="en-CA" w:eastAsia="zh-CN"/>
              </w:rPr>
              <w:t xml:space="preserve"> (</w:t>
            </w:r>
            <w:r w:rsidR="00855898" w:rsidRPr="00A43F68">
              <w:rPr>
                <w:rFonts w:ascii="Arial" w:eastAsia="SimSun" w:hAnsi="Arial" w:cs="Arial"/>
                <w:b/>
                <w:color w:val="000000"/>
                <w:sz w:val="19"/>
                <w:szCs w:val="19"/>
                <w:lang w:val="en-CA" w:eastAsia="zh-CN"/>
              </w:rPr>
              <w:t>feed inputs</w:t>
            </w:r>
            <w:r w:rsidRPr="00A43F68">
              <w:rPr>
                <w:rFonts w:ascii="Arial" w:eastAsia="SimSun" w:hAnsi="Arial" w:cs="Arial"/>
                <w:b/>
                <w:color w:val="000000"/>
                <w:sz w:val="19"/>
                <w:szCs w:val="19"/>
                <w:lang w:val="en-CA" w:eastAsia="zh-CN"/>
              </w:rPr>
              <w:t>)</w:t>
            </w:r>
          </w:p>
        </w:tc>
        <w:tc>
          <w:tcPr>
            <w:tcW w:w="1843" w:type="dxa"/>
            <w:tcBorders>
              <w:top w:val="single" w:sz="4" w:space="0" w:color="auto"/>
              <w:left w:val="nil"/>
              <w:bottom w:val="single" w:sz="4" w:space="0" w:color="auto"/>
              <w:right w:val="single" w:sz="4" w:space="0" w:color="auto"/>
            </w:tcBorders>
            <w:shd w:val="clear" w:color="auto" w:fill="auto"/>
            <w:vAlign w:val="center"/>
            <w:hideMark/>
          </w:tcPr>
          <w:p w14:paraId="6DA31265" w14:textId="64CB02F7" w:rsidR="003D30B2" w:rsidRPr="00A43F68" w:rsidRDefault="003D30B2" w:rsidP="003D30B2">
            <w:pPr>
              <w:jc w:val="center"/>
              <w:rPr>
                <w:rFonts w:ascii="Arial" w:eastAsia="SimSun" w:hAnsi="Arial" w:cs="Arial"/>
                <w:b/>
                <w:color w:val="000000"/>
                <w:sz w:val="19"/>
                <w:szCs w:val="19"/>
                <w:lang w:val="en-CA" w:eastAsia="zh-CN"/>
              </w:rPr>
            </w:pPr>
            <w:r w:rsidRPr="00A43F68">
              <w:rPr>
                <w:rFonts w:ascii="Arial" w:eastAsia="SimSun" w:hAnsi="Arial" w:cs="Arial"/>
                <w:b/>
                <w:color w:val="000000"/>
                <w:sz w:val="19"/>
                <w:szCs w:val="19"/>
                <w:lang w:val="en-CA" w:eastAsia="zh-CN"/>
              </w:rPr>
              <w:t xml:space="preserve">2. Aquaculture </w:t>
            </w:r>
            <w:r w:rsidR="00855898" w:rsidRPr="00A43F68">
              <w:rPr>
                <w:rFonts w:ascii="Arial" w:eastAsia="SimSun" w:hAnsi="Arial" w:cs="Arial"/>
                <w:b/>
                <w:color w:val="000000"/>
                <w:sz w:val="19"/>
                <w:szCs w:val="19"/>
                <w:lang w:val="en-CA" w:eastAsia="zh-CN"/>
              </w:rPr>
              <w:t>production</w:t>
            </w:r>
          </w:p>
        </w:tc>
        <w:tc>
          <w:tcPr>
            <w:tcW w:w="2126" w:type="dxa"/>
            <w:tcBorders>
              <w:top w:val="single" w:sz="4" w:space="0" w:color="auto"/>
              <w:left w:val="nil"/>
              <w:bottom w:val="single" w:sz="4" w:space="0" w:color="auto"/>
              <w:right w:val="single" w:sz="4" w:space="0" w:color="auto"/>
            </w:tcBorders>
            <w:shd w:val="clear" w:color="auto" w:fill="auto"/>
            <w:vAlign w:val="center"/>
            <w:hideMark/>
          </w:tcPr>
          <w:p w14:paraId="2405A4A7" w14:textId="5960E4A7" w:rsidR="003D30B2" w:rsidRPr="00A43F68" w:rsidRDefault="003D30B2" w:rsidP="003D30B2">
            <w:pPr>
              <w:jc w:val="center"/>
              <w:rPr>
                <w:rFonts w:ascii="Arial" w:eastAsia="SimSun" w:hAnsi="Arial" w:cs="Arial"/>
                <w:b/>
                <w:color w:val="000000"/>
                <w:sz w:val="19"/>
                <w:szCs w:val="19"/>
                <w:lang w:val="en-CA" w:eastAsia="zh-CN"/>
              </w:rPr>
            </w:pPr>
            <w:r w:rsidRPr="00A43F68">
              <w:rPr>
                <w:rFonts w:ascii="Arial" w:eastAsia="SimSun" w:hAnsi="Arial" w:cs="Arial"/>
                <w:b/>
                <w:color w:val="000000"/>
                <w:sz w:val="19"/>
                <w:szCs w:val="19"/>
                <w:lang w:val="en-CA" w:eastAsia="zh-CN"/>
              </w:rPr>
              <w:t xml:space="preserve">3. </w:t>
            </w:r>
            <w:r w:rsidR="00855898" w:rsidRPr="00A43F68">
              <w:rPr>
                <w:rFonts w:ascii="Arial" w:eastAsia="SimSun" w:hAnsi="Arial" w:cs="Arial"/>
                <w:b/>
                <w:color w:val="000000"/>
                <w:sz w:val="19"/>
                <w:szCs w:val="19"/>
                <w:lang w:val="en-CA" w:eastAsia="zh-CN"/>
              </w:rPr>
              <w:t>Value-added products</w:t>
            </w:r>
          </w:p>
        </w:tc>
        <w:tc>
          <w:tcPr>
            <w:tcW w:w="1843" w:type="dxa"/>
            <w:tcBorders>
              <w:top w:val="single" w:sz="4" w:space="0" w:color="auto"/>
              <w:left w:val="nil"/>
              <w:bottom w:val="single" w:sz="4" w:space="0" w:color="auto"/>
              <w:right w:val="single" w:sz="4" w:space="0" w:color="auto"/>
            </w:tcBorders>
            <w:shd w:val="clear" w:color="auto" w:fill="auto"/>
            <w:vAlign w:val="center"/>
            <w:hideMark/>
          </w:tcPr>
          <w:p w14:paraId="078A6D2B" w14:textId="7530B27B" w:rsidR="003D30B2" w:rsidRPr="00A43F68" w:rsidRDefault="003D30B2" w:rsidP="003D30B2">
            <w:pPr>
              <w:jc w:val="center"/>
              <w:rPr>
                <w:rFonts w:ascii="Arial" w:eastAsia="SimSun" w:hAnsi="Arial" w:cs="Arial"/>
                <w:b/>
                <w:color w:val="000000"/>
                <w:sz w:val="19"/>
                <w:szCs w:val="19"/>
                <w:lang w:val="en-CA" w:eastAsia="zh-CN"/>
              </w:rPr>
            </w:pPr>
            <w:r w:rsidRPr="00A43F68">
              <w:rPr>
                <w:rFonts w:ascii="Arial" w:eastAsia="SimSun" w:hAnsi="Arial" w:cs="Arial"/>
                <w:b/>
                <w:color w:val="000000"/>
                <w:sz w:val="19"/>
                <w:szCs w:val="19"/>
                <w:lang w:val="en-CA" w:eastAsia="zh-CN"/>
              </w:rPr>
              <w:t xml:space="preserve">4. Distribution </w:t>
            </w:r>
            <w:r w:rsidR="0021644F" w:rsidRPr="00A43F68">
              <w:rPr>
                <w:rFonts w:ascii="Arial" w:eastAsia="SimSun" w:hAnsi="Arial" w:cs="Arial"/>
                <w:b/>
                <w:color w:val="000000"/>
                <w:sz w:val="19"/>
                <w:szCs w:val="19"/>
                <w:lang w:val="en-CA" w:eastAsia="zh-CN"/>
              </w:rPr>
              <w:t>and</w:t>
            </w:r>
            <w:r w:rsidRPr="00A43F68">
              <w:rPr>
                <w:rFonts w:ascii="Arial" w:eastAsia="SimSun" w:hAnsi="Arial" w:cs="Arial"/>
                <w:b/>
                <w:color w:val="000000"/>
                <w:sz w:val="19"/>
                <w:szCs w:val="19"/>
                <w:lang w:val="en-CA" w:eastAsia="zh-CN"/>
              </w:rPr>
              <w:t xml:space="preserve"> </w:t>
            </w:r>
            <w:r w:rsidR="00855898" w:rsidRPr="00A43F68">
              <w:rPr>
                <w:rFonts w:ascii="Arial" w:eastAsia="SimSun" w:hAnsi="Arial" w:cs="Arial"/>
                <w:b/>
                <w:color w:val="000000"/>
                <w:sz w:val="19"/>
                <w:szCs w:val="19"/>
                <w:lang w:val="en-CA" w:eastAsia="zh-CN"/>
              </w:rPr>
              <w:t>logistics</w:t>
            </w:r>
          </w:p>
        </w:tc>
        <w:tc>
          <w:tcPr>
            <w:tcW w:w="1843" w:type="dxa"/>
            <w:tcBorders>
              <w:top w:val="single" w:sz="4" w:space="0" w:color="auto"/>
              <w:left w:val="nil"/>
              <w:bottom w:val="single" w:sz="4" w:space="0" w:color="auto"/>
              <w:right w:val="single" w:sz="4" w:space="0" w:color="auto"/>
            </w:tcBorders>
            <w:shd w:val="clear" w:color="auto" w:fill="auto"/>
            <w:vAlign w:val="center"/>
            <w:hideMark/>
          </w:tcPr>
          <w:p w14:paraId="648ABD92" w14:textId="77777777" w:rsidR="003D30B2" w:rsidRPr="00A43F68" w:rsidRDefault="003D30B2" w:rsidP="003D30B2">
            <w:pPr>
              <w:jc w:val="center"/>
              <w:rPr>
                <w:rFonts w:ascii="Arial" w:eastAsia="SimSun" w:hAnsi="Arial" w:cs="Arial"/>
                <w:b/>
                <w:color w:val="000000"/>
                <w:sz w:val="19"/>
                <w:szCs w:val="19"/>
                <w:lang w:val="en-CA" w:eastAsia="zh-CN"/>
              </w:rPr>
            </w:pPr>
            <w:r w:rsidRPr="00A43F68">
              <w:rPr>
                <w:rFonts w:ascii="Arial" w:eastAsia="SimSun" w:hAnsi="Arial" w:cs="Arial"/>
                <w:b/>
                <w:color w:val="000000"/>
                <w:sz w:val="19"/>
                <w:szCs w:val="19"/>
                <w:lang w:val="en-CA" w:eastAsia="zh-CN"/>
              </w:rPr>
              <w:t>5. Customers</w:t>
            </w:r>
          </w:p>
        </w:tc>
      </w:tr>
      <w:tr w:rsidR="003D30B2" w:rsidRPr="00A43F68" w14:paraId="25087EA0" w14:textId="77777777" w:rsidTr="00EB70A8">
        <w:trPr>
          <w:trHeight w:val="1200"/>
        </w:trPr>
        <w:tc>
          <w:tcPr>
            <w:tcW w:w="1716" w:type="dxa"/>
            <w:tcBorders>
              <w:top w:val="nil"/>
              <w:left w:val="single" w:sz="4" w:space="0" w:color="auto"/>
              <w:bottom w:val="single" w:sz="4" w:space="0" w:color="auto"/>
              <w:right w:val="single" w:sz="4" w:space="0" w:color="auto"/>
            </w:tcBorders>
            <w:shd w:val="clear" w:color="auto" w:fill="auto"/>
            <w:vAlign w:val="center"/>
            <w:hideMark/>
          </w:tcPr>
          <w:p w14:paraId="02D65E46" w14:textId="45047FA1" w:rsidR="003D30B2" w:rsidRPr="00A43F68" w:rsidRDefault="003D30B2" w:rsidP="003D30B2">
            <w:pPr>
              <w:rPr>
                <w:rFonts w:ascii="Arial" w:eastAsia="SimSun" w:hAnsi="Arial" w:cs="Arial"/>
                <w:color w:val="000000"/>
                <w:sz w:val="19"/>
                <w:szCs w:val="19"/>
                <w:lang w:val="en-CA" w:eastAsia="zh-CN"/>
              </w:rPr>
            </w:pPr>
            <w:r w:rsidRPr="00A43F68">
              <w:rPr>
                <w:rFonts w:ascii="Arial" w:eastAsia="SimSun" w:hAnsi="Arial" w:cs="Arial"/>
                <w:color w:val="000000"/>
                <w:sz w:val="19"/>
                <w:szCs w:val="19"/>
                <w:lang w:val="en-CA" w:eastAsia="zh-CN"/>
              </w:rPr>
              <w:t xml:space="preserve">- Chicken </w:t>
            </w:r>
            <w:r w:rsidR="0021644F" w:rsidRPr="00A43F68">
              <w:rPr>
                <w:rFonts w:ascii="Arial" w:eastAsia="SimSun" w:hAnsi="Arial" w:cs="Arial"/>
                <w:color w:val="000000"/>
                <w:sz w:val="19"/>
                <w:szCs w:val="19"/>
                <w:lang w:val="en-CA" w:eastAsia="zh-CN"/>
              </w:rPr>
              <w:t>and</w:t>
            </w:r>
            <w:r w:rsidRPr="00A43F68">
              <w:rPr>
                <w:rFonts w:ascii="Arial" w:eastAsia="SimSun" w:hAnsi="Arial" w:cs="Arial"/>
                <w:color w:val="000000"/>
                <w:sz w:val="19"/>
                <w:szCs w:val="19"/>
                <w:lang w:val="en-CA" w:eastAsia="zh-CN"/>
              </w:rPr>
              <w:t xml:space="preserve"> oil</w:t>
            </w:r>
          </w:p>
          <w:p w14:paraId="74EB48AB" w14:textId="58A127D1" w:rsidR="003D30B2" w:rsidRPr="00A43F68" w:rsidRDefault="003D30B2" w:rsidP="003D30B2">
            <w:pPr>
              <w:rPr>
                <w:rFonts w:ascii="Arial" w:eastAsia="SimSun" w:hAnsi="Arial" w:cs="Arial"/>
                <w:color w:val="000000"/>
                <w:sz w:val="19"/>
                <w:szCs w:val="19"/>
                <w:lang w:val="en-CA" w:eastAsia="zh-CN"/>
              </w:rPr>
            </w:pPr>
            <w:r w:rsidRPr="00A43F68">
              <w:rPr>
                <w:rFonts w:ascii="Arial" w:eastAsia="SimSun" w:hAnsi="Arial" w:cs="Arial"/>
                <w:color w:val="000000"/>
                <w:sz w:val="19"/>
                <w:szCs w:val="19"/>
                <w:lang w:val="en-CA" w:eastAsia="zh-CN"/>
              </w:rPr>
              <w:t xml:space="preserve">- Grain </w:t>
            </w:r>
            <w:r w:rsidR="0021644F" w:rsidRPr="00A43F68">
              <w:rPr>
                <w:rFonts w:ascii="Arial" w:eastAsia="SimSun" w:hAnsi="Arial" w:cs="Arial"/>
                <w:color w:val="000000"/>
                <w:sz w:val="19"/>
                <w:szCs w:val="19"/>
                <w:lang w:val="en-CA" w:eastAsia="zh-CN"/>
              </w:rPr>
              <w:t>and</w:t>
            </w:r>
            <w:r w:rsidRPr="00A43F68">
              <w:rPr>
                <w:rFonts w:ascii="Arial" w:eastAsia="SimSun" w:hAnsi="Arial" w:cs="Arial"/>
                <w:color w:val="000000"/>
                <w:sz w:val="19"/>
                <w:szCs w:val="19"/>
                <w:lang w:val="en-CA" w:eastAsia="zh-CN"/>
              </w:rPr>
              <w:t xml:space="preserve"> protein</w:t>
            </w:r>
          </w:p>
          <w:p w14:paraId="014FAC88" w14:textId="39815F15" w:rsidR="003D30B2" w:rsidRPr="00A43F68" w:rsidRDefault="003D30B2" w:rsidP="003D30B2">
            <w:pPr>
              <w:rPr>
                <w:rFonts w:ascii="Arial" w:eastAsia="SimSun" w:hAnsi="Arial" w:cs="Arial"/>
                <w:color w:val="000000"/>
                <w:sz w:val="19"/>
                <w:szCs w:val="19"/>
                <w:lang w:val="en-CA" w:eastAsia="zh-CN"/>
              </w:rPr>
            </w:pPr>
            <w:r w:rsidRPr="00A43F68">
              <w:rPr>
                <w:rFonts w:ascii="Arial" w:eastAsia="SimSun" w:hAnsi="Arial" w:cs="Arial"/>
                <w:color w:val="000000"/>
                <w:sz w:val="19"/>
                <w:szCs w:val="19"/>
                <w:lang w:val="en-CA" w:eastAsia="zh-CN"/>
              </w:rPr>
              <w:t xml:space="preserve">- Fish </w:t>
            </w:r>
            <w:r w:rsidR="0021644F" w:rsidRPr="00A43F68">
              <w:rPr>
                <w:rFonts w:ascii="Arial" w:eastAsia="SimSun" w:hAnsi="Arial" w:cs="Arial"/>
                <w:color w:val="000000"/>
                <w:sz w:val="19"/>
                <w:szCs w:val="19"/>
                <w:lang w:val="en-CA" w:eastAsia="zh-CN"/>
              </w:rPr>
              <w:t>and</w:t>
            </w:r>
            <w:r w:rsidRPr="00A43F68">
              <w:rPr>
                <w:rFonts w:ascii="Arial" w:eastAsia="SimSun" w:hAnsi="Arial" w:cs="Arial"/>
                <w:color w:val="000000"/>
                <w:sz w:val="19"/>
                <w:szCs w:val="19"/>
                <w:lang w:val="en-CA" w:eastAsia="zh-CN"/>
              </w:rPr>
              <w:t xml:space="preserve"> oil</w:t>
            </w:r>
          </w:p>
        </w:tc>
        <w:tc>
          <w:tcPr>
            <w:tcW w:w="1843" w:type="dxa"/>
            <w:tcBorders>
              <w:top w:val="nil"/>
              <w:left w:val="nil"/>
              <w:bottom w:val="single" w:sz="4" w:space="0" w:color="auto"/>
              <w:right w:val="single" w:sz="4" w:space="0" w:color="auto"/>
            </w:tcBorders>
            <w:shd w:val="clear" w:color="auto" w:fill="auto"/>
            <w:vAlign w:val="center"/>
            <w:hideMark/>
          </w:tcPr>
          <w:p w14:paraId="689A90E1" w14:textId="77777777" w:rsidR="003D30B2" w:rsidRPr="00A43F68" w:rsidRDefault="003D30B2" w:rsidP="003D30B2">
            <w:pPr>
              <w:rPr>
                <w:rFonts w:ascii="Arial" w:eastAsia="SimSun" w:hAnsi="Arial" w:cs="Arial"/>
                <w:color w:val="000000"/>
                <w:sz w:val="19"/>
                <w:szCs w:val="19"/>
                <w:lang w:val="en-CA" w:eastAsia="zh-CN"/>
              </w:rPr>
            </w:pPr>
            <w:r w:rsidRPr="00A43F68">
              <w:rPr>
                <w:rFonts w:ascii="Arial" w:eastAsia="SimSun" w:hAnsi="Arial" w:cs="Arial"/>
                <w:color w:val="000000"/>
                <w:sz w:val="19"/>
                <w:szCs w:val="19"/>
                <w:lang w:val="en-CA" w:eastAsia="zh-CN"/>
              </w:rPr>
              <w:t>- Hatchery</w:t>
            </w:r>
          </w:p>
          <w:p w14:paraId="0CB4FFC7" w14:textId="683C1463" w:rsidR="003D30B2" w:rsidRPr="00A43F68" w:rsidRDefault="003D30B2" w:rsidP="003D30B2">
            <w:pPr>
              <w:rPr>
                <w:rFonts w:ascii="Arial" w:eastAsia="SimSun" w:hAnsi="Arial" w:cs="Arial"/>
                <w:color w:val="000000"/>
                <w:sz w:val="19"/>
                <w:szCs w:val="19"/>
                <w:lang w:val="en-CA" w:eastAsia="zh-CN"/>
              </w:rPr>
            </w:pPr>
            <w:r w:rsidRPr="00A43F68">
              <w:rPr>
                <w:rFonts w:ascii="Arial" w:eastAsia="SimSun" w:hAnsi="Arial" w:cs="Arial"/>
                <w:color w:val="000000"/>
                <w:sz w:val="19"/>
                <w:szCs w:val="19"/>
                <w:lang w:val="en-CA" w:eastAsia="zh-CN"/>
              </w:rPr>
              <w:t xml:space="preserve">- </w:t>
            </w:r>
            <w:r w:rsidR="00855898" w:rsidRPr="00A43F68">
              <w:rPr>
                <w:rFonts w:ascii="Arial" w:eastAsia="SimSun" w:hAnsi="Arial" w:cs="Arial"/>
                <w:color w:val="000000"/>
                <w:sz w:val="19"/>
                <w:szCs w:val="19"/>
                <w:lang w:val="en-CA" w:eastAsia="zh-CN"/>
              </w:rPr>
              <w:t xml:space="preserve">On-growing </w:t>
            </w:r>
            <w:r w:rsidRPr="00A43F68">
              <w:rPr>
                <w:rFonts w:ascii="Arial" w:eastAsia="SimSun" w:hAnsi="Arial" w:cs="Arial"/>
                <w:color w:val="000000"/>
                <w:sz w:val="19"/>
                <w:szCs w:val="19"/>
                <w:lang w:val="en-CA" w:eastAsia="zh-CN"/>
              </w:rPr>
              <w:t>tank</w:t>
            </w:r>
          </w:p>
          <w:p w14:paraId="16C533C9" w14:textId="77777777" w:rsidR="003D30B2" w:rsidRPr="00A43F68" w:rsidRDefault="003D30B2" w:rsidP="003D30B2">
            <w:pPr>
              <w:rPr>
                <w:rFonts w:ascii="Arial" w:eastAsia="SimSun" w:hAnsi="Arial" w:cs="Arial"/>
                <w:color w:val="000000"/>
                <w:sz w:val="19"/>
                <w:szCs w:val="19"/>
                <w:lang w:val="en-CA" w:eastAsia="zh-CN"/>
              </w:rPr>
            </w:pPr>
            <w:r w:rsidRPr="00A43F68">
              <w:rPr>
                <w:rFonts w:ascii="Arial" w:eastAsia="SimSun" w:hAnsi="Arial" w:cs="Arial"/>
                <w:color w:val="000000"/>
                <w:sz w:val="19"/>
                <w:szCs w:val="19"/>
                <w:lang w:val="en-CA" w:eastAsia="zh-CN"/>
              </w:rPr>
              <w:t>- Pens</w:t>
            </w:r>
          </w:p>
          <w:p w14:paraId="26606C3B" w14:textId="77777777" w:rsidR="003D30B2" w:rsidRPr="00A43F68" w:rsidRDefault="003D30B2" w:rsidP="003D30B2">
            <w:pPr>
              <w:rPr>
                <w:rFonts w:ascii="Arial" w:eastAsia="SimSun" w:hAnsi="Arial" w:cs="Arial"/>
                <w:color w:val="000000"/>
                <w:sz w:val="19"/>
                <w:szCs w:val="19"/>
                <w:lang w:val="en-CA" w:eastAsia="zh-CN"/>
              </w:rPr>
            </w:pPr>
            <w:r w:rsidRPr="00A43F68">
              <w:rPr>
                <w:rFonts w:ascii="Arial" w:eastAsia="SimSun" w:hAnsi="Arial" w:cs="Arial"/>
                <w:color w:val="000000"/>
                <w:sz w:val="19"/>
                <w:szCs w:val="19"/>
                <w:lang w:val="en-CA" w:eastAsia="zh-CN"/>
              </w:rPr>
              <w:t>- Harvest</w:t>
            </w:r>
          </w:p>
        </w:tc>
        <w:tc>
          <w:tcPr>
            <w:tcW w:w="2126" w:type="dxa"/>
            <w:tcBorders>
              <w:top w:val="nil"/>
              <w:left w:val="nil"/>
              <w:bottom w:val="single" w:sz="4" w:space="0" w:color="auto"/>
              <w:right w:val="single" w:sz="4" w:space="0" w:color="auto"/>
            </w:tcBorders>
            <w:shd w:val="clear" w:color="auto" w:fill="auto"/>
            <w:vAlign w:val="center"/>
            <w:hideMark/>
          </w:tcPr>
          <w:p w14:paraId="5C24CE7A" w14:textId="629DD564" w:rsidR="003D30B2" w:rsidRPr="00A43F68" w:rsidRDefault="003D30B2" w:rsidP="003D30B2">
            <w:pPr>
              <w:rPr>
                <w:rFonts w:ascii="Arial" w:eastAsia="SimSun" w:hAnsi="Arial" w:cs="Arial"/>
                <w:color w:val="000000"/>
                <w:sz w:val="19"/>
                <w:szCs w:val="19"/>
                <w:lang w:val="en-CA" w:eastAsia="zh-CN"/>
              </w:rPr>
            </w:pPr>
            <w:r w:rsidRPr="00A43F68">
              <w:rPr>
                <w:rFonts w:ascii="Arial" w:eastAsia="SimSun" w:hAnsi="Arial" w:cs="Arial"/>
                <w:color w:val="000000"/>
                <w:sz w:val="19"/>
                <w:szCs w:val="19"/>
                <w:lang w:val="en-CA" w:eastAsia="zh-CN"/>
              </w:rPr>
              <w:t>Raw materials were converted into products</w:t>
            </w:r>
            <w:r w:rsidR="0021644F" w:rsidRPr="00A43F68">
              <w:rPr>
                <w:rFonts w:ascii="Arial" w:eastAsia="SimSun" w:hAnsi="Arial" w:cs="Arial"/>
                <w:color w:val="000000"/>
                <w:sz w:val="19"/>
                <w:szCs w:val="19"/>
                <w:lang w:val="en-CA" w:eastAsia="zh-CN"/>
              </w:rPr>
              <w:t>.</w:t>
            </w:r>
          </w:p>
        </w:tc>
        <w:tc>
          <w:tcPr>
            <w:tcW w:w="1843" w:type="dxa"/>
            <w:tcBorders>
              <w:top w:val="nil"/>
              <w:left w:val="nil"/>
              <w:bottom w:val="single" w:sz="4" w:space="0" w:color="auto"/>
              <w:right w:val="single" w:sz="4" w:space="0" w:color="auto"/>
            </w:tcBorders>
            <w:shd w:val="clear" w:color="auto" w:fill="auto"/>
            <w:vAlign w:val="center"/>
            <w:hideMark/>
          </w:tcPr>
          <w:p w14:paraId="0B11FD42" w14:textId="77777777" w:rsidR="003D30B2" w:rsidRPr="00A43F68" w:rsidRDefault="003D30B2" w:rsidP="003D30B2">
            <w:pPr>
              <w:rPr>
                <w:rFonts w:ascii="Arial" w:eastAsia="SimSun" w:hAnsi="Arial" w:cs="Arial"/>
                <w:color w:val="000000"/>
                <w:sz w:val="19"/>
                <w:szCs w:val="19"/>
                <w:lang w:val="en-CA" w:eastAsia="zh-CN"/>
              </w:rPr>
            </w:pPr>
            <w:r w:rsidRPr="00A43F68">
              <w:rPr>
                <w:rFonts w:ascii="Arial" w:eastAsia="SimSun" w:hAnsi="Arial" w:cs="Arial"/>
                <w:color w:val="000000"/>
                <w:sz w:val="19"/>
                <w:szCs w:val="19"/>
                <w:lang w:val="en-CA" w:eastAsia="zh-CN"/>
              </w:rPr>
              <w:t>- Warehouse</w:t>
            </w:r>
          </w:p>
          <w:p w14:paraId="4C2D85C6" w14:textId="77777777" w:rsidR="003D30B2" w:rsidRPr="00A43F68" w:rsidRDefault="003D30B2" w:rsidP="003D30B2">
            <w:pPr>
              <w:rPr>
                <w:rFonts w:ascii="Arial" w:eastAsia="SimSun" w:hAnsi="Arial" w:cs="Arial"/>
                <w:color w:val="000000"/>
                <w:sz w:val="19"/>
                <w:szCs w:val="19"/>
                <w:lang w:val="en-CA" w:eastAsia="zh-CN"/>
              </w:rPr>
            </w:pPr>
            <w:r w:rsidRPr="00A43F68">
              <w:rPr>
                <w:rFonts w:ascii="Arial" w:eastAsia="SimSun" w:hAnsi="Arial" w:cs="Arial"/>
                <w:color w:val="000000"/>
                <w:sz w:val="19"/>
                <w:szCs w:val="19"/>
                <w:lang w:val="en-CA" w:eastAsia="zh-CN"/>
              </w:rPr>
              <w:t>- Transportation</w:t>
            </w:r>
          </w:p>
        </w:tc>
        <w:tc>
          <w:tcPr>
            <w:tcW w:w="1843" w:type="dxa"/>
            <w:tcBorders>
              <w:top w:val="nil"/>
              <w:left w:val="nil"/>
              <w:bottom w:val="single" w:sz="4" w:space="0" w:color="auto"/>
              <w:right w:val="single" w:sz="4" w:space="0" w:color="auto"/>
            </w:tcBorders>
            <w:shd w:val="clear" w:color="auto" w:fill="auto"/>
            <w:vAlign w:val="center"/>
            <w:hideMark/>
          </w:tcPr>
          <w:p w14:paraId="0971CAA2" w14:textId="77777777" w:rsidR="003D30B2" w:rsidRPr="00A43F68" w:rsidRDefault="003D30B2" w:rsidP="003D30B2">
            <w:pPr>
              <w:rPr>
                <w:rFonts w:ascii="Arial" w:eastAsia="SimSun" w:hAnsi="Arial" w:cs="Arial"/>
                <w:color w:val="000000"/>
                <w:sz w:val="19"/>
                <w:szCs w:val="19"/>
                <w:lang w:val="en-CA" w:eastAsia="zh-CN"/>
              </w:rPr>
            </w:pPr>
            <w:r w:rsidRPr="00A43F68">
              <w:rPr>
                <w:rFonts w:ascii="Arial" w:eastAsia="SimSun" w:hAnsi="Arial" w:cs="Arial"/>
                <w:color w:val="000000"/>
                <w:sz w:val="19"/>
                <w:szCs w:val="19"/>
                <w:lang w:val="en-CA" w:eastAsia="zh-CN"/>
              </w:rPr>
              <w:t>- Retailers</w:t>
            </w:r>
          </w:p>
          <w:p w14:paraId="6D776A30" w14:textId="77777777" w:rsidR="003D30B2" w:rsidRPr="00A43F68" w:rsidRDefault="003D30B2" w:rsidP="003D30B2">
            <w:pPr>
              <w:rPr>
                <w:rFonts w:ascii="Arial" w:eastAsia="SimSun" w:hAnsi="Arial" w:cs="Arial"/>
                <w:color w:val="000000"/>
                <w:sz w:val="19"/>
                <w:szCs w:val="19"/>
                <w:lang w:val="en-CA" w:eastAsia="zh-CN"/>
              </w:rPr>
            </w:pPr>
            <w:r w:rsidRPr="00A43F68">
              <w:rPr>
                <w:rFonts w:ascii="Arial" w:eastAsia="SimSun" w:hAnsi="Arial" w:cs="Arial"/>
                <w:color w:val="000000"/>
                <w:sz w:val="19"/>
                <w:szCs w:val="19"/>
                <w:lang w:val="en-CA" w:eastAsia="zh-CN"/>
              </w:rPr>
              <w:t>- Restaurants</w:t>
            </w:r>
          </w:p>
          <w:p w14:paraId="19319C44" w14:textId="77777777" w:rsidR="003D30B2" w:rsidRPr="00A43F68" w:rsidRDefault="003D30B2" w:rsidP="003D30B2">
            <w:pPr>
              <w:rPr>
                <w:rFonts w:ascii="Arial" w:eastAsia="SimSun" w:hAnsi="Arial" w:cs="Arial"/>
                <w:color w:val="000000"/>
                <w:sz w:val="19"/>
                <w:szCs w:val="19"/>
                <w:lang w:val="en-CA" w:eastAsia="zh-CN"/>
              </w:rPr>
            </w:pPr>
            <w:r w:rsidRPr="00A43F68">
              <w:rPr>
                <w:rFonts w:ascii="Arial" w:eastAsia="SimSun" w:hAnsi="Arial" w:cs="Arial"/>
                <w:color w:val="000000"/>
                <w:sz w:val="19"/>
                <w:szCs w:val="19"/>
                <w:lang w:val="en-CA" w:eastAsia="zh-CN"/>
              </w:rPr>
              <w:t>- Markets</w:t>
            </w:r>
          </w:p>
          <w:p w14:paraId="1F4494AD" w14:textId="77777777" w:rsidR="003D30B2" w:rsidRPr="00A43F68" w:rsidRDefault="003D30B2" w:rsidP="003D30B2">
            <w:pPr>
              <w:rPr>
                <w:rFonts w:ascii="Arial" w:eastAsia="SimSun" w:hAnsi="Arial" w:cs="Arial"/>
                <w:color w:val="000000"/>
                <w:sz w:val="19"/>
                <w:szCs w:val="19"/>
                <w:lang w:val="en-CA" w:eastAsia="zh-CN"/>
              </w:rPr>
            </w:pPr>
            <w:r w:rsidRPr="00A43F68">
              <w:rPr>
                <w:rFonts w:ascii="Arial" w:eastAsia="SimSun" w:hAnsi="Arial" w:cs="Arial"/>
                <w:color w:val="000000"/>
                <w:sz w:val="19"/>
                <w:szCs w:val="19"/>
                <w:lang w:val="en-CA" w:eastAsia="zh-CN"/>
              </w:rPr>
              <w:t>- Wholesalers</w:t>
            </w:r>
          </w:p>
        </w:tc>
      </w:tr>
    </w:tbl>
    <w:p w14:paraId="51EE886E" w14:textId="77777777" w:rsidR="003D30B2" w:rsidRPr="00A43F68" w:rsidRDefault="003D30B2" w:rsidP="003D30B2">
      <w:pPr>
        <w:jc w:val="both"/>
        <w:rPr>
          <w:rFonts w:ascii="Arial" w:hAnsi="Arial" w:cs="Arial"/>
          <w:kern w:val="2"/>
          <w:lang w:val="en-CA"/>
        </w:rPr>
      </w:pPr>
    </w:p>
    <w:p w14:paraId="46F4C8AA" w14:textId="77777777" w:rsidR="003D30B2" w:rsidRPr="00A43F68" w:rsidRDefault="003D30B2" w:rsidP="003D30B2">
      <w:pPr>
        <w:jc w:val="both"/>
        <w:rPr>
          <w:rFonts w:ascii="Arial" w:hAnsi="Arial" w:cs="Arial"/>
          <w:kern w:val="2"/>
          <w:sz w:val="17"/>
          <w:szCs w:val="17"/>
          <w:lang w:val="en-CA"/>
        </w:rPr>
      </w:pPr>
      <w:r w:rsidRPr="00A43F68">
        <w:rPr>
          <w:rFonts w:ascii="Arial" w:hAnsi="Arial" w:cs="Arial"/>
          <w:kern w:val="2"/>
          <w:sz w:val="17"/>
          <w:szCs w:val="17"/>
          <w:lang w:val="en-CA"/>
        </w:rPr>
        <w:t>Note: The supply chain began from activity no. 1 to no. 5.</w:t>
      </w:r>
    </w:p>
    <w:p w14:paraId="37C30065" w14:textId="32E1CB16" w:rsidR="003D30B2" w:rsidRPr="00A43F68" w:rsidRDefault="003D30B2" w:rsidP="00855898">
      <w:pPr>
        <w:jc w:val="both"/>
        <w:rPr>
          <w:rFonts w:ascii="Arial" w:hAnsi="Arial" w:cs="Arial"/>
          <w:kern w:val="2"/>
          <w:sz w:val="17"/>
          <w:szCs w:val="17"/>
          <w:lang w:val="en-CA"/>
        </w:rPr>
      </w:pPr>
      <w:r w:rsidRPr="00A43F68">
        <w:rPr>
          <w:rFonts w:ascii="Arial" w:hAnsi="Arial" w:cs="Arial"/>
          <w:kern w:val="2"/>
          <w:sz w:val="17"/>
          <w:szCs w:val="17"/>
          <w:lang w:val="en-CA"/>
        </w:rPr>
        <w:t xml:space="preserve">Source: Created by the case authors based on </w:t>
      </w:r>
      <w:r w:rsidR="00855898" w:rsidRPr="00A43F68">
        <w:rPr>
          <w:rFonts w:ascii="Arial" w:hAnsi="Arial" w:cs="Arial"/>
          <w:kern w:val="2"/>
          <w:sz w:val="17"/>
          <w:szCs w:val="17"/>
          <w:lang w:val="en-CA"/>
        </w:rPr>
        <w:t xml:space="preserve">Wise, </w:t>
      </w:r>
      <w:r w:rsidR="00855898" w:rsidRPr="00A43F68">
        <w:rPr>
          <w:rFonts w:ascii="Arial" w:hAnsi="Arial" w:cs="Arial"/>
          <w:i/>
          <w:kern w:val="2"/>
          <w:sz w:val="17"/>
          <w:szCs w:val="17"/>
          <w:lang w:val="en-CA"/>
        </w:rPr>
        <w:t>WiseFish Upgrade: The Inside Story at Tassal Australia</w:t>
      </w:r>
      <w:r w:rsidRPr="00A43F68">
        <w:rPr>
          <w:rFonts w:ascii="Arial" w:hAnsi="Arial" w:cs="Arial"/>
          <w:kern w:val="2"/>
          <w:sz w:val="17"/>
          <w:szCs w:val="17"/>
          <w:lang w:val="en-CA"/>
        </w:rPr>
        <w:t xml:space="preserve">, accessed October 27, </w:t>
      </w:r>
      <w:r w:rsidR="0040351B" w:rsidRPr="00A43F68">
        <w:rPr>
          <w:rFonts w:ascii="Arial" w:hAnsi="Arial" w:cs="Arial"/>
          <w:kern w:val="2"/>
          <w:sz w:val="17"/>
          <w:szCs w:val="17"/>
          <w:lang w:val="en-CA"/>
        </w:rPr>
        <w:t>20</w:t>
      </w:r>
      <w:r w:rsidRPr="00A43F68">
        <w:rPr>
          <w:rFonts w:ascii="Arial" w:hAnsi="Arial" w:cs="Arial"/>
          <w:kern w:val="2"/>
          <w:sz w:val="17"/>
          <w:szCs w:val="17"/>
          <w:lang w:val="en-CA"/>
        </w:rPr>
        <w:t>18, www.wisefish.com/images/Factscheets/Case_Study_-_Tassal_-_portrait_REV03_forweb.pdf.</w:t>
      </w:r>
    </w:p>
    <w:p w14:paraId="4EF2E5FA" w14:textId="77777777" w:rsidR="003D30B2" w:rsidRPr="00A43F68" w:rsidRDefault="003D30B2" w:rsidP="003D30B2">
      <w:pPr>
        <w:rPr>
          <w:rFonts w:ascii="Arial" w:hAnsi="Arial" w:cs="Arial"/>
          <w:kern w:val="2"/>
          <w:sz w:val="17"/>
          <w:szCs w:val="17"/>
          <w:lang w:val="en-CA" w:eastAsia="zh-CN"/>
        </w:rPr>
      </w:pPr>
    </w:p>
    <w:p w14:paraId="2A566CDE" w14:textId="77777777" w:rsidR="00E620C7" w:rsidRPr="00A43F68" w:rsidRDefault="00E620C7" w:rsidP="003D30B2">
      <w:pPr>
        <w:rPr>
          <w:rFonts w:ascii="Arial" w:hAnsi="Arial" w:cs="Arial"/>
          <w:kern w:val="2"/>
          <w:sz w:val="17"/>
          <w:szCs w:val="17"/>
          <w:lang w:val="en-CA" w:eastAsia="zh-CN"/>
        </w:rPr>
      </w:pPr>
    </w:p>
    <w:p w14:paraId="509B4AAD" w14:textId="77777777" w:rsidR="00E620C7" w:rsidRPr="00A43F68" w:rsidRDefault="00E620C7" w:rsidP="003D30B2">
      <w:pPr>
        <w:rPr>
          <w:rFonts w:ascii="Arial" w:hAnsi="Arial" w:cs="Arial"/>
          <w:kern w:val="2"/>
          <w:sz w:val="17"/>
          <w:szCs w:val="17"/>
          <w:lang w:val="en-CA" w:eastAsia="zh-CN"/>
        </w:rPr>
      </w:pPr>
    </w:p>
    <w:p w14:paraId="708CBA5E" w14:textId="77777777" w:rsidR="00E620C7" w:rsidRPr="00A43F68" w:rsidRDefault="00E620C7" w:rsidP="003D30B2">
      <w:pPr>
        <w:rPr>
          <w:rFonts w:ascii="Arial" w:hAnsi="Arial" w:cs="Arial"/>
          <w:kern w:val="2"/>
          <w:sz w:val="17"/>
          <w:szCs w:val="17"/>
          <w:lang w:val="en-CA" w:eastAsia="zh-CN"/>
        </w:rPr>
      </w:pPr>
    </w:p>
    <w:p w14:paraId="61D69B16" w14:textId="77777777" w:rsidR="00E620C7" w:rsidRPr="00A43F68" w:rsidRDefault="00E620C7" w:rsidP="003D30B2">
      <w:pPr>
        <w:rPr>
          <w:rFonts w:ascii="Arial" w:hAnsi="Arial" w:cs="Arial"/>
          <w:kern w:val="2"/>
          <w:sz w:val="17"/>
          <w:szCs w:val="17"/>
          <w:lang w:val="en-CA" w:eastAsia="zh-CN"/>
        </w:rPr>
      </w:pPr>
    </w:p>
    <w:p w14:paraId="01088D69" w14:textId="77777777" w:rsidR="00E620C7" w:rsidRPr="00A43F68" w:rsidRDefault="00E620C7" w:rsidP="003D30B2">
      <w:pPr>
        <w:rPr>
          <w:rFonts w:ascii="Arial" w:hAnsi="Arial" w:cs="Arial"/>
          <w:kern w:val="2"/>
          <w:sz w:val="17"/>
          <w:szCs w:val="17"/>
          <w:lang w:val="en-CA" w:eastAsia="zh-CN"/>
        </w:rPr>
      </w:pPr>
    </w:p>
    <w:p w14:paraId="4025B6A2" w14:textId="77777777" w:rsidR="00E620C7" w:rsidRPr="00A43F68" w:rsidRDefault="00E620C7" w:rsidP="003D30B2">
      <w:pPr>
        <w:rPr>
          <w:rFonts w:ascii="Arial" w:hAnsi="Arial" w:cs="Arial"/>
          <w:kern w:val="2"/>
          <w:sz w:val="17"/>
          <w:szCs w:val="17"/>
          <w:lang w:val="en-CA" w:eastAsia="zh-CN"/>
        </w:rPr>
      </w:pPr>
    </w:p>
    <w:p w14:paraId="1FBABA91" w14:textId="5A344AA0" w:rsidR="003D30B2" w:rsidRPr="00A43F68" w:rsidRDefault="003D30B2" w:rsidP="003D30B2">
      <w:pPr>
        <w:jc w:val="center"/>
        <w:outlineLvl w:val="0"/>
        <w:rPr>
          <w:rFonts w:ascii="Arial" w:hAnsi="Arial" w:cs="Arial"/>
          <w:b/>
          <w:caps/>
          <w:kern w:val="2"/>
          <w:lang w:val="en-CA"/>
        </w:rPr>
      </w:pPr>
      <w:r w:rsidRPr="00A43F68">
        <w:rPr>
          <w:rFonts w:ascii="Arial" w:hAnsi="Arial" w:cs="Arial"/>
          <w:b/>
          <w:caps/>
          <w:kern w:val="2"/>
          <w:lang w:val="en-CA"/>
        </w:rPr>
        <w:t xml:space="preserve">Exhibit </w:t>
      </w:r>
      <w:r w:rsidR="00DE3D2F" w:rsidRPr="00A43F68">
        <w:rPr>
          <w:rFonts w:ascii="Arial" w:hAnsi="Arial" w:cs="Arial"/>
          <w:b/>
          <w:caps/>
          <w:kern w:val="2"/>
          <w:lang w:val="en-CA"/>
        </w:rPr>
        <w:t>7</w:t>
      </w:r>
      <w:r w:rsidRPr="00A43F68">
        <w:rPr>
          <w:rFonts w:ascii="Arial" w:hAnsi="Arial" w:cs="Arial"/>
          <w:b/>
          <w:caps/>
          <w:kern w:val="2"/>
          <w:lang w:val="en-CA"/>
        </w:rPr>
        <w:t>: Australia seafood export values by STATES IN 2015</w:t>
      </w:r>
      <w:r w:rsidR="0021644F" w:rsidRPr="00A43F68">
        <w:rPr>
          <w:lang w:val="en-CA"/>
        </w:rPr>
        <w:t>–</w:t>
      </w:r>
      <w:r w:rsidRPr="00A43F68">
        <w:rPr>
          <w:rFonts w:ascii="Arial" w:hAnsi="Arial" w:cs="Arial"/>
          <w:b/>
          <w:caps/>
          <w:kern w:val="2"/>
          <w:lang w:val="en-CA"/>
        </w:rPr>
        <w:t xml:space="preserve">2016 (million A$) </w:t>
      </w:r>
    </w:p>
    <w:p w14:paraId="367F5A58" w14:textId="53C0472E" w:rsidR="003D30B2" w:rsidRPr="00A43F68" w:rsidRDefault="003D30B2" w:rsidP="002955A0">
      <w:pPr>
        <w:pStyle w:val="ExhibitText"/>
        <w:rPr>
          <w:sz w:val="14"/>
          <w:szCs w:val="14"/>
          <w:lang w:val="en-CA"/>
        </w:rPr>
      </w:pPr>
    </w:p>
    <w:tbl>
      <w:tblPr>
        <w:tblStyle w:val="TableGrid"/>
        <w:tblW w:w="0" w:type="auto"/>
        <w:jc w:val="center"/>
        <w:tblLook w:val="04A0" w:firstRow="1" w:lastRow="0" w:firstColumn="1" w:lastColumn="0" w:noHBand="0" w:noVBand="1"/>
      </w:tblPr>
      <w:tblGrid>
        <w:gridCol w:w="2961"/>
        <w:gridCol w:w="1350"/>
        <w:gridCol w:w="1260"/>
        <w:gridCol w:w="1620"/>
        <w:gridCol w:w="1489"/>
      </w:tblGrid>
      <w:tr w:rsidR="003D30B2" w:rsidRPr="00A43F68" w14:paraId="1F750B5D" w14:textId="00251112" w:rsidTr="00EB600D">
        <w:trPr>
          <w:trHeight w:val="404"/>
          <w:jc w:val="center"/>
        </w:trPr>
        <w:tc>
          <w:tcPr>
            <w:tcW w:w="2961" w:type="dxa"/>
            <w:vAlign w:val="center"/>
          </w:tcPr>
          <w:p w14:paraId="3F6485C9" w14:textId="32FFE5C0" w:rsidR="003D30B2" w:rsidRPr="00A43F68" w:rsidRDefault="003D30B2" w:rsidP="003D30B2">
            <w:pPr>
              <w:pStyle w:val="ExhibitText"/>
              <w:jc w:val="left"/>
              <w:rPr>
                <w:b/>
                <w:sz w:val="19"/>
                <w:szCs w:val="19"/>
                <w:lang w:val="en-CA"/>
              </w:rPr>
            </w:pPr>
            <w:r w:rsidRPr="00A43F68">
              <w:rPr>
                <w:b/>
                <w:sz w:val="19"/>
                <w:szCs w:val="19"/>
                <w:lang w:val="en-CA"/>
              </w:rPr>
              <w:t>State</w:t>
            </w:r>
          </w:p>
        </w:tc>
        <w:tc>
          <w:tcPr>
            <w:tcW w:w="1350" w:type="dxa"/>
            <w:vAlign w:val="center"/>
          </w:tcPr>
          <w:p w14:paraId="0E6D50FB" w14:textId="3C565E60" w:rsidR="003D30B2" w:rsidRPr="00A43F68" w:rsidRDefault="003D30B2" w:rsidP="003D30B2">
            <w:pPr>
              <w:pStyle w:val="ExhibitText"/>
              <w:jc w:val="center"/>
              <w:rPr>
                <w:b/>
                <w:caps/>
                <w:kern w:val="2"/>
                <w:sz w:val="19"/>
                <w:szCs w:val="19"/>
                <w:lang w:val="en-CA"/>
              </w:rPr>
            </w:pPr>
            <w:r w:rsidRPr="00A43F68">
              <w:rPr>
                <w:b/>
                <w:kern w:val="2"/>
                <w:sz w:val="19"/>
                <w:szCs w:val="19"/>
                <w:lang w:val="en-CA"/>
              </w:rPr>
              <w:t>Salmonids</w:t>
            </w:r>
          </w:p>
        </w:tc>
        <w:tc>
          <w:tcPr>
            <w:tcW w:w="1260" w:type="dxa"/>
            <w:vAlign w:val="center"/>
          </w:tcPr>
          <w:p w14:paraId="12C86250" w14:textId="1B38DC24" w:rsidR="003D30B2" w:rsidRPr="00A43F68" w:rsidRDefault="003D30B2" w:rsidP="003D30B2">
            <w:pPr>
              <w:pStyle w:val="ExhibitText"/>
              <w:jc w:val="center"/>
              <w:rPr>
                <w:b/>
                <w:caps/>
                <w:kern w:val="2"/>
                <w:sz w:val="19"/>
                <w:szCs w:val="19"/>
                <w:lang w:val="en-CA"/>
              </w:rPr>
            </w:pPr>
            <w:r w:rsidRPr="00A43F68">
              <w:rPr>
                <w:b/>
                <w:kern w:val="2"/>
                <w:sz w:val="19"/>
                <w:szCs w:val="19"/>
                <w:lang w:val="en-CA"/>
              </w:rPr>
              <w:t xml:space="preserve">Other </w:t>
            </w:r>
            <w:r w:rsidR="000F35AD" w:rsidRPr="00A43F68">
              <w:rPr>
                <w:b/>
                <w:kern w:val="2"/>
                <w:sz w:val="19"/>
                <w:szCs w:val="19"/>
                <w:lang w:val="en-CA"/>
              </w:rPr>
              <w:t>fish</w:t>
            </w:r>
          </w:p>
        </w:tc>
        <w:tc>
          <w:tcPr>
            <w:tcW w:w="1620" w:type="dxa"/>
            <w:vAlign w:val="center"/>
          </w:tcPr>
          <w:p w14:paraId="2C704239" w14:textId="6F62200D" w:rsidR="003D30B2" w:rsidRPr="00A43F68" w:rsidRDefault="003D30B2" w:rsidP="003D30B2">
            <w:pPr>
              <w:pStyle w:val="ExhibitText"/>
              <w:jc w:val="center"/>
              <w:rPr>
                <w:b/>
                <w:caps/>
                <w:kern w:val="2"/>
                <w:sz w:val="19"/>
                <w:szCs w:val="19"/>
                <w:lang w:val="en-CA"/>
              </w:rPr>
            </w:pPr>
            <w:r w:rsidRPr="00A43F68">
              <w:rPr>
                <w:b/>
                <w:kern w:val="2"/>
                <w:sz w:val="19"/>
                <w:szCs w:val="19"/>
                <w:lang w:val="en-CA"/>
              </w:rPr>
              <w:t xml:space="preserve">Crustaceans </w:t>
            </w:r>
            <w:r w:rsidR="000F35AD" w:rsidRPr="00A43F68">
              <w:rPr>
                <w:b/>
                <w:kern w:val="2"/>
                <w:sz w:val="19"/>
                <w:szCs w:val="19"/>
                <w:lang w:val="en-CA"/>
              </w:rPr>
              <w:t>and molluscs</w:t>
            </w:r>
          </w:p>
        </w:tc>
        <w:tc>
          <w:tcPr>
            <w:tcW w:w="1489" w:type="dxa"/>
          </w:tcPr>
          <w:p w14:paraId="290CA1ED" w14:textId="6A0AC450" w:rsidR="003D30B2" w:rsidRPr="00A43F68" w:rsidRDefault="003D30B2" w:rsidP="003D30B2">
            <w:pPr>
              <w:pStyle w:val="ExhibitText"/>
              <w:jc w:val="center"/>
              <w:rPr>
                <w:b/>
                <w:kern w:val="2"/>
                <w:sz w:val="19"/>
                <w:szCs w:val="19"/>
                <w:lang w:val="en-CA"/>
              </w:rPr>
            </w:pPr>
            <w:r w:rsidRPr="00A43F68">
              <w:rPr>
                <w:b/>
                <w:kern w:val="2"/>
                <w:sz w:val="19"/>
                <w:szCs w:val="19"/>
                <w:lang w:val="en-CA"/>
              </w:rPr>
              <w:t xml:space="preserve">Total </w:t>
            </w:r>
            <w:r w:rsidR="000F35AD" w:rsidRPr="00A43F68">
              <w:rPr>
                <w:b/>
                <w:kern w:val="2"/>
                <w:sz w:val="19"/>
                <w:szCs w:val="19"/>
                <w:lang w:val="en-CA"/>
              </w:rPr>
              <w:t>exports of seafood</w:t>
            </w:r>
          </w:p>
        </w:tc>
      </w:tr>
      <w:tr w:rsidR="003D30B2" w:rsidRPr="00A43F68" w14:paraId="2F4071A8" w14:textId="64ACD863" w:rsidTr="00EB600D">
        <w:trPr>
          <w:trHeight w:val="107"/>
          <w:jc w:val="center"/>
        </w:trPr>
        <w:tc>
          <w:tcPr>
            <w:tcW w:w="2961" w:type="dxa"/>
            <w:vAlign w:val="center"/>
          </w:tcPr>
          <w:p w14:paraId="6841B9C9" w14:textId="3812ED69" w:rsidR="003D30B2" w:rsidRPr="00A43F68" w:rsidRDefault="003D30B2" w:rsidP="003D30B2">
            <w:pPr>
              <w:pStyle w:val="ExhibitText"/>
              <w:jc w:val="left"/>
              <w:rPr>
                <w:b/>
                <w:caps/>
                <w:kern w:val="2"/>
                <w:sz w:val="19"/>
                <w:szCs w:val="19"/>
                <w:lang w:val="en-CA"/>
              </w:rPr>
            </w:pPr>
            <w:r w:rsidRPr="00A43F68">
              <w:rPr>
                <w:b/>
                <w:kern w:val="2"/>
                <w:sz w:val="19"/>
                <w:szCs w:val="19"/>
                <w:lang w:val="en-CA"/>
              </w:rPr>
              <w:t>New South Wales</w:t>
            </w:r>
          </w:p>
        </w:tc>
        <w:tc>
          <w:tcPr>
            <w:tcW w:w="1350" w:type="dxa"/>
            <w:vAlign w:val="center"/>
          </w:tcPr>
          <w:p w14:paraId="3C814D67" w14:textId="5F35AA1F" w:rsidR="003D30B2" w:rsidRPr="00A43F68" w:rsidRDefault="003D30B2" w:rsidP="003D30B2">
            <w:pPr>
              <w:pStyle w:val="ExhibitText"/>
              <w:jc w:val="right"/>
              <w:rPr>
                <w:caps/>
                <w:kern w:val="2"/>
                <w:sz w:val="19"/>
                <w:szCs w:val="19"/>
                <w:lang w:val="en-CA"/>
              </w:rPr>
            </w:pPr>
            <w:r w:rsidRPr="00A43F68">
              <w:rPr>
                <w:caps/>
                <w:kern w:val="2"/>
                <w:sz w:val="19"/>
                <w:szCs w:val="19"/>
                <w:lang w:val="en-CA"/>
              </w:rPr>
              <w:t>0.2</w:t>
            </w:r>
          </w:p>
        </w:tc>
        <w:tc>
          <w:tcPr>
            <w:tcW w:w="1260" w:type="dxa"/>
            <w:vAlign w:val="center"/>
          </w:tcPr>
          <w:p w14:paraId="47834C26" w14:textId="28CC478C" w:rsidR="003D30B2" w:rsidRPr="00A43F68" w:rsidRDefault="003D30B2" w:rsidP="003D30B2">
            <w:pPr>
              <w:pStyle w:val="ExhibitText"/>
              <w:jc w:val="right"/>
              <w:rPr>
                <w:caps/>
                <w:kern w:val="2"/>
                <w:sz w:val="19"/>
                <w:szCs w:val="19"/>
                <w:lang w:val="en-CA"/>
              </w:rPr>
            </w:pPr>
            <w:r w:rsidRPr="00A43F68">
              <w:rPr>
                <w:caps/>
                <w:kern w:val="2"/>
                <w:sz w:val="19"/>
                <w:szCs w:val="19"/>
                <w:lang w:val="en-CA"/>
              </w:rPr>
              <w:t>16.3</w:t>
            </w:r>
          </w:p>
        </w:tc>
        <w:tc>
          <w:tcPr>
            <w:tcW w:w="1620" w:type="dxa"/>
            <w:vAlign w:val="center"/>
          </w:tcPr>
          <w:p w14:paraId="130D1E95" w14:textId="3FE188FF" w:rsidR="003D30B2" w:rsidRPr="00A43F68" w:rsidRDefault="003D30B2" w:rsidP="003D30B2">
            <w:pPr>
              <w:pStyle w:val="ExhibitText"/>
              <w:jc w:val="right"/>
              <w:rPr>
                <w:caps/>
                <w:kern w:val="2"/>
                <w:sz w:val="19"/>
                <w:szCs w:val="19"/>
                <w:lang w:val="en-CA"/>
              </w:rPr>
            </w:pPr>
            <w:r w:rsidRPr="00A43F68">
              <w:rPr>
                <w:caps/>
                <w:kern w:val="2"/>
                <w:sz w:val="19"/>
                <w:szCs w:val="19"/>
                <w:lang w:val="en-CA"/>
              </w:rPr>
              <w:t>6.7</w:t>
            </w:r>
          </w:p>
        </w:tc>
        <w:tc>
          <w:tcPr>
            <w:tcW w:w="1489" w:type="dxa"/>
            <w:vAlign w:val="center"/>
          </w:tcPr>
          <w:p w14:paraId="55F64DA4" w14:textId="0B5B9C64" w:rsidR="003D30B2" w:rsidRPr="00A43F68" w:rsidRDefault="003D30B2" w:rsidP="003D30B2">
            <w:pPr>
              <w:pStyle w:val="ExhibitText"/>
              <w:jc w:val="right"/>
              <w:rPr>
                <w:caps/>
                <w:kern w:val="2"/>
                <w:sz w:val="19"/>
                <w:szCs w:val="19"/>
                <w:lang w:val="en-CA"/>
              </w:rPr>
            </w:pPr>
            <w:r w:rsidRPr="00A43F68">
              <w:rPr>
                <w:caps/>
                <w:kern w:val="2"/>
                <w:sz w:val="19"/>
                <w:szCs w:val="19"/>
                <w:lang w:val="en-CA"/>
              </w:rPr>
              <w:t>23.</w:t>
            </w:r>
            <w:r w:rsidR="00DC4821" w:rsidRPr="00A43F68">
              <w:rPr>
                <w:caps/>
                <w:kern w:val="2"/>
                <w:sz w:val="19"/>
                <w:szCs w:val="19"/>
                <w:lang w:val="en-CA"/>
              </w:rPr>
              <w:t>2</w:t>
            </w:r>
          </w:p>
        </w:tc>
      </w:tr>
      <w:tr w:rsidR="003D30B2" w:rsidRPr="00A43F68" w14:paraId="42384DA8" w14:textId="650D7A32" w:rsidTr="00EB600D">
        <w:trPr>
          <w:trHeight w:val="134"/>
          <w:jc w:val="center"/>
        </w:trPr>
        <w:tc>
          <w:tcPr>
            <w:tcW w:w="2961" w:type="dxa"/>
            <w:vAlign w:val="center"/>
          </w:tcPr>
          <w:p w14:paraId="56550149" w14:textId="038DE1FC" w:rsidR="003D30B2" w:rsidRPr="00A43F68" w:rsidRDefault="003D30B2" w:rsidP="003D30B2">
            <w:pPr>
              <w:pStyle w:val="ExhibitText"/>
              <w:jc w:val="left"/>
              <w:rPr>
                <w:b/>
                <w:caps/>
                <w:kern w:val="2"/>
                <w:sz w:val="19"/>
                <w:szCs w:val="19"/>
                <w:lang w:val="en-CA"/>
              </w:rPr>
            </w:pPr>
            <w:r w:rsidRPr="00A43F68">
              <w:rPr>
                <w:b/>
                <w:kern w:val="2"/>
                <w:sz w:val="19"/>
                <w:szCs w:val="19"/>
                <w:lang w:val="en-CA"/>
              </w:rPr>
              <w:t>Victoria</w:t>
            </w:r>
          </w:p>
        </w:tc>
        <w:tc>
          <w:tcPr>
            <w:tcW w:w="1350" w:type="dxa"/>
            <w:vAlign w:val="center"/>
          </w:tcPr>
          <w:p w14:paraId="161F43C2" w14:textId="2AE3F54B" w:rsidR="003D30B2" w:rsidRPr="00A43F68" w:rsidRDefault="003D30B2" w:rsidP="003D30B2">
            <w:pPr>
              <w:pStyle w:val="ExhibitText"/>
              <w:jc w:val="right"/>
              <w:rPr>
                <w:caps/>
                <w:kern w:val="2"/>
                <w:sz w:val="19"/>
                <w:szCs w:val="19"/>
                <w:lang w:val="en-CA"/>
              </w:rPr>
            </w:pPr>
            <w:r w:rsidRPr="00A43F68">
              <w:rPr>
                <w:caps/>
                <w:kern w:val="2"/>
                <w:sz w:val="19"/>
                <w:szCs w:val="19"/>
                <w:lang w:val="en-CA"/>
              </w:rPr>
              <w:t>2.4</w:t>
            </w:r>
          </w:p>
        </w:tc>
        <w:tc>
          <w:tcPr>
            <w:tcW w:w="1260" w:type="dxa"/>
            <w:vAlign w:val="center"/>
          </w:tcPr>
          <w:p w14:paraId="48773514" w14:textId="0645F5FF" w:rsidR="003D30B2" w:rsidRPr="00A43F68" w:rsidRDefault="003D30B2" w:rsidP="003D30B2">
            <w:pPr>
              <w:pStyle w:val="ExhibitText"/>
              <w:jc w:val="right"/>
              <w:rPr>
                <w:caps/>
                <w:kern w:val="2"/>
                <w:sz w:val="19"/>
                <w:szCs w:val="19"/>
                <w:lang w:val="en-CA"/>
              </w:rPr>
            </w:pPr>
            <w:r w:rsidRPr="00A43F68">
              <w:rPr>
                <w:caps/>
                <w:kern w:val="2"/>
                <w:sz w:val="19"/>
                <w:szCs w:val="19"/>
                <w:lang w:val="en-CA"/>
              </w:rPr>
              <w:t>18.9</w:t>
            </w:r>
          </w:p>
        </w:tc>
        <w:tc>
          <w:tcPr>
            <w:tcW w:w="1620" w:type="dxa"/>
            <w:vAlign w:val="center"/>
          </w:tcPr>
          <w:p w14:paraId="203C24AC" w14:textId="44FAF082" w:rsidR="003D30B2" w:rsidRPr="00A43F68" w:rsidRDefault="003D30B2" w:rsidP="003D30B2">
            <w:pPr>
              <w:pStyle w:val="ExhibitText"/>
              <w:jc w:val="right"/>
              <w:rPr>
                <w:caps/>
                <w:kern w:val="2"/>
                <w:sz w:val="19"/>
                <w:szCs w:val="19"/>
                <w:lang w:val="en-CA"/>
              </w:rPr>
            </w:pPr>
            <w:r w:rsidRPr="00A43F68">
              <w:rPr>
                <w:caps/>
                <w:kern w:val="2"/>
                <w:sz w:val="19"/>
                <w:szCs w:val="19"/>
                <w:lang w:val="en-CA"/>
              </w:rPr>
              <w:t>171.3</w:t>
            </w:r>
          </w:p>
        </w:tc>
        <w:tc>
          <w:tcPr>
            <w:tcW w:w="1489" w:type="dxa"/>
            <w:vAlign w:val="center"/>
          </w:tcPr>
          <w:p w14:paraId="5115C666" w14:textId="548B54E9" w:rsidR="003D30B2" w:rsidRPr="00A43F68" w:rsidRDefault="003D30B2" w:rsidP="003D30B2">
            <w:pPr>
              <w:pStyle w:val="ExhibitText"/>
              <w:jc w:val="right"/>
              <w:rPr>
                <w:caps/>
                <w:kern w:val="2"/>
                <w:sz w:val="19"/>
                <w:szCs w:val="19"/>
                <w:lang w:val="en-CA"/>
              </w:rPr>
            </w:pPr>
            <w:r w:rsidRPr="00A43F68">
              <w:rPr>
                <w:caps/>
                <w:kern w:val="2"/>
                <w:sz w:val="19"/>
                <w:szCs w:val="19"/>
                <w:lang w:val="en-CA"/>
              </w:rPr>
              <w:t>192.</w:t>
            </w:r>
            <w:r w:rsidR="00DC4821" w:rsidRPr="00A43F68">
              <w:rPr>
                <w:caps/>
                <w:kern w:val="2"/>
                <w:sz w:val="19"/>
                <w:szCs w:val="19"/>
                <w:lang w:val="en-CA"/>
              </w:rPr>
              <w:t>6</w:t>
            </w:r>
          </w:p>
        </w:tc>
      </w:tr>
      <w:tr w:rsidR="003D30B2" w:rsidRPr="00A43F68" w14:paraId="2D6B88E6" w14:textId="4B692905" w:rsidTr="00EB600D">
        <w:trPr>
          <w:trHeight w:val="71"/>
          <w:jc w:val="center"/>
        </w:trPr>
        <w:tc>
          <w:tcPr>
            <w:tcW w:w="2961" w:type="dxa"/>
            <w:vAlign w:val="center"/>
          </w:tcPr>
          <w:p w14:paraId="050802B9" w14:textId="61F462D5" w:rsidR="003D30B2" w:rsidRPr="00A43F68" w:rsidRDefault="003D30B2" w:rsidP="003D30B2">
            <w:pPr>
              <w:pStyle w:val="ExhibitText"/>
              <w:jc w:val="left"/>
              <w:rPr>
                <w:b/>
                <w:caps/>
                <w:kern w:val="2"/>
                <w:sz w:val="19"/>
                <w:szCs w:val="19"/>
                <w:lang w:val="en-CA"/>
              </w:rPr>
            </w:pPr>
            <w:r w:rsidRPr="00A43F68">
              <w:rPr>
                <w:b/>
                <w:kern w:val="2"/>
                <w:sz w:val="19"/>
                <w:szCs w:val="19"/>
                <w:lang w:val="en-CA"/>
              </w:rPr>
              <w:t>Queensland</w:t>
            </w:r>
          </w:p>
        </w:tc>
        <w:tc>
          <w:tcPr>
            <w:tcW w:w="1350" w:type="dxa"/>
            <w:vAlign w:val="center"/>
          </w:tcPr>
          <w:p w14:paraId="1F5D1AC6" w14:textId="3DDC57C6" w:rsidR="003D30B2" w:rsidRPr="00A43F68" w:rsidRDefault="003D30B2" w:rsidP="003D30B2">
            <w:pPr>
              <w:pStyle w:val="ExhibitText"/>
              <w:jc w:val="right"/>
              <w:rPr>
                <w:caps/>
                <w:kern w:val="2"/>
                <w:sz w:val="19"/>
                <w:szCs w:val="19"/>
                <w:lang w:val="en-CA"/>
              </w:rPr>
            </w:pPr>
            <w:r w:rsidRPr="00A43F68">
              <w:rPr>
                <w:caps/>
                <w:kern w:val="2"/>
                <w:sz w:val="19"/>
                <w:szCs w:val="19"/>
                <w:lang w:val="en-CA"/>
              </w:rPr>
              <w:t>0.2</w:t>
            </w:r>
          </w:p>
        </w:tc>
        <w:tc>
          <w:tcPr>
            <w:tcW w:w="1260" w:type="dxa"/>
            <w:vAlign w:val="center"/>
          </w:tcPr>
          <w:p w14:paraId="51D8CDCF" w14:textId="450D973A" w:rsidR="003D30B2" w:rsidRPr="00A43F68" w:rsidRDefault="003D30B2" w:rsidP="003D30B2">
            <w:pPr>
              <w:pStyle w:val="ExhibitText"/>
              <w:jc w:val="right"/>
              <w:rPr>
                <w:caps/>
                <w:kern w:val="2"/>
                <w:sz w:val="19"/>
                <w:szCs w:val="19"/>
                <w:lang w:val="en-CA"/>
              </w:rPr>
            </w:pPr>
            <w:r w:rsidRPr="00A43F68">
              <w:rPr>
                <w:caps/>
                <w:kern w:val="2"/>
                <w:sz w:val="19"/>
                <w:szCs w:val="19"/>
                <w:lang w:val="en-CA"/>
              </w:rPr>
              <w:t>66.3</w:t>
            </w:r>
          </w:p>
        </w:tc>
        <w:tc>
          <w:tcPr>
            <w:tcW w:w="1620" w:type="dxa"/>
            <w:vAlign w:val="center"/>
          </w:tcPr>
          <w:p w14:paraId="055C5AAA" w14:textId="356F5799" w:rsidR="003D30B2" w:rsidRPr="00A43F68" w:rsidRDefault="003D30B2" w:rsidP="003D30B2">
            <w:pPr>
              <w:pStyle w:val="ExhibitText"/>
              <w:jc w:val="right"/>
              <w:rPr>
                <w:caps/>
                <w:kern w:val="2"/>
                <w:sz w:val="19"/>
                <w:szCs w:val="19"/>
                <w:lang w:val="en-CA"/>
              </w:rPr>
            </w:pPr>
            <w:r w:rsidRPr="00A43F68">
              <w:rPr>
                <w:caps/>
                <w:kern w:val="2"/>
                <w:sz w:val="19"/>
                <w:szCs w:val="19"/>
                <w:lang w:val="en-CA"/>
              </w:rPr>
              <w:t>133.1</w:t>
            </w:r>
          </w:p>
        </w:tc>
        <w:tc>
          <w:tcPr>
            <w:tcW w:w="1489" w:type="dxa"/>
            <w:vAlign w:val="center"/>
          </w:tcPr>
          <w:p w14:paraId="1C578939" w14:textId="0B806605" w:rsidR="003D30B2" w:rsidRPr="00A43F68" w:rsidRDefault="003D30B2" w:rsidP="003D30B2">
            <w:pPr>
              <w:pStyle w:val="ExhibitText"/>
              <w:jc w:val="right"/>
              <w:rPr>
                <w:caps/>
                <w:kern w:val="2"/>
                <w:sz w:val="19"/>
                <w:szCs w:val="19"/>
                <w:lang w:val="en-CA"/>
              </w:rPr>
            </w:pPr>
            <w:r w:rsidRPr="00A43F68">
              <w:rPr>
                <w:caps/>
                <w:kern w:val="2"/>
                <w:sz w:val="19"/>
                <w:szCs w:val="19"/>
                <w:lang w:val="en-CA"/>
              </w:rPr>
              <w:t>199.6</w:t>
            </w:r>
          </w:p>
        </w:tc>
      </w:tr>
      <w:tr w:rsidR="003D30B2" w:rsidRPr="00A43F68" w14:paraId="5D93FDA3" w14:textId="65381277" w:rsidTr="00EB600D">
        <w:trPr>
          <w:trHeight w:val="98"/>
          <w:jc w:val="center"/>
        </w:trPr>
        <w:tc>
          <w:tcPr>
            <w:tcW w:w="2961" w:type="dxa"/>
            <w:vAlign w:val="center"/>
          </w:tcPr>
          <w:p w14:paraId="116FBAE5" w14:textId="175B04C5" w:rsidR="003D30B2" w:rsidRPr="00A43F68" w:rsidRDefault="003D30B2" w:rsidP="003D30B2">
            <w:pPr>
              <w:pStyle w:val="ExhibitText"/>
              <w:jc w:val="left"/>
              <w:rPr>
                <w:b/>
                <w:caps/>
                <w:kern w:val="2"/>
                <w:sz w:val="19"/>
                <w:szCs w:val="19"/>
                <w:lang w:val="en-CA"/>
              </w:rPr>
            </w:pPr>
            <w:r w:rsidRPr="00A43F68">
              <w:rPr>
                <w:b/>
                <w:kern w:val="2"/>
                <w:sz w:val="19"/>
                <w:szCs w:val="19"/>
                <w:lang w:val="en-CA"/>
              </w:rPr>
              <w:t>South Australia</w:t>
            </w:r>
          </w:p>
        </w:tc>
        <w:tc>
          <w:tcPr>
            <w:tcW w:w="1350" w:type="dxa"/>
            <w:vAlign w:val="center"/>
          </w:tcPr>
          <w:p w14:paraId="0661A6C8" w14:textId="57D694B3" w:rsidR="003D30B2" w:rsidRPr="00A43F68" w:rsidRDefault="003D30B2" w:rsidP="003D30B2">
            <w:pPr>
              <w:pStyle w:val="ExhibitText"/>
              <w:jc w:val="right"/>
              <w:rPr>
                <w:caps/>
                <w:kern w:val="2"/>
                <w:sz w:val="19"/>
                <w:szCs w:val="19"/>
                <w:lang w:val="en-CA"/>
              </w:rPr>
            </w:pPr>
            <w:r w:rsidRPr="00A43F68">
              <w:rPr>
                <w:caps/>
                <w:kern w:val="2"/>
                <w:sz w:val="19"/>
                <w:szCs w:val="19"/>
                <w:lang w:val="en-CA"/>
              </w:rPr>
              <w:t>0.8</w:t>
            </w:r>
          </w:p>
        </w:tc>
        <w:tc>
          <w:tcPr>
            <w:tcW w:w="1260" w:type="dxa"/>
            <w:vAlign w:val="center"/>
          </w:tcPr>
          <w:p w14:paraId="6B47F3FC" w14:textId="5E136A6C" w:rsidR="003D30B2" w:rsidRPr="00A43F68" w:rsidRDefault="003D30B2" w:rsidP="003D30B2">
            <w:pPr>
              <w:pStyle w:val="ExhibitText"/>
              <w:jc w:val="right"/>
              <w:rPr>
                <w:caps/>
                <w:kern w:val="2"/>
                <w:sz w:val="19"/>
                <w:szCs w:val="19"/>
                <w:lang w:val="en-CA"/>
              </w:rPr>
            </w:pPr>
            <w:r w:rsidRPr="00A43F68">
              <w:rPr>
                <w:caps/>
                <w:kern w:val="2"/>
                <w:sz w:val="19"/>
                <w:szCs w:val="19"/>
                <w:lang w:val="en-CA"/>
              </w:rPr>
              <w:t>147.4</w:t>
            </w:r>
          </w:p>
        </w:tc>
        <w:tc>
          <w:tcPr>
            <w:tcW w:w="1620" w:type="dxa"/>
            <w:vAlign w:val="center"/>
          </w:tcPr>
          <w:p w14:paraId="426806A1" w14:textId="29E69172" w:rsidR="003D30B2" w:rsidRPr="00A43F68" w:rsidRDefault="003D30B2" w:rsidP="003D30B2">
            <w:pPr>
              <w:pStyle w:val="ExhibitText"/>
              <w:jc w:val="right"/>
              <w:rPr>
                <w:caps/>
                <w:kern w:val="2"/>
                <w:sz w:val="19"/>
                <w:szCs w:val="19"/>
                <w:lang w:val="en-CA"/>
              </w:rPr>
            </w:pPr>
            <w:r w:rsidRPr="00A43F68">
              <w:rPr>
                <w:caps/>
                <w:kern w:val="2"/>
                <w:sz w:val="19"/>
                <w:szCs w:val="19"/>
                <w:lang w:val="en-CA"/>
              </w:rPr>
              <w:t>102.2</w:t>
            </w:r>
          </w:p>
        </w:tc>
        <w:tc>
          <w:tcPr>
            <w:tcW w:w="1489" w:type="dxa"/>
            <w:vAlign w:val="center"/>
          </w:tcPr>
          <w:p w14:paraId="3329595D" w14:textId="00454B69" w:rsidR="003D30B2" w:rsidRPr="00A43F68" w:rsidRDefault="003D30B2" w:rsidP="003D30B2">
            <w:pPr>
              <w:pStyle w:val="ExhibitText"/>
              <w:jc w:val="right"/>
              <w:rPr>
                <w:caps/>
                <w:kern w:val="2"/>
                <w:sz w:val="19"/>
                <w:szCs w:val="19"/>
                <w:lang w:val="en-CA"/>
              </w:rPr>
            </w:pPr>
            <w:r w:rsidRPr="00A43F68">
              <w:rPr>
                <w:caps/>
                <w:kern w:val="2"/>
                <w:sz w:val="19"/>
                <w:szCs w:val="19"/>
                <w:lang w:val="en-CA"/>
              </w:rPr>
              <w:t>250.</w:t>
            </w:r>
            <w:r w:rsidR="00DC4821" w:rsidRPr="00A43F68">
              <w:rPr>
                <w:caps/>
                <w:kern w:val="2"/>
                <w:sz w:val="19"/>
                <w:szCs w:val="19"/>
                <w:lang w:val="en-CA"/>
              </w:rPr>
              <w:t>4</w:t>
            </w:r>
          </w:p>
        </w:tc>
      </w:tr>
      <w:tr w:rsidR="003D30B2" w:rsidRPr="00A43F68" w14:paraId="299C9230" w14:textId="54562178" w:rsidTr="00EB600D">
        <w:trPr>
          <w:trHeight w:val="56"/>
          <w:jc w:val="center"/>
        </w:trPr>
        <w:tc>
          <w:tcPr>
            <w:tcW w:w="2961" w:type="dxa"/>
            <w:vAlign w:val="center"/>
          </w:tcPr>
          <w:p w14:paraId="11763633" w14:textId="45AF295A" w:rsidR="003D30B2" w:rsidRPr="00A43F68" w:rsidRDefault="003D30B2" w:rsidP="003D30B2">
            <w:pPr>
              <w:pStyle w:val="ExhibitText"/>
              <w:jc w:val="left"/>
              <w:rPr>
                <w:b/>
                <w:caps/>
                <w:kern w:val="2"/>
                <w:sz w:val="19"/>
                <w:szCs w:val="19"/>
                <w:lang w:val="en-CA"/>
              </w:rPr>
            </w:pPr>
            <w:r w:rsidRPr="00A43F68">
              <w:rPr>
                <w:b/>
                <w:kern w:val="2"/>
                <w:sz w:val="19"/>
                <w:szCs w:val="19"/>
                <w:lang w:val="en-CA"/>
              </w:rPr>
              <w:t>Western Australia</w:t>
            </w:r>
          </w:p>
        </w:tc>
        <w:tc>
          <w:tcPr>
            <w:tcW w:w="1350" w:type="dxa"/>
            <w:vAlign w:val="center"/>
          </w:tcPr>
          <w:p w14:paraId="7F0A1026" w14:textId="3012EE80" w:rsidR="003D30B2" w:rsidRPr="00A43F68" w:rsidRDefault="003D30B2" w:rsidP="003D30B2">
            <w:pPr>
              <w:pStyle w:val="ExhibitText"/>
              <w:jc w:val="right"/>
              <w:rPr>
                <w:caps/>
                <w:kern w:val="2"/>
                <w:sz w:val="19"/>
                <w:szCs w:val="19"/>
                <w:lang w:val="en-CA"/>
              </w:rPr>
            </w:pPr>
            <w:r w:rsidRPr="00A43F68">
              <w:rPr>
                <w:caps/>
                <w:kern w:val="2"/>
                <w:sz w:val="19"/>
                <w:szCs w:val="19"/>
                <w:lang w:val="en-CA"/>
              </w:rPr>
              <w:t>0.0</w:t>
            </w:r>
          </w:p>
        </w:tc>
        <w:tc>
          <w:tcPr>
            <w:tcW w:w="1260" w:type="dxa"/>
            <w:vAlign w:val="center"/>
          </w:tcPr>
          <w:p w14:paraId="401A88E7" w14:textId="61546C34" w:rsidR="003D30B2" w:rsidRPr="00A43F68" w:rsidRDefault="003D30B2" w:rsidP="003D30B2">
            <w:pPr>
              <w:pStyle w:val="ExhibitText"/>
              <w:jc w:val="right"/>
              <w:rPr>
                <w:caps/>
                <w:kern w:val="2"/>
                <w:sz w:val="19"/>
                <w:szCs w:val="19"/>
                <w:lang w:val="en-CA"/>
              </w:rPr>
            </w:pPr>
            <w:r w:rsidRPr="00A43F68">
              <w:rPr>
                <w:caps/>
                <w:kern w:val="2"/>
                <w:sz w:val="19"/>
                <w:szCs w:val="19"/>
                <w:lang w:val="en-CA"/>
              </w:rPr>
              <w:t>8.0</w:t>
            </w:r>
          </w:p>
        </w:tc>
        <w:tc>
          <w:tcPr>
            <w:tcW w:w="1620" w:type="dxa"/>
            <w:vAlign w:val="center"/>
          </w:tcPr>
          <w:p w14:paraId="5502CC93" w14:textId="7EC80092" w:rsidR="003D30B2" w:rsidRPr="00A43F68" w:rsidRDefault="003D30B2" w:rsidP="003D30B2">
            <w:pPr>
              <w:pStyle w:val="ExhibitText"/>
              <w:jc w:val="right"/>
              <w:rPr>
                <w:caps/>
                <w:kern w:val="2"/>
                <w:sz w:val="19"/>
                <w:szCs w:val="19"/>
                <w:lang w:val="en-CA"/>
              </w:rPr>
            </w:pPr>
            <w:r w:rsidRPr="00A43F68">
              <w:rPr>
                <w:caps/>
                <w:kern w:val="2"/>
                <w:sz w:val="19"/>
                <w:szCs w:val="19"/>
                <w:lang w:val="en-CA"/>
              </w:rPr>
              <w:t>496.8</w:t>
            </w:r>
          </w:p>
        </w:tc>
        <w:tc>
          <w:tcPr>
            <w:tcW w:w="1489" w:type="dxa"/>
            <w:vAlign w:val="center"/>
          </w:tcPr>
          <w:p w14:paraId="074EECE3" w14:textId="7D6AA9AC" w:rsidR="003D30B2" w:rsidRPr="00A43F68" w:rsidRDefault="003D30B2" w:rsidP="003D30B2">
            <w:pPr>
              <w:pStyle w:val="ExhibitText"/>
              <w:jc w:val="right"/>
              <w:rPr>
                <w:caps/>
                <w:kern w:val="2"/>
                <w:sz w:val="19"/>
                <w:szCs w:val="19"/>
                <w:lang w:val="en-CA"/>
              </w:rPr>
            </w:pPr>
            <w:r w:rsidRPr="00A43F68">
              <w:rPr>
                <w:caps/>
                <w:kern w:val="2"/>
                <w:sz w:val="19"/>
                <w:szCs w:val="19"/>
                <w:lang w:val="en-CA"/>
              </w:rPr>
              <w:t>504.</w:t>
            </w:r>
            <w:r w:rsidR="00DC4821" w:rsidRPr="00A43F68">
              <w:rPr>
                <w:caps/>
                <w:kern w:val="2"/>
                <w:sz w:val="19"/>
                <w:szCs w:val="19"/>
                <w:lang w:val="en-CA"/>
              </w:rPr>
              <w:t>8</w:t>
            </w:r>
          </w:p>
        </w:tc>
      </w:tr>
      <w:tr w:rsidR="003D30B2" w:rsidRPr="00A43F68" w14:paraId="407DB164" w14:textId="79E27057" w:rsidTr="00EB600D">
        <w:trPr>
          <w:trHeight w:val="80"/>
          <w:jc w:val="center"/>
        </w:trPr>
        <w:tc>
          <w:tcPr>
            <w:tcW w:w="2961" w:type="dxa"/>
            <w:vAlign w:val="center"/>
          </w:tcPr>
          <w:p w14:paraId="76A0F67A" w14:textId="7D2B7274" w:rsidR="003D30B2" w:rsidRPr="00A43F68" w:rsidRDefault="003D30B2" w:rsidP="003D30B2">
            <w:pPr>
              <w:pStyle w:val="ExhibitText"/>
              <w:jc w:val="left"/>
              <w:rPr>
                <w:b/>
                <w:caps/>
                <w:kern w:val="2"/>
                <w:sz w:val="19"/>
                <w:szCs w:val="19"/>
                <w:lang w:val="en-CA"/>
              </w:rPr>
            </w:pPr>
            <w:r w:rsidRPr="00A43F68">
              <w:rPr>
                <w:b/>
                <w:kern w:val="2"/>
                <w:sz w:val="19"/>
                <w:szCs w:val="19"/>
                <w:lang w:val="en-CA"/>
              </w:rPr>
              <w:t>Tasmania</w:t>
            </w:r>
          </w:p>
        </w:tc>
        <w:tc>
          <w:tcPr>
            <w:tcW w:w="1350" w:type="dxa"/>
            <w:vAlign w:val="center"/>
          </w:tcPr>
          <w:p w14:paraId="181CAB9F" w14:textId="5718DA4E" w:rsidR="003D30B2" w:rsidRPr="00A43F68" w:rsidRDefault="003D30B2" w:rsidP="003D30B2">
            <w:pPr>
              <w:pStyle w:val="ExhibitText"/>
              <w:jc w:val="right"/>
              <w:rPr>
                <w:caps/>
                <w:kern w:val="2"/>
                <w:sz w:val="19"/>
                <w:szCs w:val="19"/>
                <w:lang w:val="en-CA"/>
              </w:rPr>
            </w:pPr>
            <w:r w:rsidRPr="00A43F68">
              <w:rPr>
                <w:caps/>
                <w:kern w:val="2"/>
                <w:sz w:val="19"/>
                <w:szCs w:val="19"/>
                <w:lang w:val="en-CA"/>
              </w:rPr>
              <w:t>74.8</w:t>
            </w:r>
          </w:p>
        </w:tc>
        <w:tc>
          <w:tcPr>
            <w:tcW w:w="1260" w:type="dxa"/>
            <w:vAlign w:val="center"/>
          </w:tcPr>
          <w:p w14:paraId="1EF0ABA2" w14:textId="6F7BBD4C" w:rsidR="003D30B2" w:rsidRPr="00A43F68" w:rsidRDefault="003D30B2" w:rsidP="003D30B2">
            <w:pPr>
              <w:pStyle w:val="ExhibitText"/>
              <w:jc w:val="right"/>
              <w:rPr>
                <w:caps/>
                <w:kern w:val="2"/>
                <w:sz w:val="19"/>
                <w:szCs w:val="19"/>
                <w:lang w:val="en-CA"/>
              </w:rPr>
            </w:pPr>
            <w:r w:rsidRPr="00A43F68">
              <w:rPr>
                <w:caps/>
                <w:kern w:val="2"/>
                <w:sz w:val="19"/>
                <w:szCs w:val="19"/>
                <w:lang w:val="en-CA"/>
              </w:rPr>
              <w:t>6.4</w:t>
            </w:r>
          </w:p>
        </w:tc>
        <w:tc>
          <w:tcPr>
            <w:tcW w:w="1620" w:type="dxa"/>
            <w:vAlign w:val="center"/>
          </w:tcPr>
          <w:p w14:paraId="11F53A86" w14:textId="7919FA14" w:rsidR="003D30B2" w:rsidRPr="00A43F68" w:rsidRDefault="003D30B2" w:rsidP="003D30B2">
            <w:pPr>
              <w:pStyle w:val="ExhibitText"/>
              <w:jc w:val="right"/>
              <w:rPr>
                <w:caps/>
                <w:kern w:val="2"/>
                <w:sz w:val="19"/>
                <w:szCs w:val="19"/>
                <w:lang w:val="en-CA"/>
              </w:rPr>
            </w:pPr>
            <w:r w:rsidRPr="00A43F68">
              <w:rPr>
                <w:caps/>
                <w:kern w:val="2"/>
                <w:sz w:val="19"/>
                <w:szCs w:val="19"/>
                <w:lang w:val="en-CA"/>
              </w:rPr>
              <w:t>105.6</w:t>
            </w:r>
          </w:p>
        </w:tc>
        <w:tc>
          <w:tcPr>
            <w:tcW w:w="1489" w:type="dxa"/>
            <w:vAlign w:val="center"/>
          </w:tcPr>
          <w:p w14:paraId="7EFCBC6D" w14:textId="7FFC23F8" w:rsidR="003D30B2" w:rsidRPr="00A43F68" w:rsidRDefault="003D30B2" w:rsidP="003D30B2">
            <w:pPr>
              <w:pStyle w:val="ExhibitText"/>
              <w:jc w:val="right"/>
              <w:rPr>
                <w:caps/>
                <w:kern w:val="2"/>
                <w:sz w:val="19"/>
                <w:szCs w:val="19"/>
                <w:lang w:val="en-CA"/>
              </w:rPr>
            </w:pPr>
            <w:r w:rsidRPr="00A43F68">
              <w:rPr>
                <w:caps/>
                <w:kern w:val="2"/>
                <w:sz w:val="19"/>
                <w:szCs w:val="19"/>
                <w:lang w:val="en-CA"/>
              </w:rPr>
              <w:t>186.</w:t>
            </w:r>
            <w:r w:rsidR="00DC4821" w:rsidRPr="00A43F68">
              <w:rPr>
                <w:caps/>
                <w:kern w:val="2"/>
                <w:sz w:val="19"/>
                <w:szCs w:val="19"/>
                <w:lang w:val="en-CA"/>
              </w:rPr>
              <w:t>8</w:t>
            </w:r>
          </w:p>
        </w:tc>
      </w:tr>
      <w:tr w:rsidR="003D30B2" w:rsidRPr="00A43F68" w14:paraId="29843AB1" w14:textId="40D5A77F" w:rsidTr="00EB600D">
        <w:trPr>
          <w:trHeight w:val="56"/>
          <w:jc w:val="center"/>
        </w:trPr>
        <w:tc>
          <w:tcPr>
            <w:tcW w:w="2961" w:type="dxa"/>
            <w:vAlign w:val="center"/>
          </w:tcPr>
          <w:p w14:paraId="310B2411" w14:textId="5E63AFD2" w:rsidR="003D30B2" w:rsidRPr="00A43F68" w:rsidRDefault="003D30B2" w:rsidP="003D30B2">
            <w:pPr>
              <w:pStyle w:val="ExhibitText"/>
              <w:jc w:val="left"/>
              <w:rPr>
                <w:b/>
                <w:caps/>
                <w:kern w:val="2"/>
                <w:sz w:val="19"/>
                <w:szCs w:val="19"/>
                <w:lang w:val="en-CA"/>
              </w:rPr>
            </w:pPr>
            <w:r w:rsidRPr="00A43F68">
              <w:rPr>
                <w:b/>
                <w:kern w:val="2"/>
                <w:sz w:val="19"/>
                <w:szCs w:val="19"/>
                <w:lang w:val="en-CA"/>
              </w:rPr>
              <w:t>Northern Territory</w:t>
            </w:r>
          </w:p>
        </w:tc>
        <w:tc>
          <w:tcPr>
            <w:tcW w:w="1350" w:type="dxa"/>
            <w:vAlign w:val="center"/>
          </w:tcPr>
          <w:p w14:paraId="137378BE" w14:textId="152DA378" w:rsidR="003D30B2" w:rsidRPr="00A43F68" w:rsidRDefault="003D30B2" w:rsidP="003D30B2">
            <w:pPr>
              <w:pStyle w:val="ExhibitText"/>
              <w:jc w:val="right"/>
              <w:rPr>
                <w:caps/>
                <w:kern w:val="2"/>
                <w:sz w:val="19"/>
                <w:szCs w:val="19"/>
                <w:lang w:val="en-CA"/>
              </w:rPr>
            </w:pPr>
            <w:r w:rsidRPr="00A43F68">
              <w:rPr>
                <w:caps/>
                <w:kern w:val="2"/>
                <w:sz w:val="19"/>
                <w:szCs w:val="19"/>
                <w:lang w:val="en-CA"/>
              </w:rPr>
              <w:t>0.0</w:t>
            </w:r>
          </w:p>
        </w:tc>
        <w:tc>
          <w:tcPr>
            <w:tcW w:w="1260" w:type="dxa"/>
            <w:vAlign w:val="center"/>
          </w:tcPr>
          <w:p w14:paraId="4FEBDF53" w14:textId="12E4F2CF" w:rsidR="003D30B2" w:rsidRPr="00A43F68" w:rsidRDefault="003D30B2" w:rsidP="003D30B2">
            <w:pPr>
              <w:pStyle w:val="ExhibitText"/>
              <w:jc w:val="right"/>
              <w:rPr>
                <w:caps/>
                <w:kern w:val="2"/>
                <w:sz w:val="19"/>
                <w:szCs w:val="19"/>
                <w:lang w:val="en-CA"/>
              </w:rPr>
            </w:pPr>
            <w:r w:rsidRPr="00A43F68">
              <w:rPr>
                <w:caps/>
                <w:kern w:val="2"/>
                <w:sz w:val="19"/>
                <w:szCs w:val="19"/>
                <w:lang w:val="en-CA"/>
              </w:rPr>
              <w:t>0.0</w:t>
            </w:r>
          </w:p>
        </w:tc>
        <w:tc>
          <w:tcPr>
            <w:tcW w:w="1620" w:type="dxa"/>
            <w:vAlign w:val="center"/>
          </w:tcPr>
          <w:p w14:paraId="26E345E0" w14:textId="7443BC39" w:rsidR="003D30B2" w:rsidRPr="00A43F68" w:rsidRDefault="003D30B2" w:rsidP="003D30B2">
            <w:pPr>
              <w:pStyle w:val="ExhibitText"/>
              <w:jc w:val="right"/>
              <w:rPr>
                <w:caps/>
                <w:kern w:val="2"/>
                <w:sz w:val="19"/>
                <w:szCs w:val="19"/>
                <w:lang w:val="en-CA"/>
              </w:rPr>
            </w:pPr>
            <w:r w:rsidRPr="00A43F68">
              <w:rPr>
                <w:caps/>
                <w:kern w:val="2"/>
                <w:sz w:val="19"/>
                <w:szCs w:val="19"/>
                <w:lang w:val="en-CA"/>
              </w:rPr>
              <w:t>0.2</w:t>
            </w:r>
          </w:p>
        </w:tc>
        <w:tc>
          <w:tcPr>
            <w:tcW w:w="1489" w:type="dxa"/>
            <w:vAlign w:val="center"/>
          </w:tcPr>
          <w:p w14:paraId="5F877D64" w14:textId="6598CC6B" w:rsidR="003D30B2" w:rsidRPr="00A43F68" w:rsidRDefault="003D30B2" w:rsidP="003D30B2">
            <w:pPr>
              <w:pStyle w:val="ExhibitText"/>
              <w:jc w:val="right"/>
              <w:rPr>
                <w:caps/>
                <w:kern w:val="2"/>
                <w:sz w:val="19"/>
                <w:szCs w:val="19"/>
                <w:lang w:val="en-CA"/>
              </w:rPr>
            </w:pPr>
            <w:r w:rsidRPr="00A43F68">
              <w:rPr>
                <w:caps/>
                <w:kern w:val="2"/>
                <w:sz w:val="19"/>
                <w:szCs w:val="19"/>
                <w:lang w:val="en-CA"/>
              </w:rPr>
              <w:t>0.2</w:t>
            </w:r>
          </w:p>
        </w:tc>
      </w:tr>
      <w:tr w:rsidR="003D30B2" w:rsidRPr="00A43F68" w14:paraId="4EF1F2E4" w14:textId="6BE23F64" w:rsidTr="00EB600D">
        <w:trPr>
          <w:jc w:val="center"/>
        </w:trPr>
        <w:tc>
          <w:tcPr>
            <w:tcW w:w="2961" w:type="dxa"/>
            <w:vAlign w:val="center"/>
          </w:tcPr>
          <w:p w14:paraId="3895BF30" w14:textId="171262AD" w:rsidR="003D30B2" w:rsidRPr="00A43F68" w:rsidRDefault="003D30B2" w:rsidP="003D30B2">
            <w:pPr>
              <w:pStyle w:val="ExhibitText"/>
              <w:jc w:val="left"/>
              <w:rPr>
                <w:b/>
                <w:caps/>
                <w:kern w:val="2"/>
                <w:sz w:val="19"/>
                <w:szCs w:val="19"/>
                <w:lang w:val="en-CA"/>
              </w:rPr>
            </w:pPr>
            <w:r w:rsidRPr="00A43F68">
              <w:rPr>
                <w:b/>
                <w:kern w:val="2"/>
                <w:sz w:val="19"/>
                <w:szCs w:val="19"/>
                <w:lang w:val="en-CA"/>
              </w:rPr>
              <w:t xml:space="preserve">Total </w:t>
            </w:r>
            <w:r w:rsidR="0021644F" w:rsidRPr="00A43F68">
              <w:rPr>
                <w:b/>
                <w:kern w:val="2"/>
                <w:sz w:val="19"/>
                <w:szCs w:val="19"/>
                <w:lang w:val="en-CA"/>
              </w:rPr>
              <w:t>e</w:t>
            </w:r>
            <w:r w:rsidRPr="00A43F68">
              <w:rPr>
                <w:b/>
                <w:kern w:val="2"/>
                <w:sz w:val="19"/>
                <w:szCs w:val="19"/>
                <w:lang w:val="en-CA"/>
              </w:rPr>
              <w:t xml:space="preserve">xports </w:t>
            </w:r>
            <w:r w:rsidR="0021644F" w:rsidRPr="00A43F68">
              <w:rPr>
                <w:b/>
                <w:kern w:val="2"/>
                <w:sz w:val="19"/>
                <w:szCs w:val="19"/>
                <w:lang w:val="en-CA"/>
              </w:rPr>
              <w:t>f</w:t>
            </w:r>
            <w:r w:rsidRPr="00A43F68">
              <w:rPr>
                <w:b/>
                <w:kern w:val="2"/>
                <w:sz w:val="19"/>
                <w:szCs w:val="19"/>
                <w:lang w:val="en-CA"/>
              </w:rPr>
              <w:t>rom Australia</w:t>
            </w:r>
          </w:p>
        </w:tc>
        <w:tc>
          <w:tcPr>
            <w:tcW w:w="1350" w:type="dxa"/>
            <w:vAlign w:val="center"/>
          </w:tcPr>
          <w:p w14:paraId="63D45BD8" w14:textId="2B371692" w:rsidR="003D30B2" w:rsidRPr="00A43F68" w:rsidRDefault="003D30B2" w:rsidP="003D30B2">
            <w:pPr>
              <w:pStyle w:val="ExhibitText"/>
              <w:jc w:val="right"/>
              <w:rPr>
                <w:caps/>
                <w:kern w:val="2"/>
                <w:sz w:val="19"/>
                <w:szCs w:val="19"/>
                <w:lang w:val="en-CA" w:eastAsia="zh-CN"/>
              </w:rPr>
            </w:pPr>
            <w:r w:rsidRPr="00A43F68">
              <w:rPr>
                <w:caps/>
                <w:kern w:val="2"/>
                <w:sz w:val="19"/>
                <w:szCs w:val="19"/>
                <w:lang w:val="en-CA"/>
              </w:rPr>
              <w:t>7</w:t>
            </w:r>
            <w:r w:rsidR="00A50246" w:rsidRPr="00A43F68">
              <w:rPr>
                <w:caps/>
                <w:kern w:val="2"/>
                <w:sz w:val="19"/>
                <w:szCs w:val="19"/>
                <w:lang w:val="en-CA" w:eastAsia="zh-CN"/>
              </w:rPr>
              <w:t>8</w:t>
            </w:r>
            <w:r w:rsidRPr="00A43F68">
              <w:rPr>
                <w:caps/>
                <w:kern w:val="2"/>
                <w:sz w:val="19"/>
                <w:szCs w:val="19"/>
                <w:lang w:val="en-CA"/>
              </w:rPr>
              <w:t>.</w:t>
            </w:r>
            <w:r w:rsidR="00A50246" w:rsidRPr="00A43F68">
              <w:rPr>
                <w:caps/>
                <w:kern w:val="2"/>
                <w:sz w:val="19"/>
                <w:szCs w:val="19"/>
                <w:lang w:val="en-CA" w:eastAsia="zh-CN"/>
              </w:rPr>
              <w:t>4</w:t>
            </w:r>
          </w:p>
        </w:tc>
        <w:tc>
          <w:tcPr>
            <w:tcW w:w="1260" w:type="dxa"/>
            <w:vAlign w:val="center"/>
          </w:tcPr>
          <w:p w14:paraId="64D44B47" w14:textId="1D93B334" w:rsidR="003D30B2" w:rsidRPr="00A43F68" w:rsidRDefault="003D30B2" w:rsidP="003D30B2">
            <w:pPr>
              <w:pStyle w:val="ExhibitText"/>
              <w:jc w:val="right"/>
              <w:rPr>
                <w:caps/>
                <w:kern w:val="2"/>
                <w:sz w:val="19"/>
                <w:szCs w:val="19"/>
                <w:lang w:val="en-CA" w:eastAsia="zh-CN"/>
              </w:rPr>
            </w:pPr>
            <w:r w:rsidRPr="00A43F68">
              <w:rPr>
                <w:caps/>
                <w:kern w:val="2"/>
                <w:sz w:val="19"/>
                <w:szCs w:val="19"/>
                <w:lang w:val="en-CA"/>
              </w:rPr>
              <w:t>2</w:t>
            </w:r>
            <w:r w:rsidR="00A50246" w:rsidRPr="00A43F68">
              <w:rPr>
                <w:caps/>
                <w:kern w:val="2"/>
                <w:sz w:val="19"/>
                <w:szCs w:val="19"/>
                <w:lang w:val="en-CA" w:eastAsia="zh-CN"/>
              </w:rPr>
              <w:t>63</w:t>
            </w:r>
            <w:r w:rsidRPr="00A43F68">
              <w:rPr>
                <w:caps/>
                <w:kern w:val="2"/>
                <w:sz w:val="19"/>
                <w:szCs w:val="19"/>
                <w:lang w:val="en-CA"/>
              </w:rPr>
              <w:t>.</w:t>
            </w:r>
            <w:r w:rsidR="00A50246" w:rsidRPr="00A43F68">
              <w:rPr>
                <w:caps/>
                <w:kern w:val="2"/>
                <w:sz w:val="19"/>
                <w:szCs w:val="19"/>
                <w:lang w:val="en-CA" w:eastAsia="zh-CN"/>
              </w:rPr>
              <w:t>3</w:t>
            </w:r>
          </w:p>
        </w:tc>
        <w:tc>
          <w:tcPr>
            <w:tcW w:w="1620" w:type="dxa"/>
            <w:vAlign w:val="center"/>
          </w:tcPr>
          <w:p w14:paraId="3F58CC84" w14:textId="4F5EE1CD" w:rsidR="003D30B2" w:rsidRPr="00A43F68" w:rsidRDefault="003D30B2" w:rsidP="003D30B2">
            <w:pPr>
              <w:pStyle w:val="ExhibitText"/>
              <w:jc w:val="right"/>
              <w:rPr>
                <w:caps/>
                <w:kern w:val="2"/>
                <w:sz w:val="19"/>
                <w:szCs w:val="19"/>
                <w:lang w:val="en-CA" w:eastAsia="zh-CN"/>
              </w:rPr>
            </w:pPr>
            <w:r w:rsidRPr="00A43F68">
              <w:rPr>
                <w:caps/>
                <w:kern w:val="2"/>
                <w:sz w:val="19"/>
                <w:szCs w:val="19"/>
                <w:lang w:val="en-CA"/>
              </w:rPr>
              <w:t>1,0</w:t>
            </w:r>
            <w:r w:rsidR="00A50246" w:rsidRPr="00A43F68">
              <w:rPr>
                <w:caps/>
                <w:kern w:val="2"/>
                <w:sz w:val="19"/>
                <w:szCs w:val="19"/>
                <w:lang w:val="en-CA" w:eastAsia="zh-CN"/>
              </w:rPr>
              <w:t>15</w:t>
            </w:r>
            <w:r w:rsidRPr="00A43F68">
              <w:rPr>
                <w:caps/>
                <w:kern w:val="2"/>
                <w:sz w:val="19"/>
                <w:szCs w:val="19"/>
                <w:lang w:val="en-CA"/>
              </w:rPr>
              <w:t>.</w:t>
            </w:r>
            <w:r w:rsidR="00A50246" w:rsidRPr="00A43F68">
              <w:rPr>
                <w:caps/>
                <w:kern w:val="2"/>
                <w:sz w:val="19"/>
                <w:szCs w:val="19"/>
                <w:lang w:val="en-CA" w:eastAsia="zh-CN"/>
              </w:rPr>
              <w:t>9</w:t>
            </w:r>
          </w:p>
        </w:tc>
        <w:tc>
          <w:tcPr>
            <w:tcW w:w="1489" w:type="dxa"/>
            <w:vAlign w:val="center"/>
          </w:tcPr>
          <w:p w14:paraId="61A6C5E7" w14:textId="64ADC21F" w:rsidR="003D30B2" w:rsidRPr="00A43F68" w:rsidRDefault="003D30B2" w:rsidP="003D30B2">
            <w:pPr>
              <w:pStyle w:val="ExhibitText"/>
              <w:jc w:val="right"/>
              <w:rPr>
                <w:caps/>
                <w:kern w:val="2"/>
                <w:sz w:val="19"/>
                <w:szCs w:val="19"/>
                <w:lang w:val="en-CA" w:eastAsia="zh-CN"/>
              </w:rPr>
            </w:pPr>
            <w:r w:rsidRPr="00A43F68">
              <w:rPr>
                <w:caps/>
                <w:kern w:val="2"/>
                <w:sz w:val="19"/>
                <w:szCs w:val="19"/>
                <w:lang w:val="en-CA"/>
              </w:rPr>
              <w:t>1,</w:t>
            </w:r>
            <w:r w:rsidR="00A50246" w:rsidRPr="00A43F68">
              <w:rPr>
                <w:caps/>
                <w:kern w:val="2"/>
                <w:sz w:val="19"/>
                <w:szCs w:val="19"/>
                <w:lang w:val="en-CA" w:eastAsia="zh-CN"/>
              </w:rPr>
              <w:t>357</w:t>
            </w:r>
            <w:r w:rsidRPr="00A43F68">
              <w:rPr>
                <w:caps/>
                <w:kern w:val="2"/>
                <w:sz w:val="19"/>
                <w:szCs w:val="19"/>
                <w:lang w:val="en-CA"/>
              </w:rPr>
              <w:t>.</w:t>
            </w:r>
            <w:r w:rsidR="00A50246" w:rsidRPr="00A43F68">
              <w:rPr>
                <w:caps/>
                <w:kern w:val="2"/>
                <w:sz w:val="19"/>
                <w:szCs w:val="19"/>
                <w:lang w:val="en-CA" w:eastAsia="zh-CN"/>
              </w:rPr>
              <w:t>6</w:t>
            </w:r>
          </w:p>
        </w:tc>
      </w:tr>
    </w:tbl>
    <w:p w14:paraId="308836DC" w14:textId="77777777" w:rsidR="003D30B2" w:rsidRPr="00A43F68" w:rsidRDefault="003D30B2" w:rsidP="002955A0">
      <w:pPr>
        <w:pStyle w:val="ExhibitText"/>
        <w:rPr>
          <w:sz w:val="14"/>
          <w:szCs w:val="14"/>
          <w:lang w:val="en-CA"/>
        </w:rPr>
      </w:pPr>
    </w:p>
    <w:p w14:paraId="74AD5130" w14:textId="77777777" w:rsidR="003D30B2" w:rsidRPr="00A43F68" w:rsidRDefault="003D30B2" w:rsidP="003D30B2">
      <w:pPr>
        <w:jc w:val="both"/>
        <w:rPr>
          <w:rFonts w:ascii="Arial" w:hAnsi="Arial" w:cs="Arial"/>
          <w:kern w:val="2"/>
          <w:sz w:val="17"/>
          <w:szCs w:val="17"/>
          <w:lang w:val="en-CA"/>
        </w:rPr>
      </w:pPr>
      <w:r w:rsidRPr="00A43F68">
        <w:rPr>
          <w:rFonts w:ascii="Arial" w:hAnsi="Arial" w:cs="Arial"/>
          <w:kern w:val="2"/>
          <w:sz w:val="17"/>
          <w:szCs w:val="17"/>
          <w:lang w:val="en-CA"/>
        </w:rPr>
        <w:t>Note: Total exports from Australia included exports from Australian Capital Territory and re-exports.</w:t>
      </w:r>
    </w:p>
    <w:p w14:paraId="38109247" w14:textId="16CA52F1" w:rsidR="003D30B2" w:rsidRPr="00A43F68" w:rsidRDefault="003D30B2" w:rsidP="003D30B2">
      <w:pPr>
        <w:jc w:val="both"/>
        <w:rPr>
          <w:rFonts w:ascii="Arial" w:hAnsi="Arial" w:cs="Arial"/>
          <w:kern w:val="2"/>
          <w:sz w:val="17"/>
          <w:szCs w:val="17"/>
          <w:lang w:val="en-CA"/>
        </w:rPr>
      </w:pPr>
      <w:r w:rsidRPr="00A43F68">
        <w:rPr>
          <w:rFonts w:ascii="Arial" w:hAnsi="Arial" w:cs="Arial"/>
          <w:kern w:val="2"/>
          <w:sz w:val="17"/>
          <w:szCs w:val="17"/>
          <w:lang w:val="en-CA"/>
        </w:rPr>
        <w:t xml:space="preserve">Source: Created by the case authors based on “Fisheries </w:t>
      </w:r>
      <w:r w:rsidR="000F35AD" w:rsidRPr="00A43F68">
        <w:rPr>
          <w:rFonts w:ascii="Arial" w:hAnsi="Arial" w:cs="Arial"/>
          <w:kern w:val="2"/>
          <w:sz w:val="17"/>
          <w:szCs w:val="17"/>
          <w:lang w:val="en-CA"/>
        </w:rPr>
        <w:t>Data</w:t>
      </w:r>
      <w:r w:rsidRPr="00A43F68">
        <w:rPr>
          <w:rFonts w:ascii="Arial" w:hAnsi="Arial" w:cs="Arial"/>
          <w:kern w:val="2"/>
          <w:sz w:val="17"/>
          <w:szCs w:val="17"/>
          <w:lang w:val="en-CA"/>
        </w:rPr>
        <w:t>,” Australian Government</w:t>
      </w:r>
      <w:r w:rsidR="000F35AD" w:rsidRPr="00A43F68">
        <w:rPr>
          <w:rFonts w:ascii="Arial" w:hAnsi="Arial" w:cs="Arial"/>
          <w:kern w:val="2"/>
          <w:sz w:val="17"/>
          <w:szCs w:val="17"/>
          <w:lang w:val="en-CA"/>
        </w:rPr>
        <w:t>—</w:t>
      </w:r>
      <w:r w:rsidRPr="00A43F68">
        <w:rPr>
          <w:rFonts w:ascii="Arial" w:hAnsi="Arial" w:cs="Arial"/>
          <w:kern w:val="2"/>
          <w:sz w:val="17"/>
          <w:szCs w:val="17"/>
          <w:lang w:val="en-CA"/>
        </w:rPr>
        <w:t>Department of Agriculture and Water Resources, accessed October 27, 2018, www.agriculture.gov.au/abares/research-topics/fisheries/fisheries-data#australian-fisheries-and-aquaculture-statistics-2016.</w:t>
      </w:r>
    </w:p>
    <w:p w14:paraId="6EC880BC" w14:textId="77777777" w:rsidR="003D30B2" w:rsidRPr="00A43F68" w:rsidRDefault="003D30B2" w:rsidP="002955A0">
      <w:pPr>
        <w:pStyle w:val="ExhibitText"/>
        <w:rPr>
          <w:sz w:val="14"/>
          <w:szCs w:val="14"/>
          <w:lang w:val="en-CA"/>
        </w:rPr>
      </w:pPr>
    </w:p>
    <w:p w14:paraId="4C928798" w14:textId="77777777" w:rsidR="003D30B2" w:rsidRPr="00A43F68" w:rsidRDefault="003D30B2" w:rsidP="002955A0">
      <w:pPr>
        <w:pStyle w:val="ExhibitText"/>
        <w:rPr>
          <w:sz w:val="14"/>
          <w:szCs w:val="14"/>
          <w:lang w:val="en-CA"/>
        </w:rPr>
      </w:pPr>
    </w:p>
    <w:p w14:paraId="2C68AC95" w14:textId="62A227B6" w:rsidR="003D30B2" w:rsidRPr="00A43F68" w:rsidRDefault="003D30B2" w:rsidP="003D30B2">
      <w:pPr>
        <w:jc w:val="center"/>
        <w:outlineLvl w:val="0"/>
        <w:rPr>
          <w:rFonts w:ascii="Arial" w:hAnsi="Arial" w:cs="Arial"/>
          <w:b/>
          <w:caps/>
          <w:kern w:val="2"/>
          <w:lang w:val="en-CA"/>
        </w:rPr>
      </w:pPr>
      <w:r w:rsidRPr="00A43F68">
        <w:rPr>
          <w:rFonts w:ascii="Arial" w:hAnsi="Arial" w:cs="Arial"/>
          <w:b/>
          <w:caps/>
          <w:kern w:val="2"/>
          <w:lang w:val="en-CA"/>
        </w:rPr>
        <w:t xml:space="preserve">Exhibit </w:t>
      </w:r>
      <w:r w:rsidR="00DE3D2F" w:rsidRPr="00A43F68">
        <w:rPr>
          <w:rFonts w:ascii="Arial" w:hAnsi="Arial" w:cs="Arial"/>
          <w:b/>
          <w:caps/>
          <w:kern w:val="2"/>
          <w:lang w:val="en-CA"/>
        </w:rPr>
        <w:t>8</w:t>
      </w:r>
      <w:r w:rsidRPr="00A43F68">
        <w:rPr>
          <w:rFonts w:ascii="Arial" w:hAnsi="Arial" w:cs="Arial"/>
          <w:b/>
          <w:caps/>
          <w:kern w:val="2"/>
          <w:lang w:val="en-CA"/>
        </w:rPr>
        <w:t xml:space="preserve">A: Australia seafood export values by products (million A$) </w:t>
      </w:r>
    </w:p>
    <w:p w14:paraId="46B1AC37" w14:textId="77777777" w:rsidR="003D30B2" w:rsidRPr="00A43F68" w:rsidRDefault="003D30B2" w:rsidP="002955A0">
      <w:pPr>
        <w:pStyle w:val="ExhibitText"/>
        <w:rPr>
          <w:rFonts w:eastAsiaTheme="minorEastAsia"/>
          <w:sz w:val="14"/>
          <w:szCs w:val="14"/>
          <w:lang w:val="en-CA" w:eastAsia="zh-CN"/>
        </w:rPr>
      </w:pPr>
    </w:p>
    <w:tbl>
      <w:tblPr>
        <w:tblW w:w="7860" w:type="dxa"/>
        <w:jc w:val="center"/>
        <w:tblLook w:val="04A0" w:firstRow="1" w:lastRow="0" w:firstColumn="1" w:lastColumn="0" w:noHBand="0" w:noVBand="1"/>
      </w:tblPr>
      <w:tblGrid>
        <w:gridCol w:w="3780"/>
        <w:gridCol w:w="1360"/>
        <w:gridCol w:w="1360"/>
        <w:gridCol w:w="1360"/>
      </w:tblGrid>
      <w:tr w:rsidR="003D30B2" w:rsidRPr="00A43F68" w14:paraId="433446CB" w14:textId="77777777" w:rsidTr="00EB600D">
        <w:trPr>
          <w:trHeight w:val="125"/>
          <w:jc w:val="center"/>
        </w:trPr>
        <w:tc>
          <w:tcPr>
            <w:tcW w:w="37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9289CE3" w14:textId="6ADCAF54" w:rsidR="003D30B2" w:rsidRPr="00A43F68" w:rsidRDefault="003D30B2" w:rsidP="003D30B2">
            <w:pPr>
              <w:jc w:val="center"/>
              <w:rPr>
                <w:rFonts w:ascii="Arial" w:eastAsia="SimSun" w:hAnsi="Arial" w:cs="Arial"/>
                <w:b/>
                <w:bCs/>
                <w:color w:val="000000"/>
                <w:sz w:val="19"/>
                <w:szCs w:val="19"/>
                <w:lang w:val="en-CA" w:eastAsia="zh-CN"/>
              </w:rPr>
            </w:pPr>
            <w:r w:rsidRPr="00A43F68">
              <w:rPr>
                <w:rFonts w:ascii="Arial" w:eastAsia="SimSun" w:hAnsi="Arial" w:cs="Arial"/>
                <w:b/>
                <w:bCs/>
                <w:color w:val="000000"/>
                <w:sz w:val="19"/>
                <w:szCs w:val="19"/>
                <w:lang w:val="en-CA" w:eastAsia="zh-CN"/>
              </w:rPr>
              <w:t xml:space="preserve">Seafood </w:t>
            </w:r>
            <w:r w:rsidR="001D6FC7" w:rsidRPr="00A43F68">
              <w:rPr>
                <w:rFonts w:ascii="Arial" w:eastAsia="SimSun" w:hAnsi="Arial" w:cs="Arial"/>
                <w:b/>
                <w:bCs/>
                <w:color w:val="000000"/>
                <w:sz w:val="19"/>
                <w:szCs w:val="19"/>
                <w:lang w:val="en-CA" w:eastAsia="zh-CN"/>
              </w:rPr>
              <w:t>products</w:t>
            </w:r>
          </w:p>
        </w:tc>
        <w:tc>
          <w:tcPr>
            <w:tcW w:w="1360" w:type="dxa"/>
            <w:tcBorders>
              <w:top w:val="single" w:sz="4" w:space="0" w:color="auto"/>
              <w:left w:val="nil"/>
              <w:bottom w:val="single" w:sz="4" w:space="0" w:color="auto"/>
              <w:right w:val="single" w:sz="4" w:space="0" w:color="auto"/>
            </w:tcBorders>
            <w:shd w:val="clear" w:color="auto" w:fill="auto"/>
            <w:vAlign w:val="bottom"/>
            <w:hideMark/>
          </w:tcPr>
          <w:p w14:paraId="16178151" w14:textId="77777777" w:rsidR="003D30B2" w:rsidRPr="00A43F68" w:rsidRDefault="003D30B2" w:rsidP="003D30B2">
            <w:pPr>
              <w:jc w:val="center"/>
              <w:rPr>
                <w:rFonts w:ascii="Arial" w:eastAsia="SimSun" w:hAnsi="Arial" w:cs="Arial"/>
                <w:b/>
                <w:color w:val="000000"/>
                <w:sz w:val="19"/>
                <w:szCs w:val="19"/>
                <w:lang w:val="en-CA" w:eastAsia="zh-CN"/>
              </w:rPr>
            </w:pPr>
            <w:r w:rsidRPr="00A43F68">
              <w:rPr>
                <w:rFonts w:ascii="Arial" w:eastAsia="SimSun" w:hAnsi="Arial" w:cs="Arial"/>
                <w:b/>
                <w:color w:val="000000"/>
                <w:sz w:val="19"/>
                <w:szCs w:val="19"/>
                <w:lang w:val="en-CA" w:eastAsia="zh-CN"/>
              </w:rPr>
              <w:t>2013–2014</w:t>
            </w:r>
          </w:p>
        </w:tc>
        <w:tc>
          <w:tcPr>
            <w:tcW w:w="1360" w:type="dxa"/>
            <w:tcBorders>
              <w:top w:val="single" w:sz="4" w:space="0" w:color="auto"/>
              <w:left w:val="nil"/>
              <w:bottom w:val="single" w:sz="4" w:space="0" w:color="auto"/>
              <w:right w:val="single" w:sz="4" w:space="0" w:color="auto"/>
            </w:tcBorders>
            <w:shd w:val="clear" w:color="auto" w:fill="auto"/>
            <w:vAlign w:val="bottom"/>
            <w:hideMark/>
          </w:tcPr>
          <w:p w14:paraId="1EC8B387" w14:textId="77777777" w:rsidR="003D30B2" w:rsidRPr="00A43F68" w:rsidRDefault="003D30B2" w:rsidP="003D30B2">
            <w:pPr>
              <w:jc w:val="center"/>
              <w:rPr>
                <w:rFonts w:ascii="Arial" w:eastAsia="SimSun" w:hAnsi="Arial" w:cs="Arial"/>
                <w:b/>
                <w:color w:val="000000"/>
                <w:sz w:val="19"/>
                <w:szCs w:val="19"/>
                <w:lang w:val="en-CA" w:eastAsia="zh-CN"/>
              </w:rPr>
            </w:pPr>
            <w:r w:rsidRPr="00A43F68">
              <w:rPr>
                <w:rFonts w:ascii="Arial" w:eastAsia="SimSun" w:hAnsi="Arial" w:cs="Arial"/>
                <w:b/>
                <w:color w:val="000000"/>
                <w:sz w:val="19"/>
                <w:szCs w:val="19"/>
                <w:lang w:val="en-CA" w:eastAsia="zh-CN"/>
              </w:rPr>
              <w:t>2014–2015</w:t>
            </w:r>
          </w:p>
        </w:tc>
        <w:tc>
          <w:tcPr>
            <w:tcW w:w="1360" w:type="dxa"/>
            <w:tcBorders>
              <w:top w:val="single" w:sz="4" w:space="0" w:color="auto"/>
              <w:left w:val="nil"/>
              <w:bottom w:val="single" w:sz="4" w:space="0" w:color="auto"/>
              <w:right w:val="single" w:sz="4" w:space="0" w:color="auto"/>
            </w:tcBorders>
            <w:shd w:val="clear" w:color="auto" w:fill="auto"/>
            <w:vAlign w:val="bottom"/>
            <w:hideMark/>
          </w:tcPr>
          <w:p w14:paraId="149C173D" w14:textId="77777777" w:rsidR="003D30B2" w:rsidRPr="00A43F68" w:rsidRDefault="003D30B2" w:rsidP="003D30B2">
            <w:pPr>
              <w:jc w:val="center"/>
              <w:rPr>
                <w:rFonts w:ascii="Arial" w:eastAsia="SimSun" w:hAnsi="Arial" w:cs="Arial"/>
                <w:b/>
                <w:color w:val="000000"/>
                <w:sz w:val="19"/>
                <w:szCs w:val="19"/>
                <w:lang w:val="en-CA" w:eastAsia="zh-CN"/>
              </w:rPr>
            </w:pPr>
            <w:r w:rsidRPr="00A43F68">
              <w:rPr>
                <w:rFonts w:ascii="Arial" w:eastAsia="SimSun" w:hAnsi="Arial" w:cs="Arial"/>
                <w:b/>
                <w:color w:val="000000"/>
                <w:sz w:val="19"/>
                <w:szCs w:val="19"/>
                <w:lang w:val="en-CA" w:eastAsia="zh-CN"/>
              </w:rPr>
              <w:t>2015–2016</w:t>
            </w:r>
          </w:p>
        </w:tc>
      </w:tr>
      <w:tr w:rsidR="003D30B2" w:rsidRPr="00A43F68" w14:paraId="4B1FB79C" w14:textId="77777777" w:rsidTr="00EB600D">
        <w:trPr>
          <w:trHeight w:val="152"/>
          <w:jc w:val="center"/>
        </w:trPr>
        <w:tc>
          <w:tcPr>
            <w:tcW w:w="3780" w:type="dxa"/>
            <w:tcBorders>
              <w:top w:val="nil"/>
              <w:left w:val="single" w:sz="4" w:space="0" w:color="auto"/>
              <w:bottom w:val="single" w:sz="4" w:space="0" w:color="auto"/>
              <w:right w:val="single" w:sz="4" w:space="0" w:color="auto"/>
            </w:tcBorders>
            <w:shd w:val="clear" w:color="auto" w:fill="auto"/>
            <w:vAlign w:val="bottom"/>
            <w:hideMark/>
          </w:tcPr>
          <w:p w14:paraId="478CA619" w14:textId="77777777" w:rsidR="003D30B2" w:rsidRPr="00A43F68" w:rsidRDefault="003D30B2" w:rsidP="003D30B2">
            <w:pPr>
              <w:rPr>
                <w:rFonts w:ascii="Arial" w:eastAsia="SimSun" w:hAnsi="Arial" w:cs="Arial"/>
                <w:b/>
                <w:color w:val="000000"/>
                <w:sz w:val="19"/>
                <w:szCs w:val="19"/>
                <w:lang w:val="en-CA" w:eastAsia="zh-CN"/>
              </w:rPr>
            </w:pPr>
            <w:r w:rsidRPr="00A43F68">
              <w:rPr>
                <w:rFonts w:ascii="Arial" w:eastAsia="SimSun" w:hAnsi="Arial" w:cs="Arial"/>
                <w:b/>
                <w:color w:val="000000"/>
                <w:sz w:val="19"/>
                <w:szCs w:val="19"/>
                <w:lang w:val="en-CA" w:eastAsia="zh-CN"/>
              </w:rPr>
              <w:t>Salmonids</w:t>
            </w:r>
          </w:p>
        </w:tc>
        <w:tc>
          <w:tcPr>
            <w:tcW w:w="1360" w:type="dxa"/>
            <w:tcBorders>
              <w:top w:val="nil"/>
              <w:left w:val="nil"/>
              <w:bottom w:val="single" w:sz="4" w:space="0" w:color="auto"/>
              <w:right w:val="single" w:sz="4" w:space="0" w:color="auto"/>
            </w:tcBorders>
            <w:shd w:val="clear" w:color="auto" w:fill="auto"/>
            <w:vAlign w:val="bottom"/>
            <w:hideMark/>
          </w:tcPr>
          <w:p w14:paraId="79CCEA71" w14:textId="77777777" w:rsidR="003D30B2" w:rsidRPr="00A43F68" w:rsidRDefault="003D30B2" w:rsidP="003D30B2">
            <w:pPr>
              <w:jc w:val="right"/>
              <w:rPr>
                <w:rFonts w:ascii="Arial" w:eastAsia="SimSun" w:hAnsi="Arial" w:cs="Arial"/>
                <w:b/>
                <w:color w:val="000000"/>
                <w:sz w:val="19"/>
                <w:szCs w:val="19"/>
                <w:lang w:val="en-CA" w:eastAsia="zh-CN"/>
              </w:rPr>
            </w:pPr>
            <w:r w:rsidRPr="00A43F68">
              <w:rPr>
                <w:rFonts w:ascii="Arial" w:eastAsia="SimSun" w:hAnsi="Arial" w:cs="Arial"/>
                <w:b/>
                <w:color w:val="000000"/>
                <w:sz w:val="19"/>
                <w:szCs w:val="19"/>
                <w:lang w:val="en-CA" w:eastAsia="zh-CN"/>
              </w:rPr>
              <w:t xml:space="preserve"> 17.4 </w:t>
            </w:r>
          </w:p>
        </w:tc>
        <w:tc>
          <w:tcPr>
            <w:tcW w:w="1360" w:type="dxa"/>
            <w:tcBorders>
              <w:top w:val="nil"/>
              <w:left w:val="nil"/>
              <w:bottom w:val="single" w:sz="4" w:space="0" w:color="auto"/>
              <w:right w:val="single" w:sz="4" w:space="0" w:color="auto"/>
            </w:tcBorders>
            <w:shd w:val="clear" w:color="auto" w:fill="auto"/>
            <w:vAlign w:val="bottom"/>
            <w:hideMark/>
          </w:tcPr>
          <w:p w14:paraId="454AD754" w14:textId="77777777" w:rsidR="003D30B2" w:rsidRPr="00A43F68" w:rsidRDefault="003D30B2" w:rsidP="003D30B2">
            <w:pPr>
              <w:jc w:val="right"/>
              <w:rPr>
                <w:rFonts w:ascii="Arial" w:eastAsia="SimSun" w:hAnsi="Arial" w:cs="Arial"/>
                <w:b/>
                <w:color w:val="000000"/>
                <w:sz w:val="19"/>
                <w:szCs w:val="19"/>
                <w:lang w:val="en-CA" w:eastAsia="zh-CN"/>
              </w:rPr>
            </w:pPr>
            <w:r w:rsidRPr="00A43F68">
              <w:rPr>
                <w:rFonts w:ascii="Arial" w:eastAsia="SimSun" w:hAnsi="Arial" w:cs="Arial"/>
                <w:b/>
                <w:color w:val="000000"/>
                <w:sz w:val="19"/>
                <w:szCs w:val="19"/>
                <w:lang w:val="en-CA" w:eastAsia="zh-CN"/>
              </w:rPr>
              <w:t xml:space="preserve"> 48.1 </w:t>
            </w:r>
          </w:p>
        </w:tc>
        <w:tc>
          <w:tcPr>
            <w:tcW w:w="1360" w:type="dxa"/>
            <w:tcBorders>
              <w:top w:val="nil"/>
              <w:left w:val="nil"/>
              <w:bottom w:val="single" w:sz="4" w:space="0" w:color="auto"/>
              <w:right w:val="single" w:sz="4" w:space="0" w:color="auto"/>
            </w:tcBorders>
            <w:shd w:val="clear" w:color="auto" w:fill="auto"/>
            <w:vAlign w:val="bottom"/>
            <w:hideMark/>
          </w:tcPr>
          <w:p w14:paraId="6333891B" w14:textId="77777777" w:rsidR="003D30B2" w:rsidRPr="00A43F68" w:rsidRDefault="003D30B2" w:rsidP="003D30B2">
            <w:pPr>
              <w:jc w:val="right"/>
              <w:rPr>
                <w:rFonts w:ascii="Arial" w:eastAsia="SimSun" w:hAnsi="Arial" w:cs="Arial"/>
                <w:b/>
                <w:color w:val="000000"/>
                <w:sz w:val="19"/>
                <w:szCs w:val="19"/>
                <w:lang w:val="en-CA" w:eastAsia="zh-CN"/>
              </w:rPr>
            </w:pPr>
            <w:r w:rsidRPr="00A43F68">
              <w:rPr>
                <w:rFonts w:ascii="Arial" w:eastAsia="SimSun" w:hAnsi="Arial" w:cs="Arial"/>
                <w:b/>
                <w:color w:val="000000"/>
                <w:sz w:val="19"/>
                <w:szCs w:val="19"/>
                <w:lang w:val="en-CA" w:eastAsia="zh-CN"/>
              </w:rPr>
              <w:t xml:space="preserve"> 79.9 </w:t>
            </w:r>
          </w:p>
        </w:tc>
      </w:tr>
      <w:tr w:rsidR="003D30B2" w:rsidRPr="00A43F68" w14:paraId="3AEE0F80" w14:textId="77777777" w:rsidTr="00EB600D">
        <w:trPr>
          <w:trHeight w:val="89"/>
          <w:jc w:val="center"/>
        </w:trPr>
        <w:tc>
          <w:tcPr>
            <w:tcW w:w="3780" w:type="dxa"/>
            <w:tcBorders>
              <w:top w:val="nil"/>
              <w:left w:val="single" w:sz="4" w:space="0" w:color="auto"/>
              <w:bottom w:val="single" w:sz="4" w:space="0" w:color="auto"/>
              <w:right w:val="single" w:sz="4" w:space="0" w:color="auto"/>
            </w:tcBorders>
            <w:shd w:val="clear" w:color="auto" w:fill="auto"/>
            <w:vAlign w:val="bottom"/>
            <w:hideMark/>
          </w:tcPr>
          <w:p w14:paraId="1AD3BD9B" w14:textId="77777777" w:rsidR="003D30B2" w:rsidRPr="00A43F68" w:rsidRDefault="003D30B2" w:rsidP="003D30B2">
            <w:pPr>
              <w:rPr>
                <w:rFonts w:ascii="Arial" w:eastAsia="SimSun" w:hAnsi="Arial" w:cs="Arial"/>
                <w:color w:val="000000"/>
                <w:sz w:val="19"/>
                <w:szCs w:val="19"/>
                <w:lang w:val="en-CA" w:eastAsia="zh-CN"/>
              </w:rPr>
            </w:pPr>
            <w:r w:rsidRPr="00A43F68">
              <w:rPr>
                <w:rFonts w:ascii="Arial" w:eastAsia="SimSun" w:hAnsi="Arial" w:cs="Arial"/>
                <w:color w:val="000000"/>
                <w:sz w:val="19"/>
                <w:szCs w:val="19"/>
                <w:lang w:val="en-CA" w:eastAsia="zh-CN"/>
              </w:rPr>
              <w:t>Other fish</w:t>
            </w:r>
          </w:p>
        </w:tc>
        <w:tc>
          <w:tcPr>
            <w:tcW w:w="1360" w:type="dxa"/>
            <w:tcBorders>
              <w:top w:val="nil"/>
              <w:left w:val="nil"/>
              <w:bottom w:val="single" w:sz="4" w:space="0" w:color="auto"/>
              <w:right w:val="single" w:sz="4" w:space="0" w:color="auto"/>
            </w:tcBorders>
            <w:shd w:val="clear" w:color="auto" w:fill="auto"/>
            <w:vAlign w:val="bottom"/>
            <w:hideMark/>
          </w:tcPr>
          <w:p w14:paraId="481DA64B" w14:textId="77777777" w:rsidR="003D30B2" w:rsidRPr="00A43F68" w:rsidRDefault="003D30B2" w:rsidP="003D30B2">
            <w:pPr>
              <w:jc w:val="right"/>
              <w:rPr>
                <w:rFonts w:ascii="Arial" w:eastAsia="SimSun" w:hAnsi="Arial" w:cs="Arial"/>
                <w:color w:val="000000"/>
                <w:sz w:val="19"/>
                <w:szCs w:val="19"/>
                <w:lang w:val="en-CA" w:eastAsia="zh-CN"/>
              </w:rPr>
            </w:pPr>
            <w:r w:rsidRPr="00A43F68">
              <w:rPr>
                <w:rFonts w:ascii="Arial" w:eastAsia="SimSun" w:hAnsi="Arial" w:cs="Arial"/>
                <w:color w:val="000000"/>
                <w:sz w:val="19"/>
                <w:szCs w:val="19"/>
                <w:lang w:val="en-CA" w:eastAsia="zh-CN"/>
              </w:rPr>
              <w:t xml:space="preserve"> 208.0 </w:t>
            </w:r>
          </w:p>
        </w:tc>
        <w:tc>
          <w:tcPr>
            <w:tcW w:w="1360" w:type="dxa"/>
            <w:tcBorders>
              <w:top w:val="nil"/>
              <w:left w:val="nil"/>
              <w:bottom w:val="single" w:sz="4" w:space="0" w:color="auto"/>
              <w:right w:val="single" w:sz="4" w:space="0" w:color="auto"/>
            </w:tcBorders>
            <w:shd w:val="clear" w:color="auto" w:fill="auto"/>
            <w:vAlign w:val="bottom"/>
            <w:hideMark/>
          </w:tcPr>
          <w:p w14:paraId="348173EC" w14:textId="77777777" w:rsidR="003D30B2" w:rsidRPr="00A43F68" w:rsidRDefault="003D30B2" w:rsidP="003D30B2">
            <w:pPr>
              <w:jc w:val="right"/>
              <w:rPr>
                <w:rFonts w:ascii="Arial" w:eastAsia="SimSun" w:hAnsi="Arial" w:cs="Arial"/>
                <w:color w:val="000000"/>
                <w:sz w:val="19"/>
                <w:szCs w:val="19"/>
                <w:lang w:val="en-CA" w:eastAsia="zh-CN"/>
              </w:rPr>
            </w:pPr>
            <w:r w:rsidRPr="00A43F68">
              <w:rPr>
                <w:rFonts w:ascii="Arial" w:eastAsia="SimSun" w:hAnsi="Arial" w:cs="Arial"/>
                <w:color w:val="000000"/>
                <w:sz w:val="19"/>
                <w:szCs w:val="19"/>
                <w:lang w:val="en-CA" w:eastAsia="zh-CN"/>
              </w:rPr>
              <w:t xml:space="preserve"> 223.1 </w:t>
            </w:r>
          </w:p>
        </w:tc>
        <w:tc>
          <w:tcPr>
            <w:tcW w:w="1360" w:type="dxa"/>
            <w:tcBorders>
              <w:top w:val="nil"/>
              <w:left w:val="nil"/>
              <w:bottom w:val="single" w:sz="4" w:space="0" w:color="auto"/>
              <w:right w:val="single" w:sz="4" w:space="0" w:color="auto"/>
            </w:tcBorders>
            <w:shd w:val="clear" w:color="auto" w:fill="auto"/>
            <w:vAlign w:val="bottom"/>
            <w:hideMark/>
          </w:tcPr>
          <w:p w14:paraId="6548F50E" w14:textId="77777777" w:rsidR="003D30B2" w:rsidRPr="00A43F68" w:rsidRDefault="003D30B2" w:rsidP="003D30B2">
            <w:pPr>
              <w:jc w:val="right"/>
              <w:rPr>
                <w:rFonts w:ascii="Arial" w:eastAsia="SimSun" w:hAnsi="Arial" w:cs="Arial"/>
                <w:color w:val="000000"/>
                <w:sz w:val="19"/>
                <w:szCs w:val="19"/>
                <w:lang w:val="en-CA" w:eastAsia="zh-CN"/>
              </w:rPr>
            </w:pPr>
            <w:r w:rsidRPr="00A43F68">
              <w:rPr>
                <w:rFonts w:ascii="Arial" w:eastAsia="SimSun" w:hAnsi="Arial" w:cs="Arial"/>
                <w:color w:val="000000"/>
                <w:sz w:val="19"/>
                <w:szCs w:val="19"/>
                <w:lang w:val="en-CA" w:eastAsia="zh-CN"/>
              </w:rPr>
              <w:t xml:space="preserve"> 274.7 </w:t>
            </w:r>
          </w:p>
        </w:tc>
      </w:tr>
      <w:tr w:rsidR="003D30B2" w:rsidRPr="00A43F68" w14:paraId="35DF00FC" w14:textId="77777777" w:rsidTr="00EB600D">
        <w:trPr>
          <w:trHeight w:val="116"/>
          <w:jc w:val="center"/>
        </w:trPr>
        <w:tc>
          <w:tcPr>
            <w:tcW w:w="3780" w:type="dxa"/>
            <w:tcBorders>
              <w:top w:val="nil"/>
              <w:left w:val="single" w:sz="4" w:space="0" w:color="auto"/>
              <w:bottom w:val="single" w:sz="4" w:space="0" w:color="auto"/>
              <w:right w:val="single" w:sz="4" w:space="0" w:color="auto"/>
            </w:tcBorders>
            <w:shd w:val="clear" w:color="auto" w:fill="auto"/>
            <w:vAlign w:val="bottom"/>
            <w:hideMark/>
          </w:tcPr>
          <w:p w14:paraId="59D56D2D" w14:textId="77777777" w:rsidR="003D30B2" w:rsidRPr="00A43F68" w:rsidRDefault="003D30B2" w:rsidP="003D30B2">
            <w:pPr>
              <w:rPr>
                <w:rFonts w:ascii="Arial" w:eastAsia="SimSun" w:hAnsi="Arial" w:cs="Arial"/>
                <w:color w:val="000000"/>
                <w:sz w:val="19"/>
                <w:szCs w:val="19"/>
                <w:lang w:val="en-CA" w:eastAsia="zh-CN"/>
              </w:rPr>
            </w:pPr>
            <w:r w:rsidRPr="00A43F68">
              <w:rPr>
                <w:rFonts w:ascii="Arial" w:eastAsia="SimSun" w:hAnsi="Arial" w:cs="Arial"/>
                <w:color w:val="000000"/>
                <w:sz w:val="19"/>
                <w:szCs w:val="19"/>
                <w:lang w:val="en-CA" w:eastAsia="zh-CN"/>
              </w:rPr>
              <w:t>Crustaceans and molluscs</w:t>
            </w:r>
          </w:p>
        </w:tc>
        <w:tc>
          <w:tcPr>
            <w:tcW w:w="1360" w:type="dxa"/>
            <w:tcBorders>
              <w:top w:val="nil"/>
              <w:left w:val="nil"/>
              <w:bottom w:val="single" w:sz="4" w:space="0" w:color="auto"/>
              <w:right w:val="single" w:sz="4" w:space="0" w:color="auto"/>
            </w:tcBorders>
            <w:shd w:val="clear" w:color="auto" w:fill="auto"/>
            <w:vAlign w:val="bottom"/>
            <w:hideMark/>
          </w:tcPr>
          <w:p w14:paraId="6BCA42B8" w14:textId="77777777" w:rsidR="003D30B2" w:rsidRPr="00A43F68" w:rsidRDefault="003D30B2" w:rsidP="003D30B2">
            <w:pPr>
              <w:jc w:val="right"/>
              <w:rPr>
                <w:rFonts w:ascii="Arial" w:eastAsia="SimSun" w:hAnsi="Arial" w:cs="Arial"/>
                <w:color w:val="000000"/>
                <w:sz w:val="19"/>
                <w:szCs w:val="19"/>
                <w:lang w:val="en-CA" w:eastAsia="zh-CN"/>
              </w:rPr>
            </w:pPr>
            <w:r w:rsidRPr="00A43F68">
              <w:rPr>
                <w:rFonts w:ascii="Arial" w:eastAsia="SimSun" w:hAnsi="Arial" w:cs="Arial"/>
                <w:color w:val="000000"/>
                <w:sz w:val="19"/>
                <w:szCs w:val="19"/>
                <w:lang w:val="en-CA" w:eastAsia="zh-CN"/>
              </w:rPr>
              <w:t xml:space="preserve"> 912.9 </w:t>
            </w:r>
          </w:p>
        </w:tc>
        <w:tc>
          <w:tcPr>
            <w:tcW w:w="1360" w:type="dxa"/>
            <w:tcBorders>
              <w:top w:val="nil"/>
              <w:left w:val="nil"/>
              <w:bottom w:val="single" w:sz="4" w:space="0" w:color="auto"/>
              <w:right w:val="single" w:sz="4" w:space="0" w:color="auto"/>
            </w:tcBorders>
            <w:shd w:val="clear" w:color="auto" w:fill="auto"/>
            <w:vAlign w:val="bottom"/>
            <w:hideMark/>
          </w:tcPr>
          <w:p w14:paraId="496E71D9" w14:textId="77777777" w:rsidR="003D30B2" w:rsidRPr="00A43F68" w:rsidRDefault="003D30B2" w:rsidP="003D30B2">
            <w:pPr>
              <w:jc w:val="right"/>
              <w:rPr>
                <w:rFonts w:ascii="Arial" w:eastAsia="SimSun" w:hAnsi="Arial" w:cs="Arial"/>
                <w:color w:val="000000"/>
                <w:sz w:val="19"/>
                <w:szCs w:val="19"/>
                <w:lang w:val="en-CA" w:eastAsia="zh-CN"/>
              </w:rPr>
            </w:pPr>
            <w:r w:rsidRPr="00A43F68">
              <w:rPr>
                <w:rFonts w:ascii="Arial" w:eastAsia="SimSun" w:hAnsi="Arial" w:cs="Arial"/>
                <w:color w:val="000000"/>
                <w:sz w:val="19"/>
                <w:szCs w:val="19"/>
                <w:lang w:val="en-CA" w:eastAsia="zh-CN"/>
              </w:rPr>
              <w:t xml:space="preserve"> 1,021.5 </w:t>
            </w:r>
          </w:p>
        </w:tc>
        <w:tc>
          <w:tcPr>
            <w:tcW w:w="1360" w:type="dxa"/>
            <w:tcBorders>
              <w:top w:val="nil"/>
              <w:left w:val="nil"/>
              <w:bottom w:val="single" w:sz="4" w:space="0" w:color="auto"/>
              <w:right w:val="single" w:sz="4" w:space="0" w:color="auto"/>
            </w:tcBorders>
            <w:shd w:val="clear" w:color="auto" w:fill="auto"/>
            <w:vAlign w:val="bottom"/>
            <w:hideMark/>
          </w:tcPr>
          <w:p w14:paraId="2D1265FA" w14:textId="77777777" w:rsidR="003D30B2" w:rsidRPr="00A43F68" w:rsidRDefault="003D30B2" w:rsidP="003D30B2">
            <w:pPr>
              <w:jc w:val="right"/>
              <w:rPr>
                <w:rFonts w:ascii="Arial" w:eastAsia="SimSun" w:hAnsi="Arial" w:cs="Arial"/>
                <w:color w:val="000000"/>
                <w:sz w:val="19"/>
                <w:szCs w:val="19"/>
                <w:lang w:val="en-CA" w:eastAsia="zh-CN"/>
              </w:rPr>
            </w:pPr>
            <w:r w:rsidRPr="00A43F68">
              <w:rPr>
                <w:rFonts w:ascii="Arial" w:eastAsia="SimSun" w:hAnsi="Arial" w:cs="Arial"/>
                <w:color w:val="000000"/>
                <w:sz w:val="19"/>
                <w:szCs w:val="19"/>
                <w:lang w:val="en-CA" w:eastAsia="zh-CN"/>
              </w:rPr>
              <w:t xml:space="preserve"> 1,063.7 </w:t>
            </w:r>
          </w:p>
        </w:tc>
      </w:tr>
      <w:tr w:rsidR="003D30B2" w:rsidRPr="00A43F68" w14:paraId="0051202E" w14:textId="77777777" w:rsidTr="00EB600D">
        <w:trPr>
          <w:trHeight w:val="56"/>
          <w:jc w:val="center"/>
        </w:trPr>
        <w:tc>
          <w:tcPr>
            <w:tcW w:w="3780" w:type="dxa"/>
            <w:tcBorders>
              <w:top w:val="nil"/>
              <w:left w:val="single" w:sz="4" w:space="0" w:color="auto"/>
              <w:bottom w:val="single" w:sz="4" w:space="0" w:color="auto"/>
              <w:right w:val="single" w:sz="4" w:space="0" w:color="auto"/>
            </w:tcBorders>
            <w:shd w:val="clear" w:color="auto" w:fill="auto"/>
            <w:vAlign w:val="bottom"/>
            <w:hideMark/>
          </w:tcPr>
          <w:p w14:paraId="4735A33B" w14:textId="77777777" w:rsidR="003D30B2" w:rsidRPr="00A43F68" w:rsidRDefault="003D30B2" w:rsidP="003D30B2">
            <w:pPr>
              <w:rPr>
                <w:rFonts w:ascii="Arial" w:eastAsia="SimSun" w:hAnsi="Arial" w:cs="Arial"/>
                <w:b/>
                <w:bCs/>
                <w:color w:val="000000"/>
                <w:sz w:val="19"/>
                <w:szCs w:val="19"/>
                <w:lang w:val="en-CA" w:eastAsia="zh-CN"/>
              </w:rPr>
            </w:pPr>
            <w:r w:rsidRPr="00A43F68">
              <w:rPr>
                <w:rFonts w:ascii="Arial" w:eastAsia="SimSun" w:hAnsi="Arial" w:cs="Arial"/>
                <w:b/>
                <w:bCs/>
                <w:color w:val="000000"/>
                <w:sz w:val="19"/>
                <w:szCs w:val="19"/>
                <w:lang w:val="en-CA" w:eastAsia="zh-CN"/>
              </w:rPr>
              <w:t>Total exports of seafood products</w:t>
            </w:r>
          </w:p>
        </w:tc>
        <w:tc>
          <w:tcPr>
            <w:tcW w:w="1360" w:type="dxa"/>
            <w:tcBorders>
              <w:top w:val="nil"/>
              <w:left w:val="nil"/>
              <w:bottom w:val="single" w:sz="4" w:space="0" w:color="auto"/>
              <w:right w:val="single" w:sz="4" w:space="0" w:color="auto"/>
            </w:tcBorders>
            <w:shd w:val="clear" w:color="auto" w:fill="auto"/>
            <w:vAlign w:val="bottom"/>
            <w:hideMark/>
          </w:tcPr>
          <w:p w14:paraId="6FC3E68C" w14:textId="77777777" w:rsidR="003D30B2" w:rsidRPr="00A43F68" w:rsidRDefault="003D30B2" w:rsidP="003D30B2">
            <w:pPr>
              <w:jc w:val="right"/>
              <w:rPr>
                <w:rFonts w:ascii="Arial" w:eastAsia="SimSun" w:hAnsi="Arial" w:cs="Arial"/>
                <w:b/>
                <w:color w:val="000000"/>
                <w:sz w:val="19"/>
                <w:szCs w:val="19"/>
                <w:lang w:val="en-CA" w:eastAsia="zh-CN"/>
              </w:rPr>
            </w:pPr>
            <w:r w:rsidRPr="00A43F68">
              <w:rPr>
                <w:rFonts w:ascii="Arial" w:eastAsia="SimSun" w:hAnsi="Arial" w:cs="Arial"/>
                <w:b/>
                <w:color w:val="000000"/>
                <w:sz w:val="19"/>
                <w:szCs w:val="19"/>
                <w:lang w:val="en-CA" w:eastAsia="zh-CN"/>
              </w:rPr>
              <w:t xml:space="preserve"> 1,138.3 </w:t>
            </w:r>
          </w:p>
        </w:tc>
        <w:tc>
          <w:tcPr>
            <w:tcW w:w="1360" w:type="dxa"/>
            <w:tcBorders>
              <w:top w:val="nil"/>
              <w:left w:val="nil"/>
              <w:bottom w:val="single" w:sz="4" w:space="0" w:color="auto"/>
              <w:right w:val="single" w:sz="4" w:space="0" w:color="auto"/>
            </w:tcBorders>
            <w:shd w:val="clear" w:color="auto" w:fill="auto"/>
            <w:vAlign w:val="bottom"/>
            <w:hideMark/>
          </w:tcPr>
          <w:p w14:paraId="49707A13" w14:textId="77777777" w:rsidR="003D30B2" w:rsidRPr="00A43F68" w:rsidRDefault="003D30B2" w:rsidP="003D30B2">
            <w:pPr>
              <w:jc w:val="right"/>
              <w:rPr>
                <w:rFonts w:ascii="Arial" w:eastAsia="SimSun" w:hAnsi="Arial" w:cs="Arial"/>
                <w:b/>
                <w:color w:val="000000"/>
                <w:sz w:val="19"/>
                <w:szCs w:val="19"/>
                <w:lang w:val="en-CA" w:eastAsia="zh-CN"/>
              </w:rPr>
            </w:pPr>
            <w:r w:rsidRPr="00A43F68">
              <w:rPr>
                <w:rFonts w:ascii="Arial" w:eastAsia="SimSun" w:hAnsi="Arial" w:cs="Arial"/>
                <w:b/>
                <w:color w:val="000000"/>
                <w:sz w:val="19"/>
                <w:szCs w:val="19"/>
                <w:lang w:val="en-CA" w:eastAsia="zh-CN"/>
              </w:rPr>
              <w:t xml:space="preserve"> 1,292.7 </w:t>
            </w:r>
          </w:p>
        </w:tc>
        <w:tc>
          <w:tcPr>
            <w:tcW w:w="1360" w:type="dxa"/>
            <w:tcBorders>
              <w:top w:val="nil"/>
              <w:left w:val="nil"/>
              <w:bottom w:val="single" w:sz="4" w:space="0" w:color="auto"/>
              <w:right w:val="single" w:sz="4" w:space="0" w:color="auto"/>
            </w:tcBorders>
            <w:shd w:val="clear" w:color="auto" w:fill="auto"/>
            <w:vAlign w:val="bottom"/>
            <w:hideMark/>
          </w:tcPr>
          <w:p w14:paraId="7B08166C" w14:textId="77777777" w:rsidR="003D30B2" w:rsidRPr="00A43F68" w:rsidRDefault="003D30B2" w:rsidP="003D30B2">
            <w:pPr>
              <w:jc w:val="right"/>
              <w:rPr>
                <w:rFonts w:ascii="Arial" w:eastAsia="SimSun" w:hAnsi="Arial" w:cs="Arial"/>
                <w:b/>
                <w:color w:val="000000"/>
                <w:sz w:val="19"/>
                <w:szCs w:val="19"/>
                <w:lang w:val="en-CA" w:eastAsia="zh-CN"/>
              </w:rPr>
            </w:pPr>
            <w:r w:rsidRPr="00A43F68">
              <w:rPr>
                <w:rFonts w:ascii="Arial" w:eastAsia="SimSun" w:hAnsi="Arial" w:cs="Arial"/>
                <w:b/>
                <w:color w:val="000000"/>
                <w:sz w:val="19"/>
                <w:szCs w:val="19"/>
                <w:lang w:val="en-CA" w:eastAsia="zh-CN"/>
              </w:rPr>
              <w:t xml:space="preserve"> 1,418.3 </w:t>
            </w:r>
          </w:p>
        </w:tc>
      </w:tr>
    </w:tbl>
    <w:p w14:paraId="434C2A66" w14:textId="77777777" w:rsidR="003D30B2" w:rsidRPr="00A43F68" w:rsidRDefault="003D30B2" w:rsidP="002955A0">
      <w:pPr>
        <w:pStyle w:val="ExhibitText"/>
        <w:rPr>
          <w:sz w:val="14"/>
          <w:szCs w:val="14"/>
          <w:lang w:val="en-CA"/>
        </w:rPr>
      </w:pPr>
    </w:p>
    <w:p w14:paraId="5C0372E8" w14:textId="254188D1" w:rsidR="003D30B2" w:rsidRPr="00A43F68" w:rsidRDefault="003D30B2" w:rsidP="003D30B2">
      <w:pPr>
        <w:jc w:val="both"/>
        <w:rPr>
          <w:rFonts w:ascii="Arial" w:hAnsi="Arial" w:cs="Arial"/>
          <w:kern w:val="2"/>
          <w:sz w:val="17"/>
          <w:szCs w:val="17"/>
          <w:lang w:val="en-CA"/>
        </w:rPr>
      </w:pPr>
      <w:r w:rsidRPr="00A43F68">
        <w:rPr>
          <w:rFonts w:ascii="Arial" w:hAnsi="Arial" w:cs="Arial"/>
          <w:kern w:val="2"/>
          <w:sz w:val="17"/>
          <w:szCs w:val="17"/>
          <w:lang w:val="en-CA"/>
        </w:rPr>
        <w:t xml:space="preserve">Source: Created by the case authors based on “Fisheries </w:t>
      </w:r>
      <w:r w:rsidR="001D6FC7" w:rsidRPr="00A43F68">
        <w:rPr>
          <w:rFonts w:ascii="Arial" w:hAnsi="Arial" w:cs="Arial"/>
          <w:kern w:val="2"/>
          <w:sz w:val="17"/>
          <w:szCs w:val="17"/>
          <w:lang w:val="en-CA"/>
        </w:rPr>
        <w:t>Data</w:t>
      </w:r>
      <w:r w:rsidRPr="00A43F68">
        <w:rPr>
          <w:rFonts w:ascii="Arial" w:hAnsi="Arial" w:cs="Arial"/>
          <w:kern w:val="2"/>
          <w:sz w:val="17"/>
          <w:szCs w:val="17"/>
          <w:lang w:val="en-CA"/>
        </w:rPr>
        <w:t>,” Australian Government</w:t>
      </w:r>
      <w:r w:rsidR="001D6FC7" w:rsidRPr="00A43F68">
        <w:rPr>
          <w:rFonts w:ascii="Arial" w:hAnsi="Arial" w:cs="Arial"/>
          <w:kern w:val="2"/>
          <w:sz w:val="17"/>
          <w:szCs w:val="17"/>
          <w:lang w:val="en-CA"/>
        </w:rPr>
        <w:t>—</w:t>
      </w:r>
      <w:r w:rsidRPr="00A43F68">
        <w:rPr>
          <w:rFonts w:ascii="Arial" w:hAnsi="Arial" w:cs="Arial"/>
          <w:kern w:val="2"/>
          <w:sz w:val="17"/>
          <w:szCs w:val="17"/>
          <w:lang w:val="en-CA"/>
        </w:rPr>
        <w:t>Department of Agriculture and Water Resources, accessed October 27, 2018, www.agriculture.gov.au/abares/research-topics/fisheries/fisheries-data#australian-fisheries-and-aquaculture-statistics-2016.</w:t>
      </w:r>
    </w:p>
    <w:p w14:paraId="0B5C0D12" w14:textId="77777777" w:rsidR="003D30B2" w:rsidRPr="00A43F68" w:rsidRDefault="003D30B2" w:rsidP="00EB600D">
      <w:pPr>
        <w:pStyle w:val="ExhibitText"/>
        <w:rPr>
          <w:sz w:val="14"/>
          <w:szCs w:val="14"/>
          <w:lang w:val="en-CA"/>
        </w:rPr>
      </w:pPr>
    </w:p>
    <w:p w14:paraId="58E0A22C" w14:textId="24906364" w:rsidR="002955A0" w:rsidRPr="00A43F68" w:rsidRDefault="002955A0" w:rsidP="00EB600D">
      <w:pPr>
        <w:pStyle w:val="ExhibitText"/>
        <w:rPr>
          <w:sz w:val="14"/>
          <w:szCs w:val="14"/>
          <w:lang w:val="en-CA" w:eastAsia="zh-CN"/>
        </w:rPr>
      </w:pPr>
    </w:p>
    <w:p w14:paraId="4B5E1CFF" w14:textId="4D1EC1F3" w:rsidR="003D30B2" w:rsidRPr="00A43F68" w:rsidRDefault="003D30B2" w:rsidP="003D30B2">
      <w:pPr>
        <w:jc w:val="center"/>
        <w:outlineLvl w:val="0"/>
        <w:rPr>
          <w:rFonts w:ascii="Arial" w:hAnsi="Arial" w:cs="Arial"/>
          <w:b/>
          <w:caps/>
          <w:kern w:val="2"/>
          <w:lang w:val="en-CA"/>
        </w:rPr>
      </w:pPr>
      <w:r w:rsidRPr="00A43F68">
        <w:rPr>
          <w:rFonts w:ascii="Arial" w:hAnsi="Arial" w:cs="Arial"/>
          <w:b/>
          <w:caps/>
          <w:kern w:val="2"/>
          <w:lang w:val="en-CA"/>
        </w:rPr>
        <w:t xml:space="preserve">Exhibit </w:t>
      </w:r>
      <w:r w:rsidR="00DE3D2F" w:rsidRPr="00A43F68">
        <w:rPr>
          <w:rFonts w:ascii="Arial" w:hAnsi="Arial" w:cs="Arial"/>
          <w:b/>
          <w:caps/>
          <w:kern w:val="2"/>
          <w:lang w:val="en-CA"/>
        </w:rPr>
        <w:t>8</w:t>
      </w:r>
      <w:r w:rsidRPr="00A43F68">
        <w:rPr>
          <w:rFonts w:ascii="Arial" w:hAnsi="Arial" w:cs="Arial"/>
          <w:b/>
          <w:caps/>
          <w:kern w:val="2"/>
          <w:lang w:val="en-CA"/>
        </w:rPr>
        <w:t xml:space="preserve">B: Australia seafood export values by market (million A$) </w:t>
      </w:r>
    </w:p>
    <w:p w14:paraId="748B4996" w14:textId="77777777" w:rsidR="003D30B2" w:rsidRPr="00A43F68" w:rsidRDefault="003D30B2" w:rsidP="002955A0">
      <w:pPr>
        <w:pStyle w:val="ExhibitText"/>
        <w:rPr>
          <w:sz w:val="14"/>
          <w:szCs w:val="14"/>
          <w:lang w:val="en-CA"/>
        </w:rPr>
      </w:pPr>
    </w:p>
    <w:tbl>
      <w:tblPr>
        <w:tblW w:w="7290" w:type="dxa"/>
        <w:jc w:val="center"/>
        <w:tblLook w:val="04A0" w:firstRow="1" w:lastRow="0" w:firstColumn="1" w:lastColumn="0" w:noHBand="0" w:noVBand="1"/>
      </w:tblPr>
      <w:tblGrid>
        <w:gridCol w:w="3150"/>
        <w:gridCol w:w="1440"/>
        <w:gridCol w:w="1350"/>
        <w:gridCol w:w="1350"/>
      </w:tblGrid>
      <w:tr w:rsidR="003D30B2" w:rsidRPr="00A43F68" w14:paraId="18CC96C8" w14:textId="77777777" w:rsidTr="00EB600D">
        <w:trPr>
          <w:trHeight w:val="89"/>
          <w:jc w:val="center"/>
        </w:trPr>
        <w:tc>
          <w:tcPr>
            <w:tcW w:w="31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E92EF5D" w14:textId="5E2A818E" w:rsidR="003D30B2" w:rsidRPr="00A43F68" w:rsidRDefault="003D30B2" w:rsidP="003D30B2">
            <w:pPr>
              <w:jc w:val="center"/>
              <w:rPr>
                <w:rFonts w:ascii="Arial" w:eastAsia="SimSun" w:hAnsi="Arial" w:cs="Arial"/>
                <w:b/>
                <w:bCs/>
                <w:color w:val="000000"/>
                <w:sz w:val="19"/>
                <w:szCs w:val="19"/>
                <w:lang w:val="en-CA" w:eastAsia="zh-CN"/>
              </w:rPr>
            </w:pPr>
            <w:r w:rsidRPr="00A43F68">
              <w:rPr>
                <w:rFonts w:ascii="Arial" w:eastAsia="SimSun" w:hAnsi="Arial" w:cs="Arial"/>
                <w:b/>
                <w:bCs/>
                <w:color w:val="000000"/>
                <w:sz w:val="19"/>
                <w:szCs w:val="19"/>
                <w:lang w:val="en-CA" w:eastAsia="zh-CN"/>
              </w:rPr>
              <w:t xml:space="preserve">Export </w:t>
            </w:r>
            <w:r w:rsidR="00B31A92" w:rsidRPr="00A43F68">
              <w:rPr>
                <w:rFonts w:ascii="Arial" w:eastAsia="SimSun" w:hAnsi="Arial" w:cs="Arial"/>
                <w:b/>
                <w:bCs/>
                <w:color w:val="000000"/>
                <w:sz w:val="19"/>
                <w:szCs w:val="19"/>
                <w:lang w:val="en-CA" w:eastAsia="zh-CN"/>
              </w:rPr>
              <w:t>markets</w:t>
            </w:r>
          </w:p>
        </w:tc>
        <w:tc>
          <w:tcPr>
            <w:tcW w:w="1440" w:type="dxa"/>
            <w:tcBorders>
              <w:top w:val="single" w:sz="4" w:space="0" w:color="auto"/>
              <w:left w:val="nil"/>
              <w:bottom w:val="single" w:sz="4" w:space="0" w:color="auto"/>
              <w:right w:val="single" w:sz="4" w:space="0" w:color="auto"/>
            </w:tcBorders>
            <w:shd w:val="clear" w:color="auto" w:fill="auto"/>
            <w:vAlign w:val="bottom"/>
            <w:hideMark/>
          </w:tcPr>
          <w:p w14:paraId="05F57D9C" w14:textId="77777777" w:rsidR="003D30B2" w:rsidRPr="00A43F68" w:rsidRDefault="003D30B2" w:rsidP="003D30B2">
            <w:pPr>
              <w:jc w:val="center"/>
              <w:rPr>
                <w:rFonts w:ascii="Arial" w:eastAsia="SimSun" w:hAnsi="Arial" w:cs="Arial"/>
                <w:b/>
                <w:bCs/>
                <w:color w:val="000000"/>
                <w:sz w:val="19"/>
                <w:szCs w:val="19"/>
                <w:lang w:val="en-CA" w:eastAsia="zh-CN"/>
              </w:rPr>
            </w:pPr>
            <w:r w:rsidRPr="00A43F68">
              <w:rPr>
                <w:rFonts w:ascii="Arial" w:eastAsia="SimSun" w:hAnsi="Arial" w:cs="Arial"/>
                <w:b/>
                <w:bCs/>
                <w:color w:val="000000"/>
                <w:sz w:val="19"/>
                <w:szCs w:val="19"/>
                <w:lang w:val="en-CA" w:eastAsia="zh-CN"/>
              </w:rPr>
              <w:t>2013–2014</w:t>
            </w:r>
          </w:p>
        </w:tc>
        <w:tc>
          <w:tcPr>
            <w:tcW w:w="1350" w:type="dxa"/>
            <w:tcBorders>
              <w:top w:val="single" w:sz="4" w:space="0" w:color="auto"/>
              <w:left w:val="nil"/>
              <w:bottom w:val="single" w:sz="4" w:space="0" w:color="auto"/>
              <w:right w:val="single" w:sz="4" w:space="0" w:color="auto"/>
            </w:tcBorders>
            <w:shd w:val="clear" w:color="auto" w:fill="auto"/>
            <w:vAlign w:val="bottom"/>
            <w:hideMark/>
          </w:tcPr>
          <w:p w14:paraId="35E06D57" w14:textId="77777777" w:rsidR="003D30B2" w:rsidRPr="00A43F68" w:rsidRDefault="003D30B2" w:rsidP="003D30B2">
            <w:pPr>
              <w:jc w:val="center"/>
              <w:rPr>
                <w:rFonts w:ascii="Arial" w:eastAsia="SimSun" w:hAnsi="Arial" w:cs="Arial"/>
                <w:b/>
                <w:bCs/>
                <w:color w:val="000000"/>
                <w:sz w:val="19"/>
                <w:szCs w:val="19"/>
                <w:lang w:val="en-CA" w:eastAsia="zh-CN"/>
              </w:rPr>
            </w:pPr>
            <w:r w:rsidRPr="00A43F68">
              <w:rPr>
                <w:rFonts w:ascii="Arial" w:eastAsia="SimSun" w:hAnsi="Arial" w:cs="Arial"/>
                <w:b/>
                <w:bCs/>
                <w:color w:val="000000"/>
                <w:sz w:val="19"/>
                <w:szCs w:val="19"/>
                <w:lang w:val="en-CA" w:eastAsia="zh-CN"/>
              </w:rPr>
              <w:t>2014–2015</w:t>
            </w:r>
          </w:p>
        </w:tc>
        <w:tc>
          <w:tcPr>
            <w:tcW w:w="1350" w:type="dxa"/>
            <w:tcBorders>
              <w:top w:val="single" w:sz="4" w:space="0" w:color="auto"/>
              <w:left w:val="nil"/>
              <w:bottom w:val="single" w:sz="4" w:space="0" w:color="auto"/>
              <w:right w:val="single" w:sz="4" w:space="0" w:color="auto"/>
            </w:tcBorders>
            <w:shd w:val="clear" w:color="auto" w:fill="auto"/>
            <w:vAlign w:val="bottom"/>
            <w:hideMark/>
          </w:tcPr>
          <w:p w14:paraId="7DCF67C3" w14:textId="77777777" w:rsidR="003D30B2" w:rsidRPr="00A43F68" w:rsidRDefault="003D30B2" w:rsidP="003D30B2">
            <w:pPr>
              <w:jc w:val="center"/>
              <w:rPr>
                <w:rFonts w:ascii="Arial" w:eastAsia="SimSun" w:hAnsi="Arial" w:cs="Arial"/>
                <w:b/>
                <w:bCs/>
                <w:color w:val="000000"/>
                <w:sz w:val="19"/>
                <w:szCs w:val="19"/>
                <w:lang w:val="en-CA" w:eastAsia="zh-CN"/>
              </w:rPr>
            </w:pPr>
            <w:r w:rsidRPr="00A43F68">
              <w:rPr>
                <w:rFonts w:ascii="Arial" w:eastAsia="SimSun" w:hAnsi="Arial" w:cs="Arial"/>
                <w:b/>
                <w:bCs/>
                <w:color w:val="000000"/>
                <w:sz w:val="19"/>
                <w:szCs w:val="19"/>
                <w:lang w:val="en-CA" w:eastAsia="zh-CN"/>
              </w:rPr>
              <w:t>2015–2016</w:t>
            </w:r>
          </w:p>
        </w:tc>
      </w:tr>
      <w:tr w:rsidR="003D30B2" w:rsidRPr="00A43F68" w14:paraId="4029019B" w14:textId="77777777" w:rsidTr="00EB600D">
        <w:trPr>
          <w:trHeight w:val="116"/>
          <w:jc w:val="center"/>
        </w:trPr>
        <w:tc>
          <w:tcPr>
            <w:tcW w:w="7290" w:type="dxa"/>
            <w:gridSpan w:val="4"/>
            <w:tcBorders>
              <w:top w:val="single" w:sz="4" w:space="0" w:color="auto"/>
              <w:left w:val="single" w:sz="4" w:space="0" w:color="auto"/>
              <w:bottom w:val="single" w:sz="4" w:space="0" w:color="auto"/>
              <w:right w:val="single" w:sz="4" w:space="0" w:color="auto"/>
            </w:tcBorders>
            <w:shd w:val="clear" w:color="auto" w:fill="auto"/>
            <w:vAlign w:val="bottom"/>
            <w:hideMark/>
          </w:tcPr>
          <w:p w14:paraId="7BC142B5" w14:textId="30035941" w:rsidR="003D30B2" w:rsidRPr="00A43F68" w:rsidRDefault="003D30B2" w:rsidP="003D30B2">
            <w:pPr>
              <w:rPr>
                <w:rFonts w:ascii="Arial" w:eastAsia="SimSun" w:hAnsi="Arial" w:cs="Arial"/>
                <w:b/>
                <w:bCs/>
                <w:color w:val="000000"/>
                <w:sz w:val="19"/>
                <w:szCs w:val="19"/>
                <w:lang w:val="en-CA" w:eastAsia="zh-CN"/>
              </w:rPr>
            </w:pPr>
            <w:r w:rsidRPr="00A43F68">
              <w:rPr>
                <w:rFonts w:ascii="Arial" w:eastAsia="SimSun" w:hAnsi="Arial" w:cs="Arial"/>
                <w:b/>
                <w:bCs/>
                <w:color w:val="000000"/>
                <w:sz w:val="19"/>
                <w:szCs w:val="19"/>
                <w:lang w:val="en-CA" w:eastAsia="zh-CN"/>
              </w:rPr>
              <w:t xml:space="preserve">Asian </w:t>
            </w:r>
            <w:r w:rsidR="007C5D5C" w:rsidRPr="00A43F68">
              <w:rPr>
                <w:rFonts w:ascii="Arial" w:eastAsia="SimSun" w:hAnsi="Arial" w:cs="Arial"/>
                <w:b/>
                <w:bCs/>
                <w:color w:val="000000"/>
                <w:sz w:val="19"/>
                <w:szCs w:val="19"/>
                <w:lang w:val="en-CA" w:eastAsia="zh-CN"/>
              </w:rPr>
              <w:t>m</w:t>
            </w:r>
            <w:r w:rsidRPr="00A43F68">
              <w:rPr>
                <w:rFonts w:ascii="Arial" w:eastAsia="SimSun" w:hAnsi="Arial" w:cs="Arial"/>
                <w:b/>
                <w:bCs/>
                <w:color w:val="000000"/>
                <w:sz w:val="19"/>
                <w:szCs w:val="19"/>
                <w:lang w:val="en-CA" w:eastAsia="zh-CN"/>
              </w:rPr>
              <w:t>arkets</w:t>
            </w:r>
          </w:p>
        </w:tc>
      </w:tr>
      <w:tr w:rsidR="003D30B2" w:rsidRPr="00A43F68" w14:paraId="71958E22" w14:textId="77777777" w:rsidTr="00EB600D">
        <w:trPr>
          <w:trHeight w:val="56"/>
          <w:jc w:val="center"/>
        </w:trPr>
        <w:tc>
          <w:tcPr>
            <w:tcW w:w="3150" w:type="dxa"/>
            <w:tcBorders>
              <w:top w:val="nil"/>
              <w:left w:val="single" w:sz="4" w:space="0" w:color="auto"/>
              <w:bottom w:val="single" w:sz="4" w:space="0" w:color="auto"/>
              <w:right w:val="single" w:sz="4" w:space="0" w:color="auto"/>
            </w:tcBorders>
            <w:shd w:val="clear" w:color="auto" w:fill="auto"/>
            <w:vAlign w:val="bottom"/>
            <w:hideMark/>
          </w:tcPr>
          <w:p w14:paraId="002F67DC" w14:textId="6D98CB29" w:rsidR="003D30B2" w:rsidRPr="00A43F68" w:rsidRDefault="003D30B2" w:rsidP="003D30B2">
            <w:pPr>
              <w:rPr>
                <w:rFonts w:ascii="Arial" w:eastAsia="SimSun" w:hAnsi="Arial" w:cs="Arial"/>
                <w:color w:val="000000"/>
                <w:sz w:val="19"/>
                <w:szCs w:val="19"/>
                <w:lang w:val="en-CA" w:eastAsia="zh-CN"/>
              </w:rPr>
            </w:pPr>
            <w:r w:rsidRPr="00A43F68">
              <w:rPr>
                <w:rFonts w:ascii="Arial" w:eastAsia="SimSun" w:hAnsi="Arial" w:cs="Arial"/>
                <w:color w:val="000000"/>
                <w:sz w:val="19"/>
                <w:szCs w:val="19"/>
                <w:lang w:val="en-CA" w:eastAsia="zh-CN"/>
              </w:rPr>
              <w:t>China</w:t>
            </w:r>
          </w:p>
        </w:tc>
        <w:tc>
          <w:tcPr>
            <w:tcW w:w="1440" w:type="dxa"/>
            <w:tcBorders>
              <w:top w:val="nil"/>
              <w:left w:val="nil"/>
              <w:bottom w:val="single" w:sz="4" w:space="0" w:color="auto"/>
              <w:right w:val="single" w:sz="4" w:space="0" w:color="auto"/>
            </w:tcBorders>
            <w:shd w:val="clear" w:color="auto" w:fill="auto"/>
            <w:vAlign w:val="bottom"/>
            <w:hideMark/>
          </w:tcPr>
          <w:p w14:paraId="35B02084" w14:textId="77777777" w:rsidR="003D30B2" w:rsidRPr="00A43F68" w:rsidRDefault="003D30B2" w:rsidP="003D30B2">
            <w:pPr>
              <w:jc w:val="right"/>
              <w:rPr>
                <w:rFonts w:ascii="Arial" w:eastAsia="SimSun" w:hAnsi="Arial" w:cs="Arial"/>
                <w:color w:val="000000"/>
                <w:sz w:val="19"/>
                <w:szCs w:val="19"/>
                <w:lang w:val="en-CA" w:eastAsia="zh-CN"/>
              </w:rPr>
            </w:pPr>
            <w:r w:rsidRPr="00A43F68">
              <w:rPr>
                <w:rFonts w:ascii="Arial" w:eastAsia="SimSun" w:hAnsi="Arial" w:cs="Arial"/>
                <w:color w:val="000000"/>
                <w:sz w:val="19"/>
                <w:szCs w:val="19"/>
                <w:lang w:val="en-CA" w:eastAsia="zh-CN"/>
              </w:rPr>
              <w:t xml:space="preserve"> 36.6 </w:t>
            </w:r>
          </w:p>
        </w:tc>
        <w:tc>
          <w:tcPr>
            <w:tcW w:w="1350" w:type="dxa"/>
            <w:tcBorders>
              <w:top w:val="nil"/>
              <w:left w:val="nil"/>
              <w:bottom w:val="single" w:sz="4" w:space="0" w:color="auto"/>
              <w:right w:val="single" w:sz="4" w:space="0" w:color="auto"/>
            </w:tcBorders>
            <w:shd w:val="clear" w:color="auto" w:fill="auto"/>
            <w:vAlign w:val="bottom"/>
            <w:hideMark/>
          </w:tcPr>
          <w:p w14:paraId="40DC2745" w14:textId="77777777" w:rsidR="003D30B2" w:rsidRPr="00A43F68" w:rsidRDefault="003D30B2" w:rsidP="003D30B2">
            <w:pPr>
              <w:jc w:val="right"/>
              <w:rPr>
                <w:rFonts w:ascii="Arial" w:eastAsia="SimSun" w:hAnsi="Arial" w:cs="Arial"/>
                <w:color w:val="000000"/>
                <w:sz w:val="19"/>
                <w:szCs w:val="19"/>
                <w:lang w:val="en-CA" w:eastAsia="zh-CN"/>
              </w:rPr>
            </w:pPr>
            <w:r w:rsidRPr="00A43F68">
              <w:rPr>
                <w:rFonts w:ascii="Arial" w:eastAsia="SimSun" w:hAnsi="Arial" w:cs="Arial"/>
                <w:color w:val="000000"/>
                <w:sz w:val="19"/>
                <w:szCs w:val="19"/>
                <w:lang w:val="en-CA" w:eastAsia="zh-CN"/>
              </w:rPr>
              <w:t xml:space="preserve"> 48.7 </w:t>
            </w:r>
          </w:p>
        </w:tc>
        <w:tc>
          <w:tcPr>
            <w:tcW w:w="1350" w:type="dxa"/>
            <w:tcBorders>
              <w:top w:val="nil"/>
              <w:left w:val="nil"/>
              <w:bottom w:val="single" w:sz="4" w:space="0" w:color="auto"/>
              <w:right w:val="single" w:sz="4" w:space="0" w:color="auto"/>
            </w:tcBorders>
            <w:shd w:val="clear" w:color="auto" w:fill="auto"/>
            <w:vAlign w:val="bottom"/>
            <w:hideMark/>
          </w:tcPr>
          <w:p w14:paraId="58DB5696" w14:textId="77777777" w:rsidR="003D30B2" w:rsidRPr="00A43F68" w:rsidRDefault="003D30B2" w:rsidP="003D30B2">
            <w:pPr>
              <w:jc w:val="right"/>
              <w:rPr>
                <w:rFonts w:ascii="Arial" w:eastAsia="SimSun" w:hAnsi="Arial" w:cs="Arial"/>
                <w:color w:val="000000"/>
                <w:sz w:val="19"/>
                <w:szCs w:val="19"/>
                <w:lang w:val="en-CA" w:eastAsia="zh-CN"/>
              </w:rPr>
            </w:pPr>
            <w:r w:rsidRPr="00A43F68">
              <w:rPr>
                <w:rFonts w:ascii="Arial" w:eastAsia="SimSun" w:hAnsi="Arial" w:cs="Arial"/>
                <w:color w:val="000000"/>
                <w:sz w:val="19"/>
                <w:szCs w:val="19"/>
                <w:lang w:val="en-CA" w:eastAsia="zh-CN"/>
              </w:rPr>
              <w:t xml:space="preserve"> 104.6 </w:t>
            </w:r>
          </w:p>
        </w:tc>
      </w:tr>
      <w:tr w:rsidR="003D30B2" w:rsidRPr="00A43F68" w14:paraId="174AD758" w14:textId="77777777" w:rsidTr="00EB600D">
        <w:trPr>
          <w:trHeight w:val="56"/>
          <w:jc w:val="center"/>
        </w:trPr>
        <w:tc>
          <w:tcPr>
            <w:tcW w:w="3150" w:type="dxa"/>
            <w:tcBorders>
              <w:top w:val="nil"/>
              <w:left w:val="single" w:sz="4" w:space="0" w:color="auto"/>
              <w:bottom w:val="single" w:sz="4" w:space="0" w:color="auto"/>
              <w:right w:val="single" w:sz="4" w:space="0" w:color="auto"/>
            </w:tcBorders>
            <w:shd w:val="clear" w:color="auto" w:fill="auto"/>
            <w:vAlign w:val="bottom"/>
            <w:hideMark/>
          </w:tcPr>
          <w:p w14:paraId="117A9FCC" w14:textId="4D29196E" w:rsidR="003D30B2" w:rsidRPr="00A43F68" w:rsidRDefault="003D30B2" w:rsidP="003D30B2">
            <w:pPr>
              <w:rPr>
                <w:rFonts w:ascii="Arial" w:eastAsia="SimSun" w:hAnsi="Arial" w:cs="Arial"/>
                <w:color w:val="000000"/>
                <w:sz w:val="19"/>
                <w:szCs w:val="19"/>
                <w:lang w:val="en-CA" w:eastAsia="zh-CN"/>
              </w:rPr>
            </w:pPr>
            <w:r w:rsidRPr="00A43F68">
              <w:rPr>
                <w:rFonts w:ascii="Arial" w:eastAsia="SimSun" w:hAnsi="Arial" w:cs="Arial"/>
                <w:color w:val="000000"/>
                <w:sz w:val="19"/>
                <w:szCs w:val="19"/>
                <w:lang w:val="en-CA" w:eastAsia="zh-CN"/>
              </w:rPr>
              <w:t>Hong Kong</w:t>
            </w:r>
          </w:p>
        </w:tc>
        <w:tc>
          <w:tcPr>
            <w:tcW w:w="1440" w:type="dxa"/>
            <w:tcBorders>
              <w:top w:val="nil"/>
              <w:left w:val="nil"/>
              <w:bottom w:val="single" w:sz="4" w:space="0" w:color="auto"/>
              <w:right w:val="single" w:sz="4" w:space="0" w:color="auto"/>
            </w:tcBorders>
            <w:shd w:val="clear" w:color="auto" w:fill="auto"/>
            <w:vAlign w:val="bottom"/>
            <w:hideMark/>
          </w:tcPr>
          <w:p w14:paraId="285108E3" w14:textId="77777777" w:rsidR="003D30B2" w:rsidRPr="00A43F68" w:rsidRDefault="003D30B2" w:rsidP="003D30B2">
            <w:pPr>
              <w:jc w:val="right"/>
              <w:rPr>
                <w:rFonts w:ascii="Arial" w:eastAsia="SimSun" w:hAnsi="Arial" w:cs="Arial"/>
                <w:color w:val="000000"/>
                <w:sz w:val="19"/>
                <w:szCs w:val="19"/>
                <w:lang w:val="en-CA" w:eastAsia="zh-CN"/>
              </w:rPr>
            </w:pPr>
            <w:r w:rsidRPr="00A43F68">
              <w:rPr>
                <w:rFonts w:ascii="Arial" w:eastAsia="SimSun" w:hAnsi="Arial" w:cs="Arial"/>
                <w:color w:val="000000"/>
                <w:sz w:val="19"/>
                <w:szCs w:val="19"/>
                <w:lang w:val="en-CA" w:eastAsia="zh-CN"/>
              </w:rPr>
              <w:t xml:space="preserve"> 208.9 </w:t>
            </w:r>
          </w:p>
        </w:tc>
        <w:tc>
          <w:tcPr>
            <w:tcW w:w="1350" w:type="dxa"/>
            <w:tcBorders>
              <w:top w:val="nil"/>
              <w:left w:val="nil"/>
              <w:bottom w:val="single" w:sz="4" w:space="0" w:color="auto"/>
              <w:right w:val="single" w:sz="4" w:space="0" w:color="auto"/>
            </w:tcBorders>
            <w:shd w:val="clear" w:color="auto" w:fill="auto"/>
            <w:vAlign w:val="bottom"/>
            <w:hideMark/>
          </w:tcPr>
          <w:p w14:paraId="47CEB3A6" w14:textId="77777777" w:rsidR="003D30B2" w:rsidRPr="00A43F68" w:rsidRDefault="003D30B2" w:rsidP="003D30B2">
            <w:pPr>
              <w:jc w:val="right"/>
              <w:rPr>
                <w:rFonts w:ascii="Arial" w:eastAsia="SimSun" w:hAnsi="Arial" w:cs="Arial"/>
                <w:color w:val="000000"/>
                <w:sz w:val="19"/>
                <w:szCs w:val="19"/>
                <w:lang w:val="en-CA" w:eastAsia="zh-CN"/>
              </w:rPr>
            </w:pPr>
            <w:r w:rsidRPr="00A43F68">
              <w:rPr>
                <w:rFonts w:ascii="Arial" w:eastAsia="SimSun" w:hAnsi="Arial" w:cs="Arial"/>
                <w:color w:val="000000"/>
                <w:sz w:val="19"/>
                <w:szCs w:val="19"/>
                <w:lang w:val="en-CA" w:eastAsia="zh-CN"/>
              </w:rPr>
              <w:t xml:space="preserve"> 192.3 </w:t>
            </w:r>
          </w:p>
        </w:tc>
        <w:tc>
          <w:tcPr>
            <w:tcW w:w="1350" w:type="dxa"/>
            <w:tcBorders>
              <w:top w:val="nil"/>
              <w:left w:val="nil"/>
              <w:bottom w:val="single" w:sz="4" w:space="0" w:color="auto"/>
              <w:right w:val="single" w:sz="4" w:space="0" w:color="auto"/>
            </w:tcBorders>
            <w:shd w:val="clear" w:color="auto" w:fill="auto"/>
            <w:vAlign w:val="bottom"/>
            <w:hideMark/>
          </w:tcPr>
          <w:p w14:paraId="5FCEB035" w14:textId="77777777" w:rsidR="003D30B2" w:rsidRPr="00A43F68" w:rsidRDefault="003D30B2" w:rsidP="003D30B2">
            <w:pPr>
              <w:jc w:val="right"/>
              <w:rPr>
                <w:rFonts w:ascii="Arial" w:eastAsia="SimSun" w:hAnsi="Arial" w:cs="Arial"/>
                <w:color w:val="000000"/>
                <w:sz w:val="19"/>
                <w:szCs w:val="19"/>
                <w:lang w:val="en-CA" w:eastAsia="zh-CN"/>
              </w:rPr>
            </w:pPr>
            <w:r w:rsidRPr="00A43F68">
              <w:rPr>
                <w:rFonts w:ascii="Arial" w:eastAsia="SimSun" w:hAnsi="Arial" w:cs="Arial"/>
                <w:color w:val="000000"/>
                <w:sz w:val="19"/>
                <w:szCs w:val="19"/>
                <w:lang w:val="en-CA" w:eastAsia="zh-CN"/>
              </w:rPr>
              <w:t xml:space="preserve"> 223.7 </w:t>
            </w:r>
          </w:p>
        </w:tc>
      </w:tr>
      <w:tr w:rsidR="003D30B2" w:rsidRPr="00A43F68" w14:paraId="2FD951F4" w14:textId="77777777" w:rsidTr="00EB600D">
        <w:trPr>
          <w:trHeight w:val="107"/>
          <w:jc w:val="center"/>
        </w:trPr>
        <w:tc>
          <w:tcPr>
            <w:tcW w:w="3150" w:type="dxa"/>
            <w:tcBorders>
              <w:top w:val="nil"/>
              <w:left w:val="single" w:sz="4" w:space="0" w:color="auto"/>
              <w:bottom w:val="single" w:sz="4" w:space="0" w:color="auto"/>
              <w:right w:val="single" w:sz="4" w:space="0" w:color="auto"/>
            </w:tcBorders>
            <w:shd w:val="clear" w:color="auto" w:fill="auto"/>
            <w:vAlign w:val="bottom"/>
            <w:hideMark/>
          </w:tcPr>
          <w:p w14:paraId="2D3408A3" w14:textId="17AB47CA" w:rsidR="003D30B2" w:rsidRPr="00A43F68" w:rsidRDefault="003D30B2" w:rsidP="003D30B2">
            <w:pPr>
              <w:rPr>
                <w:rFonts w:ascii="Arial" w:eastAsia="SimSun" w:hAnsi="Arial" w:cs="Arial"/>
                <w:color w:val="000000"/>
                <w:sz w:val="19"/>
                <w:szCs w:val="19"/>
                <w:lang w:val="en-CA" w:eastAsia="zh-CN"/>
              </w:rPr>
            </w:pPr>
            <w:r w:rsidRPr="00A43F68">
              <w:rPr>
                <w:rFonts w:ascii="Arial" w:eastAsia="SimSun" w:hAnsi="Arial" w:cs="Arial"/>
                <w:color w:val="000000"/>
                <w:sz w:val="19"/>
                <w:szCs w:val="19"/>
                <w:lang w:val="en-CA" w:eastAsia="zh-CN"/>
              </w:rPr>
              <w:t>Indonesia</w:t>
            </w:r>
          </w:p>
        </w:tc>
        <w:tc>
          <w:tcPr>
            <w:tcW w:w="1440" w:type="dxa"/>
            <w:tcBorders>
              <w:top w:val="nil"/>
              <w:left w:val="nil"/>
              <w:bottom w:val="single" w:sz="4" w:space="0" w:color="auto"/>
              <w:right w:val="single" w:sz="4" w:space="0" w:color="auto"/>
            </w:tcBorders>
            <w:shd w:val="clear" w:color="auto" w:fill="auto"/>
            <w:vAlign w:val="bottom"/>
            <w:hideMark/>
          </w:tcPr>
          <w:p w14:paraId="403C1B7F" w14:textId="77777777" w:rsidR="003D30B2" w:rsidRPr="00A43F68" w:rsidRDefault="003D30B2" w:rsidP="003D30B2">
            <w:pPr>
              <w:jc w:val="right"/>
              <w:rPr>
                <w:rFonts w:ascii="Arial" w:eastAsia="SimSun" w:hAnsi="Arial" w:cs="Arial"/>
                <w:color w:val="000000"/>
                <w:sz w:val="19"/>
                <w:szCs w:val="19"/>
                <w:lang w:val="en-CA" w:eastAsia="zh-CN"/>
              </w:rPr>
            </w:pPr>
            <w:r w:rsidRPr="00A43F68">
              <w:rPr>
                <w:rFonts w:ascii="Arial" w:eastAsia="SimSun" w:hAnsi="Arial" w:cs="Arial"/>
                <w:color w:val="000000"/>
                <w:sz w:val="19"/>
                <w:szCs w:val="19"/>
                <w:lang w:val="en-CA" w:eastAsia="zh-CN"/>
              </w:rPr>
              <w:t xml:space="preserve"> 9.9 </w:t>
            </w:r>
          </w:p>
        </w:tc>
        <w:tc>
          <w:tcPr>
            <w:tcW w:w="1350" w:type="dxa"/>
            <w:tcBorders>
              <w:top w:val="nil"/>
              <w:left w:val="nil"/>
              <w:bottom w:val="single" w:sz="4" w:space="0" w:color="auto"/>
              <w:right w:val="single" w:sz="4" w:space="0" w:color="auto"/>
            </w:tcBorders>
            <w:shd w:val="clear" w:color="auto" w:fill="auto"/>
            <w:vAlign w:val="bottom"/>
            <w:hideMark/>
          </w:tcPr>
          <w:p w14:paraId="5CF7BF83" w14:textId="77777777" w:rsidR="003D30B2" w:rsidRPr="00A43F68" w:rsidRDefault="003D30B2" w:rsidP="003D30B2">
            <w:pPr>
              <w:jc w:val="right"/>
              <w:rPr>
                <w:rFonts w:ascii="Arial" w:eastAsia="SimSun" w:hAnsi="Arial" w:cs="Arial"/>
                <w:color w:val="000000"/>
                <w:sz w:val="19"/>
                <w:szCs w:val="19"/>
                <w:lang w:val="en-CA" w:eastAsia="zh-CN"/>
              </w:rPr>
            </w:pPr>
            <w:r w:rsidRPr="00A43F68">
              <w:rPr>
                <w:rFonts w:ascii="Arial" w:eastAsia="SimSun" w:hAnsi="Arial" w:cs="Arial"/>
                <w:color w:val="000000"/>
                <w:sz w:val="19"/>
                <w:szCs w:val="19"/>
                <w:lang w:val="en-CA" w:eastAsia="zh-CN"/>
              </w:rPr>
              <w:t xml:space="preserve"> 9.3 </w:t>
            </w:r>
          </w:p>
        </w:tc>
        <w:tc>
          <w:tcPr>
            <w:tcW w:w="1350" w:type="dxa"/>
            <w:tcBorders>
              <w:top w:val="nil"/>
              <w:left w:val="nil"/>
              <w:bottom w:val="single" w:sz="4" w:space="0" w:color="auto"/>
              <w:right w:val="single" w:sz="4" w:space="0" w:color="auto"/>
            </w:tcBorders>
            <w:shd w:val="clear" w:color="auto" w:fill="auto"/>
            <w:vAlign w:val="bottom"/>
            <w:hideMark/>
          </w:tcPr>
          <w:p w14:paraId="277ADF68" w14:textId="77777777" w:rsidR="003D30B2" w:rsidRPr="00A43F68" w:rsidRDefault="003D30B2" w:rsidP="003D30B2">
            <w:pPr>
              <w:jc w:val="right"/>
              <w:rPr>
                <w:rFonts w:ascii="Arial" w:eastAsia="SimSun" w:hAnsi="Arial" w:cs="Arial"/>
                <w:color w:val="000000"/>
                <w:sz w:val="19"/>
                <w:szCs w:val="19"/>
                <w:lang w:val="en-CA" w:eastAsia="zh-CN"/>
              </w:rPr>
            </w:pPr>
            <w:r w:rsidRPr="00A43F68">
              <w:rPr>
                <w:rFonts w:ascii="Arial" w:eastAsia="SimSun" w:hAnsi="Arial" w:cs="Arial"/>
                <w:color w:val="000000"/>
                <w:sz w:val="19"/>
                <w:szCs w:val="19"/>
                <w:lang w:val="en-CA" w:eastAsia="zh-CN"/>
              </w:rPr>
              <w:t xml:space="preserve"> 10.0 </w:t>
            </w:r>
          </w:p>
        </w:tc>
      </w:tr>
      <w:tr w:rsidR="003D30B2" w:rsidRPr="00A43F68" w14:paraId="52BFE312" w14:textId="77777777" w:rsidTr="00EB600D">
        <w:trPr>
          <w:trHeight w:val="152"/>
          <w:jc w:val="center"/>
        </w:trPr>
        <w:tc>
          <w:tcPr>
            <w:tcW w:w="3150" w:type="dxa"/>
            <w:tcBorders>
              <w:top w:val="nil"/>
              <w:left w:val="single" w:sz="4" w:space="0" w:color="auto"/>
              <w:bottom w:val="single" w:sz="4" w:space="0" w:color="auto"/>
              <w:right w:val="single" w:sz="4" w:space="0" w:color="auto"/>
            </w:tcBorders>
            <w:shd w:val="clear" w:color="auto" w:fill="auto"/>
            <w:vAlign w:val="bottom"/>
            <w:hideMark/>
          </w:tcPr>
          <w:p w14:paraId="3F29C7D2" w14:textId="474E5BDB" w:rsidR="003D30B2" w:rsidRPr="00A43F68" w:rsidRDefault="003D30B2" w:rsidP="003D30B2">
            <w:pPr>
              <w:rPr>
                <w:rFonts w:ascii="Arial" w:eastAsia="SimSun" w:hAnsi="Arial" w:cs="Arial"/>
                <w:color w:val="000000"/>
                <w:sz w:val="19"/>
                <w:szCs w:val="19"/>
                <w:lang w:val="en-CA" w:eastAsia="zh-CN"/>
              </w:rPr>
            </w:pPr>
            <w:r w:rsidRPr="00A43F68">
              <w:rPr>
                <w:rFonts w:ascii="Arial" w:eastAsia="SimSun" w:hAnsi="Arial" w:cs="Arial"/>
                <w:color w:val="000000"/>
                <w:sz w:val="19"/>
                <w:szCs w:val="19"/>
                <w:lang w:val="en-CA" w:eastAsia="zh-CN"/>
              </w:rPr>
              <w:t>Japan</w:t>
            </w:r>
          </w:p>
        </w:tc>
        <w:tc>
          <w:tcPr>
            <w:tcW w:w="1440" w:type="dxa"/>
            <w:tcBorders>
              <w:top w:val="nil"/>
              <w:left w:val="nil"/>
              <w:bottom w:val="single" w:sz="4" w:space="0" w:color="auto"/>
              <w:right w:val="single" w:sz="4" w:space="0" w:color="auto"/>
            </w:tcBorders>
            <w:shd w:val="clear" w:color="auto" w:fill="auto"/>
            <w:vAlign w:val="bottom"/>
            <w:hideMark/>
          </w:tcPr>
          <w:p w14:paraId="40E39663" w14:textId="77777777" w:rsidR="003D30B2" w:rsidRPr="00A43F68" w:rsidRDefault="003D30B2" w:rsidP="003D30B2">
            <w:pPr>
              <w:jc w:val="right"/>
              <w:rPr>
                <w:rFonts w:ascii="Arial" w:eastAsia="SimSun" w:hAnsi="Arial" w:cs="Arial"/>
                <w:color w:val="000000"/>
                <w:sz w:val="19"/>
                <w:szCs w:val="19"/>
                <w:lang w:val="en-CA" w:eastAsia="zh-CN"/>
              </w:rPr>
            </w:pPr>
            <w:r w:rsidRPr="00A43F68">
              <w:rPr>
                <w:rFonts w:ascii="Arial" w:eastAsia="SimSun" w:hAnsi="Arial" w:cs="Arial"/>
                <w:color w:val="000000"/>
                <w:sz w:val="19"/>
                <w:szCs w:val="19"/>
                <w:lang w:val="en-CA" w:eastAsia="zh-CN"/>
              </w:rPr>
              <w:t xml:space="preserve"> 192.1 </w:t>
            </w:r>
          </w:p>
        </w:tc>
        <w:tc>
          <w:tcPr>
            <w:tcW w:w="1350" w:type="dxa"/>
            <w:tcBorders>
              <w:top w:val="nil"/>
              <w:left w:val="nil"/>
              <w:bottom w:val="single" w:sz="4" w:space="0" w:color="auto"/>
              <w:right w:val="single" w:sz="4" w:space="0" w:color="auto"/>
            </w:tcBorders>
            <w:shd w:val="clear" w:color="auto" w:fill="auto"/>
            <w:vAlign w:val="bottom"/>
            <w:hideMark/>
          </w:tcPr>
          <w:p w14:paraId="760D184C" w14:textId="77777777" w:rsidR="003D30B2" w:rsidRPr="00A43F68" w:rsidRDefault="003D30B2" w:rsidP="003D30B2">
            <w:pPr>
              <w:jc w:val="right"/>
              <w:rPr>
                <w:rFonts w:ascii="Arial" w:eastAsia="SimSun" w:hAnsi="Arial" w:cs="Arial"/>
                <w:color w:val="000000"/>
                <w:sz w:val="19"/>
                <w:szCs w:val="19"/>
                <w:lang w:val="en-CA" w:eastAsia="zh-CN"/>
              </w:rPr>
            </w:pPr>
            <w:r w:rsidRPr="00A43F68">
              <w:rPr>
                <w:rFonts w:ascii="Arial" w:eastAsia="SimSun" w:hAnsi="Arial" w:cs="Arial"/>
                <w:color w:val="000000"/>
                <w:sz w:val="19"/>
                <w:szCs w:val="19"/>
                <w:lang w:val="en-CA" w:eastAsia="zh-CN"/>
              </w:rPr>
              <w:t xml:space="preserve"> 192.1 </w:t>
            </w:r>
          </w:p>
        </w:tc>
        <w:tc>
          <w:tcPr>
            <w:tcW w:w="1350" w:type="dxa"/>
            <w:tcBorders>
              <w:top w:val="nil"/>
              <w:left w:val="nil"/>
              <w:bottom w:val="single" w:sz="4" w:space="0" w:color="auto"/>
              <w:right w:val="single" w:sz="4" w:space="0" w:color="auto"/>
            </w:tcBorders>
            <w:shd w:val="clear" w:color="auto" w:fill="auto"/>
            <w:vAlign w:val="bottom"/>
            <w:hideMark/>
          </w:tcPr>
          <w:p w14:paraId="6F6A0E9F" w14:textId="77777777" w:rsidR="003D30B2" w:rsidRPr="00A43F68" w:rsidRDefault="003D30B2" w:rsidP="003D30B2">
            <w:pPr>
              <w:jc w:val="right"/>
              <w:rPr>
                <w:rFonts w:ascii="Arial" w:eastAsia="SimSun" w:hAnsi="Arial" w:cs="Arial"/>
                <w:color w:val="000000"/>
                <w:sz w:val="19"/>
                <w:szCs w:val="19"/>
                <w:lang w:val="en-CA" w:eastAsia="zh-CN"/>
              </w:rPr>
            </w:pPr>
            <w:r w:rsidRPr="00A43F68">
              <w:rPr>
                <w:rFonts w:ascii="Arial" w:eastAsia="SimSun" w:hAnsi="Arial" w:cs="Arial"/>
                <w:color w:val="000000"/>
                <w:sz w:val="19"/>
                <w:szCs w:val="19"/>
                <w:lang w:val="en-CA" w:eastAsia="zh-CN"/>
              </w:rPr>
              <w:t xml:space="preserve"> 205.3 </w:t>
            </w:r>
          </w:p>
        </w:tc>
      </w:tr>
      <w:tr w:rsidR="003D30B2" w:rsidRPr="00A43F68" w14:paraId="279BBEA7" w14:textId="77777777" w:rsidTr="00EB600D">
        <w:trPr>
          <w:trHeight w:val="56"/>
          <w:jc w:val="center"/>
        </w:trPr>
        <w:tc>
          <w:tcPr>
            <w:tcW w:w="3150" w:type="dxa"/>
            <w:tcBorders>
              <w:top w:val="nil"/>
              <w:left w:val="single" w:sz="4" w:space="0" w:color="auto"/>
              <w:bottom w:val="single" w:sz="4" w:space="0" w:color="auto"/>
              <w:right w:val="single" w:sz="4" w:space="0" w:color="auto"/>
            </w:tcBorders>
            <w:shd w:val="clear" w:color="auto" w:fill="auto"/>
            <w:vAlign w:val="bottom"/>
            <w:hideMark/>
          </w:tcPr>
          <w:p w14:paraId="26770661" w14:textId="6AC0678A" w:rsidR="003D30B2" w:rsidRPr="00A43F68" w:rsidRDefault="003D30B2" w:rsidP="003D30B2">
            <w:pPr>
              <w:rPr>
                <w:rFonts w:ascii="Arial" w:eastAsia="SimSun" w:hAnsi="Arial" w:cs="Arial"/>
                <w:color w:val="000000"/>
                <w:sz w:val="19"/>
                <w:szCs w:val="19"/>
                <w:lang w:val="en-CA" w:eastAsia="zh-CN"/>
              </w:rPr>
            </w:pPr>
            <w:r w:rsidRPr="00A43F68">
              <w:rPr>
                <w:rFonts w:ascii="Arial" w:eastAsia="SimSun" w:hAnsi="Arial" w:cs="Arial"/>
                <w:color w:val="000000"/>
                <w:sz w:val="19"/>
                <w:szCs w:val="19"/>
                <w:lang w:val="en-CA" w:eastAsia="zh-CN"/>
              </w:rPr>
              <w:t>Malaysia</w:t>
            </w:r>
          </w:p>
        </w:tc>
        <w:tc>
          <w:tcPr>
            <w:tcW w:w="1440" w:type="dxa"/>
            <w:tcBorders>
              <w:top w:val="nil"/>
              <w:left w:val="nil"/>
              <w:bottom w:val="single" w:sz="4" w:space="0" w:color="auto"/>
              <w:right w:val="single" w:sz="4" w:space="0" w:color="auto"/>
            </w:tcBorders>
            <w:shd w:val="clear" w:color="auto" w:fill="auto"/>
            <w:vAlign w:val="bottom"/>
            <w:hideMark/>
          </w:tcPr>
          <w:p w14:paraId="3F3C6CBD" w14:textId="77777777" w:rsidR="003D30B2" w:rsidRPr="00A43F68" w:rsidRDefault="003D30B2" w:rsidP="003D30B2">
            <w:pPr>
              <w:jc w:val="right"/>
              <w:rPr>
                <w:rFonts w:ascii="Arial" w:eastAsia="SimSun" w:hAnsi="Arial" w:cs="Arial"/>
                <w:color w:val="000000"/>
                <w:sz w:val="19"/>
                <w:szCs w:val="19"/>
                <w:lang w:val="en-CA" w:eastAsia="zh-CN"/>
              </w:rPr>
            </w:pPr>
            <w:r w:rsidRPr="00A43F68">
              <w:rPr>
                <w:rFonts w:ascii="Arial" w:eastAsia="SimSun" w:hAnsi="Arial" w:cs="Arial"/>
                <w:color w:val="000000"/>
                <w:sz w:val="19"/>
                <w:szCs w:val="19"/>
                <w:lang w:val="en-CA" w:eastAsia="zh-CN"/>
              </w:rPr>
              <w:t xml:space="preserve"> 9.9 </w:t>
            </w:r>
          </w:p>
        </w:tc>
        <w:tc>
          <w:tcPr>
            <w:tcW w:w="1350" w:type="dxa"/>
            <w:tcBorders>
              <w:top w:val="nil"/>
              <w:left w:val="nil"/>
              <w:bottom w:val="single" w:sz="4" w:space="0" w:color="auto"/>
              <w:right w:val="single" w:sz="4" w:space="0" w:color="auto"/>
            </w:tcBorders>
            <w:shd w:val="clear" w:color="auto" w:fill="auto"/>
            <w:vAlign w:val="bottom"/>
            <w:hideMark/>
          </w:tcPr>
          <w:p w14:paraId="0C245CAA" w14:textId="77777777" w:rsidR="003D30B2" w:rsidRPr="00A43F68" w:rsidRDefault="003D30B2" w:rsidP="003D30B2">
            <w:pPr>
              <w:jc w:val="right"/>
              <w:rPr>
                <w:rFonts w:ascii="Arial" w:eastAsia="SimSun" w:hAnsi="Arial" w:cs="Arial"/>
                <w:color w:val="000000"/>
                <w:sz w:val="19"/>
                <w:szCs w:val="19"/>
                <w:lang w:val="en-CA" w:eastAsia="zh-CN"/>
              </w:rPr>
            </w:pPr>
            <w:r w:rsidRPr="00A43F68">
              <w:rPr>
                <w:rFonts w:ascii="Arial" w:eastAsia="SimSun" w:hAnsi="Arial" w:cs="Arial"/>
                <w:color w:val="000000"/>
                <w:sz w:val="19"/>
                <w:szCs w:val="19"/>
                <w:lang w:val="en-CA" w:eastAsia="zh-CN"/>
              </w:rPr>
              <w:t xml:space="preserve"> 11.2 </w:t>
            </w:r>
          </w:p>
        </w:tc>
        <w:tc>
          <w:tcPr>
            <w:tcW w:w="1350" w:type="dxa"/>
            <w:tcBorders>
              <w:top w:val="nil"/>
              <w:left w:val="nil"/>
              <w:bottom w:val="single" w:sz="4" w:space="0" w:color="auto"/>
              <w:right w:val="single" w:sz="4" w:space="0" w:color="auto"/>
            </w:tcBorders>
            <w:shd w:val="clear" w:color="auto" w:fill="auto"/>
            <w:vAlign w:val="bottom"/>
            <w:hideMark/>
          </w:tcPr>
          <w:p w14:paraId="6A039C9A" w14:textId="77777777" w:rsidR="003D30B2" w:rsidRPr="00A43F68" w:rsidRDefault="003D30B2" w:rsidP="003D30B2">
            <w:pPr>
              <w:jc w:val="right"/>
              <w:rPr>
                <w:rFonts w:ascii="Arial" w:eastAsia="SimSun" w:hAnsi="Arial" w:cs="Arial"/>
                <w:color w:val="000000"/>
                <w:sz w:val="19"/>
                <w:szCs w:val="19"/>
                <w:lang w:val="en-CA" w:eastAsia="zh-CN"/>
              </w:rPr>
            </w:pPr>
            <w:r w:rsidRPr="00A43F68">
              <w:rPr>
                <w:rFonts w:ascii="Arial" w:eastAsia="SimSun" w:hAnsi="Arial" w:cs="Arial"/>
                <w:color w:val="000000"/>
                <w:sz w:val="19"/>
                <w:szCs w:val="19"/>
                <w:lang w:val="en-CA" w:eastAsia="zh-CN"/>
              </w:rPr>
              <w:t xml:space="preserve"> 7.5 </w:t>
            </w:r>
          </w:p>
        </w:tc>
      </w:tr>
      <w:tr w:rsidR="003D30B2" w:rsidRPr="00A43F68" w14:paraId="017F860F" w14:textId="77777777" w:rsidTr="00EB600D">
        <w:trPr>
          <w:trHeight w:val="116"/>
          <w:jc w:val="center"/>
        </w:trPr>
        <w:tc>
          <w:tcPr>
            <w:tcW w:w="3150" w:type="dxa"/>
            <w:tcBorders>
              <w:top w:val="nil"/>
              <w:left w:val="single" w:sz="4" w:space="0" w:color="auto"/>
              <w:bottom w:val="single" w:sz="4" w:space="0" w:color="auto"/>
              <w:right w:val="single" w:sz="4" w:space="0" w:color="auto"/>
            </w:tcBorders>
            <w:shd w:val="clear" w:color="auto" w:fill="auto"/>
            <w:vAlign w:val="bottom"/>
            <w:hideMark/>
          </w:tcPr>
          <w:p w14:paraId="1CEDC611" w14:textId="00A73C50" w:rsidR="003D30B2" w:rsidRPr="00A43F68" w:rsidRDefault="003D30B2" w:rsidP="003D30B2">
            <w:pPr>
              <w:rPr>
                <w:rFonts w:ascii="Arial" w:eastAsia="SimSun" w:hAnsi="Arial" w:cs="Arial"/>
                <w:color w:val="000000"/>
                <w:sz w:val="19"/>
                <w:szCs w:val="19"/>
                <w:lang w:val="en-CA" w:eastAsia="zh-CN"/>
              </w:rPr>
            </w:pPr>
            <w:r w:rsidRPr="00A43F68">
              <w:rPr>
                <w:rFonts w:ascii="Arial" w:eastAsia="SimSun" w:hAnsi="Arial" w:cs="Arial"/>
                <w:color w:val="000000"/>
                <w:sz w:val="19"/>
                <w:szCs w:val="19"/>
                <w:lang w:val="en-CA" w:eastAsia="zh-CN"/>
              </w:rPr>
              <w:t>Singapore</w:t>
            </w:r>
          </w:p>
        </w:tc>
        <w:tc>
          <w:tcPr>
            <w:tcW w:w="1440" w:type="dxa"/>
            <w:tcBorders>
              <w:top w:val="nil"/>
              <w:left w:val="nil"/>
              <w:bottom w:val="single" w:sz="4" w:space="0" w:color="auto"/>
              <w:right w:val="single" w:sz="4" w:space="0" w:color="auto"/>
            </w:tcBorders>
            <w:shd w:val="clear" w:color="auto" w:fill="auto"/>
            <w:vAlign w:val="bottom"/>
            <w:hideMark/>
          </w:tcPr>
          <w:p w14:paraId="68D432E5" w14:textId="77777777" w:rsidR="003D30B2" w:rsidRPr="00A43F68" w:rsidRDefault="003D30B2" w:rsidP="003D30B2">
            <w:pPr>
              <w:jc w:val="right"/>
              <w:rPr>
                <w:rFonts w:ascii="Arial" w:eastAsia="SimSun" w:hAnsi="Arial" w:cs="Arial"/>
                <w:color w:val="000000"/>
                <w:sz w:val="19"/>
                <w:szCs w:val="19"/>
                <w:lang w:val="en-CA" w:eastAsia="zh-CN"/>
              </w:rPr>
            </w:pPr>
            <w:r w:rsidRPr="00A43F68">
              <w:rPr>
                <w:rFonts w:ascii="Arial" w:eastAsia="SimSun" w:hAnsi="Arial" w:cs="Arial"/>
                <w:color w:val="000000"/>
                <w:sz w:val="19"/>
                <w:szCs w:val="19"/>
                <w:lang w:val="en-CA" w:eastAsia="zh-CN"/>
              </w:rPr>
              <w:t xml:space="preserve"> 34.2 </w:t>
            </w:r>
          </w:p>
        </w:tc>
        <w:tc>
          <w:tcPr>
            <w:tcW w:w="1350" w:type="dxa"/>
            <w:tcBorders>
              <w:top w:val="nil"/>
              <w:left w:val="nil"/>
              <w:bottom w:val="single" w:sz="4" w:space="0" w:color="auto"/>
              <w:right w:val="single" w:sz="4" w:space="0" w:color="auto"/>
            </w:tcBorders>
            <w:shd w:val="clear" w:color="auto" w:fill="auto"/>
            <w:vAlign w:val="bottom"/>
            <w:hideMark/>
          </w:tcPr>
          <w:p w14:paraId="2FB1684A" w14:textId="77777777" w:rsidR="003D30B2" w:rsidRPr="00A43F68" w:rsidRDefault="003D30B2" w:rsidP="003D30B2">
            <w:pPr>
              <w:jc w:val="right"/>
              <w:rPr>
                <w:rFonts w:ascii="Arial" w:eastAsia="SimSun" w:hAnsi="Arial" w:cs="Arial"/>
                <w:color w:val="000000"/>
                <w:sz w:val="19"/>
                <w:szCs w:val="19"/>
                <w:lang w:val="en-CA" w:eastAsia="zh-CN"/>
              </w:rPr>
            </w:pPr>
            <w:r w:rsidRPr="00A43F68">
              <w:rPr>
                <w:rFonts w:ascii="Arial" w:eastAsia="SimSun" w:hAnsi="Arial" w:cs="Arial"/>
                <w:color w:val="000000"/>
                <w:sz w:val="19"/>
                <w:szCs w:val="19"/>
                <w:lang w:val="en-CA" w:eastAsia="zh-CN"/>
              </w:rPr>
              <w:t xml:space="preserve"> 35.0 </w:t>
            </w:r>
          </w:p>
        </w:tc>
        <w:tc>
          <w:tcPr>
            <w:tcW w:w="1350" w:type="dxa"/>
            <w:tcBorders>
              <w:top w:val="nil"/>
              <w:left w:val="nil"/>
              <w:bottom w:val="single" w:sz="4" w:space="0" w:color="auto"/>
              <w:right w:val="single" w:sz="4" w:space="0" w:color="auto"/>
            </w:tcBorders>
            <w:shd w:val="clear" w:color="auto" w:fill="auto"/>
            <w:vAlign w:val="bottom"/>
            <w:hideMark/>
          </w:tcPr>
          <w:p w14:paraId="43FAA457" w14:textId="77777777" w:rsidR="003D30B2" w:rsidRPr="00A43F68" w:rsidRDefault="003D30B2" w:rsidP="003D30B2">
            <w:pPr>
              <w:jc w:val="right"/>
              <w:rPr>
                <w:rFonts w:ascii="Arial" w:eastAsia="SimSun" w:hAnsi="Arial" w:cs="Arial"/>
                <w:color w:val="000000"/>
                <w:sz w:val="19"/>
                <w:szCs w:val="19"/>
                <w:lang w:val="en-CA" w:eastAsia="zh-CN"/>
              </w:rPr>
            </w:pPr>
            <w:r w:rsidRPr="00A43F68">
              <w:rPr>
                <w:rFonts w:ascii="Arial" w:eastAsia="SimSun" w:hAnsi="Arial" w:cs="Arial"/>
                <w:color w:val="000000"/>
                <w:sz w:val="19"/>
                <w:szCs w:val="19"/>
                <w:lang w:val="en-CA" w:eastAsia="zh-CN"/>
              </w:rPr>
              <w:t xml:space="preserve"> 35.3 </w:t>
            </w:r>
          </w:p>
        </w:tc>
      </w:tr>
      <w:tr w:rsidR="003D30B2" w:rsidRPr="00A43F68" w14:paraId="42B30653" w14:textId="77777777" w:rsidTr="00EB600D">
        <w:trPr>
          <w:trHeight w:val="143"/>
          <w:jc w:val="center"/>
        </w:trPr>
        <w:tc>
          <w:tcPr>
            <w:tcW w:w="3150" w:type="dxa"/>
            <w:tcBorders>
              <w:top w:val="nil"/>
              <w:left w:val="single" w:sz="4" w:space="0" w:color="auto"/>
              <w:bottom w:val="single" w:sz="4" w:space="0" w:color="auto"/>
              <w:right w:val="single" w:sz="4" w:space="0" w:color="auto"/>
            </w:tcBorders>
            <w:shd w:val="clear" w:color="auto" w:fill="auto"/>
            <w:vAlign w:val="bottom"/>
            <w:hideMark/>
          </w:tcPr>
          <w:p w14:paraId="1446A8DF" w14:textId="29BC8BAC" w:rsidR="003D30B2" w:rsidRPr="00A43F68" w:rsidRDefault="003D30B2" w:rsidP="003D30B2">
            <w:pPr>
              <w:rPr>
                <w:rFonts w:ascii="Arial" w:eastAsia="SimSun" w:hAnsi="Arial" w:cs="Arial"/>
                <w:color w:val="000000"/>
                <w:sz w:val="19"/>
                <w:szCs w:val="19"/>
                <w:lang w:val="en-CA" w:eastAsia="zh-CN"/>
              </w:rPr>
            </w:pPr>
            <w:r w:rsidRPr="00A43F68">
              <w:rPr>
                <w:rFonts w:ascii="Arial" w:eastAsia="SimSun" w:hAnsi="Arial" w:cs="Arial"/>
                <w:color w:val="000000"/>
                <w:sz w:val="19"/>
                <w:szCs w:val="19"/>
                <w:lang w:val="en-CA" w:eastAsia="zh-CN"/>
              </w:rPr>
              <w:t>Taiwan</w:t>
            </w:r>
          </w:p>
        </w:tc>
        <w:tc>
          <w:tcPr>
            <w:tcW w:w="1440" w:type="dxa"/>
            <w:tcBorders>
              <w:top w:val="nil"/>
              <w:left w:val="nil"/>
              <w:bottom w:val="single" w:sz="4" w:space="0" w:color="auto"/>
              <w:right w:val="single" w:sz="4" w:space="0" w:color="auto"/>
            </w:tcBorders>
            <w:shd w:val="clear" w:color="auto" w:fill="auto"/>
            <w:vAlign w:val="bottom"/>
            <w:hideMark/>
          </w:tcPr>
          <w:p w14:paraId="75C9280F" w14:textId="77777777" w:rsidR="003D30B2" w:rsidRPr="00A43F68" w:rsidRDefault="003D30B2" w:rsidP="003D30B2">
            <w:pPr>
              <w:jc w:val="right"/>
              <w:rPr>
                <w:rFonts w:ascii="Arial" w:eastAsia="SimSun" w:hAnsi="Arial" w:cs="Arial"/>
                <w:color w:val="000000"/>
                <w:sz w:val="19"/>
                <w:szCs w:val="19"/>
                <w:lang w:val="en-CA" w:eastAsia="zh-CN"/>
              </w:rPr>
            </w:pPr>
            <w:r w:rsidRPr="00A43F68">
              <w:rPr>
                <w:rFonts w:ascii="Arial" w:eastAsia="SimSun" w:hAnsi="Arial" w:cs="Arial"/>
                <w:color w:val="000000"/>
                <w:sz w:val="19"/>
                <w:szCs w:val="19"/>
                <w:lang w:val="en-CA" w:eastAsia="zh-CN"/>
              </w:rPr>
              <w:t xml:space="preserve"> 13.7 </w:t>
            </w:r>
          </w:p>
        </w:tc>
        <w:tc>
          <w:tcPr>
            <w:tcW w:w="1350" w:type="dxa"/>
            <w:tcBorders>
              <w:top w:val="nil"/>
              <w:left w:val="nil"/>
              <w:bottom w:val="single" w:sz="4" w:space="0" w:color="auto"/>
              <w:right w:val="single" w:sz="4" w:space="0" w:color="auto"/>
            </w:tcBorders>
            <w:shd w:val="clear" w:color="auto" w:fill="auto"/>
            <w:vAlign w:val="bottom"/>
            <w:hideMark/>
          </w:tcPr>
          <w:p w14:paraId="4112C3DE" w14:textId="77777777" w:rsidR="003D30B2" w:rsidRPr="00A43F68" w:rsidRDefault="003D30B2" w:rsidP="003D30B2">
            <w:pPr>
              <w:jc w:val="right"/>
              <w:rPr>
                <w:rFonts w:ascii="Arial" w:eastAsia="SimSun" w:hAnsi="Arial" w:cs="Arial"/>
                <w:color w:val="000000"/>
                <w:sz w:val="19"/>
                <w:szCs w:val="19"/>
                <w:lang w:val="en-CA" w:eastAsia="zh-CN"/>
              </w:rPr>
            </w:pPr>
            <w:r w:rsidRPr="00A43F68">
              <w:rPr>
                <w:rFonts w:ascii="Arial" w:eastAsia="SimSun" w:hAnsi="Arial" w:cs="Arial"/>
                <w:color w:val="000000"/>
                <w:sz w:val="19"/>
                <w:szCs w:val="19"/>
                <w:lang w:val="en-CA" w:eastAsia="zh-CN"/>
              </w:rPr>
              <w:t xml:space="preserve"> 15.1 </w:t>
            </w:r>
          </w:p>
        </w:tc>
        <w:tc>
          <w:tcPr>
            <w:tcW w:w="1350" w:type="dxa"/>
            <w:tcBorders>
              <w:top w:val="nil"/>
              <w:left w:val="nil"/>
              <w:bottom w:val="single" w:sz="4" w:space="0" w:color="auto"/>
              <w:right w:val="single" w:sz="4" w:space="0" w:color="auto"/>
            </w:tcBorders>
            <w:shd w:val="clear" w:color="auto" w:fill="auto"/>
            <w:vAlign w:val="bottom"/>
            <w:hideMark/>
          </w:tcPr>
          <w:p w14:paraId="07F0F9FD" w14:textId="77777777" w:rsidR="003D30B2" w:rsidRPr="00A43F68" w:rsidRDefault="003D30B2" w:rsidP="003D30B2">
            <w:pPr>
              <w:jc w:val="right"/>
              <w:rPr>
                <w:rFonts w:ascii="Arial" w:eastAsia="SimSun" w:hAnsi="Arial" w:cs="Arial"/>
                <w:color w:val="000000"/>
                <w:sz w:val="19"/>
                <w:szCs w:val="19"/>
                <w:lang w:val="en-CA" w:eastAsia="zh-CN"/>
              </w:rPr>
            </w:pPr>
            <w:r w:rsidRPr="00A43F68">
              <w:rPr>
                <w:rFonts w:ascii="Arial" w:eastAsia="SimSun" w:hAnsi="Arial" w:cs="Arial"/>
                <w:color w:val="000000"/>
                <w:sz w:val="19"/>
                <w:szCs w:val="19"/>
                <w:lang w:val="en-CA" w:eastAsia="zh-CN"/>
              </w:rPr>
              <w:t xml:space="preserve"> 20.9 </w:t>
            </w:r>
          </w:p>
        </w:tc>
      </w:tr>
      <w:tr w:rsidR="003D30B2" w:rsidRPr="00A43F68" w14:paraId="389E9AB9" w14:textId="77777777" w:rsidTr="00EB600D">
        <w:trPr>
          <w:trHeight w:val="80"/>
          <w:jc w:val="center"/>
        </w:trPr>
        <w:tc>
          <w:tcPr>
            <w:tcW w:w="3150" w:type="dxa"/>
            <w:tcBorders>
              <w:top w:val="nil"/>
              <w:left w:val="single" w:sz="4" w:space="0" w:color="auto"/>
              <w:bottom w:val="single" w:sz="4" w:space="0" w:color="auto"/>
              <w:right w:val="single" w:sz="4" w:space="0" w:color="auto"/>
            </w:tcBorders>
            <w:shd w:val="clear" w:color="auto" w:fill="auto"/>
            <w:vAlign w:val="bottom"/>
            <w:hideMark/>
          </w:tcPr>
          <w:p w14:paraId="69066675" w14:textId="3A6C4795" w:rsidR="003D30B2" w:rsidRPr="00A43F68" w:rsidRDefault="003D30B2" w:rsidP="003D30B2">
            <w:pPr>
              <w:rPr>
                <w:rFonts w:ascii="Arial" w:eastAsia="SimSun" w:hAnsi="Arial" w:cs="Arial"/>
                <w:color w:val="000000"/>
                <w:sz w:val="19"/>
                <w:szCs w:val="19"/>
                <w:lang w:val="en-CA" w:eastAsia="zh-CN"/>
              </w:rPr>
            </w:pPr>
            <w:r w:rsidRPr="00A43F68">
              <w:rPr>
                <w:rFonts w:ascii="Arial" w:eastAsia="SimSun" w:hAnsi="Arial" w:cs="Arial"/>
                <w:color w:val="000000"/>
                <w:sz w:val="19"/>
                <w:szCs w:val="19"/>
                <w:lang w:val="en-CA" w:eastAsia="zh-CN"/>
              </w:rPr>
              <w:t>Thailand</w:t>
            </w:r>
          </w:p>
        </w:tc>
        <w:tc>
          <w:tcPr>
            <w:tcW w:w="1440" w:type="dxa"/>
            <w:tcBorders>
              <w:top w:val="nil"/>
              <w:left w:val="nil"/>
              <w:bottom w:val="single" w:sz="4" w:space="0" w:color="auto"/>
              <w:right w:val="single" w:sz="4" w:space="0" w:color="auto"/>
            </w:tcBorders>
            <w:shd w:val="clear" w:color="auto" w:fill="auto"/>
            <w:vAlign w:val="bottom"/>
            <w:hideMark/>
          </w:tcPr>
          <w:p w14:paraId="35957B35" w14:textId="77777777" w:rsidR="003D30B2" w:rsidRPr="00A43F68" w:rsidRDefault="003D30B2" w:rsidP="003D30B2">
            <w:pPr>
              <w:jc w:val="right"/>
              <w:rPr>
                <w:rFonts w:ascii="Arial" w:eastAsia="SimSun" w:hAnsi="Arial" w:cs="Arial"/>
                <w:color w:val="000000"/>
                <w:sz w:val="19"/>
                <w:szCs w:val="19"/>
                <w:lang w:val="en-CA" w:eastAsia="zh-CN"/>
              </w:rPr>
            </w:pPr>
            <w:r w:rsidRPr="00A43F68">
              <w:rPr>
                <w:rFonts w:ascii="Arial" w:eastAsia="SimSun" w:hAnsi="Arial" w:cs="Arial"/>
                <w:color w:val="000000"/>
                <w:sz w:val="19"/>
                <w:szCs w:val="19"/>
                <w:lang w:val="en-CA" w:eastAsia="zh-CN"/>
              </w:rPr>
              <w:t xml:space="preserve"> 8.0 </w:t>
            </w:r>
          </w:p>
        </w:tc>
        <w:tc>
          <w:tcPr>
            <w:tcW w:w="1350" w:type="dxa"/>
            <w:tcBorders>
              <w:top w:val="nil"/>
              <w:left w:val="nil"/>
              <w:bottom w:val="single" w:sz="4" w:space="0" w:color="auto"/>
              <w:right w:val="single" w:sz="4" w:space="0" w:color="auto"/>
            </w:tcBorders>
            <w:shd w:val="clear" w:color="auto" w:fill="auto"/>
            <w:vAlign w:val="bottom"/>
            <w:hideMark/>
          </w:tcPr>
          <w:p w14:paraId="42A47EE3" w14:textId="77777777" w:rsidR="003D30B2" w:rsidRPr="00A43F68" w:rsidRDefault="003D30B2" w:rsidP="003D30B2">
            <w:pPr>
              <w:jc w:val="right"/>
              <w:rPr>
                <w:rFonts w:ascii="Arial" w:eastAsia="SimSun" w:hAnsi="Arial" w:cs="Arial"/>
                <w:color w:val="000000"/>
                <w:sz w:val="19"/>
                <w:szCs w:val="19"/>
                <w:lang w:val="en-CA" w:eastAsia="zh-CN"/>
              </w:rPr>
            </w:pPr>
            <w:r w:rsidRPr="00A43F68">
              <w:rPr>
                <w:rFonts w:ascii="Arial" w:eastAsia="SimSun" w:hAnsi="Arial" w:cs="Arial"/>
                <w:color w:val="000000"/>
                <w:sz w:val="19"/>
                <w:szCs w:val="19"/>
                <w:lang w:val="en-CA" w:eastAsia="zh-CN"/>
              </w:rPr>
              <w:t xml:space="preserve"> 10.0 </w:t>
            </w:r>
          </w:p>
        </w:tc>
        <w:tc>
          <w:tcPr>
            <w:tcW w:w="1350" w:type="dxa"/>
            <w:tcBorders>
              <w:top w:val="nil"/>
              <w:left w:val="nil"/>
              <w:bottom w:val="single" w:sz="4" w:space="0" w:color="auto"/>
              <w:right w:val="single" w:sz="4" w:space="0" w:color="auto"/>
            </w:tcBorders>
            <w:shd w:val="clear" w:color="auto" w:fill="auto"/>
            <w:vAlign w:val="bottom"/>
            <w:hideMark/>
          </w:tcPr>
          <w:p w14:paraId="3BA4B41D" w14:textId="77777777" w:rsidR="003D30B2" w:rsidRPr="00A43F68" w:rsidRDefault="003D30B2" w:rsidP="003D30B2">
            <w:pPr>
              <w:jc w:val="right"/>
              <w:rPr>
                <w:rFonts w:ascii="Arial" w:eastAsia="SimSun" w:hAnsi="Arial" w:cs="Arial"/>
                <w:color w:val="000000"/>
                <w:sz w:val="19"/>
                <w:szCs w:val="19"/>
                <w:lang w:val="en-CA" w:eastAsia="zh-CN"/>
              </w:rPr>
            </w:pPr>
            <w:r w:rsidRPr="00A43F68">
              <w:rPr>
                <w:rFonts w:ascii="Arial" w:eastAsia="SimSun" w:hAnsi="Arial" w:cs="Arial"/>
                <w:color w:val="000000"/>
                <w:sz w:val="19"/>
                <w:szCs w:val="19"/>
                <w:lang w:val="en-CA" w:eastAsia="zh-CN"/>
              </w:rPr>
              <w:t xml:space="preserve"> 9.4 </w:t>
            </w:r>
          </w:p>
        </w:tc>
      </w:tr>
      <w:tr w:rsidR="003D30B2" w:rsidRPr="00A43F68" w14:paraId="3B0C9432" w14:textId="77777777" w:rsidTr="00EB600D">
        <w:trPr>
          <w:trHeight w:val="107"/>
          <w:jc w:val="center"/>
        </w:trPr>
        <w:tc>
          <w:tcPr>
            <w:tcW w:w="3150" w:type="dxa"/>
            <w:tcBorders>
              <w:top w:val="nil"/>
              <w:left w:val="single" w:sz="4" w:space="0" w:color="auto"/>
              <w:bottom w:val="single" w:sz="4" w:space="0" w:color="auto"/>
              <w:right w:val="single" w:sz="4" w:space="0" w:color="auto"/>
            </w:tcBorders>
            <w:shd w:val="clear" w:color="auto" w:fill="auto"/>
            <w:vAlign w:val="bottom"/>
            <w:hideMark/>
          </w:tcPr>
          <w:p w14:paraId="37A26B0C" w14:textId="35FAF791" w:rsidR="003D30B2" w:rsidRPr="00A43F68" w:rsidRDefault="003D30B2" w:rsidP="003D30B2">
            <w:pPr>
              <w:rPr>
                <w:rFonts w:ascii="Arial" w:eastAsia="SimSun" w:hAnsi="Arial" w:cs="Arial"/>
                <w:color w:val="000000"/>
                <w:sz w:val="19"/>
                <w:szCs w:val="19"/>
                <w:lang w:val="en-CA" w:eastAsia="zh-CN"/>
              </w:rPr>
            </w:pPr>
            <w:r w:rsidRPr="00A43F68">
              <w:rPr>
                <w:rFonts w:ascii="Arial" w:eastAsia="SimSun" w:hAnsi="Arial" w:cs="Arial"/>
                <w:color w:val="000000"/>
                <w:sz w:val="19"/>
                <w:szCs w:val="19"/>
                <w:lang w:val="en-CA" w:eastAsia="zh-CN"/>
              </w:rPr>
              <w:t>Vietnam</w:t>
            </w:r>
          </w:p>
        </w:tc>
        <w:tc>
          <w:tcPr>
            <w:tcW w:w="1440" w:type="dxa"/>
            <w:tcBorders>
              <w:top w:val="nil"/>
              <w:left w:val="nil"/>
              <w:bottom w:val="single" w:sz="4" w:space="0" w:color="auto"/>
              <w:right w:val="single" w:sz="4" w:space="0" w:color="auto"/>
            </w:tcBorders>
            <w:shd w:val="clear" w:color="auto" w:fill="auto"/>
            <w:vAlign w:val="bottom"/>
            <w:hideMark/>
          </w:tcPr>
          <w:p w14:paraId="6CF17BE8" w14:textId="77777777" w:rsidR="003D30B2" w:rsidRPr="00A43F68" w:rsidRDefault="003D30B2" w:rsidP="003D30B2">
            <w:pPr>
              <w:jc w:val="right"/>
              <w:rPr>
                <w:rFonts w:ascii="Arial" w:eastAsia="SimSun" w:hAnsi="Arial" w:cs="Arial"/>
                <w:color w:val="000000"/>
                <w:sz w:val="19"/>
                <w:szCs w:val="19"/>
                <w:lang w:val="en-CA" w:eastAsia="zh-CN"/>
              </w:rPr>
            </w:pPr>
            <w:r w:rsidRPr="00A43F68">
              <w:rPr>
                <w:rFonts w:ascii="Arial" w:eastAsia="SimSun" w:hAnsi="Arial" w:cs="Arial"/>
                <w:color w:val="000000"/>
                <w:sz w:val="19"/>
                <w:szCs w:val="19"/>
                <w:lang w:val="en-CA" w:eastAsia="zh-CN"/>
              </w:rPr>
              <w:t xml:space="preserve"> 565.6 </w:t>
            </w:r>
          </w:p>
        </w:tc>
        <w:tc>
          <w:tcPr>
            <w:tcW w:w="1350" w:type="dxa"/>
            <w:tcBorders>
              <w:top w:val="nil"/>
              <w:left w:val="nil"/>
              <w:bottom w:val="single" w:sz="4" w:space="0" w:color="auto"/>
              <w:right w:val="single" w:sz="4" w:space="0" w:color="auto"/>
            </w:tcBorders>
            <w:shd w:val="clear" w:color="auto" w:fill="auto"/>
            <w:vAlign w:val="bottom"/>
            <w:hideMark/>
          </w:tcPr>
          <w:p w14:paraId="072B573D" w14:textId="77777777" w:rsidR="003D30B2" w:rsidRPr="00A43F68" w:rsidRDefault="003D30B2" w:rsidP="003D30B2">
            <w:pPr>
              <w:jc w:val="right"/>
              <w:rPr>
                <w:rFonts w:ascii="Arial" w:eastAsia="SimSun" w:hAnsi="Arial" w:cs="Arial"/>
                <w:color w:val="000000"/>
                <w:sz w:val="19"/>
                <w:szCs w:val="19"/>
                <w:lang w:val="en-CA" w:eastAsia="zh-CN"/>
              </w:rPr>
            </w:pPr>
            <w:r w:rsidRPr="00A43F68">
              <w:rPr>
                <w:rFonts w:ascii="Arial" w:eastAsia="SimSun" w:hAnsi="Arial" w:cs="Arial"/>
                <w:color w:val="000000"/>
                <w:sz w:val="19"/>
                <w:szCs w:val="19"/>
                <w:lang w:val="en-CA" w:eastAsia="zh-CN"/>
              </w:rPr>
              <w:t xml:space="preserve"> 715.6 </w:t>
            </w:r>
          </w:p>
        </w:tc>
        <w:tc>
          <w:tcPr>
            <w:tcW w:w="1350" w:type="dxa"/>
            <w:tcBorders>
              <w:top w:val="nil"/>
              <w:left w:val="nil"/>
              <w:bottom w:val="single" w:sz="4" w:space="0" w:color="auto"/>
              <w:right w:val="single" w:sz="4" w:space="0" w:color="auto"/>
            </w:tcBorders>
            <w:shd w:val="clear" w:color="auto" w:fill="auto"/>
            <w:vAlign w:val="bottom"/>
            <w:hideMark/>
          </w:tcPr>
          <w:p w14:paraId="24BE7EA0" w14:textId="77777777" w:rsidR="003D30B2" w:rsidRPr="00A43F68" w:rsidRDefault="003D30B2" w:rsidP="003D30B2">
            <w:pPr>
              <w:jc w:val="right"/>
              <w:rPr>
                <w:rFonts w:ascii="Arial" w:eastAsia="SimSun" w:hAnsi="Arial" w:cs="Arial"/>
                <w:color w:val="000000"/>
                <w:sz w:val="19"/>
                <w:szCs w:val="19"/>
                <w:lang w:val="en-CA" w:eastAsia="zh-CN"/>
              </w:rPr>
            </w:pPr>
            <w:r w:rsidRPr="00A43F68">
              <w:rPr>
                <w:rFonts w:ascii="Arial" w:eastAsia="SimSun" w:hAnsi="Arial" w:cs="Arial"/>
                <w:color w:val="000000"/>
                <w:sz w:val="19"/>
                <w:szCs w:val="19"/>
                <w:lang w:val="en-CA" w:eastAsia="zh-CN"/>
              </w:rPr>
              <w:t xml:space="preserve"> 681.7 </w:t>
            </w:r>
          </w:p>
        </w:tc>
      </w:tr>
      <w:tr w:rsidR="003D30B2" w:rsidRPr="00A43F68" w14:paraId="5F37C2E0" w14:textId="77777777" w:rsidTr="00EB600D">
        <w:trPr>
          <w:trHeight w:val="62"/>
          <w:jc w:val="center"/>
        </w:trPr>
        <w:tc>
          <w:tcPr>
            <w:tcW w:w="3150" w:type="dxa"/>
            <w:tcBorders>
              <w:top w:val="nil"/>
              <w:left w:val="single" w:sz="4" w:space="0" w:color="auto"/>
              <w:bottom w:val="single" w:sz="4" w:space="0" w:color="auto"/>
              <w:right w:val="single" w:sz="4" w:space="0" w:color="auto"/>
            </w:tcBorders>
            <w:shd w:val="clear" w:color="auto" w:fill="auto"/>
            <w:vAlign w:val="bottom"/>
            <w:hideMark/>
          </w:tcPr>
          <w:p w14:paraId="6C9E145C" w14:textId="0B83D228" w:rsidR="003D30B2" w:rsidRPr="00A43F68" w:rsidRDefault="003D30B2" w:rsidP="003D30B2">
            <w:pPr>
              <w:rPr>
                <w:rFonts w:ascii="Arial" w:eastAsia="SimSun" w:hAnsi="Arial" w:cs="Arial"/>
                <w:b/>
                <w:bCs/>
                <w:color w:val="000000"/>
                <w:sz w:val="19"/>
                <w:szCs w:val="19"/>
                <w:lang w:val="en-CA" w:eastAsia="zh-CN"/>
              </w:rPr>
            </w:pPr>
            <w:r w:rsidRPr="00A43F68">
              <w:rPr>
                <w:rFonts w:ascii="Arial" w:eastAsia="SimSun" w:hAnsi="Arial" w:cs="Arial"/>
                <w:b/>
                <w:bCs/>
                <w:color w:val="000000"/>
                <w:sz w:val="19"/>
                <w:szCs w:val="19"/>
                <w:lang w:val="en-CA" w:eastAsia="zh-CN"/>
              </w:rPr>
              <w:t xml:space="preserve">Total exports to Asian </w:t>
            </w:r>
            <w:r w:rsidR="007C5D5C" w:rsidRPr="00A43F68">
              <w:rPr>
                <w:rFonts w:ascii="Arial" w:eastAsia="SimSun" w:hAnsi="Arial" w:cs="Arial"/>
                <w:b/>
                <w:bCs/>
                <w:color w:val="000000"/>
                <w:sz w:val="19"/>
                <w:szCs w:val="19"/>
                <w:lang w:val="en-CA" w:eastAsia="zh-CN"/>
              </w:rPr>
              <w:t>m</w:t>
            </w:r>
            <w:r w:rsidRPr="00A43F68">
              <w:rPr>
                <w:rFonts w:ascii="Arial" w:eastAsia="SimSun" w:hAnsi="Arial" w:cs="Arial"/>
                <w:b/>
                <w:bCs/>
                <w:color w:val="000000"/>
                <w:sz w:val="19"/>
                <w:szCs w:val="19"/>
                <w:lang w:val="en-CA" w:eastAsia="zh-CN"/>
              </w:rPr>
              <w:t>arkets</w:t>
            </w:r>
          </w:p>
        </w:tc>
        <w:tc>
          <w:tcPr>
            <w:tcW w:w="1440" w:type="dxa"/>
            <w:tcBorders>
              <w:top w:val="nil"/>
              <w:left w:val="nil"/>
              <w:bottom w:val="single" w:sz="4" w:space="0" w:color="auto"/>
              <w:right w:val="single" w:sz="4" w:space="0" w:color="auto"/>
            </w:tcBorders>
            <w:shd w:val="clear" w:color="auto" w:fill="auto"/>
            <w:vAlign w:val="bottom"/>
            <w:hideMark/>
          </w:tcPr>
          <w:p w14:paraId="077FF13B" w14:textId="1C1E09EC" w:rsidR="003D30B2" w:rsidRPr="00A43F68" w:rsidRDefault="003D30B2" w:rsidP="003D30B2">
            <w:pPr>
              <w:jc w:val="right"/>
              <w:rPr>
                <w:rFonts w:ascii="Arial" w:eastAsia="SimSun" w:hAnsi="Arial" w:cs="Arial"/>
                <w:b/>
                <w:bCs/>
                <w:color w:val="000000"/>
                <w:sz w:val="19"/>
                <w:szCs w:val="19"/>
                <w:lang w:val="en-CA" w:eastAsia="zh-CN"/>
              </w:rPr>
            </w:pPr>
            <w:r w:rsidRPr="00A43F68">
              <w:rPr>
                <w:rFonts w:ascii="Arial" w:eastAsia="SimSun" w:hAnsi="Arial" w:cs="Arial"/>
                <w:b/>
                <w:bCs/>
                <w:color w:val="000000"/>
                <w:sz w:val="19"/>
                <w:szCs w:val="19"/>
                <w:lang w:val="en-CA" w:eastAsia="zh-CN"/>
              </w:rPr>
              <w:t xml:space="preserve"> 1,07</w:t>
            </w:r>
            <w:r w:rsidR="00DC4821" w:rsidRPr="00A43F68">
              <w:rPr>
                <w:rFonts w:ascii="Arial" w:eastAsia="SimSun" w:hAnsi="Arial" w:cs="Arial"/>
                <w:b/>
                <w:bCs/>
                <w:color w:val="000000"/>
                <w:sz w:val="19"/>
                <w:szCs w:val="19"/>
                <w:lang w:val="en-CA" w:eastAsia="zh-CN"/>
              </w:rPr>
              <w:t>8</w:t>
            </w:r>
            <w:r w:rsidRPr="00A43F68">
              <w:rPr>
                <w:rFonts w:ascii="Arial" w:eastAsia="SimSun" w:hAnsi="Arial" w:cs="Arial"/>
                <w:b/>
                <w:bCs/>
                <w:color w:val="000000"/>
                <w:sz w:val="19"/>
                <w:szCs w:val="19"/>
                <w:lang w:val="en-CA" w:eastAsia="zh-CN"/>
              </w:rPr>
              <w:t>.</w:t>
            </w:r>
            <w:r w:rsidR="00DC4821" w:rsidRPr="00A43F68">
              <w:rPr>
                <w:rFonts w:ascii="Arial" w:eastAsia="SimSun" w:hAnsi="Arial" w:cs="Arial"/>
                <w:b/>
                <w:bCs/>
                <w:color w:val="000000"/>
                <w:sz w:val="19"/>
                <w:szCs w:val="19"/>
                <w:lang w:val="en-CA" w:eastAsia="zh-CN"/>
              </w:rPr>
              <w:t>9</w:t>
            </w:r>
            <w:r w:rsidRPr="00A43F68">
              <w:rPr>
                <w:rFonts w:ascii="Arial" w:eastAsia="SimSun" w:hAnsi="Arial" w:cs="Arial"/>
                <w:b/>
                <w:bCs/>
                <w:color w:val="000000"/>
                <w:sz w:val="19"/>
                <w:szCs w:val="19"/>
                <w:lang w:val="en-CA" w:eastAsia="zh-CN"/>
              </w:rPr>
              <w:t xml:space="preserve"> </w:t>
            </w:r>
          </w:p>
        </w:tc>
        <w:tc>
          <w:tcPr>
            <w:tcW w:w="1350" w:type="dxa"/>
            <w:tcBorders>
              <w:top w:val="nil"/>
              <w:left w:val="nil"/>
              <w:bottom w:val="single" w:sz="4" w:space="0" w:color="auto"/>
              <w:right w:val="single" w:sz="4" w:space="0" w:color="auto"/>
            </w:tcBorders>
            <w:shd w:val="clear" w:color="auto" w:fill="auto"/>
            <w:vAlign w:val="bottom"/>
            <w:hideMark/>
          </w:tcPr>
          <w:p w14:paraId="525615D0" w14:textId="476F5C81" w:rsidR="003D30B2" w:rsidRPr="00A43F68" w:rsidRDefault="003D30B2" w:rsidP="003D30B2">
            <w:pPr>
              <w:jc w:val="right"/>
              <w:rPr>
                <w:rFonts w:ascii="Arial" w:eastAsia="SimSun" w:hAnsi="Arial" w:cs="Arial"/>
                <w:b/>
                <w:bCs/>
                <w:color w:val="000000"/>
                <w:sz w:val="19"/>
                <w:szCs w:val="19"/>
                <w:lang w:val="en-CA" w:eastAsia="zh-CN"/>
              </w:rPr>
            </w:pPr>
            <w:r w:rsidRPr="00A43F68">
              <w:rPr>
                <w:rFonts w:ascii="Arial" w:eastAsia="SimSun" w:hAnsi="Arial" w:cs="Arial"/>
                <w:b/>
                <w:bCs/>
                <w:color w:val="000000"/>
                <w:sz w:val="19"/>
                <w:szCs w:val="19"/>
                <w:lang w:val="en-CA" w:eastAsia="zh-CN"/>
              </w:rPr>
              <w:t xml:space="preserve"> 1,229.</w:t>
            </w:r>
            <w:r w:rsidR="00DC4821" w:rsidRPr="00A43F68">
              <w:rPr>
                <w:rFonts w:ascii="Arial" w:eastAsia="SimSun" w:hAnsi="Arial" w:cs="Arial"/>
                <w:b/>
                <w:bCs/>
                <w:color w:val="000000"/>
                <w:sz w:val="19"/>
                <w:szCs w:val="19"/>
                <w:lang w:val="en-CA" w:eastAsia="zh-CN"/>
              </w:rPr>
              <w:t>3</w:t>
            </w:r>
            <w:r w:rsidRPr="00A43F68">
              <w:rPr>
                <w:rFonts w:ascii="Arial" w:eastAsia="SimSun" w:hAnsi="Arial" w:cs="Arial"/>
                <w:b/>
                <w:bCs/>
                <w:color w:val="000000"/>
                <w:sz w:val="19"/>
                <w:szCs w:val="19"/>
                <w:lang w:val="en-CA" w:eastAsia="zh-CN"/>
              </w:rPr>
              <w:t xml:space="preserve"> </w:t>
            </w:r>
          </w:p>
        </w:tc>
        <w:tc>
          <w:tcPr>
            <w:tcW w:w="1350" w:type="dxa"/>
            <w:tcBorders>
              <w:top w:val="nil"/>
              <w:left w:val="nil"/>
              <w:bottom w:val="single" w:sz="4" w:space="0" w:color="auto"/>
              <w:right w:val="single" w:sz="4" w:space="0" w:color="auto"/>
            </w:tcBorders>
            <w:shd w:val="clear" w:color="auto" w:fill="auto"/>
            <w:vAlign w:val="bottom"/>
            <w:hideMark/>
          </w:tcPr>
          <w:p w14:paraId="4B8F9AF0" w14:textId="77777777" w:rsidR="003D30B2" w:rsidRPr="00A43F68" w:rsidRDefault="003D30B2" w:rsidP="003D30B2">
            <w:pPr>
              <w:jc w:val="right"/>
              <w:rPr>
                <w:rFonts w:ascii="Arial" w:eastAsia="SimSun" w:hAnsi="Arial" w:cs="Arial"/>
                <w:b/>
                <w:bCs/>
                <w:color w:val="000000"/>
                <w:sz w:val="19"/>
                <w:szCs w:val="19"/>
                <w:lang w:val="en-CA" w:eastAsia="zh-CN"/>
              </w:rPr>
            </w:pPr>
            <w:r w:rsidRPr="00A43F68">
              <w:rPr>
                <w:rFonts w:ascii="Arial" w:eastAsia="SimSun" w:hAnsi="Arial" w:cs="Arial"/>
                <w:b/>
                <w:bCs/>
                <w:color w:val="000000"/>
                <w:sz w:val="19"/>
                <w:szCs w:val="19"/>
                <w:lang w:val="en-CA" w:eastAsia="zh-CN"/>
              </w:rPr>
              <w:t xml:space="preserve"> 1,298.4 </w:t>
            </w:r>
          </w:p>
        </w:tc>
      </w:tr>
      <w:tr w:rsidR="003D30B2" w:rsidRPr="00A43F68" w14:paraId="0C450498" w14:textId="77777777" w:rsidTr="00EB600D">
        <w:trPr>
          <w:trHeight w:val="89"/>
          <w:jc w:val="center"/>
        </w:trPr>
        <w:tc>
          <w:tcPr>
            <w:tcW w:w="7290" w:type="dxa"/>
            <w:gridSpan w:val="4"/>
            <w:tcBorders>
              <w:top w:val="single" w:sz="4" w:space="0" w:color="auto"/>
              <w:left w:val="single" w:sz="4" w:space="0" w:color="auto"/>
              <w:bottom w:val="single" w:sz="4" w:space="0" w:color="auto"/>
              <w:right w:val="single" w:sz="4" w:space="0" w:color="auto"/>
            </w:tcBorders>
            <w:shd w:val="clear" w:color="auto" w:fill="auto"/>
            <w:vAlign w:val="bottom"/>
            <w:hideMark/>
          </w:tcPr>
          <w:p w14:paraId="793BF578" w14:textId="5B21FD34" w:rsidR="003D30B2" w:rsidRPr="00A43F68" w:rsidRDefault="003D30B2" w:rsidP="003D30B2">
            <w:pPr>
              <w:rPr>
                <w:rFonts w:ascii="Arial" w:eastAsia="SimSun" w:hAnsi="Arial" w:cs="Arial"/>
                <w:b/>
                <w:bCs/>
                <w:color w:val="000000"/>
                <w:sz w:val="19"/>
                <w:szCs w:val="19"/>
                <w:lang w:val="en-CA" w:eastAsia="zh-CN"/>
              </w:rPr>
            </w:pPr>
            <w:r w:rsidRPr="00A43F68">
              <w:rPr>
                <w:rFonts w:ascii="Arial" w:eastAsia="SimSun" w:hAnsi="Arial" w:cs="Arial"/>
                <w:b/>
                <w:bCs/>
                <w:color w:val="000000"/>
                <w:sz w:val="19"/>
                <w:szCs w:val="19"/>
                <w:lang w:val="en-CA" w:eastAsia="zh-CN"/>
              </w:rPr>
              <w:t xml:space="preserve">Non-Asian </w:t>
            </w:r>
            <w:r w:rsidR="007C5D5C" w:rsidRPr="00A43F68">
              <w:rPr>
                <w:rFonts w:ascii="Arial" w:eastAsia="SimSun" w:hAnsi="Arial" w:cs="Arial"/>
                <w:b/>
                <w:bCs/>
                <w:color w:val="000000"/>
                <w:sz w:val="19"/>
                <w:szCs w:val="19"/>
                <w:lang w:val="en-CA" w:eastAsia="zh-CN"/>
              </w:rPr>
              <w:t>m</w:t>
            </w:r>
            <w:r w:rsidRPr="00A43F68">
              <w:rPr>
                <w:rFonts w:ascii="Arial" w:eastAsia="SimSun" w:hAnsi="Arial" w:cs="Arial"/>
                <w:b/>
                <w:bCs/>
                <w:color w:val="000000"/>
                <w:sz w:val="19"/>
                <w:szCs w:val="19"/>
                <w:lang w:val="en-CA" w:eastAsia="zh-CN"/>
              </w:rPr>
              <w:t>arkets</w:t>
            </w:r>
          </w:p>
        </w:tc>
      </w:tr>
      <w:tr w:rsidR="003D30B2" w:rsidRPr="00A43F68" w14:paraId="71B3D380" w14:textId="77777777" w:rsidTr="00EB600D">
        <w:trPr>
          <w:trHeight w:val="116"/>
          <w:jc w:val="center"/>
        </w:trPr>
        <w:tc>
          <w:tcPr>
            <w:tcW w:w="3150" w:type="dxa"/>
            <w:tcBorders>
              <w:top w:val="nil"/>
              <w:left w:val="single" w:sz="4" w:space="0" w:color="auto"/>
              <w:bottom w:val="single" w:sz="4" w:space="0" w:color="auto"/>
              <w:right w:val="single" w:sz="4" w:space="0" w:color="auto"/>
            </w:tcBorders>
            <w:shd w:val="clear" w:color="auto" w:fill="auto"/>
            <w:vAlign w:val="bottom"/>
            <w:hideMark/>
          </w:tcPr>
          <w:p w14:paraId="4ECDE268" w14:textId="2EE2BFB7" w:rsidR="003D30B2" w:rsidRPr="00A43F68" w:rsidRDefault="003D30B2" w:rsidP="003D30B2">
            <w:pPr>
              <w:rPr>
                <w:rFonts w:ascii="Arial" w:eastAsia="SimSun" w:hAnsi="Arial" w:cs="Arial"/>
                <w:color w:val="000000"/>
                <w:sz w:val="19"/>
                <w:szCs w:val="19"/>
                <w:lang w:val="en-CA" w:eastAsia="zh-CN"/>
              </w:rPr>
            </w:pPr>
            <w:r w:rsidRPr="00A43F68">
              <w:rPr>
                <w:rFonts w:ascii="Arial" w:eastAsia="SimSun" w:hAnsi="Arial" w:cs="Arial"/>
                <w:color w:val="000000"/>
                <w:sz w:val="19"/>
                <w:szCs w:val="19"/>
                <w:lang w:val="en-CA" w:eastAsia="zh-CN"/>
              </w:rPr>
              <w:t>Canada</w:t>
            </w:r>
          </w:p>
        </w:tc>
        <w:tc>
          <w:tcPr>
            <w:tcW w:w="1440" w:type="dxa"/>
            <w:tcBorders>
              <w:top w:val="nil"/>
              <w:left w:val="nil"/>
              <w:bottom w:val="single" w:sz="4" w:space="0" w:color="auto"/>
              <w:right w:val="single" w:sz="4" w:space="0" w:color="auto"/>
            </w:tcBorders>
            <w:shd w:val="clear" w:color="auto" w:fill="auto"/>
            <w:vAlign w:val="bottom"/>
            <w:hideMark/>
          </w:tcPr>
          <w:p w14:paraId="4B73898C" w14:textId="77777777" w:rsidR="003D30B2" w:rsidRPr="00A43F68" w:rsidRDefault="003D30B2" w:rsidP="003D30B2">
            <w:pPr>
              <w:jc w:val="right"/>
              <w:rPr>
                <w:rFonts w:ascii="Arial" w:eastAsia="SimSun" w:hAnsi="Arial" w:cs="Arial"/>
                <w:color w:val="000000"/>
                <w:sz w:val="19"/>
                <w:szCs w:val="19"/>
                <w:lang w:val="en-CA" w:eastAsia="zh-CN"/>
              </w:rPr>
            </w:pPr>
            <w:r w:rsidRPr="00A43F68">
              <w:rPr>
                <w:rFonts w:ascii="Arial" w:eastAsia="SimSun" w:hAnsi="Arial" w:cs="Arial"/>
                <w:color w:val="000000"/>
                <w:sz w:val="19"/>
                <w:szCs w:val="19"/>
                <w:lang w:val="en-CA" w:eastAsia="zh-CN"/>
              </w:rPr>
              <w:t xml:space="preserve"> 1.9 </w:t>
            </w:r>
          </w:p>
        </w:tc>
        <w:tc>
          <w:tcPr>
            <w:tcW w:w="1350" w:type="dxa"/>
            <w:tcBorders>
              <w:top w:val="nil"/>
              <w:left w:val="nil"/>
              <w:bottom w:val="single" w:sz="4" w:space="0" w:color="auto"/>
              <w:right w:val="single" w:sz="4" w:space="0" w:color="auto"/>
            </w:tcBorders>
            <w:shd w:val="clear" w:color="auto" w:fill="auto"/>
            <w:vAlign w:val="bottom"/>
            <w:hideMark/>
          </w:tcPr>
          <w:p w14:paraId="2A708A91" w14:textId="77777777" w:rsidR="003D30B2" w:rsidRPr="00A43F68" w:rsidRDefault="003D30B2" w:rsidP="003D30B2">
            <w:pPr>
              <w:jc w:val="right"/>
              <w:rPr>
                <w:rFonts w:ascii="Arial" w:eastAsia="SimSun" w:hAnsi="Arial" w:cs="Arial"/>
                <w:color w:val="000000"/>
                <w:sz w:val="19"/>
                <w:szCs w:val="19"/>
                <w:lang w:val="en-CA" w:eastAsia="zh-CN"/>
              </w:rPr>
            </w:pPr>
            <w:r w:rsidRPr="00A43F68">
              <w:rPr>
                <w:rFonts w:ascii="Arial" w:eastAsia="SimSun" w:hAnsi="Arial" w:cs="Arial"/>
                <w:color w:val="000000"/>
                <w:sz w:val="19"/>
                <w:szCs w:val="19"/>
                <w:lang w:val="en-CA" w:eastAsia="zh-CN"/>
              </w:rPr>
              <w:t xml:space="preserve"> 2.6 </w:t>
            </w:r>
          </w:p>
        </w:tc>
        <w:tc>
          <w:tcPr>
            <w:tcW w:w="1350" w:type="dxa"/>
            <w:tcBorders>
              <w:top w:val="nil"/>
              <w:left w:val="nil"/>
              <w:bottom w:val="single" w:sz="4" w:space="0" w:color="auto"/>
              <w:right w:val="single" w:sz="4" w:space="0" w:color="auto"/>
            </w:tcBorders>
            <w:shd w:val="clear" w:color="auto" w:fill="auto"/>
            <w:vAlign w:val="bottom"/>
            <w:hideMark/>
          </w:tcPr>
          <w:p w14:paraId="3A8093D3" w14:textId="77777777" w:rsidR="003D30B2" w:rsidRPr="00A43F68" w:rsidRDefault="003D30B2" w:rsidP="003D30B2">
            <w:pPr>
              <w:jc w:val="right"/>
              <w:rPr>
                <w:rFonts w:ascii="Arial" w:eastAsia="SimSun" w:hAnsi="Arial" w:cs="Arial"/>
                <w:color w:val="000000"/>
                <w:sz w:val="19"/>
                <w:szCs w:val="19"/>
                <w:lang w:val="en-CA" w:eastAsia="zh-CN"/>
              </w:rPr>
            </w:pPr>
            <w:r w:rsidRPr="00A43F68">
              <w:rPr>
                <w:rFonts w:ascii="Arial" w:eastAsia="SimSun" w:hAnsi="Arial" w:cs="Arial"/>
                <w:color w:val="000000"/>
                <w:sz w:val="19"/>
                <w:szCs w:val="19"/>
                <w:lang w:val="en-CA" w:eastAsia="zh-CN"/>
              </w:rPr>
              <w:t xml:space="preserve"> 3.6 </w:t>
            </w:r>
          </w:p>
        </w:tc>
      </w:tr>
      <w:tr w:rsidR="003D30B2" w:rsidRPr="00A43F68" w14:paraId="65553407" w14:textId="77777777" w:rsidTr="00EB600D">
        <w:trPr>
          <w:trHeight w:val="56"/>
          <w:jc w:val="center"/>
        </w:trPr>
        <w:tc>
          <w:tcPr>
            <w:tcW w:w="3150" w:type="dxa"/>
            <w:tcBorders>
              <w:top w:val="nil"/>
              <w:left w:val="single" w:sz="4" w:space="0" w:color="auto"/>
              <w:bottom w:val="single" w:sz="4" w:space="0" w:color="auto"/>
              <w:right w:val="single" w:sz="4" w:space="0" w:color="auto"/>
            </w:tcBorders>
            <w:shd w:val="clear" w:color="auto" w:fill="auto"/>
            <w:vAlign w:val="bottom"/>
            <w:hideMark/>
          </w:tcPr>
          <w:p w14:paraId="1AC5CB24" w14:textId="4A0E433C" w:rsidR="003D30B2" w:rsidRPr="00A43F68" w:rsidRDefault="003D30B2" w:rsidP="003D30B2">
            <w:pPr>
              <w:rPr>
                <w:rFonts w:ascii="Arial" w:eastAsia="SimSun" w:hAnsi="Arial" w:cs="Arial"/>
                <w:color w:val="000000"/>
                <w:sz w:val="19"/>
                <w:szCs w:val="19"/>
                <w:lang w:val="en-CA" w:eastAsia="zh-CN"/>
              </w:rPr>
            </w:pPr>
            <w:r w:rsidRPr="00A43F68">
              <w:rPr>
                <w:rFonts w:ascii="Arial" w:eastAsia="SimSun" w:hAnsi="Arial" w:cs="Arial"/>
                <w:color w:val="000000"/>
                <w:sz w:val="19"/>
                <w:szCs w:val="19"/>
                <w:lang w:val="en-CA" w:eastAsia="zh-CN"/>
              </w:rPr>
              <w:t>France</w:t>
            </w:r>
          </w:p>
        </w:tc>
        <w:tc>
          <w:tcPr>
            <w:tcW w:w="1440" w:type="dxa"/>
            <w:tcBorders>
              <w:top w:val="nil"/>
              <w:left w:val="nil"/>
              <w:bottom w:val="single" w:sz="4" w:space="0" w:color="auto"/>
              <w:right w:val="single" w:sz="4" w:space="0" w:color="auto"/>
            </w:tcBorders>
            <w:shd w:val="clear" w:color="auto" w:fill="auto"/>
            <w:vAlign w:val="bottom"/>
            <w:hideMark/>
          </w:tcPr>
          <w:p w14:paraId="310EDE73" w14:textId="77777777" w:rsidR="003D30B2" w:rsidRPr="00A43F68" w:rsidRDefault="003D30B2" w:rsidP="003D30B2">
            <w:pPr>
              <w:jc w:val="right"/>
              <w:rPr>
                <w:rFonts w:ascii="Arial" w:eastAsia="SimSun" w:hAnsi="Arial" w:cs="Arial"/>
                <w:color w:val="000000"/>
                <w:sz w:val="19"/>
                <w:szCs w:val="19"/>
                <w:lang w:val="en-CA" w:eastAsia="zh-CN"/>
              </w:rPr>
            </w:pPr>
            <w:r w:rsidRPr="00A43F68">
              <w:rPr>
                <w:rFonts w:ascii="Arial" w:eastAsia="SimSun" w:hAnsi="Arial" w:cs="Arial"/>
                <w:color w:val="000000"/>
                <w:sz w:val="19"/>
                <w:szCs w:val="19"/>
                <w:lang w:val="en-CA" w:eastAsia="zh-CN"/>
              </w:rPr>
              <w:t xml:space="preserve"> 1.1 </w:t>
            </w:r>
          </w:p>
        </w:tc>
        <w:tc>
          <w:tcPr>
            <w:tcW w:w="1350" w:type="dxa"/>
            <w:tcBorders>
              <w:top w:val="nil"/>
              <w:left w:val="nil"/>
              <w:bottom w:val="single" w:sz="4" w:space="0" w:color="auto"/>
              <w:right w:val="single" w:sz="4" w:space="0" w:color="auto"/>
            </w:tcBorders>
            <w:shd w:val="clear" w:color="auto" w:fill="auto"/>
            <w:vAlign w:val="bottom"/>
            <w:hideMark/>
          </w:tcPr>
          <w:p w14:paraId="2278A85D" w14:textId="77777777" w:rsidR="003D30B2" w:rsidRPr="00A43F68" w:rsidRDefault="003D30B2" w:rsidP="003D30B2">
            <w:pPr>
              <w:jc w:val="right"/>
              <w:rPr>
                <w:rFonts w:ascii="Arial" w:eastAsia="SimSun" w:hAnsi="Arial" w:cs="Arial"/>
                <w:color w:val="000000"/>
                <w:sz w:val="19"/>
                <w:szCs w:val="19"/>
                <w:lang w:val="en-CA" w:eastAsia="zh-CN"/>
              </w:rPr>
            </w:pPr>
            <w:r w:rsidRPr="00A43F68">
              <w:rPr>
                <w:rFonts w:ascii="Arial" w:eastAsia="SimSun" w:hAnsi="Arial" w:cs="Arial"/>
                <w:color w:val="000000"/>
                <w:sz w:val="19"/>
                <w:szCs w:val="19"/>
                <w:lang w:val="en-CA" w:eastAsia="zh-CN"/>
              </w:rPr>
              <w:t xml:space="preserve"> 0.6 </w:t>
            </w:r>
          </w:p>
        </w:tc>
        <w:tc>
          <w:tcPr>
            <w:tcW w:w="1350" w:type="dxa"/>
            <w:tcBorders>
              <w:top w:val="nil"/>
              <w:left w:val="nil"/>
              <w:bottom w:val="single" w:sz="4" w:space="0" w:color="auto"/>
              <w:right w:val="single" w:sz="4" w:space="0" w:color="auto"/>
            </w:tcBorders>
            <w:shd w:val="clear" w:color="auto" w:fill="auto"/>
            <w:vAlign w:val="bottom"/>
            <w:hideMark/>
          </w:tcPr>
          <w:p w14:paraId="09DFAF50" w14:textId="77777777" w:rsidR="003D30B2" w:rsidRPr="00A43F68" w:rsidRDefault="003D30B2" w:rsidP="003D30B2">
            <w:pPr>
              <w:jc w:val="right"/>
              <w:rPr>
                <w:rFonts w:ascii="Arial" w:eastAsia="SimSun" w:hAnsi="Arial" w:cs="Arial"/>
                <w:color w:val="000000"/>
                <w:sz w:val="19"/>
                <w:szCs w:val="19"/>
                <w:lang w:val="en-CA" w:eastAsia="zh-CN"/>
              </w:rPr>
            </w:pPr>
            <w:r w:rsidRPr="00A43F68">
              <w:rPr>
                <w:rFonts w:ascii="Arial" w:eastAsia="SimSun" w:hAnsi="Arial" w:cs="Arial"/>
                <w:color w:val="000000"/>
                <w:sz w:val="19"/>
                <w:szCs w:val="19"/>
                <w:lang w:val="en-CA" w:eastAsia="zh-CN"/>
              </w:rPr>
              <w:t xml:space="preserve"> 2.2 </w:t>
            </w:r>
          </w:p>
        </w:tc>
      </w:tr>
      <w:tr w:rsidR="003D30B2" w:rsidRPr="00A43F68" w14:paraId="3200BA21" w14:textId="77777777" w:rsidTr="00EB600D">
        <w:trPr>
          <w:trHeight w:val="80"/>
          <w:jc w:val="center"/>
        </w:trPr>
        <w:tc>
          <w:tcPr>
            <w:tcW w:w="3150" w:type="dxa"/>
            <w:tcBorders>
              <w:top w:val="nil"/>
              <w:left w:val="single" w:sz="4" w:space="0" w:color="auto"/>
              <w:bottom w:val="single" w:sz="4" w:space="0" w:color="auto"/>
              <w:right w:val="single" w:sz="4" w:space="0" w:color="auto"/>
            </w:tcBorders>
            <w:shd w:val="clear" w:color="auto" w:fill="auto"/>
            <w:vAlign w:val="bottom"/>
            <w:hideMark/>
          </w:tcPr>
          <w:p w14:paraId="10B9D194" w14:textId="71A1E671" w:rsidR="003D30B2" w:rsidRPr="00A43F68" w:rsidRDefault="003D30B2" w:rsidP="003D30B2">
            <w:pPr>
              <w:rPr>
                <w:rFonts w:ascii="Arial" w:eastAsia="SimSun" w:hAnsi="Arial" w:cs="Arial"/>
                <w:color w:val="000000"/>
                <w:sz w:val="19"/>
                <w:szCs w:val="19"/>
                <w:lang w:val="en-CA" w:eastAsia="zh-CN"/>
              </w:rPr>
            </w:pPr>
            <w:r w:rsidRPr="00A43F68">
              <w:rPr>
                <w:rFonts w:ascii="Arial" w:eastAsia="SimSun" w:hAnsi="Arial" w:cs="Arial"/>
                <w:color w:val="000000"/>
                <w:sz w:val="19"/>
                <w:szCs w:val="19"/>
                <w:lang w:val="en-CA" w:eastAsia="zh-CN"/>
              </w:rPr>
              <w:t>Germany</w:t>
            </w:r>
          </w:p>
        </w:tc>
        <w:tc>
          <w:tcPr>
            <w:tcW w:w="1440" w:type="dxa"/>
            <w:tcBorders>
              <w:top w:val="nil"/>
              <w:left w:val="nil"/>
              <w:bottom w:val="single" w:sz="4" w:space="0" w:color="auto"/>
              <w:right w:val="single" w:sz="4" w:space="0" w:color="auto"/>
            </w:tcBorders>
            <w:shd w:val="clear" w:color="auto" w:fill="auto"/>
            <w:vAlign w:val="bottom"/>
            <w:hideMark/>
          </w:tcPr>
          <w:p w14:paraId="43A9D6DC" w14:textId="77777777" w:rsidR="003D30B2" w:rsidRPr="00A43F68" w:rsidRDefault="003D30B2" w:rsidP="003D30B2">
            <w:pPr>
              <w:jc w:val="right"/>
              <w:rPr>
                <w:rFonts w:ascii="Arial" w:eastAsia="SimSun" w:hAnsi="Arial" w:cs="Arial"/>
                <w:color w:val="000000"/>
                <w:sz w:val="19"/>
                <w:szCs w:val="19"/>
                <w:lang w:val="en-CA" w:eastAsia="zh-CN"/>
              </w:rPr>
            </w:pPr>
            <w:r w:rsidRPr="00A43F68">
              <w:rPr>
                <w:rFonts w:ascii="Arial" w:eastAsia="SimSun" w:hAnsi="Arial" w:cs="Arial"/>
                <w:color w:val="000000"/>
                <w:sz w:val="19"/>
                <w:szCs w:val="19"/>
                <w:lang w:val="en-CA" w:eastAsia="zh-CN"/>
              </w:rPr>
              <w:t xml:space="preserve"> 1.0 </w:t>
            </w:r>
          </w:p>
        </w:tc>
        <w:tc>
          <w:tcPr>
            <w:tcW w:w="1350" w:type="dxa"/>
            <w:tcBorders>
              <w:top w:val="nil"/>
              <w:left w:val="nil"/>
              <w:bottom w:val="single" w:sz="4" w:space="0" w:color="auto"/>
              <w:right w:val="single" w:sz="4" w:space="0" w:color="auto"/>
            </w:tcBorders>
            <w:shd w:val="clear" w:color="auto" w:fill="auto"/>
            <w:vAlign w:val="bottom"/>
            <w:hideMark/>
          </w:tcPr>
          <w:p w14:paraId="65A48352" w14:textId="77777777" w:rsidR="003D30B2" w:rsidRPr="00A43F68" w:rsidRDefault="003D30B2" w:rsidP="003D30B2">
            <w:pPr>
              <w:jc w:val="right"/>
              <w:rPr>
                <w:rFonts w:ascii="Arial" w:eastAsia="SimSun" w:hAnsi="Arial" w:cs="Arial"/>
                <w:color w:val="000000"/>
                <w:sz w:val="19"/>
                <w:szCs w:val="19"/>
                <w:lang w:val="en-CA" w:eastAsia="zh-CN"/>
              </w:rPr>
            </w:pPr>
            <w:r w:rsidRPr="00A43F68">
              <w:rPr>
                <w:rFonts w:ascii="Arial" w:eastAsia="SimSun" w:hAnsi="Arial" w:cs="Arial"/>
                <w:color w:val="000000"/>
                <w:sz w:val="19"/>
                <w:szCs w:val="19"/>
                <w:lang w:val="en-CA" w:eastAsia="zh-CN"/>
              </w:rPr>
              <w:t xml:space="preserve"> 1.3 </w:t>
            </w:r>
          </w:p>
        </w:tc>
        <w:tc>
          <w:tcPr>
            <w:tcW w:w="1350" w:type="dxa"/>
            <w:tcBorders>
              <w:top w:val="nil"/>
              <w:left w:val="nil"/>
              <w:bottom w:val="single" w:sz="4" w:space="0" w:color="auto"/>
              <w:right w:val="single" w:sz="4" w:space="0" w:color="auto"/>
            </w:tcBorders>
            <w:shd w:val="clear" w:color="auto" w:fill="auto"/>
            <w:vAlign w:val="bottom"/>
            <w:hideMark/>
          </w:tcPr>
          <w:p w14:paraId="734ED2FA" w14:textId="77777777" w:rsidR="003D30B2" w:rsidRPr="00A43F68" w:rsidRDefault="003D30B2" w:rsidP="003D30B2">
            <w:pPr>
              <w:jc w:val="right"/>
              <w:rPr>
                <w:rFonts w:ascii="Arial" w:eastAsia="SimSun" w:hAnsi="Arial" w:cs="Arial"/>
                <w:color w:val="000000"/>
                <w:sz w:val="19"/>
                <w:szCs w:val="19"/>
                <w:lang w:val="en-CA" w:eastAsia="zh-CN"/>
              </w:rPr>
            </w:pPr>
            <w:r w:rsidRPr="00A43F68">
              <w:rPr>
                <w:rFonts w:ascii="Arial" w:eastAsia="SimSun" w:hAnsi="Arial" w:cs="Arial"/>
                <w:color w:val="000000"/>
                <w:sz w:val="19"/>
                <w:szCs w:val="19"/>
                <w:lang w:val="en-CA" w:eastAsia="zh-CN"/>
              </w:rPr>
              <w:t xml:space="preserve"> 2.2 </w:t>
            </w:r>
          </w:p>
        </w:tc>
      </w:tr>
      <w:tr w:rsidR="003D30B2" w:rsidRPr="00A43F68" w14:paraId="6FC3DB88" w14:textId="77777777" w:rsidTr="00EB600D">
        <w:trPr>
          <w:trHeight w:val="56"/>
          <w:jc w:val="center"/>
        </w:trPr>
        <w:tc>
          <w:tcPr>
            <w:tcW w:w="3150" w:type="dxa"/>
            <w:tcBorders>
              <w:top w:val="nil"/>
              <w:left w:val="single" w:sz="4" w:space="0" w:color="auto"/>
              <w:bottom w:val="single" w:sz="4" w:space="0" w:color="auto"/>
              <w:right w:val="single" w:sz="4" w:space="0" w:color="auto"/>
            </w:tcBorders>
            <w:shd w:val="clear" w:color="auto" w:fill="auto"/>
            <w:vAlign w:val="bottom"/>
            <w:hideMark/>
          </w:tcPr>
          <w:p w14:paraId="60F160D3" w14:textId="7B70A8C3" w:rsidR="003D30B2" w:rsidRPr="00A43F68" w:rsidRDefault="003D30B2" w:rsidP="003D30B2">
            <w:pPr>
              <w:rPr>
                <w:rFonts w:ascii="Arial" w:eastAsia="SimSun" w:hAnsi="Arial" w:cs="Arial"/>
                <w:color w:val="000000"/>
                <w:sz w:val="19"/>
                <w:szCs w:val="19"/>
                <w:lang w:val="en-CA" w:eastAsia="zh-CN"/>
              </w:rPr>
            </w:pPr>
            <w:r w:rsidRPr="00A43F68">
              <w:rPr>
                <w:rFonts w:ascii="Arial" w:eastAsia="SimSun" w:hAnsi="Arial" w:cs="Arial"/>
                <w:color w:val="000000"/>
                <w:sz w:val="19"/>
                <w:szCs w:val="19"/>
                <w:lang w:val="en-CA" w:eastAsia="zh-CN"/>
              </w:rPr>
              <w:t>Italy</w:t>
            </w:r>
          </w:p>
        </w:tc>
        <w:tc>
          <w:tcPr>
            <w:tcW w:w="1440" w:type="dxa"/>
            <w:tcBorders>
              <w:top w:val="nil"/>
              <w:left w:val="nil"/>
              <w:bottom w:val="single" w:sz="4" w:space="0" w:color="auto"/>
              <w:right w:val="single" w:sz="4" w:space="0" w:color="auto"/>
            </w:tcBorders>
            <w:shd w:val="clear" w:color="auto" w:fill="auto"/>
            <w:vAlign w:val="bottom"/>
            <w:hideMark/>
          </w:tcPr>
          <w:p w14:paraId="271C5A84" w14:textId="77777777" w:rsidR="003D30B2" w:rsidRPr="00A43F68" w:rsidRDefault="003D30B2" w:rsidP="003D30B2">
            <w:pPr>
              <w:jc w:val="right"/>
              <w:rPr>
                <w:rFonts w:ascii="Arial" w:eastAsia="SimSun" w:hAnsi="Arial" w:cs="Arial"/>
                <w:color w:val="000000"/>
                <w:sz w:val="19"/>
                <w:szCs w:val="19"/>
                <w:lang w:val="en-CA" w:eastAsia="zh-CN"/>
              </w:rPr>
            </w:pPr>
            <w:r w:rsidRPr="00A43F68">
              <w:rPr>
                <w:rFonts w:ascii="Arial" w:eastAsia="SimSun" w:hAnsi="Arial" w:cs="Arial"/>
                <w:color w:val="000000"/>
                <w:sz w:val="19"/>
                <w:szCs w:val="19"/>
                <w:lang w:val="en-CA" w:eastAsia="zh-CN"/>
              </w:rPr>
              <w:t xml:space="preserve"> 1.8 </w:t>
            </w:r>
          </w:p>
        </w:tc>
        <w:tc>
          <w:tcPr>
            <w:tcW w:w="1350" w:type="dxa"/>
            <w:tcBorders>
              <w:top w:val="nil"/>
              <w:left w:val="nil"/>
              <w:bottom w:val="single" w:sz="4" w:space="0" w:color="auto"/>
              <w:right w:val="single" w:sz="4" w:space="0" w:color="auto"/>
            </w:tcBorders>
            <w:shd w:val="clear" w:color="auto" w:fill="auto"/>
            <w:vAlign w:val="bottom"/>
            <w:hideMark/>
          </w:tcPr>
          <w:p w14:paraId="05C947F5" w14:textId="77777777" w:rsidR="003D30B2" w:rsidRPr="00A43F68" w:rsidRDefault="003D30B2" w:rsidP="003D30B2">
            <w:pPr>
              <w:jc w:val="right"/>
              <w:rPr>
                <w:rFonts w:ascii="Arial" w:eastAsia="SimSun" w:hAnsi="Arial" w:cs="Arial"/>
                <w:color w:val="000000"/>
                <w:sz w:val="19"/>
                <w:szCs w:val="19"/>
                <w:lang w:val="en-CA" w:eastAsia="zh-CN"/>
              </w:rPr>
            </w:pPr>
            <w:r w:rsidRPr="00A43F68">
              <w:rPr>
                <w:rFonts w:ascii="Arial" w:eastAsia="SimSun" w:hAnsi="Arial" w:cs="Arial"/>
                <w:color w:val="000000"/>
                <w:sz w:val="19"/>
                <w:szCs w:val="19"/>
                <w:lang w:val="en-CA" w:eastAsia="zh-CN"/>
              </w:rPr>
              <w:t xml:space="preserve"> 3.3 </w:t>
            </w:r>
          </w:p>
        </w:tc>
        <w:tc>
          <w:tcPr>
            <w:tcW w:w="1350" w:type="dxa"/>
            <w:tcBorders>
              <w:top w:val="nil"/>
              <w:left w:val="nil"/>
              <w:bottom w:val="single" w:sz="4" w:space="0" w:color="auto"/>
              <w:right w:val="single" w:sz="4" w:space="0" w:color="auto"/>
            </w:tcBorders>
            <w:shd w:val="clear" w:color="auto" w:fill="auto"/>
            <w:vAlign w:val="bottom"/>
            <w:hideMark/>
          </w:tcPr>
          <w:p w14:paraId="15DA38DB" w14:textId="77777777" w:rsidR="003D30B2" w:rsidRPr="00A43F68" w:rsidRDefault="003D30B2" w:rsidP="003D30B2">
            <w:pPr>
              <w:jc w:val="right"/>
              <w:rPr>
                <w:rFonts w:ascii="Arial" w:eastAsia="SimSun" w:hAnsi="Arial" w:cs="Arial"/>
                <w:color w:val="000000"/>
                <w:sz w:val="19"/>
                <w:szCs w:val="19"/>
                <w:lang w:val="en-CA" w:eastAsia="zh-CN"/>
              </w:rPr>
            </w:pPr>
            <w:r w:rsidRPr="00A43F68">
              <w:rPr>
                <w:rFonts w:ascii="Arial" w:eastAsia="SimSun" w:hAnsi="Arial" w:cs="Arial"/>
                <w:color w:val="000000"/>
                <w:sz w:val="19"/>
                <w:szCs w:val="19"/>
                <w:lang w:val="en-CA" w:eastAsia="zh-CN"/>
              </w:rPr>
              <w:t xml:space="preserve"> 5.4 </w:t>
            </w:r>
          </w:p>
        </w:tc>
      </w:tr>
      <w:tr w:rsidR="003D30B2" w:rsidRPr="00A43F68" w14:paraId="0FBB989E" w14:textId="77777777" w:rsidTr="00EB600D">
        <w:trPr>
          <w:trHeight w:val="62"/>
          <w:jc w:val="center"/>
        </w:trPr>
        <w:tc>
          <w:tcPr>
            <w:tcW w:w="3150" w:type="dxa"/>
            <w:tcBorders>
              <w:top w:val="nil"/>
              <w:left w:val="single" w:sz="4" w:space="0" w:color="auto"/>
              <w:bottom w:val="single" w:sz="4" w:space="0" w:color="auto"/>
              <w:right w:val="single" w:sz="4" w:space="0" w:color="auto"/>
            </w:tcBorders>
            <w:shd w:val="clear" w:color="auto" w:fill="auto"/>
            <w:vAlign w:val="bottom"/>
            <w:hideMark/>
          </w:tcPr>
          <w:p w14:paraId="47C9F687" w14:textId="2014332A" w:rsidR="003D30B2" w:rsidRPr="00A43F68" w:rsidRDefault="003D30B2" w:rsidP="003D30B2">
            <w:pPr>
              <w:rPr>
                <w:rFonts w:ascii="Arial" w:eastAsia="SimSun" w:hAnsi="Arial" w:cs="Arial"/>
                <w:color w:val="000000"/>
                <w:sz w:val="19"/>
                <w:szCs w:val="19"/>
                <w:lang w:val="en-CA" w:eastAsia="zh-CN"/>
              </w:rPr>
            </w:pPr>
            <w:r w:rsidRPr="00A43F68">
              <w:rPr>
                <w:rFonts w:ascii="Arial" w:eastAsia="SimSun" w:hAnsi="Arial" w:cs="Arial"/>
                <w:color w:val="000000"/>
                <w:sz w:val="19"/>
                <w:szCs w:val="19"/>
                <w:lang w:val="en-CA" w:eastAsia="zh-CN"/>
              </w:rPr>
              <w:t>New Zealand</w:t>
            </w:r>
          </w:p>
        </w:tc>
        <w:tc>
          <w:tcPr>
            <w:tcW w:w="1440" w:type="dxa"/>
            <w:tcBorders>
              <w:top w:val="nil"/>
              <w:left w:val="nil"/>
              <w:bottom w:val="single" w:sz="4" w:space="0" w:color="auto"/>
              <w:right w:val="single" w:sz="4" w:space="0" w:color="auto"/>
            </w:tcBorders>
            <w:shd w:val="clear" w:color="auto" w:fill="auto"/>
            <w:vAlign w:val="bottom"/>
            <w:hideMark/>
          </w:tcPr>
          <w:p w14:paraId="2A037847" w14:textId="77777777" w:rsidR="003D30B2" w:rsidRPr="00A43F68" w:rsidRDefault="003D30B2" w:rsidP="003D30B2">
            <w:pPr>
              <w:jc w:val="right"/>
              <w:rPr>
                <w:rFonts w:ascii="Arial" w:eastAsia="SimSun" w:hAnsi="Arial" w:cs="Arial"/>
                <w:color w:val="000000"/>
                <w:sz w:val="19"/>
                <w:szCs w:val="19"/>
                <w:lang w:val="en-CA" w:eastAsia="zh-CN"/>
              </w:rPr>
            </w:pPr>
            <w:r w:rsidRPr="00A43F68">
              <w:rPr>
                <w:rFonts w:ascii="Arial" w:eastAsia="SimSun" w:hAnsi="Arial" w:cs="Arial"/>
                <w:color w:val="000000"/>
                <w:sz w:val="19"/>
                <w:szCs w:val="19"/>
                <w:lang w:val="en-CA" w:eastAsia="zh-CN"/>
              </w:rPr>
              <w:t xml:space="preserve"> 14.5 </w:t>
            </w:r>
          </w:p>
        </w:tc>
        <w:tc>
          <w:tcPr>
            <w:tcW w:w="1350" w:type="dxa"/>
            <w:tcBorders>
              <w:top w:val="nil"/>
              <w:left w:val="nil"/>
              <w:bottom w:val="single" w:sz="4" w:space="0" w:color="auto"/>
              <w:right w:val="single" w:sz="4" w:space="0" w:color="auto"/>
            </w:tcBorders>
            <w:shd w:val="clear" w:color="auto" w:fill="auto"/>
            <w:vAlign w:val="bottom"/>
            <w:hideMark/>
          </w:tcPr>
          <w:p w14:paraId="622A1076" w14:textId="77777777" w:rsidR="003D30B2" w:rsidRPr="00A43F68" w:rsidRDefault="003D30B2" w:rsidP="003D30B2">
            <w:pPr>
              <w:jc w:val="right"/>
              <w:rPr>
                <w:rFonts w:ascii="Arial" w:eastAsia="SimSun" w:hAnsi="Arial" w:cs="Arial"/>
                <w:color w:val="000000"/>
                <w:sz w:val="19"/>
                <w:szCs w:val="19"/>
                <w:lang w:val="en-CA" w:eastAsia="zh-CN"/>
              </w:rPr>
            </w:pPr>
            <w:r w:rsidRPr="00A43F68">
              <w:rPr>
                <w:rFonts w:ascii="Arial" w:eastAsia="SimSun" w:hAnsi="Arial" w:cs="Arial"/>
                <w:color w:val="000000"/>
                <w:sz w:val="19"/>
                <w:szCs w:val="19"/>
                <w:lang w:val="en-CA" w:eastAsia="zh-CN"/>
              </w:rPr>
              <w:t xml:space="preserve"> 13.9 </w:t>
            </w:r>
          </w:p>
        </w:tc>
        <w:tc>
          <w:tcPr>
            <w:tcW w:w="1350" w:type="dxa"/>
            <w:tcBorders>
              <w:top w:val="nil"/>
              <w:left w:val="nil"/>
              <w:bottom w:val="single" w:sz="4" w:space="0" w:color="auto"/>
              <w:right w:val="single" w:sz="4" w:space="0" w:color="auto"/>
            </w:tcBorders>
            <w:shd w:val="clear" w:color="auto" w:fill="auto"/>
            <w:vAlign w:val="bottom"/>
            <w:hideMark/>
          </w:tcPr>
          <w:p w14:paraId="02C66273" w14:textId="77777777" w:rsidR="003D30B2" w:rsidRPr="00A43F68" w:rsidRDefault="003D30B2" w:rsidP="003D30B2">
            <w:pPr>
              <w:jc w:val="right"/>
              <w:rPr>
                <w:rFonts w:ascii="Arial" w:eastAsia="SimSun" w:hAnsi="Arial" w:cs="Arial"/>
                <w:color w:val="000000"/>
                <w:sz w:val="19"/>
                <w:szCs w:val="19"/>
                <w:lang w:val="en-CA" w:eastAsia="zh-CN"/>
              </w:rPr>
            </w:pPr>
            <w:r w:rsidRPr="00A43F68">
              <w:rPr>
                <w:rFonts w:ascii="Arial" w:eastAsia="SimSun" w:hAnsi="Arial" w:cs="Arial"/>
                <w:color w:val="000000"/>
                <w:sz w:val="19"/>
                <w:szCs w:val="19"/>
                <w:lang w:val="en-CA" w:eastAsia="zh-CN"/>
              </w:rPr>
              <w:t xml:space="preserve"> 19.9 </w:t>
            </w:r>
          </w:p>
        </w:tc>
      </w:tr>
      <w:tr w:rsidR="003D30B2" w:rsidRPr="00A43F68" w14:paraId="605B8453" w14:textId="77777777" w:rsidTr="00EB600D">
        <w:trPr>
          <w:trHeight w:val="56"/>
          <w:jc w:val="center"/>
        </w:trPr>
        <w:tc>
          <w:tcPr>
            <w:tcW w:w="3150" w:type="dxa"/>
            <w:tcBorders>
              <w:top w:val="nil"/>
              <w:left w:val="single" w:sz="4" w:space="0" w:color="auto"/>
              <w:bottom w:val="single" w:sz="4" w:space="0" w:color="auto"/>
              <w:right w:val="single" w:sz="4" w:space="0" w:color="auto"/>
            </w:tcBorders>
            <w:shd w:val="clear" w:color="auto" w:fill="auto"/>
            <w:vAlign w:val="bottom"/>
            <w:hideMark/>
          </w:tcPr>
          <w:p w14:paraId="2ADA99C7" w14:textId="3F915181" w:rsidR="003D30B2" w:rsidRPr="00A43F68" w:rsidRDefault="003D30B2" w:rsidP="003D30B2">
            <w:pPr>
              <w:rPr>
                <w:rFonts w:ascii="Arial" w:eastAsia="SimSun" w:hAnsi="Arial" w:cs="Arial"/>
                <w:color w:val="000000"/>
                <w:sz w:val="19"/>
                <w:szCs w:val="19"/>
                <w:lang w:val="en-CA" w:eastAsia="zh-CN"/>
              </w:rPr>
            </w:pPr>
            <w:r w:rsidRPr="00A43F68">
              <w:rPr>
                <w:rFonts w:ascii="Arial" w:eastAsia="SimSun" w:hAnsi="Arial" w:cs="Arial"/>
                <w:color w:val="000000"/>
                <w:sz w:val="19"/>
                <w:szCs w:val="19"/>
                <w:lang w:val="en-CA" w:eastAsia="zh-CN"/>
              </w:rPr>
              <w:t>United States</w:t>
            </w:r>
          </w:p>
        </w:tc>
        <w:tc>
          <w:tcPr>
            <w:tcW w:w="1440" w:type="dxa"/>
            <w:tcBorders>
              <w:top w:val="nil"/>
              <w:left w:val="nil"/>
              <w:bottom w:val="single" w:sz="4" w:space="0" w:color="auto"/>
              <w:right w:val="single" w:sz="4" w:space="0" w:color="auto"/>
            </w:tcBorders>
            <w:shd w:val="clear" w:color="auto" w:fill="auto"/>
            <w:vAlign w:val="bottom"/>
            <w:hideMark/>
          </w:tcPr>
          <w:p w14:paraId="1F4A3080" w14:textId="77777777" w:rsidR="003D30B2" w:rsidRPr="00A43F68" w:rsidRDefault="003D30B2" w:rsidP="003D30B2">
            <w:pPr>
              <w:jc w:val="right"/>
              <w:rPr>
                <w:rFonts w:ascii="Arial" w:eastAsia="SimSun" w:hAnsi="Arial" w:cs="Arial"/>
                <w:color w:val="000000"/>
                <w:sz w:val="19"/>
                <w:szCs w:val="19"/>
                <w:lang w:val="en-CA" w:eastAsia="zh-CN"/>
              </w:rPr>
            </w:pPr>
            <w:r w:rsidRPr="00A43F68">
              <w:rPr>
                <w:rFonts w:ascii="Arial" w:eastAsia="SimSun" w:hAnsi="Arial" w:cs="Arial"/>
                <w:color w:val="000000"/>
                <w:sz w:val="19"/>
                <w:szCs w:val="19"/>
                <w:lang w:val="en-CA" w:eastAsia="zh-CN"/>
              </w:rPr>
              <w:t xml:space="preserve"> 22.1 </w:t>
            </w:r>
          </w:p>
        </w:tc>
        <w:tc>
          <w:tcPr>
            <w:tcW w:w="1350" w:type="dxa"/>
            <w:tcBorders>
              <w:top w:val="nil"/>
              <w:left w:val="nil"/>
              <w:bottom w:val="single" w:sz="4" w:space="0" w:color="auto"/>
              <w:right w:val="single" w:sz="4" w:space="0" w:color="auto"/>
            </w:tcBorders>
            <w:shd w:val="clear" w:color="auto" w:fill="auto"/>
            <w:vAlign w:val="bottom"/>
            <w:hideMark/>
          </w:tcPr>
          <w:p w14:paraId="7C3363BB" w14:textId="77777777" w:rsidR="003D30B2" w:rsidRPr="00A43F68" w:rsidRDefault="003D30B2" w:rsidP="003D30B2">
            <w:pPr>
              <w:jc w:val="right"/>
              <w:rPr>
                <w:rFonts w:ascii="Arial" w:eastAsia="SimSun" w:hAnsi="Arial" w:cs="Arial"/>
                <w:color w:val="000000"/>
                <w:sz w:val="19"/>
                <w:szCs w:val="19"/>
                <w:lang w:val="en-CA" w:eastAsia="zh-CN"/>
              </w:rPr>
            </w:pPr>
            <w:r w:rsidRPr="00A43F68">
              <w:rPr>
                <w:rFonts w:ascii="Arial" w:eastAsia="SimSun" w:hAnsi="Arial" w:cs="Arial"/>
                <w:color w:val="000000"/>
                <w:sz w:val="19"/>
                <w:szCs w:val="19"/>
                <w:lang w:val="en-CA" w:eastAsia="zh-CN"/>
              </w:rPr>
              <w:t xml:space="preserve"> 28.0 </w:t>
            </w:r>
          </w:p>
        </w:tc>
        <w:tc>
          <w:tcPr>
            <w:tcW w:w="1350" w:type="dxa"/>
            <w:tcBorders>
              <w:top w:val="nil"/>
              <w:left w:val="nil"/>
              <w:bottom w:val="single" w:sz="4" w:space="0" w:color="auto"/>
              <w:right w:val="single" w:sz="4" w:space="0" w:color="auto"/>
            </w:tcBorders>
            <w:shd w:val="clear" w:color="auto" w:fill="auto"/>
            <w:vAlign w:val="bottom"/>
            <w:hideMark/>
          </w:tcPr>
          <w:p w14:paraId="5A85F6D7" w14:textId="77777777" w:rsidR="003D30B2" w:rsidRPr="00A43F68" w:rsidRDefault="003D30B2" w:rsidP="003D30B2">
            <w:pPr>
              <w:jc w:val="right"/>
              <w:rPr>
                <w:rFonts w:ascii="Arial" w:eastAsia="SimSun" w:hAnsi="Arial" w:cs="Arial"/>
                <w:color w:val="000000"/>
                <w:sz w:val="19"/>
                <w:szCs w:val="19"/>
                <w:lang w:val="en-CA" w:eastAsia="zh-CN"/>
              </w:rPr>
            </w:pPr>
            <w:r w:rsidRPr="00A43F68">
              <w:rPr>
                <w:rFonts w:ascii="Arial" w:eastAsia="SimSun" w:hAnsi="Arial" w:cs="Arial"/>
                <w:color w:val="000000"/>
                <w:sz w:val="19"/>
                <w:szCs w:val="19"/>
                <w:lang w:val="en-CA" w:eastAsia="zh-CN"/>
              </w:rPr>
              <w:t xml:space="preserve"> 44.8 </w:t>
            </w:r>
          </w:p>
        </w:tc>
      </w:tr>
      <w:tr w:rsidR="003D30B2" w:rsidRPr="00A43F68" w14:paraId="2D5B6699" w14:textId="77777777" w:rsidTr="00EB600D">
        <w:trPr>
          <w:trHeight w:val="98"/>
          <w:jc w:val="center"/>
        </w:trPr>
        <w:tc>
          <w:tcPr>
            <w:tcW w:w="3150" w:type="dxa"/>
            <w:tcBorders>
              <w:top w:val="nil"/>
              <w:left w:val="single" w:sz="4" w:space="0" w:color="auto"/>
              <w:bottom w:val="single" w:sz="4" w:space="0" w:color="auto"/>
              <w:right w:val="single" w:sz="4" w:space="0" w:color="auto"/>
            </w:tcBorders>
            <w:shd w:val="clear" w:color="auto" w:fill="auto"/>
            <w:vAlign w:val="bottom"/>
            <w:hideMark/>
          </w:tcPr>
          <w:p w14:paraId="31F04569" w14:textId="41FBA854" w:rsidR="003D30B2" w:rsidRPr="00A43F68" w:rsidRDefault="003D30B2" w:rsidP="003D30B2">
            <w:pPr>
              <w:rPr>
                <w:rFonts w:ascii="Arial" w:eastAsia="SimSun" w:hAnsi="Arial" w:cs="Arial"/>
                <w:b/>
                <w:bCs/>
                <w:color w:val="000000"/>
                <w:sz w:val="19"/>
                <w:szCs w:val="19"/>
                <w:lang w:val="en-CA" w:eastAsia="zh-CN"/>
              </w:rPr>
            </w:pPr>
            <w:r w:rsidRPr="00A43F68">
              <w:rPr>
                <w:rFonts w:ascii="Arial" w:eastAsia="SimSun" w:hAnsi="Arial" w:cs="Arial"/>
                <w:b/>
                <w:bCs/>
                <w:color w:val="000000"/>
                <w:sz w:val="19"/>
                <w:szCs w:val="19"/>
                <w:lang w:val="en-CA" w:eastAsia="zh-CN"/>
              </w:rPr>
              <w:t xml:space="preserve">Other </w:t>
            </w:r>
            <w:r w:rsidR="007C5D5C" w:rsidRPr="00A43F68">
              <w:rPr>
                <w:rFonts w:ascii="Arial" w:eastAsia="SimSun" w:hAnsi="Arial" w:cs="Arial"/>
                <w:b/>
                <w:bCs/>
                <w:color w:val="000000"/>
                <w:sz w:val="19"/>
                <w:szCs w:val="19"/>
                <w:lang w:val="en-CA" w:eastAsia="zh-CN"/>
              </w:rPr>
              <w:t>m</w:t>
            </w:r>
            <w:r w:rsidRPr="00A43F68">
              <w:rPr>
                <w:rFonts w:ascii="Arial" w:eastAsia="SimSun" w:hAnsi="Arial" w:cs="Arial"/>
                <w:b/>
                <w:bCs/>
                <w:color w:val="000000"/>
                <w:sz w:val="19"/>
                <w:szCs w:val="19"/>
                <w:lang w:val="en-CA" w:eastAsia="zh-CN"/>
              </w:rPr>
              <w:t>arkets</w:t>
            </w:r>
          </w:p>
        </w:tc>
        <w:tc>
          <w:tcPr>
            <w:tcW w:w="1440" w:type="dxa"/>
            <w:tcBorders>
              <w:top w:val="nil"/>
              <w:left w:val="nil"/>
              <w:bottom w:val="single" w:sz="4" w:space="0" w:color="auto"/>
              <w:right w:val="single" w:sz="4" w:space="0" w:color="auto"/>
            </w:tcBorders>
            <w:shd w:val="clear" w:color="auto" w:fill="auto"/>
            <w:vAlign w:val="bottom"/>
            <w:hideMark/>
          </w:tcPr>
          <w:p w14:paraId="69A39E24" w14:textId="77777777" w:rsidR="003D30B2" w:rsidRPr="00A43F68" w:rsidRDefault="003D30B2" w:rsidP="003D30B2">
            <w:pPr>
              <w:jc w:val="right"/>
              <w:rPr>
                <w:rFonts w:ascii="Arial" w:eastAsia="SimSun" w:hAnsi="Arial" w:cs="Arial"/>
                <w:b/>
                <w:bCs/>
                <w:color w:val="000000"/>
                <w:sz w:val="19"/>
                <w:szCs w:val="19"/>
                <w:lang w:val="en-CA" w:eastAsia="zh-CN"/>
              </w:rPr>
            </w:pPr>
            <w:r w:rsidRPr="00A43F68">
              <w:rPr>
                <w:rFonts w:ascii="Arial" w:eastAsia="SimSun" w:hAnsi="Arial" w:cs="Arial"/>
                <w:b/>
                <w:bCs/>
                <w:color w:val="000000"/>
                <w:sz w:val="19"/>
                <w:szCs w:val="19"/>
                <w:lang w:val="en-CA" w:eastAsia="zh-CN"/>
              </w:rPr>
              <w:t xml:space="preserve"> 17.0 </w:t>
            </w:r>
          </w:p>
        </w:tc>
        <w:tc>
          <w:tcPr>
            <w:tcW w:w="1350" w:type="dxa"/>
            <w:tcBorders>
              <w:top w:val="nil"/>
              <w:left w:val="nil"/>
              <w:bottom w:val="single" w:sz="4" w:space="0" w:color="auto"/>
              <w:right w:val="single" w:sz="4" w:space="0" w:color="auto"/>
            </w:tcBorders>
            <w:shd w:val="clear" w:color="auto" w:fill="auto"/>
            <w:vAlign w:val="bottom"/>
            <w:hideMark/>
          </w:tcPr>
          <w:p w14:paraId="44F6B27B" w14:textId="77777777" w:rsidR="003D30B2" w:rsidRPr="00A43F68" w:rsidRDefault="003D30B2" w:rsidP="003D30B2">
            <w:pPr>
              <w:jc w:val="right"/>
              <w:rPr>
                <w:rFonts w:ascii="Arial" w:eastAsia="SimSun" w:hAnsi="Arial" w:cs="Arial"/>
                <w:b/>
                <w:bCs/>
                <w:color w:val="000000"/>
                <w:sz w:val="19"/>
                <w:szCs w:val="19"/>
                <w:lang w:val="en-CA" w:eastAsia="zh-CN"/>
              </w:rPr>
            </w:pPr>
            <w:r w:rsidRPr="00A43F68">
              <w:rPr>
                <w:rFonts w:ascii="Arial" w:eastAsia="SimSun" w:hAnsi="Arial" w:cs="Arial"/>
                <w:b/>
                <w:bCs/>
                <w:color w:val="000000"/>
                <w:sz w:val="19"/>
                <w:szCs w:val="19"/>
                <w:lang w:val="en-CA" w:eastAsia="zh-CN"/>
              </w:rPr>
              <w:t xml:space="preserve"> 13.7 </w:t>
            </w:r>
          </w:p>
        </w:tc>
        <w:tc>
          <w:tcPr>
            <w:tcW w:w="1350" w:type="dxa"/>
            <w:tcBorders>
              <w:top w:val="nil"/>
              <w:left w:val="nil"/>
              <w:bottom w:val="single" w:sz="4" w:space="0" w:color="auto"/>
              <w:right w:val="single" w:sz="4" w:space="0" w:color="auto"/>
            </w:tcBorders>
            <w:shd w:val="clear" w:color="auto" w:fill="auto"/>
            <w:vAlign w:val="bottom"/>
            <w:hideMark/>
          </w:tcPr>
          <w:p w14:paraId="4729E5A3" w14:textId="77777777" w:rsidR="003D30B2" w:rsidRPr="00A43F68" w:rsidRDefault="003D30B2" w:rsidP="003D30B2">
            <w:pPr>
              <w:jc w:val="right"/>
              <w:rPr>
                <w:rFonts w:ascii="Arial" w:eastAsia="SimSun" w:hAnsi="Arial" w:cs="Arial"/>
                <w:b/>
                <w:bCs/>
                <w:color w:val="000000"/>
                <w:sz w:val="19"/>
                <w:szCs w:val="19"/>
                <w:lang w:val="en-CA" w:eastAsia="zh-CN"/>
              </w:rPr>
            </w:pPr>
            <w:r w:rsidRPr="00A43F68">
              <w:rPr>
                <w:rFonts w:ascii="Arial" w:eastAsia="SimSun" w:hAnsi="Arial" w:cs="Arial"/>
                <w:b/>
                <w:bCs/>
                <w:color w:val="000000"/>
                <w:sz w:val="19"/>
                <w:szCs w:val="19"/>
                <w:lang w:val="en-CA" w:eastAsia="zh-CN"/>
              </w:rPr>
              <w:t xml:space="preserve"> 41.8 </w:t>
            </w:r>
          </w:p>
        </w:tc>
      </w:tr>
      <w:tr w:rsidR="003D30B2" w:rsidRPr="00A43F68" w14:paraId="49A85CA3" w14:textId="77777777" w:rsidTr="00EB600D">
        <w:trPr>
          <w:trHeight w:val="56"/>
          <w:jc w:val="center"/>
        </w:trPr>
        <w:tc>
          <w:tcPr>
            <w:tcW w:w="3150" w:type="dxa"/>
            <w:tcBorders>
              <w:top w:val="nil"/>
              <w:left w:val="single" w:sz="4" w:space="0" w:color="auto"/>
              <w:bottom w:val="single" w:sz="4" w:space="0" w:color="auto"/>
              <w:right w:val="single" w:sz="4" w:space="0" w:color="auto"/>
            </w:tcBorders>
            <w:shd w:val="clear" w:color="auto" w:fill="auto"/>
            <w:vAlign w:val="bottom"/>
            <w:hideMark/>
          </w:tcPr>
          <w:p w14:paraId="267BC0E5" w14:textId="77777777" w:rsidR="003D30B2" w:rsidRPr="00A43F68" w:rsidRDefault="003D30B2" w:rsidP="003D30B2">
            <w:pPr>
              <w:rPr>
                <w:rFonts w:ascii="Arial" w:eastAsia="SimSun" w:hAnsi="Arial" w:cs="Arial"/>
                <w:b/>
                <w:bCs/>
                <w:color w:val="000000"/>
                <w:sz w:val="19"/>
                <w:szCs w:val="19"/>
                <w:lang w:val="en-CA" w:eastAsia="zh-CN"/>
              </w:rPr>
            </w:pPr>
            <w:r w:rsidRPr="00A43F68">
              <w:rPr>
                <w:rFonts w:ascii="Arial" w:eastAsia="SimSun" w:hAnsi="Arial" w:cs="Arial"/>
                <w:b/>
                <w:bCs/>
                <w:color w:val="000000"/>
                <w:sz w:val="19"/>
                <w:szCs w:val="19"/>
                <w:lang w:val="en-CA" w:eastAsia="zh-CN"/>
              </w:rPr>
              <w:t>Total exports from Australia</w:t>
            </w:r>
          </w:p>
        </w:tc>
        <w:tc>
          <w:tcPr>
            <w:tcW w:w="1440" w:type="dxa"/>
            <w:tcBorders>
              <w:top w:val="nil"/>
              <w:left w:val="nil"/>
              <w:bottom w:val="single" w:sz="4" w:space="0" w:color="auto"/>
              <w:right w:val="single" w:sz="4" w:space="0" w:color="auto"/>
            </w:tcBorders>
            <w:shd w:val="clear" w:color="auto" w:fill="auto"/>
            <w:vAlign w:val="bottom"/>
            <w:hideMark/>
          </w:tcPr>
          <w:p w14:paraId="74A3C557" w14:textId="77777777" w:rsidR="003D30B2" w:rsidRPr="00A43F68" w:rsidRDefault="003D30B2" w:rsidP="003D30B2">
            <w:pPr>
              <w:jc w:val="right"/>
              <w:rPr>
                <w:rFonts w:ascii="Arial" w:eastAsia="SimSun" w:hAnsi="Arial" w:cs="Arial"/>
                <w:b/>
                <w:bCs/>
                <w:color w:val="000000"/>
                <w:sz w:val="19"/>
                <w:szCs w:val="19"/>
                <w:lang w:val="en-CA" w:eastAsia="zh-CN"/>
              </w:rPr>
            </w:pPr>
            <w:r w:rsidRPr="00A43F68">
              <w:rPr>
                <w:rFonts w:ascii="Arial" w:eastAsia="SimSun" w:hAnsi="Arial" w:cs="Arial"/>
                <w:b/>
                <w:bCs/>
                <w:color w:val="000000"/>
                <w:sz w:val="19"/>
                <w:szCs w:val="19"/>
                <w:lang w:val="en-CA" w:eastAsia="zh-CN"/>
              </w:rPr>
              <w:t xml:space="preserve"> 1,138.3 </w:t>
            </w:r>
          </w:p>
        </w:tc>
        <w:tc>
          <w:tcPr>
            <w:tcW w:w="1350" w:type="dxa"/>
            <w:tcBorders>
              <w:top w:val="nil"/>
              <w:left w:val="nil"/>
              <w:bottom w:val="single" w:sz="4" w:space="0" w:color="auto"/>
              <w:right w:val="single" w:sz="4" w:space="0" w:color="auto"/>
            </w:tcBorders>
            <w:shd w:val="clear" w:color="auto" w:fill="auto"/>
            <w:vAlign w:val="bottom"/>
            <w:hideMark/>
          </w:tcPr>
          <w:p w14:paraId="49D684A1" w14:textId="77777777" w:rsidR="003D30B2" w:rsidRPr="00A43F68" w:rsidRDefault="003D30B2" w:rsidP="003D30B2">
            <w:pPr>
              <w:jc w:val="right"/>
              <w:rPr>
                <w:rFonts w:ascii="Arial" w:eastAsia="SimSun" w:hAnsi="Arial" w:cs="Arial"/>
                <w:b/>
                <w:bCs/>
                <w:color w:val="000000"/>
                <w:sz w:val="19"/>
                <w:szCs w:val="19"/>
                <w:lang w:val="en-CA" w:eastAsia="zh-CN"/>
              </w:rPr>
            </w:pPr>
            <w:r w:rsidRPr="00A43F68">
              <w:rPr>
                <w:rFonts w:ascii="Arial" w:eastAsia="SimSun" w:hAnsi="Arial" w:cs="Arial"/>
                <w:b/>
                <w:bCs/>
                <w:color w:val="000000"/>
                <w:sz w:val="19"/>
                <w:szCs w:val="19"/>
                <w:lang w:val="en-CA" w:eastAsia="zh-CN"/>
              </w:rPr>
              <w:t xml:space="preserve"> 1,292.7 </w:t>
            </w:r>
          </w:p>
        </w:tc>
        <w:tc>
          <w:tcPr>
            <w:tcW w:w="1350" w:type="dxa"/>
            <w:tcBorders>
              <w:top w:val="nil"/>
              <w:left w:val="nil"/>
              <w:bottom w:val="single" w:sz="4" w:space="0" w:color="auto"/>
              <w:right w:val="single" w:sz="4" w:space="0" w:color="auto"/>
            </w:tcBorders>
            <w:shd w:val="clear" w:color="auto" w:fill="auto"/>
            <w:vAlign w:val="bottom"/>
            <w:hideMark/>
          </w:tcPr>
          <w:p w14:paraId="45AAEF3A" w14:textId="77777777" w:rsidR="003D30B2" w:rsidRPr="00A43F68" w:rsidRDefault="003D30B2" w:rsidP="003D30B2">
            <w:pPr>
              <w:jc w:val="right"/>
              <w:rPr>
                <w:rFonts w:ascii="Arial" w:eastAsia="SimSun" w:hAnsi="Arial" w:cs="Arial"/>
                <w:b/>
                <w:bCs/>
                <w:color w:val="000000"/>
                <w:sz w:val="19"/>
                <w:szCs w:val="19"/>
                <w:lang w:val="en-CA" w:eastAsia="zh-CN"/>
              </w:rPr>
            </w:pPr>
            <w:r w:rsidRPr="00A43F68">
              <w:rPr>
                <w:rFonts w:ascii="Arial" w:eastAsia="SimSun" w:hAnsi="Arial" w:cs="Arial"/>
                <w:b/>
                <w:bCs/>
                <w:color w:val="000000"/>
                <w:sz w:val="19"/>
                <w:szCs w:val="19"/>
                <w:lang w:val="en-CA" w:eastAsia="zh-CN"/>
              </w:rPr>
              <w:t xml:space="preserve"> 1,418.3 </w:t>
            </w:r>
          </w:p>
        </w:tc>
      </w:tr>
    </w:tbl>
    <w:p w14:paraId="5AF6A783" w14:textId="77777777" w:rsidR="003D30B2" w:rsidRPr="00A43F68" w:rsidRDefault="003D30B2" w:rsidP="002955A0">
      <w:pPr>
        <w:pStyle w:val="ExhibitText"/>
        <w:rPr>
          <w:sz w:val="14"/>
          <w:szCs w:val="14"/>
          <w:lang w:val="en-CA"/>
        </w:rPr>
      </w:pPr>
    </w:p>
    <w:p w14:paraId="56EED062" w14:textId="1ABFC256" w:rsidR="002955A0" w:rsidRPr="00A43F68" w:rsidRDefault="003D30B2" w:rsidP="00EB600D">
      <w:pPr>
        <w:jc w:val="both"/>
        <w:rPr>
          <w:rFonts w:ascii="Arial" w:hAnsi="Arial" w:cs="Arial"/>
          <w:kern w:val="2"/>
          <w:sz w:val="17"/>
          <w:szCs w:val="17"/>
          <w:lang w:val="en-CA"/>
        </w:rPr>
      </w:pPr>
      <w:r w:rsidRPr="00A43F68">
        <w:rPr>
          <w:rFonts w:ascii="Arial" w:hAnsi="Arial" w:cs="Arial"/>
          <w:kern w:val="2"/>
          <w:sz w:val="17"/>
          <w:szCs w:val="17"/>
          <w:lang w:val="en-CA"/>
        </w:rPr>
        <w:t xml:space="preserve">Source: Created by the case authors based on “Fisheries </w:t>
      </w:r>
      <w:r w:rsidR="00B31A92" w:rsidRPr="00A43F68">
        <w:rPr>
          <w:rFonts w:ascii="Arial" w:hAnsi="Arial" w:cs="Arial"/>
          <w:kern w:val="2"/>
          <w:sz w:val="17"/>
          <w:szCs w:val="17"/>
          <w:lang w:val="en-CA"/>
        </w:rPr>
        <w:t>Data</w:t>
      </w:r>
      <w:r w:rsidRPr="00A43F68">
        <w:rPr>
          <w:rFonts w:ascii="Arial" w:hAnsi="Arial" w:cs="Arial"/>
          <w:kern w:val="2"/>
          <w:sz w:val="17"/>
          <w:szCs w:val="17"/>
          <w:lang w:val="en-CA"/>
        </w:rPr>
        <w:t>,” Australian Government</w:t>
      </w:r>
      <w:r w:rsidR="00B31A92" w:rsidRPr="00A43F68">
        <w:rPr>
          <w:rFonts w:ascii="Arial" w:hAnsi="Arial" w:cs="Arial"/>
          <w:kern w:val="2"/>
          <w:sz w:val="17"/>
          <w:szCs w:val="17"/>
          <w:lang w:val="en-CA"/>
        </w:rPr>
        <w:t>—</w:t>
      </w:r>
      <w:r w:rsidRPr="00A43F68">
        <w:rPr>
          <w:rFonts w:ascii="Arial" w:hAnsi="Arial" w:cs="Arial"/>
          <w:kern w:val="2"/>
          <w:sz w:val="17"/>
          <w:szCs w:val="17"/>
          <w:lang w:val="en-CA"/>
        </w:rPr>
        <w:t>Department of Agriculture and Water Resources, accessed October 27, 2018, www.agriculture.gov.au/abares/research-topics/fisheries/fisheries-data#australian-fisheries-and-aquaculture-statistics-2016.</w:t>
      </w:r>
      <w:r w:rsidR="002955A0" w:rsidRPr="00A43F68">
        <w:rPr>
          <w:lang w:val="en-CA"/>
        </w:rPr>
        <w:br w:type="page"/>
      </w:r>
    </w:p>
    <w:p w14:paraId="22BD21FC" w14:textId="32C47946" w:rsidR="003D30B2" w:rsidRPr="00A43F68" w:rsidRDefault="003D30B2" w:rsidP="003D30B2">
      <w:pPr>
        <w:jc w:val="center"/>
        <w:outlineLvl w:val="0"/>
        <w:rPr>
          <w:rFonts w:ascii="Arial" w:hAnsi="Arial" w:cs="Arial"/>
          <w:b/>
          <w:caps/>
          <w:kern w:val="2"/>
          <w:lang w:val="en-CA"/>
        </w:rPr>
      </w:pPr>
      <w:r w:rsidRPr="00A43F68">
        <w:rPr>
          <w:rFonts w:ascii="Arial" w:hAnsi="Arial" w:cs="Arial"/>
          <w:b/>
          <w:caps/>
          <w:kern w:val="2"/>
          <w:lang w:val="en-CA"/>
        </w:rPr>
        <w:t xml:space="preserve">Exhibit </w:t>
      </w:r>
      <w:r w:rsidR="00DE3D2F" w:rsidRPr="00A43F68">
        <w:rPr>
          <w:rFonts w:ascii="Arial" w:hAnsi="Arial" w:cs="Arial"/>
          <w:b/>
          <w:caps/>
          <w:kern w:val="2"/>
          <w:lang w:val="en-CA"/>
        </w:rPr>
        <w:t>8</w:t>
      </w:r>
      <w:r w:rsidRPr="00A43F68">
        <w:rPr>
          <w:rFonts w:ascii="Arial" w:hAnsi="Arial" w:cs="Arial"/>
          <w:b/>
          <w:caps/>
          <w:kern w:val="2"/>
          <w:lang w:val="en-CA"/>
        </w:rPr>
        <w:t>C: Australia seafood export va</w:t>
      </w:r>
      <w:r w:rsidR="00F928FD" w:rsidRPr="00A43F68">
        <w:rPr>
          <w:rFonts w:ascii="Arial" w:hAnsi="Arial" w:cs="Arial"/>
          <w:b/>
          <w:caps/>
          <w:kern w:val="2"/>
          <w:lang w:val="en-CA"/>
        </w:rPr>
        <w:t>lues by SELECTED markets and PRo</w:t>
      </w:r>
      <w:r w:rsidRPr="00A43F68">
        <w:rPr>
          <w:rFonts w:ascii="Arial" w:hAnsi="Arial" w:cs="Arial"/>
          <w:b/>
          <w:caps/>
          <w:kern w:val="2"/>
          <w:lang w:val="en-CA"/>
        </w:rPr>
        <w:t>DUCTS (million A$)</w:t>
      </w:r>
    </w:p>
    <w:p w14:paraId="4CCD86FB" w14:textId="77777777" w:rsidR="003D30B2" w:rsidRPr="00A43F68" w:rsidRDefault="003D30B2" w:rsidP="002955A0">
      <w:pPr>
        <w:pStyle w:val="ExhibitText"/>
        <w:rPr>
          <w:lang w:val="en-CA"/>
        </w:rPr>
      </w:pPr>
    </w:p>
    <w:tbl>
      <w:tblPr>
        <w:tblW w:w="5430" w:type="dxa"/>
        <w:jc w:val="center"/>
        <w:tblLook w:val="04A0" w:firstRow="1" w:lastRow="0" w:firstColumn="1" w:lastColumn="0" w:noHBand="0" w:noVBand="1"/>
      </w:tblPr>
      <w:tblGrid>
        <w:gridCol w:w="1650"/>
        <w:gridCol w:w="1350"/>
        <w:gridCol w:w="1260"/>
        <w:gridCol w:w="1170"/>
      </w:tblGrid>
      <w:tr w:rsidR="003D30B2" w:rsidRPr="00A43F68" w14:paraId="47EBC5C2" w14:textId="77777777" w:rsidTr="00A43F68">
        <w:trPr>
          <w:trHeight w:val="240"/>
          <w:jc w:val="center"/>
        </w:trPr>
        <w:tc>
          <w:tcPr>
            <w:tcW w:w="165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3C01B23" w14:textId="498F1D28" w:rsidR="003D30B2" w:rsidRPr="00A43F68" w:rsidRDefault="003D30B2" w:rsidP="00A43F68">
            <w:pPr>
              <w:rPr>
                <w:rFonts w:ascii="Arial" w:eastAsia="SimSun" w:hAnsi="Arial" w:cs="Arial"/>
                <w:b/>
                <w:bCs/>
                <w:color w:val="000000"/>
                <w:sz w:val="19"/>
                <w:szCs w:val="19"/>
                <w:lang w:val="en-CA" w:eastAsia="zh-CN"/>
              </w:rPr>
            </w:pPr>
            <w:r w:rsidRPr="00A43F68">
              <w:rPr>
                <w:rFonts w:ascii="Arial" w:eastAsia="SimSun" w:hAnsi="Arial" w:cs="Arial"/>
                <w:b/>
                <w:bCs/>
                <w:color w:val="000000"/>
                <w:sz w:val="19"/>
                <w:szCs w:val="19"/>
                <w:lang w:val="en-CA" w:eastAsia="zh-CN"/>
              </w:rPr>
              <w:t xml:space="preserve">Country </w:t>
            </w:r>
            <w:r w:rsidR="00BA152D" w:rsidRPr="00A43F68">
              <w:rPr>
                <w:rFonts w:ascii="Arial" w:eastAsia="SimSun" w:hAnsi="Arial" w:cs="Arial"/>
                <w:b/>
                <w:bCs/>
                <w:color w:val="000000"/>
                <w:sz w:val="19"/>
                <w:szCs w:val="19"/>
                <w:lang w:val="en-CA" w:eastAsia="zh-CN"/>
              </w:rPr>
              <w:t>and</w:t>
            </w:r>
            <w:r w:rsidRPr="00A43F68">
              <w:rPr>
                <w:rFonts w:ascii="Arial" w:eastAsia="SimSun" w:hAnsi="Arial" w:cs="Arial"/>
                <w:b/>
                <w:bCs/>
                <w:color w:val="000000"/>
                <w:sz w:val="19"/>
                <w:szCs w:val="19"/>
                <w:lang w:val="en-CA" w:eastAsia="zh-CN"/>
              </w:rPr>
              <w:t xml:space="preserve"> </w:t>
            </w:r>
            <w:r w:rsidR="0038744A" w:rsidRPr="00A43F68">
              <w:rPr>
                <w:rFonts w:ascii="Arial" w:eastAsia="SimSun" w:hAnsi="Arial" w:cs="Arial"/>
                <w:b/>
                <w:bCs/>
                <w:color w:val="000000"/>
                <w:sz w:val="19"/>
                <w:szCs w:val="19"/>
                <w:lang w:val="en-CA" w:eastAsia="zh-CN"/>
              </w:rPr>
              <w:t>products</w:t>
            </w:r>
          </w:p>
        </w:tc>
        <w:tc>
          <w:tcPr>
            <w:tcW w:w="1350" w:type="dxa"/>
            <w:tcBorders>
              <w:top w:val="single" w:sz="4" w:space="0" w:color="auto"/>
              <w:left w:val="nil"/>
              <w:bottom w:val="single" w:sz="4" w:space="0" w:color="auto"/>
              <w:right w:val="single" w:sz="4" w:space="0" w:color="auto"/>
            </w:tcBorders>
            <w:shd w:val="clear" w:color="auto" w:fill="auto"/>
            <w:noWrap/>
            <w:vAlign w:val="center"/>
            <w:hideMark/>
          </w:tcPr>
          <w:p w14:paraId="7BDDB9EB" w14:textId="77777777" w:rsidR="003D30B2" w:rsidRPr="00A43F68" w:rsidRDefault="003D30B2" w:rsidP="00A43F68">
            <w:pPr>
              <w:jc w:val="center"/>
              <w:rPr>
                <w:rFonts w:ascii="Arial" w:eastAsia="SimSun" w:hAnsi="Arial" w:cs="Arial"/>
                <w:b/>
                <w:bCs/>
                <w:color w:val="000000"/>
                <w:sz w:val="19"/>
                <w:szCs w:val="19"/>
                <w:lang w:val="en-CA" w:eastAsia="zh-CN"/>
              </w:rPr>
            </w:pPr>
            <w:r w:rsidRPr="00A43F68">
              <w:rPr>
                <w:rFonts w:ascii="Arial" w:eastAsia="SimSun" w:hAnsi="Arial" w:cs="Arial"/>
                <w:b/>
                <w:bCs/>
                <w:color w:val="000000"/>
                <w:sz w:val="19"/>
                <w:szCs w:val="19"/>
                <w:lang w:val="en-CA" w:eastAsia="zh-CN"/>
              </w:rPr>
              <w:t>2013–2014</w:t>
            </w:r>
          </w:p>
        </w:tc>
        <w:tc>
          <w:tcPr>
            <w:tcW w:w="1260" w:type="dxa"/>
            <w:tcBorders>
              <w:top w:val="single" w:sz="4" w:space="0" w:color="auto"/>
              <w:left w:val="nil"/>
              <w:bottom w:val="single" w:sz="4" w:space="0" w:color="auto"/>
              <w:right w:val="single" w:sz="4" w:space="0" w:color="auto"/>
            </w:tcBorders>
            <w:shd w:val="clear" w:color="auto" w:fill="auto"/>
            <w:noWrap/>
            <w:vAlign w:val="center"/>
            <w:hideMark/>
          </w:tcPr>
          <w:p w14:paraId="04327305" w14:textId="77777777" w:rsidR="003D30B2" w:rsidRPr="00A43F68" w:rsidRDefault="003D30B2" w:rsidP="00A43F68">
            <w:pPr>
              <w:jc w:val="center"/>
              <w:rPr>
                <w:rFonts w:ascii="Arial" w:eastAsia="SimSun" w:hAnsi="Arial" w:cs="Arial"/>
                <w:b/>
                <w:bCs/>
                <w:color w:val="000000"/>
                <w:sz w:val="19"/>
                <w:szCs w:val="19"/>
                <w:lang w:val="en-CA" w:eastAsia="zh-CN"/>
              </w:rPr>
            </w:pPr>
            <w:r w:rsidRPr="00A43F68">
              <w:rPr>
                <w:rFonts w:ascii="Arial" w:eastAsia="SimSun" w:hAnsi="Arial" w:cs="Arial"/>
                <w:b/>
                <w:bCs/>
                <w:color w:val="000000"/>
                <w:sz w:val="19"/>
                <w:szCs w:val="19"/>
                <w:lang w:val="en-CA" w:eastAsia="zh-CN"/>
              </w:rPr>
              <w:t>2014–2015</w:t>
            </w:r>
          </w:p>
        </w:tc>
        <w:tc>
          <w:tcPr>
            <w:tcW w:w="1170" w:type="dxa"/>
            <w:tcBorders>
              <w:top w:val="single" w:sz="4" w:space="0" w:color="auto"/>
              <w:left w:val="nil"/>
              <w:bottom w:val="single" w:sz="4" w:space="0" w:color="auto"/>
              <w:right w:val="single" w:sz="4" w:space="0" w:color="auto"/>
            </w:tcBorders>
            <w:shd w:val="clear" w:color="auto" w:fill="auto"/>
            <w:noWrap/>
            <w:vAlign w:val="center"/>
            <w:hideMark/>
          </w:tcPr>
          <w:p w14:paraId="1E734A08" w14:textId="77777777" w:rsidR="003D30B2" w:rsidRPr="00A43F68" w:rsidRDefault="003D30B2" w:rsidP="00A43F68">
            <w:pPr>
              <w:jc w:val="center"/>
              <w:rPr>
                <w:rFonts w:ascii="Arial" w:eastAsia="SimSun" w:hAnsi="Arial" w:cs="Arial"/>
                <w:b/>
                <w:bCs/>
                <w:color w:val="000000"/>
                <w:sz w:val="19"/>
                <w:szCs w:val="19"/>
                <w:lang w:val="en-CA" w:eastAsia="zh-CN"/>
              </w:rPr>
            </w:pPr>
            <w:r w:rsidRPr="00A43F68">
              <w:rPr>
                <w:rFonts w:ascii="Arial" w:eastAsia="SimSun" w:hAnsi="Arial" w:cs="Arial"/>
                <w:b/>
                <w:bCs/>
                <w:color w:val="000000"/>
                <w:sz w:val="19"/>
                <w:szCs w:val="19"/>
                <w:lang w:val="en-CA" w:eastAsia="zh-CN"/>
              </w:rPr>
              <w:t>2015–2016</w:t>
            </w:r>
          </w:p>
        </w:tc>
      </w:tr>
      <w:tr w:rsidR="003D30B2" w:rsidRPr="00A43F68" w14:paraId="3862C1A6" w14:textId="77777777" w:rsidTr="00A43F68">
        <w:trPr>
          <w:trHeight w:val="240"/>
          <w:jc w:val="center"/>
        </w:trPr>
        <w:tc>
          <w:tcPr>
            <w:tcW w:w="5430"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B0E8DCD" w14:textId="77777777" w:rsidR="003D30B2" w:rsidRPr="00A43F68" w:rsidRDefault="003D30B2" w:rsidP="003D30B2">
            <w:pPr>
              <w:rPr>
                <w:rFonts w:ascii="Arial" w:eastAsia="SimSun" w:hAnsi="Arial" w:cs="Arial"/>
                <w:b/>
                <w:bCs/>
                <w:color w:val="000000"/>
                <w:sz w:val="19"/>
                <w:szCs w:val="19"/>
                <w:lang w:val="en-CA" w:eastAsia="zh-CN"/>
              </w:rPr>
            </w:pPr>
            <w:r w:rsidRPr="00A43F68">
              <w:rPr>
                <w:rFonts w:ascii="Arial" w:eastAsia="SimSun" w:hAnsi="Arial" w:cs="Arial"/>
                <w:b/>
                <w:bCs/>
                <w:color w:val="000000"/>
                <w:sz w:val="19"/>
                <w:szCs w:val="19"/>
                <w:lang w:val="en-CA" w:eastAsia="zh-CN"/>
              </w:rPr>
              <w:t>China</w:t>
            </w:r>
          </w:p>
        </w:tc>
      </w:tr>
      <w:tr w:rsidR="003D30B2" w:rsidRPr="00A43F68" w14:paraId="22F93723" w14:textId="77777777" w:rsidTr="00A43F68">
        <w:trPr>
          <w:trHeight w:val="240"/>
          <w:jc w:val="center"/>
        </w:trPr>
        <w:tc>
          <w:tcPr>
            <w:tcW w:w="1650" w:type="dxa"/>
            <w:tcBorders>
              <w:top w:val="nil"/>
              <w:left w:val="single" w:sz="4" w:space="0" w:color="auto"/>
              <w:bottom w:val="single" w:sz="4" w:space="0" w:color="auto"/>
              <w:right w:val="single" w:sz="4" w:space="0" w:color="auto"/>
            </w:tcBorders>
            <w:shd w:val="clear" w:color="auto" w:fill="auto"/>
            <w:noWrap/>
            <w:vAlign w:val="bottom"/>
            <w:hideMark/>
          </w:tcPr>
          <w:p w14:paraId="3FABBE6B" w14:textId="2DD2C5CF" w:rsidR="003D30B2" w:rsidRPr="00A43F68" w:rsidRDefault="003D30B2" w:rsidP="003D30B2">
            <w:pPr>
              <w:rPr>
                <w:rFonts w:ascii="Arial" w:eastAsia="SimSun" w:hAnsi="Arial" w:cs="Arial"/>
                <w:color w:val="000000"/>
                <w:sz w:val="19"/>
                <w:szCs w:val="19"/>
                <w:lang w:val="en-CA" w:eastAsia="zh-CN"/>
              </w:rPr>
            </w:pPr>
            <w:r w:rsidRPr="00A43F68">
              <w:rPr>
                <w:rFonts w:ascii="Arial" w:eastAsia="SimSun" w:hAnsi="Arial" w:cs="Arial"/>
                <w:color w:val="000000"/>
                <w:sz w:val="19"/>
                <w:szCs w:val="19"/>
                <w:lang w:val="en-CA" w:eastAsia="zh-CN"/>
              </w:rPr>
              <w:t>Salmonids</w:t>
            </w:r>
          </w:p>
        </w:tc>
        <w:tc>
          <w:tcPr>
            <w:tcW w:w="1350" w:type="dxa"/>
            <w:tcBorders>
              <w:top w:val="nil"/>
              <w:left w:val="nil"/>
              <w:bottom w:val="single" w:sz="4" w:space="0" w:color="auto"/>
              <w:right w:val="single" w:sz="4" w:space="0" w:color="auto"/>
            </w:tcBorders>
            <w:shd w:val="clear" w:color="auto" w:fill="auto"/>
            <w:noWrap/>
            <w:vAlign w:val="bottom"/>
            <w:hideMark/>
          </w:tcPr>
          <w:p w14:paraId="3AB4E2CB" w14:textId="77777777" w:rsidR="003D30B2" w:rsidRPr="00A43F68" w:rsidRDefault="003D30B2" w:rsidP="003D30B2">
            <w:pPr>
              <w:jc w:val="right"/>
              <w:rPr>
                <w:rFonts w:ascii="Arial" w:eastAsia="SimSun" w:hAnsi="Arial" w:cs="Arial"/>
                <w:color w:val="000000"/>
                <w:sz w:val="19"/>
                <w:szCs w:val="19"/>
                <w:lang w:val="en-CA" w:eastAsia="zh-CN"/>
              </w:rPr>
            </w:pPr>
            <w:r w:rsidRPr="00A43F68">
              <w:rPr>
                <w:rFonts w:ascii="Arial" w:eastAsia="SimSun" w:hAnsi="Arial" w:cs="Arial"/>
                <w:color w:val="000000"/>
                <w:sz w:val="19"/>
                <w:szCs w:val="19"/>
                <w:lang w:val="en-CA" w:eastAsia="zh-CN"/>
              </w:rPr>
              <w:t xml:space="preserve"> 0.1 </w:t>
            </w:r>
          </w:p>
        </w:tc>
        <w:tc>
          <w:tcPr>
            <w:tcW w:w="1260" w:type="dxa"/>
            <w:tcBorders>
              <w:top w:val="nil"/>
              <w:left w:val="nil"/>
              <w:bottom w:val="single" w:sz="4" w:space="0" w:color="auto"/>
              <w:right w:val="single" w:sz="4" w:space="0" w:color="auto"/>
            </w:tcBorders>
            <w:shd w:val="clear" w:color="auto" w:fill="auto"/>
            <w:noWrap/>
            <w:vAlign w:val="bottom"/>
            <w:hideMark/>
          </w:tcPr>
          <w:p w14:paraId="486D4A01" w14:textId="77777777" w:rsidR="003D30B2" w:rsidRPr="00A43F68" w:rsidRDefault="003D30B2" w:rsidP="003D30B2">
            <w:pPr>
              <w:jc w:val="right"/>
              <w:rPr>
                <w:rFonts w:ascii="Arial" w:eastAsia="SimSun" w:hAnsi="Arial" w:cs="Arial"/>
                <w:color w:val="000000"/>
                <w:sz w:val="19"/>
                <w:szCs w:val="19"/>
                <w:lang w:val="en-CA" w:eastAsia="zh-CN"/>
              </w:rPr>
            </w:pPr>
            <w:r w:rsidRPr="00A43F68">
              <w:rPr>
                <w:rFonts w:ascii="Arial" w:eastAsia="SimSun" w:hAnsi="Arial" w:cs="Arial"/>
                <w:color w:val="000000"/>
                <w:sz w:val="19"/>
                <w:szCs w:val="19"/>
                <w:lang w:val="en-CA" w:eastAsia="zh-CN"/>
              </w:rPr>
              <w:t xml:space="preserve"> 24.6 </w:t>
            </w:r>
          </w:p>
        </w:tc>
        <w:tc>
          <w:tcPr>
            <w:tcW w:w="1170" w:type="dxa"/>
            <w:tcBorders>
              <w:top w:val="nil"/>
              <w:left w:val="nil"/>
              <w:bottom w:val="single" w:sz="4" w:space="0" w:color="auto"/>
              <w:right w:val="single" w:sz="4" w:space="0" w:color="auto"/>
            </w:tcBorders>
            <w:shd w:val="clear" w:color="auto" w:fill="auto"/>
            <w:noWrap/>
            <w:vAlign w:val="bottom"/>
            <w:hideMark/>
          </w:tcPr>
          <w:p w14:paraId="23BCF469" w14:textId="77777777" w:rsidR="003D30B2" w:rsidRPr="00A43F68" w:rsidRDefault="003D30B2" w:rsidP="003D30B2">
            <w:pPr>
              <w:jc w:val="right"/>
              <w:rPr>
                <w:rFonts w:ascii="Arial" w:eastAsia="SimSun" w:hAnsi="Arial" w:cs="Arial"/>
                <w:color w:val="000000"/>
                <w:sz w:val="19"/>
                <w:szCs w:val="19"/>
                <w:lang w:val="en-CA" w:eastAsia="zh-CN"/>
              </w:rPr>
            </w:pPr>
            <w:r w:rsidRPr="00A43F68">
              <w:rPr>
                <w:rFonts w:ascii="Arial" w:eastAsia="SimSun" w:hAnsi="Arial" w:cs="Arial"/>
                <w:color w:val="000000"/>
                <w:sz w:val="19"/>
                <w:szCs w:val="19"/>
                <w:lang w:val="en-CA" w:eastAsia="zh-CN"/>
              </w:rPr>
              <w:t xml:space="preserve"> 45.5 </w:t>
            </w:r>
          </w:p>
        </w:tc>
      </w:tr>
      <w:tr w:rsidR="003D30B2" w:rsidRPr="00A43F68" w14:paraId="6AC5C4DB" w14:textId="77777777" w:rsidTr="00A43F68">
        <w:trPr>
          <w:trHeight w:val="240"/>
          <w:jc w:val="center"/>
        </w:trPr>
        <w:tc>
          <w:tcPr>
            <w:tcW w:w="1650" w:type="dxa"/>
            <w:tcBorders>
              <w:top w:val="nil"/>
              <w:left w:val="single" w:sz="4" w:space="0" w:color="auto"/>
              <w:bottom w:val="single" w:sz="4" w:space="0" w:color="auto"/>
              <w:right w:val="single" w:sz="4" w:space="0" w:color="auto"/>
            </w:tcBorders>
            <w:shd w:val="clear" w:color="auto" w:fill="auto"/>
            <w:noWrap/>
            <w:vAlign w:val="bottom"/>
            <w:hideMark/>
          </w:tcPr>
          <w:p w14:paraId="4DC50F22" w14:textId="2319D48A" w:rsidR="003D30B2" w:rsidRPr="00A43F68" w:rsidRDefault="003D30B2" w:rsidP="003D30B2">
            <w:pPr>
              <w:rPr>
                <w:rFonts w:ascii="Arial" w:eastAsia="SimSun" w:hAnsi="Arial" w:cs="Arial"/>
                <w:color w:val="000000"/>
                <w:sz w:val="19"/>
                <w:szCs w:val="19"/>
                <w:lang w:val="en-CA" w:eastAsia="zh-CN"/>
              </w:rPr>
            </w:pPr>
            <w:r w:rsidRPr="00A43F68">
              <w:rPr>
                <w:rFonts w:ascii="Arial" w:eastAsia="SimSun" w:hAnsi="Arial" w:cs="Arial"/>
                <w:color w:val="000000"/>
                <w:sz w:val="19"/>
                <w:szCs w:val="19"/>
                <w:lang w:val="en-CA" w:eastAsia="zh-CN"/>
              </w:rPr>
              <w:t>Other seafood</w:t>
            </w:r>
          </w:p>
        </w:tc>
        <w:tc>
          <w:tcPr>
            <w:tcW w:w="1350" w:type="dxa"/>
            <w:tcBorders>
              <w:top w:val="nil"/>
              <w:left w:val="nil"/>
              <w:bottom w:val="single" w:sz="4" w:space="0" w:color="auto"/>
              <w:right w:val="single" w:sz="4" w:space="0" w:color="auto"/>
            </w:tcBorders>
            <w:shd w:val="clear" w:color="auto" w:fill="auto"/>
            <w:noWrap/>
            <w:vAlign w:val="bottom"/>
            <w:hideMark/>
          </w:tcPr>
          <w:p w14:paraId="1BE267E4" w14:textId="77777777" w:rsidR="003D30B2" w:rsidRPr="00A43F68" w:rsidRDefault="003D30B2" w:rsidP="003D30B2">
            <w:pPr>
              <w:jc w:val="right"/>
              <w:rPr>
                <w:rFonts w:ascii="Arial" w:eastAsia="SimSun" w:hAnsi="Arial" w:cs="Arial"/>
                <w:color w:val="000000"/>
                <w:sz w:val="19"/>
                <w:szCs w:val="19"/>
                <w:lang w:val="en-CA" w:eastAsia="zh-CN"/>
              </w:rPr>
            </w:pPr>
            <w:r w:rsidRPr="00A43F68">
              <w:rPr>
                <w:rFonts w:ascii="Arial" w:eastAsia="SimSun" w:hAnsi="Arial" w:cs="Arial"/>
                <w:color w:val="000000"/>
                <w:sz w:val="19"/>
                <w:szCs w:val="19"/>
                <w:lang w:val="en-CA" w:eastAsia="zh-CN"/>
              </w:rPr>
              <w:t xml:space="preserve"> 36.5 </w:t>
            </w:r>
          </w:p>
        </w:tc>
        <w:tc>
          <w:tcPr>
            <w:tcW w:w="1260" w:type="dxa"/>
            <w:tcBorders>
              <w:top w:val="nil"/>
              <w:left w:val="nil"/>
              <w:bottom w:val="single" w:sz="4" w:space="0" w:color="auto"/>
              <w:right w:val="single" w:sz="4" w:space="0" w:color="auto"/>
            </w:tcBorders>
            <w:shd w:val="clear" w:color="auto" w:fill="auto"/>
            <w:noWrap/>
            <w:vAlign w:val="bottom"/>
            <w:hideMark/>
          </w:tcPr>
          <w:p w14:paraId="57B855D1" w14:textId="77777777" w:rsidR="003D30B2" w:rsidRPr="00A43F68" w:rsidRDefault="003D30B2" w:rsidP="003D30B2">
            <w:pPr>
              <w:jc w:val="right"/>
              <w:rPr>
                <w:rFonts w:ascii="Arial" w:eastAsia="SimSun" w:hAnsi="Arial" w:cs="Arial"/>
                <w:color w:val="000000"/>
                <w:sz w:val="19"/>
                <w:szCs w:val="19"/>
                <w:lang w:val="en-CA" w:eastAsia="zh-CN"/>
              </w:rPr>
            </w:pPr>
            <w:r w:rsidRPr="00A43F68">
              <w:rPr>
                <w:rFonts w:ascii="Arial" w:eastAsia="SimSun" w:hAnsi="Arial" w:cs="Arial"/>
                <w:color w:val="000000"/>
                <w:sz w:val="19"/>
                <w:szCs w:val="19"/>
                <w:lang w:val="en-CA" w:eastAsia="zh-CN"/>
              </w:rPr>
              <w:t xml:space="preserve"> 24.1 </w:t>
            </w:r>
          </w:p>
        </w:tc>
        <w:tc>
          <w:tcPr>
            <w:tcW w:w="1170" w:type="dxa"/>
            <w:tcBorders>
              <w:top w:val="nil"/>
              <w:left w:val="nil"/>
              <w:bottom w:val="single" w:sz="4" w:space="0" w:color="auto"/>
              <w:right w:val="single" w:sz="4" w:space="0" w:color="auto"/>
            </w:tcBorders>
            <w:shd w:val="clear" w:color="auto" w:fill="auto"/>
            <w:noWrap/>
            <w:vAlign w:val="bottom"/>
            <w:hideMark/>
          </w:tcPr>
          <w:p w14:paraId="55C11169" w14:textId="77777777" w:rsidR="003D30B2" w:rsidRPr="00A43F68" w:rsidRDefault="003D30B2" w:rsidP="003D30B2">
            <w:pPr>
              <w:jc w:val="right"/>
              <w:rPr>
                <w:rFonts w:ascii="Arial" w:eastAsia="SimSun" w:hAnsi="Arial" w:cs="Arial"/>
                <w:color w:val="000000"/>
                <w:sz w:val="19"/>
                <w:szCs w:val="19"/>
                <w:lang w:val="en-CA" w:eastAsia="zh-CN"/>
              </w:rPr>
            </w:pPr>
            <w:r w:rsidRPr="00A43F68">
              <w:rPr>
                <w:rFonts w:ascii="Arial" w:eastAsia="SimSun" w:hAnsi="Arial" w:cs="Arial"/>
                <w:color w:val="000000"/>
                <w:sz w:val="19"/>
                <w:szCs w:val="19"/>
                <w:lang w:val="en-CA" w:eastAsia="zh-CN"/>
              </w:rPr>
              <w:t xml:space="preserve"> 59.1 </w:t>
            </w:r>
          </w:p>
        </w:tc>
      </w:tr>
      <w:tr w:rsidR="003D30B2" w:rsidRPr="00A43F68" w14:paraId="0A33612B" w14:textId="77777777" w:rsidTr="00A43F68">
        <w:trPr>
          <w:trHeight w:val="240"/>
          <w:jc w:val="center"/>
        </w:trPr>
        <w:tc>
          <w:tcPr>
            <w:tcW w:w="1650" w:type="dxa"/>
            <w:tcBorders>
              <w:top w:val="nil"/>
              <w:left w:val="single" w:sz="4" w:space="0" w:color="auto"/>
              <w:bottom w:val="single" w:sz="4" w:space="0" w:color="auto"/>
              <w:right w:val="single" w:sz="4" w:space="0" w:color="auto"/>
            </w:tcBorders>
            <w:shd w:val="clear" w:color="auto" w:fill="auto"/>
            <w:noWrap/>
            <w:vAlign w:val="bottom"/>
            <w:hideMark/>
          </w:tcPr>
          <w:p w14:paraId="401DEBFC" w14:textId="77777777" w:rsidR="003D30B2" w:rsidRPr="00A43F68" w:rsidRDefault="003D30B2" w:rsidP="003D30B2">
            <w:pPr>
              <w:rPr>
                <w:rFonts w:ascii="Arial" w:eastAsia="SimSun" w:hAnsi="Arial" w:cs="Arial"/>
                <w:b/>
                <w:bCs/>
                <w:color w:val="000000"/>
                <w:sz w:val="19"/>
                <w:szCs w:val="19"/>
                <w:lang w:val="en-CA" w:eastAsia="zh-CN"/>
              </w:rPr>
            </w:pPr>
            <w:r w:rsidRPr="00A43F68">
              <w:rPr>
                <w:rFonts w:ascii="Arial" w:eastAsia="SimSun" w:hAnsi="Arial" w:cs="Arial"/>
                <w:b/>
                <w:bCs/>
                <w:color w:val="000000"/>
                <w:sz w:val="19"/>
                <w:szCs w:val="19"/>
                <w:lang w:val="en-CA" w:eastAsia="zh-CN"/>
              </w:rPr>
              <w:t>Total exports</w:t>
            </w:r>
          </w:p>
        </w:tc>
        <w:tc>
          <w:tcPr>
            <w:tcW w:w="1350" w:type="dxa"/>
            <w:tcBorders>
              <w:top w:val="nil"/>
              <w:left w:val="nil"/>
              <w:bottom w:val="single" w:sz="4" w:space="0" w:color="auto"/>
              <w:right w:val="single" w:sz="4" w:space="0" w:color="auto"/>
            </w:tcBorders>
            <w:shd w:val="clear" w:color="auto" w:fill="auto"/>
            <w:noWrap/>
            <w:vAlign w:val="bottom"/>
            <w:hideMark/>
          </w:tcPr>
          <w:p w14:paraId="56F30813" w14:textId="77777777" w:rsidR="003D30B2" w:rsidRPr="00A43F68" w:rsidRDefault="003D30B2" w:rsidP="003D30B2">
            <w:pPr>
              <w:jc w:val="right"/>
              <w:rPr>
                <w:rFonts w:ascii="Arial" w:eastAsia="SimSun" w:hAnsi="Arial" w:cs="Arial"/>
                <w:color w:val="000000"/>
                <w:sz w:val="19"/>
                <w:szCs w:val="19"/>
                <w:lang w:val="en-CA" w:eastAsia="zh-CN"/>
              </w:rPr>
            </w:pPr>
            <w:r w:rsidRPr="00A43F68">
              <w:rPr>
                <w:rFonts w:ascii="Arial" w:eastAsia="SimSun" w:hAnsi="Arial" w:cs="Arial"/>
                <w:color w:val="000000"/>
                <w:sz w:val="19"/>
                <w:szCs w:val="19"/>
                <w:lang w:val="en-CA" w:eastAsia="zh-CN"/>
              </w:rPr>
              <w:t xml:space="preserve"> 36.6 </w:t>
            </w:r>
          </w:p>
        </w:tc>
        <w:tc>
          <w:tcPr>
            <w:tcW w:w="1260" w:type="dxa"/>
            <w:tcBorders>
              <w:top w:val="nil"/>
              <w:left w:val="nil"/>
              <w:bottom w:val="single" w:sz="4" w:space="0" w:color="auto"/>
              <w:right w:val="single" w:sz="4" w:space="0" w:color="auto"/>
            </w:tcBorders>
            <w:shd w:val="clear" w:color="auto" w:fill="auto"/>
            <w:noWrap/>
            <w:vAlign w:val="bottom"/>
            <w:hideMark/>
          </w:tcPr>
          <w:p w14:paraId="44899F76" w14:textId="77777777" w:rsidR="003D30B2" w:rsidRPr="00A43F68" w:rsidRDefault="003D30B2" w:rsidP="003D30B2">
            <w:pPr>
              <w:jc w:val="right"/>
              <w:rPr>
                <w:rFonts w:ascii="Arial" w:eastAsia="SimSun" w:hAnsi="Arial" w:cs="Arial"/>
                <w:color w:val="000000"/>
                <w:sz w:val="19"/>
                <w:szCs w:val="19"/>
                <w:lang w:val="en-CA" w:eastAsia="zh-CN"/>
              </w:rPr>
            </w:pPr>
            <w:r w:rsidRPr="00A43F68">
              <w:rPr>
                <w:rFonts w:ascii="Arial" w:eastAsia="SimSun" w:hAnsi="Arial" w:cs="Arial"/>
                <w:color w:val="000000"/>
                <w:sz w:val="19"/>
                <w:szCs w:val="19"/>
                <w:lang w:val="en-CA" w:eastAsia="zh-CN"/>
              </w:rPr>
              <w:t xml:space="preserve"> 48.7 </w:t>
            </w:r>
          </w:p>
        </w:tc>
        <w:tc>
          <w:tcPr>
            <w:tcW w:w="1170" w:type="dxa"/>
            <w:tcBorders>
              <w:top w:val="nil"/>
              <w:left w:val="nil"/>
              <w:bottom w:val="single" w:sz="4" w:space="0" w:color="auto"/>
              <w:right w:val="single" w:sz="4" w:space="0" w:color="auto"/>
            </w:tcBorders>
            <w:shd w:val="clear" w:color="auto" w:fill="auto"/>
            <w:noWrap/>
            <w:vAlign w:val="bottom"/>
            <w:hideMark/>
          </w:tcPr>
          <w:p w14:paraId="6EB7548C" w14:textId="77777777" w:rsidR="003D30B2" w:rsidRPr="00A43F68" w:rsidRDefault="003D30B2" w:rsidP="003D30B2">
            <w:pPr>
              <w:jc w:val="right"/>
              <w:rPr>
                <w:rFonts w:ascii="Arial" w:eastAsia="SimSun" w:hAnsi="Arial" w:cs="Arial"/>
                <w:color w:val="000000"/>
                <w:sz w:val="19"/>
                <w:szCs w:val="19"/>
                <w:lang w:val="en-CA" w:eastAsia="zh-CN"/>
              </w:rPr>
            </w:pPr>
            <w:r w:rsidRPr="00A43F68">
              <w:rPr>
                <w:rFonts w:ascii="Arial" w:eastAsia="SimSun" w:hAnsi="Arial" w:cs="Arial"/>
                <w:color w:val="000000"/>
                <w:sz w:val="19"/>
                <w:szCs w:val="19"/>
                <w:lang w:val="en-CA" w:eastAsia="zh-CN"/>
              </w:rPr>
              <w:t xml:space="preserve"> 104.6 </w:t>
            </w:r>
          </w:p>
        </w:tc>
      </w:tr>
      <w:tr w:rsidR="003D30B2" w:rsidRPr="00A43F68" w14:paraId="1A431610" w14:textId="77777777" w:rsidTr="00A43F68">
        <w:trPr>
          <w:trHeight w:val="240"/>
          <w:jc w:val="center"/>
        </w:trPr>
        <w:tc>
          <w:tcPr>
            <w:tcW w:w="5430"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0236E15" w14:textId="77777777" w:rsidR="003D30B2" w:rsidRPr="00A43F68" w:rsidRDefault="003D30B2" w:rsidP="003D30B2">
            <w:pPr>
              <w:rPr>
                <w:rFonts w:ascii="Arial" w:eastAsia="SimSun" w:hAnsi="Arial" w:cs="Arial"/>
                <w:b/>
                <w:bCs/>
                <w:color w:val="000000"/>
                <w:sz w:val="19"/>
                <w:szCs w:val="19"/>
                <w:lang w:val="en-CA" w:eastAsia="zh-CN"/>
              </w:rPr>
            </w:pPr>
            <w:r w:rsidRPr="00A43F68">
              <w:rPr>
                <w:rFonts w:ascii="Arial" w:eastAsia="SimSun" w:hAnsi="Arial" w:cs="Arial"/>
                <w:b/>
                <w:bCs/>
                <w:color w:val="000000"/>
                <w:sz w:val="19"/>
                <w:szCs w:val="19"/>
                <w:lang w:val="en-CA" w:eastAsia="zh-CN"/>
              </w:rPr>
              <w:t>Hong Kong</w:t>
            </w:r>
          </w:p>
        </w:tc>
      </w:tr>
      <w:tr w:rsidR="003D30B2" w:rsidRPr="00A43F68" w14:paraId="3C32B423" w14:textId="77777777" w:rsidTr="00A43F68">
        <w:trPr>
          <w:trHeight w:val="240"/>
          <w:jc w:val="center"/>
        </w:trPr>
        <w:tc>
          <w:tcPr>
            <w:tcW w:w="1650" w:type="dxa"/>
            <w:tcBorders>
              <w:top w:val="nil"/>
              <w:left w:val="single" w:sz="4" w:space="0" w:color="auto"/>
              <w:bottom w:val="single" w:sz="4" w:space="0" w:color="auto"/>
              <w:right w:val="single" w:sz="4" w:space="0" w:color="auto"/>
            </w:tcBorders>
            <w:shd w:val="clear" w:color="auto" w:fill="auto"/>
            <w:noWrap/>
            <w:vAlign w:val="bottom"/>
            <w:hideMark/>
          </w:tcPr>
          <w:p w14:paraId="1AB23629" w14:textId="190D66BF" w:rsidR="003D30B2" w:rsidRPr="00A43F68" w:rsidRDefault="003D30B2" w:rsidP="003D30B2">
            <w:pPr>
              <w:rPr>
                <w:rFonts w:ascii="Arial" w:eastAsia="SimSun" w:hAnsi="Arial" w:cs="Arial"/>
                <w:color w:val="000000"/>
                <w:sz w:val="19"/>
                <w:szCs w:val="19"/>
                <w:lang w:val="en-CA" w:eastAsia="zh-CN"/>
              </w:rPr>
            </w:pPr>
            <w:r w:rsidRPr="00A43F68">
              <w:rPr>
                <w:rFonts w:ascii="Arial" w:eastAsia="SimSun" w:hAnsi="Arial" w:cs="Arial"/>
                <w:color w:val="000000"/>
                <w:sz w:val="19"/>
                <w:szCs w:val="19"/>
                <w:lang w:val="en-CA" w:eastAsia="zh-CN"/>
              </w:rPr>
              <w:t>Salmonids</w:t>
            </w:r>
          </w:p>
        </w:tc>
        <w:tc>
          <w:tcPr>
            <w:tcW w:w="1350" w:type="dxa"/>
            <w:tcBorders>
              <w:top w:val="nil"/>
              <w:left w:val="nil"/>
              <w:bottom w:val="single" w:sz="4" w:space="0" w:color="auto"/>
              <w:right w:val="single" w:sz="4" w:space="0" w:color="auto"/>
            </w:tcBorders>
            <w:shd w:val="clear" w:color="auto" w:fill="auto"/>
            <w:noWrap/>
            <w:vAlign w:val="bottom"/>
            <w:hideMark/>
          </w:tcPr>
          <w:p w14:paraId="41D48E46" w14:textId="77777777" w:rsidR="003D30B2" w:rsidRPr="00A43F68" w:rsidRDefault="003D30B2" w:rsidP="003D30B2">
            <w:pPr>
              <w:jc w:val="right"/>
              <w:rPr>
                <w:rFonts w:ascii="Arial" w:eastAsia="SimSun" w:hAnsi="Arial" w:cs="Arial"/>
                <w:color w:val="000000"/>
                <w:sz w:val="19"/>
                <w:szCs w:val="19"/>
                <w:lang w:val="en-CA" w:eastAsia="zh-CN"/>
              </w:rPr>
            </w:pPr>
            <w:r w:rsidRPr="00A43F68">
              <w:rPr>
                <w:rFonts w:ascii="Arial" w:eastAsia="SimSun" w:hAnsi="Arial" w:cs="Arial"/>
                <w:color w:val="000000"/>
                <w:sz w:val="19"/>
                <w:szCs w:val="19"/>
                <w:lang w:val="en-CA" w:eastAsia="zh-CN"/>
              </w:rPr>
              <w:t xml:space="preserve"> 0.9 </w:t>
            </w:r>
          </w:p>
        </w:tc>
        <w:tc>
          <w:tcPr>
            <w:tcW w:w="1260" w:type="dxa"/>
            <w:tcBorders>
              <w:top w:val="nil"/>
              <w:left w:val="nil"/>
              <w:bottom w:val="single" w:sz="4" w:space="0" w:color="auto"/>
              <w:right w:val="single" w:sz="4" w:space="0" w:color="auto"/>
            </w:tcBorders>
            <w:shd w:val="clear" w:color="auto" w:fill="auto"/>
            <w:noWrap/>
            <w:vAlign w:val="bottom"/>
            <w:hideMark/>
          </w:tcPr>
          <w:p w14:paraId="1262E2EF" w14:textId="77777777" w:rsidR="003D30B2" w:rsidRPr="00A43F68" w:rsidRDefault="003D30B2" w:rsidP="003D30B2">
            <w:pPr>
              <w:jc w:val="right"/>
              <w:rPr>
                <w:rFonts w:ascii="Arial" w:eastAsia="SimSun" w:hAnsi="Arial" w:cs="Arial"/>
                <w:color w:val="000000"/>
                <w:sz w:val="19"/>
                <w:szCs w:val="19"/>
                <w:lang w:val="en-CA" w:eastAsia="zh-CN"/>
              </w:rPr>
            </w:pPr>
            <w:r w:rsidRPr="00A43F68">
              <w:rPr>
                <w:rFonts w:ascii="Arial" w:eastAsia="SimSun" w:hAnsi="Arial" w:cs="Arial"/>
                <w:color w:val="000000"/>
                <w:sz w:val="19"/>
                <w:szCs w:val="19"/>
                <w:lang w:val="en-CA" w:eastAsia="zh-CN"/>
              </w:rPr>
              <w:t xml:space="preserve"> 1.1 </w:t>
            </w:r>
          </w:p>
        </w:tc>
        <w:tc>
          <w:tcPr>
            <w:tcW w:w="1170" w:type="dxa"/>
            <w:tcBorders>
              <w:top w:val="nil"/>
              <w:left w:val="nil"/>
              <w:bottom w:val="single" w:sz="4" w:space="0" w:color="auto"/>
              <w:right w:val="single" w:sz="4" w:space="0" w:color="auto"/>
            </w:tcBorders>
            <w:shd w:val="clear" w:color="auto" w:fill="auto"/>
            <w:noWrap/>
            <w:vAlign w:val="bottom"/>
            <w:hideMark/>
          </w:tcPr>
          <w:p w14:paraId="76A89395" w14:textId="77777777" w:rsidR="003D30B2" w:rsidRPr="00A43F68" w:rsidRDefault="003D30B2" w:rsidP="003D30B2">
            <w:pPr>
              <w:jc w:val="right"/>
              <w:rPr>
                <w:rFonts w:ascii="Arial" w:eastAsia="SimSun" w:hAnsi="Arial" w:cs="Arial"/>
                <w:color w:val="000000"/>
                <w:sz w:val="19"/>
                <w:szCs w:val="19"/>
                <w:lang w:val="en-CA" w:eastAsia="zh-CN"/>
              </w:rPr>
            </w:pPr>
            <w:r w:rsidRPr="00A43F68">
              <w:rPr>
                <w:rFonts w:ascii="Arial" w:eastAsia="SimSun" w:hAnsi="Arial" w:cs="Arial"/>
                <w:color w:val="000000"/>
                <w:sz w:val="19"/>
                <w:szCs w:val="19"/>
                <w:lang w:val="en-CA" w:eastAsia="zh-CN"/>
              </w:rPr>
              <w:t xml:space="preserve"> 1.2 </w:t>
            </w:r>
          </w:p>
        </w:tc>
      </w:tr>
      <w:tr w:rsidR="003D30B2" w:rsidRPr="00A43F68" w14:paraId="251B7638" w14:textId="77777777" w:rsidTr="00A43F68">
        <w:trPr>
          <w:trHeight w:val="240"/>
          <w:jc w:val="center"/>
        </w:trPr>
        <w:tc>
          <w:tcPr>
            <w:tcW w:w="1650" w:type="dxa"/>
            <w:tcBorders>
              <w:top w:val="nil"/>
              <w:left w:val="single" w:sz="4" w:space="0" w:color="auto"/>
              <w:bottom w:val="single" w:sz="4" w:space="0" w:color="auto"/>
              <w:right w:val="single" w:sz="4" w:space="0" w:color="auto"/>
            </w:tcBorders>
            <w:shd w:val="clear" w:color="auto" w:fill="auto"/>
            <w:noWrap/>
            <w:vAlign w:val="bottom"/>
            <w:hideMark/>
          </w:tcPr>
          <w:p w14:paraId="00358A0C" w14:textId="3783FC9E" w:rsidR="003D30B2" w:rsidRPr="00A43F68" w:rsidRDefault="003D30B2" w:rsidP="003D30B2">
            <w:pPr>
              <w:rPr>
                <w:rFonts w:ascii="Arial" w:eastAsia="SimSun" w:hAnsi="Arial" w:cs="Arial"/>
                <w:color w:val="000000"/>
                <w:sz w:val="19"/>
                <w:szCs w:val="19"/>
                <w:lang w:val="en-CA" w:eastAsia="zh-CN"/>
              </w:rPr>
            </w:pPr>
            <w:r w:rsidRPr="00A43F68">
              <w:rPr>
                <w:rFonts w:ascii="Arial" w:eastAsia="SimSun" w:hAnsi="Arial" w:cs="Arial"/>
                <w:color w:val="000000"/>
                <w:sz w:val="19"/>
                <w:szCs w:val="19"/>
                <w:lang w:val="en-CA" w:eastAsia="zh-CN"/>
              </w:rPr>
              <w:t>Other seafood</w:t>
            </w:r>
          </w:p>
        </w:tc>
        <w:tc>
          <w:tcPr>
            <w:tcW w:w="1350" w:type="dxa"/>
            <w:tcBorders>
              <w:top w:val="nil"/>
              <w:left w:val="nil"/>
              <w:bottom w:val="single" w:sz="4" w:space="0" w:color="auto"/>
              <w:right w:val="single" w:sz="4" w:space="0" w:color="auto"/>
            </w:tcBorders>
            <w:shd w:val="clear" w:color="auto" w:fill="auto"/>
            <w:noWrap/>
            <w:vAlign w:val="bottom"/>
            <w:hideMark/>
          </w:tcPr>
          <w:p w14:paraId="20FD8DFB" w14:textId="77777777" w:rsidR="003D30B2" w:rsidRPr="00A43F68" w:rsidRDefault="003D30B2" w:rsidP="003D30B2">
            <w:pPr>
              <w:jc w:val="right"/>
              <w:rPr>
                <w:rFonts w:ascii="Arial" w:eastAsia="SimSun" w:hAnsi="Arial" w:cs="Arial"/>
                <w:color w:val="000000"/>
                <w:sz w:val="19"/>
                <w:szCs w:val="19"/>
                <w:lang w:val="en-CA" w:eastAsia="zh-CN"/>
              </w:rPr>
            </w:pPr>
            <w:r w:rsidRPr="00A43F68">
              <w:rPr>
                <w:rFonts w:ascii="Arial" w:eastAsia="SimSun" w:hAnsi="Arial" w:cs="Arial"/>
                <w:color w:val="000000"/>
                <w:sz w:val="19"/>
                <w:szCs w:val="19"/>
                <w:lang w:val="en-CA" w:eastAsia="zh-CN"/>
              </w:rPr>
              <w:t xml:space="preserve"> 208.0 </w:t>
            </w:r>
          </w:p>
        </w:tc>
        <w:tc>
          <w:tcPr>
            <w:tcW w:w="1260" w:type="dxa"/>
            <w:tcBorders>
              <w:top w:val="nil"/>
              <w:left w:val="nil"/>
              <w:bottom w:val="single" w:sz="4" w:space="0" w:color="auto"/>
              <w:right w:val="single" w:sz="4" w:space="0" w:color="auto"/>
            </w:tcBorders>
            <w:shd w:val="clear" w:color="auto" w:fill="auto"/>
            <w:noWrap/>
            <w:vAlign w:val="bottom"/>
            <w:hideMark/>
          </w:tcPr>
          <w:p w14:paraId="3A3CA2B0" w14:textId="77777777" w:rsidR="003D30B2" w:rsidRPr="00A43F68" w:rsidRDefault="003D30B2" w:rsidP="003D30B2">
            <w:pPr>
              <w:jc w:val="right"/>
              <w:rPr>
                <w:rFonts w:ascii="Arial" w:eastAsia="SimSun" w:hAnsi="Arial" w:cs="Arial"/>
                <w:color w:val="000000"/>
                <w:sz w:val="19"/>
                <w:szCs w:val="19"/>
                <w:lang w:val="en-CA" w:eastAsia="zh-CN"/>
              </w:rPr>
            </w:pPr>
            <w:r w:rsidRPr="00A43F68">
              <w:rPr>
                <w:rFonts w:ascii="Arial" w:eastAsia="SimSun" w:hAnsi="Arial" w:cs="Arial"/>
                <w:color w:val="000000"/>
                <w:sz w:val="19"/>
                <w:szCs w:val="19"/>
                <w:lang w:val="en-CA" w:eastAsia="zh-CN"/>
              </w:rPr>
              <w:t xml:space="preserve"> 191.2 </w:t>
            </w:r>
          </w:p>
        </w:tc>
        <w:tc>
          <w:tcPr>
            <w:tcW w:w="1170" w:type="dxa"/>
            <w:tcBorders>
              <w:top w:val="nil"/>
              <w:left w:val="nil"/>
              <w:bottom w:val="single" w:sz="4" w:space="0" w:color="auto"/>
              <w:right w:val="single" w:sz="4" w:space="0" w:color="auto"/>
            </w:tcBorders>
            <w:shd w:val="clear" w:color="auto" w:fill="auto"/>
            <w:noWrap/>
            <w:vAlign w:val="bottom"/>
            <w:hideMark/>
          </w:tcPr>
          <w:p w14:paraId="433A0D42" w14:textId="77777777" w:rsidR="003D30B2" w:rsidRPr="00A43F68" w:rsidRDefault="003D30B2" w:rsidP="003D30B2">
            <w:pPr>
              <w:jc w:val="right"/>
              <w:rPr>
                <w:rFonts w:ascii="Arial" w:eastAsia="SimSun" w:hAnsi="Arial" w:cs="Arial"/>
                <w:color w:val="000000"/>
                <w:sz w:val="19"/>
                <w:szCs w:val="19"/>
                <w:lang w:val="en-CA" w:eastAsia="zh-CN"/>
              </w:rPr>
            </w:pPr>
            <w:r w:rsidRPr="00A43F68">
              <w:rPr>
                <w:rFonts w:ascii="Arial" w:eastAsia="SimSun" w:hAnsi="Arial" w:cs="Arial"/>
                <w:color w:val="000000"/>
                <w:sz w:val="19"/>
                <w:szCs w:val="19"/>
                <w:lang w:val="en-CA" w:eastAsia="zh-CN"/>
              </w:rPr>
              <w:t xml:space="preserve"> 222.5 </w:t>
            </w:r>
          </w:p>
        </w:tc>
      </w:tr>
      <w:tr w:rsidR="003D30B2" w:rsidRPr="00A43F68" w14:paraId="72E6593D" w14:textId="77777777" w:rsidTr="00A43F68">
        <w:trPr>
          <w:trHeight w:val="240"/>
          <w:jc w:val="center"/>
        </w:trPr>
        <w:tc>
          <w:tcPr>
            <w:tcW w:w="1650" w:type="dxa"/>
            <w:tcBorders>
              <w:top w:val="nil"/>
              <w:left w:val="single" w:sz="4" w:space="0" w:color="auto"/>
              <w:bottom w:val="single" w:sz="4" w:space="0" w:color="auto"/>
              <w:right w:val="single" w:sz="4" w:space="0" w:color="auto"/>
            </w:tcBorders>
            <w:shd w:val="clear" w:color="auto" w:fill="auto"/>
            <w:noWrap/>
            <w:vAlign w:val="bottom"/>
            <w:hideMark/>
          </w:tcPr>
          <w:p w14:paraId="299302A2" w14:textId="77777777" w:rsidR="003D30B2" w:rsidRPr="00A43F68" w:rsidRDefault="003D30B2" w:rsidP="003D30B2">
            <w:pPr>
              <w:rPr>
                <w:rFonts w:ascii="Arial" w:eastAsia="SimSun" w:hAnsi="Arial" w:cs="Arial"/>
                <w:b/>
                <w:bCs/>
                <w:color w:val="000000"/>
                <w:sz w:val="19"/>
                <w:szCs w:val="19"/>
                <w:lang w:val="en-CA" w:eastAsia="zh-CN"/>
              </w:rPr>
            </w:pPr>
            <w:r w:rsidRPr="00A43F68">
              <w:rPr>
                <w:rFonts w:ascii="Arial" w:eastAsia="SimSun" w:hAnsi="Arial" w:cs="Arial"/>
                <w:b/>
                <w:bCs/>
                <w:color w:val="000000"/>
                <w:sz w:val="19"/>
                <w:szCs w:val="19"/>
                <w:lang w:val="en-CA" w:eastAsia="zh-CN"/>
              </w:rPr>
              <w:t>Total exports</w:t>
            </w:r>
          </w:p>
        </w:tc>
        <w:tc>
          <w:tcPr>
            <w:tcW w:w="1350" w:type="dxa"/>
            <w:tcBorders>
              <w:top w:val="nil"/>
              <w:left w:val="nil"/>
              <w:bottom w:val="single" w:sz="4" w:space="0" w:color="auto"/>
              <w:right w:val="single" w:sz="4" w:space="0" w:color="auto"/>
            </w:tcBorders>
            <w:shd w:val="clear" w:color="auto" w:fill="auto"/>
            <w:noWrap/>
            <w:vAlign w:val="bottom"/>
            <w:hideMark/>
          </w:tcPr>
          <w:p w14:paraId="07D8D4DA" w14:textId="77777777" w:rsidR="003D30B2" w:rsidRPr="00A43F68" w:rsidRDefault="003D30B2" w:rsidP="003D30B2">
            <w:pPr>
              <w:jc w:val="right"/>
              <w:rPr>
                <w:rFonts w:ascii="Arial" w:eastAsia="SimSun" w:hAnsi="Arial" w:cs="Arial"/>
                <w:color w:val="000000"/>
                <w:sz w:val="19"/>
                <w:szCs w:val="19"/>
                <w:lang w:val="en-CA" w:eastAsia="zh-CN"/>
              </w:rPr>
            </w:pPr>
            <w:r w:rsidRPr="00A43F68">
              <w:rPr>
                <w:rFonts w:ascii="Arial" w:eastAsia="SimSun" w:hAnsi="Arial" w:cs="Arial"/>
                <w:color w:val="000000"/>
                <w:sz w:val="19"/>
                <w:szCs w:val="19"/>
                <w:lang w:val="en-CA" w:eastAsia="zh-CN"/>
              </w:rPr>
              <w:t xml:space="preserve"> 208.9 </w:t>
            </w:r>
          </w:p>
        </w:tc>
        <w:tc>
          <w:tcPr>
            <w:tcW w:w="1260" w:type="dxa"/>
            <w:tcBorders>
              <w:top w:val="nil"/>
              <w:left w:val="nil"/>
              <w:bottom w:val="single" w:sz="4" w:space="0" w:color="auto"/>
              <w:right w:val="single" w:sz="4" w:space="0" w:color="auto"/>
            </w:tcBorders>
            <w:shd w:val="clear" w:color="auto" w:fill="auto"/>
            <w:noWrap/>
            <w:vAlign w:val="bottom"/>
            <w:hideMark/>
          </w:tcPr>
          <w:p w14:paraId="246A5410" w14:textId="77777777" w:rsidR="003D30B2" w:rsidRPr="00A43F68" w:rsidRDefault="003D30B2" w:rsidP="003D30B2">
            <w:pPr>
              <w:jc w:val="right"/>
              <w:rPr>
                <w:rFonts w:ascii="Arial" w:eastAsia="SimSun" w:hAnsi="Arial" w:cs="Arial"/>
                <w:color w:val="000000"/>
                <w:sz w:val="19"/>
                <w:szCs w:val="19"/>
                <w:lang w:val="en-CA" w:eastAsia="zh-CN"/>
              </w:rPr>
            </w:pPr>
            <w:r w:rsidRPr="00A43F68">
              <w:rPr>
                <w:rFonts w:ascii="Arial" w:eastAsia="SimSun" w:hAnsi="Arial" w:cs="Arial"/>
                <w:color w:val="000000"/>
                <w:sz w:val="19"/>
                <w:szCs w:val="19"/>
                <w:lang w:val="en-CA" w:eastAsia="zh-CN"/>
              </w:rPr>
              <w:t xml:space="preserve"> 192.3 </w:t>
            </w:r>
          </w:p>
        </w:tc>
        <w:tc>
          <w:tcPr>
            <w:tcW w:w="1170" w:type="dxa"/>
            <w:tcBorders>
              <w:top w:val="nil"/>
              <w:left w:val="nil"/>
              <w:bottom w:val="single" w:sz="4" w:space="0" w:color="auto"/>
              <w:right w:val="single" w:sz="4" w:space="0" w:color="auto"/>
            </w:tcBorders>
            <w:shd w:val="clear" w:color="auto" w:fill="auto"/>
            <w:noWrap/>
            <w:vAlign w:val="bottom"/>
            <w:hideMark/>
          </w:tcPr>
          <w:p w14:paraId="1E27AB61" w14:textId="77777777" w:rsidR="003D30B2" w:rsidRPr="00A43F68" w:rsidRDefault="003D30B2" w:rsidP="003D30B2">
            <w:pPr>
              <w:jc w:val="right"/>
              <w:rPr>
                <w:rFonts w:ascii="Arial" w:eastAsia="SimSun" w:hAnsi="Arial" w:cs="Arial"/>
                <w:color w:val="000000"/>
                <w:sz w:val="19"/>
                <w:szCs w:val="19"/>
                <w:lang w:val="en-CA" w:eastAsia="zh-CN"/>
              </w:rPr>
            </w:pPr>
            <w:r w:rsidRPr="00A43F68">
              <w:rPr>
                <w:rFonts w:ascii="Arial" w:eastAsia="SimSun" w:hAnsi="Arial" w:cs="Arial"/>
                <w:color w:val="000000"/>
                <w:sz w:val="19"/>
                <w:szCs w:val="19"/>
                <w:lang w:val="en-CA" w:eastAsia="zh-CN"/>
              </w:rPr>
              <w:t xml:space="preserve"> 223.7 </w:t>
            </w:r>
          </w:p>
        </w:tc>
      </w:tr>
      <w:tr w:rsidR="003D30B2" w:rsidRPr="00A43F68" w14:paraId="67DE043D" w14:textId="77777777" w:rsidTr="00A43F68">
        <w:trPr>
          <w:trHeight w:val="240"/>
          <w:jc w:val="center"/>
        </w:trPr>
        <w:tc>
          <w:tcPr>
            <w:tcW w:w="5430"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9FA716C" w14:textId="77777777" w:rsidR="003D30B2" w:rsidRPr="00A43F68" w:rsidRDefault="003D30B2" w:rsidP="003D30B2">
            <w:pPr>
              <w:rPr>
                <w:rFonts w:ascii="Arial" w:eastAsia="SimSun" w:hAnsi="Arial" w:cs="Arial"/>
                <w:b/>
                <w:bCs/>
                <w:color w:val="000000"/>
                <w:sz w:val="19"/>
                <w:szCs w:val="19"/>
                <w:lang w:val="en-CA" w:eastAsia="zh-CN"/>
              </w:rPr>
            </w:pPr>
            <w:r w:rsidRPr="00A43F68">
              <w:rPr>
                <w:rFonts w:ascii="Arial" w:eastAsia="SimSun" w:hAnsi="Arial" w:cs="Arial"/>
                <w:b/>
                <w:bCs/>
                <w:color w:val="000000"/>
                <w:sz w:val="19"/>
                <w:szCs w:val="19"/>
                <w:lang w:val="en-CA" w:eastAsia="zh-CN"/>
              </w:rPr>
              <w:t>Japan</w:t>
            </w:r>
          </w:p>
        </w:tc>
      </w:tr>
      <w:tr w:rsidR="003D30B2" w:rsidRPr="00A43F68" w14:paraId="230424DD" w14:textId="77777777" w:rsidTr="00A43F68">
        <w:trPr>
          <w:trHeight w:val="240"/>
          <w:jc w:val="center"/>
        </w:trPr>
        <w:tc>
          <w:tcPr>
            <w:tcW w:w="1650" w:type="dxa"/>
            <w:tcBorders>
              <w:top w:val="nil"/>
              <w:left w:val="single" w:sz="4" w:space="0" w:color="auto"/>
              <w:bottom w:val="single" w:sz="4" w:space="0" w:color="auto"/>
              <w:right w:val="single" w:sz="4" w:space="0" w:color="auto"/>
            </w:tcBorders>
            <w:shd w:val="clear" w:color="auto" w:fill="auto"/>
            <w:noWrap/>
            <w:vAlign w:val="bottom"/>
            <w:hideMark/>
          </w:tcPr>
          <w:p w14:paraId="4B55875A" w14:textId="67B1FF74" w:rsidR="003D30B2" w:rsidRPr="00A43F68" w:rsidRDefault="003D30B2" w:rsidP="003D30B2">
            <w:pPr>
              <w:rPr>
                <w:rFonts w:ascii="Arial" w:eastAsia="SimSun" w:hAnsi="Arial" w:cs="Arial"/>
                <w:color w:val="000000"/>
                <w:sz w:val="19"/>
                <w:szCs w:val="19"/>
                <w:lang w:val="en-CA" w:eastAsia="zh-CN"/>
              </w:rPr>
            </w:pPr>
            <w:r w:rsidRPr="00A43F68">
              <w:rPr>
                <w:rFonts w:ascii="Arial" w:eastAsia="SimSun" w:hAnsi="Arial" w:cs="Arial"/>
                <w:color w:val="000000"/>
                <w:sz w:val="19"/>
                <w:szCs w:val="19"/>
                <w:lang w:val="en-CA" w:eastAsia="zh-CN"/>
              </w:rPr>
              <w:t>Salmonids</w:t>
            </w:r>
          </w:p>
        </w:tc>
        <w:tc>
          <w:tcPr>
            <w:tcW w:w="1350" w:type="dxa"/>
            <w:tcBorders>
              <w:top w:val="nil"/>
              <w:left w:val="nil"/>
              <w:bottom w:val="single" w:sz="4" w:space="0" w:color="auto"/>
              <w:right w:val="single" w:sz="4" w:space="0" w:color="auto"/>
            </w:tcBorders>
            <w:shd w:val="clear" w:color="auto" w:fill="auto"/>
            <w:noWrap/>
            <w:vAlign w:val="bottom"/>
            <w:hideMark/>
          </w:tcPr>
          <w:p w14:paraId="2B3676D1" w14:textId="77777777" w:rsidR="003D30B2" w:rsidRPr="00A43F68" w:rsidRDefault="003D30B2" w:rsidP="003D30B2">
            <w:pPr>
              <w:jc w:val="right"/>
              <w:rPr>
                <w:rFonts w:ascii="Arial" w:eastAsia="SimSun" w:hAnsi="Arial" w:cs="Arial"/>
                <w:color w:val="000000"/>
                <w:sz w:val="19"/>
                <w:szCs w:val="19"/>
                <w:lang w:val="en-CA" w:eastAsia="zh-CN"/>
              </w:rPr>
            </w:pPr>
            <w:r w:rsidRPr="00A43F68">
              <w:rPr>
                <w:rFonts w:ascii="Arial" w:eastAsia="SimSun" w:hAnsi="Arial" w:cs="Arial"/>
                <w:color w:val="000000"/>
                <w:sz w:val="19"/>
                <w:szCs w:val="19"/>
                <w:lang w:val="en-CA" w:eastAsia="zh-CN"/>
              </w:rPr>
              <w:t xml:space="preserve"> 8.3 </w:t>
            </w:r>
          </w:p>
        </w:tc>
        <w:tc>
          <w:tcPr>
            <w:tcW w:w="1260" w:type="dxa"/>
            <w:tcBorders>
              <w:top w:val="nil"/>
              <w:left w:val="nil"/>
              <w:bottom w:val="single" w:sz="4" w:space="0" w:color="auto"/>
              <w:right w:val="single" w:sz="4" w:space="0" w:color="auto"/>
            </w:tcBorders>
            <w:shd w:val="clear" w:color="auto" w:fill="auto"/>
            <w:noWrap/>
            <w:vAlign w:val="bottom"/>
            <w:hideMark/>
          </w:tcPr>
          <w:p w14:paraId="6378F1B6" w14:textId="77777777" w:rsidR="003D30B2" w:rsidRPr="00A43F68" w:rsidRDefault="003D30B2" w:rsidP="003D30B2">
            <w:pPr>
              <w:jc w:val="right"/>
              <w:rPr>
                <w:rFonts w:ascii="Arial" w:eastAsia="SimSun" w:hAnsi="Arial" w:cs="Arial"/>
                <w:color w:val="000000"/>
                <w:sz w:val="19"/>
                <w:szCs w:val="19"/>
                <w:lang w:val="en-CA" w:eastAsia="zh-CN"/>
              </w:rPr>
            </w:pPr>
            <w:r w:rsidRPr="00A43F68">
              <w:rPr>
                <w:rFonts w:ascii="Arial" w:eastAsia="SimSun" w:hAnsi="Arial" w:cs="Arial"/>
                <w:color w:val="000000"/>
                <w:sz w:val="19"/>
                <w:szCs w:val="19"/>
                <w:lang w:val="en-CA" w:eastAsia="zh-CN"/>
              </w:rPr>
              <w:t xml:space="preserve"> 8.3 </w:t>
            </w:r>
          </w:p>
        </w:tc>
        <w:tc>
          <w:tcPr>
            <w:tcW w:w="1170" w:type="dxa"/>
            <w:tcBorders>
              <w:top w:val="nil"/>
              <w:left w:val="nil"/>
              <w:bottom w:val="single" w:sz="4" w:space="0" w:color="auto"/>
              <w:right w:val="single" w:sz="4" w:space="0" w:color="auto"/>
            </w:tcBorders>
            <w:shd w:val="clear" w:color="auto" w:fill="auto"/>
            <w:noWrap/>
            <w:vAlign w:val="bottom"/>
            <w:hideMark/>
          </w:tcPr>
          <w:p w14:paraId="31DDBF64" w14:textId="77777777" w:rsidR="003D30B2" w:rsidRPr="00A43F68" w:rsidRDefault="003D30B2" w:rsidP="003D30B2">
            <w:pPr>
              <w:jc w:val="right"/>
              <w:rPr>
                <w:rFonts w:ascii="Arial" w:eastAsia="SimSun" w:hAnsi="Arial" w:cs="Arial"/>
                <w:color w:val="000000"/>
                <w:sz w:val="19"/>
                <w:szCs w:val="19"/>
                <w:lang w:val="en-CA" w:eastAsia="zh-CN"/>
              </w:rPr>
            </w:pPr>
            <w:r w:rsidRPr="00A43F68">
              <w:rPr>
                <w:rFonts w:ascii="Arial" w:eastAsia="SimSun" w:hAnsi="Arial" w:cs="Arial"/>
                <w:color w:val="000000"/>
                <w:sz w:val="19"/>
                <w:szCs w:val="19"/>
                <w:lang w:val="en-CA" w:eastAsia="zh-CN"/>
              </w:rPr>
              <w:t xml:space="preserve"> 11.7 </w:t>
            </w:r>
          </w:p>
        </w:tc>
      </w:tr>
      <w:tr w:rsidR="003D30B2" w:rsidRPr="00A43F68" w14:paraId="60C67619" w14:textId="77777777" w:rsidTr="00A43F68">
        <w:trPr>
          <w:trHeight w:val="240"/>
          <w:jc w:val="center"/>
        </w:trPr>
        <w:tc>
          <w:tcPr>
            <w:tcW w:w="1650" w:type="dxa"/>
            <w:tcBorders>
              <w:top w:val="nil"/>
              <w:left w:val="single" w:sz="4" w:space="0" w:color="auto"/>
              <w:bottom w:val="single" w:sz="4" w:space="0" w:color="auto"/>
              <w:right w:val="single" w:sz="4" w:space="0" w:color="auto"/>
            </w:tcBorders>
            <w:shd w:val="clear" w:color="auto" w:fill="auto"/>
            <w:noWrap/>
            <w:vAlign w:val="bottom"/>
            <w:hideMark/>
          </w:tcPr>
          <w:p w14:paraId="7106FB56" w14:textId="3D50484A" w:rsidR="003D30B2" w:rsidRPr="00A43F68" w:rsidRDefault="003D30B2" w:rsidP="003D30B2">
            <w:pPr>
              <w:rPr>
                <w:rFonts w:ascii="Arial" w:eastAsia="SimSun" w:hAnsi="Arial" w:cs="Arial"/>
                <w:color w:val="000000"/>
                <w:sz w:val="19"/>
                <w:szCs w:val="19"/>
                <w:lang w:val="en-CA" w:eastAsia="zh-CN"/>
              </w:rPr>
            </w:pPr>
            <w:r w:rsidRPr="00A43F68">
              <w:rPr>
                <w:rFonts w:ascii="Arial" w:eastAsia="SimSun" w:hAnsi="Arial" w:cs="Arial"/>
                <w:color w:val="000000"/>
                <w:sz w:val="19"/>
                <w:szCs w:val="19"/>
                <w:lang w:val="en-CA" w:eastAsia="zh-CN"/>
              </w:rPr>
              <w:t>Other seafood</w:t>
            </w:r>
          </w:p>
        </w:tc>
        <w:tc>
          <w:tcPr>
            <w:tcW w:w="1350" w:type="dxa"/>
            <w:tcBorders>
              <w:top w:val="nil"/>
              <w:left w:val="nil"/>
              <w:bottom w:val="single" w:sz="4" w:space="0" w:color="auto"/>
              <w:right w:val="single" w:sz="4" w:space="0" w:color="auto"/>
            </w:tcBorders>
            <w:shd w:val="clear" w:color="auto" w:fill="auto"/>
            <w:noWrap/>
            <w:vAlign w:val="bottom"/>
            <w:hideMark/>
          </w:tcPr>
          <w:p w14:paraId="33E51644" w14:textId="77777777" w:rsidR="003D30B2" w:rsidRPr="00A43F68" w:rsidRDefault="003D30B2" w:rsidP="003D30B2">
            <w:pPr>
              <w:jc w:val="right"/>
              <w:rPr>
                <w:rFonts w:ascii="Arial" w:eastAsia="SimSun" w:hAnsi="Arial" w:cs="Arial"/>
                <w:color w:val="000000"/>
                <w:sz w:val="19"/>
                <w:szCs w:val="19"/>
                <w:lang w:val="en-CA" w:eastAsia="zh-CN"/>
              </w:rPr>
            </w:pPr>
            <w:r w:rsidRPr="00A43F68">
              <w:rPr>
                <w:rFonts w:ascii="Arial" w:eastAsia="SimSun" w:hAnsi="Arial" w:cs="Arial"/>
                <w:color w:val="000000"/>
                <w:sz w:val="19"/>
                <w:szCs w:val="19"/>
                <w:lang w:val="en-CA" w:eastAsia="zh-CN"/>
              </w:rPr>
              <w:t xml:space="preserve"> 183.8 </w:t>
            </w:r>
          </w:p>
        </w:tc>
        <w:tc>
          <w:tcPr>
            <w:tcW w:w="1260" w:type="dxa"/>
            <w:tcBorders>
              <w:top w:val="nil"/>
              <w:left w:val="nil"/>
              <w:bottom w:val="single" w:sz="4" w:space="0" w:color="auto"/>
              <w:right w:val="single" w:sz="4" w:space="0" w:color="auto"/>
            </w:tcBorders>
            <w:shd w:val="clear" w:color="auto" w:fill="auto"/>
            <w:noWrap/>
            <w:vAlign w:val="bottom"/>
            <w:hideMark/>
          </w:tcPr>
          <w:p w14:paraId="76940AA3" w14:textId="77777777" w:rsidR="003D30B2" w:rsidRPr="00A43F68" w:rsidRDefault="003D30B2" w:rsidP="003D30B2">
            <w:pPr>
              <w:jc w:val="right"/>
              <w:rPr>
                <w:rFonts w:ascii="Arial" w:eastAsia="SimSun" w:hAnsi="Arial" w:cs="Arial"/>
                <w:color w:val="000000"/>
                <w:sz w:val="19"/>
                <w:szCs w:val="19"/>
                <w:lang w:val="en-CA" w:eastAsia="zh-CN"/>
              </w:rPr>
            </w:pPr>
            <w:r w:rsidRPr="00A43F68">
              <w:rPr>
                <w:rFonts w:ascii="Arial" w:eastAsia="SimSun" w:hAnsi="Arial" w:cs="Arial"/>
                <w:color w:val="000000"/>
                <w:sz w:val="19"/>
                <w:szCs w:val="19"/>
                <w:lang w:val="en-CA" w:eastAsia="zh-CN"/>
              </w:rPr>
              <w:t xml:space="preserve"> 183.8 </w:t>
            </w:r>
          </w:p>
        </w:tc>
        <w:tc>
          <w:tcPr>
            <w:tcW w:w="1170" w:type="dxa"/>
            <w:tcBorders>
              <w:top w:val="nil"/>
              <w:left w:val="nil"/>
              <w:bottom w:val="single" w:sz="4" w:space="0" w:color="auto"/>
              <w:right w:val="single" w:sz="4" w:space="0" w:color="auto"/>
            </w:tcBorders>
            <w:shd w:val="clear" w:color="auto" w:fill="auto"/>
            <w:noWrap/>
            <w:vAlign w:val="bottom"/>
            <w:hideMark/>
          </w:tcPr>
          <w:p w14:paraId="28690A8C" w14:textId="77777777" w:rsidR="003D30B2" w:rsidRPr="00A43F68" w:rsidRDefault="003D30B2" w:rsidP="003D30B2">
            <w:pPr>
              <w:jc w:val="right"/>
              <w:rPr>
                <w:rFonts w:ascii="Arial" w:eastAsia="SimSun" w:hAnsi="Arial" w:cs="Arial"/>
                <w:color w:val="000000"/>
                <w:sz w:val="19"/>
                <w:szCs w:val="19"/>
                <w:lang w:val="en-CA" w:eastAsia="zh-CN"/>
              </w:rPr>
            </w:pPr>
            <w:r w:rsidRPr="00A43F68">
              <w:rPr>
                <w:rFonts w:ascii="Arial" w:eastAsia="SimSun" w:hAnsi="Arial" w:cs="Arial"/>
                <w:color w:val="000000"/>
                <w:sz w:val="19"/>
                <w:szCs w:val="19"/>
                <w:lang w:val="en-CA" w:eastAsia="zh-CN"/>
              </w:rPr>
              <w:t xml:space="preserve"> 193.7 </w:t>
            </w:r>
          </w:p>
        </w:tc>
      </w:tr>
      <w:tr w:rsidR="003D30B2" w:rsidRPr="00A43F68" w14:paraId="11BB3579" w14:textId="77777777" w:rsidTr="00A43F68">
        <w:trPr>
          <w:trHeight w:val="240"/>
          <w:jc w:val="center"/>
        </w:trPr>
        <w:tc>
          <w:tcPr>
            <w:tcW w:w="1650" w:type="dxa"/>
            <w:tcBorders>
              <w:top w:val="nil"/>
              <w:left w:val="single" w:sz="4" w:space="0" w:color="auto"/>
              <w:bottom w:val="single" w:sz="4" w:space="0" w:color="auto"/>
              <w:right w:val="single" w:sz="4" w:space="0" w:color="auto"/>
            </w:tcBorders>
            <w:shd w:val="clear" w:color="auto" w:fill="auto"/>
            <w:noWrap/>
            <w:vAlign w:val="bottom"/>
            <w:hideMark/>
          </w:tcPr>
          <w:p w14:paraId="38AD83BC" w14:textId="77777777" w:rsidR="003D30B2" w:rsidRPr="00A43F68" w:rsidRDefault="003D30B2" w:rsidP="003D30B2">
            <w:pPr>
              <w:rPr>
                <w:rFonts w:ascii="Arial" w:eastAsia="SimSun" w:hAnsi="Arial" w:cs="Arial"/>
                <w:b/>
                <w:bCs/>
                <w:color w:val="000000"/>
                <w:sz w:val="19"/>
                <w:szCs w:val="19"/>
                <w:lang w:val="en-CA" w:eastAsia="zh-CN"/>
              </w:rPr>
            </w:pPr>
            <w:r w:rsidRPr="00A43F68">
              <w:rPr>
                <w:rFonts w:ascii="Arial" w:eastAsia="SimSun" w:hAnsi="Arial" w:cs="Arial"/>
                <w:b/>
                <w:bCs/>
                <w:color w:val="000000"/>
                <w:sz w:val="19"/>
                <w:szCs w:val="19"/>
                <w:lang w:val="en-CA" w:eastAsia="zh-CN"/>
              </w:rPr>
              <w:t>Total exports</w:t>
            </w:r>
          </w:p>
        </w:tc>
        <w:tc>
          <w:tcPr>
            <w:tcW w:w="1350" w:type="dxa"/>
            <w:tcBorders>
              <w:top w:val="nil"/>
              <w:left w:val="nil"/>
              <w:bottom w:val="single" w:sz="4" w:space="0" w:color="auto"/>
              <w:right w:val="single" w:sz="4" w:space="0" w:color="auto"/>
            </w:tcBorders>
            <w:shd w:val="clear" w:color="auto" w:fill="auto"/>
            <w:noWrap/>
            <w:vAlign w:val="bottom"/>
            <w:hideMark/>
          </w:tcPr>
          <w:p w14:paraId="73A3974A" w14:textId="77777777" w:rsidR="003D30B2" w:rsidRPr="00A43F68" w:rsidRDefault="003D30B2" w:rsidP="003D30B2">
            <w:pPr>
              <w:jc w:val="right"/>
              <w:rPr>
                <w:rFonts w:ascii="Arial" w:eastAsia="SimSun" w:hAnsi="Arial" w:cs="Arial"/>
                <w:color w:val="000000"/>
                <w:sz w:val="19"/>
                <w:szCs w:val="19"/>
                <w:lang w:val="en-CA" w:eastAsia="zh-CN"/>
              </w:rPr>
            </w:pPr>
            <w:r w:rsidRPr="00A43F68">
              <w:rPr>
                <w:rFonts w:ascii="Arial" w:eastAsia="SimSun" w:hAnsi="Arial" w:cs="Arial"/>
                <w:color w:val="000000"/>
                <w:sz w:val="19"/>
                <w:szCs w:val="19"/>
                <w:lang w:val="en-CA" w:eastAsia="zh-CN"/>
              </w:rPr>
              <w:t xml:space="preserve"> 192.1 </w:t>
            </w:r>
          </w:p>
        </w:tc>
        <w:tc>
          <w:tcPr>
            <w:tcW w:w="1260" w:type="dxa"/>
            <w:tcBorders>
              <w:top w:val="nil"/>
              <w:left w:val="nil"/>
              <w:bottom w:val="single" w:sz="4" w:space="0" w:color="auto"/>
              <w:right w:val="single" w:sz="4" w:space="0" w:color="auto"/>
            </w:tcBorders>
            <w:shd w:val="clear" w:color="auto" w:fill="auto"/>
            <w:noWrap/>
            <w:vAlign w:val="bottom"/>
            <w:hideMark/>
          </w:tcPr>
          <w:p w14:paraId="65EFE379" w14:textId="77777777" w:rsidR="003D30B2" w:rsidRPr="00A43F68" w:rsidRDefault="003D30B2" w:rsidP="003D30B2">
            <w:pPr>
              <w:jc w:val="right"/>
              <w:rPr>
                <w:rFonts w:ascii="Arial" w:eastAsia="SimSun" w:hAnsi="Arial" w:cs="Arial"/>
                <w:color w:val="000000"/>
                <w:sz w:val="19"/>
                <w:szCs w:val="19"/>
                <w:lang w:val="en-CA" w:eastAsia="zh-CN"/>
              </w:rPr>
            </w:pPr>
            <w:r w:rsidRPr="00A43F68">
              <w:rPr>
                <w:rFonts w:ascii="Arial" w:eastAsia="SimSun" w:hAnsi="Arial" w:cs="Arial"/>
                <w:color w:val="000000"/>
                <w:sz w:val="19"/>
                <w:szCs w:val="19"/>
                <w:lang w:val="en-CA" w:eastAsia="zh-CN"/>
              </w:rPr>
              <w:t xml:space="preserve"> 192.1 </w:t>
            </w:r>
          </w:p>
        </w:tc>
        <w:tc>
          <w:tcPr>
            <w:tcW w:w="1170" w:type="dxa"/>
            <w:tcBorders>
              <w:top w:val="nil"/>
              <w:left w:val="nil"/>
              <w:bottom w:val="single" w:sz="4" w:space="0" w:color="auto"/>
              <w:right w:val="single" w:sz="4" w:space="0" w:color="auto"/>
            </w:tcBorders>
            <w:shd w:val="clear" w:color="auto" w:fill="auto"/>
            <w:noWrap/>
            <w:vAlign w:val="bottom"/>
            <w:hideMark/>
          </w:tcPr>
          <w:p w14:paraId="3EF680E2" w14:textId="163C9C6E" w:rsidR="003D30B2" w:rsidRPr="00A43F68" w:rsidRDefault="003D30B2" w:rsidP="003D30B2">
            <w:pPr>
              <w:jc w:val="right"/>
              <w:rPr>
                <w:rFonts w:ascii="Arial" w:eastAsia="SimSun" w:hAnsi="Arial" w:cs="Arial"/>
                <w:color w:val="000000"/>
                <w:sz w:val="19"/>
                <w:szCs w:val="19"/>
                <w:lang w:val="en-CA" w:eastAsia="zh-CN"/>
              </w:rPr>
            </w:pPr>
            <w:r w:rsidRPr="00A43F68">
              <w:rPr>
                <w:rFonts w:ascii="Arial" w:eastAsia="SimSun" w:hAnsi="Arial" w:cs="Arial"/>
                <w:color w:val="000000"/>
                <w:sz w:val="19"/>
                <w:szCs w:val="19"/>
                <w:lang w:val="en-CA" w:eastAsia="zh-CN"/>
              </w:rPr>
              <w:t xml:space="preserve"> 205.</w:t>
            </w:r>
            <w:r w:rsidR="00DC4821" w:rsidRPr="00A43F68">
              <w:rPr>
                <w:rFonts w:ascii="Arial" w:eastAsia="SimSun" w:hAnsi="Arial" w:cs="Arial"/>
                <w:color w:val="000000"/>
                <w:sz w:val="19"/>
                <w:szCs w:val="19"/>
                <w:lang w:val="en-CA" w:eastAsia="zh-CN"/>
              </w:rPr>
              <w:t>4</w:t>
            </w:r>
            <w:r w:rsidRPr="00A43F68">
              <w:rPr>
                <w:rFonts w:ascii="Arial" w:eastAsia="SimSun" w:hAnsi="Arial" w:cs="Arial"/>
                <w:color w:val="000000"/>
                <w:sz w:val="19"/>
                <w:szCs w:val="19"/>
                <w:lang w:val="en-CA" w:eastAsia="zh-CN"/>
              </w:rPr>
              <w:t xml:space="preserve"> </w:t>
            </w:r>
          </w:p>
        </w:tc>
      </w:tr>
      <w:tr w:rsidR="003D30B2" w:rsidRPr="00A43F68" w14:paraId="34DBBFB5" w14:textId="77777777" w:rsidTr="00A43F68">
        <w:trPr>
          <w:trHeight w:val="240"/>
          <w:jc w:val="center"/>
        </w:trPr>
        <w:tc>
          <w:tcPr>
            <w:tcW w:w="5430"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5FF0E7D" w14:textId="77777777" w:rsidR="003D30B2" w:rsidRPr="00A43F68" w:rsidRDefault="003D30B2" w:rsidP="003D30B2">
            <w:pPr>
              <w:rPr>
                <w:rFonts w:ascii="Arial" w:eastAsia="SimSun" w:hAnsi="Arial" w:cs="Arial"/>
                <w:b/>
                <w:bCs/>
                <w:color w:val="000000"/>
                <w:sz w:val="19"/>
                <w:szCs w:val="19"/>
                <w:lang w:val="en-CA" w:eastAsia="zh-CN"/>
              </w:rPr>
            </w:pPr>
            <w:r w:rsidRPr="00A43F68">
              <w:rPr>
                <w:rFonts w:ascii="Arial" w:eastAsia="SimSun" w:hAnsi="Arial" w:cs="Arial"/>
                <w:b/>
                <w:bCs/>
                <w:color w:val="000000"/>
                <w:sz w:val="19"/>
                <w:szCs w:val="19"/>
                <w:lang w:val="en-CA" w:eastAsia="zh-CN"/>
              </w:rPr>
              <w:t>Singapore</w:t>
            </w:r>
          </w:p>
        </w:tc>
      </w:tr>
      <w:tr w:rsidR="003D30B2" w:rsidRPr="00A43F68" w14:paraId="5596AC7E" w14:textId="77777777" w:rsidTr="00A43F68">
        <w:trPr>
          <w:trHeight w:val="240"/>
          <w:jc w:val="center"/>
        </w:trPr>
        <w:tc>
          <w:tcPr>
            <w:tcW w:w="1650" w:type="dxa"/>
            <w:tcBorders>
              <w:top w:val="nil"/>
              <w:left w:val="single" w:sz="4" w:space="0" w:color="auto"/>
              <w:bottom w:val="single" w:sz="4" w:space="0" w:color="auto"/>
              <w:right w:val="single" w:sz="4" w:space="0" w:color="auto"/>
            </w:tcBorders>
            <w:shd w:val="clear" w:color="auto" w:fill="auto"/>
            <w:noWrap/>
            <w:vAlign w:val="bottom"/>
            <w:hideMark/>
          </w:tcPr>
          <w:p w14:paraId="6D56449D" w14:textId="602F62E2" w:rsidR="003D30B2" w:rsidRPr="00A43F68" w:rsidRDefault="003D30B2" w:rsidP="003D30B2">
            <w:pPr>
              <w:rPr>
                <w:rFonts w:ascii="Arial" w:eastAsia="SimSun" w:hAnsi="Arial" w:cs="Arial"/>
                <w:color w:val="000000"/>
                <w:sz w:val="19"/>
                <w:szCs w:val="19"/>
                <w:lang w:val="en-CA" w:eastAsia="zh-CN"/>
              </w:rPr>
            </w:pPr>
            <w:r w:rsidRPr="00A43F68">
              <w:rPr>
                <w:rFonts w:ascii="Arial" w:eastAsia="SimSun" w:hAnsi="Arial" w:cs="Arial"/>
                <w:color w:val="000000"/>
                <w:sz w:val="19"/>
                <w:szCs w:val="19"/>
                <w:lang w:val="en-CA" w:eastAsia="zh-CN"/>
              </w:rPr>
              <w:t>Salmonids</w:t>
            </w:r>
          </w:p>
        </w:tc>
        <w:tc>
          <w:tcPr>
            <w:tcW w:w="1350" w:type="dxa"/>
            <w:tcBorders>
              <w:top w:val="nil"/>
              <w:left w:val="nil"/>
              <w:bottom w:val="single" w:sz="4" w:space="0" w:color="auto"/>
              <w:right w:val="single" w:sz="4" w:space="0" w:color="auto"/>
            </w:tcBorders>
            <w:shd w:val="clear" w:color="auto" w:fill="auto"/>
            <w:noWrap/>
            <w:vAlign w:val="bottom"/>
            <w:hideMark/>
          </w:tcPr>
          <w:p w14:paraId="21932E47" w14:textId="77777777" w:rsidR="003D30B2" w:rsidRPr="00A43F68" w:rsidRDefault="003D30B2" w:rsidP="003D30B2">
            <w:pPr>
              <w:jc w:val="right"/>
              <w:rPr>
                <w:rFonts w:ascii="Arial" w:eastAsia="SimSun" w:hAnsi="Arial" w:cs="Arial"/>
                <w:color w:val="000000"/>
                <w:sz w:val="19"/>
                <w:szCs w:val="19"/>
                <w:lang w:val="en-CA" w:eastAsia="zh-CN"/>
              </w:rPr>
            </w:pPr>
            <w:r w:rsidRPr="00A43F68">
              <w:rPr>
                <w:rFonts w:ascii="Arial" w:eastAsia="SimSun" w:hAnsi="Arial" w:cs="Arial"/>
                <w:color w:val="000000"/>
                <w:sz w:val="19"/>
                <w:szCs w:val="19"/>
                <w:lang w:val="en-CA" w:eastAsia="zh-CN"/>
              </w:rPr>
              <w:t xml:space="preserve"> 0.4 </w:t>
            </w:r>
          </w:p>
        </w:tc>
        <w:tc>
          <w:tcPr>
            <w:tcW w:w="1260" w:type="dxa"/>
            <w:tcBorders>
              <w:top w:val="nil"/>
              <w:left w:val="nil"/>
              <w:bottom w:val="single" w:sz="4" w:space="0" w:color="auto"/>
              <w:right w:val="single" w:sz="4" w:space="0" w:color="auto"/>
            </w:tcBorders>
            <w:shd w:val="clear" w:color="auto" w:fill="auto"/>
            <w:noWrap/>
            <w:vAlign w:val="bottom"/>
            <w:hideMark/>
          </w:tcPr>
          <w:p w14:paraId="26631B5B" w14:textId="77777777" w:rsidR="003D30B2" w:rsidRPr="00A43F68" w:rsidRDefault="003D30B2" w:rsidP="003D30B2">
            <w:pPr>
              <w:jc w:val="right"/>
              <w:rPr>
                <w:rFonts w:ascii="Arial" w:eastAsia="SimSun" w:hAnsi="Arial" w:cs="Arial"/>
                <w:color w:val="000000"/>
                <w:sz w:val="19"/>
                <w:szCs w:val="19"/>
                <w:lang w:val="en-CA" w:eastAsia="zh-CN"/>
              </w:rPr>
            </w:pPr>
            <w:r w:rsidRPr="00A43F68">
              <w:rPr>
                <w:rFonts w:ascii="Arial" w:eastAsia="SimSun" w:hAnsi="Arial" w:cs="Arial"/>
                <w:color w:val="000000"/>
                <w:sz w:val="19"/>
                <w:szCs w:val="19"/>
                <w:lang w:val="en-CA" w:eastAsia="zh-CN"/>
              </w:rPr>
              <w:t xml:space="preserve"> 3.1 </w:t>
            </w:r>
          </w:p>
        </w:tc>
        <w:tc>
          <w:tcPr>
            <w:tcW w:w="1170" w:type="dxa"/>
            <w:tcBorders>
              <w:top w:val="nil"/>
              <w:left w:val="nil"/>
              <w:bottom w:val="single" w:sz="4" w:space="0" w:color="auto"/>
              <w:right w:val="single" w:sz="4" w:space="0" w:color="auto"/>
            </w:tcBorders>
            <w:shd w:val="clear" w:color="auto" w:fill="auto"/>
            <w:noWrap/>
            <w:vAlign w:val="bottom"/>
            <w:hideMark/>
          </w:tcPr>
          <w:p w14:paraId="431D496D" w14:textId="77777777" w:rsidR="003D30B2" w:rsidRPr="00A43F68" w:rsidRDefault="003D30B2" w:rsidP="003D30B2">
            <w:pPr>
              <w:jc w:val="right"/>
              <w:rPr>
                <w:rFonts w:ascii="Arial" w:eastAsia="SimSun" w:hAnsi="Arial" w:cs="Arial"/>
                <w:color w:val="000000"/>
                <w:sz w:val="19"/>
                <w:szCs w:val="19"/>
                <w:lang w:val="en-CA" w:eastAsia="zh-CN"/>
              </w:rPr>
            </w:pPr>
            <w:r w:rsidRPr="00A43F68">
              <w:rPr>
                <w:rFonts w:ascii="Arial" w:eastAsia="SimSun" w:hAnsi="Arial" w:cs="Arial"/>
                <w:color w:val="000000"/>
                <w:sz w:val="19"/>
                <w:szCs w:val="19"/>
                <w:lang w:val="en-CA" w:eastAsia="zh-CN"/>
              </w:rPr>
              <w:t xml:space="preserve"> 2.9 </w:t>
            </w:r>
          </w:p>
        </w:tc>
      </w:tr>
      <w:tr w:rsidR="003D30B2" w:rsidRPr="00A43F68" w14:paraId="60314C59" w14:textId="77777777" w:rsidTr="00A43F68">
        <w:trPr>
          <w:trHeight w:val="240"/>
          <w:jc w:val="center"/>
        </w:trPr>
        <w:tc>
          <w:tcPr>
            <w:tcW w:w="1650" w:type="dxa"/>
            <w:tcBorders>
              <w:top w:val="nil"/>
              <w:left w:val="single" w:sz="4" w:space="0" w:color="auto"/>
              <w:bottom w:val="single" w:sz="4" w:space="0" w:color="auto"/>
              <w:right w:val="single" w:sz="4" w:space="0" w:color="auto"/>
            </w:tcBorders>
            <w:shd w:val="clear" w:color="auto" w:fill="auto"/>
            <w:noWrap/>
            <w:vAlign w:val="bottom"/>
            <w:hideMark/>
          </w:tcPr>
          <w:p w14:paraId="10644C12" w14:textId="5E8958B7" w:rsidR="003D30B2" w:rsidRPr="00A43F68" w:rsidRDefault="003D30B2" w:rsidP="003D30B2">
            <w:pPr>
              <w:rPr>
                <w:rFonts w:ascii="Arial" w:eastAsia="SimSun" w:hAnsi="Arial" w:cs="Arial"/>
                <w:color w:val="000000"/>
                <w:sz w:val="19"/>
                <w:szCs w:val="19"/>
                <w:lang w:val="en-CA" w:eastAsia="zh-CN"/>
              </w:rPr>
            </w:pPr>
            <w:r w:rsidRPr="00A43F68">
              <w:rPr>
                <w:rFonts w:ascii="Arial" w:eastAsia="SimSun" w:hAnsi="Arial" w:cs="Arial"/>
                <w:color w:val="000000"/>
                <w:sz w:val="19"/>
                <w:szCs w:val="19"/>
                <w:lang w:val="en-CA" w:eastAsia="zh-CN"/>
              </w:rPr>
              <w:t>Other seafood</w:t>
            </w:r>
          </w:p>
        </w:tc>
        <w:tc>
          <w:tcPr>
            <w:tcW w:w="1350" w:type="dxa"/>
            <w:tcBorders>
              <w:top w:val="nil"/>
              <w:left w:val="nil"/>
              <w:bottom w:val="single" w:sz="4" w:space="0" w:color="auto"/>
              <w:right w:val="single" w:sz="4" w:space="0" w:color="auto"/>
            </w:tcBorders>
            <w:shd w:val="clear" w:color="auto" w:fill="auto"/>
            <w:noWrap/>
            <w:vAlign w:val="bottom"/>
            <w:hideMark/>
          </w:tcPr>
          <w:p w14:paraId="72C71066" w14:textId="77777777" w:rsidR="003D30B2" w:rsidRPr="00A43F68" w:rsidRDefault="003D30B2" w:rsidP="003D30B2">
            <w:pPr>
              <w:jc w:val="right"/>
              <w:rPr>
                <w:rFonts w:ascii="Arial" w:eastAsia="SimSun" w:hAnsi="Arial" w:cs="Arial"/>
                <w:color w:val="000000"/>
                <w:sz w:val="19"/>
                <w:szCs w:val="19"/>
                <w:lang w:val="en-CA" w:eastAsia="zh-CN"/>
              </w:rPr>
            </w:pPr>
            <w:r w:rsidRPr="00A43F68">
              <w:rPr>
                <w:rFonts w:ascii="Arial" w:eastAsia="SimSun" w:hAnsi="Arial" w:cs="Arial"/>
                <w:color w:val="000000"/>
                <w:sz w:val="19"/>
                <w:szCs w:val="19"/>
                <w:lang w:val="en-CA" w:eastAsia="zh-CN"/>
              </w:rPr>
              <w:t xml:space="preserve"> 33.8 </w:t>
            </w:r>
          </w:p>
        </w:tc>
        <w:tc>
          <w:tcPr>
            <w:tcW w:w="1260" w:type="dxa"/>
            <w:tcBorders>
              <w:top w:val="nil"/>
              <w:left w:val="nil"/>
              <w:bottom w:val="single" w:sz="4" w:space="0" w:color="auto"/>
              <w:right w:val="single" w:sz="4" w:space="0" w:color="auto"/>
            </w:tcBorders>
            <w:shd w:val="clear" w:color="auto" w:fill="auto"/>
            <w:noWrap/>
            <w:vAlign w:val="bottom"/>
            <w:hideMark/>
          </w:tcPr>
          <w:p w14:paraId="59CD0C4B" w14:textId="77777777" w:rsidR="003D30B2" w:rsidRPr="00A43F68" w:rsidRDefault="003D30B2" w:rsidP="003D30B2">
            <w:pPr>
              <w:jc w:val="right"/>
              <w:rPr>
                <w:rFonts w:ascii="Arial" w:eastAsia="SimSun" w:hAnsi="Arial" w:cs="Arial"/>
                <w:color w:val="000000"/>
                <w:sz w:val="19"/>
                <w:szCs w:val="19"/>
                <w:lang w:val="en-CA" w:eastAsia="zh-CN"/>
              </w:rPr>
            </w:pPr>
            <w:r w:rsidRPr="00A43F68">
              <w:rPr>
                <w:rFonts w:ascii="Arial" w:eastAsia="SimSun" w:hAnsi="Arial" w:cs="Arial"/>
                <w:color w:val="000000"/>
                <w:sz w:val="19"/>
                <w:szCs w:val="19"/>
                <w:lang w:val="en-CA" w:eastAsia="zh-CN"/>
              </w:rPr>
              <w:t xml:space="preserve"> 31.9 </w:t>
            </w:r>
          </w:p>
        </w:tc>
        <w:tc>
          <w:tcPr>
            <w:tcW w:w="1170" w:type="dxa"/>
            <w:tcBorders>
              <w:top w:val="nil"/>
              <w:left w:val="nil"/>
              <w:bottom w:val="single" w:sz="4" w:space="0" w:color="auto"/>
              <w:right w:val="single" w:sz="4" w:space="0" w:color="auto"/>
            </w:tcBorders>
            <w:shd w:val="clear" w:color="auto" w:fill="auto"/>
            <w:noWrap/>
            <w:vAlign w:val="bottom"/>
            <w:hideMark/>
          </w:tcPr>
          <w:p w14:paraId="2A5D812C" w14:textId="77777777" w:rsidR="003D30B2" w:rsidRPr="00A43F68" w:rsidRDefault="003D30B2" w:rsidP="003D30B2">
            <w:pPr>
              <w:jc w:val="right"/>
              <w:rPr>
                <w:rFonts w:ascii="Arial" w:eastAsia="SimSun" w:hAnsi="Arial" w:cs="Arial"/>
                <w:color w:val="000000"/>
                <w:sz w:val="19"/>
                <w:szCs w:val="19"/>
                <w:lang w:val="en-CA" w:eastAsia="zh-CN"/>
              </w:rPr>
            </w:pPr>
            <w:r w:rsidRPr="00A43F68">
              <w:rPr>
                <w:rFonts w:ascii="Arial" w:eastAsia="SimSun" w:hAnsi="Arial" w:cs="Arial"/>
                <w:color w:val="000000"/>
                <w:sz w:val="19"/>
                <w:szCs w:val="19"/>
                <w:lang w:val="en-CA" w:eastAsia="zh-CN"/>
              </w:rPr>
              <w:t xml:space="preserve"> 32.4 </w:t>
            </w:r>
          </w:p>
        </w:tc>
      </w:tr>
      <w:tr w:rsidR="003D30B2" w:rsidRPr="00A43F68" w14:paraId="7223224D" w14:textId="77777777" w:rsidTr="00A43F68">
        <w:trPr>
          <w:trHeight w:val="240"/>
          <w:jc w:val="center"/>
        </w:trPr>
        <w:tc>
          <w:tcPr>
            <w:tcW w:w="1650" w:type="dxa"/>
            <w:tcBorders>
              <w:top w:val="nil"/>
              <w:left w:val="single" w:sz="4" w:space="0" w:color="auto"/>
              <w:bottom w:val="single" w:sz="4" w:space="0" w:color="auto"/>
              <w:right w:val="single" w:sz="4" w:space="0" w:color="auto"/>
            </w:tcBorders>
            <w:shd w:val="clear" w:color="auto" w:fill="auto"/>
            <w:noWrap/>
            <w:vAlign w:val="bottom"/>
            <w:hideMark/>
          </w:tcPr>
          <w:p w14:paraId="5E4AEA97" w14:textId="77777777" w:rsidR="003D30B2" w:rsidRPr="00A43F68" w:rsidRDefault="003D30B2" w:rsidP="003D30B2">
            <w:pPr>
              <w:rPr>
                <w:rFonts w:ascii="Arial" w:eastAsia="SimSun" w:hAnsi="Arial" w:cs="Arial"/>
                <w:b/>
                <w:bCs/>
                <w:color w:val="000000"/>
                <w:sz w:val="19"/>
                <w:szCs w:val="19"/>
                <w:lang w:val="en-CA" w:eastAsia="zh-CN"/>
              </w:rPr>
            </w:pPr>
            <w:r w:rsidRPr="00A43F68">
              <w:rPr>
                <w:rFonts w:ascii="Arial" w:eastAsia="SimSun" w:hAnsi="Arial" w:cs="Arial"/>
                <w:b/>
                <w:bCs/>
                <w:color w:val="000000"/>
                <w:sz w:val="19"/>
                <w:szCs w:val="19"/>
                <w:lang w:val="en-CA" w:eastAsia="zh-CN"/>
              </w:rPr>
              <w:t>Total exports</w:t>
            </w:r>
          </w:p>
        </w:tc>
        <w:tc>
          <w:tcPr>
            <w:tcW w:w="1350" w:type="dxa"/>
            <w:tcBorders>
              <w:top w:val="nil"/>
              <w:left w:val="nil"/>
              <w:bottom w:val="single" w:sz="4" w:space="0" w:color="auto"/>
              <w:right w:val="single" w:sz="4" w:space="0" w:color="auto"/>
            </w:tcBorders>
            <w:shd w:val="clear" w:color="auto" w:fill="auto"/>
            <w:noWrap/>
            <w:vAlign w:val="bottom"/>
            <w:hideMark/>
          </w:tcPr>
          <w:p w14:paraId="7B169126" w14:textId="77777777" w:rsidR="003D30B2" w:rsidRPr="00A43F68" w:rsidRDefault="003D30B2" w:rsidP="003D30B2">
            <w:pPr>
              <w:jc w:val="right"/>
              <w:rPr>
                <w:rFonts w:ascii="Arial" w:eastAsia="SimSun" w:hAnsi="Arial" w:cs="Arial"/>
                <w:color w:val="000000"/>
                <w:sz w:val="19"/>
                <w:szCs w:val="19"/>
                <w:lang w:val="en-CA" w:eastAsia="zh-CN"/>
              </w:rPr>
            </w:pPr>
            <w:r w:rsidRPr="00A43F68">
              <w:rPr>
                <w:rFonts w:ascii="Arial" w:eastAsia="SimSun" w:hAnsi="Arial" w:cs="Arial"/>
                <w:color w:val="000000"/>
                <w:sz w:val="19"/>
                <w:szCs w:val="19"/>
                <w:lang w:val="en-CA" w:eastAsia="zh-CN"/>
              </w:rPr>
              <w:t xml:space="preserve"> 34.2 </w:t>
            </w:r>
          </w:p>
        </w:tc>
        <w:tc>
          <w:tcPr>
            <w:tcW w:w="1260" w:type="dxa"/>
            <w:tcBorders>
              <w:top w:val="nil"/>
              <w:left w:val="nil"/>
              <w:bottom w:val="single" w:sz="4" w:space="0" w:color="auto"/>
              <w:right w:val="single" w:sz="4" w:space="0" w:color="auto"/>
            </w:tcBorders>
            <w:shd w:val="clear" w:color="auto" w:fill="auto"/>
            <w:noWrap/>
            <w:vAlign w:val="bottom"/>
            <w:hideMark/>
          </w:tcPr>
          <w:p w14:paraId="2BCB4708" w14:textId="77777777" w:rsidR="003D30B2" w:rsidRPr="00A43F68" w:rsidRDefault="003D30B2" w:rsidP="003D30B2">
            <w:pPr>
              <w:jc w:val="right"/>
              <w:rPr>
                <w:rFonts w:ascii="Arial" w:eastAsia="SimSun" w:hAnsi="Arial" w:cs="Arial"/>
                <w:color w:val="000000"/>
                <w:sz w:val="19"/>
                <w:szCs w:val="19"/>
                <w:lang w:val="en-CA" w:eastAsia="zh-CN"/>
              </w:rPr>
            </w:pPr>
            <w:r w:rsidRPr="00A43F68">
              <w:rPr>
                <w:rFonts w:ascii="Arial" w:eastAsia="SimSun" w:hAnsi="Arial" w:cs="Arial"/>
                <w:color w:val="000000"/>
                <w:sz w:val="19"/>
                <w:szCs w:val="19"/>
                <w:lang w:val="en-CA" w:eastAsia="zh-CN"/>
              </w:rPr>
              <w:t xml:space="preserve"> 35.0 </w:t>
            </w:r>
          </w:p>
        </w:tc>
        <w:tc>
          <w:tcPr>
            <w:tcW w:w="1170" w:type="dxa"/>
            <w:tcBorders>
              <w:top w:val="nil"/>
              <w:left w:val="nil"/>
              <w:bottom w:val="single" w:sz="4" w:space="0" w:color="auto"/>
              <w:right w:val="single" w:sz="4" w:space="0" w:color="auto"/>
            </w:tcBorders>
            <w:shd w:val="clear" w:color="auto" w:fill="auto"/>
            <w:noWrap/>
            <w:vAlign w:val="bottom"/>
            <w:hideMark/>
          </w:tcPr>
          <w:p w14:paraId="3070CADC" w14:textId="77777777" w:rsidR="003D30B2" w:rsidRPr="00A43F68" w:rsidRDefault="003D30B2" w:rsidP="003D30B2">
            <w:pPr>
              <w:jc w:val="right"/>
              <w:rPr>
                <w:rFonts w:ascii="Arial" w:eastAsia="SimSun" w:hAnsi="Arial" w:cs="Arial"/>
                <w:color w:val="000000"/>
                <w:sz w:val="19"/>
                <w:szCs w:val="19"/>
                <w:lang w:val="en-CA" w:eastAsia="zh-CN"/>
              </w:rPr>
            </w:pPr>
            <w:r w:rsidRPr="00A43F68">
              <w:rPr>
                <w:rFonts w:ascii="Arial" w:eastAsia="SimSun" w:hAnsi="Arial" w:cs="Arial"/>
                <w:color w:val="000000"/>
                <w:sz w:val="19"/>
                <w:szCs w:val="19"/>
                <w:lang w:val="en-CA" w:eastAsia="zh-CN"/>
              </w:rPr>
              <w:t xml:space="preserve"> 35.3 </w:t>
            </w:r>
          </w:p>
        </w:tc>
      </w:tr>
      <w:tr w:rsidR="003D30B2" w:rsidRPr="00A43F68" w14:paraId="0015C789" w14:textId="77777777" w:rsidTr="00A43F68">
        <w:trPr>
          <w:trHeight w:val="240"/>
          <w:jc w:val="center"/>
        </w:trPr>
        <w:tc>
          <w:tcPr>
            <w:tcW w:w="5430"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8E7CFA5" w14:textId="77777777" w:rsidR="003D30B2" w:rsidRPr="00A43F68" w:rsidRDefault="003D30B2" w:rsidP="003D30B2">
            <w:pPr>
              <w:rPr>
                <w:rFonts w:ascii="Arial" w:eastAsia="SimSun" w:hAnsi="Arial" w:cs="Arial"/>
                <w:b/>
                <w:bCs/>
                <w:color w:val="000000"/>
                <w:sz w:val="19"/>
                <w:szCs w:val="19"/>
                <w:lang w:val="en-CA" w:eastAsia="zh-CN"/>
              </w:rPr>
            </w:pPr>
            <w:r w:rsidRPr="00A43F68">
              <w:rPr>
                <w:rFonts w:ascii="Arial" w:eastAsia="SimSun" w:hAnsi="Arial" w:cs="Arial"/>
                <w:b/>
                <w:bCs/>
                <w:color w:val="000000"/>
                <w:sz w:val="19"/>
                <w:szCs w:val="19"/>
                <w:lang w:val="en-CA" w:eastAsia="zh-CN"/>
              </w:rPr>
              <w:t>Taiwan</w:t>
            </w:r>
          </w:p>
        </w:tc>
      </w:tr>
      <w:tr w:rsidR="003D30B2" w:rsidRPr="00A43F68" w14:paraId="0D7DCCD5" w14:textId="77777777" w:rsidTr="00A43F68">
        <w:trPr>
          <w:trHeight w:val="240"/>
          <w:jc w:val="center"/>
        </w:trPr>
        <w:tc>
          <w:tcPr>
            <w:tcW w:w="1650" w:type="dxa"/>
            <w:tcBorders>
              <w:top w:val="nil"/>
              <w:left w:val="single" w:sz="4" w:space="0" w:color="auto"/>
              <w:bottom w:val="single" w:sz="4" w:space="0" w:color="auto"/>
              <w:right w:val="single" w:sz="4" w:space="0" w:color="auto"/>
            </w:tcBorders>
            <w:shd w:val="clear" w:color="auto" w:fill="auto"/>
            <w:noWrap/>
            <w:vAlign w:val="bottom"/>
            <w:hideMark/>
          </w:tcPr>
          <w:p w14:paraId="5E947709" w14:textId="442576ED" w:rsidR="003D30B2" w:rsidRPr="00A43F68" w:rsidRDefault="003D30B2" w:rsidP="003D30B2">
            <w:pPr>
              <w:rPr>
                <w:rFonts w:ascii="Arial" w:eastAsia="SimSun" w:hAnsi="Arial" w:cs="Arial"/>
                <w:color w:val="000000"/>
                <w:sz w:val="19"/>
                <w:szCs w:val="19"/>
                <w:lang w:val="en-CA" w:eastAsia="zh-CN"/>
              </w:rPr>
            </w:pPr>
            <w:r w:rsidRPr="00A43F68">
              <w:rPr>
                <w:rFonts w:ascii="Arial" w:eastAsia="SimSun" w:hAnsi="Arial" w:cs="Arial"/>
                <w:color w:val="000000"/>
                <w:sz w:val="19"/>
                <w:szCs w:val="19"/>
                <w:lang w:val="en-CA" w:eastAsia="zh-CN"/>
              </w:rPr>
              <w:t>Salmonids</w:t>
            </w:r>
          </w:p>
        </w:tc>
        <w:tc>
          <w:tcPr>
            <w:tcW w:w="1350" w:type="dxa"/>
            <w:tcBorders>
              <w:top w:val="nil"/>
              <w:left w:val="nil"/>
              <w:bottom w:val="single" w:sz="4" w:space="0" w:color="auto"/>
              <w:right w:val="single" w:sz="4" w:space="0" w:color="auto"/>
            </w:tcBorders>
            <w:shd w:val="clear" w:color="auto" w:fill="auto"/>
            <w:noWrap/>
            <w:vAlign w:val="bottom"/>
            <w:hideMark/>
          </w:tcPr>
          <w:p w14:paraId="00A76AD1" w14:textId="77777777" w:rsidR="003D30B2" w:rsidRPr="00A43F68" w:rsidRDefault="003D30B2" w:rsidP="003D30B2">
            <w:pPr>
              <w:jc w:val="right"/>
              <w:rPr>
                <w:rFonts w:ascii="Arial" w:eastAsia="SimSun" w:hAnsi="Arial" w:cs="Arial"/>
                <w:color w:val="000000"/>
                <w:sz w:val="19"/>
                <w:szCs w:val="19"/>
                <w:lang w:val="en-CA" w:eastAsia="zh-CN"/>
              </w:rPr>
            </w:pPr>
            <w:r w:rsidRPr="00A43F68">
              <w:rPr>
                <w:rFonts w:ascii="Arial" w:eastAsia="SimSun" w:hAnsi="Arial" w:cs="Arial"/>
                <w:color w:val="000000"/>
                <w:sz w:val="19"/>
                <w:szCs w:val="19"/>
                <w:lang w:val="en-CA" w:eastAsia="zh-CN"/>
              </w:rPr>
              <w:t xml:space="preserve"> 0.1 </w:t>
            </w:r>
          </w:p>
        </w:tc>
        <w:tc>
          <w:tcPr>
            <w:tcW w:w="1260" w:type="dxa"/>
            <w:tcBorders>
              <w:top w:val="nil"/>
              <w:left w:val="nil"/>
              <w:bottom w:val="single" w:sz="4" w:space="0" w:color="auto"/>
              <w:right w:val="single" w:sz="4" w:space="0" w:color="auto"/>
            </w:tcBorders>
            <w:shd w:val="clear" w:color="auto" w:fill="auto"/>
            <w:noWrap/>
            <w:vAlign w:val="bottom"/>
            <w:hideMark/>
          </w:tcPr>
          <w:p w14:paraId="31B98D2C" w14:textId="77777777" w:rsidR="003D30B2" w:rsidRPr="00A43F68" w:rsidRDefault="003D30B2" w:rsidP="003D30B2">
            <w:pPr>
              <w:jc w:val="right"/>
              <w:rPr>
                <w:rFonts w:ascii="Arial" w:eastAsia="SimSun" w:hAnsi="Arial" w:cs="Arial"/>
                <w:color w:val="000000"/>
                <w:sz w:val="19"/>
                <w:szCs w:val="19"/>
                <w:lang w:val="en-CA" w:eastAsia="zh-CN"/>
              </w:rPr>
            </w:pPr>
            <w:r w:rsidRPr="00A43F68">
              <w:rPr>
                <w:rFonts w:ascii="Arial" w:eastAsia="SimSun" w:hAnsi="Arial" w:cs="Arial"/>
                <w:color w:val="000000"/>
                <w:sz w:val="19"/>
                <w:szCs w:val="19"/>
                <w:lang w:val="en-CA" w:eastAsia="zh-CN"/>
              </w:rPr>
              <w:t xml:space="preserve"> 1.7 </w:t>
            </w:r>
          </w:p>
        </w:tc>
        <w:tc>
          <w:tcPr>
            <w:tcW w:w="1170" w:type="dxa"/>
            <w:tcBorders>
              <w:top w:val="nil"/>
              <w:left w:val="nil"/>
              <w:bottom w:val="single" w:sz="4" w:space="0" w:color="auto"/>
              <w:right w:val="single" w:sz="4" w:space="0" w:color="auto"/>
            </w:tcBorders>
            <w:shd w:val="clear" w:color="auto" w:fill="auto"/>
            <w:noWrap/>
            <w:vAlign w:val="bottom"/>
            <w:hideMark/>
          </w:tcPr>
          <w:p w14:paraId="3669A222" w14:textId="77777777" w:rsidR="003D30B2" w:rsidRPr="00A43F68" w:rsidRDefault="003D30B2" w:rsidP="003D30B2">
            <w:pPr>
              <w:jc w:val="right"/>
              <w:rPr>
                <w:rFonts w:ascii="Arial" w:eastAsia="SimSun" w:hAnsi="Arial" w:cs="Arial"/>
                <w:color w:val="000000"/>
                <w:sz w:val="19"/>
                <w:szCs w:val="19"/>
                <w:lang w:val="en-CA" w:eastAsia="zh-CN"/>
              </w:rPr>
            </w:pPr>
            <w:r w:rsidRPr="00A43F68">
              <w:rPr>
                <w:rFonts w:ascii="Arial" w:eastAsia="SimSun" w:hAnsi="Arial" w:cs="Arial"/>
                <w:color w:val="000000"/>
                <w:sz w:val="19"/>
                <w:szCs w:val="19"/>
                <w:lang w:val="en-CA" w:eastAsia="zh-CN"/>
              </w:rPr>
              <w:t xml:space="preserve"> 3.0 </w:t>
            </w:r>
          </w:p>
        </w:tc>
      </w:tr>
      <w:tr w:rsidR="003D30B2" w:rsidRPr="00A43F68" w14:paraId="5B28C763" w14:textId="77777777" w:rsidTr="00A43F68">
        <w:trPr>
          <w:trHeight w:val="240"/>
          <w:jc w:val="center"/>
        </w:trPr>
        <w:tc>
          <w:tcPr>
            <w:tcW w:w="1650" w:type="dxa"/>
            <w:tcBorders>
              <w:top w:val="nil"/>
              <w:left w:val="single" w:sz="4" w:space="0" w:color="auto"/>
              <w:bottom w:val="single" w:sz="4" w:space="0" w:color="auto"/>
              <w:right w:val="single" w:sz="4" w:space="0" w:color="auto"/>
            </w:tcBorders>
            <w:shd w:val="clear" w:color="auto" w:fill="auto"/>
            <w:noWrap/>
            <w:vAlign w:val="bottom"/>
            <w:hideMark/>
          </w:tcPr>
          <w:p w14:paraId="2E27B456" w14:textId="3D9B9DB9" w:rsidR="003D30B2" w:rsidRPr="00A43F68" w:rsidRDefault="003D30B2" w:rsidP="003D30B2">
            <w:pPr>
              <w:rPr>
                <w:rFonts w:ascii="Arial" w:eastAsia="SimSun" w:hAnsi="Arial" w:cs="Arial"/>
                <w:color w:val="000000"/>
                <w:sz w:val="19"/>
                <w:szCs w:val="19"/>
                <w:lang w:val="en-CA" w:eastAsia="zh-CN"/>
              </w:rPr>
            </w:pPr>
            <w:r w:rsidRPr="00A43F68">
              <w:rPr>
                <w:rFonts w:ascii="Arial" w:eastAsia="SimSun" w:hAnsi="Arial" w:cs="Arial"/>
                <w:color w:val="000000"/>
                <w:sz w:val="19"/>
                <w:szCs w:val="19"/>
                <w:lang w:val="en-CA" w:eastAsia="zh-CN"/>
              </w:rPr>
              <w:t>Other seafood</w:t>
            </w:r>
          </w:p>
        </w:tc>
        <w:tc>
          <w:tcPr>
            <w:tcW w:w="1350" w:type="dxa"/>
            <w:tcBorders>
              <w:top w:val="nil"/>
              <w:left w:val="nil"/>
              <w:bottom w:val="single" w:sz="4" w:space="0" w:color="auto"/>
              <w:right w:val="single" w:sz="4" w:space="0" w:color="auto"/>
            </w:tcBorders>
            <w:shd w:val="clear" w:color="auto" w:fill="auto"/>
            <w:noWrap/>
            <w:vAlign w:val="bottom"/>
            <w:hideMark/>
          </w:tcPr>
          <w:p w14:paraId="443E207B" w14:textId="77777777" w:rsidR="003D30B2" w:rsidRPr="00A43F68" w:rsidRDefault="003D30B2" w:rsidP="003D30B2">
            <w:pPr>
              <w:jc w:val="right"/>
              <w:rPr>
                <w:rFonts w:ascii="Arial" w:eastAsia="SimSun" w:hAnsi="Arial" w:cs="Arial"/>
                <w:color w:val="000000"/>
                <w:sz w:val="19"/>
                <w:szCs w:val="19"/>
                <w:lang w:val="en-CA" w:eastAsia="zh-CN"/>
              </w:rPr>
            </w:pPr>
            <w:r w:rsidRPr="00A43F68">
              <w:rPr>
                <w:rFonts w:ascii="Arial" w:eastAsia="SimSun" w:hAnsi="Arial" w:cs="Arial"/>
                <w:color w:val="000000"/>
                <w:sz w:val="19"/>
                <w:szCs w:val="19"/>
                <w:lang w:val="en-CA" w:eastAsia="zh-CN"/>
              </w:rPr>
              <w:t xml:space="preserve"> 13.6 </w:t>
            </w:r>
          </w:p>
        </w:tc>
        <w:tc>
          <w:tcPr>
            <w:tcW w:w="1260" w:type="dxa"/>
            <w:tcBorders>
              <w:top w:val="nil"/>
              <w:left w:val="nil"/>
              <w:bottom w:val="single" w:sz="4" w:space="0" w:color="auto"/>
              <w:right w:val="single" w:sz="4" w:space="0" w:color="auto"/>
            </w:tcBorders>
            <w:shd w:val="clear" w:color="auto" w:fill="auto"/>
            <w:noWrap/>
            <w:vAlign w:val="bottom"/>
            <w:hideMark/>
          </w:tcPr>
          <w:p w14:paraId="1E70F556" w14:textId="77777777" w:rsidR="003D30B2" w:rsidRPr="00A43F68" w:rsidRDefault="003D30B2" w:rsidP="003D30B2">
            <w:pPr>
              <w:jc w:val="right"/>
              <w:rPr>
                <w:rFonts w:ascii="Arial" w:eastAsia="SimSun" w:hAnsi="Arial" w:cs="Arial"/>
                <w:color w:val="000000"/>
                <w:sz w:val="19"/>
                <w:szCs w:val="19"/>
                <w:lang w:val="en-CA" w:eastAsia="zh-CN"/>
              </w:rPr>
            </w:pPr>
            <w:r w:rsidRPr="00A43F68">
              <w:rPr>
                <w:rFonts w:ascii="Arial" w:eastAsia="SimSun" w:hAnsi="Arial" w:cs="Arial"/>
                <w:color w:val="000000"/>
                <w:sz w:val="19"/>
                <w:szCs w:val="19"/>
                <w:lang w:val="en-CA" w:eastAsia="zh-CN"/>
              </w:rPr>
              <w:t xml:space="preserve"> 13.3 </w:t>
            </w:r>
          </w:p>
        </w:tc>
        <w:tc>
          <w:tcPr>
            <w:tcW w:w="1170" w:type="dxa"/>
            <w:tcBorders>
              <w:top w:val="nil"/>
              <w:left w:val="nil"/>
              <w:bottom w:val="single" w:sz="4" w:space="0" w:color="auto"/>
              <w:right w:val="single" w:sz="4" w:space="0" w:color="auto"/>
            </w:tcBorders>
            <w:shd w:val="clear" w:color="auto" w:fill="auto"/>
            <w:noWrap/>
            <w:vAlign w:val="bottom"/>
            <w:hideMark/>
          </w:tcPr>
          <w:p w14:paraId="6E80B83C" w14:textId="77777777" w:rsidR="003D30B2" w:rsidRPr="00A43F68" w:rsidRDefault="003D30B2" w:rsidP="003D30B2">
            <w:pPr>
              <w:jc w:val="right"/>
              <w:rPr>
                <w:rFonts w:ascii="Arial" w:eastAsia="SimSun" w:hAnsi="Arial" w:cs="Arial"/>
                <w:color w:val="000000"/>
                <w:sz w:val="19"/>
                <w:szCs w:val="19"/>
                <w:lang w:val="en-CA" w:eastAsia="zh-CN"/>
              </w:rPr>
            </w:pPr>
            <w:r w:rsidRPr="00A43F68">
              <w:rPr>
                <w:rFonts w:ascii="Arial" w:eastAsia="SimSun" w:hAnsi="Arial" w:cs="Arial"/>
                <w:color w:val="000000"/>
                <w:sz w:val="19"/>
                <w:szCs w:val="19"/>
                <w:lang w:val="en-CA" w:eastAsia="zh-CN"/>
              </w:rPr>
              <w:t xml:space="preserve"> 17.8 </w:t>
            </w:r>
          </w:p>
        </w:tc>
      </w:tr>
      <w:tr w:rsidR="003D30B2" w:rsidRPr="00A43F68" w14:paraId="0D6D1C41" w14:textId="77777777" w:rsidTr="00A43F68">
        <w:trPr>
          <w:trHeight w:val="240"/>
          <w:jc w:val="center"/>
        </w:trPr>
        <w:tc>
          <w:tcPr>
            <w:tcW w:w="1650" w:type="dxa"/>
            <w:tcBorders>
              <w:top w:val="nil"/>
              <w:left w:val="single" w:sz="4" w:space="0" w:color="auto"/>
              <w:bottom w:val="single" w:sz="4" w:space="0" w:color="auto"/>
              <w:right w:val="single" w:sz="4" w:space="0" w:color="auto"/>
            </w:tcBorders>
            <w:shd w:val="clear" w:color="auto" w:fill="auto"/>
            <w:noWrap/>
            <w:vAlign w:val="bottom"/>
            <w:hideMark/>
          </w:tcPr>
          <w:p w14:paraId="467608E4" w14:textId="77777777" w:rsidR="003D30B2" w:rsidRPr="00A43F68" w:rsidRDefault="003D30B2" w:rsidP="003D30B2">
            <w:pPr>
              <w:rPr>
                <w:rFonts w:ascii="Arial" w:eastAsia="SimSun" w:hAnsi="Arial" w:cs="Arial"/>
                <w:b/>
                <w:bCs/>
                <w:color w:val="000000"/>
                <w:sz w:val="19"/>
                <w:szCs w:val="19"/>
                <w:lang w:val="en-CA" w:eastAsia="zh-CN"/>
              </w:rPr>
            </w:pPr>
            <w:r w:rsidRPr="00A43F68">
              <w:rPr>
                <w:rFonts w:ascii="Arial" w:eastAsia="SimSun" w:hAnsi="Arial" w:cs="Arial"/>
                <w:b/>
                <w:bCs/>
                <w:color w:val="000000"/>
                <w:sz w:val="19"/>
                <w:szCs w:val="19"/>
                <w:lang w:val="en-CA" w:eastAsia="zh-CN"/>
              </w:rPr>
              <w:t>Total exports</w:t>
            </w:r>
          </w:p>
        </w:tc>
        <w:tc>
          <w:tcPr>
            <w:tcW w:w="1350" w:type="dxa"/>
            <w:tcBorders>
              <w:top w:val="nil"/>
              <w:left w:val="nil"/>
              <w:bottom w:val="single" w:sz="4" w:space="0" w:color="auto"/>
              <w:right w:val="single" w:sz="4" w:space="0" w:color="auto"/>
            </w:tcBorders>
            <w:shd w:val="clear" w:color="auto" w:fill="auto"/>
            <w:noWrap/>
            <w:vAlign w:val="bottom"/>
            <w:hideMark/>
          </w:tcPr>
          <w:p w14:paraId="393FEA32" w14:textId="77777777" w:rsidR="003D30B2" w:rsidRPr="00A43F68" w:rsidRDefault="003D30B2" w:rsidP="003D30B2">
            <w:pPr>
              <w:jc w:val="right"/>
              <w:rPr>
                <w:rFonts w:ascii="Arial" w:eastAsia="SimSun" w:hAnsi="Arial" w:cs="Arial"/>
                <w:color w:val="000000"/>
                <w:sz w:val="19"/>
                <w:szCs w:val="19"/>
                <w:lang w:val="en-CA" w:eastAsia="zh-CN"/>
              </w:rPr>
            </w:pPr>
            <w:r w:rsidRPr="00A43F68">
              <w:rPr>
                <w:rFonts w:ascii="Arial" w:eastAsia="SimSun" w:hAnsi="Arial" w:cs="Arial"/>
                <w:color w:val="000000"/>
                <w:sz w:val="19"/>
                <w:szCs w:val="19"/>
                <w:lang w:val="en-CA" w:eastAsia="zh-CN"/>
              </w:rPr>
              <w:t xml:space="preserve"> 13.7 </w:t>
            </w:r>
          </w:p>
        </w:tc>
        <w:tc>
          <w:tcPr>
            <w:tcW w:w="1260" w:type="dxa"/>
            <w:tcBorders>
              <w:top w:val="nil"/>
              <w:left w:val="nil"/>
              <w:bottom w:val="single" w:sz="4" w:space="0" w:color="auto"/>
              <w:right w:val="single" w:sz="4" w:space="0" w:color="auto"/>
            </w:tcBorders>
            <w:shd w:val="clear" w:color="auto" w:fill="auto"/>
            <w:noWrap/>
            <w:vAlign w:val="bottom"/>
            <w:hideMark/>
          </w:tcPr>
          <w:p w14:paraId="6408520F" w14:textId="2E49DA17" w:rsidR="003D30B2" w:rsidRPr="00A43F68" w:rsidRDefault="003D30B2" w:rsidP="003D30B2">
            <w:pPr>
              <w:jc w:val="right"/>
              <w:rPr>
                <w:rFonts w:ascii="Arial" w:eastAsia="SimSun" w:hAnsi="Arial" w:cs="Arial"/>
                <w:color w:val="000000"/>
                <w:sz w:val="19"/>
                <w:szCs w:val="19"/>
                <w:lang w:val="en-CA" w:eastAsia="zh-CN"/>
              </w:rPr>
            </w:pPr>
            <w:r w:rsidRPr="00A43F68">
              <w:rPr>
                <w:rFonts w:ascii="Arial" w:eastAsia="SimSun" w:hAnsi="Arial" w:cs="Arial"/>
                <w:color w:val="000000"/>
                <w:sz w:val="19"/>
                <w:szCs w:val="19"/>
                <w:lang w:val="en-CA" w:eastAsia="zh-CN"/>
              </w:rPr>
              <w:t xml:space="preserve"> 15.</w:t>
            </w:r>
            <w:r w:rsidR="00DC4821" w:rsidRPr="00A43F68">
              <w:rPr>
                <w:rFonts w:ascii="Arial" w:eastAsia="SimSun" w:hAnsi="Arial" w:cs="Arial"/>
                <w:color w:val="000000"/>
                <w:sz w:val="19"/>
                <w:szCs w:val="19"/>
                <w:lang w:val="en-CA" w:eastAsia="zh-CN"/>
              </w:rPr>
              <w:t>0</w:t>
            </w:r>
            <w:r w:rsidRPr="00A43F68">
              <w:rPr>
                <w:rFonts w:ascii="Arial" w:eastAsia="SimSun" w:hAnsi="Arial" w:cs="Arial"/>
                <w:color w:val="000000"/>
                <w:sz w:val="19"/>
                <w:szCs w:val="19"/>
                <w:lang w:val="en-CA" w:eastAsia="zh-CN"/>
              </w:rPr>
              <w:t xml:space="preserve"> </w:t>
            </w:r>
          </w:p>
        </w:tc>
        <w:tc>
          <w:tcPr>
            <w:tcW w:w="1170" w:type="dxa"/>
            <w:tcBorders>
              <w:top w:val="nil"/>
              <w:left w:val="nil"/>
              <w:bottom w:val="single" w:sz="4" w:space="0" w:color="auto"/>
              <w:right w:val="single" w:sz="4" w:space="0" w:color="auto"/>
            </w:tcBorders>
            <w:shd w:val="clear" w:color="auto" w:fill="auto"/>
            <w:noWrap/>
            <w:vAlign w:val="bottom"/>
            <w:hideMark/>
          </w:tcPr>
          <w:p w14:paraId="2E40F7BF" w14:textId="62406BAF" w:rsidR="003D30B2" w:rsidRPr="00A43F68" w:rsidRDefault="003D30B2" w:rsidP="003D30B2">
            <w:pPr>
              <w:jc w:val="right"/>
              <w:rPr>
                <w:rFonts w:ascii="Arial" w:eastAsia="SimSun" w:hAnsi="Arial" w:cs="Arial"/>
                <w:color w:val="000000"/>
                <w:sz w:val="19"/>
                <w:szCs w:val="19"/>
                <w:lang w:val="en-CA" w:eastAsia="zh-CN"/>
              </w:rPr>
            </w:pPr>
            <w:r w:rsidRPr="00A43F68">
              <w:rPr>
                <w:rFonts w:ascii="Arial" w:eastAsia="SimSun" w:hAnsi="Arial" w:cs="Arial"/>
                <w:color w:val="000000"/>
                <w:sz w:val="19"/>
                <w:szCs w:val="19"/>
                <w:lang w:val="en-CA" w:eastAsia="zh-CN"/>
              </w:rPr>
              <w:t xml:space="preserve"> 20.</w:t>
            </w:r>
            <w:r w:rsidR="00DC4821" w:rsidRPr="00A43F68">
              <w:rPr>
                <w:rFonts w:ascii="Arial" w:eastAsia="SimSun" w:hAnsi="Arial" w:cs="Arial"/>
                <w:color w:val="000000"/>
                <w:sz w:val="19"/>
                <w:szCs w:val="19"/>
                <w:lang w:val="en-CA" w:eastAsia="zh-CN"/>
              </w:rPr>
              <w:t>8</w:t>
            </w:r>
            <w:r w:rsidRPr="00A43F68">
              <w:rPr>
                <w:rFonts w:ascii="Arial" w:eastAsia="SimSun" w:hAnsi="Arial" w:cs="Arial"/>
                <w:color w:val="000000"/>
                <w:sz w:val="19"/>
                <w:szCs w:val="19"/>
                <w:lang w:val="en-CA" w:eastAsia="zh-CN"/>
              </w:rPr>
              <w:t xml:space="preserve"> </w:t>
            </w:r>
          </w:p>
        </w:tc>
      </w:tr>
      <w:tr w:rsidR="003D30B2" w:rsidRPr="00A43F68" w14:paraId="41630367" w14:textId="77777777" w:rsidTr="00A43F68">
        <w:trPr>
          <w:trHeight w:val="240"/>
          <w:jc w:val="center"/>
        </w:trPr>
        <w:tc>
          <w:tcPr>
            <w:tcW w:w="5430"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DE19021" w14:textId="77777777" w:rsidR="003D30B2" w:rsidRPr="00A43F68" w:rsidRDefault="003D30B2" w:rsidP="003D30B2">
            <w:pPr>
              <w:rPr>
                <w:rFonts w:ascii="Arial" w:eastAsia="SimSun" w:hAnsi="Arial" w:cs="Arial"/>
                <w:b/>
                <w:bCs/>
                <w:color w:val="000000"/>
                <w:sz w:val="19"/>
                <w:szCs w:val="19"/>
                <w:lang w:val="en-CA" w:eastAsia="zh-CN"/>
              </w:rPr>
            </w:pPr>
            <w:r w:rsidRPr="00A43F68">
              <w:rPr>
                <w:rFonts w:ascii="Arial" w:eastAsia="SimSun" w:hAnsi="Arial" w:cs="Arial"/>
                <w:b/>
                <w:bCs/>
                <w:color w:val="000000"/>
                <w:sz w:val="19"/>
                <w:szCs w:val="19"/>
                <w:lang w:val="en-CA" w:eastAsia="zh-CN"/>
              </w:rPr>
              <w:t>Vietnam</w:t>
            </w:r>
          </w:p>
        </w:tc>
      </w:tr>
      <w:tr w:rsidR="003D30B2" w:rsidRPr="00A43F68" w14:paraId="3A6B34C5" w14:textId="77777777" w:rsidTr="00A43F68">
        <w:trPr>
          <w:trHeight w:val="240"/>
          <w:jc w:val="center"/>
        </w:trPr>
        <w:tc>
          <w:tcPr>
            <w:tcW w:w="1650" w:type="dxa"/>
            <w:tcBorders>
              <w:top w:val="nil"/>
              <w:left w:val="single" w:sz="4" w:space="0" w:color="auto"/>
              <w:bottom w:val="single" w:sz="4" w:space="0" w:color="auto"/>
              <w:right w:val="single" w:sz="4" w:space="0" w:color="auto"/>
            </w:tcBorders>
            <w:shd w:val="clear" w:color="auto" w:fill="auto"/>
            <w:noWrap/>
            <w:vAlign w:val="bottom"/>
            <w:hideMark/>
          </w:tcPr>
          <w:p w14:paraId="0E864FDA" w14:textId="2D56937A" w:rsidR="003D30B2" w:rsidRPr="00A43F68" w:rsidRDefault="003D30B2" w:rsidP="003D30B2">
            <w:pPr>
              <w:rPr>
                <w:rFonts w:ascii="Arial" w:eastAsia="SimSun" w:hAnsi="Arial" w:cs="Arial"/>
                <w:color w:val="000000"/>
                <w:sz w:val="19"/>
                <w:szCs w:val="19"/>
                <w:lang w:val="en-CA" w:eastAsia="zh-CN"/>
              </w:rPr>
            </w:pPr>
            <w:r w:rsidRPr="00A43F68">
              <w:rPr>
                <w:rFonts w:ascii="Arial" w:eastAsia="SimSun" w:hAnsi="Arial" w:cs="Arial"/>
                <w:color w:val="000000"/>
                <w:sz w:val="19"/>
                <w:szCs w:val="19"/>
                <w:lang w:val="en-CA" w:eastAsia="zh-CN"/>
              </w:rPr>
              <w:t>Salmonids</w:t>
            </w:r>
          </w:p>
        </w:tc>
        <w:tc>
          <w:tcPr>
            <w:tcW w:w="1350" w:type="dxa"/>
            <w:tcBorders>
              <w:top w:val="nil"/>
              <w:left w:val="nil"/>
              <w:bottom w:val="single" w:sz="4" w:space="0" w:color="auto"/>
              <w:right w:val="single" w:sz="4" w:space="0" w:color="auto"/>
            </w:tcBorders>
            <w:shd w:val="clear" w:color="auto" w:fill="auto"/>
            <w:noWrap/>
            <w:vAlign w:val="bottom"/>
            <w:hideMark/>
          </w:tcPr>
          <w:p w14:paraId="51B211F8" w14:textId="77777777" w:rsidR="003D30B2" w:rsidRPr="00A43F68" w:rsidRDefault="003D30B2" w:rsidP="003D30B2">
            <w:pPr>
              <w:jc w:val="right"/>
              <w:rPr>
                <w:rFonts w:ascii="Arial" w:eastAsia="SimSun" w:hAnsi="Arial" w:cs="Arial"/>
                <w:color w:val="000000"/>
                <w:sz w:val="19"/>
                <w:szCs w:val="19"/>
                <w:lang w:val="en-CA" w:eastAsia="zh-CN"/>
              </w:rPr>
            </w:pPr>
            <w:r w:rsidRPr="00A43F68">
              <w:rPr>
                <w:rFonts w:ascii="Arial" w:eastAsia="SimSun" w:hAnsi="Arial" w:cs="Arial"/>
                <w:color w:val="000000"/>
                <w:sz w:val="19"/>
                <w:szCs w:val="19"/>
                <w:lang w:val="en-CA" w:eastAsia="zh-CN"/>
              </w:rPr>
              <w:t xml:space="preserve"> 0.1 </w:t>
            </w:r>
          </w:p>
        </w:tc>
        <w:tc>
          <w:tcPr>
            <w:tcW w:w="1260" w:type="dxa"/>
            <w:tcBorders>
              <w:top w:val="nil"/>
              <w:left w:val="nil"/>
              <w:bottom w:val="single" w:sz="4" w:space="0" w:color="auto"/>
              <w:right w:val="single" w:sz="4" w:space="0" w:color="auto"/>
            </w:tcBorders>
            <w:shd w:val="clear" w:color="auto" w:fill="auto"/>
            <w:noWrap/>
            <w:vAlign w:val="bottom"/>
            <w:hideMark/>
          </w:tcPr>
          <w:p w14:paraId="376844A4" w14:textId="77777777" w:rsidR="003D30B2" w:rsidRPr="00A43F68" w:rsidRDefault="003D30B2" w:rsidP="003D30B2">
            <w:pPr>
              <w:jc w:val="right"/>
              <w:rPr>
                <w:rFonts w:ascii="Arial" w:eastAsia="SimSun" w:hAnsi="Arial" w:cs="Arial"/>
                <w:color w:val="000000"/>
                <w:sz w:val="19"/>
                <w:szCs w:val="19"/>
                <w:lang w:val="en-CA" w:eastAsia="zh-CN"/>
              </w:rPr>
            </w:pPr>
            <w:r w:rsidRPr="00A43F68">
              <w:rPr>
                <w:rFonts w:ascii="Arial" w:eastAsia="SimSun" w:hAnsi="Arial" w:cs="Arial"/>
                <w:color w:val="000000"/>
                <w:sz w:val="19"/>
                <w:szCs w:val="19"/>
                <w:lang w:val="en-CA" w:eastAsia="zh-CN"/>
              </w:rPr>
              <w:t xml:space="preserve"> 0.1 </w:t>
            </w:r>
          </w:p>
        </w:tc>
        <w:tc>
          <w:tcPr>
            <w:tcW w:w="1170" w:type="dxa"/>
            <w:tcBorders>
              <w:top w:val="nil"/>
              <w:left w:val="nil"/>
              <w:bottom w:val="single" w:sz="4" w:space="0" w:color="auto"/>
              <w:right w:val="single" w:sz="4" w:space="0" w:color="auto"/>
            </w:tcBorders>
            <w:shd w:val="clear" w:color="auto" w:fill="auto"/>
            <w:noWrap/>
            <w:vAlign w:val="bottom"/>
            <w:hideMark/>
          </w:tcPr>
          <w:p w14:paraId="361E107C" w14:textId="77777777" w:rsidR="003D30B2" w:rsidRPr="00A43F68" w:rsidRDefault="003D30B2" w:rsidP="003D30B2">
            <w:pPr>
              <w:jc w:val="right"/>
              <w:rPr>
                <w:rFonts w:ascii="Arial" w:eastAsia="SimSun" w:hAnsi="Arial" w:cs="Arial"/>
                <w:color w:val="000000"/>
                <w:sz w:val="19"/>
                <w:szCs w:val="19"/>
                <w:lang w:val="en-CA" w:eastAsia="zh-CN"/>
              </w:rPr>
            </w:pPr>
            <w:r w:rsidRPr="00A43F68">
              <w:rPr>
                <w:rFonts w:ascii="Arial" w:eastAsia="SimSun" w:hAnsi="Arial" w:cs="Arial"/>
                <w:color w:val="000000"/>
                <w:sz w:val="19"/>
                <w:szCs w:val="19"/>
                <w:lang w:val="en-CA" w:eastAsia="zh-CN"/>
              </w:rPr>
              <w:t xml:space="preserve"> 3.3 </w:t>
            </w:r>
          </w:p>
        </w:tc>
      </w:tr>
      <w:tr w:rsidR="003D30B2" w:rsidRPr="00A43F68" w14:paraId="683098C9" w14:textId="77777777" w:rsidTr="00A43F68">
        <w:trPr>
          <w:trHeight w:val="240"/>
          <w:jc w:val="center"/>
        </w:trPr>
        <w:tc>
          <w:tcPr>
            <w:tcW w:w="1650" w:type="dxa"/>
            <w:tcBorders>
              <w:top w:val="nil"/>
              <w:left w:val="single" w:sz="4" w:space="0" w:color="auto"/>
              <w:bottom w:val="single" w:sz="4" w:space="0" w:color="auto"/>
              <w:right w:val="single" w:sz="4" w:space="0" w:color="auto"/>
            </w:tcBorders>
            <w:shd w:val="clear" w:color="auto" w:fill="auto"/>
            <w:noWrap/>
            <w:vAlign w:val="bottom"/>
            <w:hideMark/>
          </w:tcPr>
          <w:p w14:paraId="3DD44D99" w14:textId="394DD7A2" w:rsidR="003D30B2" w:rsidRPr="00A43F68" w:rsidRDefault="003D30B2" w:rsidP="003D30B2">
            <w:pPr>
              <w:rPr>
                <w:rFonts w:ascii="Arial" w:eastAsia="SimSun" w:hAnsi="Arial" w:cs="Arial"/>
                <w:color w:val="000000"/>
                <w:sz w:val="19"/>
                <w:szCs w:val="19"/>
                <w:lang w:val="en-CA" w:eastAsia="zh-CN"/>
              </w:rPr>
            </w:pPr>
            <w:r w:rsidRPr="00A43F68">
              <w:rPr>
                <w:rFonts w:ascii="Arial" w:eastAsia="SimSun" w:hAnsi="Arial" w:cs="Arial"/>
                <w:color w:val="000000"/>
                <w:sz w:val="19"/>
                <w:szCs w:val="19"/>
                <w:lang w:val="en-CA" w:eastAsia="zh-CN"/>
              </w:rPr>
              <w:t>Other seafood</w:t>
            </w:r>
          </w:p>
        </w:tc>
        <w:tc>
          <w:tcPr>
            <w:tcW w:w="1350" w:type="dxa"/>
            <w:tcBorders>
              <w:top w:val="nil"/>
              <w:left w:val="nil"/>
              <w:bottom w:val="single" w:sz="4" w:space="0" w:color="auto"/>
              <w:right w:val="single" w:sz="4" w:space="0" w:color="auto"/>
            </w:tcBorders>
            <w:shd w:val="clear" w:color="auto" w:fill="auto"/>
            <w:noWrap/>
            <w:vAlign w:val="bottom"/>
            <w:hideMark/>
          </w:tcPr>
          <w:p w14:paraId="14B1ACDE" w14:textId="77777777" w:rsidR="003D30B2" w:rsidRPr="00A43F68" w:rsidRDefault="003D30B2" w:rsidP="003D30B2">
            <w:pPr>
              <w:jc w:val="right"/>
              <w:rPr>
                <w:rFonts w:ascii="Arial" w:eastAsia="SimSun" w:hAnsi="Arial" w:cs="Arial"/>
                <w:color w:val="000000"/>
                <w:sz w:val="19"/>
                <w:szCs w:val="19"/>
                <w:lang w:val="en-CA" w:eastAsia="zh-CN"/>
              </w:rPr>
            </w:pPr>
            <w:r w:rsidRPr="00A43F68">
              <w:rPr>
                <w:rFonts w:ascii="Arial" w:eastAsia="SimSun" w:hAnsi="Arial" w:cs="Arial"/>
                <w:color w:val="000000"/>
                <w:sz w:val="19"/>
                <w:szCs w:val="19"/>
                <w:lang w:val="en-CA" w:eastAsia="zh-CN"/>
              </w:rPr>
              <w:t xml:space="preserve"> 565.5 </w:t>
            </w:r>
          </w:p>
        </w:tc>
        <w:tc>
          <w:tcPr>
            <w:tcW w:w="1260" w:type="dxa"/>
            <w:tcBorders>
              <w:top w:val="nil"/>
              <w:left w:val="nil"/>
              <w:bottom w:val="single" w:sz="4" w:space="0" w:color="auto"/>
              <w:right w:val="single" w:sz="4" w:space="0" w:color="auto"/>
            </w:tcBorders>
            <w:shd w:val="clear" w:color="auto" w:fill="auto"/>
            <w:noWrap/>
            <w:vAlign w:val="bottom"/>
            <w:hideMark/>
          </w:tcPr>
          <w:p w14:paraId="7F4182A8" w14:textId="77777777" w:rsidR="003D30B2" w:rsidRPr="00A43F68" w:rsidRDefault="003D30B2" w:rsidP="003D30B2">
            <w:pPr>
              <w:jc w:val="right"/>
              <w:rPr>
                <w:rFonts w:ascii="Arial" w:eastAsia="SimSun" w:hAnsi="Arial" w:cs="Arial"/>
                <w:color w:val="000000"/>
                <w:sz w:val="19"/>
                <w:szCs w:val="19"/>
                <w:lang w:val="en-CA" w:eastAsia="zh-CN"/>
              </w:rPr>
            </w:pPr>
            <w:r w:rsidRPr="00A43F68">
              <w:rPr>
                <w:rFonts w:ascii="Arial" w:eastAsia="SimSun" w:hAnsi="Arial" w:cs="Arial"/>
                <w:color w:val="000000"/>
                <w:sz w:val="19"/>
                <w:szCs w:val="19"/>
                <w:lang w:val="en-CA" w:eastAsia="zh-CN"/>
              </w:rPr>
              <w:t xml:space="preserve"> 715.5 </w:t>
            </w:r>
          </w:p>
        </w:tc>
        <w:tc>
          <w:tcPr>
            <w:tcW w:w="1170" w:type="dxa"/>
            <w:tcBorders>
              <w:top w:val="nil"/>
              <w:left w:val="nil"/>
              <w:bottom w:val="single" w:sz="4" w:space="0" w:color="auto"/>
              <w:right w:val="single" w:sz="4" w:space="0" w:color="auto"/>
            </w:tcBorders>
            <w:shd w:val="clear" w:color="auto" w:fill="auto"/>
            <w:noWrap/>
            <w:vAlign w:val="bottom"/>
            <w:hideMark/>
          </w:tcPr>
          <w:p w14:paraId="0F3E6836" w14:textId="77777777" w:rsidR="003D30B2" w:rsidRPr="00A43F68" w:rsidRDefault="003D30B2" w:rsidP="003D30B2">
            <w:pPr>
              <w:jc w:val="right"/>
              <w:rPr>
                <w:rFonts w:ascii="Arial" w:eastAsia="SimSun" w:hAnsi="Arial" w:cs="Arial"/>
                <w:color w:val="000000"/>
                <w:sz w:val="19"/>
                <w:szCs w:val="19"/>
                <w:lang w:val="en-CA" w:eastAsia="zh-CN"/>
              </w:rPr>
            </w:pPr>
            <w:r w:rsidRPr="00A43F68">
              <w:rPr>
                <w:rFonts w:ascii="Arial" w:eastAsia="SimSun" w:hAnsi="Arial" w:cs="Arial"/>
                <w:color w:val="000000"/>
                <w:sz w:val="19"/>
                <w:szCs w:val="19"/>
                <w:lang w:val="en-CA" w:eastAsia="zh-CN"/>
              </w:rPr>
              <w:t xml:space="preserve"> 678.4 </w:t>
            </w:r>
          </w:p>
        </w:tc>
      </w:tr>
      <w:tr w:rsidR="003D30B2" w:rsidRPr="00A43F68" w14:paraId="0F059F1E" w14:textId="77777777" w:rsidTr="00A43F68">
        <w:trPr>
          <w:trHeight w:val="240"/>
          <w:jc w:val="center"/>
        </w:trPr>
        <w:tc>
          <w:tcPr>
            <w:tcW w:w="1650" w:type="dxa"/>
            <w:tcBorders>
              <w:top w:val="nil"/>
              <w:left w:val="single" w:sz="4" w:space="0" w:color="auto"/>
              <w:bottom w:val="single" w:sz="4" w:space="0" w:color="auto"/>
              <w:right w:val="single" w:sz="4" w:space="0" w:color="auto"/>
            </w:tcBorders>
            <w:shd w:val="clear" w:color="auto" w:fill="auto"/>
            <w:noWrap/>
            <w:vAlign w:val="bottom"/>
            <w:hideMark/>
          </w:tcPr>
          <w:p w14:paraId="2B624790" w14:textId="77777777" w:rsidR="003D30B2" w:rsidRPr="00A43F68" w:rsidRDefault="003D30B2" w:rsidP="003D30B2">
            <w:pPr>
              <w:rPr>
                <w:rFonts w:ascii="Arial" w:eastAsia="SimSun" w:hAnsi="Arial" w:cs="Arial"/>
                <w:b/>
                <w:bCs/>
                <w:color w:val="000000"/>
                <w:sz w:val="19"/>
                <w:szCs w:val="19"/>
                <w:lang w:val="en-CA" w:eastAsia="zh-CN"/>
              </w:rPr>
            </w:pPr>
            <w:r w:rsidRPr="00A43F68">
              <w:rPr>
                <w:rFonts w:ascii="Arial" w:eastAsia="SimSun" w:hAnsi="Arial" w:cs="Arial"/>
                <w:b/>
                <w:bCs/>
                <w:color w:val="000000"/>
                <w:sz w:val="19"/>
                <w:szCs w:val="19"/>
                <w:lang w:val="en-CA" w:eastAsia="zh-CN"/>
              </w:rPr>
              <w:t>Total exports</w:t>
            </w:r>
          </w:p>
        </w:tc>
        <w:tc>
          <w:tcPr>
            <w:tcW w:w="1350" w:type="dxa"/>
            <w:tcBorders>
              <w:top w:val="nil"/>
              <w:left w:val="nil"/>
              <w:bottom w:val="single" w:sz="4" w:space="0" w:color="auto"/>
              <w:right w:val="single" w:sz="4" w:space="0" w:color="auto"/>
            </w:tcBorders>
            <w:shd w:val="clear" w:color="auto" w:fill="auto"/>
            <w:noWrap/>
            <w:vAlign w:val="bottom"/>
            <w:hideMark/>
          </w:tcPr>
          <w:p w14:paraId="74603268" w14:textId="77777777" w:rsidR="003D30B2" w:rsidRPr="00A43F68" w:rsidRDefault="003D30B2" w:rsidP="003D30B2">
            <w:pPr>
              <w:jc w:val="right"/>
              <w:rPr>
                <w:rFonts w:ascii="Arial" w:eastAsia="SimSun" w:hAnsi="Arial" w:cs="Arial"/>
                <w:color w:val="000000"/>
                <w:sz w:val="19"/>
                <w:szCs w:val="19"/>
                <w:lang w:val="en-CA" w:eastAsia="zh-CN"/>
              </w:rPr>
            </w:pPr>
            <w:r w:rsidRPr="00A43F68">
              <w:rPr>
                <w:rFonts w:ascii="Arial" w:eastAsia="SimSun" w:hAnsi="Arial" w:cs="Arial"/>
                <w:color w:val="000000"/>
                <w:sz w:val="19"/>
                <w:szCs w:val="19"/>
                <w:lang w:val="en-CA" w:eastAsia="zh-CN"/>
              </w:rPr>
              <w:t xml:space="preserve"> 565.6 </w:t>
            </w:r>
          </w:p>
        </w:tc>
        <w:tc>
          <w:tcPr>
            <w:tcW w:w="1260" w:type="dxa"/>
            <w:tcBorders>
              <w:top w:val="nil"/>
              <w:left w:val="nil"/>
              <w:bottom w:val="single" w:sz="4" w:space="0" w:color="auto"/>
              <w:right w:val="single" w:sz="4" w:space="0" w:color="auto"/>
            </w:tcBorders>
            <w:shd w:val="clear" w:color="auto" w:fill="auto"/>
            <w:noWrap/>
            <w:vAlign w:val="bottom"/>
            <w:hideMark/>
          </w:tcPr>
          <w:p w14:paraId="297AAA7B" w14:textId="77777777" w:rsidR="003D30B2" w:rsidRPr="00A43F68" w:rsidRDefault="003D30B2" w:rsidP="003D30B2">
            <w:pPr>
              <w:jc w:val="right"/>
              <w:rPr>
                <w:rFonts w:ascii="Arial" w:eastAsia="SimSun" w:hAnsi="Arial" w:cs="Arial"/>
                <w:color w:val="000000"/>
                <w:sz w:val="19"/>
                <w:szCs w:val="19"/>
                <w:lang w:val="en-CA" w:eastAsia="zh-CN"/>
              </w:rPr>
            </w:pPr>
            <w:r w:rsidRPr="00A43F68">
              <w:rPr>
                <w:rFonts w:ascii="Arial" w:eastAsia="SimSun" w:hAnsi="Arial" w:cs="Arial"/>
                <w:color w:val="000000"/>
                <w:sz w:val="19"/>
                <w:szCs w:val="19"/>
                <w:lang w:val="en-CA" w:eastAsia="zh-CN"/>
              </w:rPr>
              <w:t xml:space="preserve"> 715.6 </w:t>
            </w:r>
          </w:p>
        </w:tc>
        <w:tc>
          <w:tcPr>
            <w:tcW w:w="1170" w:type="dxa"/>
            <w:tcBorders>
              <w:top w:val="nil"/>
              <w:left w:val="nil"/>
              <w:bottom w:val="single" w:sz="4" w:space="0" w:color="auto"/>
              <w:right w:val="single" w:sz="4" w:space="0" w:color="auto"/>
            </w:tcBorders>
            <w:shd w:val="clear" w:color="auto" w:fill="auto"/>
            <w:noWrap/>
            <w:vAlign w:val="bottom"/>
            <w:hideMark/>
          </w:tcPr>
          <w:p w14:paraId="61EAFD55" w14:textId="77777777" w:rsidR="003D30B2" w:rsidRPr="00A43F68" w:rsidRDefault="003D30B2" w:rsidP="003D30B2">
            <w:pPr>
              <w:jc w:val="right"/>
              <w:rPr>
                <w:rFonts w:ascii="Arial" w:eastAsia="SimSun" w:hAnsi="Arial" w:cs="Arial"/>
                <w:color w:val="000000"/>
                <w:sz w:val="19"/>
                <w:szCs w:val="19"/>
                <w:lang w:val="en-CA" w:eastAsia="zh-CN"/>
              </w:rPr>
            </w:pPr>
            <w:r w:rsidRPr="00A43F68">
              <w:rPr>
                <w:rFonts w:ascii="Arial" w:eastAsia="SimSun" w:hAnsi="Arial" w:cs="Arial"/>
                <w:color w:val="000000"/>
                <w:sz w:val="19"/>
                <w:szCs w:val="19"/>
                <w:lang w:val="en-CA" w:eastAsia="zh-CN"/>
              </w:rPr>
              <w:t xml:space="preserve"> 681.7 </w:t>
            </w:r>
          </w:p>
        </w:tc>
      </w:tr>
      <w:tr w:rsidR="003D30B2" w:rsidRPr="00A43F68" w14:paraId="0FF7FC89" w14:textId="77777777" w:rsidTr="00A43F68">
        <w:trPr>
          <w:trHeight w:val="240"/>
          <w:jc w:val="center"/>
        </w:trPr>
        <w:tc>
          <w:tcPr>
            <w:tcW w:w="5430"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5B5F153" w14:textId="77777777" w:rsidR="003D30B2" w:rsidRPr="00A43F68" w:rsidRDefault="003D30B2" w:rsidP="003D30B2">
            <w:pPr>
              <w:rPr>
                <w:rFonts w:ascii="Arial" w:eastAsia="SimSun" w:hAnsi="Arial" w:cs="Arial"/>
                <w:b/>
                <w:bCs/>
                <w:color w:val="000000"/>
                <w:sz w:val="19"/>
                <w:szCs w:val="19"/>
                <w:lang w:val="en-CA" w:eastAsia="zh-CN"/>
              </w:rPr>
            </w:pPr>
            <w:r w:rsidRPr="00A43F68">
              <w:rPr>
                <w:rFonts w:ascii="Arial" w:eastAsia="SimSun" w:hAnsi="Arial" w:cs="Arial"/>
                <w:b/>
                <w:bCs/>
                <w:color w:val="000000"/>
                <w:sz w:val="19"/>
                <w:szCs w:val="19"/>
                <w:lang w:val="en-CA" w:eastAsia="zh-CN"/>
              </w:rPr>
              <w:t>United States</w:t>
            </w:r>
          </w:p>
        </w:tc>
      </w:tr>
      <w:tr w:rsidR="003D30B2" w:rsidRPr="00A43F68" w14:paraId="76757647" w14:textId="77777777" w:rsidTr="00A43F68">
        <w:trPr>
          <w:trHeight w:val="240"/>
          <w:jc w:val="center"/>
        </w:trPr>
        <w:tc>
          <w:tcPr>
            <w:tcW w:w="1650" w:type="dxa"/>
            <w:tcBorders>
              <w:top w:val="nil"/>
              <w:left w:val="single" w:sz="4" w:space="0" w:color="auto"/>
              <w:bottom w:val="single" w:sz="4" w:space="0" w:color="auto"/>
              <w:right w:val="single" w:sz="4" w:space="0" w:color="auto"/>
            </w:tcBorders>
            <w:shd w:val="clear" w:color="auto" w:fill="auto"/>
            <w:noWrap/>
            <w:vAlign w:val="bottom"/>
            <w:hideMark/>
          </w:tcPr>
          <w:p w14:paraId="379FBF27" w14:textId="50FFB78D" w:rsidR="003D30B2" w:rsidRPr="00A43F68" w:rsidRDefault="003D30B2" w:rsidP="003D30B2">
            <w:pPr>
              <w:rPr>
                <w:rFonts w:ascii="Arial" w:eastAsia="SimSun" w:hAnsi="Arial" w:cs="Arial"/>
                <w:color w:val="000000"/>
                <w:sz w:val="19"/>
                <w:szCs w:val="19"/>
                <w:lang w:val="en-CA" w:eastAsia="zh-CN"/>
              </w:rPr>
            </w:pPr>
            <w:r w:rsidRPr="00A43F68">
              <w:rPr>
                <w:rFonts w:ascii="Arial" w:eastAsia="SimSun" w:hAnsi="Arial" w:cs="Arial"/>
                <w:color w:val="000000"/>
                <w:sz w:val="19"/>
                <w:szCs w:val="19"/>
                <w:lang w:val="en-CA" w:eastAsia="zh-CN"/>
              </w:rPr>
              <w:t>Salmonids</w:t>
            </w:r>
          </w:p>
        </w:tc>
        <w:tc>
          <w:tcPr>
            <w:tcW w:w="1350" w:type="dxa"/>
            <w:tcBorders>
              <w:top w:val="nil"/>
              <w:left w:val="nil"/>
              <w:bottom w:val="single" w:sz="4" w:space="0" w:color="auto"/>
              <w:right w:val="single" w:sz="4" w:space="0" w:color="auto"/>
            </w:tcBorders>
            <w:shd w:val="clear" w:color="auto" w:fill="auto"/>
            <w:noWrap/>
            <w:vAlign w:val="bottom"/>
            <w:hideMark/>
          </w:tcPr>
          <w:p w14:paraId="06751B88" w14:textId="77777777" w:rsidR="003D30B2" w:rsidRPr="00A43F68" w:rsidRDefault="003D30B2" w:rsidP="003D30B2">
            <w:pPr>
              <w:jc w:val="right"/>
              <w:rPr>
                <w:rFonts w:ascii="Arial" w:eastAsia="SimSun" w:hAnsi="Arial" w:cs="Arial"/>
                <w:color w:val="000000"/>
                <w:sz w:val="19"/>
                <w:szCs w:val="19"/>
                <w:lang w:val="en-CA" w:eastAsia="zh-CN"/>
              </w:rPr>
            </w:pPr>
            <w:r w:rsidRPr="00A43F68">
              <w:rPr>
                <w:rFonts w:ascii="Arial" w:eastAsia="SimSun" w:hAnsi="Arial" w:cs="Arial"/>
                <w:color w:val="000000"/>
                <w:sz w:val="19"/>
                <w:szCs w:val="19"/>
                <w:lang w:val="en-CA" w:eastAsia="zh-CN"/>
              </w:rPr>
              <w:t xml:space="preserve"> 0.5 </w:t>
            </w:r>
          </w:p>
        </w:tc>
        <w:tc>
          <w:tcPr>
            <w:tcW w:w="1260" w:type="dxa"/>
            <w:tcBorders>
              <w:top w:val="nil"/>
              <w:left w:val="nil"/>
              <w:bottom w:val="single" w:sz="4" w:space="0" w:color="auto"/>
              <w:right w:val="single" w:sz="4" w:space="0" w:color="auto"/>
            </w:tcBorders>
            <w:shd w:val="clear" w:color="auto" w:fill="auto"/>
            <w:noWrap/>
            <w:vAlign w:val="bottom"/>
            <w:hideMark/>
          </w:tcPr>
          <w:p w14:paraId="55ADD425" w14:textId="77777777" w:rsidR="003D30B2" w:rsidRPr="00A43F68" w:rsidRDefault="003D30B2" w:rsidP="003D30B2">
            <w:pPr>
              <w:jc w:val="right"/>
              <w:rPr>
                <w:rFonts w:ascii="Arial" w:eastAsia="SimSun" w:hAnsi="Arial" w:cs="Arial"/>
                <w:color w:val="000000"/>
                <w:sz w:val="19"/>
                <w:szCs w:val="19"/>
                <w:lang w:val="en-CA" w:eastAsia="zh-CN"/>
              </w:rPr>
            </w:pPr>
            <w:r w:rsidRPr="00A43F68">
              <w:rPr>
                <w:rFonts w:ascii="Arial" w:eastAsia="SimSun" w:hAnsi="Arial" w:cs="Arial"/>
                <w:color w:val="000000"/>
                <w:sz w:val="19"/>
                <w:szCs w:val="19"/>
                <w:lang w:val="en-CA" w:eastAsia="zh-CN"/>
              </w:rPr>
              <w:t xml:space="preserve"> 0.7 </w:t>
            </w:r>
          </w:p>
        </w:tc>
        <w:tc>
          <w:tcPr>
            <w:tcW w:w="1170" w:type="dxa"/>
            <w:tcBorders>
              <w:top w:val="nil"/>
              <w:left w:val="nil"/>
              <w:bottom w:val="single" w:sz="4" w:space="0" w:color="auto"/>
              <w:right w:val="single" w:sz="4" w:space="0" w:color="auto"/>
            </w:tcBorders>
            <w:shd w:val="clear" w:color="auto" w:fill="auto"/>
            <w:noWrap/>
            <w:vAlign w:val="bottom"/>
            <w:hideMark/>
          </w:tcPr>
          <w:p w14:paraId="08B081EF" w14:textId="77777777" w:rsidR="003D30B2" w:rsidRPr="00A43F68" w:rsidRDefault="003D30B2" w:rsidP="003D30B2">
            <w:pPr>
              <w:jc w:val="right"/>
              <w:rPr>
                <w:rFonts w:ascii="Arial" w:eastAsia="SimSun" w:hAnsi="Arial" w:cs="Arial"/>
                <w:color w:val="000000"/>
                <w:sz w:val="19"/>
                <w:szCs w:val="19"/>
                <w:lang w:val="en-CA" w:eastAsia="zh-CN"/>
              </w:rPr>
            </w:pPr>
            <w:r w:rsidRPr="00A43F68">
              <w:rPr>
                <w:rFonts w:ascii="Arial" w:eastAsia="SimSun" w:hAnsi="Arial" w:cs="Arial"/>
                <w:color w:val="000000"/>
                <w:sz w:val="19"/>
                <w:szCs w:val="19"/>
                <w:lang w:val="en-CA" w:eastAsia="zh-CN"/>
              </w:rPr>
              <w:t xml:space="preserve"> 0.6 </w:t>
            </w:r>
          </w:p>
        </w:tc>
      </w:tr>
      <w:tr w:rsidR="003D30B2" w:rsidRPr="00A43F68" w14:paraId="21436380" w14:textId="77777777" w:rsidTr="00A43F68">
        <w:trPr>
          <w:trHeight w:val="240"/>
          <w:jc w:val="center"/>
        </w:trPr>
        <w:tc>
          <w:tcPr>
            <w:tcW w:w="1650" w:type="dxa"/>
            <w:tcBorders>
              <w:top w:val="nil"/>
              <w:left w:val="single" w:sz="4" w:space="0" w:color="auto"/>
              <w:bottom w:val="single" w:sz="4" w:space="0" w:color="auto"/>
              <w:right w:val="single" w:sz="4" w:space="0" w:color="auto"/>
            </w:tcBorders>
            <w:shd w:val="clear" w:color="auto" w:fill="auto"/>
            <w:noWrap/>
            <w:vAlign w:val="bottom"/>
            <w:hideMark/>
          </w:tcPr>
          <w:p w14:paraId="13477470" w14:textId="57F71311" w:rsidR="003D30B2" w:rsidRPr="00A43F68" w:rsidRDefault="003D30B2" w:rsidP="003D30B2">
            <w:pPr>
              <w:rPr>
                <w:rFonts w:ascii="Arial" w:eastAsia="SimSun" w:hAnsi="Arial" w:cs="Arial"/>
                <w:color w:val="000000"/>
                <w:sz w:val="19"/>
                <w:szCs w:val="19"/>
                <w:lang w:val="en-CA" w:eastAsia="zh-CN"/>
              </w:rPr>
            </w:pPr>
            <w:r w:rsidRPr="00A43F68">
              <w:rPr>
                <w:rFonts w:ascii="Arial" w:eastAsia="SimSun" w:hAnsi="Arial" w:cs="Arial"/>
                <w:color w:val="000000"/>
                <w:sz w:val="19"/>
                <w:szCs w:val="19"/>
                <w:lang w:val="en-CA" w:eastAsia="zh-CN"/>
              </w:rPr>
              <w:t>Other seafood</w:t>
            </w:r>
          </w:p>
        </w:tc>
        <w:tc>
          <w:tcPr>
            <w:tcW w:w="1350" w:type="dxa"/>
            <w:tcBorders>
              <w:top w:val="nil"/>
              <w:left w:val="nil"/>
              <w:bottom w:val="single" w:sz="4" w:space="0" w:color="auto"/>
              <w:right w:val="single" w:sz="4" w:space="0" w:color="auto"/>
            </w:tcBorders>
            <w:shd w:val="clear" w:color="auto" w:fill="auto"/>
            <w:noWrap/>
            <w:vAlign w:val="bottom"/>
            <w:hideMark/>
          </w:tcPr>
          <w:p w14:paraId="374A9CDE" w14:textId="77777777" w:rsidR="003D30B2" w:rsidRPr="00A43F68" w:rsidRDefault="003D30B2" w:rsidP="003D30B2">
            <w:pPr>
              <w:jc w:val="right"/>
              <w:rPr>
                <w:rFonts w:ascii="Arial" w:eastAsia="SimSun" w:hAnsi="Arial" w:cs="Arial"/>
                <w:color w:val="000000"/>
                <w:sz w:val="19"/>
                <w:szCs w:val="19"/>
                <w:lang w:val="en-CA" w:eastAsia="zh-CN"/>
              </w:rPr>
            </w:pPr>
            <w:r w:rsidRPr="00A43F68">
              <w:rPr>
                <w:rFonts w:ascii="Arial" w:eastAsia="SimSun" w:hAnsi="Arial" w:cs="Arial"/>
                <w:color w:val="000000"/>
                <w:sz w:val="19"/>
                <w:szCs w:val="19"/>
                <w:lang w:val="en-CA" w:eastAsia="zh-CN"/>
              </w:rPr>
              <w:t xml:space="preserve"> 21.5 </w:t>
            </w:r>
          </w:p>
        </w:tc>
        <w:tc>
          <w:tcPr>
            <w:tcW w:w="1260" w:type="dxa"/>
            <w:tcBorders>
              <w:top w:val="nil"/>
              <w:left w:val="nil"/>
              <w:bottom w:val="single" w:sz="4" w:space="0" w:color="auto"/>
              <w:right w:val="single" w:sz="4" w:space="0" w:color="auto"/>
            </w:tcBorders>
            <w:shd w:val="clear" w:color="auto" w:fill="auto"/>
            <w:noWrap/>
            <w:vAlign w:val="bottom"/>
            <w:hideMark/>
          </w:tcPr>
          <w:p w14:paraId="4470C29F" w14:textId="77777777" w:rsidR="003D30B2" w:rsidRPr="00A43F68" w:rsidRDefault="003D30B2" w:rsidP="003D30B2">
            <w:pPr>
              <w:jc w:val="right"/>
              <w:rPr>
                <w:rFonts w:ascii="Arial" w:eastAsia="SimSun" w:hAnsi="Arial" w:cs="Arial"/>
                <w:color w:val="000000"/>
                <w:sz w:val="19"/>
                <w:szCs w:val="19"/>
                <w:lang w:val="en-CA" w:eastAsia="zh-CN"/>
              </w:rPr>
            </w:pPr>
            <w:r w:rsidRPr="00A43F68">
              <w:rPr>
                <w:rFonts w:ascii="Arial" w:eastAsia="SimSun" w:hAnsi="Arial" w:cs="Arial"/>
                <w:color w:val="000000"/>
                <w:sz w:val="19"/>
                <w:szCs w:val="19"/>
                <w:lang w:val="en-CA" w:eastAsia="zh-CN"/>
              </w:rPr>
              <w:t xml:space="preserve"> 27.2 </w:t>
            </w:r>
          </w:p>
        </w:tc>
        <w:tc>
          <w:tcPr>
            <w:tcW w:w="1170" w:type="dxa"/>
            <w:tcBorders>
              <w:top w:val="nil"/>
              <w:left w:val="nil"/>
              <w:bottom w:val="single" w:sz="4" w:space="0" w:color="auto"/>
              <w:right w:val="single" w:sz="4" w:space="0" w:color="auto"/>
            </w:tcBorders>
            <w:shd w:val="clear" w:color="auto" w:fill="auto"/>
            <w:noWrap/>
            <w:vAlign w:val="bottom"/>
            <w:hideMark/>
          </w:tcPr>
          <w:p w14:paraId="34E71CAA" w14:textId="77777777" w:rsidR="003D30B2" w:rsidRPr="00A43F68" w:rsidRDefault="003D30B2" w:rsidP="003D30B2">
            <w:pPr>
              <w:jc w:val="right"/>
              <w:rPr>
                <w:rFonts w:ascii="Arial" w:eastAsia="SimSun" w:hAnsi="Arial" w:cs="Arial"/>
                <w:color w:val="000000"/>
                <w:sz w:val="19"/>
                <w:szCs w:val="19"/>
                <w:lang w:val="en-CA" w:eastAsia="zh-CN"/>
              </w:rPr>
            </w:pPr>
            <w:r w:rsidRPr="00A43F68">
              <w:rPr>
                <w:rFonts w:ascii="Arial" w:eastAsia="SimSun" w:hAnsi="Arial" w:cs="Arial"/>
                <w:color w:val="000000"/>
                <w:sz w:val="19"/>
                <w:szCs w:val="19"/>
                <w:lang w:val="en-CA" w:eastAsia="zh-CN"/>
              </w:rPr>
              <w:t xml:space="preserve"> 44.2 </w:t>
            </w:r>
          </w:p>
        </w:tc>
      </w:tr>
      <w:tr w:rsidR="003D30B2" w:rsidRPr="00A43F68" w14:paraId="3FC24F9B" w14:textId="77777777" w:rsidTr="00A43F68">
        <w:trPr>
          <w:trHeight w:val="240"/>
          <w:jc w:val="center"/>
        </w:trPr>
        <w:tc>
          <w:tcPr>
            <w:tcW w:w="1650" w:type="dxa"/>
            <w:tcBorders>
              <w:top w:val="nil"/>
              <w:left w:val="single" w:sz="4" w:space="0" w:color="auto"/>
              <w:bottom w:val="single" w:sz="4" w:space="0" w:color="auto"/>
              <w:right w:val="single" w:sz="4" w:space="0" w:color="auto"/>
            </w:tcBorders>
            <w:shd w:val="clear" w:color="auto" w:fill="auto"/>
            <w:noWrap/>
            <w:vAlign w:val="bottom"/>
            <w:hideMark/>
          </w:tcPr>
          <w:p w14:paraId="314CF2C1" w14:textId="77777777" w:rsidR="003D30B2" w:rsidRPr="00A43F68" w:rsidRDefault="003D30B2" w:rsidP="003D30B2">
            <w:pPr>
              <w:rPr>
                <w:rFonts w:ascii="Arial" w:eastAsia="SimSun" w:hAnsi="Arial" w:cs="Arial"/>
                <w:b/>
                <w:bCs/>
                <w:color w:val="000000"/>
                <w:sz w:val="19"/>
                <w:szCs w:val="19"/>
                <w:lang w:val="en-CA" w:eastAsia="zh-CN"/>
              </w:rPr>
            </w:pPr>
            <w:r w:rsidRPr="00A43F68">
              <w:rPr>
                <w:rFonts w:ascii="Arial" w:eastAsia="SimSun" w:hAnsi="Arial" w:cs="Arial"/>
                <w:b/>
                <w:bCs/>
                <w:color w:val="000000"/>
                <w:sz w:val="19"/>
                <w:szCs w:val="19"/>
                <w:lang w:val="en-CA" w:eastAsia="zh-CN"/>
              </w:rPr>
              <w:t>Total exports</w:t>
            </w:r>
          </w:p>
        </w:tc>
        <w:tc>
          <w:tcPr>
            <w:tcW w:w="1350" w:type="dxa"/>
            <w:tcBorders>
              <w:top w:val="nil"/>
              <w:left w:val="nil"/>
              <w:bottom w:val="single" w:sz="4" w:space="0" w:color="auto"/>
              <w:right w:val="single" w:sz="4" w:space="0" w:color="auto"/>
            </w:tcBorders>
            <w:shd w:val="clear" w:color="auto" w:fill="auto"/>
            <w:noWrap/>
            <w:vAlign w:val="bottom"/>
            <w:hideMark/>
          </w:tcPr>
          <w:p w14:paraId="70099400" w14:textId="5C7015C7" w:rsidR="003D30B2" w:rsidRPr="00A43F68" w:rsidRDefault="003D30B2" w:rsidP="003D30B2">
            <w:pPr>
              <w:jc w:val="right"/>
              <w:rPr>
                <w:rFonts w:ascii="Arial" w:eastAsia="SimSun" w:hAnsi="Arial" w:cs="Arial"/>
                <w:color w:val="000000"/>
                <w:sz w:val="19"/>
                <w:szCs w:val="19"/>
                <w:lang w:val="en-CA" w:eastAsia="zh-CN"/>
              </w:rPr>
            </w:pPr>
            <w:r w:rsidRPr="00A43F68">
              <w:rPr>
                <w:rFonts w:ascii="Arial" w:eastAsia="SimSun" w:hAnsi="Arial" w:cs="Arial"/>
                <w:color w:val="000000"/>
                <w:sz w:val="19"/>
                <w:szCs w:val="19"/>
                <w:lang w:val="en-CA" w:eastAsia="zh-CN"/>
              </w:rPr>
              <w:t xml:space="preserve"> 22.</w:t>
            </w:r>
            <w:r w:rsidR="00DC4821" w:rsidRPr="00A43F68">
              <w:rPr>
                <w:rFonts w:ascii="Arial" w:eastAsia="SimSun" w:hAnsi="Arial" w:cs="Arial"/>
                <w:color w:val="000000"/>
                <w:sz w:val="19"/>
                <w:szCs w:val="19"/>
                <w:lang w:val="en-CA" w:eastAsia="zh-CN"/>
              </w:rPr>
              <w:t>0</w:t>
            </w:r>
            <w:r w:rsidRPr="00A43F68">
              <w:rPr>
                <w:rFonts w:ascii="Arial" w:eastAsia="SimSun" w:hAnsi="Arial" w:cs="Arial"/>
                <w:color w:val="000000"/>
                <w:sz w:val="19"/>
                <w:szCs w:val="19"/>
                <w:lang w:val="en-CA" w:eastAsia="zh-CN"/>
              </w:rPr>
              <w:t xml:space="preserve"> </w:t>
            </w:r>
          </w:p>
        </w:tc>
        <w:tc>
          <w:tcPr>
            <w:tcW w:w="1260" w:type="dxa"/>
            <w:tcBorders>
              <w:top w:val="nil"/>
              <w:left w:val="nil"/>
              <w:bottom w:val="single" w:sz="4" w:space="0" w:color="auto"/>
              <w:right w:val="single" w:sz="4" w:space="0" w:color="auto"/>
            </w:tcBorders>
            <w:shd w:val="clear" w:color="auto" w:fill="auto"/>
            <w:noWrap/>
            <w:vAlign w:val="bottom"/>
            <w:hideMark/>
          </w:tcPr>
          <w:p w14:paraId="3A7FC58D" w14:textId="509B607E" w:rsidR="003D30B2" w:rsidRPr="00A43F68" w:rsidRDefault="003D30B2" w:rsidP="003D30B2">
            <w:pPr>
              <w:jc w:val="right"/>
              <w:rPr>
                <w:rFonts w:ascii="Arial" w:eastAsia="SimSun" w:hAnsi="Arial" w:cs="Arial"/>
                <w:color w:val="000000"/>
                <w:sz w:val="19"/>
                <w:szCs w:val="19"/>
                <w:lang w:val="en-CA" w:eastAsia="zh-CN"/>
              </w:rPr>
            </w:pPr>
            <w:r w:rsidRPr="00A43F68">
              <w:rPr>
                <w:rFonts w:ascii="Arial" w:eastAsia="SimSun" w:hAnsi="Arial" w:cs="Arial"/>
                <w:color w:val="000000"/>
                <w:sz w:val="19"/>
                <w:szCs w:val="19"/>
                <w:lang w:val="en-CA" w:eastAsia="zh-CN"/>
              </w:rPr>
              <w:t xml:space="preserve"> 2</w:t>
            </w:r>
            <w:r w:rsidR="00DC4821" w:rsidRPr="00A43F68">
              <w:rPr>
                <w:rFonts w:ascii="Arial" w:eastAsia="SimSun" w:hAnsi="Arial" w:cs="Arial"/>
                <w:color w:val="000000"/>
                <w:sz w:val="19"/>
                <w:szCs w:val="19"/>
                <w:lang w:val="en-CA" w:eastAsia="zh-CN"/>
              </w:rPr>
              <w:t>7</w:t>
            </w:r>
            <w:r w:rsidRPr="00A43F68">
              <w:rPr>
                <w:rFonts w:ascii="Arial" w:eastAsia="SimSun" w:hAnsi="Arial" w:cs="Arial"/>
                <w:color w:val="000000"/>
                <w:sz w:val="19"/>
                <w:szCs w:val="19"/>
                <w:lang w:val="en-CA" w:eastAsia="zh-CN"/>
              </w:rPr>
              <w:t>.</w:t>
            </w:r>
            <w:r w:rsidR="00DC4821" w:rsidRPr="00A43F68">
              <w:rPr>
                <w:rFonts w:ascii="Arial" w:eastAsia="SimSun" w:hAnsi="Arial" w:cs="Arial"/>
                <w:color w:val="000000"/>
                <w:sz w:val="19"/>
                <w:szCs w:val="19"/>
                <w:lang w:val="en-CA" w:eastAsia="zh-CN"/>
              </w:rPr>
              <w:t>9</w:t>
            </w:r>
            <w:r w:rsidRPr="00A43F68">
              <w:rPr>
                <w:rFonts w:ascii="Arial" w:eastAsia="SimSun" w:hAnsi="Arial" w:cs="Arial"/>
                <w:color w:val="000000"/>
                <w:sz w:val="19"/>
                <w:szCs w:val="19"/>
                <w:lang w:val="en-CA" w:eastAsia="zh-CN"/>
              </w:rPr>
              <w:t xml:space="preserve"> </w:t>
            </w:r>
          </w:p>
        </w:tc>
        <w:tc>
          <w:tcPr>
            <w:tcW w:w="1170" w:type="dxa"/>
            <w:tcBorders>
              <w:top w:val="nil"/>
              <w:left w:val="nil"/>
              <w:bottom w:val="single" w:sz="4" w:space="0" w:color="auto"/>
              <w:right w:val="single" w:sz="4" w:space="0" w:color="auto"/>
            </w:tcBorders>
            <w:shd w:val="clear" w:color="auto" w:fill="auto"/>
            <w:noWrap/>
            <w:vAlign w:val="bottom"/>
            <w:hideMark/>
          </w:tcPr>
          <w:p w14:paraId="52CA8E4F" w14:textId="77777777" w:rsidR="003D30B2" w:rsidRPr="00A43F68" w:rsidRDefault="003D30B2" w:rsidP="003D30B2">
            <w:pPr>
              <w:jc w:val="right"/>
              <w:rPr>
                <w:rFonts w:ascii="Arial" w:eastAsia="SimSun" w:hAnsi="Arial" w:cs="Arial"/>
                <w:color w:val="000000"/>
                <w:sz w:val="19"/>
                <w:szCs w:val="19"/>
                <w:lang w:val="en-CA" w:eastAsia="zh-CN"/>
              </w:rPr>
            </w:pPr>
            <w:r w:rsidRPr="00A43F68">
              <w:rPr>
                <w:rFonts w:ascii="Arial" w:eastAsia="SimSun" w:hAnsi="Arial" w:cs="Arial"/>
                <w:color w:val="000000"/>
                <w:sz w:val="19"/>
                <w:szCs w:val="19"/>
                <w:lang w:val="en-CA" w:eastAsia="zh-CN"/>
              </w:rPr>
              <w:t xml:space="preserve"> 44.8 </w:t>
            </w:r>
          </w:p>
        </w:tc>
      </w:tr>
    </w:tbl>
    <w:p w14:paraId="1C74BE29" w14:textId="77777777" w:rsidR="003D30B2" w:rsidRPr="00A43F68" w:rsidRDefault="003D30B2" w:rsidP="002955A0">
      <w:pPr>
        <w:pStyle w:val="ExhibitText"/>
        <w:rPr>
          <w:lang w:val="en-CA"/>
        </w:rPr>
      </w:pPr>
    </w:p>
    <w:p w14:paraId="45AFDDFF" w14:textId="49712F31" w:rsidR="003D30B2" w:rsidRPr="00A43F68" w:rsidRDefault="003D30B2" w:rsidP="003D30B2">
      <w:pPr>
        <w:jc w:val="both"/>
        <w:rPr>
          <w:rFonts w:ascii="Arial" w:hAnsi="Arial" w:cs="Arial"/>
          <w:kern w:val="2"/>
          <w:sz w:val="17"/>
          <w:szCs w:val="17"/>
          <w:lang w:val="en-CA"/>
        </w:rPr>
      </w:pPr>
      <w:r w:rsidRPr="00A43F68">
        <w:rPr>
          <w:rFonts w:ascii="Arial" w:hAnsi="Arial" w:cs="Arial"/>
          <w:kern w:val="2"/>
          <w:sz w:val="17"/>
          <w:szCs w:val="17"/>
          <w:lang w:val="en-CA"/>
        </w:rPr>
        <w:t xml:space="preserve">Source: Created by the case authors based on “Fisheries </w:t>
      </w:r>
      <w:r w:rsidR="0038744A" w:rsidRPr="00A43F68">
        <w:rPr>
          <w:rFonts w:ascii="Arial" w:hAnsi="Arial" w:cs="Arial"/>
          <w:kern w:val="2"/>
          <w:sz w:val="17"/>
          <w:szCs w:val="17"/>
          <w:lang w:val="en-CA"/>
        </w:rPr>
        <w:t>Data</w:t>
      </w:r>
      <w:r w:rsidRPr="00A43F68">
        <w:rPr>
          <w:rFonts w:ascii="Arial" w:hAnsi="Arial" w:cs="Arial"/>
          <w:kern w:val="2"/>
          <w:sz w:val="17"/>
          <w:szCs w:val="17"/>
          <w:lang w:val="en-CA"/>
        </w:rPr>
        <w:t>,” Australian Government</w:t>
      </w:r>
      <w:r w:rsidR="0038744A" w:rsidRPr="00A43F68">
        <w:rPr>
          <w:rFonts w:ascii="Arial" w:hAnsi="Arial" w:cs="Arial"/>
          <w:kern w:val="2"/>
          <w:sz w:val="17"/>
          <w:szCs w:val="17"/>
          <w:lang w:val="en-CA"/>
        </w:rPr>
        <w:t>—</w:t>
      </w:r>
      <w:r w:rsidRPr="00A43F68">
        <w:rPr>
          <w:rFonts w:ascii="Arial" w:hAnsi="Arial" w:cs="Arial"/>
          <w:kern w:val="2"/>
          <w:sz w:val="17"/>
          <w:szCs w:val="17"/>
          <w:lang w:val="en-CA"/>
        </w:rPr>
        <w:t>Department of Agriculture and Water Resources, accessed October 27, 2018, www.agriculture.gov.au/abares/research-topics/fisheries/fisheries-data#australian-fisheries-and-aquaculture-statistics-2016.</w:t>
      </w:r>
    </w:p>
    <w:p w14:paraId="0BB6B20A" w14:textId="06E454D6" w:rsidR="003D30B2" w:rsidRPr="00A43F68" w:rsidRDefault="003D30B2">
      <w:pPr>
        <w:spacing w:after="200" w:line="276" w:lineRule="auto"/>
        <w:rPr>
          <w:rFonts w:ascii="Arial" w:hAnsi="Arial" w:cs="Arial"/>
          <w:b/>
          <w:caps/>
          <w:lang w:val="en-CA"/>
        </w:rPr>
      </w:pPr>
      <w:r w:rsidRPr="00A43F68">
        <w:rPr>
          <w:lang w:val="en-CA"/>
        </w:rPr>
        <w:br w:type="page"/>
      </w:r>
    </w:p>
    <w:p w14:paraId="00973704" w14:textId="44263A71" w:rsidR="00B87DC0" w:rsidRPr="00A43F68" w:rsidRDefault="003D30B2" w:rsidP="002B40FF">
      <w:pPr>
        <w:pStyle w:val="Casehead1"/>
        <w:rPr>
          <w:lang w:val="en-CA"/>
        </w:rPr>
      </w:pPr>
      <w:r w:rsidRPr="00A43F68">
        <w:rPr>
          <w:lang w:val="en-CA"/>
        </w:rPr>
        <w:t>ENDNOTES</w:t>
      </w:r>
    </w:p>
    <w:sectPr w:rsidR="00B87DC0" w:rsidRPr="00A43F68" w:rsidSect="00751E0B">
      <w:headerReference w:type="default" r:id="rId9"/>
      <w:endnotePr>
        <w:numFmt w:val="decimal"/>
      </w:endnotePr>
      <w:pgSz w:w="12240" w:h="15840" w:code="1"/>
      <w:pgMar w:top="1080" w:right="1440" w:bottom="1440" w:left="1440" w:header="1080" w:footer="720" w:gutter="0"/>
      <w:cols w:space="720"/>
      <w:titlePg/>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9F2FCB2" w16cid:durableId="209B85A7"/>
  <w16cid:commentId w16cid:paraId="46A3EF8D" w16cid:durableId="209BE1B0"/>
  <w16cid:commentId w16cid:paraId="608E10DF" w16cid:durableId="209B7864"/>
  <w16cid:commentId w16cid:paraId="70656E69" w16cid:durableId="209B9A69"/>
  <w16cid:commentId w16cid:paraId="1F75C2B2" w16cid:durableId="209B9B07"/>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D1C6194" w14:textId="77777777" w:rsidR="00B40A82" w:rsidRDefault="00B40A82" w:rsidP="00D75295">
      <w:r>
        <w:separator/>
      </w:r>
    </w:p>
  </w:endnote>
  <w:endnote w:type="continuationSeparator" w:id="0">
    <w:p w14:paraId="53E74CDB" w14:textId="77777777" w:rsidR="00B40A82" w:rsidRDefault="00B40A82" w:rsidP="00D75295">
      <w:r>
        <w:continuationSeparator/>
      </w:r>
    </w:p>
  </w:endnote>
  <w:endnote w:id="1">
    <w:p w14:paraId="493B1327" w14:textId="7169FD9E" w:rsidR="00B40A82" w:rsidRPr="007A46C8" w:rsidRDefault="00B40A82">
      <w:pPr>
        <w:pStyle w:val="EndnoteText"/>
        <w:rPr>
          <w:sz w:val="16"/>
          <w:szCs w:val="16"/>
          <w:lang w:val="en-GB"/>
        </w:rPr>
      </w:pPr>
      <w:r w:rsidRPr="007A46C8">
        <w:rPr>
          <w:rStyle w:val="EndnoteReference"/>
          <w:rFonts w:ascii="Arial" w:hAnsi="Arial" w:cs="Arial"/>
          <w:sz w:val="16"/>
          <w:szCs w:val="16"/>
          <w:lang w:val="en-GB"/>
        </w:rPr>
        <w:endnoteRef/>
      </w:r>
      <w:r w:rsidRPr="007A46C8">
        <w:rPr>
          <w:rFonts w:ascii="Arial" w:hAnsi="Arial" w:cs="Arial"/>
          <w:sz w:val="16"/>
          <w:szCs w:val="16"/>
          <w:lang w:val="en-GB"/>
        </w:rPr>
        <w:t xml:space="preserve"> </w:t>
      </w:r>
      <w:r w:rsidRPr="007A46C8">
        <w:rPr>
          <w:rStyle w:val="FootnoteChar"/>
          <w:rFonts w:eastAsia="Calibri"/>
          <w:sz w:val="16"/>
          <w:szCs w:val="16"/>
          <w:lang w:val="en-GB"/>
        </w:rPr>
        <w:t xml:space="preserve">This case has been written on the basis of published sources only. Consequently, the interpretation and perspectives presented in this case are not necessarily those of </w:t>
      </w:r>
      <w:r w:rsidRPr="007A46C8">
        <w:rPr>
          <w:rFonts w:ascii="Arial" w:hAnsi="Arial" w:cs="Arial"/>
          <w:sz w:val="16"/>
          <w:szCs w:val="16"/>
          <w:lang w:val="en-GB"/>
        </w:rPr>
        <w:t>Tassal Group Limited</w:t>
      </w:r>
      <w:r w:rsidRPr="007A46C8">
        <w:rPr>
          <w:rStyle w:val="FootnoteChar"/>
          <w:rFonts w:eastAsia="Calibri"/>
          <w:sz w:val="16"/>
          <w:szCs w:val="16"/>
          <w:lang w:val="en-GB"/>
        </w:rPr>
        <w:t xml:space="preserve"> or any of its employees.</w:t>
      </w:r>
    </w:p>
  </w:endnote>
  <w:endnote w:id="2">
    <w:p w14:paraId="7A10BF29" w14:textId="3D26A42C" w:rsidR="00B40A82" w:rsidRPr="007A46C8" w:rsidRDefault="00B40A82" w:rsidP="003D30B2">
      <w:pPr>
        <w:jc w:val="both"/>
        <w:rPr>
          <w:rFonts w:ascii="Arial" w:hAnsi="Arial" w:cs="Arial"/>
          <w:spacing w:val="-6"/>
          <w:kern w:val="17"/>
          <w:sz w:val="16"/>
          <w:szCs w:val="16"/>
          <w:lang w:val="en-GB"/>
        </w:rPr>
      </w:pPr>
      <w:r w:rsidRPr="007A46C8">
        <w:rPr>
          <w:rStyle w:val="EndnoteReference"/>
          <w:rFonts w:ascii="Arial" w:hAnsi="Arial" w:cs="Arial"/>
          <w:spacing w:val="-6"/>
          <w:kern w:val="17"/>
          <w:sz w:val="16"/>
          <w:szCs w:val="16"/>
          <w:lang w:val="en-GB"/>
        </w:rPr>
        <w:endnoteRef/>
      </w:r>
      <w:r w:rsidRPr="007A46C8">
        <w:rPr>
          <w:rFonts w:ascii="Arial" w:hAnsi="Arial" w:cs="Arial"/>
          <w:spacing w:val="-6"/>
          <w:kern w:val="17"/>
          <w:sz w:val="16"/>
          <w:szCs w:val="16"/>
          <w:lang w:val="en-GB"/>
        </w:rPr>
        <w:t xml:space="preserve"> </w:t>
      </w:r>
      <w:bookmarkStart w:id="0" w:name="_Hlk10209519"/>
      <w:r w:rsidRPr="007A46C8">
        <w:rPr>
          <w:rFonts w:ascii="Arial" w:hAnsi="Arial" w:cs="Arial"/>
          <w:spacing w:val="-6"/>
          <w:kern w:val="17"/>
          <w:sz w:val="16"/>
          <w:szCs w:val="16"/>
          <w:lang w:val="en-GB"/>
        </w:rPr>
        <w:t xml:space="preserve">Jared Lynch, “Tassal Buys De Costi Seafoods in Cash and Share Deal,” </w:t>
      </w:r>
      <w:r w:rsidRPr="007A46C8">
        <w:rPr>
          <w:rFonts w:ascii="Arial" w:hAnsi="Arial" w:cs="Arial"/>
          <w:i/>
          <w:spacing w:val="-6"/>
          <w:kern w:val="17"/>
          <w:sz w:val="16"/>
          <w:szCs w:val="16"/>
          <w:lang w:val="en-GB"/>
        </w:rPr>
        <w:t>The Sydney Morning Herald</w:t>
      </w:r>
      <w:r w:rsidRPr="007A46C8">
        <w:rPr>
          <w:rFonts w:ascii="Arial" w:hAnsi="Arial" w:cs="Arial"/>
          <w:spacing w:val="-6"/>
          <w:kern w:val="17"/>
          <w:sz w:val="16"/>
          <w:szCs w:val="16"/>
          <w:lang w:val="en-GB"/>
        </w:rPr>
        <w:t xml:space="preserve">, July 1, 2015, accessed October 25, 2018, www.smh.com.au/business/companies/tassal-buys-de-costi-seafoods-in-cash-and-share-deal-20150701-gi29ld.html. </w:t>
      </w:r>
      <w:bookmarkEnd w:id="0"/>
    </w:p>
  </w:endnote>
  <w:endnote w:id="3">
    <w:p w14:paraId="2CEEA7BA" w14:textId="08FF75BD" w:rsidR="00B40A82" w:rsidRPr="007A46C8" w:rsidRDefault="00B40A82" w:rsidP="0068411B">
      <w:pPr>
        <w:pStyle w:val="EndnoteText"/>
        <w:jc w:val="both"/>
        <w:rPr>
          <w:rFonts w:ascii="Arial" w:hAnsi="Arial" w:cs="Arial"/>
          <w:sz w:val="16"/>
          <w:szCs w:val="16"/>
          <w:lang w:val="en-GB"/>
        </w:rPr>
      </w:pPr>
      <w:r w:rsidRPr="007A46C8">
        <w:rPr>
          <w:rStyle w:val="EndnoteReference"/>
          <w:rFonts w:ascii="Arial" w:hAnsi="Arial" w:cs="Arial"/>
          <w:sz w:val="16"/>
          <w:szCs w:val="16"/>
          <w:lang w:val="en-GB"/>
        </w:rPr>
        <w:endnoteRef/>
      </w:r>
      <w:r w:rsidRPr="007A46C8">
        <w:rPr>
          <w:rFonts w:ascii="Arial" w:hAnsi="Arial" w:cs="Arial"/>
          <w:sz w:val="16"/>
          <w:szCs w:val="16"/>
          <w:lang w:val="en-GB"/>
        </w:rPr>
        <w:t> </w:t>
      </w:r>
      <w:bookmarkStart w:id="1" w:name="_Hlk10209465"/>
      <w:r w:rsidRPr="007A46C8">
        <w:rPr>
          <w:rFonts w:ascii="Arial" w:hAnsi="Arial" w:cs="Arial"/>
          <w:sz w:val="16"/>
          <w:szCs w:val="16"/>
          <w:lang w:val="en-GB"/>
        </w:rPr>
        <w:t xml:space="preserve">Tassal Group Limited, </w:t>
      </w:r>
      <w:r w:rsidRPr="007A46C8">
        <w:rPr>
          <w:rFonts w:ascii="Arial" w:hAnsi="Arial" w:cs="Arial"/>
          <w:i/>
          <w:sz w:val="16"/>
          <w:szCs w:val="16"/>
          <w:lang w:val="en-GB"/>
        </w:rPr>
        <w:t>Tassal Prawn Acquisition</w:t>
      </w:r>
      <w:r w:rsidRPr="007A46C8">
        <w:rPr>
          <w:rFonts w:ascii="Arial" w:hAnsi="Arial" w:cs="Arial"/>
          <w:sz w:val="16"/>
          <w:szCs w:val="16"/>
          <w:lang w:val="en-GB"/>
        </w:rPr>
        <w:t>, August 24, 2018, accessed October 26, 2018, http://member.afraccess.com/media?id=CMN://3A499196&amp;filename=20180824/TGR_02013633.pdf.</w:t>
      </w:r>
      <w:bookmarkEnd w:id="1"/>
    </w:p>
  </w:endnote>
  <w:endnote w:id="4">
    <w:p w14:paraId="6F8283AC" w14:textId="02439C47" w:rsidR="00B40A82" w:rsidRPr="007A46C8" w:rsidRDefault="00B40A82" w:rsidP="003D30B2">
      <w:pPr>
        <w:pStyle w:val="EndnoteText"/>
        <w:jc w:val="both"/>
        <w:rPr>
          <w:rFonts w:ascii="Arial" w:hAnsi="Arial" w:cs="Arial"/>
          <w:sz w:val="16"/>
          <w:szCs w:val="16"/>
          <w:lang w:val="en-GB" w:eastAsia="zh-CN"/>
        </w:rPr>
      </w:pPr>
      <w:r w:rsidRPr="007A46C8">
        <w:rPr>
          <w:rStyle w:val="EndnoteReference"/>
          <w:rFonts w:ascii="Arial" w:hAnsi="Arial" w:cs="Arial"/>
          <w:sz w:val="16"/>
          <w:szCs w:val="16"/>
          <w:lang w:val="en-GB"/>
        </w:rPr>
        <w:endnoteRef/>
      </w:r>
      <w:r w:rsidRPr="007A46C8">
        <w:rPr>
          <w:rFonts w:ascii="Arial" w:hAnsi="Arial" w:cs="Arial"/>
          <w:sz w:val="16"/>
          <w:szCs w:val="16"/>
          <w:lang w:val="en-GB"/>
        </w:rPr>
        <w:t> </w:t>
      </w:r>
      <w:bookmarkStart w:id="2" w:name="_Hlk10209492"/>
      <w:r w:rsidRPr="007A46C8">
        <w:rPr>
          <w:rFonts w:ascii="Arial" w:hAnsi="Arial" w:cs="Arial"/>
          <w:sz w:val="16"/>
          <w:szCs w:val="16"/>
          <w:lang w:val="en-GB"/>
        </w:rPr>
        <w:t xml:space="preserve">Tassal Group Limited, </w:t>
      </w:r>
      <w:r w:rsidRPr="007A46C8">
        <w:rPr>
          <w:rFonts w:ascii="Arial" w:hAnsi="Arial" w:cs="Arial"/>
          <w:i/>
          <w:sz w:val="16"/>
          <w:szCs w:val="16"/>
          <w:lang w:val="en-GB"/>
        </w:rPr>
        <w:t>Annual Report 2015</w:t>
      </w:r>
      <w:r w:rsidRPr="007A46C8">
        <w:rPr>
          <w:rFonts w:ascii="Arial" w:hAnsi="Arial" w:cs="Arial"/>
          <w:sz w:val="16"/>
          <w:szCs w:val="16"/>
          <w:lang w:val="en-GB"/>
        </w:rPr>
        <w:t>, 13, accessed October 26, 2018, www.tassal.com.au/wp-content/uploads/2015/09/150678-Tassal-AR-2015_web.pdf.</w:t>
      </w:r>
      <w:bookmarkEnd w:id="2"/>
    </w:p>
  </w:endnote>
  <w:endnote w:id="5">
    <w:p w14:paraId="7A483A46" w14:textId="3FD8CBDC" w:rsidR="00B40A82" w:rsidRPr="00A43F68" w:rsidRDefault="00B40A82">
      <w:pPr>
        <w:pStyle w:val="EndnoteText"/>
        <w:rPr>
          <w:spacing w:val="-4"/>
          <w:kern w:val="16"/>
          <w:sz w:val="16"/>
          <w:szCs w:val="16"/>
          <w:lang w:val="en-CA"/>
        </w:rPr>
      </w:pPr>
      <w:r w:rsidRPr="00A43F68">
        <w:rPr>
          <w:rStyle w:val="EndnoteReference"/>
          <w:rFonts w:ascii="Arial" w:hAnsi="Arial" w:cs="Arial"/>
          <w:spacing w:val="-4"/>
          <w:kern w:val="16"/>
          <w:sz w:val="16"/>
          <w:szCs w:val="16"/>
        </w:rPr>
        <w:endnoteRef/>
      </w:r>
      <w:r w:rsidRPr="00A43F68">
        <w:rPr>
          <w:rFonts w:ascii="Arial" w:hAnsi="Arial" w:cs="Arial"/>
          <w:spacing w:val="-4"/>
          <w:kern w:val="16"/>
          <w:sz w:val="16"/>
          <w:szCs w:val="16"/>
        </w:rPr>
        <w:t xml:space="preserve"> A$ = AUD = Australian dollars; </w:t>
      </w:r>
      <w:r w:rsidRPr="00A43F68">
        <w:rPr>
          <w:rFonts w:ascii="Arial" w:hAnsi="Arial" w:cs="Arial"/>
          <w:spacing w:val="-4"/>
          <w:kern w:val="16"/>
          <w:sz w:val="16"/>
          <w:szCs w:val="16"/>
          <w:lang w:val="en-GB"/>
        </w:rPr>
        <w:t>all dollar amounts are in Australian dollars unless otherwise specified; A$1 = US$0.76397 on July 1, 2015.</w:t>
      </w:r>
    </w:p>
  </w:endnote>
  <w:endnote w:id="6">
    <w:p w14:paraId="7D026061" w14:textId="23AC2CAC" w:rsidR="00B40A82" w:rsidRPr="007A46C8" w:rsidRDefault="00B40A82" w:rsidP="003D30B2">
      <w:pPr>
        <w:pStyle w:val="EndnoteText"/>
        <w:jc w:val="both"/>
        <w:rPr>
          <w:rFonts w:ascii="Arial" w:hAnsi="Arial" w:cs="Arial"/>
          <w:sz w:val="16"/>
          <w:szCs w:val="16"/>
          <w:lang w:val="en-GB"/>
        </w:rPr>
      </w:pPr>
      <w:r w:rsidRPr="007A46C8">
        <w:rPr>
          <w:rStyle w:val="EndnoteReference"/>
          <w:rFonts w:ascii="Arial" w:hAnsi="Arial" w:cs="Arial"/>
          <w:sz w:val="16"/>
          <w:szCs w:val="16"/>
          <w:lang w:val="en-GB"/>
        </w:rPr>
        <w:endnoteRef/>
      </w:r>
      <w:r w:rsidRPr="007A46C8">
        <w:rPr>
          <w:rFonts w:ascii="Arial" w:hAnsi="Arial" w:cs="Arial"/>
          <w:sz w:val="16"/>
          <w:szCs w:val="16"/>
          <w:lang w:val="en-GB"/>
        </w:rPr>
        <w:t xml:space="preserve"> Lynch, op. cit.</w:t>
      </w:r>
    </w:p>
  </w:endnote>
  <w:endnote w:id="7">
    <w:p w14:paraId="5F387607" w14:textId="6E80570C" w:rsidR="00B40A82" w:rsidRPr="007A46C8" w:rsidRDefault="00B40A82" w:rsidP="003D30B2">
      <w:pPr>
        <w:pStyle w:val="EndnoteText"/>
        <w:jc w:val="both"/>
        <w:rPr>
          <w:rFonts w:ascii="Arial" w:hAnsi="Arial" w:cs="Arial"/>
          <w:spacing w:val="-6"/>
          <w:kern w:val="16"/>
          <w:sz w:val="16"/>
          <w:szCs w:val="16"/>
          <w:lang w:val="en-GB" w:eastAsia="zh-CN"/>
        </w:rPr>
      </w:pPr>
      <w:r w:rsidRPr="007A46C8">
        <w:rPr>
          <w:rStyle w:val="EndnoteReference"/>
          <w:rFonts w:ascii="Arial" w:hAnsi="Arial" w:cs="Arial"/>
          <w:spacing w:val="-6"/>
          <w:kern w:val="16"/>
          <w:sz w:val="16"/>
          <w:szCs w:val="16"/>
          <w:lang w:val="en-GB"/>
        </w:rPr>
        <w:endnoteRef/>
      </w:r>
      <w:r w:rsidRPr="007A46C8">
        <w:rPr>
          <w:rFonts w:ascii="Arial" w:hAnsi="Arial" w:cs="Arial"/>
          <w:spacing w:val="-6"/>
          <w:kern w:val="16"/>
          <w:sz w:val="16"/>
          <w:szCs w:val="16"/>
          <w:lang w:val="en-GB"/>
        </w:rPr>
        <w:t> “Tassal Growth Continues,” Tassal Group, October 28, 2013, accessed October 26, 2018, https://tassalgroup.com.au/tassal-growth-continues/.</w:t>
      </w:r>
    </w:p>
  </w:endnote>
  <w:endnote w:id="8">
    <w:p w14:paraId="7D7F2118" w14:textId="4CF4E9DC" w:rsidR="00B40A82" w:rsidRPr="007A46C8" w:rsidRDefault="00B40A82" w:rsidP="003D30B2">
      <w:pPr>
        <w:pStyle w:val="EndnoteText"/>
        <w:jc w:val="both"/>
        <w:rPr>
          <w:rFonts w:ascii="Arial" w:hAnsi="Arial" w:cs="Arial"/>
          <w:sz w:val="16"/>
          <w:szCs w:val="16"/>
          <w:lang w:val="en-GB" w:eastAsia="zh-CN"/>
        </w:rPr>
      </w:pPr>
      <w:r w:rsidRPr="007A46C8">
        <w:rPr>
          <w:rStyle w:val="EndnoteReference"/>
          <w:rFonts w:ascii="Arial" w:hAnsi="Arial" w:cs="Arial"/>
          <w:sz w:val="16"/>
          <w:szCs w:val="16"/>
          <w:lang w:val="en-GB"/>
        </w:rPr>
        <w:endnoteRef/>
      </w:r>
      <w:r w:rsidRPr="007A46C8">
        <w:rPr>
          <w:rFonts w:ascii="Arial" w:hAnsi="Arial" w:cs="Arial"/>
          <w:sz w:val="16"/>
          <w:szCs w:val="16"/>
          <w:lang w:val="en-GB"/>
        </w:rPr>
        <w:t xml:space="preserve"> “Home—Welcome,” Tasmanian Salmonid Growers Association, accessed October 25, </w:t>
      </w:r>
      <w:r w:rsidR="00DC4821">
        <w:rPr>
          <w:rFonts w:ascii="Arial" w:hAnsi="Arial" w:cs="Arial"/>
          <w:sz w:val="16"/>
          <w:szCs w:val="16"/>
          <w:lang w:val="en-GB"/>
        </w:rPr>
        <w:t>20</w:t>
      </w:r>
      <w:r w:rsidRPr="007A46C8">
        <w:rPr>
          <w:rFonts w:ascii="Arial" w:hAnsi="Arial" w:cs="Arial"/>
          <w:sz w:val="16"/>
          <w:szCs w:val="16"/>
          <w:lang w:val="en-GB"/>
        </w:rPr>
        <w:t>18, www.tsga.com.au.</w:t>
      </w:r>
    </w:p>
  </w:endnote>
  <w:endnote w:id="9">
    <w:p w14:paraId="11259EC4" w14:textId="20C0B08F" w:rsidR="00B40A82" w:rsidRPr="007A46C8" w:rsidRDefault="00B40A82" w:rsidP="003D30B2">
      <w:pPr>
        <w:pStyle w:val="EndnoteText"/>
        <w:jc w:val="both"/>
        <w:rPr>
          <w:rFonts w:ascii="Arial" w:hAnsi="Arial"/>
          <w:sz w:val="16"/>
          <w:szCs w:val="16"/>
          <w:lang w:val="en-GB"/>
        </w:rPr>
      </w:pPr>
      <w:r w:rsidRPr="007A46C8">
        <w:rPr>
          <w:rStyle w:val="EndnoteReference"/>
          <w:rFonts w:ascii="Arial" w:hAnsi="Arial"/>
          <w:sz w:val="16"/>
          <w:szCs w:val="16"/>
          <w:lang w:val="en-GB"/>
        </w:rPr>
        <w:endnoteRef/>
      </w:r>
      <w:r w:rsidRPr="007A46C8">
        <w:rPr>
          <w:rFonts w:ascii="Arial" w:hAnsi="Arial"/>
          <w:sz w:val="16"/>
          <w:szCs w:val="16"/>
          <w:lang w:val="en-GB"/>
        </w:rPr>
        <w:t xml:space="preserve"> Siobhan Galea, Emily Street, and James Dunlevie, “Macquarie Harbour Salmon: 1.35 Million Fish Deaths Prompt Call to ‘Empty’ Waterway of Farms,” ABC News, May 29, 2018, accessed March 22, 2019, www.abc.net.au/news/2018-05-29/salmon-deaths-in-macquarie-harbour-top-one-million-epa-says/9810720.</w:t>
      </w:r>
    </w:p>
  </w:endnote>
  <w:endnote w:id="10">
    <w:p w14:paraId="6B488138" w14:textId="1B422176" w:rsidR="00B40A82" w:rsidRPr="007A46C8" w:rsidRDefault="00B40A82" w:rsidP="003D30B2">
      <w:pPr>
        <w:pStyle w:val="EndnoteText"/>
        <w:jc w:val="both"/>
        <w:rPr>
          <w:rFonts w:ascii="Arial" w:hAnsi="Arial" w:cs="Arial"/>
          <w:sz w:val="16"/>
          <w:szCs w:val="16"/>
          <w:lang w:val="en-GB"/>
        </w:rPr>
      </w:pPr>
      <w:r w:rsidRPr="007A46C8">
        <w:rPr>
          <w:rStyle w:val="EndnoteReference"/>
          <w:rFonts w:ascii="Arial" w:hAnsi="Arial" w:cs="Arial"/>
          <w:sz w:val="16"/>
          <w:szCs w:val="16"/>
          <w:lang w:val="en-GB"/>
        </w:rPr>
        <w:endnoteRef/>
      </w:r>
      <w:r w:rsidRPr="007A46C8">
        <w:rPr>
          <w:rFonts w:ascii="Arial" w:hAnsi="Arial" w:cs="Arial"/>
          <w:sz w:val="16"/>
          <w:szCs w:val="16"/>
          <w:lang w:val="en-GB"/>
        </w:rPr>
        <w:t xml:space="preserve"> </w:t>
      </w:r>
      <w:bookmarkStart w:id="3" w:name="_Hlk10209619"/>
      <w:r w:rsidRPr="007A46C8">
        <w:rPr>
          <w:rFonts w:ascii="Arial" w:hAnsi="Arial" w:cs="Arial"/>
          <w:sz w:val="16"/>
          <w:szCs w:val="16"/>
          <w:lang w:val="en-GB"/>
        </w:rPr>
        <w:t>“GLOBEFISH – Analysis and Information on World Fish Trade,” FAO, March 19, 2018, accessed October 26, 2018, www.fao.org/in-action/globefish/market-reports/resource-detail/en/c/1109513/.</w:t>
      </w:r>
      <w:bookmarkEnd w:id="3"/>
    </w:p>
  </w:endnote>
  <w:endnote w:id="11">
    <w:p w14:paraId="57922E23" w14:textId="602E9EB9" w:rsidR="00B40A82" w:rsidRPr="007A46C8" w:rsidRDefault="00B40A82" w:rsidP="003D30B2">
      <w:pPr>
        <w:pStyle w:val="EndnoteText"/>
        <w:jc w:val="both"/>
        <w:rPr>
          <w:rFonts w:ascii="Arial" w:hAnsi="Arial" w:cs="Arial"/>
          <w:sz w:val="16"/>
          <w:szCs w:val="16"/>
          <w:lang w:val="en-GB" w:eastAsia="zh-CN"/>
        </w:rPr>
      </w:pPr>
      <w:r w:rsidRPr="007A46C8">
        <w:rPr>
          <w:rStyle w:val="EndnoteReference"/>
          <w:rFonts w:ascii="Arial" w:hAnsi="Arial" w:cs="Arial"/>
          <w:sz w:val="16"/>
          <w:szCs w:val="16"/>
          <w:lang w:val="en-GB"/>
        </w:rPr>
        <w:endnoteRef/>
      </w:r>
      <w:r w:rsidRPr="007A46C8">
        <w:rPr>
          <w:rFonts w:ascii="Arial" w:hAnsi="Arial" w:cs="Arial"/>
          <w:sz w:val="16"/>
          <w:szCs w:val="16"/>
          <w:lang w:val="en-GB"/>
        </w:rPr>
        <w:t xml:space="preserve"> “History,” Tassal Group, accessed October 25, 2018, http://tassalgroup.com.au/about-us/history/.</w:t>
      </w:r>
    </w:p>
  </w:endnote>
  <w:endnote w:id="12">
    <w:p w14:paraId="1E00EB07" w14:textId="77777777" w:rsidR="00B40A82" w:rsidRPr="007A46C8" w:rsidRDefault="00B40A82" w:rsidP="003D30B2">
      <w:pPr>
        <w:pStyle w:val="EndnoteText"/>
        <w:jc w:val="both"/>
        <w:rPr>
          <w:rFonts w:ascii="Arial" w:hAnsi="Arial" w:cs="Arial"/>
          <w:sz w:val="16"/>
          <w:szCs w:val="16"/>
          <w:lang w:val="en-GB" w:eastAsia="zh-CN"/>
        </w:rPr>
      </w:pPr>
      <w:r w:rsidRPr="007A46C8">
        <w:rPr>
          <w:rStyle w:val="EndnoteReference"/>
          <w:rFonts w:ascii="Arial" w:hAnsi="Arial" w:cs="Arial"/>
          <w:sz w:val="16"/>
          <w:szCs w:val="16"/>
          <w:lang w:val="en-GB"/>
        </w:rPr>
        <w:endnoteRef/>
      </w:r>
      <w:r w:rsidRPr="007A46C8">
        <w:rPr>
          <w:rFonts w:ascii="Arial" w:hAnsi="Arial" w:cs="Arial"/>
          <w:sz w:val="16"/>
          <w:szCs w:val="16"/>
          <w:lang w:val="en-GB"/>
        </w:rPr>
        <w:t xml:space="preserve"> “Tassal Growth Continues,” op. cit.</w:t>
      </w:r>
    </w:p>
  </w:endnote>
  <w:endnote w:id="13">
    <w:p w14:paraId="24453E1E" w14:textId="232E7862" w:rsidR="00B40A82" w:rsidRPr="007A46C8" w:rsidRDefault="00B40A82" w:rsidP="003D30B2">
      <w:pPr>
        <w:pStyle w:val="EndnoteText"/>
        <w:jc w:val="both"/>
        <w:rPr>
          <w:rFonts w:ascii="Arial" w:hAnsi="Arial" w:cs="Arial"/>
          <w:sz w:val="16"/>
          <w:szCs w:val="16"/>
          <w:lang w:val="en-GB"/>
        </w:rPr>
      </w:pPr>
      <w:r w:rsidRPr="007A46C8">
        <w:rPr>
          <w:rStyle w:val="EndnoteReference"/>
          <w:rFonts w:ascii="Arial" w:hAnsi="Arial" w:cs="Arial"/>
          <w:sz w:val="16"/>
          <w:szCs w:val="16"/>
          <w:lang w:val="en-GB"/>
        </w:rPr>
        <w:endnoteRef/>
      </w:r>
      <w:bookmarkStart w:id="4" w:name="_Hlk10215219"/>
      <w:r w:rsidR="007A46C8" w:rsidRPr="007A46C8">
        <w:rPr>
          <w:rFonts w:ascii="Arial" w:hAnsi="Arial" w:cs="Arial"/>
          <w:sz w:val="16"/>
          <w:szCs w:val="16"/>
          <w:lang w:val="en-GB"/>
        </w:rPr>
        <w:t> </w:t>
      </w:r>
      <w:r w:rsidRPr="007A46C8">
        <w:rPr>
          <w:rFonts w:ascii="Arial" w:hAnsi="Arial" w:cs="Arial"/>
          <w:sz w:val="16"/>
          <w:szCs w:val="16"/>
          <w:lang w:val="en-GB"/>
        </w:rPr>
        <w:t xml:space="preserve">“Tassal Group,” </w:t>
      </w:r>
      <w:r w:rsidRPr="007A46C8">
        <w:rPr>
          <w:rFonts w:ascii="Arial" w:hAnsi="Arial" w:cs="Arial"/>
          <w:i/>
          <w:sz w:val="16"/>
          <w:szCs w:val="16"/>
          <w:lang w:val="en-GB"/>
        </w:rPr>
        <w:t>Money Magazine Australia</w:t>
      </w:r>
      <w:r w:rsidRPr="007A46C8">
        <w:rPr>
          <w:rFonts w:ascii="Arial" w:hAnsi="Arial" w:cs="Arial"/>
          <w:sz w:val="16"/>
          <w:szCs w:val="16"/>
          <w:lang w:val="en-GB"/>
        </w:rPr>
        <w:t>, November 2, 2017, accessed October 26, 2018, www.pressreader.com/australia/money-magazine-australia/20171102/282845076254662.</w:t>
      </w:r>
      <w:bookmarkEnd w:id="4"/>
    </w:p>
  </w:endnote>
  <w:endnote w:id="14">
    <w:p w14:paraId="0F6CBED2" w14:textId="36B6C61F" w:rsidR="00B40A82" w:rsidRPr="007A46C8" w:rsidRDefault="00B40A82" w:rsidP="003D30B2">
      <w:pPr>
        <w:pStyle w:val="EndnoteText"/>
        <w:jc w:val="both"/>
        <w:rPr>
          <w:rFonts w:ascii="Arial" w:hAnsi="Arial" w:cs="Arial"/>
          <w:sz w:val="16"/>
          <w:szCs w:val="16"/>
          <w:lang w:val="en-GB" w:eastAsia="zh-CN"/>
        </w:rPr>
      </w:pPr>
      <w:r w:rsidRPr="007A46C8">
        <w:rPr>
          <w:rStyle w:val="EndnoteReference"/>
          <w:rFonts w:ascii="Arial" w:hAnsi="Arial" w:cs="Arial"/>
          <w:sz w:val="16"/>
          <w:szCs w:val="16"/>
          <w:lang w:val="en-GB"/>
        </w:rPr>
        <w:endnoteRef/>
      </w:r>
      <w:r w:rsidRPr="007A46C8">
        <w:rPr>
          <w:rFonts w:ascii="Arial" w:hAnsi="Arial" w:cs="Arial"/>
          <w:sz w:val="16"/>
          <w:szCs w:val="16"/>
          <w:lang w:val="en-GB"/>
        </w:rPr>
        <w:t xml:space="preserve"> Tassal Group (website), http://tassalgroup.com.au.</w:t>
      </w:r>
    </w:p>
  </w:endnote>
  <w:endnote w:id="15">
    <w:p w14:paraId="59E1416C" w14:textId="79057C1C" w:rsidR="00B40A82" w:rsidRPr="007A46C8" w:rsidRDefault="00B40A82" w:rsidP="003D30B2">
      <w:pPr>
        <w:pStyle w:val="EndnoteText"/>
        <w:jc w:val="both"/>
        <w:rPr>
          <w:rFonts w:ascii="Arial" w:hAnsi="Arial" w:cs="Arial"/>
          <w:spacing w:val="-4"/>
          <w:kern w:val="16"/>
          <w:sz w:val="16"/>
          <w:szCs w:val="16"/>
          <w:lang w:val="en-GB"/>
        </w:rPr>
      </w:pPr>
      <w:r w:rsidRPr="007A46C8">
        <w:rPr>
          <w:rStyle w:val="EndnoteReference"/>
          <w:rFonts w:ascii="Arial" w:hAnsi="Arial" w:cs="Arial"/>
          <w:spacing w:val="-4"/>
          <w:kern w:val="16"/>
          <w:sz w:val="16"/>
          <w:szCs w:val="16"/>
          <w:lang w:val="en-GB"/>
        </w:rPr>
        <w:endnoteRef/>
      </w:r>
      <w:r w:rsidRPr="007A46C8">
        <w:rPr>
          <w:rFonts w:ascii="Arial" w:hAnsi="Arial" w:cs="Arial"/>
          <w:spacing w:val="-4"/>
          <w:kern w:val="16"/>
          <w:sz w:val="16"/>
          <w:szCs w:val="16"/>
          <w:lang w:val="en-GB"/>
        </w:rPr>
        <w:t xml:space="preserve"> Chris Calogeras</w:t>
      </w:r>
      <w:r w:rsidRPr="007A46C8" w:rsidDel="00202B4A">
        <w:rPr>
          <w:rFonts w:ascii="Arial" w:hAnsi="Arial" w:cs="Arial"/>
          <w:spacing w:val="-4"/>
          <w:kern w:val="16"/>
          <w:sz w:val="16"/>
          <w:szCs w:val="16"/>
          <w:lang w:val="en-GB"/>
        </w:rPr>
        <w:t xml:space="preserve"> </w:t>
      </w:r>
      <w:r w:rsidRPr="007A46C8">
        <w:rPr>
          <w:rFonts w:ascii="Arial" w:hAnsi="Arial" w:cs="Arial"/>
          <w:spacing w:val="-4"/>
          <w:kern w:val="16"/>
          <w:sz w:val="16"/>
          <w:szCs w:val="16"/>
          <w:lang w:val="en-GB"/>
        </w:rPr>
        <w:t xml:space="preserve">et al., </w:t>
      </w:r>
      <w:r w:rsidRPr="007A46C8">
        <w:rPr>
          <w:rFonts w:ascii="Arial" w:hAnsi="Arial" w:cs="Arial"/>
          <w:i/>
          <w:spacing w:val="-4"/>
          <w:kern w:val="16"/>
          <w:sz w:val="16"/>
          <w:szCs w:val="16"/>
          <w:lang w:val="en-GB"/>
        </w:rPr>
        <w:t>Tracking the Impacts on Seafood Consumption at Dining Venues Arising from the Northern Territory’s Seafood Labelling Laws</w:t>
      </w:r>
      <w:r w:rsidRPr="007A46C8">
        <w:rPr>
          <w:rFonts w:ascii="Arial" w:hAnsi="Arial" w:cs="Arial"/>
          <w:spacing w:val="-4"/>
          <w:kern w:val="16"/>
          <w:sz w:val="16"/>
          <w:szCs w:val="16"/>
          <w:lang w:val="en-GB"/>
        </w:rPr>
        <w:t>, FRDC Project No. 2009/216 (Fisheries Research &amp; Development Corporation and the Northern Territory Seafood Council,</w:t>
      </w:r>
      <w:r w:rsidRPr="007A46C8" w:rsidDel="00202B4A">
        <w:rPr>
          <w:rFonts w:ascii="Arial" w:hAnsi="Arial" w:cs="Arial"/>
          <w:spacing w:val="-4"/>
          <w:kern w:val="16"/>
          <w:sz w:val="16"/>
          <w:szCs w:val="16"/>
          <w:lang w:val="en-GB"/>
        </w:rPr>
        <w:t xml:space="preserve"> </w:t>
      </w:r>
      <w:r w:rsidRPr="007A46C8">
        <w:rPr>
          <w:rFonts w:ascii="Arial" w:hAnsi="Arial" w:cs="Arial"/>
          <w:spacing w:val="-4"/>
          <w:kern w:val="16"/>
          <w:sz w:val="16"/>
          <w:szCs w:val="16"/>
          <w:lang w:val="en-GB"/>
        </w:rPr>
        <w:t>2011), accessed April 16, 2019, http://frdc.com.au/Archived-Reports/FRDC%20Projects/2009-216-DLD.pdf</w:t>
      </w:r>
      <w:r w:rsidRPr="007A46C8">
        <w:rPr>
          <w:rStyle w:val="FootnoteChar"/>
          <w:rFonts w:eastAsia="Calibri"/>
          <w:spacing w:val="-4"/>
          <w:kern w:val="16"/>
          <w:sz w:val="16"/>
          <w:szCs w:val="16"/>
          <w:lang w:val="en-GB"/>
        </w:rPr>
        <w:t xml:space="preserve">: </w:t>
      </w:r>
      <w:r w:rsidRPr="007A46C8">
        <w:rPr>
          <w:rFonts w:ascii="Arial" w:hAnsi="Arial" w:cs="Arial"/>
          <w:spacing w:val="-4"/>
          <w:kern w:val="16"/>
          <w:sz w:val="16"/>
          <w:szCs w:val="16"/>
          <w:lang w:val="en-GB"/>
        </w:rPr>
        <w:t>20–40.a</w:t>
      </w:r>
    </w:p>
  </w:endnote>
  <w:endnote w:id="16">
    <w:p w14:paraId="3197C2D9" w14:textId="01C2155D" w:rsidR="00B40A82" w:rsidRPr="007A46C8" w:rsidRDefault="00B40A82" w:rsidP="003D30B2">
      <w:pPr>
        <w:pStyle w:val="EndnoteText"/>
        <w:jc w:val="both"/>
        <w:rPr>
          <w:rFonts w:ascii="Arial" w:hAnsi="Arial" w:cs="Arial"/>
          <w:sz w:val="16"/>
          <w:szCs w:val="16"/>
          <w:lang w:val="en-GB" w:eastAsia="zh-CN"/>
        </w:rPr>
      </w:pPr>
      <w:r w:rsidRPr="007A46C8">
        <w:rPr>
          <w:rStyle w:val="EndnoteReference"/>
          <w:rFonts w:ascii="Arial" w:hAnsi="Arial" w:cs="Arial"/>
          <w:sz w:val="16"/>
          <w:szCs w:val="16"/>
          <w:lang w:val="en-GB"/>
        </w:rPr>
        <w:endnoteRef/>
      </w:r>
      <w:bookmarkStart w:id="5" w:name="_Hlk10211484"/>
      <w:r w:rsidR="007A46C8" w:rsidRPr="007A46C8">
        <w:rPr>
          <w:rFonts w:ascii="Arial" w:hAnsi="Arial" w:cs="Arial"/>
          <w:sz w:val="16"/>
          <w:szCs w:val="16"/>
          <w:lang w:val="en-GB"/>
        </w:rPr>
        <w:t> </w:t>
      </w:r>
      <w:r w:rsidRPr="007A46C8">
        <w:rPr>
          <w:rFonts w:ascii="Arial" w:hAnsi="Arial" w:cs="Arial"/>
          <w:sz w:val="16"/>
          <w:szCs w:val="16"/>
          <w:lang w:val="en-GB"/>
        </w:rPr>
        <w:t xml:space="preserve">Tassal Group Limited, </w:t>
      </w:r>
      <w:r w:rsidRPr="007A46C8">
        <w:rPr>
          <w:rFonts w:ascii="Arial" w:hAnsi="Arial" w:cs="Arial"/>
          <w:i/>
          <w:sz w:val="16"/>
          <w:szCs w:val="16"/>
          <w:lang w:val="en-GB"/>
        </w:rPr>
        <w:t>Interview with Mark Ryan</w:t>
      </w:r>
      <w:r w:rsidRPr="007A46C8">
        <w:rPr>
          <w:rFonts w:ascii="Arial" w:hAnsi="Arial" w:cs="Arial"/>
          <w:sz w:val="16"/>
          <w:szCs w:val="16"/>
          <w:lang w:val="en-GB"/>
        </w:rPr>
        <w:t>, 3, February 23, 2018, accessed October 26, 2018, http://tassalgroup.com.au/wp-content/uploads/sites/2/2018/03/Marketing-Briefing-MD-CEO-on-1H-2018.pdf.</w:t>
      </w:r>
      <w:bookmarkEnd w:id="5"/>
    </w:p>
  </w:endnote>
  <w:endnote w:id="17">
    <w:p w14:paraId="261AC6EA" w14:textId="5D267CF4" w:rsidR="00B40A82" w:rsidRPr="007A46C8" w:rsidRDefault="00B40A82" w:rsidP="003D30B2">
      <w:pPr>
        <w:pStyle w:val="EndnoteText"/>
        <w:jc w:val="both"/>
        <w:rPr>
          <w:rFonts w:ascii="Arial" w:hAnsi="Arial" w:cs="Arial"/>
          <w:sz w:val="16"/>
          <w:szCs w:val="16"/>
          <w:lang w:val="en-GB" w:eastAsia="zh-CN"/>
        </w:rPr>
      </w:pPr>
      <w:r w:rsidRPr="007A46C8">
        <w:rPr>
          <w:rStyle w:val="EndnoteReference"/>
          <w:rFonts w:ascii="Arial" w:hAnsi="Arial" w:cs="Arial"/>
          <w:sz w:val="16"/>
          <w:szCs w:val="16"/>
          <w:lang w:val="en-GB"/>
        </w:rPr>
        <w:endnoteRef/>
      </w:r>
      <w:r w:rsidRPr="007A46C8">
        <w:rPr>
          <w:rFonts w:ascii="Arial" w:hAnsi="Arial" w:cs="Arial"/>
          <w:sz w:val="16"/>
          <w:szCs w:val="16"/>
          <w:lang w:val="en-GB"/>
        </w:rPr>
        <w:t xml:space="preserve"> Tassal Group Limited, </w:t>
      </w:r>
      <w:r w:rsidRPr="007A46C8">
        <w:rPr>
          <w:rFonts w:ascii="Arial" w:hAnsi="Arial" w:cs="Arial"/>
          <w:i/>
          <w:sz w:val="16"/>
          <w:szCs w:val="16"/>
          <w:lang w:val="en-GB"/>
        </w:rPr>
        <w:t>Annual Report 2017</w:t>
      </w:r>
      <w:r w:rsidRPr="007A46C8">
        <w:rPr>
          <w:rFonts w:ascii="Arial" w:hAnsi="Arial" w:cs="Arial"/>
          <w:sz w:val="16"/>
          <w:szCs w:val="16"/>
          <w:lang w:val="en-GB"/>
        </w:rPr>
        <w:t xml:space="preserve">, 66, accessed October 26, </w:t>
      </w:r>
      <w:r w:rsidR="00DC4821">
        <w:rPr>
          <w:rFonts w:ascii="Arial" w:hAnsi="Arial" w:cs="Arial"/>
          <w:sz w:val="16"/>
          <w:szCs w:val="16"/>
          <w:lang w:val="en-GB"/>
        </w:rPr>
        <w:t>20</w:t>
      </w:r>
      <w:r w:rsidRPr="007A46C8">
        <w:rPr>
          <w:rFonts w:ascii="Arial" w:hAnsi="Arial" w:cs="Arial"/>
          <w:sz w:val="16"/>
          <w:szCs w:val="16"/>
          <w:lang w:val="en-GB"/>
        </w:rPr>
        <w:t>18, www.tassal.com.au/wp-content/uploads/2017/09/1717106-2017-Annual-Report.pdf.</w:t>
      </w:r>
    </w:p>
  </w:endnote>
  <w:endnote w:id="18">
    <w:p w14:paraId="6C4DCECE" w14:textId="0F5F5AD9" w:rsidR="00B40A82" w:rsidRPr="007A46C8" w:rsidRDefault="00B40A82">
      <w:pPr>
        <w:pStyle w:val="Footnote"/>
        <w:rPr>
          <w:sz w:val="16"/>
          <w:szCs w:val="16"/>
          <w:lang w:val="en-GB"/>
        </w:rPr>
      </w:pPr>
      <w:r w:rsidRPr="007A46C8">
        <w:rPr>
          <w:rStyle w:val="EndnoteReference"/>
          <w:sz w:val="16"/>
          <w:szCs w:val="16"/>
          <w:lang w:val="en-GB"/>
        </w:rPr>
        <w:endnoteRef/>
      </w:r>
      <w:r w:rsidR="007A46C8" w:rsidRPr="007A46C8">
        <w:rPr>
          <w:spacing w:val="-4"/>
          <w:kern w:val="17"/>
          <w:sz w:val="16"/>
          <w:szCs w:val="16"/>
          <w:lang w:val="en-GB"/>
        </w:rPr>
        <w:t xml:space="preserve"> Tassal Group Limited, </w:t>
      </w:r>
      <w:r w:rsidR="007A46C8" w:rsidRPr="007A46C8">
        <w:rPr>
          <w:i/>
          <w:spacing w:val="-4"/>
          <w:kern w:val="17"/>
          <w:sz w:val="16"/>
          <w:szCs w:val="16"/>
          <w:lang w:val="en-GB"/>
        </w:rPr>
        <w:t xml:space="preserve">Annual Report </w:t>
      </w:r>
      <w:r w:rsidRPr="007A46C8">
        <w:rPr>
          <w:i/>
          <w:spacing w:val="-4"/>
          <w:kern w:val="17"/>
          <w:sz w:val="16"/>
          <w:szCs w:val="16"/>
          <w:lang w:val="en-GB"/>
        </w:rPr>
        <w:t>2016</w:t>
      </w:r>
      <w:r w:rsidR="007A46C8" w:rsidRPr="007A46C8">
        <w:rPr>
          <w:spacing w:val="-4"/>
          <w:kern w:val="17"/>
          <w:sz w:val="16"/>
          <w:szCs w:val="16"/>
          <w:lang w:val="en-GB"/>
        </w:rPr>
        <w:t xml:space="preserve">, 2–6, accessed March 22, 2019, </w:t>
      </w:r>
      <w:r w:rsidRPr="007A46C8">
        <w:rPr>
          <w:spacing w:val="-4"/>
          <w:kern w:val="17"/>
          <w:sz w:val="16"/>
          <w:szCs w:val="16"/>
          <w:lang w:val="en-GB"/>
        </w:rPr>
        <w:t>www.annualreports.com/HostedData/AnnualReportArchive/T/ASX_TGR_2016.pdf</w:t>
      </w:r>
      <w:r w:rsidRPr="007A46C8">
        <w:rPr>
          <w:sz w:val="16"/>
          <w:szCs w:val="16"/>
          <w:lang w:val="en-GB"/>
        </w:rPr>
        <w:t>.</w:t>
      </w:r>
    </w:p>
  </w:endnote>
  <w:endnote w:id="19">
    <w:p w14:paraId="00039FD6" w14:textId="77777777" w:rsidR="00B40A82" w:rsidRPr="007A46C8" w:rsidRDefault="00B40A82" w:rsidP="003D30B2">
      <w:pPr>
        <w:pStyle w:val="EndnoteText"/>
        <w:jc w:val="both"/>
        <w:rPr>
          <w:rFonts w:ascii="Arial" w:hAnsi="Arial" w:cs="Arial"/>
          <w:sz w:val="16"/>
          <w:szCs w:val="16"/>
          <w:lang w:val="en-GB" w:eastAsia="zh-CN"/>
        </w:rPr>
      </w:pPr>
      <w:r w:rsidRPr="007A46C8">
        <w:rPr>
          <w:rStyle w:val="EndnoteReference"/>
          <w:rFonts w:ascii="Arial" w:hAnsi="Arial" w:cs="Arial"/>
          <w:sz w:val="16"/>
          <w:szCs w:val="16"/>
          <w:lang w:val="en-GB"/>
        </w:rPr>
        <w:endnoteRef/>
      </w:r>
      <w:r w:rsidRPr="007A46C8">
        <w:rPr>
          <w:rFonts w:ascii="Arial" w:hAnsi="Arial" w:cs="Arial"/>
          <w:sz w:val="16"/>
          <w:szCs w:val="16"/>
          <w:lang w:val="en-GB"/>
        </w:rPr>
        <w:t xml:space="preserve"> “Tassal Growth Continues,” op. cit.</w:t>
      </w:r>
    </w:p>
  </w:endnote>
  <w:endnote w:id="20">
    <w:p w14:paraId="261796E8" w14:textId="7D4867CF" w:rsidR="00B40A82" w:rsidRPr="007A46C8" w:rsidRDefault="00B40A82" w:rsidP="003D30B2">
      <w:pPr>
        <w:pStyle w:val="EndnoteText"/>
        <w:jc w:val="both"/>
        <w:rPr>
          <w:rFonts w:ascii="Arial" w:hAnsi="Arial"/>
          <w:sz w:val="16"/>
          <w:szCs w:val="16"/>
          <w:lang w:val="en-GB"/>
        </w:rPr>
      </w:pPr>
      <w:r w:rsidRPr="007A46C8">
        <w:rPr>
          <w:rStyle w:val="EndnoteReference"/>
          <w:rFonts w:ascii="Arial" w:hAnsi="Arial"/>
          <w:sz w:val="16"/>
          <w:szCs w:val="16"/>
          <w:lang w:val="en-GB"/>
        </w:rPr>
        <w:endnoteRef/>
      </w:r>
      <w:r w:rsidRPr="007A46C8">
        <w:rPr>
          <w:rFonts w:ascii="Arial" w:hAnsi="Arial"/>
          <w:sz w:val="16"/>
          <w:szCs w:val="16"/>
          <w:lang w:val="en-GB"/>
        </w:rPr>
        <w:t xml:space="preserve"> </w:t>
      </w:r>
      <w:r w:rsidRPr="007A46C8">
        <w:rPr>
          <w:rFonts w:ascii="Arial" w:hAnsi="Arial" w:cs="Arial"/>
          <w:sz w:val="16"/>
          <w:szCs w:val="16"/>
          <w:lang w:val="en-GB"/>
        </w:rPr>
        <w:t xml:space="preserve">Tassal Growth Continues,” op. cit.; Tassal Group Limited, </w:t>
      </w:r>
      <w:r w:rsidRPr="007A46C8">
        <w:rPr>
          <w:rFonts w:ascii="Arial" w:hAnsi="Arial" w:cs="Arial"/>
          <w:i/>
          <w:sz w:val="16"/>
          <w:szCs w:val="16"/>
          <w:lang w:val="en-GB"/>
        </w:rPr>
        <w:t>Annual Report 2015</w:t>
      </w:r>
      <w:r w:rsidRPr="007A46C8">
        <w:rPr>
          <w:rFonts w:ascii="Arial" w:hAnsi="Arial" w:cs="Arial"/>
          <w:sz w:val="16"/>
          <w:szCs w:val="16"/>
          <w:lang w:val="en-GB"/>
        </w:rPr>
        <w:t>, op. cit., page 13.</w:t>
      </w:r>
    </w:p>
  </w:endnote>
  <w:endnote w:id="21">
    <w:p w14:paraId="720504AB" w14:textId="32F98F70" w:rsidR="00B40A82" w:rsidRPr="007A46C8" w:rsidRDefault="00B40A82" w:rsidP="003D30B2">
      <w:pPr>
        <w:pStyle w:val="EndnoteText"/>
        <w:jc w:val="both"/>
        <w:rPr>
          <w:rFonts w:ascii="Arial" w:hAnsi="Arial" w:cs="Arial"/>
          <w:sz w:val="16"/>
          <w:szCs w:val="16"/>
          <w:lang w:val="en-GB" w:eastAsia="zh-CN"/>
        </w:rPr>
      </w:pPr>
      <w:r w:rsidRPr="007A46C8">
        <w:rPr>
          <w:rStyle w:val="EndnoteReference"/>
          <w:rFonts w:ascii="Arial" w:hAnsi="Arial" w:cs="Arial"/>
          <w:sz w:val="16"/>
          <w:szCs w:val="16"/>
          <w:lang w:val="en-GB"/>
        </w:rPr>
        <w:endnoteRef/>
      </w:r>
      <w:r w:rsidRPr="007A46C8">
        <w:rPr>
          <w:rFonts w:ascii="Arial" w:hAnsi="Arial" w:cs="Arial"/>
          <w:sz w:val="16"/>
          <w:szCs w:val="16"/>
          <w:lang w:val="en-GB"/>
        </w:rPr>
        <w:t xml:space="preserve"> “WWF – Tassal,” accessed October 26, 2018, www.wwf.org.au/about-us/partners/tassal#gs.tbiErGo;The World Wide Fund for Nature (WWF) is an international non-governmental organization working in the field of wilderness preservation and the reduction of human impact on the environment.</w:t>
      </w:r>
    </w:p>
  </w:endnote>
  <w:endnote w:id="22">
    <w:p w14:paraId="4590F93D" w14:textId="71F36374" w:rsidR="00B40A82" w:rsidRPr="007A46C8" w:rsidRDefault="00B40A82" w:rsidP="003D30B2">
      <w:pPr>
        <w:pStyle w:val="EndnoteText"/>
        <w:jc w:val="both"/>
        <w:rPr>
          <w:rFonts w:ascii="Arial" w:hAnsi="Arial" w:cs="Arial"/>
          <w:sz w:val="16"/>
          <w:szCs w:val="16"/>
          <w:lang w:val="en-GB" w:eastAsia="zh-CN"/>
        </w:rPr>
      </w:pPr>
      <w:r w:rsidRPr="007A46C8">
        <w:rPr>
          <w:rStyle w:val="EndnoteReference"/>
          <w:rFonts w:ascii="Arial" w:hAnsi="Arial" w:cs="Arial"/>
          <w:sz w:val="16"/>
          <w:szCs w:val="16"/>
          <w:lang w:val="en-GB"/>
        </w:rPr>
        <w:endnoteRef/>
      </w:r>
      <w:r w:rsidRPr="007A46C8">
        <w:rPr>
          <w:rFonts w:ascii="Arial" w:hAnsi="Arial" w:cs="Arial"/>
          <w:sz w:val="16"/>
          <w:szCs w:val="16"/>
          <w:lang w:val="en-GB"/>
        </w:rPr>
        <w:t xml:space="preserve"> “FAQs: WWF-Australia's Involvement in the Tasmanian Salmon Farming Industry,” WWF–Australia, accessed October 26, 2018, www.wwf.org.au/news/blogs/faqs-wwf-australias-involvement-in-the-tasmanian-salmon-farming-industry#gs.cKpfHQ8.</w:t>
      </w:r>
    </w:p>
  </w:endnote>
  <w:endnote w:id="23">
    <w:p w14:paraId="65B6649C" w14:textId="2B008558" w:rsidR="00B40A82" w:rsidRPr="007A46C8" w:rsidRDefault="00B40A82" w:rsidP="003D30B2">
      <w:pPr>
        <w:pStyle w:val="EndnoteText"/>
        <w:jc w:val="both"/>
        <w:rPr>
          <w:rFonts w:ascii="Arial" w:hAnsi="Arial"/>
          <w:sz w:val="16"/>
          <w:szCs w:val="16"/>
          <w:lang w:val="en-GB"/>
        </w:rPr>
      </w:pPr>
      <w:r w:rsidRPr="007A46C8">
        <w:rPr>
          <w:rStyle w:val="EndnoteReference"/>
          <w:rFonts w:ascii="Arial" w:hAnsi="Arial"/>
          <w:sz w:val="16"/>
          <w:szCs w:val="16"/>
          <w:lang w:val="en-GB"/>
        </w:rPr>
        <w:endnoteRef/>
      </w:r>
      <w:r w:rsidRPr="007A46C8">
        <w:rPr>
          <w:rFonts w:ascii="Arial" w:hAnsi="Arial"/>
          <w:sz w:val="16"/>
          <w:szCs w:val="16"/>
          <w:lang w:val="en-GB"/>
        </w:rPr>
        <w:t xml:space="preserve"> Tassal Group (website), op. cit.</w:t>
      </w:r>
    </w:p>
  </w:endnote>
  <w:endnote w:id="24">
    <w:p w14:paraId="213EB181" w14:textId="4E0849A6" w:rsidR="00B40A82" w:rsidRPr="007A46C8" w:rsidRDefault="00B40A82" w:rsidP="003D30B2">
      <w:pPr>
        <w:pStyle w:val="EndnoteText"/>
        <w:jc w:val="both"/>
        <w:rPr>
          <w:rFonts w:ascii="Arial" w:hAnsi="Arial" w:cs="Arial"/>
          <w:sz w:val="16"/>
          <w:szCs w:val="16"/>
          <w:lang w:val="en-GB" w:eastAsia="zh-CN"/>
        </w:rPr>
      </w:pPr>
      <w:r w:rsidRPr="007A46C8">
        <w:rPr>
          <w:rStyle w:val="EndnoteReference"/>
          <w:rFonts w:ascii="Arial" w:hAnsi="Arial" w:cs="Arial"/>
          <w:sz w:val="16"/>
          <w:szCs w:val="16"/>
          <w:lang w:val="en-GB"/>
        </w:rPr>
        <w:endnoteRef/>
      </w:r>
      <w:r w:rsidRPr="007A46C8">
        <w:rPr>
          <w:rFonts w:ascii="Arial" w:hAnsi="Arial" w:cs="Arial"/>
          <w:sz w:val="16"/>
          <w:szCs w:val="16"/>
          <w:lang w:val="en-GB"/>
        </w:rPr>
        <w:t xml:space="preserve"> “Annual Fisheries Outlook,” Australian Government, Department of Agriculture, accessed October 26, 2018, www.agriculture.gov.au/abares/research-topics/fisheries/fisheries-economics/fisheries-forecasts#salmonids.</w:t>
      </w:r>
    </w:p>
  </w:endnote>
  <w:endnote w:id="25">
    <w:p w14:paraId="7D2C6CDD" w14:textId="6BE2F370" w:rsidR="00B40A82" w:rsidRPr="007A46C8" w:rsidRDefault="00B40A82" w:rsidP="003D30B2">
      <w:pPr>
        <w:pStyle w:val="EndnoteText"/>
        <w:jc w:val="both"/>
        <w:rPr>
          <w:rFonts w:ascii="Arial" w:hAnsi="Arial" w:cs="Arial"/>
          <w:sz w:val="16"/>
          <w:szCs w:val="16"/>
          <w:lang w:val="en-GB" w:eastAsia="zh-CN"/>
        </w:rPr>
      </w:pPr>
      <w:r w:rsidRPr="007A46C8">
        <w:rPr>
          <w:rStyle w:val="EndnoteReference"/>
          <w:rFonts w:ascii="Arial" w:hAnsi="Arial" w:cs="Arial"/>
          <w:sz w:val="16"/>
          <w:szCs w:val="16"/>
          <w:lang w:val="en-GB"/>
        </w:rPr>
        <w:endnoteRef/>
      </w:r>
      <w:r w:rsidRPr="007A46C8">
        <w:rPr>
          <w:rFonts w:ascii="Arial" w:hAnsi="Arial" w:cs="Arial"/>
          <w:sz w:val="16"/>
          <w:szCs w:val="16"/>
          <w:lang w:val="en-GB"/>
        </w:rPr>
        <w:t xml:space="preserve"> Caro Meldrum-Hanna, Jaya Balendra, and Alex McDonald, “Salmon Farmer Says Tasmanian Government Ignored Warning on Overstocking Danger in Macquarie Harbour,” ABC News, November 1, 2016, accessed October 26, 2018, www.abc.net.au/news/2016-10-31/salmon-farmer-says-tas-government-ignored-overstocking-warning/7978770.</w:t>
      </w:r>
    </w:p>
  </w:endnote>
  <w:endnote w:id="26">
    <w:p w14:paraId="2C5953AC" w14:textId="6D2F1344" w:rsidR="00B40A82" w:rsidRPr="007A46C8" w:rsidRDefault="00B40A82" w:rsidP="00C5280C">
      <w:pPr>
        <w:pStyle w:val="Footnote"/>
        <w:rPr>
          <w:sz w:val="16"/>
          <w:szCs w:val="16"/>
          <w:lang w:val="en-GB" w:eastAsia="zh-CN"/>
        </w:rPr>
      </w:pPr>
      <w:r w:rsidRPr="007A46C8">
        <w:rPr>
          <w:rStyle w:val="EndnoteReference"/>
          <w:sz w:val="16"/>
          <w:szCs w:val="16"/>
          <w:lang w:val="en-GB"/>
        </w:rPr>
        <w:endnoteRef/>
      </w:r>
      <w:r w:rsidRPr="007A46C8">
        <w:rPr>
          <w:sz w:val="16"/>
          <w:szCs w:val="16"/>
          <w:lang w:val="en-GB"/>
        </w:rPr>
        <w:t> “Tassal Group Limited,” CFA Institute Research Challenge, 4–5, August 27, 2015, accessed October 26, 2018, www.arx.cfa/up/post/872/Melbourne-University-of-Melbourne.pdf.</w:t>
      </w:r>
    </w:p>
  </w:endnote>
  <w:endnote w:id="27">
    <w:p w14:paraId="34703FF5" w14:textId="3EF941EE" w:rsidR="00A43F68" w:rsidRDefault="00B40A82" w:rsidP="003D30B2">
      <w:pPr>
        <w:pStyle w:val="EndnoteText"/>
        <w:jc w:val="both"/>
        <w:rPr>
          <w:rFonts w:ascii="Arial" w:hAnsi="Arial"/>
          <w:sz w:val="16"/>
          <w:szCs w:val="16"/>
          <w:lang w:val="en-GB"/>
        </w:rPr>
      </w:pPr>
      <w:r w:rsidRPr="007A46C8">
        <w:rPr>
          <w:rStyle w:val="EndnoteReference"/>
          <w:rFonts w:ascii="Arial" w:hAnsi="Arial"/>
          <w:sz w:val="16"/>
          <w:szCs w:val="16"/>
          <w:lang w:val="en-GB"/>
        </w:rPr>
        <w:endnoteRef/>
      </w:r>
      <w:r w:rsidRPr="007A46C8">
        <w:rPr>
          <w:rFonts w:ascii="Arial" w:hAnsi="Arial"/>
          <w:sz w:val="16"/>
          <w:szCs w:val="16"/>
          <w:lang w:val="en-GB"/>
        </w:rPr>
        <w:t xml:space="preserve"> “Petuna Is World’s First BAP-Certified Multi-Species Hatchery,” Best Aquaculture Practices Certification, September 24, 2015, accessed March 22, 2019, https://bapcertification.org/blog/petuna-is-worlds-first-bap-certified-multi-species</w:t>
      </w:r>
      <w:r w:rsidR="007A46C8" w:rsidRPr="007A46C8">
        <w:rPr>
          <w:rFonts w:ascii="Arial" w:hAnsi="Arial"/>
          <w:sz w:val="16"/>
          <w:szCs w:val="16"/>
          <w:lang w:val="en-GB"/>
        </w:rPr>
        <w:t>-hatchery/; “Petuna Seafoods –</w:t>
      </w:r>
      <w:r w:rsidR="00A43F68">
        <w:rPr>
          <w:rFonts w:ascii="Arial" w:hAnsi="Arial"/>
          <w:sz w:val="16"/>
          <w:szCs w:val="16"/>
          <w:lang w:val="en-GB"/>
        </w:rPr>
        <w:t xml:space="preserve"> Petuna Group,” Fish Info &amp; Services Co., Ltd., accessed March 22, 2019, www.fis.com/fis/companies/details.as</w:t>
      </w:r>
    </w:p>
    <w:p w14:paraId="79EBAAD9" w14:textId="70419766" w:rsidR="00B40A82" w:rsidRPr="007A46C8" w:rsidRDefault="00B40A82" w:rsidP="003D30B2">
      <w:pPr>
        <w:pStyle w:val="EndnoteText"/>
        <w:jc w:val="both"/>
        <w:rPr>
          <w:rFonts w:ascii="Arial" w:hAnsi="Arial"/>
          <w:sz w:val="16"/>
          <w:szCs w:val="16"/>
          <w:lang w:val="en-GB"/>
        </w:rPr>
      </w:pPr>
      <w:r w:rsidRPr="007A46C8">
        <w:rPr>
          <w:rFonts w:ascii="Arial" w:hAnsi="Arial"/>
          <w:sz w:val="16"/>
          <w:szCs w:val="16"/>
          <w:lang w:val="en-GB"/>
        </w:rPr>
        <w:t>p?l=e&amp;filterby=companies&amp;=&amp;country_id=&amp;page=1&amp;company_id=146480.</w:t>
      </w:r>
    </w:p>
  </w:endnote>
  <w:endnote w:id="28">
    <w:p w14:paraId="61063DF7" w14:textId="5749FA50" w:rsidR="00B40A82" w:rsidRPr="007A46C8" w:rsidRDefault="00B40A82" w:rsidP="003D30B2">
      <w:pPr>
        <w:pStyle w:val="EndnoteText"/>
        <w:jc w:val="both"/>
        <w:rPr>
          <w:rFonts w:ascii="Arial" w:hAnsi="Arial"/>
          <w:sz w:val="16"/>
          <w:szCs w:val="16"/>
          <w:lang w:val="en-GB"/>
        </w:rPr>
      </w:pPr>
      <w:r w:rsidRPr="007A46C8">
        <w:rPr>
          <w:rStyle w:val="EndnoteReference"/>
          <w:rFonts w:ascii="Arial" w:hAnsi="Arial"/>
          <w:sz w:val="16"/>
          <w:szCs w:val="16"/>
          <w:lang w:val="en-GB"/>
        </w:rPr>
        <w:endnoteRef/>
      </w:r>
      <w:r w:rsidRPr="007A46C8">
        <w:rPr>
          <w:rFonts w:ascii="Arial" w:hAnsi="Arial"/>
          <w:sz w:val="16"/>
          <w:szCs w:val="16"/>
          <w:lang w:val="en-GB"/>
        </w:rPr>
        <w:t xml:space="preserve"> “The Industry,” Tasmanian Salmonid Growers Association, accessed March 22, 2019, www.tsga.com.au/the-industry/.</w:t>
      </w:r>
    </w:p>
  </w:endnote>
  <w:endnote w:id="29">
    <w:p w14:paraId="478425BD" w14:textId="122D0AE4" w:rsidR="00B40A82" w:rsidRPr="007A46C8" w:rsidRDefault="00B40A82" w:rsidP="003D30B2">
      <w:pPr>
        <w:pStyle w:val="EndnoteText"/>
        <w:jc w:val="both"/>
        <w:rPr>
          <w:rFonts w:ascii="Arial" w:hAnsi="Arial"/>
          <w:sz w:val="16"/>
          <w:szCs w:val="16"/>
          <w:lang w:val="en-GB"/>
        </w:rPr>
      </w:pPr>
      <w:r w:rsidRPr="007A46C8">
        <w:rPr>
          <w:rStyle w:val="EndnoteReference"/>
          <w:rFonts w:ascii="Arial" w:hAnsi="Arial"/>
          <w:sz w:val="16"/>
          <w:szCs w:val="16"/>
          <w:lang w:val="en-GB"/>
        </w:rPr>
        <w:endnoteRef/>
      </w:r>
      <w:r w:rsidRPr="007A46C8">
        <w:rPr>
          <w:rFonts w:ascii="Arial" w:hAnsi="Arial"/>
          <w:sz w:val="16"/>
          <w:szCs w:val="16"/>
          <w:lang w:val="en-GB"/>
        </w:rPr>
        <w:t xml:space="preserve"> </w:t>
      </w:r>
      <w:bookmarkStart w:id="7" w:name="_Hlk10215249"/>
      <w:r w:rsidRPr="007A46C8">
        <w:rPr>
          <w:rFonts w:ascii="Arial" w:hAnsi="Arial"/>
          <w:sz w:val="16"/>
          <w:szCs w:val="16"/>
          <w:lang w:val="en-GB"/>
        </w:rPr>
        <w:t xml:space="preserve">Russell Wright, </w:t>
      </w:r>
      <w:r w:rsidRPr="007A46C8">
        <w:rPr>
          <w:rFonts w:ascii="Arial" w:hAnsi="Arial"/>
          <w:i/>
          <w:sz w:val="16"/>
          <w:szCs w:val="16"/>
          <w:lang w:val="en-GB"/>
        </w:rPr>
        <w:t xml:space="preserve">Seafood Industry Report, </w:t>
      </w:r>
      <w:r w:rsidRPr="007A46C8">
        <w:rPr>
          <w:rFonts w:ascii="Arial" w:hAnsi="Arial"/>
          <w:sz w:val="16"/>
          <w:szCs w:val="16"/>
          <w:lang w:val="en-GB"/>
        </w:rPr>
        <w:t>1, 9 (Sydney, Australia: EverBlu Capital, February 9, 2018), accessed October 26, 2018, www.everblucapital.com/wp-content/uploads/2018/02/Seafood_Industry_Report_.pdf.</w:t>
      </w:r>
    </w:p>
    <w:bookmarkEnd w:id="7"/>
  </w:endnote>
  <w:endnote w:id="30">
    <w:p w14:paraId="33A8AAEA" w14:textId="6D646FE6" w:rsidR="00B40A82" w:rsidRPr="007A46C8" w:rsidRDefault="00B40A82" w:rsidP="003D30B2">
      <w:pPr>
        <w:jc w:val="both"/>
        <w:rPr>
          <w:rFonts w:ascii="Arial" w:hAnsi="Arial" w:cs="Arial"/>
          <w:sz w:val="16"/>
          <w:szCs w:val="16"/>
          <w:lang w:val="en-GB"/>
        </w:rPr>
      </w:pPr>
      <w:r w:rsidRPr="007A46C8">
        <w:rPr>
          <w:rStyle w:val="EndnoteReference"/>
          <w:rFonts w:ascii="Arial" w:hAnsi="Arial" w:cs="Arial"/>
          <w:sz w:val="16"/>
          <w:szCs w:val="16"/>
          <w:lang w:val="en-GB"/>
        </w:rPr>
        <w:endnoteRef/>
      </w:r>
      <w:r w:rsidRPr="007A46C8">
        <w:rPr>
          <w:rFonts w:ascii="Arial" w:hAnsi="Arial" w:cs="Arial"/>
          <w:sz w:val="16"/>
          <w:szCs w:val="16"/>
          <w:lang w:val="en-GB"/>
        </w:rPr>
        <w:t xml:space="preserve"> Lynch, op. cit.</w:t>
      </w:r>
    </w:p>
  </w:endnote>
  <w:endnote w:id="31">
    <w:p w14:paraId="68B19205" w14:textId="2C592E8F" w:rsidR="00B40A82" w:rsidRPr="007A46C8" w:rsidRDefault="00B40A82" w:rsidP="003D30B2">
      <w:pPr>
        <w:pStyle w:val="EndnoteText"/>
        <w:jc w:val="both"/>
        <w:rPr>
          <w:rFonts w:ascii="Arial" w:hAnsi="Arial" w:cs="Arial"/>
          <w:sz w:val="16"/>
          <w:szCs w:val="16"/>
          <w:lang w:val="en-GB" w:eastAsia="zh-CN"/>
        </w:rPr>
      </w:pPr>
      <w:r w:rsidRPr="007A46C8">
        <w:rPr>
          <w:rStyle w:val="EndnoteReference"/>
          <w:rFonts w:ascii="Arial" w:hAnsi="Arial" w:cs="Arial"/>
          <w:sz w:val="16"/>
          <w:szCs w:val="16"/>
          <w:lang w:val="en-GB"/>
        </w:rPr>
        <w:endnoteRef/>
      </w:r>
      <w:r w:rsidRPr="007A46C8">
        <w:rPr>
          <w:rFonts w:ascii="Arial" w:hAnsi="Arial" w:cs="Arial"/>
          <w:sz w:val="16"/>
          <w:szCs w:val="16"/>
          <w:lang w:val="en-GB"/>
        </w:rPr>
        <w:t xml:space="preserve"> Mark A. Ryan, </w:t>
      </w:r>
      <w:r w:rsidRPr="007A46C8">
        <w:rPr>
          <w:rFonts w:ascii="Arial" w:hAnsi="Arial" w:cs="Arial"/>
          <w:i/>
          <w:sz w:val="16"/>
          <w:szCs w:val="16"/>
          <w:lang w:val="en-GB"/>
        </w:rPr>
        <w:t>From “Salmon” to “Salmon &amp; Seafood” Acquisition of De Costi Seafoods</w:t>
      </w:r>
      <w:r w:rsidRPr="007A46C8">
        <w:rPr>
          <w:rFonts w:ascii="Arial" w:hAnsi="Arial" w:cs="Arial"/>
          <w:sz w:val="16"/>
          <w:szCs w:val="16"/>
          <w:lang w:val="en-GB"/>
        </w:rPr>
        <w:t>, 5 (Tassal Group Limited, July 31, 2015), accessed October 26, 2018, www.asx.com.au/asxpdf/20150731/pdf/4306f8jyvhlkcj.pdf.</w:t>
      </w:r>
    </w:p>
  </w:endnote>
  <w:endnote w:id="32">
    <w:p w14:paraId="7F3BC0CD" w14:textId="57FF0A90" w:rsidR="00B40A82" w:rsidRPr="007A46C8" w:rsidRDefault="00B40A82" w:rsidP="003D30B2">
      <w:pPr>
        <w:pStyle w:val="EndnoteText"/>
        <w:jc w:val="both"/>
        <w:rPr>
          <w:rFonts w:ascii="Arial" w:hAnsi="Arial" w:cs="Arial"/>
          <w:sz w:val="16"/>
          <w:szCs w:val="16"/>
          <w:lang w:val="en-GB" w:eastAsia="zh-CN"/>
        </w:rPr>
      </w:pPr>
      <w:r w:rsidRPr="007A46C8">
        <w:rPr>
          <w:rStyle w:val="EndnoteReference"/>
          <w:rFonts w:ascii="Arial" w:hAnsi="Arial" w:cs="Arial"/>
          <w:sz w:val="16"/>
          <w:szCs w:val="16"/>
          <w:lang w:val="en-GB"/>
        </w:rPr>
        <w:endnoteRef/>
      </w:r>
      <w:r w:rsidRPr="007A46C8">
        <w:rPr>
          <w:rFonts w:ascii="Arial" w:hAnsi="Arial" w:cs="Arial"/>
          <w:sz w:val="16"/>
          <w:szCs w:val="16"/>
          <w:lang w:val="en-GB"/>
        </w:rPr>
        <w:t xml:space="preserve"> </w:t>
      </w:r>
      <w:bookmarkStart w:id="8" w:name="_Hlk10210790"/>
      <w:r w:rsidRPr="007A46C8">
        <w:rPr>
          <w:rFonts w:ascii="Arial" w:hAnsi="Arial" w:cs="Arial"/>
          <w:sz w:val="16"/>
          <w:szCs w:val="16"/>
          <w:lang w:val="en-GB"/>
        </w:rPr>
        <w:t>“Our Story,” De Costi Seafoods, accessed October 26, 2018, www.decosti.com.au/our-story1.html.</w:t>
      </w:r>
      <w:bookmarkEnd w:id="8"/>
    </w:p>
  </w:endnote>
  <w:endnote w:id="33">
    <w:p w14:paraId="32606366" w14:textId="2BD2C359" w:rsidR="00B40A82" w:rsidRPr="007A46C8" w:rsidRDefault="00B40A82" w:rsidP="003D30B2">
      <w:pPr>
        <w:pStyle w:val="EndnoteText"/>
        <w:jc w:val="both"/>
        <w:rPr>
          <w:rFonts w:ascii="Arial" w:hAnsi="Arial"/>
          <w:sz w:val="16"/>
          <w:szCs w:val="16"/>
          <w:lang w:val="en-GB"/>
        </w:rPr>
      </w:pPr>
      <w:r w:rsidRPr="007A46C8">
        <w:rPr>
          <w:rStyle w:val="EndnoteReference"/>
          <w:rFonts w:ascii="Arial" w:hAnsi="Arial"/>
          <w:sz w:val="16"/>
          <w:szCs w:val="16"/>
          <w:lang w:val="en-GB"/>
        </w:rPr>
        <w:endnoteRef/>
      </w:r>
      <w:r w:rsidRPr="007A46C8">
        <w:rPr>
          <w:rFonts w:ascii="Arial" w:hAnsi="Arial"/>
          <w:sz w:val="16"/>
          <w:szCs w:val="16"/>
          <w:lang w:val="en-GB"/>
        </w:rPr>
        <w:t xml:space="preserve"> “De Costi Seafood Business,” De Costi Seafoods, accessed March 22, 2019, www.decosti.com.au/business.html.</w:t>
      </w:r>
    </w:p>
  </w:endnote>
  <w:endnote w:id="34">
    <w:p w14:paraId="36D1FB53" w14:textId="1D8DEF18" w:rsidR="00B40A82" w:rsidRPr="007A46C8" w:rsidRDefault="00B40A82" w:rsidP="003D30B2">
      <w:pPr>
        <w:pStyle w:val="EndnoteText"/>
        <w:jc w:val="both"/>
        <w:rPr>
          <w:rFonts w:ascii="Arial" w:hAnsi="Arial" w:cs="Arial"/>
          <w:sz w:val="16"/>
          <w:szCs w:val="16"/>
          <w:lang w:val="en-GB" w:eastAsia="zh-CN"/>
        </w:rPr>
      </w:pPr>
      <w:r w:rsidRPr="007A46C8">
        <w:rPr>
          <w:rStyle w:val="EndnoteReference"/>
          <w:rFonts w:ascii="Arial" w:hAnsi="Arial" w:cs="Arial"/>
          <w:sz w:val="16"/>
          <w:szCs w:val="16"/>
          <w:lang w:val="en-GB"/>
        </w:rPr>
        <w:endnoteRef/>
      </w:r>
      <w:r w:rsidRPr="007A46C8">
        <w:rPr>
          <w:rFonts w:ascii="Arial" w:hAnsi="Arial" w:cs="Arial"/>
          <w:sz w:val="16"/>
          <w:szCs w:val="16"/>
          <w:lang w:val="en-GB"/>
        </w:rPr>
        <w:t xml:space="preserve"> EBITDA = earnings before interest, taxes, depreciation and amortization; NPAT = net profits after taxes; Ryan, op. cit., 7.</w:t>
      </w:r>
    </w:p>
  </w:endnote>
  <w:endnote w:id="35">
    <w:p w14:paraId="30A36CA1" w14:textId="545DCEA8" w:rsidR="00B40A82" w:rsidRPr="007A46C8" w:rsidRDefault="00B40A82" w:rsidP="003D30B2">
      <w:pPr>
        <w:pStyle w:val="EndnoteText"/>
        <w:jc w:val="both"/>
        <w:rPr>
          <w:rFonts w:ascii="Arial" w:hAnsi="Arial" w:cs="Arial"/>
          <w:sz w:val="16"/>
          <w:szCs w:val="16"/>
          <w:lang w:val="en-GB" w:eastAsia="zh-CN"/>
        </w:rPr>
      </w:pPr>
      <w:r w:rsidRPr="007A46C8">
        <w:rPr>
          <w:rStyle w:val="EndnoteReference"/>
          <w:rFonts w:ascii="Arial" w:hAnsi="Arial" w:cs="Arial"/>
          <w:sz w:val="16"/>
          <w:szCs w:val="16"/>
          <w:lang w:val="en-GB"/>
        </w:rPr>
        <w:endnoteRef/>
      </w:r>
      <w:r w:rsidRPr="007A46C8">
        <w:rPr>
          <w:rFonts w:ascii="Arial" w:hAnsi="Arial" w:cs="Arial"/>
          <w:sz w:val="16"/>
          <w:szCs w:val="16"/>
          <w:lang w:val="en-GB"/>
        </w:rPr>
        <w:t xml:space="preserve"> Tassal Group Limited, </w:t>
      </w:r>
      <w:r w:rsidRPr="007A46C8">
        <w:rPr>
          <w:rFonts w:ascii="Arial" w:hAnsi="Arial" w:cs="Arial"/>
          <w:i/>
          <w:sz w:val="16"/>
          <w:szCs w:val="16"/>
          <w:lang w:val="en-GB"/>
        </w:rPr>
        <w:t>Annual Report 2015</w:t>
      </w:r>
      <w:r w:rsidRPr="007A46C8">
        <w:rPr>
          <w:rFonts w:ascii="Arial" w:hAnsi="Arial" w:cs="Arial"/>
          <w:sz w:val="16"/>
          <w:szCs w:val="16"/>
          <w:lang w:val="en-GB"/>
        </w:rPr>
        <w:t>, op. cit., 2.</w:t>
      </w:r>
    </w:p>
  </w:endnote>
  <w:endnote w:id="36">
    <w:p w14:paraId="088B2F4A" w14:textId="2DCDF3CD" w:rsidR="00B40A82" w:rsidRPr="007A46C8" w:rsidRDefault="00B40A82" w:rsidP="003D30B2">
      <w:pPr>
        <w:pStyle w:val="EndnoteText"/>
        <w:jc w:val="both"/>
        <w:rPr>
          <w:rFonts w:ascii="Arial" w:hAnsi="Arial" w:cs="Arial"/>
          <w:sz w:val="16"/>
          <w:szCs w:val="16"/>
          <w:lang w:val="en-GB" w:eastAsia="zh-CN"/>
        </w:rPr>
      </w:pPr>
      <w:r w:rsidRPr="007A46C8">
        <w:rPr>
          <w:rStyle w:val="EndnoteReference"/>
          <w:rFonts w:ascii="Arial" w:hAnsi="Arial" w:cs="Arial"/>
          <w:sz w:val="16"/>
          <w:szCs w:val="16"/>
          <w:lang w:val="en-GB"/>
        </w:rPr>
        <w:endnoteRef/>
      </w:r>
      <w:r w:rsidRPr="007A46C8">
        <w:rPr>
          <w:rFonts w:ascii="Arial" w:hAnsi="Arial" w:cs="Arial"/>
          <w:sz w:val="16"/>
          <w:szCs w:val="16"/>
          <w:lang w:val="en-GB"/>
        </w:rPr>
        <w:t xml:space="preserve"> Lynch, op. cit.</w:t>
      </w:r>
    </w:p>
  </w:endnote>
  <w:endnote w:id="37">
    <w:p w14:paraId="5EA1D258" w14:textId="3E132D82" w:rsidR="00B40A82" w:rsidRPr="007A46C8" w:rsidRDefault="00B40A82" w:rsidP="003D30B2">
      <w:pPr>
        <w:pStyle w:val="EndnoteText"/>
        <w:jc w:val="both"/>
        <w:rPr>
          <w:rFonts w:ascii="Arial" w:hAnsi="Arial" w:cs="Arial"/>
          <w:sz w:val="16"/>
          <w:szCs w:val="16"/>
          <w:lang w:val="en-GB" w:eastAsia="zh-CN"/>
        </w:rPr>
      </w:pPr>
      <w:r w:rsidRPr="007A46C8">
        <w:rPr>
          <w:rStyle w:val="EndnoteReference"/>
          <w:rFonts w:ascii="Arial" w:hAnsi="Arial" w:cs="Arial"/>
          <w:sz w:val="16"/>
          <w:szCs w:val="16"/>
          <w:lang w:val="en-GB"/>
        </w:rPr>
        <w:endnoteRef/>
      </w:r>
      <w:r w:rsidRPr="007A46C8">
        <w:rPr>
          <w:rFonts w:ascii="Arial" w:hAnsi="Arial" w:cs="Arial"/>
          <w:sz w:val="16"/>
          <w:szCs w:val="16"/>
          <w:lang w:val="en-GB"/>
        </w:rPr>
        <w:t xml:space="preserve"> Tassal Group Limited, </w:t>
      </w:r>
      <w:r w:rsidRPr="007A46C8">
        <w:rPr>
          <w:rFonts w:ascii="Arial" w:hAnsi="Arial" w:cs="Arial"/>
          <w:i/>
          <w:sz w:val="16"/>
          <w:szCs w:val="16"/>
          <w:lang w:val="en-GB"/>
        </w:rPr>
        <w:t>Annual Report 2016</w:t>
      </w:r>
      <w:r w:rsidRPr="007A46C8">
        <w:rPr>
          <w:rFonts w:ascii="Arial" w:hAnsi="Arial" w:cs="Arial"/>
          <w:sz w:val="16"/>
          <w:szCs w:val="16"/>
          <w:lang w:val="en-GB"/>
        </w:rPr>
        <w:t>, op. cit.</w:t>
      </w:r>
    </w:p>
  </w:endnote>
  <w:endnote w:id="38">
    <w:p w14:paraId="010F571C" w14:textId="26733344" w:rsidR="00B40A82" w:rsidRPr="007A46C8" w:rsidRDefault="00B40A82" w:rsidP="00C5280C">
      <w:pPr>
        <w:pStyle w:val="Footnote"/>
        <w:rPr>
          <w:sz w:val="16"/>
          <w:szCs w:val="16"/>
          <w:lang w:val="en-GB"/>
        </w:rPr>
      </w:pPr>
      <w:r w:rsidRPr="007A46C8">
        <w:rPr>
          <w:rStyle w:val="EndnoteReference"/>
          <w:sz w:val="16"/>
          <w:szCs w:val="16"/>
          <w:lang w:val="en-GB"/>
        </w:rPr>
        <w:endnoteRef/>
      </w:r>
      <w:r w:rsidR="007A46C8" w:rsidRPr="007A46C8">
        <w:rPr>
          <w:sz w:val="16"/>
          <w:szCs w:val="16"/>
          <w:lang w:val="en-GB"/>
        </w:rPr>
        <w:t> </w:t>
      </w:r>
      <w:r w:rsidRPr="007A46C8">
        <w:rPr>
          <w:sz w:val="16"/>
          <w:szCs w:val="16"/>
          <w:lang w:val="en-GB"/>
        </w:rPr>
        <w:t xml:space="preserve">“Tassal,” </w:t>
      </w:r>
      <w:r w:rsidRPr="007A46C8">
        <w:rPr>
          <w:i/>
          <w:sz w:val="16"/>
          <w:szCs w:val="16"/>
          <w:lang w:val="en-GB"/>
        </w:rPr>
        <w:t>Market Briefing</w:t>
      </w:r>
      <w:r w:rsidRPr="007A46C8">
        <w:rPr>
          <w:sz w:val="16"/>
          <w:szCs w:val="16"/>
          <w:lang w:val="en-GB"/>
        </w:rPr>
        <w:t>, 1–3, August 19, 2016, accessed March 22, 2019, www.tassal.com.au/wp-content/uploads/2016/08/Market-Briefing-Tassal-MD-on-FY16-and-outlook.pdf.</w:t>
      </w:r>
    </w:p>
  </w:endnote>
  <w:endnote w:id="39">
    <w:p w14:paraId="448D782E" w14:textId="03F09B63" w:rsidR="00B40A82" w:rsidRPr="007A46C8" w:rsidRDefault="00B40A82" w:rsidP="003D30B2">
      <w:pPr>
        <w:pStyle w:val="EndnoteText"/>
        <w:jc w:val="both"/>
        <w:rPr>
          <w:rFonts w:ascii="Arial" w:hAnsi="Arial" w:cs="Arial"/>
          <w:sz w:val="16"/>
          <w:szCs w:val="16"/>
          <w:lang w:val="en-GB" w:eastAsia="zh-CN"/>
        </w:rPr>
      </w:pPr>
      <w:r w:rsidRPr="007A46C8">
        <w:rPr>
          <w:rStyle w:val="EndnoteReference"/>
          <w:rFonts w:ascii="Arial" w:hAnsi="Arial" w:cs="Arial"/>
          <w:sz w:val="16"/>
          <w:szCs w:val="16"/>
          <w:lang w:val="en-GB"/>
        </w:rPr>
        <w:endnoteRef/>
      </w:r>
      <w:r w:rsidRPr="007A46C8">
        <w:rPr>
          <w:rFonts w:ascii="Arial" w:hAnsi="Arial" w:cs="Arial"/>
          <w:sz w:val="16"/>
          <w:szCs w:val="16"/>
          <w:lang w:val="en-GB"/>
        </w:rPr>
        <w:t xml:space="preserve"> Tassal Group Limited, </w:t>
      </w:r>
      <w:r w:rsidRPr="007A46C8">
        <w:rPr>
          <w:rFonts w:ascii="Arial" w:hAnsi="Arial" w:cs="Arial"/>
          <w:i/>
          <w:sz w:val="16"/>
          <w:szCs w:val="16"/>
          <w:lang w:val="en-GB"/>
        </w:rPr>
        <w:t>Annual Report 2015</w:t>
      </w:r>
      <w:r w:rsidRPr="007A46C8">
        <w:rPr>
          <w:rFonts w:ascii="Arial" w:hAnsi="Arial" w:cs="Arial"/>
          <w:sz w:val="16"/>
          <w:szCs w:val="16"/>
          <w:lang w:val="en-GB"/>
        </w:rPr>
        <w:t>, op. cit., 13.</w:t>
      </w:r>
    </w:p>
  </w:endnote>
  <w:endnote w:id="40">
    <w:p w14:paraId="02486098" w14:textId="3E225C8E" w:rsidR="00B40A82" w:rsidRPr="007A46C8" w:rsidRDefault="00B40A82" w:rsidP="003D30B2">
      <w:pPr>
        <w:pStyle w:val="EndnoteText"/>
        <w:jc w:val="both"/>
        <w:rPr>
          <w:rFonts w:ascii="Arial" w:hAnsi="Arial"/>
          <w:spacing w:val="-4"/>
          <w:kern w:val="17"/>
          <w:sz w:val="16"/>
          <w:szCs w:val="16"/>
          <w:lang w:val="en-GB"/>
        </w:rPr>
      </w:pPr>
      <w:r w:rsidRPr="007A46C8">
        <w:rPr>
          <w:rStyle w:val="EndnoteReference"/>
          <w:rFonts w:ascii="Arial" w:hAnsi="Arial"/>
          <w:spacing w:val="-4"/>
          <w:kern w:val="17"/>
          <w:sz w:val="16"/>
          <w:szCs w:val="16"/>
          <w:lang w:val="en-GB"/>
        </w:rPr>
        <w:endnoteRef/>
      </w:r>
      <w:r w:rsidRPr="007A46C8">
        <w:rPr>
          <w:rFonts w:ascii="Arial" w:hAnsi="Arial"/>
          <w:spacing w:val="-4"/>
          <w:kern w:val="17"/>
          <w:sz w:val="16"/>
          <w:szCs w:val="16"/>
          <w:lang w:val="en-GB"/>
        </w:rPr>
        <w:t xml:space="preserve"> </w:t>
      </w:r>
      <w:bookmarkStart w:id="10" w:name="_Hlk10210665"/>
      <w:r w:rsidRPr="007A46C8">
        <w:rPr>
          <w:rFonts w:ascii="Arial" w:hAnsi="Arial" w:cs="Arial"/>
          <w:spacing w:val="-4"/>
          <w:kern w:val="17"/>
          <w:sz w:val="16"/>
          <w:szCs w:val="16"/>
          <w:lang w:val="en-GB"/>
        </w:rPr>
        <w:t>Madelyn Kearns, “Tassal Buys Top Australian Seafood Business with Cash, Shares,” SeafoodSource, July 1, 2015, accessed October 26, 2018, www.seafoodsource.com/news/supply-trade/tassal-buys-top-australian-seafood-business-with-cash-shares</w:t>
      </w:r>
      <w:r w:rsidRPr="007A46C8">
        <w:rPr>
          <w:rFonts w:ascii="Arial" w:hAnsi="Arial"/>
          <w:spacing w:val="-4"/>
          <w:kern w:val="17"/>
          <w:sz w:val="16"/>
          <w:szCs w:val="16"/>
          <w:lang w:val="en-GB"/>
        </w:rPr>
        <w:t>.</w:t>
      </w:r>
      <w:bookmarkEnd w:id="10"/>
    </w:p>
  </w:endnote>
  <w:endnote w:id="41">
    <w:p w14:paraId="2DAE6B08" w14:textId="5E2AE1F3" w:rsidR="00B40A82" w:rsidRPr="007A46C8" w:rsidRDefault="00B40A82" w:rsidP="003D30B2">
      <w:pPr>
        <w:pStyle w:val="EndnoteText"/>
        <w:jc w:val="both"/>
        <w:rPr>
          <w:rFonts w:ascii="Arial" w:hAnsi="Arial" w:cs="Arial"/>
          <w:sz w:val="16"/>
          <w:szCs w:val="16"/>
          <w:lang w:val="en-GB"/>
        </w:rPr>
      </w:pPr>
      <w:r w:rsidRPr="007A46C8">
        <w:rPr>
          <w:rStyle w:val="EndnoteReference"/>
          <w:rFonts w:ascii="Arial" w:hAnsi="Arial" w:cs="Arial"/>
          <w:sz w:val="16"/>
          <w:szCs w:val="16"/>
          <w:lang w:val="en-GB"/>
        </w:rPr>
        <w:endnoteRef/>
      </w:r>
      <w:r w:rsidRPr="007A46C8">
        <w:rPr>
          <w:rFonts w:ascii="Arial" w:hAnsi="Arial" w:cs="Arial"/>
          <w:sz w:val="16"/>
          <w:szCs w:val="16"/>
          <w:lang w:val="en-GB"/>
        </w:rPr>
        <w:t xml:space="preserve"> Tassal Group Limited, </w:t>
      </w:r>
      <w:r w:rsidRPr="007A46C8">
        <w:rPr>
          <w:rFonts w:ascii="Arial" w:hAnsi="Arial" w:cs="Arial"/>
          <w:i/>
          <w:sz w:val="16"/>
          <w:szCs w:val="16"/>
          <w:lang w:val="en-GB"/>
        </w:rPr>
        <w:t>Annual Report 2016</w:t>
      </w:r>
      <w:r w:rsidRPr="007A46C8">
        <w:rPr>
          <w:rFonts w:ascii="Arial" w:hAnsi="Arial" w:cs="Arial"/>
          <w:sz w:val="16"/>
          <w:szCs w:val="16"/>
          <w:lang w:val="en-GB"/>
        </w:rPr>
        <w:t>, op. cit., 5.</w:t>
      </w:r>
    </w:p>
  </w:endnote>
  <w:endnote w:id="42">
    <w:p w14:paraId="174CD426" w14:textId="79C81DE2" w:rsidR="00B40A82" w:rsidRPr="007A46C8" w:rsidRDefault="00B40A82" w:rsidP="003D30B2">
      <w:pPr>
        <w:pStyle w:val="EndnoteText"/>
        <w:jc w:val="both"/>
        <w:rPr>
          <w:rFonts w:ascii="Arial" w:hAnsi="Arial" w:cs="Arial"/>
          <w:sz w:val="16"/>
          <w:szCs w:val="16"/>
          <w:lang w:val="en-GB" w:eastAsia="zh-CN"/>
        </w:rPr>
      </w:pPr>
      <w:r w:rsidRPr="007A46C8">
        <w:rPr>
          <w:rStyle w:val="EndnoteReference"/>
          <w:rFonts w:ascii="Arial" w:hAnsi="Arial" w:cs="Arial"/>
          <w:sz w:val="16"/>
          <w:szCs w:val="16"/>
          <w:lang w:val="en-GB"/>
        </w:rPr>
        <w:endnoteRef/>
      </w:r>
      <w:r w:rsidRPr="007A46C8">
        <w:rPr>
          <w:rFonts w:ascii="Arial" w:hAnsi="Arial" w:cs="Arial"/>
          <w:sz w:val="16"/>
          <w:szCs w:val="16"/>
          <w:lang w:val="en-GB"/>
        </w:rPr>
        <w:t xml:space="preserve"> Tassal Group Limited, Annual Report 2017, op. cit., 2.</w:t>
      </w:r>
    </w:p>
  </w:endnote>
  <w:endnote w:id="43">
    <w:p w14:paraId="79736FCC" w14:textId="3662B8B9" w:rsidR="00B40A82" w:rsidRPr="007A46C8" w:rsidRDefault="00B40A82" w:rsidP="003D30B2">
      <w:pPr>
        <w:pStyle w:val="EndnoteText"/>
        <w:jc w:val="both"/>
        <w:rPr>
          <w:rFonts w:ascii="Arial" w:hAnsi="Arial" w:cs="Arial"/>
          <w:sz w:val="16"/>
          <w:szCs w:val="16"/>
          <w:lang w:val="en-GB" w:eastAsia="zh-CN"/>
        </w:rPr>
      </w:pPr>
      <w:r w:rsidRPr="007A46C8">
        <w:rPr>
          <w:rStyle w:val="EndnoteReference"/>
          <w:rFonts w:ascii="Arial" w:hAnsi="Arial" w:cs="Arial"/>
          <w:sz w:val="16"/>
          <w:szCs w:val="16"/>
          <w:lang w:val="en-GB"/>
        </w:rPr>
        <w:endnoteRef/>
      </w:r>
      <w:r w:rsidRPr="007A46C8">
        <w:rPr>
          <w:rFonts w:ascii="Arial" w:hAnsi="Arial" w:cs="Arial"/>
          <w:sz w:val="16"/>
          <w:szCs w:val="16"/>
          <w:lang w:val="en-GB"/>
        </w:rPr>
        <w:t xml:space="preserve"> Kearns, op. cit.; Chris Pash, “The De Costi Fish Family Has Just Sold the Business,” </w:t>
      </w:r>
      <w:r w:rsidRPr="007A46C8">
        <w:rPr>
          <w:rFonts w:ascii="Arial" w:hAnsi="Arial" w:cs="Arial"/>
          <w:i/>
          <w:sz w:val="16"/>
          <w:szCs w:val="16"/>
          <w:lang w:val="en-GB"/>
        </w:rPr>
        <w:t>Business Insider</w:t>
      </w:r>
      <w:r w:rsidRPr="007A46C8">
        <w:rPr>
          <w:rFonts w:ascii="Arial" w:hAnsi="Arial" w:cs="Arial"/>
          <w:sz w:val="16"/>
          <w:szCs w:val="16"/>
          <w:lang w:val="en-GB"/>
        </w:rPr>
        <w:t>, July 1, 2015, accessed October 26, 2018, www.businessinsider.com.au/the-de-costi-fish-family-has-just-sold-the-business-2015-7.</w:t>
      </w:r>
    </w:p>
  </w:endnote>
  <w:endnote w:id="44">
    <w:p w14:paraId="5C94D593" w14:textId="45361009" w:rsidR="00B40A82" w:rsidRPr="007A46C8" w:rsidRDefault="00B40A82" w:rsidP="00C5280C">
      <w:pPr>
        <w:pStyle w:val="Footnote"/>
        <w:rPr>
          <w:sz w:val="16"/>
          <w:szCs w:val="16"/>
          <w:lang w:val="en-GB"/>
        </w:rPr>
      </w:pPr>
      <w:r w:rsidRPr="007A46C8">
        <w:rPr>
          <w:rStyle w:val="EndnoteReference"/>
          <w:sz w:val="16"/>
          <w:szCs w:val="16"/>
          <w:lang w:val="en-GB"/>
        </w:rPr>
        <w:endnoteRef/>
      </w:r>
      <w:r w:rsidRPr="007A46C8">
        <w:rPr>
          <w:sz w:val="16"/>
          <w:szCs w:val="16"/>
          <w:lang w:val="en-GB"/>
        </w:rPr>
        <w:t xml:space="preserve"> Tassal Group Limited, </w:t>
      </w:r>
      <w:r w:rsidRPr="007A46C8">
        <w:rPr>
          <w:i/>
          <w:sz w:val="16"/>
          <w:szCs w:val="16"/>
          <w:lang w:val="en-GB"/>
        </w:rPr>
        <w:t>Annual Report 2016</w:t>
      </w:r>
      <w:r w:rsidRPr="007A46C8">
        <w:rPr>
          <w:sz w:val="16"/>
          <w:szCs w:val="16"/>
          <w:lang w:val="en-GB"/>
        </w:rPr>
        <w:t>, op. cit., 3–4.</w:t>
      </w:r>
    </w:p>
  </w:endnote>
  <w:endnote w:id="45">
    <w:p w14:paraId="54D25AF7" w14:textId="3A592E80" w:rsidR="00B40A82" w:rsidRPr="007A46C8" w:rsidRDefault="00B40A82" w:rsidP="003D30B2">
      <w:pPr>
        <w:pStyle w:val="EndnoteText"/>
        <w:jc w:val="both"/>
        <w:rPr>
          <w:rFonts w:ascii="Arial" w:hAnsi="Arial" w:cs="Arial"/>
          <w:sz w:val="16"/>
          <w:szCs w:val="16"/>
          <w:lang w:val="en-GB"/>
        </w:rPr>
      </w:pPr>
      <w:r w:rsidRPr="007A46C8">
        <w:rPr>
          <w:rStyle w:val="EndnoteReference"/>
          <w:rFonts w:ascii="Arial" w:hAnsi="Arial" w:cs="Arial"/>
          <w:sz w:val="16"/>
          <w:szCs w:val="16"/>
          <w:lang w:val="en-GB"/>
        </w:rPr>
        <w:endnoteRef/>
      </w:r>
      <w:r w:rsidRPr="007A46C8">
        <w:rPr>
          <w:rFonts w:ascii="Arial" w:hAnsi="Arial" w:cs="Arial"/>
          <w:sz w:val="16"/>
          <w:szCs w:val="16"/>
          <w:lang w:val="en-GB"/>
        </w:rPr>
        <w:t xml:space="preserve"> Gearing ratio = net debt ÷ equity ratio; Funding ratio = (net debt + receivable purchase facility) ÷ equity.</w:t>
      </w:r>
    </w:p>
  </w:endnote>
  <w:endnote w:id="46">
    <w:p w14:paraId="24F8AB85" w14:textId="32A1AC26" w:rsidR="00B40A82" w:rsidRPr="007A46C8" w:rsidRDefault="00B40A82" w:rsidP="003D30B2">
      <w:pPr>
        <w:pStyle w:val="EndnoteText"/>
        <w:jc w:val="both"/>
        <w:rPr>
          <w:rStyle w:val="FootnoteChar"/>
          <w:rFonts w:eastAsia="Calibri"/>
          <w:sz w:val="16"/>
          <w:szCs w:val="16"/>
          <w:lang w:val="en-GB"/>
        </w:rPr>
      </w:pPr>
      <w:r w:rsidRPr="007A46C8">
        <w:rPr>
          <w:rStyle w:val="EndnoteReference"/>
          <w:rFonts w:ascii="Arial" w:hAnsi="Arial" w:cs="Arial"/>
          <w:sz w:val="16"/>
          <w:szCs w:val="16"/>
          <w:lang w:val="en-GB"/>
        </w:rPr>
        <w:endnoteRef/>
      </w:r>
      <w:r w:rsidRPr="007A46C8">
        <w:rPr>
          <w:rFonts w:ascii="Arial" w:hAnsi="Arial" w:cs="Arial"/>
          <w:sz w:val="16"/>
          <w:szCs w:val="16"/>
          <w:lang w:val="en-GB"/>
        </w:rPr>
        <w:t xml:space="preserve"> Tassal Group Limited, </w:t>
      </w:r>
      <w:r w:rsidRPr="007A46C8">
        <w:rPr>
          <w:rFonts w:ascii="Arial" w:hAnsi="Arial" w:cs="Arial"/>
          <w:i/>
          <w:sz w:val="16"/>
          <w:szCs w:val="16"/>
          <w:lang w:val="en-GB"/>
        </w:rPr>
        <w:t>Interview with Mark Ryan</w:t>
      </w:r>
      <w:r w:rsidRPr="007A46C8">
        <w:rPr>
          <w:rFonts w:ascii="Arial" w:hAnsi="Arial" w:cs="Arial"/>
          <w:sz w:val="16"/>
          <w:szCs w:val="16"/>
          <w:lang w:val="en-GB"/>
        </w:rPr>
        <w:t>,</w:t>
      </w:r>
      <w:r w:rsidRPr="007A46C8">
        <w:rPr>
          <w:rStyle w:val="FootnoteChar"/>
          <w:rFonts w:eastAsia="Calibri"/>
          <w:sz w:val="16"/>
          <w:szCs w:val="16"/>
          <w:lang w:val="en-GB"/>
        </w:rPr>
        <w:t xml:space="preserve"> op. cit., 2.</w:t>
      </w:r>
    </w:p>
  </w:endnote>
  <w:endnote w:id="47">
    <w:p w14:paraId="72D8D578" w14:textId="7F55FE80" w:rsidR="00B40A82" w:rsidRPr="007A46C8" w:rsidRDefault="00B40A82" w:rsidP="003D30B2">
      <w:pPr>
        <w:pStyle w:val="EndnoteText"/>
        <w:jc w:val="both"/>
        <w:rPr>
          <w:rFonts w:ascii="Arial" w:hAnsi="Arial" w:cs="Arial"/>
          <w:spacing w:val="-6"/>
          <w:kern w:val="17"/>
          <w:sz w:val="16"/>
          <w:szCs w:val="16"/>
          <w:lang w:val="en-GB" w:eastAsia="zh-CN"/>
        </w:rPr>
      </w:pPr>
      <w:r w:rsidRPr="007A46C8">
        <w:rPr>
          <w:rStyle w:val="EndnoteReference"/>
          <w:rFonts w:ascii="Arial" w:hAnsi="Arial" w:cs="Arial"/>
          <w:spacing w:val="-6"/>
          <w:kern w:val="17"/>
          <w:sz w:val="16"/>
          <w:szCs w:val="16"/>
          <w:lang w:val="en-GB"/>
        </w:rPr>
        <w:endnoteRef/>
      </w:r>
      <w:r w:rsidRPr="007A46C8">
        <w:rPr>
          <w:rFonts w:ascii="Arial" w:hAnsi="Arial" w:cs="Arial"/>
          <w:spacing w:val="-6"/>
          <w:kern w:val="17"/>
          <w:sz w:val="16"/>
          <w:szCs w:val="16"/>
          <w:lang w:val="en-GB"/>
        </w:rPr>
        <w:t xml:space="preserve"> John Warrillow, “4 Reasons Earn-Outs Blow Up (and How to Protect Yourself),” </w:t>
      </w:r>
      <w:r w:rsidRPr="007A46C8">
        <w:rPr>
          <w:rFonts w:ascii="Arial" w:hAnsi="Arial" w:cs="Arial"/>
          <w:i/>
          <w:spacing w:val="-6"/>
          <w:kern w:val="17"/>
          <w:sz w:val="16"/>
          <w:szCs w:val="16"/>
          <w:lang w:val="en-GB"/>
        </w:rPr>
        <w:t>Forbes</w:t>
      </w:r>
      <w:r w:rsidRPr="007A46C8">
        <w:rPr>
          <w:rFonts w:ascii="Arial" w:hAnsi="Arial" w:cs="Arial"/>
          <w:spacing w:val="-6"/>
          <w:kern w:val="17"/>
          <w:sz w:val="16"/>
          <w:szCs w:val="16"/>
          <w:lang w:val="en-GB"/>
        </w:rPr>
        <w:t>, April 2, 2017, accessed October 25, 2018, www.forbes.com/sites/johnwarrillow/2017/04/02/4-reasons-earn-outs-blow-up-and-how-to-protect-yourself/#7c6ba d075b49.</w:t>
      </w:r>
    </w:p>
  </w:endnote>
  <w:endnote w:id="48">
    <w:p w14:paraId="038259BA" w14:textId="7F751115" w:rsidR="00B40A82" w:rsidRPr="007A46C8" w:rsidRDefault="00B40A82" w:rsidP="003D30B2">
      <w:pPr>
        <w:pStyle w:val="EndnoteText"/>
        <w:jc w:val="both"/>
        <w:rPr>
          <w:rFonts w:ascii="Arial" w:hAnsi="Arial" w:cs="Arial"/>
          <w:sz w:val="16"/>
          <w:szCs w:val="16"/>
          <w:lang w:val="en-GB" w:eastAsia="zh-CN"/>
        </w:rPr>
      </w:pPr>
      <w:r w:rsidRPr="007A46C8">
        <w:rPr>
          <w:rStyle w:val="EndnoteReference"/>
          <w:rFonts w:ascii="Arial" w:hAnsi="Arial" w:cs="Arial"/>
          <w:sz w:val="16"/>
          <w:szCs w:val="16"/>
          <w:lang w:val="en-GB"/>
        </w:rPr>
        <w:endnoteRef/>
      </w:r>
      <w:r w:rsidRPr="007A46C8">
        <w:rPr>
          <w:rFonts w:ascii="Arial" w:hAnsi="Arial" w:cs="Arial"/>
          <w:sz w:val="16"/>
          <w:szCs w:val="16"/>
          <w:lang w:val="en-GB"/>
        </w:rPr>
        <w:t xml:space="preserve"> Tassal Group Limited, </w:t>
      </w:r>
      <w:r w:rsidRPr="007A46C8">
        <w:rPr>
          <w:rFonts w:ascii="Arial" w:hAnsi="Arial" w:cs="Arial"/>
          <w:i/>
          <w:sz w:val="16"/>
          <w:szCs w:val="16"/>
          <w:lang w:val="en-GB"/>
        </w:rPr>
        <w:t>Annual Report 2017</w:t>
      </w:r>
      <w:r w:rsidRPr="007A46C8">
        <w:rPr>
          <w:rFonts w:ascii="Arial" w:hAnsi="Arial" w:cs="Arial"/>
          <w:sz w:val="16"/>
          <w:szCs w:val="16"/>
          <w:lang w:val="en-GB"/>
        </w:rPr>
        <w:t>, op. cit., 3.</w:t>
      </w:r>
    </w:p>
  </w:endnote>
  <w:endnote w:id="49">
    <w:p w14:paraId="3AB8F53C" w14:textId="4E482463" w:rsidR="00B40A82" w:rsidRPr="007A46C8" w:rsidRDefault="00B40A82" w:rsidP="003D30B2">
      <w:pPr>
        <w:pStyle w:val="EndnoteText"/>
        <w:jc w:val="both"/>
        <w:rPr>
          <w:rFonts w:ascii="Arial" w:hAnsi="Arial" w:cs="Arial"/>
          <w:sz w:val="16"/>
          <w:szCs w:val="16"/>
          <w:lang w:val="en-GB" w:eastAsia="zh-CN"/>
        </w:rPr>
      </w:pPr>
      <w:r w:rsidRPr="007A46C8">
        <w:rPr>
          <w:rStyle w:val="EndnoteReference"/>
          <w:rFonts w:ascii="Arial" w:hAnsi="Arial" w:cs="Arial"/>
          <w:sz w:val="16"/>
          <w:szCs w:val="16"/>
          <w:lang w:val="en-GB"/>
        </w:rPr>
        <w:endnoteRef/>
      </w:r>
      <w:r w:rsidRPr="007A46C8">
        <w:rPr>
          <w:rFonts w:ascii="Arial" w:hAnsi="Arial" w:cs="Arial"/>
          <w:sz w:val="16"/>
          <w:szCs w:val="16"/>
          <w:lang w:val="en-GB"/>
        </w:rPr>
        <w:t xml:space="preserve"> Mark Ryan and Andrew Creswell, </w:t>
      </w:r>
      <w:r w:rsidRPr="007A46C8">
        <w:rPr>
          <w:rFonts w:ascii="Arial" w:hAnsi="Arial" w:cs="Arial"/>
          <w:i/>
          <w:sz w:val="16"/>
          <w:szCs w:val="16"/>
          <w:lang w:val="en-GB"/>
        </w:rPr>
        <w:t>Tassal Group Limited 1H18 Results</w:t>
      </w:r>
      <w:r w:rsidRPr="007A46C8">
        <w:rPr>
          <w:rFonts w:ascii="Arial" w:hAnsi="Arial" w:cs="Arial"/>
          <w:sz w:val="16"/>
          <w:szCs w:val="16"/>
          <w:lang w:val="en-GB"/>
        </w:rPr>
        <w:t>, 16, February 23, 2018, accessed October 25, 2018, http://tas</w:t>
      </w:r>
      <w:bookmarkStart w:id="11" w:name="_GoBack"/>
      <w:bookmarkEnd w:id="11"/>
      <w:r w:rsidRPr="007A46C8">
        <w:rPr>
          <w:rFonts w:ascii="Arial" w:hAnsi="Arial" w:cs="Arial"/>
          <w:sz w:val="16"/>
          <w:szCs w:val="16"/>
          <w:lang w:val="en-GB"/>
        </w:rPr>
        <w:t>salgroup.com.au/wp-content/uploads/sites/2/2018/03/Investor-Relations-Presentation-1H-2018.compressed2-ilovepdf-compressed.pdf.</w:t>
      </w:r>
    </w:p>
  </w:endnote>
  <w:endnote w:id="50">
    <w:p w14:paraId="64A4CF45" w14:textId="23FC9810" w:rsidR="00B40A82" w:rsidRPr="007A46C8" w:rsidRDefault="00B40A82" w:rsidP="003D30B2">
      <w:pPr>
        <w:pStyle w:val="EndnoteText"/>
        <w:jc w:val="both"/>
        <w:rPr>
          <w:rFonts w:ascii="Arial" w:hAnsi="Arial" w:cs="Arial"/>
          <w:sz w:val="16"/>
          <w:szCs w:val="16"/>
          <w:lang w:val="en-GB"/>
        </w:rPr>
      </w:pPr>
      <w:r w:rsidRPr="007A46C8">
        <w:rPr>
          <w:rStyle w:val="EndnoteReference"/>
          <w:rFonts w:ascii="Arial" w:hAnsi="Arial" w:cs="Arial"/>
          <w:sz w:val="16"/>
          <w:szCs w:val="16"/>
          <w:lang w:val="en-GB"/>
        </w:rPr>
        <w:endnoteRef/>
      </w:r>
      <w:r w:rsidRPr="007A46C8">
        <w:rPr>
          <w:rFonts w:ascii="Arial" w:hAnsi="Arial" w:cs="Arial"/>
          <w:sz w:val="16"/>
          <w:szCs w:val="16"/>
          <w:lang w:val="en-GB"/>
        </w:rPr>
        <w:t xml:space="preserve"> Lynch, op. cit.</w:t>
      </w:r>
    </w:p>
  </w:endnote>
  <w:endnote w:id="51">
    <w:p w14:paraId="21B0670E" w14:textId="5A470EB1" w:rsidR="00B40A82" w:rsidRPr="007A46C8" w:rsidRDefault="00B40A82" w:rsidP="003D30B2">
      <w:pPr>
        <w:pStyle w:val="EndnoteText"/>
        <w:jc w:val="both"/>
        <w:rPr>
          <w:rFonts w:ascii="Arial" w:hAnsi="Arial" w:cs="Arial"/>
          <w:sz w:val="16"/>
          <w:szCs w:val="16"/>
          <w:lang w:val="en-GB" w:eastAsia="zh-CN"/>
        </w:rPr>
      </w:pPr>
      <w:r w:rsidRPr="007A46C8">
        <w:rPr>
          <w:rStyle w:val="EndnoteReference"/>
          <w:rFonts w:ascii="Arial" w:hAnsi="Arial" w:cs="Arial"/>
          <w:sz w:val="16"/>
          <w:szCs w:val="16"/>
          <w:lang w:val="en-GB"/>
        </w:rPr>
        <w:endnoteRef/>
      </w:r>
      <w:r w:rsidRPr="007A46C8">
        <w:rPr>
          <w:rFonts w:ascii="Arial" w:hAnsi="Arial" w:cs="Arial"/>
          <w:sz w:val="16"/>
          <w:szCs w:val="16"/>
          <w:lang w:val="en-GB"/>
        </w:rPr>
        <w:t xml:space="preserve"> Tassal Group Limited, </w:t>
      </w:r>
      <w:r w:rsidRPr="007A46C8">
        <w:rPr>
          <w:rFonts w:ascii="Arial" w:hAnsi="Arial" w:cs="Arial"/>
          <w:i/>
          <w:sz w:val="16"/>
          <w:szCs w:val="16"/>
          <w:lang w:val="en-GB"/>
        </w:rPr>
        <w:t>Annual Report 2017</w:t>
      </w:r>
      <w:r w:rsidRPr="007A46C8">
        <w:rPr>
          <w:rFonts w:ascii="Arial" w:hAnsi="Arial" w:cs="Arial"/>
          <w:sz w:val="16"/>
          <w:szCs w:val="16"/>
          <w:lang w:val="en-GB"/>
        </w:rPr>
        <w:t>, op. cit., 3, 15.</w:t>
      </w:r>
    </w:p>
  </w:endnote>
  <w:endnote w:id="52">
    <w:p w14:paraId="076E4786" w14:textId="195E5926" w:rsidR="00B40A82" w:rsidRPr="007A46C8" w:rsidRDefault="00B40A82" w:rsidP="003D30B2">
      <w:pPr>
        <w:pStyle w:val="EndnoteText"/>
        <w:jc w:val="both"/>
        <w:rPr>
          <w:rFonts w:ascii="Arial" w:hAnsi="Arial" w:cs="Arial"/>
          <w:sz w:val="16"/>
          <w:szCs w:val="16"/>
          <w:lang w:val="en-GB" w:eastAsia="zh-CN"/>
        </w:rPr>
      </w:pPr>
      <w:r w:rsidRPr="007A46C8">
        <w:rPr>
          <w:rStyle w:val="EndnoteReference"/>
          <w:rFonts w:ascii="Arial" w:hAnsi="Arial" w:cs="Arial"/>
          <w:sz w:val="16"/>
          <w:szCs w:val="16"/>
          <w:lang w:val="en-GB"/>
        </w:rPr>
        <w:endnoteRef/>
      </w:r>
      <w:r w:rsidRPr="007A46C8">
        <w:rPr>
          <w:rFonts w:ascii="Arial" w:hAnsi="Arial" w:cs="Arial"/>
          <w:sz w:val="16"/>
          <w:szCs w:val="16"/>
          <w:lang w:val="en-GB"/>
        </w:rPr>
        <w:t xml:space="preserve"> “Our Story,” op. cit.; </w:t>
      </w:r>
      <w:bookmarkStart w:id="12" w:name="_Hlk10210823"/>
      <w:r w:rsidRPr="007A46C8">
        <w:rPr>
          <w:rFonts w:ascii="Arial" w:hAnsi="Arial" w:cs="Arial"/>
          <w:sz w:val="16"/>
          <w:szCs w:val="16"/>
          <w:lang w:val="en-GB"/>
        </w:rPr>
        <w:t>“Vision, Mission &amp; Values,” Tassal Group Limited, accessed October 26, 2018, http://tassalgroup.com.au/about-us/vision-mission-values/.</w:t>
      </w:r>
      <w:bookmarkEnd w:id="12"/>
    </w:p>
  </w:endnote>
  <w:endnote w:id="53">
    <w:p w14:paraId="2CBAA570" w14:textId="293C0369" w:rsidR="00B40A82" w:rsidRPr="007A46C8" w:rsidRDefault="00B40A82" w:rsidP="003D30B2">
      <w:pPr>
        <w:pStyle w:val="EndnoteText"/>
        <w:jc w:val="both"/>
        <w:rPr>
          <w:rFonts w:ascii="Arial" w:hAnsi="Arial" w:cs="Arial"/>
          <w:sz w:val="16"/>
          <w:szCs w:val="16"/>
          <w:lang w:val="en-GB"/>
        </w:rPr>
      </w:pPr>
      <w:r w:rsidRPr="007A46C8">
        <w:rPr>
          <w:rStyle w:val="EndnoteReference"/>
          <w:rFonts w:ascii="Arial" w:hAnsi="Arial" w:cs="Arial"/>
          <w:sz w:val="16"/>
          <w:szCs w:val="16"/>
          <w:lang w:val="en-GB"/>
        </w:rPr>
        <w:endnoteRef/>
      </w:r>
      <w:r w:rsidRPr="007A46C8">
        <w:rPr>
          <w:rFonts w:ascii="Arial" w:hAnsi="Arial" w:cs="Arial"/>
          <w:sz w:val="16"/>
          <w:szCs w:val="16"/>
          <w:lang w:val="en-GB"/>
        </w:rPr>
        <w:t xml:space="preserve"> Pash, op. cit.</w:t>
      </w:r>
    </w:p>
  </w:endnote>
  <w:endnote w:id="54">
    <w:p w14:paraId="0F6997A7" w14:textId="6FE14C82" w:rsidR="00B40A82" w:rsidRPr="007A46C8" w:rsidRDefault="00B40A82" w:rsidP="003D30B2">
      <w:pPr>
        <w:pStyle w:val="EndnoteText"/>
        <w:jc w:val="both"/>
        <w:rPr>
          <w:rFonts w:ascii="Arial" w:hAnsi="Arial" w:cs="Arial"/>
          <w:sz w:val="16"/>
          <w:szCs w:val="16"/>
          <w:lang w:val="en-GB"/>
        </w:rPr>
      </w:pPr>
      <w:r w:rsidRPr="007A46C8">
        <w:rPr>
          <w:rStyle w:val="EndnoteReference"/>
          <w:rFonts w:ascii="Arial" w:hAnsi="Arial" w:cs="Arial"/>
          <w:sz w:val="16"/>
          <w:szCs w:val="16"/>
          <w:lang w:val="en-GB"/>
        </w:rPr>
        <w:endnoteRef/>
      </w:r>
      <w:r w:rsidRPr="007A46C8">
        <w:rPr>
          <w:rFonts w:ascii="Arial" w:hAnsi="Arial" w:cs="Arial"/>
          <w:sz w:val="16"/>
          <w:szCs w:val="16"/>
          <w:lang w:val="en-GB"/>
        </w:rPr>
        <w:t xml:space="preserve"> Tom Seaman, “Tassal Plans to Increase Shrimp Production Six-Fold at Farms It’s Buying for over $20M,” Undercurrent News, August 24, 2018, accessed October 26, 2018, www.undercurrentnews.com/2018/08/24/tassal-plans-to-increase-shrimp-production-six-fold-at-farms-its-buying-for-over-20m/.</w:t>
      </w:r>
    </w:p>
  </w:endnote>
  <w:endnote w:id="55">
    <w:p w14:paraId="60EB8C9A" w14:textId="183CFBD6" w:rsidR="00B40A82" w:rsidRPr="007A46C8" w:rsidRDefault="00B40A82" w:rsidP="003D30B2">
      <w:pPr>
        <w:pStyle w:val="EndnoteText"/>
        <w:jc w:val="both"/>
        <w:rPr>
          <w:rFonts w:ascii="Arial" w:hAnsi="Arial" w:cs="Arial"/>
          <w:sz w:val="16"/>
          <w:szCs w:val="16"/>
          <w:lang w:val="en-GB"/>
        </w:rPr>
      </w:pPr>
      <w:r w:rsidRPr="007A46C8">
        <w:rPr>
          <w:rStyle w:val="EndnoteReference"/>
          <w:rFonts w:ascii="Arial" w:hAnsi="Arial" w:cs="Arial"/>
          <w:sz w:val="16"/>
          <w:szCs w:val="16"/>
          <w:lang w:val="en-GB"/>
        </w:rPr>
        <w:endnoteRef/>
      </w:r>
      <w:r w:rsidRPr="007A46C8">
        <w:rPr>
          <w:rFonts w:ascii="Arial" w:hAnsi="Arial" w:cs="Arial"/>
          <w:sz w:val="16"/>
          <w:szCs w:val="16"/>
          <w:lang w:val="en-GB"/>
        </w:rPr>
        <w:t xml:space="preserve"> Wright, op. cit., 33.</w:t>
      </w:r>
    </w:p>
  </w:endnote>
  <w:endnote w:id="56">
    <w:p w14:paraId="477DCCDB" w14:textId="7CAC06DC" w:rsidR="00B40A82" w:rsidRPr="007A46C8" w:rsidRDefault="00B40A82" w:rsidP="00C5280C">
      <w:pPr>
        <w:pStyle w:val="Footnote"/>
        <w:rPr>
          <w:sz w:val="16"/>
          <w:szCs w:val="16"/>
          <w:lang w:val="en-GB"/>
        </w:rPr>
      </w:pPr>
      <w:r w:rsidRPr="007A46C8">
        <w:rPr>
          <w:rStyle w:val="EndnoteReference"/>
          <w:sz w:val="16"/>
          <w:szCs w:val="16"/>
          <w:lang w:val="en-GB"/>
        </w:rPr>
        <w:endnoteRef/>
      </w:r>
      <w:r w:rsidRPr="007A46C8">
        <w:rPr>
          <w:sz w:val="16"/>
          <w:szCs w:val="16"/>
          <w:lang w:val="en-GB"/>
        </w:rPr>
        <w:t xml:space="preserve"> </w:t>
      </w:r>
      <w:r w:rsidR="007A46C8" w:rsidRPr="007A46C8">
        <w:rPr>
          <w:sz w:val="16"/>
          <w:szCs w:val="16"/>
          <w:lang w:val="en-GB"/>
        </w:rPr>
        <w:t>Ibid,</w:t>
      </w:r>
      <w:r w:rsidRPr="007A46C8">
        <w:rPr>
          <w:sz w:val="16"/>
          <w:szCs w:val="16"/>
          <w:lang w:val="en-GB"/>
        </w:rPr>
        <w:t xml:space="preserve"> 7.</w:t>
      </w:r>
    </w:p>
  </w:endnote>
  <w:endnote w:id="57">
    <w:p w14:paraId="4028D064" w14:textId="60FD5A9E" w:rsidR="00B40A82" w:rsidRPr="007A46C8" w:rsidRDefault="00B40A82" w:rsidP="003D30B2">
      <w:pPr>
        <w:pStyle w:val="EndnoteText"/>
        <w:jc w:val="both"/>
        <w:rPr>
          <w:rFonts w:ascii="Arial" w:hAnsi="Arial"/>
          <w:sz w:val="16"/>
          <w:szCs w:val="16"/>
          <w:lang w:val="en-GB"/>
        </w:rPr>
      </w:pPr>
      <w:r w:rsidRPr="007A46C8">
        <w:rPr>
          <w:rStyle w:val="EndnoteReference"/>
          <w:rFonts w:ascii="Arial" w:hAnsi="Arial"/>
          <w:sz w:val="16"/>
          <w:szCs w:val="16"/>
          <w:lang w:val="en-GB"/>
        </w:rPr>
        <w:endnoteRef/>
      </w:r>
      <w:r w:rsidR="007A46C8" w:rsidRPr="007A46C8">
        <w:rPr>
          <w:rFonts w:ascii="Arial" w:hAnsi="Arial"/>
          <w:sz w:val="16"/>
          <w:szCs w:val="16"/>
          <w:lang w:val="en-GB"/>
        </w:rPr>
        <w:t> </w:t>
      </w:r>
      <w:r w:rsidRPr="007A46C8">
        <w:rPr>
          <w:rFonts w:ascii="Arial" w:hAnsi="Arial" w:cs="Arial"/>
          <w:kern w:val="2"/>
          <w:sz w:val="16"/>
          <w:szCs w:val="16"/>
          <w:lang w:val="en-GB"/>
        </w:rPr>
        <w:t xml:space="preserve">Wise, </w:t>
      </w:r>
      <w:r w:rsidRPr="007A46C8">
        <w:rPr>
          <w:rFonts w:ascii="Arial" w:hAnsi="Arial" w:cs="Arial"/>
          <w:i/>
          <w:kern w:val="2"/>
          <w:sz w:val="16"/>
          <w:szCs w:val="16"/>
          <w:lang w:val="en-GB"/>
        </w:rPr>
        <w:t>WiseFish Upgrade: The Inside Story at Tassal Australia</w:t>
      </w:r>
      <w:r w:rsidRPr="007A46C8">
        <w:rPr>
          <w:rFonts w:ascii="Arial" w:hAnsi="Arial" w:cs="Arial"/>
          <w:kern w:val="2"/>
          <w:sz w:val="16"/>
          <w:szCs w:val="16"/>
          <w:lang w:val="en-GB"/>
        </w:rPr>
        <w:t>, accessed October 27, 18, www.wisefish.com/images/Factscheets/Case_Study_-_Tassal_-_portrait_REV03_forweb.pdf.</w:t>
      </w:r>
      <w:r w:rsidRPr="007A46C8" w:rsidDel="00DC5F2A">
        <w:rPr>
          <w:rFonts w:ascii="Arial" w:hAnsi="Arial"/>
          <w:sz w:val="16"/>
          <w:szCs w:val="16"/>
          <w:lang w:val="en-GB"/>
        </w:rPr>
        <w:t xml:space="preserve"> </w:t>
      </w:r>
    </w:p>
  </w:endnote>
  <w:endnote w:id="58">
    <w:p w14:paraId="78CF5634" w14:textId="533C515B" w:rsidR="00B40A82" w:rsidRPr="007A46C8" w:rsidRDefault="00B40A82" w:rsidP="003D30B2">
      <w:pPr>
        <w:pStyle w:val="EndnoteText"/>
        <w:jc w:val="both"/>
        <w:rPr>
          <w:rFonts w:ascii="Arial" w:hAnsi="Arial" w:cs="Arial"/>
          <w:sz w:val="16"/>
          <w:szCs w:val="16"/>
          <w:lang w:val="en-GB"/>
        </w:rPr>
      </w:pPr>
      <w:r w:rsidRPr="007A46C8">
        <w:rPr>
          <w:rStyle w:val="EndnoteReference"/>
          <w:rFonts w:ascii="Arial" w:hAnsi="Arial" w:cs="Arial"/>
          <w:sz w:val="16"/>
          <w:szCs w:val="16"/>
          <w:lang w:val="en-GB"/>
        </w:rPr>
        <w:endnoteRef/>
      </w:r>
      <w:r w:rsidRPr="007A46C8">
        <w:rPr>
          <w:rFonts w:ascii="Arial" w:hAnsi="Arial" w:cs="Arial"/>
          <w:sz w:val="16"/>
          <w:szCs w:val="16"/>
          <w:lang w:val="en-GB"/>
        </w:rPr>
        <w:t xml:space="preserve"> Akhila Prasannan, “Seafood Market by Type—Global Opportunity Analysis and Industry Forecast, 2017–2023,” Allied Market Research, accessed August 21, 2018, www.alliedmarketresearch.com/seafood-market.</w:t>
      </w:r>
    </w:p>
  </w:endnote>
  <w:endnote w:id="59">
    <w:p w14:paraId="452B0CD7" w14:textId="7D340E66" w:rsidR="00B40A82" w:rsidRPr="007A46C8" w:rsidRDefault="00B40A82" w:rsidP="003D30B2">
      <w:pPr>
        <w:pStyle w:val="EndnoteText"/>
        <w:jc w:val="both"/>
        <w:rPr>
          <w:rFonts w:ascii="Arial" w:hAnsi="Arial" w:cs="Arial"/>
          <w:sz w:val="16"/>
          <w:szCs w:val="16"/>
          <w:lang w:val="en-GB" w:eastAsia="zh-CN"/>
        </w:rPr>
      </w:pPr>
      <w:r w:rsidRPr="007A46C8">
        <w:rPr>
          <w:rStyle w:val="EndnoteReference"/>
          <w:rFonts w:ascii="Arial" w:hAnsi="Arial" w:cs="Arial"/>
          <w:sz w:val="16"/>
          <w:szCs w:val="16"/>
          <w:lang w:val="en-GB"/>
        </w:rPr>
        <w:endnoteRef/>
      </w:r>
      <w:r w:rsidRPr="007A46C8">
        <w:rPr>
          <w:rFonts w:ascii="Arial" w:hAnsi="Arial" w:cs="Arial"/>
          <w:sz w:val="16"/>
          <w:szCs w:val="16"/>
          <w:lang w:val="en-GB"/>
        </w:rPr>
        <w:t xml:space="preserve"> Tassal Group Limited</w:t>
      </w:r>
      <w:r w:rsidRPr="007A46C8">
        <w:rPr>
          <w:rFonts w:ascii="Arial" w:hAnsi="Arial" w:cs="Arial"/>
          <w:i/>
          <w:sz w:val="16"/>
          <w:szCs w:val="16"/>
          <w:lang w:val="en-GB"/>
        </w:rPr>
        <w:t>, Annual Report 2017</w:t>
      </w:r>
      <w:r w:rsidRPr="007A46C8">
        <w:rPr>
          <w:rFonts w:ascii="Arial" w:hAnsi="Arial" w:cs="Arial"/>
          <w:sz w:val="16"/>
          <w:szCs w:val="16"/>
          <w:lang w:val="en-GB"/>
        </w:rPr>
        <w:t>, op. cit., 66.</w:t>
      </w:r>
    </w:p>
  </w:endnote>
  <w:endnote w:id="60">
    <w:p w14:paraId="1F986900" w14:textId="1786DA8A" w:rsidR="00B40A82" w:rsidRPr="007A46C8" w:rsidRDefault="00B40A82" w:rsidP="003D30B2">
      <w:pPr>
        <w:pStyle w:val="EndnoteText"/>
        <w:jc w:val="both"/>
        <w:rPr>
          <w:rFonts w:ascii="Arial" w:hAnsi="Arial" w:cs="Arial"/>
          <w:sz w:val="16"/>
          <w:szCs w:val="16"/>
          <w:lang w:val="en-GB" w:eastAsia="zh-CN"/>
        </w:rPr>
      </w:pPr>
      <w:r w:rsidRPr="007A46C8">
        <w:rPr>
          <w:rStyle w:val="EndnoteReference"/>
          <w:rFonts w:ascii="Arial" w:hAnsi="Arial" w:cs="Arial"/>
          <w:sz w:val="16"/>
          <w:szCs w:val="16"/>
          <w:lang w:val="en-GB"/>
        </w:rPr>
        <w:endnoteRef/>
      </w:r>
      <w:r w:rsidRPr="007A46C8">
        <w:rPr>
          <w:rFonts w:ascii="Arial" w:hAnsi="Arial" w:cs="Arial"/>
          <w:sz w:val="16"/>
          <w:szCs w:val="16"/>
          <w:lang w:val="en-GB"/>
        </w:rPr>
        <w:t xml:space="preserve"> “History,” Tasmanian Salmonid Growers Association, accessed October 25, 2018, www.tsga.com.au/history/.</w:t>
      </w:r>
    </w:p>
  </w:endnote>
  <w:endnote w:id="61">
    <w:p w14:paraId="3500F71F" w14:textId="6F627253" w:rsidR="00B40A82" w:rsidRPr="007A46C8" w:rsidRDefault="00B40A82" w:rsidP="003D30B2">
      <w:pPr>
        <w:pStyle w:val="EndnoteText"/>
        <w:jc w:val="both"/>
        <w:rPr>
          <w:rFonts w:ascii="Arial" w:hAnsi="Arial" w:cs="Arial"/>
          <w:sz w:val="16"/>
          <w:szCs w:val="16"/>
          <w:lang w:val="en-GB"/>
        </w:rPr>
      </w:pPr>
      <w:r w:rsidRPr="007A46C8">
        <w:rPr>
          <w:rStyle w:val="EndnoteReference"/>
          <w:rFonts w:ascii="Arial" w:hAnsi="Arial" w:cs="Arial"/>
          <w:sz w:val="16"/>
          <w:szCs w:val="16"/>
          <w:lang w:val="en-GB"/>
        </w:rPr>
        <w:endnoteRef/>
      </w:r>
      <w:r w:rsidRPr="007A46C8">
        <w:rPr>
          <w:rFonts w:ascii="Arial" w:hAnsi="Arial" w:cs="Arial"/>
          <w:sz w:val="16"/>
          <w:szCs w:val="16"/>
          <w:lang w:val="en-GB"/>
        </w:rPr>
        <w:t xml:space="preserve"> “Fisheries data,” Australian Government, Department of Agriculture, accessed October 27, 2018, www.agriculture.gov.au/abares/research-topics/fisheries/fisheries-data#australian-fisheries-and-aquaculture-statistics-2016.</w:t>
      </w:r>
    </w:p>
  </w:endnote>
  <w:endnote w:id="62">
    <w:p w14:paraId="01153D1A" w14:textId="2EC8CDEB" w:rsidR="00B40A82" w:rsidRPr="007A46C8" w:rsidRDefault="00B40A82" w:rsidP="003D30B2">
      <w:pPr>
        <w:pStyle w:val="EndnoteText"/>
        <w:jc w:val="both"/>
        <w:rPr>
          <w:rFonts w:ascii="Arial" w:hAnsi="Arial" w:cs="Arial"/>
          <w:sz w:val="16"/>
          <w:szCs w:val="16"/>
          <w:lang w:val="en-GB" w:eastAsia="zh-CN"/>
        </w:rPr>
      </w:pPr>
      <w:r w:rsidRPr="007A46C8">
        <w:rPr>
          <w:rStyle w:val="EndnoteReference"/>
          <w:rFonts w:ascii="Arial" w:hAnsi="Arial" w:cs="Arial"/>
          <w:sz w:val="16"/>
          <w:szCs w:val="16"/>
          <w:lang w:val="en-GB"/>
        </w:rPr>
        <w:endnoteRef/>
      </w:r>
      <w:r w:rsidRPr="007A46C8">
        <w:rPr>
          <w:rFonts w:ascii="Arial" w:hAnsi="Arial" w:cs="Arial"/>
          <w:sz w:val="16"/>
          <w:szCs w:val="16"/>
          <w:lang w:val="en-GB"/>
        </w:rPr>
        <w:t xml:space="preserve"> “Home—Welcome,” op. cit.</w:t>
      </w:r>
    </w:p>
  </w:endnote>
  <w:endnote w:id="63">
    <w:p w14:paraId="26D5C3F2" w14:textId="6D7278A1" w:rsidR="00B40A82" w:rsidRPr="007A46C8" w:rsidRDefault="00B40A82" w:rsidP="003D30B2">
      <w:pPr>
        <w:pStyle w:val="EndnoteText"/>
        <w:jc w:val="both"/>
        <w:rPr>
          <w:rFonts w:ascii="Arial" w:hAnsi="Arial" w:cs="Arial"/>
          <w:sz w:val="16"/>
          <w:szCs w:val="16"/>
          <w:lang w:val="en-GB" w:eastAsia="zh-CN"/>
        </w:rPr>
      </w:pPr>
      <w:r w:rsidRPr="007A46C8">
        <w:rPr>
          <w:rStyle w:val="EndnoteReference"/>
          <w:rFonts w:ascii="Arial" w:hAnsi="Arial" w:cs="Arial"/>
          <w:sz w:val="16"/>
          <w:szCs w:val="16"/>
          <w:lang w:val="en-GB"/>
        </w:rPr>
        <w:endnoteRef/>
      </w:r>
      <w:r w:rsidRPr="007A46C8">
        <w:rPr>
          <w:rFonts w:ascii="Arial" w:hAnsi="Arial" w:cs="Arial"/>
          <w:sz w:val="16"/>
          <w:szCs w:val="16"/>
          <w:lang w:val="en-GB"/>
        </w:rPr>
        <w:t xml:space="preserve"> Siobhan Galea and James Dunlevie, “Salmon Farmer Says It Warned of Looming Crisis in Macquarie Harbour,” ABC News, May 29, 2018, accessed August 20, 2018, http://www.abc.net.au/news/2018-05-29/salmon-deaths-in-macquarie-harbour-top-one-million-epa-says/9810720.</w:t>
      </w:r>
    </w:p>
  </w:endnote>
  <w:endnote w:id="64">
    <w:p w14:paraId="71CAE8EA" w14:textId="68907C45" w:rsidR="00B40A82" w:rsidRPr="007A46C8" w:rsidRDefault="00B40A82" w:rsidP="003D30B2">
      <w:pPr>
        <w:pStyle w:val="EndnoteText"/>
        <w:jc w:val="both"/>
        <w:rPr>
          <w:rFonts w:ascii="Arial" w:hAnsi="Arial" w:cs="Arial"/>
          <w:sz w:val="16"/>
          <w:szCs w:val="16"/>
          <w:lang w:val="en-GB" w:eastAsia="zh-CN"/>
        </w:rPr>
      </w:pPr>
      <w:r w:rsidRPr="007A46C8">
        <w:rPr>
          <w:rStyle w:val="EndnoteReference"/>
          <w:rFonts w:ascii="Arial" w:hAnsi="Arial" w:cs="Arial"/>
          <w:sz w:val="16"/>
          <w:szCs w:val="16"/>
          <w:lang w:val="en-GB"/>
        </w:rPr>
        <w:endnoteRef/>
      </w:r>
      <w:r w:rsidRPr="007A46C8">
        <w:rPr>
          <w:rFonts w:ascii="Arial" w:hAnsi="Arial" w:cs="Arial"/>
          <w:sz w:val="16"/>
          <w:szCs w:val="16"/>
          <w:lang w:val="en-GB"/>
        </w:rPr>
        <w:t xml:space="preserve"> Juliette Steen, “Everything You Should Know About Salmon Farming,” Huffington Post Australia, November 15, 2016, accessed October 25, 2018, www.huffingtonpost.com.au/2016/11/10/everything-you-should-know-about-salmon-farming_a_21603450/.</w:t>
      </w:r>
    </w:p>
  </w:endnote>
  <w:endnote w:id="65">
    <w:p w14:paraId="105641B9" w14:textId="3126604A" w:rsidR="00B40A82" w:rsidRPr="007A46C8" w:rsidRDefault="00B40A82" w:rsidP="003D30B2">
      <w:pPr>
        <w:pStyle w:val="EndnoteText"/>
        <w:jc w:val="both"/>
        <w:rPr>
          <w:rFonts w:ascii="Arial" w:hAnsi="Arial" w:cs="Arial"/>
          <w:spacing w:val="-4"/>
          <w:kern w:val="17"/>
          <w:sz w:val="16"/>
          <w:szCs w:val="16"/>
          <w:lang w:val="en-GB" w:eastAsia="zh-CN"/>
        </w:rPr>
      </w:pPr>
      <w:r w:rsidRPr="007A46C8">
        <w:rPr>
          <w:rStyle w:val="EndnoteReference"/>
          <w:rFonts w:ascii="Arial" w:hAnsi="Arial" w:cs="Arial"/>
          <w:spacing w:val="-4"/>
          <w:kern w:val="17"/>
          <w:sz w:val="16"/>
          <w:szCs w:val="16"/>
          <w:lang w:val="en-GB"/>
        </w:rPr>
        <w:endnoteRef/>
      </w:r>
      <w:r w:rsidRPr="007A46C8">
        <w:rPr>
          <w:rFonts w:ascii="Arial" w:hAnsi="Arial" w:cs="Arial"/>
          <w:spacing w:val="-4"/>
          <w:kern w:val="17"/>
          <w:sz w:val="16"/>
          <w:szCs w:val="16"/>
          <w:lang w:val="en-GB"/>
        </w:rPr>
        <w:t xml:space="preserve"> Gregor Salmon, “How Salmon Farming Pushed Macquarie Harbour to the Limit,” ABC News, May 29, 2018, accessed October 25, 2018, www.abc.net.au/news/2017-06-08/how-salmon-farming-got-to-push-macquarie-harbour-to-the-limit/8349342.</w:t>
      </w:r>
    </w:p>
  </w:endnote>
  <w:endnote w:id="66">
    <w:p w14:paraId="582416DE" w14:textId="069BBB86" w:rsidR="00B40A82" w:rsidRPr="007A46C8" w:rsidRDefault="00B40A82" w:rsidP="003D30B2">
      <w:pPr>
        <w:pStyle w:val="EndnoteText"/>
        <w:jc w:val="both"/>
        <w:rPr>
          <w:rFonts w:ascii="Arial" w:hAnsi="Arial" w:cs="Arial"/>
          <w:sz w:val="16"/>
          <w:szCs w:val="16"/>
          <w:lang w:val="en-GB" w:eastAsia="zh-CN"/>
        </w:rPr>
      </w:pPr>
      <w:r w:rsidRPr="007A46C8">
        <w:rPr>
          <w:rStyle w:val="EndnoteReference"/>
          <w:rFonts w:ascii="Arial" w:hAnsi="Arial" w:cs="Arial"/>
          <w:sz w:val="16"/>
          <w:szCs w:val="16"/>
          <w:lang w:val="en-GB"/>
        </w:rPr>
        <w:endnoteRef/>
      </w:r>
      <w:r w:rsidRPr="007A46C8">
        <w:rPr>
          <w:rFonts w:ascii="Arial" w:hAnsi="Arial" w:cs="Arial"/>
          <w:sz w:val="16"/>
          <w:szCs w:val="16"/>
          <w:lang w:val="en-GB"/>
        </w:rPr>
        <w:t xml:space="preserve"> Rhiana Whitson, “Macquarie Harbour Salmon Expansion Science Wrong, Admits EPA,” ABC News, March 23, 2018, accessed October 26, 2018, www.abc.net.au/news/2018-03-23/macquarie-harbour-salmon-expansion-science-wrong-admits-epa/9579140.</w:t>
      </w:r>
    </w:p>
  </w:endnote>
  <w:endnote w:id="67">
    <w:p w14:paraId="7B8E397B" w14:textId="73A8725F" w:rsidR="00B40A82" w:rsidRPr="007A46C8" w:rsidRDefault="00B40A82" w:rsidP="003D30B2">
      <w:pPr>
        <w:pStyle w:val="EndnoteText"/>
        <w:jc w:val="both"/>
        <w:rPr>
          <w:rFonts w:ascii="Arial" w:hAnsi="Arial" w:cs="Arial"/>
          <w:sz w:val="16"/>
          <w:szCs w:val="16"/>
          <w:lang w:val="en-GB" w:eastAsia="zh-CN"/>
        </w:rPr>
      </w:pPr>
      <w:r w:rsidRPr="007A46C8">
        <w:rPr>
          <w:rStyle w:val="EndnoteReference"/>
          <w:rFonts w:ascii="Arial" w:hAnsi="Arial" w:cs="Arial"/>
          <w:sz w:val="16"/>
          <w:szCs w:val="16"/>
          <w:lang w:val="en-GB"/>
        </w:rPr>
        <w:endnoteRef/>
      </w:r>
      <w:r w:rsidRPr="007A46C8">
        <w:rPr>
          <w:rFonts w:ascii="Arial" w:hAnsi="Arial" w:cs="Arial"/>
          <w:sz w:val="16"/>
          <w:szCs w:val="16"/>
          <w:lang w:val="en-GB"/>
        </w:rPr>
        <w:t xml:space="preserve"> “Tassal produces about 70 per cent of the state's farmed salmon,”.ABC News, August 19, 2016, accessed </w:t>
      </w:r>
      <w:r w:rsidR="00090630" w:rsidRPr="007A46C8">
        <w:rPr>
          <w:rFonts w:ascii="Arial" w:hAnsi="Arial" w:cs="Arial"/>
          <w:sz w:val="16"/>
          <w:szCs w:val="16"/>
          <w:lang w:val="en-GB"/>
        </w:rPr>
        <w:t>June 8, 2019, https://www.abc.net.au/news/2016-08-19/tassal-produces-about-70-per-cent-of-the-states/7767960</w:t>
      </w:r>
      <w:r w:rsidR="002C417A" w:rsidRPr="007A46C8">
        <w:rPr>
          <w:rFonts w:ascii="Arial" w:hAnsi="Arial" w:cs="Arial"/>
          <w:sz w:val="16"/>
          <w:szCs w:val="16"/>
          <w:lang w:val="en-GB"/>
        </w:rPr>
        <w:t>; “What is salmon farming and why do we need it?,”</w:t>
      </w:r>
      <w:r w:rsidR="00901809" w:rsidRPr="007A46C8">
        <w:rPr>
          <w:rFonts w:ascii="Arial" w:hAnsi="Arial" w:cs="Arial"/>
          <w:sz w:val="16"/>
          <w:szCs w:val="16"/>
          <w:lang w:val="en-GB"/>
        </w:rPr>
        <w:t xml:space="preserve"> G</w:t>
      </w:r>
      <w:r w:rsidR="002C417A" w:rsidRPr="007A46C8">
        <w:rPr>
          <w:rFonts w:ascii="Arial" w:hAnsi="Arial" w:cs="Arial"/>
          <w:sz w:val="16"/>
          <w:szCs w:val="16"/>
          <w:lang w:val="en-GB"/>
        </w:rPr>
        <w:t>lobalsalmoninitiative, accessed June 8, 2019, https://globalsalmoninitiative.org/en/what-is-the-gsi/what-is-salmon-farming-and-why-do-we-need-it/.</w:t>
      </w:r>
    </w:p>
  </w:endnote>
  <w:endnote w:id="68">
    <w:p w14:paraId="1A402709" w14:textId="5A09D8F0" w:rsidR="00B40A82" w:rsidRPr="007A46C8" w:rsidRDefault="00B40A82" w:rsidP="003D30B2">
      <w:pPr>
        <w:pStyle w:val="EndnoteText"/>
        <w:jc w:val="both"/>
        <w:rPr>
          <w:rFonts w:ascii="Arial" w:hAnsi="Arial"/>
          <w:sz w:val="16"/>
          <w:szCs w:val="16"/>
          <w:lang w:val="en-GB"/>
        </w:rPr>
      </w:pPr>
      <w:r w:rsidRPr="007A46C8">
        <w:rPr>
          <w:rStyle w:val="EndnoteReference"/>
          <w:rFonts w:ascii="Arial" w:hAnsi="Arial"/>
          <w:sz w:val="16"/>
          <w:szCs w:val="16"/>
          <w:lang w:val="en-GB"/>
        </w:rPr>
        <w:endnoteRef/>
      </w:r>
      <w:r w:rsidRPr="007A46C8">
        <w:rPr>
          <w:rFonts w:ascii="Arial" w:hAnsi="Arial"/>
          <w:sz w:val="16"/>
          <w:szCs w:val="16"/>
          <w:lang w:val="en-GB"/>
        </w:rPr>
        <w:t xml:space="preserve"> Mark Ryan, </w:t>
      </w:r>
      <w:r w:rsidRPr="007A46C8">
        <w:rPr>
          <w:rFonts w:ascii="Arial" w:hAnsi="Arial"/>
          <w:i/>
          <w:sz w:val="16"/>
          <w:szCs w:val="16"/>
          <w:lang w:val="en-GB"/>
        </w:rPr>
        <w:t>Tassal Group Limited—FY2017 Roadshow</w:t>
      </w:r>
      <w:r w:rsidRPr="007A46C8">
        <w:rPr>
          <w:rFonts w:ascii="Arial" w:hAnsi="Arial"/>
          <w:sz w:val="16"/>
          <w:szCs w:val="16"/>
          <w:lang w:val="en-GB"/>
        </w:rPr>
        <w:t>, 7, accessed March 22, 2019, www.tassal.com.au/wp-content/uploads/2017/09/1711197-FY2017-investor-relations-roadshow.pdf.</w:t>
      </w:r>
    </w:p>
  </w:endnote>
  <w:endnote w:id="69">
    <w:p w14:paraId="2A2647C8" w14:textId="46D46427" w:rsidR="00B40A82" w:rsidRPr="007A46C8" w:rsidRDefault="00B40A82" w:rsidP="003D30B2">
      <w:pPr>
        <w:pStyle w:val="EndnoteText"/>
        <w:jc w:val="both"/>
        <w:rPr>
          <w:rFonts w:ascii="Arial" w:hAnsi="Arial" w:cs="Arial"/>
          <w:sz w:val="16"/>
          <w:szCs w:val="16"/>
          <w:lang w:val="en-GB" w:eastAsia="zh-CN"/>
        </w:rPr>
      </w:pPr>
      <w:r w:rsidRPr="007A46C8">
        <w:rPr>
          <w:rStyle w:val="EndnoteReference"/>
          <w:rFonts w:ascii="Arial" w:hAnsi="Arial" w:cs="Arial"/>
          <w:sz w:val="16"/>
          <w:szCs w:val="16"/>
          <w:lang w:val="en-GB"/>
        </w:rPr>
        <w:endnoteRef/>
      </w:r>
      <w:r w:rsidRPr="007A46C8">
        <w:rPr>
          <w:rFonts w:ascii="Arial" w:hAnsi="Arial" w:cs="Arial"/>
          <w:sz w:val="16"/>
          <w:szCs w:val="16"/>
          <w:lang w:val="en-GB"/>
        </w:rPr>
        <w:t xml:space="preserve"> “Tassal: Understanding the Risks and Issues of Climate Change to Primary Production,” SAI Platform Australia, accessed October 25, 2018, www.saiplatformaust.org/cases/understanding-the-risks-and-issues-of-climate-change-to-primary-production; Amoebic gill disease most notably affected the Tasmanian Atlantic Salmon.</w:t>
      </w:r>
    </w:p>
  </w:endnote>
  <w:endnote w:id="70">
    <w:p w14:paraId="199C9063" w14:textId="6BBAED18" w:rsidR="00B40A82" w:rsidRPr="007A46C8" w:rsidRDefault="00B40A82" w:rsidP="003D30B2">
      <w:pPr>
        <w:pStyle w:val="EndnoteText"/>
        <w:jc w:val="both"/>
        <w:rPr>
          <w:rFonts w:ascii="Arial" w:hAnsi="Arial" w:cs="Arial"/>
          <w:sz w:val="16"/>
          <w:szCs w:val="16"/>
          <w:lang w:val="en-GB" w:eastAsia="zh-CN"/>
        </w:rPr>
      </w:pPr>
      <w:r w:rsidRPr="007A46C8">
        <w:rPr>
          <w:rStyle w:val="EndnoteReference"/>
          <w:rFonts w:ascii="Arial" w:hAnsi="Arial" w:cs="Arial"/>
          <w:sz w:val="16"/>
          <w:szCs w:val="16"/>
          <w:lang w:val="en-GB"/>
        </w:rPr>
        <w:endnoteRef/>
      </w:r>
      <w:r w:rsidRPr="007A46C8">
        <w:rPr>
          <w:rFonts w:ascii="Arial" w:hAnsi="Arial" w:cs="Arial"/>
          <w:sz w:val="16"/>
          <w:szCs w:val="16"/>
          <w:lang w:val="en-GB"/>
        </w:rPr>
        <w:t xml:space="preserve"> “Pink Salmon Scam: Shades of Grey Are Not Pink,” </w:t>
      </w:r>
      <w:r w:rsidRPr="007A46C8">
        <w:rPr>
          <w:rFonts w:ascii="Arial" w:hAnsi="Arial" w:cs="Arial"/>
          <w:i/>
          <w:sz w:val="16"/>
          <w:szCs w:val="16"/>
          <w:lang w:val="en-GB"/>
        </w:rPr>
        <w:t>Australian Morning Mail</w:t>
      </w:r>
      <w:r w:rsidRPr="007A46C8">
        <w:rPr>
          <w:rFonts w:ascii="Arial" w:hAnsi="Arial" w:cs="Arial"/>
          <w:sz w:val="16"/>
          <w:szCs w:val="16"/>
          <w:lang w:val="en-GB"/>
        </w:rPr>
        <w:t>, November 4, 2016, accessed October 25, 2018, http://morningmail.org/pink-salmon-scam-shades-grey-not-pink/.</w:t>
      </w:r>
    </w:p>
  </w:endnote>
  <w:endnote w:id="71">
    <w:p w14:paraId="265BD971" w14:textId="5D12F466" w:rsidR="00B40A82" w:rsidRPr="007A46C8" w:rsidRDefault="00B40A82" w:rsidP="003D30B2">
      <w:pPr>
        <w:pStyle w:val="EndnoteText"/>
        <w:jc w:val="both"/>
        <w:rPr>
          <w:rFonts w:ascii="Arial" w:hAnsi="Arial" w:cs="Arial"/>
          <w:spacing w:val="-6"/>
          <w:kern w:val="17"/>
          <w:sz w:val="16"/>
          <w:szCs w:val="16"/>
          <w:lang w:val="en-GB"/>
        </w:rPr>
      </w:pPr>
      <w:r w:rsidRPr="007A46C8">
        <w:rPr>
          <w:rStyle w:val="EndnoteReference"/>
          <w:rFonts w:ascii="Arial" w:hAnsi="Arial" w:cs="Arial"/>
          <w:spacing w:val="-6"/>
          <w:kern w:val="17"/>
          <w:sz w:val="16"/>
          <w:szCs w:val="16"/>
          <w:lang w:val="en-GB"/>
        </w:rPr>
        <w:endnoteRef/>
      </w:r>
      <w:r w:rsidRPr="007A46C8">
        <w:rPr>
          <w:rFonts w:ascii="Arial" w:hAnsi="Arial" w:cs="Arial"/>
          <w:spacing w:val="-6"/>
          <w:kern w:val="17"/>
          <w:sz w:val="16"/>
          <w:szCs w:val="16"/>
          <w:lang w:val="en-GB"/>
        </w:rPr>
        <w:t xml:space="preserve"> “Tassal and Petuna Create Joint Venture to Improve Marine Farm Biosecurity,” FIS, May 18, 2018, accessed October 25, 2018, www.fis.com/fis/worldnews/worldnews.asp?monthyear=5-2018&amp;day=18&amp;id=97339&amp;l=e&amp;country=0&amp;special=0&amp;ndb=1 &amp;df=0.</w:t>
      </w:r>
    </w:p>
  </w:endnote>
  <w:endnote w:id="72">
    <w:p w14:paraId="2CB195B9" w14:textId="400E8A23" w:rsidR="00B40A82" w:rsidRPr="007A46C8" w:rsidRDefault="00B40A82" w:rsidP="003D30B2">
      <w:pPr>
        <w:pStyle w:val="EndnoteText"/>
        <w:jc w:val="both"/>
        <w:rPr>
          <w:rFonts w:ascii="Arial" w:hAnsi="Arial" w:cs="Arial"/>
          <w:sz w:val="16"/>
          <w:szCs w:val="16"/>
          <w:lang w:val="en-GB"/>
        </w:rPr>
      </w:pPr>
      <w:r w:rsidRPr="007A46C8">
        <w:rPr>
          <w:rStyle w:val="EndnoteReference"/>
          <w:rFonts w:ascii="Arial" w:hAnsi="Arial" w:cs="Arial"/>
          <w:sz w:val="16"/>
          <w:szCs w:val="16"/>
          <w:lang w:val="en-GB"/>
        </w:rPr>
        <w:endnoteRef/>
      </w:r>
      <w:r w:rsidRPr="007A46C8">
        <w:rPr>
          <w:rFonts w:ascii="Arial" w:hAnsi="Arial" w:cs="Arial"/>
          <w:sz w:val="16"/>
          <w:szCs w:val="16"/>
          <w:lang w:val="en-GB"/>
        </w:rPr>
        <w:t xml:space="preserve"> </w:t>
      </w:r>
      <w:r w:rsidRPr="007A46C8">
        <w:rPr>
          <w:rFonts w:ascii="Arial" w:hAnsi="Arial"/>
          <w:sz w:val="16"/>
          <w:szCs w:val="16"/>
          <w:lang w:val="en-GB"/>
        </w:rPr>
        <w:t>“Tassal,” op. cit</w:t>
      </w:r>
      <w:r w:rsidRPr="007A46C8">
        <w:rPr>
          <w:rFonts w:ascii="Arial" w:hAnsi="Arial" w:cs="Arial"/>
          <w:sz w:val="16"/>
          <w:szCs w:val="16"/>
          <w:lang w:val="en-GB"/>
        </w:rPr>
        <w:t>.</w:t>
      </w:r>
    </w:p>
  </w:endnote>
  <w:endnote w:id="73">
    <w:p w14:paraId="33C9B399" w14:textId="08D649FE" w:rsidR="00B40A82" w:rsidRPr="007A46C8" w:rsidRDefault="00B40A82" w:rsidP="003D30B2">
      <w:pPr>
        <w:pStyle w:val="EndnoteText"/>
        <w:jc w:val="both"/>
        <w:rPr>
          <w:rFonts w:ascii="Arial" w:hAnsi="Arial" w:cs="Arial"/>
          <w:sz w:val="16"/>
          <w:szCs w:val="16"/>
          <w:lang w:val="en-GB"/>
        </w:rPr>
      </w:pPr>
      <w:r w:rsidRPr="007A46C8">
        <w:rPr>
          <w:rStyle w:val="EndnoteReference"/>
          <w:rFonts w:ascii="Arial" w:hAnsi="Arial" w:cs="Arial"/>
          <w:sz w:val="16"/>
          <w:szCs w:val="16"/>
          <w:lang w:val="en-GB"/>
        </w:rPr>
        <w:endnoteRef/>
      </w:r>
      <w:r w:rsidRPr="007A46C8">
        <w:rPr>
          <w:rFonts w:ascii="Arial" w:hAnsi="Arial" w:cs="Arial"/>
          <w:sz w:val="16"/>
          <w:szCs w:val="16"/>
          <w:lang w:val="en-GB"/>
        </w:rPr>
        <w:t xml:space="preserve"> Aneeta Bhole, “Salmon Giant Tassal Profits Up with an Eye on China, as Pens Bound for Okehampton Bay Anger Opponents,” ABC News, August 25, 2017, accessed October 25, 2018, www.abc.net.au/news/2017-08-23/tassal-profits-up-china-move-flagged-as-okehampton-pens-arrive/8834570.</w:t>
      </w:r>
    </w:p>
  </w:endnote>
  <w:endnote w:id="74">
    <w:p w14:paraId="5BFBC2CE" w14:textId="46F68CA4" w:rsidR="00B40A82" w:rsidRPr="007A46C8" w:rsidRDefault="00B40A82" w:rsidP="003D30B2">
      <w:pPr>
        <w:pStyle w:val="EndnoteText"/>
        <w:jc w:val="both"/>
        <w:rPr>
          <w:rFonts w:ascii="Arial" w:hAnsi="Arial" w:cs="Arial"/>
          <w:sz w:val="16"/>
          <w:szCs w:val="16"/>
          <w:lang w:val="en-GB"/>
        </w:rPr>
      </w:pPr>
      <w:r w:rsidRPr="007A46C8">
        <w:rPr>
          <w:rStyle w:val="EndnoteReference"/>
          <w:rFonts w:ascii="Arial" w:hAnsi="Arial" w:cs="Arial"/>
          <w:sz w:val="16"/>
          <w:szCs w:val="16"/>
          <w:lang w:val="en-GB"/>
        </w:rPr>
        <w:endnoteRef/>
      </w:r>
      <w:r w:rsidRPr="007A46C8">
        <w:rPr>
          <w:rFonts w:ascii="Arial" w:hAnsi="Arial" w:cs="Arial"/>
          <w:sz w:val="16"/>
          <w:szCs w:val="16"/>
          <w:lang w:val="en-GB"/>
        </w:rPr>
        <w:t xml:space="preserve"> Prasannan, op. cit.</w:t>
      </w:r>
    </w:p>
  </w:endnote>
  <w:endnote w:id="75">
    <w:p w14:paraId="646D4AF3" w14:textId="36CD9FCD" w:rsidR="00B40A82" w:rsidRPr="007A46C8" w:rsidRDefault="00B40A82" w:rsidP="003D30B2">
      <w:pPr>
        <w:pStyle w:val="EndnoteText"/>
        <w:jc w:val="both"/>
        <w:rPr>
          <w:rFonts w:ascii="Arial" w:hAnsi="Arial"/>
          <w:sz w:val="16"/>
          <w:szCs w:val="16"/>
          <w:lang w:val="en-GB"/>
        </w:rPr>
      </w:pPr>
      <w:r w:rsidRPr="007A46C8">
        <w:rPr>
          <w:rStyle w:val="EndnoteReference"/>
          <w:rFonts w:ascii="Arial" w:hAnsi="Arial"/>
          <w:sz w:val="16"/>
          <w:szCs w:val="16"/>
          <w:lang w:val="en-GB"/>
        </w:rPr>
        <w:endnoteRef/>
      </w:r>
      <w:r w:rsidRPr="007A46C8">
        <w:rPr>
          <w:rFonts w:ascii="Arial" w:hAnsi="Arial"/>
          <w:sz w:val="16"/>
          <w:szCs w:val="16"/>
          <w:lang w:val="en-GB"/>
        </w:rPr>
        <w:t xml:space="preserve"> </w:t>
      </w:r>
      <w:r w:rsidRPr="007A46C8">
        <w:rPr>
          <w:rFonts w:ascii="Arial" w:hAnsi="Arial" w:cs="Arial"/>
          <w:sz w:val="16"/>
          <w:szCs w:val="16"/>
          <w:lang w:val="en-GB"/>
        </w:rPr>
        <w:t xml:space="preserve">Tassal Group Limited, </w:t>
      </w:r>
      <w:r w:rsidRPr="007A46C8">
        <w:rPr>
          <w:rFonts w:ascii="Arial" w:hAnsi="Arial" w:cs="Arial"/>
          <w:i/>
          <w:sz w:val="16"/>
          <w:szCs w:val="16"/>
          <w:lang w:val="en-GB"/>
        </w:rPr>
        <w:t>Interview with Mark Ryan</w:t>
      </w:r>
      <w:r w:rsidRPr="007A46C8">
        <w:rPr>
          <w:rFonts w:ascii="Arial" w:hAnsi="Arial" w:cs="Arial"/>
          <w:sz w:val="16"/>
          <w:szCs w:val="16"/>
          <w:lang w:val="en-GB"/>
        </w:rPr>
        <w:t>, op. cit.</w:t>
      </w:r>
    </w:p>
  </w:endnote>
  <w:endnote w:id="76">
    <w:p w14:paraId="4FE13E9E" w14:textId="75651B45" w:rsidR="00B40A82" w:rsidRPr="007A46C8" w:rsidRDefault="00B40A82" w:rsidP="003D30B2">
      <w:pPr>
        <w:pStyle w:val="EndnoteText"/>
        <w:jc w:val="both"/>
        <w:rPr>
          <w:rFonts w:ascii="Arial" w:hAnsi="Arial" w:cs="Arial"/>
          <w:sz w:val="16"/>
          <w:szCs w:val="16"/>
          <w:lang w:val="en-GB"/>
        </w:rPr>
      </w:pPr>
      <w:r w:rsidRPr="007A46C8">
        <w:rPr>
          <w:rStyle w:val="EndnoteReference"/>
          <w:rFonts w:ascii="Arial" w:hAnsi="Arial" w:cs="Arial"/>
          <w:sz w:val="16"/>
          <w:szCs w:val="16"/>
          <w:lang w:val="en-GB"/>
        </w:rPr>
        <w:endnoteRef/>
      </w:r>
      <w:r w:rsidRPr="007A46C8">
        <w:rPr>
          <w:rFonts w:ascii="Arial" w:hAnsi="Arial" w:cs="Arial"/>
          <w:sz w:val="16"/>
          <w:szCs w:val="16"/>
          <w:lang w:val="en-GB"/>
        </w:rPr>
        <w:t xml:space="preserve"> Louis Harkell, “Australian Fresh Salmon Exports to China Surge; Norway Ups Vietnam Sales,” </w:t>
      </w:r>
      <w:r w:rsidRPr="007A46C8">
        <w:rPr>
          <w:rFonts w:ascii="Arial" w:hAnsi="Arial" w:cs="Arial"/>
          <w:i/>
          <w:sz w:val="16"/>
          <w:szCs w:val="16"/>
          <w:lang w:val="en-GB"/>
        </w:rPr>
        <w:t>Undercurrent News</w:t>
      </w:r>
      <w:r w:rsidRPr="007A46C8">
        <w:rPr>
          <w:rFonts w:ascii="Arial" w:hAnsi="Arial" w:cs="Arial"/>
          <w:sz w:val="16"/>
          <w:szCs w:val="16"/>
          <w:lang w:val="en-GB"/>
        </w:rPr>
        <w:t>, December 20, 2017, accessed October 25, 2018, www.undercurrentnews.com/2017/12/19/australian-fresh-salmon-exports-to-china-surge-as-do-norways-to-vietnam/.</w:t>
      </w:r>
    </w:p>
  </w:endnote>
  <w:endnote w:id="77">
    <w:p w14:paraId="0F2C1449" w14:textId="77777777" w:rsidR="00B40A82" w:rsidRPr="007A46C8" w:rsidRDefault="00B40A82" w:rsidP="003D30B2">
      <w:pPr>
        <w:pStyle w:val="EndnoteText"/>
        <w:jc w:val="both"/>
        <w:rPr>
          <w:rFonts w:ascii="Arial" w:hAnsi="Arial" w:cs="Arial"/>
          <w:sz w:val="16"/>
          <w:szCs w:val="16"/>
          <w:lang w:val="en-GB"/>
        </w:rPr>
      </w:pPr>
      <w:r w:rsidRPr="007A46C8">
        <w:rPr>
          <w:rStyle w:val="EndnoteReference"/>
          <w:rFonts w:ascii="Arial" w:hAnsi="Arial" w:cs="Arial"/>
          <w:sz w:val="16"/>
          <w:szCs w:val="16"/>
          <w:lang w:val="en-GB"/>
        </w:rPr>
        <w:endnoteRef/>
      </w:r>
      <w:r w:rsidRPr="007A46C8">
        <w:rPr>
          <w:rFonts w:ascii="Arial" w:hAnsi="Arial" w:cs="Arial"/>
          <w:sz w:val="16"/>
          <w:szCs w:val="16"/>
          <w:lang w:val="en-GB"/>
        </w:rPr>
        <w:t xml:space="preserve"> Ibid.</w:t>
      </w:r>
    </w:p>
  </w:endnote>
  <w:endnote w:id="78">
    <w:p w14:paraId="2912E2AD" w14:textId="77777777" w:rsidR="00B40A82" w:rsidRPr="007A46C8" w:rsidRDefault="00B40A82" w:rsidP="003D30B2">
      <w:pPr>
        <w:pStyle w:val="EndnoteText"/>
        <w:jc w:val="both"/>
        <w:rPr>
          <w:rFonts w:ascii="Arial" w:hAnsi="Arial"/>
          <w:sz w:val="16"/>
          <w:szCs w:val="16"/>
          <w:lang w:val="en-GB"/>
        </w:rPr>
      </w:pPr>
      <w:r w:rsidRPr="007A46C8">
        <w:rPr>
          <w:rStyle w:val="EndnoteReference"/>
          <w:rFonts w:ascii="Arial" w:hAnsi="Arial"/>
          <w:sz w:val="16"/>
          <w:szCs w:val="16"/>
          <w:lang w:val="en-GB"/>
        </w:rPr>
        <w:endnoteRef/>
      </w:r>
      <w:r w:rsidRPr="007A46C8">
        <w:rPr>
          <w:rFonts w:ascii="Arial" w:hAnsi="Arial"/>
          <w:sz w:val="16"/>
          <w:szCs w:val="16"/>
          <w:lang w:val="en-GB"/>
        </w:rPr>
        <w:t xml:space="preserve"> Ibid.</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KaiTi_GB2312">
    <w:altName w:val="Microsoft YaHei"/>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095C161" w14:textId="77777777" w:rsidR="00B40A82" w:rsidRDefault="00B40A82" w:rsidP="00D75295">
      <w:r>
        <w:separator/>
      </w:r>
    </w:p>
  </w:footnote>
  <w:footnote w:type="continuationSeparator" w:id="0">
    <w:p w14:paraId="24A76067" w14:textId="77777777" w:rsidR="00B40A82" w:rsidRDefault="00B40A82" w:rsidP="00D752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A67142" w14:textId="22FA821A" w:rsidR="00B40A82" w:rsidRPr="00C92CC4" w:rsidRDefault="00B40A82" w:rsidP="001C777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A43F68">
      <w:rPr>
        <w:rFonts w:ascii="Arial" w:hAnsi="Arial"/>
        <w:b/>
        <w:noProof/>
      </w:rPr>
      <w:t>2</w:t>
    </w:r>
    <w:r>
      <w:rPr>
        <w:rFonts w:ascii="Arial" w:hAnsi="Arial"/>
        <w:b/>
      </w:rPr>
      <w:fldChar w:fldCharType="end"/>
    </w:r>
    <w:r w:rsidR="00A43F68">
      <w:rPr>
        <w:rFonts w:ascii="Arial" w:hAnsi="Arial"/>
        <w:b/>
      </w:rPr>
      <w:tab/>
      <w:t>9B19M054</w:t>
    </w:r>
  </w:p>
  <w:p w14:paraId="2B53C0A0" w14:textId="77777777" w:rsidR="00B40A82" w:rsidRDefault="00B40A82" w:rsidP="00D13667">
    <w:pPr>
      <w:pStyle w:val="Header"/>
      <w:tabs>
        <w:tab w:val="clear" w:pos="4680"/>
      </w:tabs>
      <w:rPr>
        <w:sz w:val="18"/>
        <w:szCs w:val="18"/>
      </w:rPr>
    </w:pPr>
  </w:p>
  <w:p w14:paraId="47119730" w14:textId="77777777" w:rsidR="00B40A82" w:rsidRPr="00C92CC4" w:rsidRDefault="00B40A82" w:rsidP="00D13667">
    <w:pPr>
      <w:pStyle w:val="Header"/>
      <w:tabs>
        <w:tab w:val="clear" w:pos="4680"/>
      </w:tabs>
      <w:rPr>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353479"/>
    <w:multiLevelType w:val="hybridMultilevel"/>
    <w:tmpl w:val="7C8EC4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26743B3"/>
    <w:multiLevelType w:val="hybridMultilevel"/>
    <w:tmpl w:val="E5966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5B1C85"/>
    <w:multiLevelType w:val="hybridMultilevel"/>
    <w:tmpl w:val="A0E4FC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40D2676C"/>
    <w:multiLevelType w:val="hybridMultilevel"/>
    <w:tmpl w:val="C3E48E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5E01093A"/>
    <w:multiLevelType w:val="hybridMultilevel"/>
    <w:tmpl w:val="42762F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664A7E41"/>
    <w:multiLevelType w:val="hybridMultilevel"/>
    <w:tmpl w:val="AC12C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72661C0"/>
    <w:multiLevelType w:val="hybridMultilevel"/>
    <w:tmpl w:val="81E81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97B5D2C"/>
    <w:multiLevelType w:val="hybridMultilevel"/>
    <w:tmpl w:val="55AE8F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6B4F72CD"/>
    <w:multiLevelType w:val="hybridMultilevel"/>
    <w:tmpl w:val="CCE60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7EA314B"/>
    <w:multiLevelType w:val="hybridMultilevel"/>
    <w:tmpl w:val="944828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79754927"/>
    <w:multiLevelType w:val="hybridMultilevel"/>
    <w:tmpl w:val="5B5E89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7AE33829"/>
    <w:multiLevelType w:val="hybridMultilevel"/>
    <w:tmpl w:val="D180B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4"/>
  </w:num>
  <w:num w:numId="3">
    <w:abstractNumId w:val="2"/>
  </w:num>
  <w:num w:numId="4">
    <w:abstractNumId w:val="9"/>
  </w:num>
  <w:num w:numId="5">
    <w:abstractNumId w:val="3"/>
  </w:num>
  <w:num w:numId="6">
    <w:abstractNumId w:val="7"/>
  </w:num>
  <w:num w:numId="7">
    <w:abstractNumId w:val="0"/>
  </w:num>
  <w:num w:numId="8">
    <w:abstractNumId w:val="11"/>
  </w:num>
  <w:num w:numId="9">
    <w:abstractNumId w:val="8"/>
  </w:num>
  <w:num w:numId="10">
    <w:abstractNumId w:val="1"/>
  </w:num>
  <w:num w:numId="11">
    <w:abstractNumId w:val="5"/>
  </w:num>
  <w:num w:numId="12">
    <w:abstractNumId w:val="6"/>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ocumentProtection w:edit="trackedChanges" w:enforcement="0"/>
  <w:defaultTabStop w:val="720"/>
  <w:characterSpacingControl w:val="doNotCompress"/>
  <w:hdrShapeDefaults>
    <o:shapedefaults v:ext="edit" spidmax="4097"/>
  </w:hdrShapeDefaults>
  <w:footnotePr>
    <w:footnote w:id="-1"/>
    <w:footnote w:id="0"/>
  </w:footnotePr>
  <w:endnotePr>
    <w:numFmt w:val="decimal"/>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DC4"/>
    <w:rsid w:val="0000085A"/>
    <w:rsid w:val="0000730F"/>
    <w:rsid w:val="00013360"/>
    <w:rsid w:val="00015627"/>
    <w:rsid w:val="00016759"/>
    <w:rsid w:val="000216CE"/>
    <w:rsid w:val="00024ED4"/>
    <w:rsid w:val="00025DC7"/>
    <w:rsid w:val="00035EF4"/>
    <w:rsid w:val="00035F09"/>
    <w:rsid w:val="00044ECC"/>
    <w:rsid w:val="000531D3"/>
    <w:rsid w:val="00056468"/>
    <w:rsid w:val="0005646B"/>
    <w:rsid w:val="000615D1"/>
    <w:rsid w:val="00076E54"/>
    <w:rsid w:val="0008102D"/>
    <w:rsid w:val="00086B26"/>
    <w:rsid w:val="00090630"/>
    <w:rsid w:val="00090CAE"/>
    <w:rsid w:val="00094C0E"/>
    <w:rsid w:val="00096F15"/>
    <w:rsid w:val="0009783E"/>
    <w:rsid w:val="000A146D"/>
    <w:rsid w:val="000A1550"/>
    <w:rsid w:val="000A310F"/>
    <w:rsid w:val="000A6DF0"/>
    <w:rsid w:val="000D2A2F"/>
    <w:rsid w:val="000D4D71"/>
    <w:rsid w:val="000D5CA7"/>
    <w:rsid w:val="000D7091"/>
    <w:rsid w:val="000E28CF"/>
    <w:rsid w:val="000F0C22"/>
    <w:rsid w:val="000F35AD"/>
    <w:rsid w:val="000F6B09"/>
    <w:rsid w:val="000F6FDC"/>
    <w:rsid w:val="00104567"/>
    <w:rsid w:val="00104916"/>
    <w:rsid w:val="00104AA7"/>
    <w:rsid w:val="0012732D"/>
    <w:rsid w:val="00143F25"/>
    <w:rsid w:val="00152682"/>
    <w:rsid w:val="00154FC9"/>
    <w:rsid w:val="00164A38"/>
    <w:rsid w:val="00165451"/>
    <w:rsid w:val="0017098D"/>
    <w:rsid w:val="001901C0"/>
    <w:rsid w:val="00190B6F"/>
    <w:rsid w:val="00191480"/>
    <w:rsid w:val="0019241A"/>
    <w:rsid w:val="00192A18"/>
    <w:rsid w:val="00197DB4"/>
    <w:rsid w:val="001A22D1"/>
    <w:rsid w:val="001A752D"/>
    <w:rsid w:val="001A757E"/>
    <w:rsid w:val="001B5032"/>
    <w:rsid w:val="001C7777"/>
    <w:rsid w:val="001D0696"/>
    <w:rsid w:val="001D344B"/>
    <w:rsid w:val="001D6FC7"/>
    <w:rsid w:val="001E364F"/>
    <w:rsid w:val="001F4222"/>
    <w:rsid w:val="001F5AA4"/>
    <w:rsid w:val="00202B4A"/>
    <w:rsid w:val="00203AA1"/>
    <w:rsid w:val="00210192"/>
    <w:rsid w:val="00212CAF"/>
    <w:rsid w:val="00213E98"/>
    <w:rsid w:val="0021644F"/>
    <w:rsid w:val="00230015"/>
    <w:rsid w:val="00230150"/>
    <w:rsid w:val="0023081A"/>
    <w:rsid w:val="00233111"/>
    <w:rsid w:val="002611CB"/>
    <w:rsid w:val="00265FA8"/>
    <w:rsid w:val="00286A28"/>
    <w:rsid w:val="002955A0"/>
    <w:rsid w:val="002A75A4"/>
    <w:rsid w:val="002B40FF"/>
    <w:rsid w:val="002C417A"/>
    <w:rsid w:val="002C4E29"/>
    <w:rsid w:val="002C6B11"/>
    <w:rsid w:val="002D7E12"/>
    <w:rsid w:val="002E087C"/>
    <w:rsid w:val="002F460C"/>
    <w:rsid w:val="002F48D6"/>
    <w:rsid w:val="002F7642"/>
    <w:rsid w:val="003130F3"/>
    <w:rsid w:val="00317391"/>
    <w:rsid w:val="00322B10"/>
    <w:rsid w:val="00326216"/>
    <w:rsid w:val="00336580"/>
    <w:rsid w:val="00354899"/>
    <w:rsid w:val="00355FD6"/>
    <w:rsid w:val="00356BCF"/>
    <w:rsid w:val="00364A5C"/>
    <w:rsid w:val="00373FB1"/>
    <w:rsid w:val="00384A63"/>
    <w:rsid w:val="0038744A"/>
    <w:rsid w:val="003960AB"/>
    <w:rsid w:val="00396C76"/>
    <w:rsid w:val="003B1469"/>
    <w:rsid w:val="003B30D8"/>
    <w:rsid w:val="003B7EF2"/>
    <w:rsid w:val="003C3FA4"/>
    <w:rsid w:val="003D0BA1"/>
    <w:rsid w:val="003D30B2"/>
    <w:rsid w:val="003E6B3B"/>
    <w:rsid w:val="003F2B0C"/>
    <w:rsid w:val="004030B9"/>
    <w:rsid w:val="0040351B"/>
    <w:rsid w:val="00404171"/>
    <w:rsid w:val="004105B2"/>
    <w:rsid w:val="0041145A"/>
    <w:rsid w:val="00412900"/>
    <w:rsid w:val="00414EAF"/>
    <w:rsid w:val="004221E4"/>
    <w:rsid w:val="004273F8"/>
    <w:rsid w:val="004355A3"/>
    <w:rsid w:val="004366BA"/>
    <w:rsid w:val="004424CF"/>
    <w:rsid w:val="00444808"/>
    <w:rsid w:val="00446546"/>
    <w:rsid w:val="00452054"/>
    <w:rsid w:val="00452769"/>
    <w:rsid w:val="00454FA7"/>
    <w:rsid w:val="004637AC"/>
    <w:rsid w:val="00465348"/>
    <w:rsid w:val="00482A83"/>
    <w:rsid w:val="0048611C"/>
    <w:rsid w:val="00491579"/>
    <w:rsid w:val="00493B00"/>
    <w:rsid w:val="004979A5"/>
    <w:rsid w:val="004A0E3B"/>
    <w:rsid w:val="004A25E0"/>
    <w:rsid w:val="004B1CCB"/>
    <w:rsid w:val="004B632F"/>
    <w:rsid w:val="004C1C97"/>
    <w:rsid w:val="004C341C"/>
    <w:rsid w:val="004D3FB1"/>
    <w:rsid w:val="004D6F21"/>
    <w:rsid w:val="004D73A5"/>
    <w:rsid w:val="004E3727"/>
    <w:rsid w:val="005160F1"/>
    <w:rsid w:val="00524F2F"/>
    <w:rsid w:val="00527E5C"/>
    <w:rsid w:val="00532CF5"/>
    <w:rsid w:val="00547107"/>
    <w:rsid w:val="005528CB"/>
    <w:rsid w:val="00555756"/>
    <w:rsid w:val="00566771"/>
    <w:rsid w:val="00570183"/>
    <w:rsid w:val="00581E2E"/>
    <w:rsid w:val="00584F15"/>
    <w:rsid w:val="0059514B"/>
    <w:rsid w:val="005A1B0F"/>
    <w:rsid w:val="005A4EDA"/>
    <w:rsid w:val="005B4CE6"/>
    <w:rsid w:val="005B5EFE"/>
    <w:rsid w:val="005C3F60"/>
    <w:rsid w:val="00602CC6"/>
    <w:rsid w:val="006049EC"/>
    <w:rsid w:val="006061A1"/>
    <w:rsid w:val="00614222"/>
    <w:rsid w:val="006163F7"/>
    <w:rsid w:val="00616BFA"/>
    <w:rsid w:val="00622A66"/>
    <w:rsid w:val="00627C63"/>
    <w:rsid w:val="0063350B"/>
    <w:rsid w:val="006346AB"/>
    <w:rsid w:val="006418C6"/>
    <w:rsid w:val="006462FD"/>
    <w:rsid w:val="00652606"/>
    <w:rsid w:val="006678F8"/>
    <w:rsid w:val="0068411B"/>
    <w:rsid w:val="00692749"/>
    <w:rsid w:val="006946EE"/>
    <w:rsid w:val="006A58A9"/>
    <w:rsid w:val="006A606D"/>
    <w:rsid w:val="006B3AE5"/>
    <w:rsid w:val="006C0371"/>
    <w:rsid w:val="006C08B6"/>
    <w:rsid w:val="006C0B1A"/>
    <w:rsid w:val="006C4470"/>
    <w:rsid w:val="006C6065"/>
    <w:rsid w:val="006C7F9F"/>
    <w:rsid w:val="006D171A"/>
    <w:rsid w:val="006E0001"/>
    <w:rsid w:val="006E2F6D"/>
    <w:rsid w:val="006E58F6"/>
    <w:rsid w:val="006E7561"/>
    <w:rsid w:val="006E77E1"/>
    <w:rsid w:val="006F1181"/>
    <w:rsid w:val="006F131D"/>
    <w:rsid w:val="006F39C1"/>
    <w:rsid w:val="006F6396"/>
    <w:rsid w:val="006F6978"/>
    <w:rsid w:val="00710009"/>
    <w:rsid w:val="0071037A"/>
    <w:rsid w:val="00711642"/>
    <w:rsid w:val="00720253"/>
    <w:rsid w:val="007507C6"/>
    <w:rsid w:val="007509E6"/>
    <w:rsid w:val="00751C7B"/>
    <w:rsid w:val="00751E0B"/>
    <w:rsid w:val="00752BCD"/>
    <w:rsid w:val="00766DA1"/>
    <w:rsid w:val="00771306"/>
    <w:rsid w:val="0077352A"/>
    <w:rsid w:val="00780D94"/>
    <w:rsid w:val="00785C35"/>
    <w:rsid w:val="00785E7B"/>
    <w:rsid w:val="007866A6"/>
    <w:rsid w:val="007A130D"/>
    <w:rsid w:val="007A2D5E"/>
    <w:rsid w:val="007A46C8"/>
    <w:rsid w:val="007B2DB4"/>
    <w:rsid w:val="007C5D5C"/>
    <w:rsid w:val="007D1A2D"/>
    <w:rsid w:val="007D1A51"/>
    <w:rsid w:val="007D32E6"/>
    <w:rsid w:val="007D4102"/>
    <w:rsid w:val="007E37DD"/>
    <w:rsid w:val="007E54A7"/>
    <w:rsid w:val="007F43B7"/>
    <w:rsid w:val="00821FFC"/>
    <w:rsid w:val="008271CA"/>
    <w:rsid w:val="00830B9A"/>
    <w:rsid w:val="00840381"/>
    <w:rsid w:val="008467D5"/>
    <w:rsid w:val="008477B3"/>
    <w:rsid w:val="00852B9F"/>
    <w:rsid w:val="00855898"/>
    <w:rsid w:val="00862233"/>
    <w:rsid w:val="00884A29"/>
    <w:rsid w:val="0088732C"/>
    <w:rsid w:val="00892FFB"/>
    <w:rsid w:val="008934DF"/>
    <w:rsid w:val="00896F54"/>
    <w:rsid w:val="008A2D8B"/>
    <w:rsid w:val="008A4DC4"/>
    <w:rsid w:val="008B438C"/>
    <w:rsid w:val="008C1C8E"/>
    <w:rsid w:val="008C5D40"/>
    <w:rsid w:val="008D06CA"/>
    <w:rsid w:val="008D3A46"/>
    <w:rsid w:val="008E2AF6"/>
    <w:rsid w:val="008E33AD"/>
    <w:rsid w:val="008E357D"/>
    <w:rsid w:val="008F2385"/>
    <w:rsid w:val="00901809"/>
    <w:rsid w:val="009067A4"/>
    <w:rsid w:val="00922AAE"/>
    <w:rsid w:val="00930885"/>
    <w:rsid w:val="00933D68"/>
    <w:rsid w:val="009340DB"/>
    <w:rsid w:val="00934BCF"/>
    <w:rsid w:val="0094618C"/>
    <w:rsid w:val="00953BD3"/>
    <w:rsid w:val="00953CFC"/>
    <w:rsid w:val="0095684B"/>
    <w:rsid w:val="00963BBA"/>
    <w:rsid w:val="00972498"/>
    <w:rsid w:val="0097481F"/>
    <w:rsid w:val="00974865"/>
    <w:rsid w:val="00974CC6"/>
    <w:rsid w:val="00976AD4"/>
    <w:rsid w:val="009925A2"/>
    <w:rsid w:val="00995547"/>
    <w:rsid w:val="009A312F"/>
    <w:rsid w:val="009A5348"/>
    <w:rsid w:val="009B0AB7"/>
    <w:rsid w:val="009C3C09"/>
    <w:rsid w:val="009C76D5"/>
    <w:rsid w:val="009D50AC"/>
    <w:rsid w:val="009F7AA4"/>
    <w:rsid w:val="00A10AD7"/>
    <w:rsid w:val="00A16CDC"/>
    <w:rsid w:val="00A323B0"/>
    <w:rsid w:val="00A3483E"/>
    <w:rsid w:val="00A37FD6"/>
    <w:rsid w:val="00A43F68"/>
    <w:rsid w:val="00A50246"/>
    <w:rsid w:val="00A559DB"/>
    <w:rsid w:val="00A569EA"/>
    <w:rsid w:val="00A62FD4"/>
    <w:rsid w:val="00A63B74"/>
    <w:rsid w:val="00A676A0"/>
    <w:rsid w:val="00A87943"/>
    <w:rsid w:val="00A9038B"/>
    <w:rsid w:val="00AA5E0E"/>
    <w:rsid w:val="00AD5507"/>
    <w:rsid w:val="00AE7F75"/>
    <w:rsid w:val="00AF35FC"/>
    <w:rsid w:val="00AF3EA0"/>
    <w:rsid w:val="00AF5556"/>
    <w:rsid w:val="00B03639"/>
    <w:rsid w:val="00B0652A"/>
    <w:rsid w:val="00B20310"/>
    <w:rsid w:val="00B20543"/>
    <w:rsid w:val="00B2718D"/>
    <w:rsid w:val="00B31A92"/>
    <w:rsid w:val="00B40937"/>
    <w:rsid w:val="00B40A82"/>
    <w:rsid w:val="00B423EF"/>
    <w:rsid w:val="00B453DE"/>
    <w:rsid w:val="00B62497"/>
    <w:rsid w:val="00B72597"/>
    <w:rsid w:val="00B73E84"/>
    <w:rsid w:val="00B87DC0"/>
    <w:rsid w:val="00B901F9"/>
    <w:rsid w:val="00BA0836"/>
    <w:rsid w:val="00BA152D"/>
    <w:rsid w:val="00BA6E2D"/>
    <w:rsid w:val="00BC3507"/>
    <w:rsid w:val="00BC4D98"/>
    <w:rsid w:val="00BC5D61"/>
    <w:rsid w:val="00BC620D"/>
    <w:rsid w:val="00BD5C2B"/>
    <w:rsid w:val="00BD5FCC"/>
    <w:rsid w:val="00BD6EFB"/>
    <w:rsid w:val="00BE3DF5"/>
    <w:rsid w:val="00BF5EAB"/>
    <w:rsid w:val="00C02410"/>
    <w:rsid w:val="00C1584D"/>
    <w:rsid w:val="00C15BE2"/>
    <w:rsid w:val="00C2269C"/>
    <w:rsid w:val="00C3447F"/>
    <w:rsid w:val="00C41EC5"/>
    <w:rsid w:val="00C44714"/>
    <w:rsid w:val="00C5099D"/>
    <w:rsid w:val="00C5280C"/>
    <w:rsid w:val="00C56E07"/>
    <w:rsid w:val="00C67102"/>
    <w:rsid w:val="00C7018B"/>
    <w:rsid w:val="00C81491"/>
    <w:rsid w:val="00C81676"/>
    <w:rsid w:val="00C85C5D"/>
    <w:rsid w:val="00C92CC4"/>
    <w:rsid w:val="00CA0AFB"/>
    <w:rsid w:val="00CA12B7"/>
    <w:rsid w:val="00CA291A"/>
    <w:rsid w:val="00CA2CE1"/>
    <w:rsid w:val="00CA3976"/>
    <w:rsid w:val="00CA50E3"/>
    <w:rsid w:val="00CA757B"/>
    <w:rsid w:val="00CC1787"/>
    <w:rsid w:val="00CC182C"/>
    <w:rsid w:val="00CD0824"/>
    <w:rsid w:val="00CD2908"/>
    <w:rsid w:val="00CD5923"/>
    <w:rsid w:val="00CD74B8"/>
    <w:rsid w:val="00CF2948"/>
    <w:rsid w:val="00CF5857"/>
    <w:rsid w:val="00D03A82"/>
    <w:rsid w:val="00D13667"/>
    <w:rsid w:val="00D139F0"/>
    <w:rsid w:val="00D1439D"/>
    <w:rsid w:val="00D15344"/>
    <w:rsid w:val="00D23F57"/>
    <w:rsid w:val="00D2547E"/>
    <w:rsid w:val="00D26FB9"/>
    <w:rsid w:val="00D3161B"/>
    <w:rsid w:val="00D31BEC"/>
    <w:rsid w:val="00D33A3A"/>
    <w:rsid w:val="00D5064F"/>
    <w:rsid w:val="00D55C93"/>
    <w:rsid w:val="00D63150"/>
    <w:rsid w:val="00D636BA"/>
    <w:rsid w:val="00D64A32"/>
    <w:rsid w:val="00D64EFC"/>
    <w:rsid w:val="00D75295"/>
    <w:rsid w:val="00D76CE9"/>
    <w:rsid w:val="00D814AB"/>
    <w:rsid w:val="00D97618"/>
    <w:rsid w:val="00D97F12"/>
    <w:rsid w:val="00DA4ECB"/>
    <w:rsid w:val="00DA6095"/>
    <w:rsid w:val="00DB42E7"/>
    <w:rsid w:val="00DC09D8"/>
    <w:rsid w:val="00DC2EAA"/>
    <w:rsid w:val="00DC4821"/>
    <w:rsid w:val="00DC5F2A"/>
    <w:rsid w:val="00DD13B8"/>
    <w:rsid w:val="00DE01A6"/>
    <w:rsid w:val="00DE3D2F"/>
    <w:rsid w:val="00DE5D16"/>
    <w:rsid w:val="00DE7A98"/>
    <w:rsid w:val="00DF32C2"/>
    <w:rsid w:val="00E028B4"/>
    <w:rsid w:val="00E04F30"/>
    <w:rsid w:val="00E07DEA"/>
    <w:rsid w:val="00E13677"/>
    <w:rsid w:val="00E14545"/>
    <w:rsid w:val="00E24A64"/>
    <w:rsid w:val="00E45031"/>
    <w:rsid w:val="00E471A7"/>
    <w:rsid w:val="00E620C7"/>
    <w:rsid w:val="00E635CF"/>
    <w:rsid w:val="00E6675B"/>
    <w:rsid w:val="00E851B8"/>
    <w:rsid w:val="00E91FB8"/>
    <w:rsid w:val="00EA700E"/>
    <w:rsid w:val="00EB1E3B"/>
    <w:rsid w:val="00EB600D"/>
    <w:rsid w:val="00EB70A8"/>
    <w:rsid w:val="00EC4424"/>
    <w:rsid w:val="00EC6E0A"/>
    <w:rsid w:val="00ED4E18"/>
    <w:rsid w:val="00ED7922"/>
    <w:rsid w:val="00EE02C4"/>
    <w:rsid w:val="00EE1F37"/>
    <w:rsid w:val="00EE356F"/>
    <w:rsid w:val="00EE7CD2"/>
    <w:rsid w:val="00F0159C"/>
    <w:rsid w:val="00F01D1F"/>
    <w:rsid w:val="00F10142"/>
    <w:rsid w:val="00F105B7"/>
    <w:rsid w:val="00F12B07"/>
    <w:rsid w:val="00F13220"/>
    <w:rsid w:val="00F17A21"/>
    <w:rsid w:val="00F21778"/>
    <w:rsid w:val="00F36FC2"/>
    <w:rsid w:val="00F37B27"/>
    <w:rsid w:val="00F46556"/>
    <w:rsid w:val="00F50E91"/>
    <w:rsid w:val="00F5224B"/>
    <w:rsid w:val="00F56799"/>
    <w:rsid w:val="00F57D29"/>
    <w:rsid w:val="00F57E9C"/>
    <w:rsid w:val="00F60786"/>
    <w:rsid w:val="00F878B7"/>
    <w:rsid w:val="00F91BC7"/>
    <w:rsid w:val="00F928FD"/>
    <w:rsid w:val="00F96201"/>
    <w:rsid w:val="00FA1BBC"/>
    <w:rsid w:val="00FA2342"/>
    <w:rsid w:val="00FC0A2E"/>
    <w:rsid w:val="00FC14FD"/>
    <w:rsid w:val="00FC3BAC"/>
    <w:rsid w:val="00FC736B"/>
    <w:rsid w:val="00FD0B18"/>
    <w:rsid w:val="00FD2FAD"/>
    <w:rsid w:val="00FE714F"/>
    <w:rsid w:val="00FF0E51"/>
    <w:rsid w:val="00FF10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779AA937"/>
  <w15:docId w15:val="{CDD1CF94-B8CE-467B-982D-2672A2E7F3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qFormat="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0" w:qFormat="1"/>
    <w:lsdException w:name="Book Title" w:uiPriority="33"/>
    <w:lsdException w:name="Bibliography" w:semiHidden="1" w:uiPriority="37" w:unhideWhenUsed="1"/>
    <w:lsdException w:name="TOC Heading" w:semiHidden="1" w:uiPriority="0"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nhideWhenUsed/>
    <w:rsid w:val="008467D5"/>
    <w:rPr>
      <w:rFonts w:ascii="Tahoma" w:hAnsi="Tahoma" w:cs="Tahoma"/>
      <w:sz w:val="16"/>
      <w:szCs w:val="16"/>
    </w:rPr>
  </w:style>
  <w:style w:type="character" w:customStyle="1" w:styleId="BalloonTextChar">
    <w:name w:val="Balloon Text Char"/>
    <w:basedOn w:val="DefaultParagraphFont"/>
    <w:link w:val="BalloonText"/>
    <w:rsid w:val="008467D5"/>
    <w:rPr>
      <w:rFonts w:ascii="Tahoma" w:hAnsi="Tahoma" w:cs="Tahoma"/>
      <w:sz w:val="16"/>
      <w:szCs w:val="16"/>
    </w:rPr>
  </w:style>
  <w:style w:type="paragraph" w:customStyle="1" w:styleId="MainTitle">
    <w:name w:val="MainTitle"/>
    <w:basedOn w:val="Normal"/>
    <w:link w:val="MainTitleChar"/>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454FA7"/>
    <w:rPr>
      <w:i/>
      <w:u w:val="none"/>
    </w:rPr>
  </w:style>
  <w:style w:type="character" w:customStyle="1" w:styleId="Casehead4Char">
    <w:name w:val="Casehead 4 Char"/>
    <w:basedOn w:val="Casehead3Char"/>
    <w:link w:val="Casehead4"/>
    <w:rsid w:val="00454FA7"/>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C02410"/>
    <w:pPr>
      <w:jc w:val="both"/>
    </w:pPr>
    <w:rPr>
      <w:rFonts w:ascii="Arial" w:hAnsi="Arial" w:cs="Arial"/>
      <w:sz w:val="17"/>
      <w:szCs w:val="17"/>
    </w:rPr>
  </w:style>
  <w:style w:type="character" w:customStyle="1" w:styleId="FootnoteChar">
    <w:name w:val="Footnote Char"/>
    <w:basedOn w:val="FootnoteTextChar"/>
    <w:link w:val="Footnote"/>
    <w:rsid w:val="00C02410"/>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nhideWhenUsed/>
    <w:rsid w:val="00F105B7"/>
    <w:pPr>
      <w:tabs>
        <w:tab w:val="center" w:pos="4680"/>
        <w:tab w:val="right" w:pos="9360"/>
      </w:tabs>
    </w:pPr>
  </w:style>
  <w:style w:type="character" w:customStyle="1" w:styleId="HeaderChar">
    <w:name w:val="Header Char"/>
    <w:basedOn w:val="DefaultParagraphFont"/>
    <w:link w:val="Header"/>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nhideWhenUsed/>
    <w:rsid w:val="009A5348"/>
  </w:style>
  <w:style w:type="character" w:customStyle="1" w:styleId="CommentTextChar">
    <w:name w:val="Comment Text Char"/>
    <w:basedOn w:val="DefaultParagraphFont"/>
    <w:link w:val="CommentText"/>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link w:val="footnotetextCharChar"/>
    <w:rsid w:val="00BC4D98"/>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qFormat/>
    <w:rsid w:val="004273F8"/>
    <w:rPr>
      <w:b/>
      <w:bCs/>
    </w:rPr>
  </w:style>
  <w:style w:type="character" w:styleId="IntenseReference">
    <w:name w:val="Intense Reference"/>
    <w:qFormat/>
    <w:rsid w:val="004273F8"/>
    <w:rPr>
      <w:b/>
      <w:bCs/>
      <w:smallCaps/>
      <w:color w:val="C0504D"/>
      <w:spacing w:val="5"/>
      <w:u w:val="single"/>
    </w:rPr>
  </w:style>
  <w:style w:type="paragraph" w:styleId="EndnoteText">
    <w:name w:val="endnote text"/>
    <w:basedOn w:val="Normal"/>
    <w:link w:val="EndnoteTextChar"/>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rsid w:val="004273F8"/>
    <w:rPr>
      <w:rFonts w:ascii="Calibri" w:eastAsia="Calibri" w:hAnsi="Calibri" w:cs="Times New Roman"/>
      <w:sz w:val="20"/>
      <w:szCs w:val="20"/>
      <w:lang w:val="x-none" w:eastAsia="x-none"/>
    </w:rPr>
  </w:style>
  <w:style w:type="character" w:styleId="EndnoteReference">
    <w:name w:val="endnote reference"/>
    <w:unhideWhenUsed/>
    <w:qFormat/>
    <w:rsid w:val="004273F8"/>
    <w:rPr>
      <w:vertAlign w:val="superscript"/>
    </w:rPr>
  </w:style>
  <w:style w:type="paragraph" w:styleId="NoSpacing">
    <w:name w:val="No Spacing"/>
    <w:link w:val="NoSpacingChar"/>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rsid w:val="004273F8"/>
    <w:rPr>
      <w:rFonts w:ascii="Calibri" w:eastAsia="Calibri" w:hAnsi="Calibri" w:cs="Times New Roman"/>
      <w:lang w:val="en-IN"/>
    </w:rPr>
  </w:style>
  <w:style w:type="character" w:styleId="FollowedHyperlink">
    <w:name w:val="FollowedHyperlink"/>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3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table" w:styleId="MediumList1">
    <w:name w:val="Medium List 1"/>
    <w:basedOn w:val="TableNormal"/>
    <w:uiPriority w:val="65"/>
    <w:rsid w:val="00DC09D8"/>
    <w:pPr>
      <w:spacing w:after="0" w:line="240" w:lineRule="auto"/>
    </w:pPr>
    <w:rPr>
      <w:color w:val="000000" w:themeColor="text1"/>
      <w:lang w:val="en-GB"/>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character" w:customStyle="1" w:styleId="MainTitleCharChar">
    <w:name w:val="MainTitle Char Char"/>
    <w:rsid w:val="00ED7922"/>
    <w:rPr>
      <w:rFonts w:ascii="Arial" w:hAnsi="Arial" w:cs="Arial"/>
      <w:b/>
      <w:bCs/>
      <w:caps/>
      <w:color w:val="000000"/>
      <w:sz w:val="28"/>
      <w:szCs w:val="28"/>
    </w:rPr>
  </w:style>
  <w:style w:type="character" w:customStyle="1" w:styleId="BodyTextMainCharCharChar">
    <w:name w:val="Body Text Main Char Char Char"/>
    <w:rsid w:val="00ED7922"/>
    <w:rPr>
      <w:rFonts w:ascii="Times New Roman" w:eastAsia="Times New Roman" w:hAnsi="Times New Roman" w:cs="Times New Roman"/>
    </w:rPr>
  </w:style>
  <w:style w:type="character" w:customStyle="1" w:styleId="CaseTitleCharChar">
    <w:name w:val="Case Title Char Char"/>
    <w:rsid w:val="00ED7922"/>
    <w:rPr>
      <w:rFonts w:ascii="Arial" w:hAnsi="Arial" w:cs="Arial"/>
      <w:b/>
      <w:bCs/>
      <w:caps/>
      <w:color w:val="000000"/>
      <w:sz w:val="28"/>
      <w:szCs w:val="28"/>
    </w:rPr>
  </w:style>
  <w:style w:type="character" w:customStyle="1" w:styleId="TeachingNoteTitleCharChar">
    <w:name w:val="Teaching Note Title Char Char"/>
    <w:rsid w:val="00ED7922"/>
    <w:rPr>
      <w:rFonts w:ascii="Arial" w:hAnsi="Arial" w:cs="Arial"/>
      <w:b/>
      <w:bCs/>
      <w:caps/>
      <w:color w:val="000000"/>
      <w:sz w:val="28"/>
      <w:szCs w:val="28"/>
    </w:rPr>
  </w:style>
  <w:style w:type="character" w:customStyle="1" w:styleId="CommentReference1">
    <w:name w:val="Comment Reference1"/>
    <w:rsid w:val="00ED7922"/>
    <w:rPr>
      <w:sz w:val="16"/>
      <w:szCs w:val="16"/>
    </w:rPr>
  </w:style>
  <w:style w:type="character" w:customStyle="1" w:styleId="Casehead2CharChar">
    <w:name w:val="Casehead 2 Char Char"/>
    <w:rsid w:val="00ED7922"/>
    <w:rPr>
      <w:rFonts w:ascii="Arial" w:eastAsia="Times New Roman" w:hAnsi="Arial" w:cs="Arial"/>
      <w:b/>
      <w:caps w:val="0"/>
      <w:sz w:val="20"/>
      <w:szCs w:val="20"/>
    </w:rPr>
  </w:style>
  <w:style w:type="character" w:customStyle="1" w:styleId="Casehead4CharChar">
    <w:name w:val="Casehead 4 Char Char"/>
    <w:rsid w:val="00ED7922"/>
    <w:rPr>
      <w:rFonts w:ascii="Times New Roman" w:eastAsia="Times New Roman" w:hAnsi="Times New Roman" w:cs="Times New Roman"/>
      <w:b w:val="0"/>
      <w:i/>
      <w:caps w:val="0"/>
      <w:sz w:val="20"/>
      <w:szCs w:val="20"/>
      <w:u w:val="single"/>
    </w:rPr>
  </w:style>
  <w:style w:type="character" w:customStyle="1" w:styleId="Casehead1CharChar">
    <w:name w:val="Casehead 1 Char Char"/>
    <w:rsid w:val="00ED7922"/>
    <w:rPr>
      <w:rFonts w:ascii="Arial" w:eastAsia="Times New Roman" w:hAnsi="Arial" w:cs="Arial"/>
      <w:b/>
      <w:caps/>
      <w:sz w:val="20"/>
      <w:szCs w:val="20"/>
    </w:rPr>
  </w:style>
  <w:style w:type="character" w:customStyle="1" w:styleId="hps">
    <w:name w:val="hps"/>
    <w:basedOn w:val="DefaultParagraphFont"/>
    <w:rsid w:val="00ED7922"/>
  </w:style>
  <w:style w:type="character" w:customStyle="1" w:styleId="ExhibitNumberCharChar">
    <w:name w:val="Exhibit Number Char Char"/>
    <w:rsid w:val="00ED7922"/>
    <w:rPr>
      <w:rFonts w:ascii="Arial" w:eastAsia="Times New Roman" w:hAnsi="Arial" w:cs="Arial"/>
      <w:b/>
      <w:sz w:val="20"/>
      <w:szCs w:val="20"/>
    </w:rPr>
  </w:style>
  <w:style w:type="character" w:customStyle="1" w:styleId="Quotation3LinesCharChar">
    <w:name w:val="Quotation (3+ Lines) Char Char"/>
    <w:rsid w:val="00ED7922"/>
    <w:rPr>
      <w:rFonts w:ascii="Times New Roman" w:eastAsia="Times New Roman" w:hAnsi="Times New Roman" w:cs="Times New Roman"/>
    </w:rPr>
  </w:style>
  <w:style w:type="character" w:customStyle="1" w:styleId="FootnoteCharChar">
    <w:name w:val="Footnote Char Char"/>
    <w:rsid w:val="00ED7922"/>
    <w:rPr>
      <w:rFonts w:ascii="Arial" w:eastAsia="Times New Roman" w:hAnsi="Arial" w:cs="Arial"/>
      <w:kern w:val="2"/>
      <w:sz w:val="17"/>
      <w:szCs w:val="17"/>
    </w:rPr>
  </w:style>
  <w:style w:type="character" w:customStyle="1" w:styleId="ExhibitHeadingCharChar">
    <w:name w:val="Exhibit Heading Char Char"/>
    <w:rsid w:val="00ED7922"/>
    <w:rPr>
      <w:rFonts w:ascii="Arial" w:eastAsia="Times New Roman" w:hAnsi="Arial" w:cs="Arial"/>
      <w:b/>
      <w:caps/>
      <w:sz w:val="20"/>
      <w:szCs w:val="20"/>
    </w:rPr>
  </w:style>
  <w:style w:type="character" w:customStyle="1" w:styleId="CommentSubjectCharChar">
    <w:name w:val="Comment Subject Char Char"/>
    <w:rsid w:val="00ED7922"/>
    <w:rPr>
      <w:rFonts w:ascii="Times New Roman" w:eastAsia="Times New Roman" w:hAnsi="Times New Roman" w:cs="Times New Roman"/>
      <w:b/>
      <w:bCs/>
      <w:sz w:val="20"/>
      <w:szCs w:val="20"/>
    </w:rPr>
  </w:style>
  <w:style w:type="character" w:customStyle="1" w:styleId="Casehead3CharChar">
    <w:name w:val="Casehead 3 Char Char"/>
    <w:rsid w:val="00ED7922"/>
    <w:rPr>
      <w:rFonts w:ascii="Times New Roman" w:eastAsia="Times New Roman" w:hAnsi="Times New Roman" w:cs="Times New Roman"/>
      <w:b w:val="0"/>
      <w:caps w:val="0"/>
      <w:sz w:val="20"/>
      <w:szCs w:val="20"/>
      <w:u w:val="single"/>
    </w:rPr>
  </w:style>
  <w:style w:type="character" w:customStyle="1" w:styleId="BodyTextIndentCharChar">
    <w:name w:val="Body Text Indent Char Char"/>
    <w:link w:val="BodyTextIndent1"/>
    <w:rsid w:val="00ED7922"/>
    <w:rPr>
      <w:rFonts w:ascii="Times New Roman" w:eastAsia="Times New Roman" w:hAnsi="Times New Roman" w:cs="Times New Roman"/>
      <w:sz w:val="20"/>
      <w:szCs w:val="20"/>
    </w:rPr>
  </w:style>
  <w:style w:type="character" w:customStyle="1" w:styleId="BodyTextMainCharChar">
    <w:name w:val="Body Text Main Char Char"/>
    <w:rsid w:val="00ED7922"/>
    <w:rPr>
      <w:rFonts w:ascii="Times New Roman" w:eastAsia="Times New Roman" w:hAnsi="Times New Roman" w:cs="Times New Roman"/>
    </w:rPr>
  </w:style>
  <w:style w:type="character" w:customStyle="1" w:styleId="CommentSubjectChar1">
    <w:name w:val="Comment Subject Char1"/>
    <w:link w:val="CommentSubject1"/>
    <w:rsid w:val="00ED7922"/>
    <w:rPr>
      <w:rFonts w:ascii="Times New Roman" w:eastAsia="Times New Roman" w:hAnsi="Times New Roman" w:cs="Times New Roman"/>
      <w:b/>
      <w:bCs/>
      <w:kern w:val="2"/>
      <w:szCs w:val="20"/>
    </w:rPr>
  </w:style>
  <w:style w:type="character" w:customStyle="1" w:styleId="CommentReference2">
    <w:name w:val="Comment Reference2"/>
    <w:rsid w:val="00ED7922"/>
    <w:rPr>
      <w:sz w:val="16"/>
      <w:szCs w:val="16"/>
    </w:rPr>
  </w:style>
  <w:style w:type="character" w:customStyle="1" w:styleId="atn">
    <w:name w:val="atn"/>
    <w:basedOn w:val="DefaultParagraphFont"/>
    <w:rsid w:val="00ED7922"/>
  </w:style>
  <w:style w:type="character" w:customStyle="1" w:styleId="footnotetextCharChar">
    <w:name w:val="footnote text Char Char"/>
    <w:link w:val="FootnoteText1"/>
    <w:rsid w:val="00ED7922"/>
    <w:rPr>
      <w:rFonts w:ascii="Arial" w:eastAsia="Times New Roman" w:hAnsi="Arial" w:cs="Arial"/>
      <w:iCs/>
      <w:sz w:val="17"/>
      <w:szCs w:val="17"/>
    </w:rPr>
  </w:style>
  <w:style w:type="character" w:customStyle="1" w:styleId="BodyTextIndent3CharChar">
    <w:name w:val="Body Text Indent 3 Char Char"/>
    <w:link w:val="BodyTextIndent31"/>
    <w:rsid w:val="00ED7922"/>
    <w:rPr>
      <w:rFonts w:ascii="Times New Roman" w:eastAsia="Times New Roman" w:hAnsi="Times New Roman" w:cs="Times New Roman"/>
      <w:sz w:val="16"/>
      <w:szCs w:val="16"/>
    </w:rPr>
  </w:style>
  <w:style w:type="character" w:customStyle="1" w:styleId="ProductNumberCharChar">
    <w:name w:val="Product Number Char Char"/>
    <w:rsid w:val="00ED7922"/>
    <w:rPr>
      <w:rFonts w:ascii="Arial" w:eastAsia="Times New Roman" w:hAnsi="Arial" w:cs="Times New Roman"/>
      <w:b/>
      <w:caps/>
      <w:sz w:val="24"/>
      <w:szCs w:val="20"/>
    </w:rPr>
  </w:style>
  <w:style w:type="character" w:customStyle="1" w:styleId="PageNumber1">
    <w:name w:val="Page Number1"/>
    <w:basedOn w:val="DefaultParagraphFont"/>
    <w:rsid w:val="00ED7922"/>
  </w:style>
  <w:style w:type="character" w:customStyle="1" w:styleId="ExhibitTextCharChar">
    <w:name w:val="Exhibit Text Char Char"/>
    <w:rsid w:val="00ED7922"/>
    <w:rPr>
      <w:rFonts w:ascii="Arial" w:eastAsia="Times New Roman" w:hAnsi="Arial" w:cs="Arial"/>
      <w:sz w:val="20"/>
      <w:szCs w:val="20"/>
    </w:rPr>
  </w:style>
  <w:style w:type="paragraph" w:customStyle="1" w:styleId="NewNew">
    <w:name w:val="页眉 New New"/>
    <w:basedOn w:val="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BodyTextIndent1">
    <w:name w:val="Body Text Indent1"/>
    <w:basedOn w:val="Normal"/>
    <w:link w:val="BodyTextIndentCharChar"/>
    <w:rsid w:val="00ED7922"/>
    <w:pPr>
      <w:spacing w:after="120"/>
      <w:ind w:left="360"/>
    </w:pPr>
  </w:style>
  <w:style w:type="paragraph" w:customStyle="1" w:styleId="NormalNew">
    <w:name w:val="Normal New"/>
    <w:rsid w:val="00ED7922"/>
    <w:pPr>
      <w:spacing w:after="0" w:line="240" w:lineRule="auto"/>
      <w:jc w:val="both"/>
    </w:pPr>
    <w:rPr>
      <w:rFonts w:ascii="Times New Roman" w:eastAsia="SimSun" w:hAnsi="Times New Roman" w:cs="Times New Roman"/>
      <w:kern w:val="2"/>
      <w:sz w:val="21"/>
      <w:szCs w:val="20"/>
    </w:rPr>
  </w:style>
  <w:style w:type="paragraph" w:customStyle="1" w:styleId="BodyTextIndent31">
    <w:name w:val="Body Text Indent 31"/>
    <w:basedOn w:val="Normal"/>
    <w:link w:val="BodyTextIndent3CharChar"/>
    <w:rsid w:val="00ED7922"/>
    <w:pPr>
      <w:spacing w:after="120"/>
      <w:ind w:left="360"/>
    </w:pPr>
    <w:rPr>
      <w:sz w:val="16"/>
      <w:szCs w:val="16"/>
    </w:rPr>
  </w:style>
  <w:style w:type="paragraph" w:customStyle="1" w:styleId="NewNew0">
    <w:name w:val="页脚 New New"/>
    <w:basedOn w:val="NewNewNewNewNew"/>
    <w:rsid w:val="00ED7922"/>
    <w:pPr>
      <w:tabs>
        <w:tab w:val="center" w:pos="4153"/>
        <w:tab w:val="right" w:pos="8306"/>
      </w:tabs>
      <w:snapToGrid w:val="0"/>
      <w:jc w:val="left"/>
    </w:pPr>
    <w:rPr>
      <w:rFonts w:ascii="Calibri" w:hAnsi="Calibri"/>
      <w:sz w:val="18"/>
      <w:szCs w:val="18"/>
    </w:rPr>
  </w:style>
  <w:style w:type="paragraph" w:customStyle="1" w:styleId="New">
    <w:name w:val="页脚 New"/>
    <w:basedOn w:val="NewNewNewNew"/>
    <w:rsid w:val="00ED7922"/>
    <w:pPr>
      <w:tabs>
        <w:tab w:val="center" w:pos="4153"/>
        <w:tab w:val="right" w:pos="8306"/>
      </w:tabs>
      <w:snapToGrid w:val="0"/>
      <w:jc w:val="left"/>
    </w:pPr>
    <w:rPr>
      <w:rFonts w:ascii="Calibri" w:hAnsi="Calibri"/>
      <w:sz w:val="18"/>
      <w:szCs w:val="18"/>
    </w:rPr>
  </w:style>
  <w:style w:type="paragraph" w:customStyle="1" w:styleId="NewNewNewNew0">
    <w:name w:val="页眉 New New New New"/>
    <w:basedOn w:val="New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New1">
    <w:name w:val="页脚 New New New New"/>
    <w:basedOn w:val="NewNewNewNewNewNewNew"/>
    <w:rsid w:val="00ED7922"/>
    <w:pPr>
      <w:tabs>
        <w:tab w:val="center" w:pos="4153"/>
        <w:tab w:val="right" w:pos="8306"/>
      </w:tabs>
      <w:snapToGrid w:val="0"/>
      <w:jc w:val="left"/>
    </w:pPr>
    <w:rPr>
      <w:rFonts w:ascii="Calibri" w:hAnsi="Calibri"/>
      <w:sz w:val="18"/>
      <w:szCs w:val="18"/>
    </w:rPr>
  </w:style>
  <w:style w:type="paragraph" w:customStyle="1" w:styleId="Normal2">
    <w:name w:val="Normal2"/>
    <w:rsid w:val="00ED7922"/>
    <w:pPr>
      <w:spacing w:after="0" w:line="240" w:lineRule="auto"/>
      <w:jc w:val="both"/>
    </w:pPr>
    <w:rPr>
      <w:rFonts w:ascii="Times New Roman" w:eastAsia="SimSun" w:hAnsi="Times New Roman" w:cs="Times New Roman"/>
      <w:kern w:val="2"/>
      <w:sz w:val="21"/>
      <w:szCs w:val="20"/>
    </w:rPr>
  </w:style>
  <w:style w:type="paragraph" w:customStyle="1" w:styleId="CommentSubject1">
    <w:name w:val="Comment Subject1"/>
    <w:basedOn w:val="CommentText"/>
    <w:next w:val="CommentText"/>
    <w:link w:val="CommentSubjectChar1"/>
    <w:rsid w:val="00ED7922"/>
    <w:rPr>
      <w:b/>
      <w:bCs/>
      <w:kern w:val="2"/>
      <w:sz w:val="22"/>
    </w:rPr>
  </w:style>
  <w:style w:type="paragraph" w:customStyle="1" w:styleId="NormalWeb1">
    <w:name w:val="Normal (Web)1"/>
    <w:basedOn w:val="Normal"/>
    <w:rsid w:val="00ED7922"/>
    <w:pPr>
      <w:spacing w:before="100" w:beforeAutospacing="1" w:after="100" w:afterAutospacing="1"/>
    </w:pPr>
    <w:rPr>
      <w:kern w:val="2"/>
      <w:sz w:val="24"/>
      <w:szCs w:val="24"/>
    </w:rPr>
  </w:style>
  <w:style w:type="paragraph" w:customStyle="1" w:styleId="Normal1">
    <w:name w:val="Normal1"/>
    <w:rsid w:val="00ED7922"/>
    <w:pPr>
      <w:spacing w:after="0" w:line="240" w:lineRule="auto"/>
      <w:jc w:val="both"/>
    </w:pPr>
    <w:rPr>
      <w:rFonts w:ascii="Times New Roman" w:eastAsia="SimSun" w:hAnsi="Times New Roman" w:cs="Times New Roman"/>
      <w:kern w:val="2"/>
      <w:sz w:val="21"/>
      <w:szCs w:val="20"/>
    </w:rPr>
  </w:style>
  <w:style w:type="paragraph" w:customStyle="1" w:styleId="New0">
    <w:name w:val="页眉 New"/>
    <w:basedOn w:val="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
    <w:name w:val="页眉 New New New"/>
    <w:basedOn w:val="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0">
    <w:name w:val="页脚 New New New"/>
    <w:basedOn w:val="NewNewNewNewNewNew"/>
    <w:rsid w:val="00ED7922"/>
    <w:pPr>
      <w:tabs>
        <w:tab w:val="center" w:pos="4153"/>
        <w:tab w:val="right" w:pos="8306"/>
      </w:tabs>
      <w:snapToGrid w:val="0"/>
      <w:jc w:val="left"/>
    </w:pPr>
    <w:rPr>
      <w:rFonts w:ascii="Calibri" w:hAnsi="Calibri"/>
      <w:sz w:val="18"/>
      <w:szCs w:val="18"/>
    </w:rPr>
  </w:style>
  <w:style w:type="paragraph" w:customStyle="1" w:styleId="Normal3">
    <w:name w:val="Normal3"/>
    <w:link w:val="Normal3Char"/>
    <w:rsid w:val="00ED7922"/>
    <w:pPr>
      <w:spacing w:after="0" w:line="240" w:lineRule="auto"/>
      <w:jc w:val="both"/>
    </w:pPr>
    <w:rPr>
      <w:rFonts w:ascii="Times New Roman" w:eastAsia="SimSun" w:hAnsi="Times New Roman" w:cs="Times New Roman"/>
      <w:kern w:val="2"/>
      <w:sz w:val="21"/>
      <w:szCs w:val="20"/>
    </w:rPr>
  </w:style>
  <w:style w:type="paragraph" w:customStyle="1" w:styleId="New1">
    <w:name w:val="正文 New"/>
    <w:rsid w:val="00ED7922"/>
    <w:pPr>
      <w:spacing w:after="0" w:line="240" w:lineRule="auto"/>
    </w:pPr>
    <w:rPr>
      <w:rFonts w:ascii="Times New Roman" w:eastAsia="Times New Roman" w:hAnsi="Times New Roman" w:cs="Times New Roman"/>
      <w:kern w:val="2"/>
      <w:sz w:val="20"/>
      <w:szCs w:val="20"/>
    </w:rPr>
  </w:style>
  <w:style w:type="paragraph" w:customStyle="1" w:styleId="NewNewNewNewNew">
    <w:name w:val="正文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
    <w:name w:val="正文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styleId="TOCHeading">
    <w:name w:val="TOC Heading"/>
    <w:basedOn w:val="Heading1"/>
    <w:next w:val="Normal"/>
    <w:qFormat/>
    <w:rsid w:val="00ED7922"/>
    <w:pPr>
      <w:spacing w:before="240" w:line="259" w:lineRule="auto"/>
      <w:outlineLvl w:val="9"/>
    </w:pPr>
    <w:rPr>
      <w:rFonts w:ascii="Cambria" w:hAnsi="Cambria"/>
      <w:b w:val="0"/>
      <w:bCs w:val="0"/>
      <w:color w:val="365F90"/>
      <w:kern w:val="2"/>
      <w:sz w:val="32"/>
      <w:szCs w:val="32"/>
      <w:lang w:val="en-US" w:eastAsia="en-US"/>
    </w:rPr>
  </w:style>
  <w:style w:type="paragraph" w:customStyle="1" w:styleId="NewNew1">
    <w:name w:val="正文 New New"/>
    <w:rsid w:val="00ED7922"/>
    <w:pPr>
      <w:widowControl w:val="0"/>
      <w:spacing w:after="0" w:line="240" w:lineRule="auto"/>
      <w:jc w:val="both"/>
    </w:pPr>
    <w:rPr>
      <w:rFonts w:ascii="Calibri" w:eastAsia="SimSun" w:hAnsi="Calibri" w:cs="Times New Roman"/>
      <w:kern w:val="2"/>
      <w:sz w:val="21"/>
      <w:szCs w:val="24"/>
      <w:lang w:eastAsia="zh-CN"/>
    </w:rPr>
  </w:style>
  <w:style w:type="paragraph" w:customStyle="1" w:styleId="NewNewNewNewNewNew">
    <w:name w:val="正文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NewNewNew">
    <w:name w:val="正文 New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Default">
    <w:name w:val="Default"/>
    <w:rsid w:val="00ED7922"/>
    <w:pPr>
      <w:widowControl w:val="0"/>
      <w:autoSpaceDE w:val="0"/>
      <w:autoSpaceDN w:val="0"/>
      <w:spacing w:after="0" w:line="240" w:lineRule="auto"/>
    </w:pPr>
    <w:rPr>
      <w:rFonts w:ascii="KaiTi_GB2312" w:eastAsia="KaiTi_GB2312" w:hAnsi="KaiTi_GB2312" w:cs="Times New Roman" w:hint="eastAsia"/>
      <w:color w:val="000000"/>
      <w:sz w:val="24"/>
      <w:szCs w:val="20"/>
    </w:rPr>
  </w:style>
  <w:style w:type="paragraph" w:customStyle="1" w:styleId="NewNewNew1">
    <w:name w:val="正文 New New New"/>
    <w:rsid w:val="00ED7922"/>
    <w:pPr>
      <w:widowControl w:val="0"/>
      <w:spacing w:after="0" w:line="240" w:lineRule="auto"/>
      <w:jc w:val="both"/>
    </w:pPr>
    <w:rPr>
      <w:rFonts w:ascii="Calibri" w:eastAsia="SimSun" w:hAnsi="Calibri" w:cs="Times New Roman"/>
      <w:kern w:val="2"/>
      <w:sz w:val="21"/>
      <w:szCs w:val="24"/>
      <w:lang w:eastAsia="zh-CN"/>
    </w:rPr>
  </w:style>
  <w:style w:type="character" w:customStyle="1" w:styleId="CommentSubjectChar2">
    <w:name w:val="Comment Subject Char2"/>
    <w:uiPriority w:val="99"/>
    <w:semiHidden/>
    <w:rsid w:val="00ED7922"/>
    <w:rPr>
      <w:rFonts w:ascii="Times New Roman" w:eastAsia="Times New Roman" w:hAnsi="Times New Roman" w:cs="Times New Roman"/>
      <w:b/>
      <w:bCs/>
      <w:kern w:val="2"/>
      <w:sz w:val="20"/>
      <w:szCs w:val="20"/>
      <w:lang w:val="en-US" w:eastAsia="en-US"/>
    </w:rPr>
  </w:style>
  <w:style w:type="paragraph" w:customStyle="1" w:styleId="Paragraph">
    <w:name w:val="Paragraph"/>
    <w:basedOn w:val="Normal3"/>
    <w:link w:val="ParagraphChar"/>
    <w:qFormat/>
    <w:rsid w:val="00ED7922"/>
    <w:pPr>
      <w:widowControl w:val="0"/>
      <w:autoSpaceDE w:val="0"/>
      <w:autoSpaceDN w:val="0"/>
    </w:pPr>
    <w:rPr>
      <w:lang w:val="en-CA"/>
    </w:rPr>
  </w:style>
  <w:style w:type="character" w:customStyle="1" w:styleId="Normal3Char">
    <w:name w:val="Normal3 Char"/>
    <w:basedOn w:val="DefaultParagraphFont"/>
    <w:link w:val="Normal3"/>
    <w:rsid w:val="00ED7922"/>
    <w:rPr>
      <w:rFonts w:ascii="Times New Roman" w:eastAsia="SimSun" w:hAnsi="Times New Roman" w:cs="Times New Roman"/>
      <w:kern w:val="2"/>
      <w:sz w:val="21"/>
      <w:szCs w:val="20"/>
    </w:rPr>
  </w:style>
  <w:style w:type="character" w:customStyle="1" w:styleId="ParagraphChar">
    <w:name w:val="Paragraph Char"/>
    <w:basedOn w:val="Normal3Char"/>
    <w:link w:val="Paragraph"/>
    <w:rsid w:val="00ED7922"/>
    <w:rPr>
      <w:rFonts w:ascii="Times New Roman" w:eastAsia="SimSun" w:hAnsi="Times New Roman" w:cs="Times New Roman"/>
      <w:kern w:val="2"/>
      <w:sz w:val="21"/>
      <w:szCs w:val="20"/>
      <w:lang w:val="en-CA"/>
    </w:rPr>
  </w:style>
  <w:style w:type="paragraph" w:customStyle="1" w:styleId="TableParagraph">
    <w:name w:val="Table Paragraph"/>
    <w:basedOn w:val="Normal"/>
    <w:uiPriority w:val="1"/>
    <w:qFormat/>
    <w:rsid w:val="00ED7922"/>
    <w:pPr>
      <w:widowControl w:val="0"/>
      <w:autoSpaceDE w:val="0"/>
      <w:autoSpaceDN w:val="0"/>
      <w:jc w:val="right"/>
    </w:pPr>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18EF82-D925-44E5-BA04-88AEA935BF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5108</Words>
  <Characters>29122</Characters>
  <Application>Microsoft Office Word</Application>
  <DocSecurity>4</DocSecurity>
  <Lines>242</Lines>
  <Paragraphs>68</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34162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smuir</dc:creator>
  <cp:keywords/>
  <cp:lastModifiedBy>Martinali, Sara</cp:lastModifiedBy>
  <cp:revision>2</cp:revision>
  <cp:lastPrinted>2015-03-04T20:34:00Z</cp:lastPrinted>
  <dcterms:created xsi:type="dcterms:W3CDTF">2019-06-17T16:59:00Z</dcterms:created>
  <dcterms:modified xsi:type="dcterms:W3CDTF">2019-06-17T16:59:00Z</dcterms:modified>
</cp:coreProperties>
</file>