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8830058" w:rsidR="00C02410" w:rsidRDefault="00E60DD4" w:rsidP="00C02410">
      <w:pPr>
        <w:pStyle w:val="ProductNumber"/>
      </w:pPr>
      <w:r>
        <w:t>9B19M056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674D2A7" w:rsidR="00013360" w:rsidRDefault="00E60DD4" w:rsidP="00013360">
      <w:pPr>
        <w:pStyle w:val="CaseTitle"/>
        <w:spacing w:after="0" w:line="240" w:lineRule="auto"/>
        <w:rPr>
          <w:sz w:val="20"/>
          <w:szCs w:val="20"/>
        </w:rPr>
      </w:pPr>
      <w:r>
        <w:rPr>
          <w:lang w:val="en-GB"/>
        </w:rPr>
        <w:t>ontario racquet club</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BF44A84" w:rsidR="00086B26" w:rsidRPr="00287D6F" w:rsidRDefault="00E60DD4" w:rsidP="00086B26">
      <w:pPr>
        <w:pStyle w:val="StyleCopyrightStatementAfter0ptBottomSinglesolidline1"/>
        <w:rPr>
          <w:lang w:val="en-GB"/>
        </w:rPr>
      </w:pPr>
      <w:r>
        <w:t xml:space="preserve">Martin </w:t>
      </w:r>
      <w:proofErr w:type="spellStart"/>
      <w:r>
        <w:t>Eidenberg</w:t>
      </w:r>
      <w:proofErr w:type="spellEnd"/>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Julie Gosse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266C8B1"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E60DD4">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E60DD4">
        <w:rPr>
          <w:rFonts w:cs="Arial"/>
          <w:iCs w:val="0"/>
          <w:color w:val="auto"/>
          <w:szCs w:val="16"/>
        </w:rPr>
        <w:t>19</w:t>
      </w:r>
      <w:r w:rsidRPr="00A323B0">
        <w:rPr>
          <w:rFonts w:cs="Arial"/>
          <w:iCs w:val="0"/>
          <w:color w:val="auto"/>
          <w:szCs w:val="16"/>
        </w:rPr>
        <w:t>-</w:t>
      </w:r>
      <w:r w:rsidR="00E60DD4">
        <w:rPr>
          <w:rFonts w:cs="Arial"/>
          <w:iCs w:val="0"/>
          <w:color w:val="auto"/>
          <w:szCs w:val="16"/>
        </w:rPr>
        <w:t>0</w:t>
      </w:r>
      <w:r w:rsidR="001B42E8">
        <w:rPr>
          <w:rFonts w:cs="Arial"/>
          <w:iCs w:val="0"/>
          <w:color w:val="auto"/>
          <w:szCs w:val="16"/>
        </w:rPr>
        <w:t>8</w:t>
      </w:r>
      <w:r w:rsidRPr="00A323B0">
        <w:rPr>
          <w:rFonts w:cs="Arial"/>
          <w:iCs w:val="0"/>
          <w:color w:val="auto"/>
          <w:szCs w:val="16"/>
        </w:rPr>
        <w:t>-</w:t>
      </w:r>
      <w:r w:rsidR="001B42E8">
        <w:rPr>
          <w:rFonts w:cs="Arial"/>
          <w:iCs w:val="0"/>
          <w:color w:val="auto"/>
          <w:szCs w:val="16"/>
        </w:rPr>
        <w:t>01</w:t>
      </w:r>
      <w:bookmarkStart w:id="0" w:name="_GoBack"/>
      <w:bookmarkEnd w:id="0"/>
    </w:p>
    <w:p w14:paraId="0A2A54E4" w14:textId="77777777" w:rsidR="00751E0B" w:rsidRPr="001C1BCA" w:rsidRDefault="00751E0B" w:rsidP="00751E0B">
      <w:pPr>
        <w:pStyle w:val="StyleCopyrightStatementAfter0ptBottomSinglesolidline1"/>
        <w:rPr>
          <w:rFonts w:ascii="Times New Roman" w:hAnsi="Times New Roman"/>
          <w:szCs w:val="16"/>
        </w:rPr>
      </w:pPr>
    </w:p>
    <w:p w14:paraId="675832A7" w14:textId="77777777" w:rsidR="00E60DD4" w:rsidRPr="001C1BCA" w:rsidRDefault="00E60DD4" w:rsidP="00751E0B">
      <w:pPr>
        <w:pStyle w:val="StyleCopyrightStatementAfter0ptBottomSinglesolidline1"/>
        <w:rPr>
          <w:rFonts w:ascii="Times New Roman" w:hAnsi="Times New Roman"/>
          <w:szCs w:val="16"/>
        </w:rPr>
      </w:pPr>
    </w:p>
    <w:p w14:paraId="11D96CB2" w14:textId="77777777" w:rsidR="00111CF8" w:rsidRPr="008F5D02" w:rsidRDefault="00111CF8" w:rsidP="00111CF8">
      <w:pPr>
        <w:pStyle w:val="BodyTextMain"/>
        <w:rPr>
          <w:lang w:val="en-GB"/>
        </w:rPr>
      </w:pPr>
      <w:r w:rsidRPr="008F5D02">
        <w:rPr>
          <w:lang w:val="en-GB"/>
        </w:rPr>
        <w:t xml:space="preserve">As Pete Mitchell, </w:t>
      </w:r>
      <w:r>
        <w:rPr>
          <w:lang w:val="en-GB"/>
        </w:rPr>
        <w:t>chief executive officer</w:t>
      </w:r>
      <w:r w:rsidRPr="008F5D02">
        <w:rPr>
          <w:lang w:val="en-GB"/>
        </w:rPr>
        <w:t xml:space="preserve"> of the Ontario Racquet Club (ORC), glanced at the updated membership numbers on his desk</w:t>
      </w:r>
      <w:r>
        <w:rPr>
          <w:lang w:val="en-GB"/>
        </w:rPr>
        <w:t xml:space="preserve"> in January 2014</w:t>
      </w:r>
      <w:r w:rsidRPr="008F5D02">
        <w:rPr>
          <w:lang w:val="en-GB"/>
        </w:rPr>
        <w:t xml:space="preserve">, he contemplated what could be done to boost membership. Operating in an ever-changing industry with new and increasingly fierce competition, </w:t>
      </w:r>
      <w:r>
        <w:rPr>
          <w:lang w:val="en-GB"/>
        </w:rPr>
        <w:t xml:space="preserve">the </w:t>
      </w:r>
      <w:r w:rsidRPr="008F5D02">
        <w:rPr>
          <w:lang w:val="en-GB"/>
        </w:rPr>
        <w:t xml:space="preserve">ORC faced significant external pressure to retain current membership </w:t>
      </w:r>
      <w:r>
        <w:rPr>
          <w:lang w:val="en-GB"/>
        </w:rPr>
        <w:t>and</w:t>
      </w:r>
      <w:r w:rsidRPr="008F5D02">
        <w:rPr>
          <w:lang w:val="en-GB"/>
        </w:rPr>
        <w:t xml:space="preserve"> attract new long-term, active</w:t>
      </w:r>
      <w:r>
        <w:rPr>
          <w:lang w:val="en-GB"/>
        </w:rPr>
        <w:t>,</w:t>
      </w:r>
      <w:r w:rsidRPr="008F5D02">
        <w:rPr>
          <w:lang w:val="en-GB"/>
        </w:rPr>
        <w:t xml:space="preserve"> and profitable members. Mitchell knew that any future projects to address these issues would need to be approved by the </w:t>
      </w:r>
      <w:r>
        <w:rPr>
          <w:lang w:val="en-GB"/>
        </w:rPr>
        <w:t>board of directors</w:t>
      </w:r>
      <w:r w:rsidRPr="008F5D02">
        <w:rPr>
          <w:lang w:val="en-GB"/>
        </w:rPr>
        <w:t xml:space="preserve">. </w:t>
      </w:r>
    </w:p>
    <w:p w14:paraId="41741C23" w14:textId="1E684322" w:rsidR="00111CF8" w:rsidRPr="00111CF8" w:rsidRDefault="00111CF8" w:rsidP="00111CF8">
      <w:pPr>
        <w:pStyle w:val="BodyTextMain"/>
        <w:rPr>
          <w:sz w:val="16"/>
          <w:szCs w:val="16"/>
          <w:lang w:val="en-GB" w:eastAsia="en-GB"/>
        </w:rPr>
      </w:pPr>
    </w:p>
    <w:p w14:paraId="20E42FB8" w14:textId="77777777" w:rsidR="00111CF8" w:rsidRPr="00111CF8" w:rsidRDefault="00111CF8" w:rsidP="00111CF8">
      <w:pPr>
        <w:pStyle w:val="BodyTextMain"/>
        <w:rPr>
          <w:sz w:val="16"/>
          <w:szCs w:val="16"/>
          <w:lang w:val="en-GB" w:eastAsia="en-GB"/>
        </w:rPr>
      </w:pPr>
    </w:p>
    <w:p w14:paraId="15CE8AFA" w14:textId="2EB44D86" w:rsidR="00E60DD4" w:rsidRPr="00E60DD4" w:rsidRDefault="00E60DD4" w:rsidP="008E33E8">
      <w:pPr>
        <w:pStyle w:val="Casehead1"/>
        <w:rPr>
          <w:lang w:val="en-GB" w:eastAsia="en-GB"/>
        </w:rPr>
      </w:pPr>
      <w:r w:rsidRPr="00E60DD4">
        <w:rPr>
          <w:lang w:val="en-GB" w:eastAsia="en-GB"/>
        </w:rPr>
        <w:t>THE HEALTH, WELLNESS, AND SPORTS CLUB INDUSTRY</w:t>
      </w:r>
      <w:r w:rsidRPr="00E60DD4">
        <w:rPr>
          <w:sz w:val="22"/>
          <w:szCs w:val="22"/>
          <w:vertAlign w:val="superscript"/>
          <w:lang w:val="en-GB" w:eastAsia="en-GB"/>
        </w:rPr>
        <w:footnoteReference w:id="1"/>
      </w:r>
    </w:p>
    <w:p w14:paraId="2FB65151" w14:textId="77777777" w:rsidR="00E60DD4" w:rsidRPr="00111CF8" w:rsidRDefault="00E60DD4" w:rsidP="008E33E8">
      <w:pPr>
        <w:pStyle w:val="BodyTextMain"/>
        <w:rPr>
          <w:sz w:val="16"/>
          <w:szCs w:val="16"/>
          <w:lang w:val="en-GB" w:eastAsia="en-GB"/>
        </w:rPr>
      </w:pPr>
    </w:p>
    <w:p w14:paraId="005A689F" w14:textId="77777777" w:rsidR="00E60DD4" w:rsidRPr="00E60DD4" w:rsidRDefault="00E60DD4" w:rsidP="008E33E8">
      <w:pPr>
        <w:pStyle w:val="BodyTextMain"/>
        <w:rPr>
          <w:lang w:val="en-GB" w:eastAsia="en-GB"/>
        </w:rPr>
      </w:pPr>
      <w:r w:rsidRPr="00E60DD4">
        <w:rPr>
          <w:lang w:val="en-GB" w:eastAsia="en-GB"/>
        </w:rPr>
        <w:t>The first sporting club in (pre-Confederation) Canada was the Montreal Curling Club, founded in 1807.</w:t>
      </w:r>
      <w:r w:rsidRPr="00E60DD4">
        <w:rPr>
          <w:vertAlign w:val="superscript"/>
          <w:lang w:val="en-GB" w:eastAsia="en-GB"/>
        </w:rPr>
        <w:footnoteReference w:id="2"/>
      </w:r>
      <w:r w:rsidRPr="00E60DD4">
        <w:rPr>
          <w:lang w:val="en-GB" w:eastAsia="en-GB"/>
        </w:rPr>
        <w:t xml:space="preserve"> Driven by increases in disposable income, population, and time available for leisure activities, as well as a societal trend toward healthier lifestyles, health and fitness clubs became a significant and growing industry in Canada after this time, with total industry revenues exceeding CA$2.8 billion.</w:t>
      </w:r>
      <w:r w:rsidRPr="00E60DD4">
        <w:rPr>
          <w:vertAlign w:val="superscript"/>
          <w:lang w:val="en-GB" w:eastAsia="en-GB"/>
        </w:rPr>
        <w:footnoteReference w:id="3"/>
      </w:r>
      <w:r w:rsidRPr="00E60DD4">
        <w:rPr>
          <w:lang w:val="en-GB" w:eastAsia="en-GB"/>
        </w:rPr>
        <w:t xml:space="preserve"> Over the past six years, industry revenues had grown by an average of 5.9 per cent per year, and the outlook was similarly positive. The Canadian economy was generally recovering from the 2008–09 recession, with real gross domestic product growth well over 2 per cent.</w:t>
      </w:r>
      <w:r w:rsidRPr="00E60DD4">
        <w:rPr>
          <w:vertAlign w:val="superscript"/>
          <w:lang w:val="en-GB" w:eastAsia="en-GB"/>
        </w:rPr>
        <w:footnoteReference w:id="4"/>
      </w:r>
    </w:p>
    <w:p w14:paraId="276C4739" w14:textId="77777777" w:rsidR="00E60DD4" w:rsidRPr="00111CF8" w:rsidRDefault="00E60DD4" w:rsidP="008E33E8">
      <w:pPr>
        <w:pStyle w:val="BodyTextMain"/>
        <w:rPr>
          <w:sz w:val="16"/>
          <w:szCs w:val="16"/>
          <w:lang w:val="en-GB" w:eastAsia="en-GB"/>
        </w:rPr>
      </w:pPr>
    </w:p>
    <w:p w14:paraId="7FF516AB" w14:textId="77777777" w:rsidR="00E60DD4" w:rsidRPr="00E60DD4" w:rsidRDefault="00E60DD4" w:rsidP="008E33E8">
      <w:pPr>
        <w:pStyle w:val="BodyTextMain"/>
        <w:rPr>
          <w:lang w:val="en-GB"/>
        </w:rPr>
      </w:pPr>
      <w:r w:rsidRPr="00E60DD4">
        <w:rPr>
          <w:lang w:val="en-GB"/>
        </w:rPr>
        <w:t xml:space="preserve">With the adult obesity rate in Canada climbing over 50 per cent, government health campaigns and incentives (i.e., child and adult fitness tax credits) contributed toward stimulating membership sales across the industry. With health care costs skyrocketing, government and insurance providers were predicted to increasingly look toward prevention as a means to reduce costs; the subsidization of fitness and sports club memberships was a major mechanism by which to do so. This was especially true for individuals with comprehensive benefits coverages provided by their employers. </w:t>
      </w:r>
    </w:p>
    <w:p w14:paraId="787398DA" w14:textId="77777777" w:rsidR="00E60DD4" w:rsidRPr="00111CF8" w:rsidRDefault="00E60DD4" w:rsidP="008E33E8">
      <w:pPr>
        <w:pStyle w:val="BodyTextMain"/>
        <w:rPr>
          <w:sz w:val="16"/>
          <w:szCs w:val="16"/>
          <w:lang w:val="en-GB"/>
        </w:rPr>
      </w:pPr>
    </w:p>
    <w:p w14:paraId="2BB0E246" w14:textId="77777777" w:rsidR="00111CF8" w:rsidRDefault="00111CF8" w:rsidP="008E33E8">
      <w:pPr>
        <w:pStyle w:val="Casehead1"/>
        <w:rPr>
          <w:lang w:val="en-GB" w:eastAsia="en-GB"/>
        </w:rPr>
      </w:pPr>
    </w:p>
    <w:p w14:paraId="1157F11A" w14:textId="5143A8D5" w:rsidR="00E60DD4" w:rsidRPr="00E60DD4" w:rsidRDefault="00E60DD4" w:rsidP="008E33E8">
      <w:pPr>
        <w:pStyle w:val="Casehead1"/>
        <w:rPr>
          <w:lang w:val="en-GB" w:eastAsia="en-GB"/>
        </w:rPr>
      </w:pPr>
      <w:r w:rsidRPr="00E60DD4">
        <w:rPr>
          <w:lang w:val="en-GB" w:eastAsia="en-GB"/>
        </w:rPr>
        <w:lastRenderedPageBreak/>
        <w:t>THE ONTARIO RACQUET CLUB</w:t>
      </w:r>
    </w:p>
    <w:p w14:paraId="75C92C49" w14:textId="77777777" w:rsidR="00E60DD4" w:rsidRPr="00111CF8" w:rsidRDefault="00E60DD4" w:rsidP="008E33E8">
      <w:pPr>
        <w:pStyle w:val="BodyTextMain"/>
        <w:rPr>
          <w:sz w:val="16"/>
          <w:szCs w:val="16"/>
          <w:lang w:val="en-GB"/>
        </w:rPr>
      </w:pPr>
    </w:p>
    <w:p w14:paraId="41B4F56A" w14:textId="61BB13FF" w:rsidR="00E60DD4" w:rsidRPr="00E60DD4" w:rsidRDefault="00E60DD4" w:rsidP="008E33E8">
      <w:pPr>
        <w:pStyle w:val="BodyTextMain"/>
        <w:rPr>
          <w:lang w:val="en-GB"/>
        </w:rPr>
      </w:pPr>
      <w:r w:rsidRPr="00E60DD4">
        <w:rPr>
          <w:lang w:val="en-GB"/>
        </w:rPr>
        <w:t xml:space="preserve">Since the ORC’s founding in 1975, the club had grown to become one of Canada’s largest private family sports clubs, with over 4,300 members (see Exhibit 1). Over the years, the ORC had undergone several large renovations, including investing $5.5 million in 2005 on a brand new entrance area to the club and modernized reception, office, spa, locker room, and group fitness areas (see Exhibit 2). </w:t>
      </w:r>
      <w:r w:rsidR="00C44A7A">
        <w:rPr>
          <w:lang w:val="en-GB"/>
        </w:rPr>
        <w:t>Today</w:t>
      </w:r>
      <w:r w:rsidR="008E33E8">
        <w:rPr>
          <w:lang w:val="en-GB"/>
        </w:rPr>
        <w:t>,</w:t>
      </w:r>
      <w:r w:rsidRPr="00E60DD4">
        <w:rPr>
          <w:lang w:val="en-GB"/>
        </w:rPr>
        <w:t xml:space="preserve"> the ORC’s facilities covered 8.5 acres of land and 150,000 square feet of indoor space. The ORC’s tennis facilities included seven climate-controlled indoor hard courts and </w:t>
      </w:r>
      <w:r w:rsidR="008E33E8">
        <w:rPr>
          <w:lang w:val="en-GB"/>
        </w:rPr>
        <w:t>10</w:t>
      </w:r>
      <w:r w:rsidRPr="00E60DD4">
        <w:rPr>
          <w:lang w:val="en-GB"/>
        </w:rPr>
        <w:t xml:space="preserve"> additional hard courts that were outdoors in the summer and under a heated bubble during the winter. Additionally, the ORC housed six singles squash courts and one doubles squash court, as well as an extensive state-of-the-art fitness centre. An outdoor pool, full-service all-day restaurant, fully supervised play centre for children, on-site pro shop, and massage, physiotherapy, and spa facilities further enhanced the member experience. </w:t>
      </w:r>
    </w:p>
    <w:p w14:paraId="5637B7F3" w14:textId="77777777" w:rsidR="00E60DD4" w:rsidRPr="00111CF8" w:rsidRDefault="00E60DD4" w:rsidP="008E33E8">
      <w:pPr>
        <w:pStyle w:val="BodyTextMain"/>
        <w:rPr>
          <w:sz w:val="16"/>
          <w:szCs w:val="16"/>
          <w:lang w:val="en-GB"/>
        </w:rPr>
      </w:pPr>
    </w:p>
    <w:p w14:paraId="3298DA51" w14:textId="77777777" w:rsidR="00E60DD4" w:rsidRPr="00E60DD4" w:rsidRDefault="00E60DD4" w:rsidP="008E33E8">
      <w:pPr>
        <w:pStyle w:val="BodyTextMain"/>
        <w:rPr>
          <w:lang w:val="en-GB"/>
        </w:rPr>
      </w:pPr>
      <w:r w:rsidRPr="00E60DD4">
        <w:rPr>
          <w:lang w:val="en-GB"/>
        </w:rPr>
        <w:t>Approximately 150 individuals were employed at the ORC. This included a roster of highly regarded and qualified tennis, fitness, and squash professionals. The ORC also had qualified staff in place for the full range of corporate activities, including finance and accounting, marketing, membership sales, and human resources, as well as specialized operations professionals in each of the ORC’s departments.</w:t>
      </w:r>
      <w:r w:rsidRPr="00E60DD4">
        <w:rPr>
          <w:vertAlign w:val="superscript"/>
          <w:lang w:val="en-GB"/>
        </w:rPr>
        <w:footnoteReference w:id="5"/>
      </w:r>
      <w:r w:rsidRPr="00E60DD4">
        <w:rPr>
          <w:lang w:val="en-GB"/>
        </w:rPr>
        <w:t xml:space="preserve"> Mitchell himself had worked at the ORC for over 30 years, starting as the director of tennis before taking on his current management role. </w:t>
      </w:r>
    </w:p>
    <w:p w14:paraId="2CFC24A0" w14:textId="77777777" w:rsidR="00E60DD4" w:rsidRPr="00111CF8" w:rsidRDefault="00E60DD4" w:rsidP="008E33E8">
      <w:pPr>
        <w:pStyle w:val="BodyTextMain"/>
        <w:rPr>
          <w:sz w:val="16"/>
          <w:szCs w:val="16"/>
          <w:lang w:val="en-GB"/>
        </w:rPr>
      </w:pPr>
    </w:p>
    <w:p w14:paraId="6015E7BD" w14:textId="77777777" w:rsidR="00E60DD4" w:rsidRPr="00111CF8" w:rsidRDefault="00E60DD4" w:rsidP="00E60DD4">
      <w:pPr>
        <w:jc w:val="both"/>
        <w:rPr>
          <w:sz w:val="16"/>
          <w:szCs w:val="16"/>
          <w:lang w:val="en-GB"/>
        </w:rPr>
      </w:pPr>
    </w:p>
    <w:p w14:paraId="436820CA" w14:textId="77777777" w:rsidR="00E60DD4" w:rsidRPr="00E60DD4" w:rsidRDefault="00E60DD4" w:rsidP="008E33E8">
      <w:pPr>
        <w:pStyle w:val="Casehead1"/>
        <w:rPr>
          <w:lang w:val="en-GB" w:eastAsia="en-GB"/>
        </w:rPr>
      </w:pPr>
      <w:r w:rsidRPr="00E60DD4">
        <w:rPr>
          <w:lang w:val="en-GB" w:eastAsia="en-GB"/>
        </w:rPr>
        <w:t>MISSISSAUGA, ONTARIO</w:t>
      </w:r>
    </w:p>
    <w:p w14:paraId="0CBECB24" w14:textId="77777777" w:rsidR="00E60DD4" w:rsidRPr="00111CF8" w:rsidRDefault="00E60DD4" w:rsidP="008E33E8">
      <w:pPr>
        <w:pStyle w:val="BodyTextMain"/>
        <w:rPr>
          <w:sz w:val="16"/>
          <w:szCs w:val="16"/>
          <w:lang w:val="en-GB" w:eastAsia="en-GB"/>
        </w:rPr>
      </w:pPr>
    </w:p>
    <w:p w14:paraId="0E83CAD2" w14:textId="77777777" w:rsidR="00E60DD4" w:rsidRPr="00E60DD4" w:rsidRDefault="00E60DD4" w:rsidP="008E33E8">
      <w:pPr>
        <w:pStyle w:val="BodyTextMain"/>
        <w:rPr>
          <w:lang w:val="en-GB" w:eastAsia="en-GB"/>
        </w:rPr>
      </w:pPr>
      <w:r w:rsidRPr="00E60DD4">
        <w:rPr>
          <w:lang w:val="en-GB" w:eastAsia="en-GB"/>
        </w:rPr>
        <w:t>The ORC was established in Canada’s sixth-largest city by population—Mississauga, Ontario (population of 721,599).</w:t>
      </w:r>
      <w:r w:rsidRPr="00E60DD4">
        <w:rPr>
          <w:vertAlign w:val="superscript"/>
          <w:lang w:val="en-GB" w:eastAsia="en-GB"/>
        </w:rPr>
        <w:footnoteReference w:id="6"/>
      </w:r>
      <w:r w:rsidRPr="00E60DD4">
        <w:rPr>
          <w:lang w:val="en-GB" w:eastAsia="en-GB"/>
        </w:rPr>
        <w:t xml:space="preserve"> It was located in the south-westernmost corner of the city, near the affluent neighbourhoods of Clarkson, Lorne Park, and Port Credit. It was also located near the border with Oakville, Ontario which itself had an affluent population of 193,832. The population in the Toronto suburbs was projected to continue to grow, with Mississauga’s population projected to reach 930,900 by 2051. Mississauga’s population was also slightly younger and significantly more ethnically and linguistically diverse than the national average. Average and median household incomes in Mississauga were also higher than the national and provincial averages (20 per cent and 10 per cent higher, respectively).</w:t>
      </w:r>
    </w:p>
    <w:p w14:paraId="71088A3E" w14:textId="77777777" w:rsidR="00E60DD4" w:rsidRPr="00111CF8" w:rsidRDefault="00E60DD4" w:rsidP="008E33E8">
      <w:pPr>
        <w:pStyle w:val="BodyTextMain"/>
        <w:rPr>
          <w:sz w:val="16"/>
          <w:szCs w:val="16"/>
          <w:lang w:val="en-GB" w:eastAsia="en-GB"/>
        </w:rPr>
      </w:pPr>
    </w:p>
    <w:p w14:paraId="6FAC4FF3" w14:textId="77777777" w:rsidR="00E60DD4" w:rsidRPr="00111CF8" w:rsidRDefault="00E60DD4" w:rsidP="008E33E8">
      <w:pPr>
        <w:pStyle w:val="BodyTextMain"/>
        <w:rPr>
          <w:sz w:val="16"/>
          <w:szCs w:val="16"/>
          <w:lang w:val="en-GB" w:eastAsia="en-GB"/>
        </w:rPr>
      </w:pPr>
    </w:p>
    <w:p w14:paraId="40841EFA" w14:textId="77777777" w:rsidR="00E60DD4" w:rsidRPr="00E60DD4" w:rsidRDefault="00E60DD4" w:rsidP="008E33E8">
      <w:pPr>
        <w:pStyle w:val="Casehead1"/>
        <w:rPr>
          <w:lang w:val="en-GB" w:eastAsia="en-GB"/>
        </w:rPr>
      </w:pPr>
      <w:r w:rsidRPr="00E60DD4">
        <w:rPr>
          <w:lang w:val="en-GB" w:eastAsia="en-GB"/>
        </w:rPr>
        <w:t>COMPETITION</w:t>
      </w:r>
    </w:p>
    <w:p w14:paraId="27A546D8" w14:textId="77777777" w:rsidR="00E60DD4" w:rsidRPr="00111CF8" w:rsidRDefault="00E60DD4" w:rsidP="008E33E8">
      <w:pPr>
        <w:pStyle w:val="BodyTextMain"/>
        <w:rPr>
          <w:sz w:val="16"/>
          <w:szCs w:val="16"/>
          <w:lang w:val="en-GB" w:eastAsia="en-GB"/>
        </w:rPr>
      </w:pPr>
    </w:p>
    <w:p w14:paraId="0A9BA723" w14:textId="77777777" w:rsidR="00E60DD4" w:rsidRPr="00E60DD4" w:rsidRDefault="00E60DD4" w:rsidP="008E33E8">
      <w:pPr>
        <w:pStyle w:val="BodyTextMain"/>
        <w:rPr>
          <w:lang w:val="en-GB" w:eastAsia="en-GB"/>
        </w:rPr>
      </w:pPr>
      <w:r w:rsidRPr="00E60DD4">
        <w:rPr>
          <w:lang w:val="en-GB" w:eastAsia="en-GB"/>
        </w:rPr>
        <w:t xml:space="preserve">With the industry continuing to experience strong growth, the ORC was faced with an increasingly competitive landscape in which to attract new active and profitable members. Mitchell identified three main groups of competitors to the ORC: other private clubs, new commercial facilities, and community-oriented clubs that were often focused on only one element of the ORC’s extensive offerings. </w:t>
      </w:r>
    </w:p>
    <w:p w14:paraId="106794F4" w14:textId="77777777" w:rsidR="00E60DD4" w:rsidRPr="00111CF8" w:rsidRDefault="00E60DD4" w:rsidP="008E33E8">
      <w:pPr>
        <w:pStyle w:val="BodyTextMain"/>
        <w:rPr>
          <w:sz w:val="16"/>
          <w:szCs w:val="16"/>
          <w:lang w:val="en-GB" w:eastAsia="en-GB"/>
        </w:rPr>
      </w:pPr>
    </w:p>
    <w:p w14:paraId="70CA00B2" w14:textId="77777777" w:rsidR="00E60DD4" w:rsidRPr="00111CF8" w:rsidRDefault="00E60DD4" w:rsidP="008E33E8">
      <w:pPr>
        <w:pStyle w:val="BodyTextMain"/>
        <w:rPr>
          <w:sz w:val="16"/>
          <w:szCs w:val="16"/>
          <w:lang w:val="en-GB" w:eastAsia="en-GB"/>
        </w:rPr>
      </w:pPr>
    </w:p>
    <w:p w14:paraId="1089A560" w14:textId="77777777" w:rsidR="00E60DD4" w:rsidRPr="00E60DD4" w:rsidRDefault="00E60DD4" w:rsidP="008E33E8">
      <w:pPr>
        <w:pStyle w:val="Casehead2"/>
        <w:rPr>
          <w:lang w:val="en-GB" w:eastAsia="en-GB"/>
        </w:rPr>
      </w:pPr>
      <w:r w:rsidRPr="00E60DD4">
        <w:rPr>
          <w:lang w:val="en-GB" w:eastAsia="en-GB"/>
        </w:rPr>
        <w:t>Private Clubs</w:t>
      </w:r>
    </w:p>
    <w:p w14:paraId="0B9A1F55" w14:textId="77777777" w:rsidR="00E60DD4" w:rsidRPr="00111CF8" w:rsidRDefault="00E60DD4" w:rsidP="008E33E8">
      <w:pPr>
        <w:pStyle w:val="BodyTextMain"/>
        <w:rPr>
          <w:sz w:val="16"/>
          <w:szCs w:val="16"/>
          <w:lang w:val="en-GB" w:eastAsia="en-GB"/>
        </w:rPr>
      </w:pPr>
    </w:p>
    <w:p w14:paraId="32B0AFFC" w14:textId="2BFC9DA9" w:rsidR="00E60DD4" w:rsidRDefault="00E60DD4" w:rsidP="008E33E8">
      <w:pPr>
        <w:pStyle w:val="BodyTextMain"/>
        <w:rPr>
          <w:lang w:val="en-GB" w:eastAsia="en-GB"/>
        </w:rPr>
      </w:pPr>
      <w:r w:rsidRPr="00E60DD4">
        <w:rPr>
          <w:lang w:val="en-GB" w:eastAsia="en-GB"/>
        </w:rPr>
        <w:t xml:space="preserve">The first major area of competition for the ORC was other private clubs with similar offerings. These clubs offered an exclusive, upscale atmosphere in a similar or higher price range. The Oakville Club was located in the heart of downtown Oakville and offered five outdoor tennis courts, four squash courts, four badminton courts, an outdoor pool, fitness centre, yachting, and an extensive clubhouse with high-class dining facilities. Further west, in Burlington, Cedar Springs Health, Racquet &amp; Sports Club offered extensive facilities with a focus on aquatics. It had eight pools, including an outdoor–indoor waterpark. In addition, Cedar Springs offered 11 indoor tennis courts, two outdoor clay courts, 11 squash courts, six </w:t>
      </w:r>
      <w:r w:rsidRPr="00E60DD4">
        <w:rPr>
          <w:lang w:val="en-GB" w:eastAsia="en-GB"/>
        </w:rPr>
        <w:lastRenderedPageBreak/>
        <w:t xml:space="preserve">racquetball courts, four badminton courts, and a large fitness centre. Eastward from the ORC, the Boulevard Club was a noteworthy facility located on the shores of Lake Ontario on the west side of Toronto. It offered </w:t>
      </w:r>
      <w:r w:rsidR="008E33E8">
        <w:rPr>
          <w:lang w:val="en-GB" w:eastAsia="en-GB"/>
        </w:rPr>
        <w:t>10</w:t>
      </w:r>
      <w:r w:rsidRPr="00E60DD4">
        <w:rPr>
          <w:lang w:val="en-GB" w:eastAsia="en-GB"/>
        </w:rPr>
        <w:t xml:space="preserve"> outdoor clay tennis courts (eight bubbled</w:t>
      </w:r>
      <w:r w:rsidRPr="00E60DD4">
        <w:rPr>
          <w:sz w:val="16"/>
          <w:szCs w:val="16"/>
          <w:lang w:val="en-GB"/>
        </w:rPr>
        <w:t xml:space="preserve"> </w:t>
      </w:r>
      <w:r w:rsidRPr="00E60DD4">
        <w:rPr>
          <w:lang w:val="en-GB" w:eastAsia="en-GB"/>
        </w:rPr>
        <w:t xml:space="preserve">in the winter), a state-of-the-art badminton centre, a fitness centre, an indoor and a separate outdoor pool, yachting, and extensive wellness and dining facilities, along with numerous other activities. </w:t>
      </w:r>
    </w:p>
    <w:p w14:paraId="153934F6" w14:textId="4EB18FAB" w:rsidR="00111CF8" w:rsidRPr="00111CF8" w:rsidRDefault="00111CF8" w:rsidP="008E33E8">
      <w:pPr>
        <w:pStyle w:val="BodyTextMain"/>
        <w:rPr>
          <w:sz w:val="16"/>
          <w:szCs w:val="16"/>
          <w:lang w:val="en-GB" w:eastAsia="en-GB"/>
        </w:rPr>
      </w:pPr>
    </w:p>
    <w:p w14:paraId="0CE165D8" w14:textId="77777777" w:rsidR="00111CF8" w:rsidRPr="00111CF8" w:rsidRDefault="00111CF8" w:rsidP="008E33E8">
      <w:pPr>
        <w:pStyle w:val="BodyTextMain"/>
        <w:rPr>
          <w:sz w:val="16"/>
          <w:szCs w:val="16"/>
          <w:lang w:val="en-GB" w:eastAsia="en-GB"/>
        </w:rPr>
      </w:pPr>
    </w:p>
    <w:p w14:paraId="6356BB40" w14:textId="77777777" w:rsidR="00E60DD4" w:rsidRPr="00E60DD4" w:rsidRDefault="00E60DD4" w:rsidP="008E33E8">
      <w:pPr>
        <w:pStyle w:val="Casehead2"/>
        <w:rPr>
          <w:lang w:val="en-GB" w:eastAsia="en-GB"/>
        </w:rPr>
      </w:pPr>
      <w:r w:rsidRPr="00E60DD4">
        <w:rPr>
          <w:lang w:val="en-GB" w:eastAsia="en-GB"/>
        </w:rPr>
        <w:t xml:space="preserve">Fitness Chains </w:t>
      </w:r>
    </w:p>
    <w:p w14:paraId="115A7D64" w14:textId="77777777" w:rsidR="00E60DD4" w:rsidRPr="00111CF8" w:rsidRDefault="00E60DD4" w:rsidP="008E33E8">
      <w:pPr>
        <w:pStyle w:val="BodyTextMain"/>
        <w:rPr>
          <w:sz w:val="16"/>
          <w:szCs w:val="16"/>
          <w:lang w:val="en-GB" w:eastAsia="en-GB"/>
        </w:rPr>
      </w:pPr>
    </w:p>
    <w:p w14:paraId="57891176" w14:textId="77777777" w:rsidR="00E60DD4" w:rsidRPr="00E60DD4" w:rsidRDefault="00E60DD4" w:rsidP="008E33E8">
      <w:pPr>
        <w:pStyle w:val="BodyTextMain"/>
        <w:rPr>
          <w:lang w:val="en-GB" w:eastAsia="en-GB"/>
        </w:rPr>
      </w:pPr>
      <w:r w:rsidRPr="00E60DD4">
        <w:rPr>
          <w:lang w:val="en-GB" w:eastAsia="en-GB"/>
        </w:rPr>
        <w:t xml:space="preserve">Commercial facilities that competed with the ORC, especially in the fitness and squash realms, were increasing in number and scale. These included nearby locations of Goodlife Fitness (Goodlife), along with brand new LA Fitness International (LA Fitness) and Life Time Inc. (Life Time) facilities. These facilities had lower membership costs than the ORC; however, they lacked the breadth of amenities and the strong social community that were the cornerstone of the ORC and other private clubs and that enabled these private clubs to retain members and obtain premium membership fees. </w:t>
      </w:r>
    </w:p>
    <w:p w14:paraId="406FB52F" w14:textId="77777777" w:rsidR="00E60DD4" w:rsidRPr="00111CF8" w:rsidRDefault="00E60DD4" w:rsidP="008E33E8">
      <w:pPr>
        <w:pStyle w:val="BodyTextMain"/>
        <w:rPr>
          <w:sz w:val="16"/>
          <w:szCs w:val="16"/>
          <w:lang w:val="en-GB" w:eastAsia="en-GB"/>
        </w:rPr>
      </w:pPr>
    </w:p>
    <w:p w14:paraId="18869355" w14:textId="49C35359" w:rsidR="00E60DD4" w:rsidRPr="001C1BCA" w:rsidRDefault="00E60DD4" w:rsidP="008E33E8">
      <w:pPr>
        <w:pStyle w:val="BodyTextMain"/>
        <w:rPr>
          <w:spacing w:val="-4"/>
          <w:lang w:val="en-GB" w:eastAsia="en-GB"/>
        </w:rPr>
      </w:pPr>
      <w:r w:rsidRPr="001C1BCA">
        <w:rPr>
          <w:spacing w:val="-4"/>
          <w:lang w:val="en-GB" w:eastAsia="en-GB"/>
        </w:rPr>
        <w:t>These commercial facilities were also part of larger corporate networks. Goodlife operated over 300 facilities in Canada. LA Fitness and Life Time were both international companies with over 700 and 135 locations across Canada and the United States, respectively. In fact, Life Time was a publicly listed company with revenues exceeding US$1 billion.</w:t>
      </w:r>
      <w:r w:rsidRPr="001C1BCA">
        <w:rPr>
          <w:spacing w:val="-4"/>
          <w:vertAlign w:val="superscript"/>
          <w:lang w:val="en-GB" w:eastAsia="en-GB"/>
        </w:rPr>
        <w:footnoteReference w:id="7"/>
      </w:r>
      <w:r w:rsidRPr="001C1BCA">
        <w:rPr>
          <w:spacing w:val="-4"/>
          <w:lang w:val="en-GB" w:eastAsia="en-GB"/>
        </w:rPr>
        <w:t xml:space="preserve"> While these fitness chains benefited from economies of scale from their many locations, they typically lacked the community atmosphere that was a hallmark of private clubs.</w:t>
      </w:r>
    </w:p>
    <w:p w14:paraId="7DCEF3C0" w14:textId="77777777" w:rsidR="00E60DD4" w:rsidRPr="00111CF8" w:rsidRDefault="00E60DD4" w:rsidP="008E33E8">
      <w:pPr>
        <w:pStyle w:val="BodyTextMain"/>
        <w:rPr>
          <w:sz w:val="16"/>
          <w:szCs w:val="16"/>
          <w:lang w:val="en-GB" w:eastAsia="en-GB"/>
        </w:rPr>
      </w:pPr>
    </w:p>
    <w:p w14:paraId="0769FEB8" w14:textId="77777777" w:rsidR="00E60DD4" w:rsidRPr="00111CF8" w:rsidRDefault="00E60DD4" w:rsidP="008E33E8">
      <w:pPr>
        <w:pStyle w:val="BodyTextMain"/>
        <w:rPr>
          <w:sz w:val="16"/>
          <w:szCs w:val="16"/>
          <w:lang w:val="en-GB" w:eastAsia="en-GB"/>
        </w:rPr>
      </w:pPr>
    </w:p>
    <w:p w14:paraId="085D96F7" w14:textId="77777777" w:rsidR="00E60DD4" w:rsidRPr="00E60DD4" w:rsidRDefault="00E60DD4" w:rsidP="008E33E8">
      <w:pPr>
        <w:pStyle w:val="Casehead2"/>
        <w:rPr>
          <w:lang w:val="en-GB" w:eastAsia="en-GB"/>
        </w:rPr>
      </w:pPr>
      <w:r w:rsidRPr="00E60DD4">
        <w:rPr>
          <w:lang w:val="en-GB" w:eastAsia="en-GB"/>
        </w:rPr>
        <w:t>Community Clubs</w:t>
      </w:r>
    </w:p>
    <w:p w14:paraId="0975251A" w14:textId="77777777" w:rsidR="00E60DD4" w:rsidRPr="00111CF8" w:rsidRDefault="00E60DD4" w:rsidP="008E33E8">
      <w:pPr>
        <w:pStyle w:val="BodyTextMain"/>
        <w:rPr>
          <w:sz w:val="16"/>
          <w:szCs w:val="16"/>
          <w:lang w:val="en-GB" w:eastAsia="en-GB"/>
        </w:rPr>
      </w:pPr>
    </w:p>
    <w:p w14:paraId="6E1CFFBA" w14:textId="77777777" w:rsidR="00E60DD4" w:rsidRPr="00E60DD4" w:rsidRDefault="00E60DD4" w:rsidP="008E33E8">
      <w:pPr>
        <w:pStyle w:val="BodyTextMain"/>
        <w:rPr>
          <w:lang w:val="en-GB" w:eastAsia="en-GB"/>
        </w:rPr>
      </w:pPr>
      <w:r w:rsidRPr="00E60DD4">
        <w:rPr>
          <w:lang w:val="en-GB" w:eastAsia="en-GB"/>
        </w:rPr>
        <w:t xml:space="preserve">There were a number of tennis-specific community summer clubs that competed with the ORC for casual, summer-only tennis players. ORC members would often take up an additional membership at one of these smaller clubs for the summer. There were three notable clubs of this nature in the area: </w:t>
      </w:r>
      <w:proofErr w:type="spellStart"/>
      <w:r w:rsidRPr="00E60DD4">
        <w:rPr>
          <w:lang w:val="en-GB" w:eastAsia="en-GB"/>
        </w:rPr>
        <w:t>Whiteoaks</w:t>
      </w:r>
      <w:proofErr w:type="spellEnd"/>
      <w:r w:rsidRPr="00E60DD4">
        <w:rPr>
          <w:lang w:val="en-GB" w:eastAsia="en-GB"/>
        </w:rPr>
        <w:t xml:space="preserve"> Park Tennis Club had eight outdoor tennis courts located in the heart of the Lorne Park neighbourhood of Mississauga. Located in Oakville, Wallace Park Tennis Club had five outdoor courts, and in central Mississauga, Credit Valley Tennis Club boasted eight outdoor clay tennis courts. </w:t>
      </w:r>
    </w:p>
    <w:p w14:paraId="698B85FE" w14:textId="77777777" w:rsidR="00E60DD4" w:rsidRPr="00111CF8" w:rsidRDefault="00E60DD4" w:rsidP="008E33E8">
      <w:pPr>
        <w:pStyle w:val="BodyTextMain"/>
        <w:rPr>
          <w:sz w:val="16"/>
          <w:szCs w:val="16"/>
          <w:lang w:val="en-GB" w:eastAsia="en-GB"/>
        </w:rPr>
      </w:pPr>
    </w:p>
    <w:p w14:paraId="28A0520B" w14:textId="77777777" w:rsidR="00E60DD4" w:rsidRPr="00E60DD4" w:rsidRDefault="00E60DD4" w:rsidP="008E33E8">
      <w:pPr>
        <w:pStyle w:val="BodyTextMain"/>
        <w:rPr>
          <w:lang w:val="en-GB" w:eastAsia="en-GB"/>
        </w:rPr>
      </w:pPr>
      <w:r w:rsidRPr="00E60DD4">
        <w:rPr>
          <w:lang w:val="en-GB" w:eastAsia="en-GB"/>
        </w:rPr>
        <w:t xml:space="preserve">Two facilities on the northern Oakville–Mississauga border each offered outdoor tennis in the summer, erecting a bubble for play during the winter. Joshua Creek Tennis had six courts, while the nearby Tennis School had five. Overall, these facilities provided significantly reduced costs to play tennis. However, they did not provide any of the many additional amenities available at the ORC or other private clubs. </w:t>
      </w:r>
    </w:p>
    <w:p w14:paraId="297831A3" w14:textId="77777777" w:rsidR="00E60DD4" w:rsidRPr="00111CF8" w:rsidRDefault="00E60DD4" w:rsidP="008E33E8">
      <w:pPr>
        <w:pStyle w:val="BodyTextMain"/>
        <w:rPr>
          <w:sz w:val="16"/>
          <w:szCs w:val="16"/>
          <w:lang w:val="en-GB" w:eastAsia="en-GB"/>
        </w:rPr>
      </w:pPr>
    </w:p>
    <w:p w14:paraId="0314F231" w14:textId="77777777" w:rsidR="00E60DD4" w:rsidRPr="00111CF8" w:rsidRDefault="00E60DD4" w:rsidP="008E33E8">
      <w:pPr>
        <w:pStyle w:val="BodyTextMain"/>
        <w:rPr>
          <w:sz w:val="16"/>
          <w:szCs w:val="16"/>
          <w:lang w:val="en-GB" w:eastAsia="en-GB"/>
        </w:rPr>
      </w:pPr>
    </w:p>
    <w:p w14:paraId="559BE936" w14:textId="77777777" w:rsidR="00E60DD4" w:rsidRPr="00E60DD4" w:rsidRDefault="00E60DD4" w:rsidP="008E33E8">
      <w:pPr>
        <w:pStyle w:val="Casehead1"/>
        <w:rPr>
          <w:lang w:val="en-GB" w:eastAsia="en-GB"/>
        </w:rPr>
      </w:pPr>
      <w:r w:rsidRPr="00E60DD4">
        <w:rPr>
          <w:lang w:val="en-GB" w:eastAsia="en-GB"/>
        </w:rPr>
        <w:t>MEMBERS</w:t>
      </w:r>
    </w:p>
    <w:p w14:paraId="594EAB4A" w14:textId="77777777" w:rsidR="00E60DD4" w:rsidRPr="00111CF8" w:rsidRDefault="00E60DD4" w:rsidP="008E33E8">
      <w:pPr>
        <w:pStyle w:val="BodyTextMain"/>
        <w:rPr>
          <w:sz w:val="16"/>
          <w:szCs w:val="16"/>
          <w:lang w:val="en-GB" w:eastAsia="en-GB"/>
        </w:rPr>
      </w:pPr>
    </w:p>
    <w:p w14:paraId="3A0E0B3A" w14:textId="77777777" w:rsidR="00E60DD4" w:rsidRPr="001C1BCA" w:rsidRDefault="00E60DD4" w:rsidP="008E33E8">
      <w:pPr>
        <w:pStyle w:val="BodyTextMain"/>
        <w:rPr>
          <w:spacing w:val="-4"/>
          <w:lang w:val="en-GB" w:eastAsia="en-GB"/>
        </w:rPr>
      </w:pPr>
      <w:r w:rsidRPr="001C1BCA">
        <w:rPr>
          <w:spacing w:val="-4"/>
          <w:lang w:val="en-GB" w:eastAsia="en-GB"/>
        </w:rPr>
        <w:t xml:space="preserve">As maintaining a healthy, active lifestyle was not exclusive to any particular demographic segment, the ORC’s membership was diverse. Nevertheless, Mitchell noted that the ORC’s members could be grouped into three broad segments: young families, older families, and retirees. It was also important to note that while the ORC’s premium membership fees and prices remained competitive in the Mississauga–Oakville market, generally they did mean that the ORC’s members were primarily drawn from higher-income households. </w:t>
      </w:r>
    </w:p>
    <w:p w14:paraId="6F72AF92" w14:textId="77777777" w:rsidR="008E33E8" w:rsidRPr="00111CF8" w:rsidRDefault="008E33E8" w:rsidP="008E33E8">
      <w:pPr>
        <w:pStyle w:val="BodyTextMain"/>
        <w:rPr>
          <w:sz w:val="16"/>
          <w:szCs w:val="16"/>
          <w:lang w:val="en-GB" w:eastAsia="en-GB"/>
        </w:rPr>
      </w:pPr>
    </w:p>
    <w:p w14:paraId="47D185A3" w14:textId="77777777" w:rsidR="00E60DD4" w:rsidRPr="00E60DD4" w:rsidRDefault="00E60DD4" w:rsidP="008E33E8">
      <w:pPr>
        <w:pStyle w:val="BodyTextMain"/>
        <w:rPr>
          <w:lang w:val="en-GB"/>
        </w:rPr>
      </w:pPr>
      <w:r w:rsidRPr="00E60DD4">
        <w:rPr>
          <w:lang w:val="en-GB"/>
        </w:rPr>
        <w:t xml:space="preserve">While all members tended to use the club at various times of the day, there were a few noticeable trends: Young families tended to use the club most during the after-school period and on weekends and holidays. Retirees tended to use the club most on weekdays in the mornings and early afternoons. Older adults who were stay-at-home parents tended to use the club most during the school day. Those who were active professionally tended to use the club most in the early mornings and in the evenings on weekdays. </w:t>
      </w:r>
    </w:p>
    <w:p w14:paraId="4C00A8B0" w14:textId="77777777" w:rsidR="00E60DD4" w:rsidRPr="001C1BCA" w:rsidRDefault="00E60DD4" w:rsidP="008E33E8">
      <w:pPr>
        <w:pStyle w:val="BodyTextMain"/>
        <w:rPr>
          <w:sz w:val="18"/>
          <w:szCs w:val="18"/>
          <w:lang w:val="en-GB"/>
        </w:rPr>
      </w:pPr>
    </w:p>
    <w:p w14:paraId="4C101998" w14:textId="77777777" w:rsidR="00E60DD4" w:rsidRPr="008E33E8" w:rsidRDefault="00E60DD4" w:rsidP="008E33E8">
      <w:pPr>
        <w:pStyle w:val="Casehead2"/>
      </w:pPr>
      <w:r w:rsidRPr="008E33E8">
        <w:lastRenderedPageBreak/>
        <w:t>Young Families</w:t>
      </w:r>
    </w:p>
    <w:p w14:paraId="20B2B0E4" w14:textId="77777777" w:rsidR="00E60DD4" w:rsidRPr="00111CF8" w:rsidRDefault="00E60DD4" w:rsidP="008E33E8">
      <w:pPr>
        <w:pStyle w:val="BodyTextMain"/>
        <w:rPr>
          <w:sz w:val="16"/>
          <w:szCs w:val="16"/>
          <w:lang w:val="en-GB" w:eastAsia="en-GB"/>
        </w:rPr>
      </w:pPr>
    </w:p>
    <w:p w14:paraId="0238D80C" w14:textId="77777777" w:rsidR="00E60DD4" w:rsidRPr="00E60DD4" w:rsidRDefault="00E60DD4" w:rsidP="008E33E8">
      <w:pPr>
        <w:pStyle w:val="BodyTextMain"/>
        <w:rPr>
          <w:lang w:val="en-GB" w:eastAsia="en-GB"/>
        </w:rPr>
      </w:pPr>
      <w:r w:rsidRPr="00E60DD4">
        <w:rPr>
          <w:lang w:val="en-GB" w:eastAsia="en-GB"/>
        </w:rPr>
        <w:t>Young families accounted for approximately 35 per cent of members.</w:t>
      </w:r>
      <w:r w:rsidRPr="00E60DD4">
        <w:rPr>
          <w:vertAlign w:val="superscript"/>
          <w:lang w:val="en-GB" w:eastAsia="en-GB"/>
        </w:rPr>
        <w:footnoteReference w:id="8"/>
      </w:r>
      <w:r w:rsidRPr="00E60DD4">
        <w:rPr>
          <w:lang w:val="en-GB" w:eastAsia="en-GB"/>
        </w:rPr>
        <w:t xml:space="preserve"> They were often drawn to the ORC’s breadth of activities. This meant parents could attend a group fitness class or workout while their children attended a tennis or squash clinic. This could be followed by a family dinner in the restaurant. Young families were also drawn to the ORC’s play centre. Here, children were fully supervised with a variety of games and activities. Rates were charged on an hourly basis directly to a membership account. However, included in the price for each ORC family membership were two hours of free play centre child care per child per day.</w:t>
      </w:r>
    </w:p>
    <w:p w14:paraId="59C50732" w14:textId="77777777" w:rsidR="00E60DD4" w:rsidRPr="00111CF8" w:rsidRDefault="00E60DD4" w:rsidP="008E33E8">
      <w:pPr>
        <w:pStyle w:val="BodyTextMain"/>
        <w:rPr>
          <w:sz w:val="16"/>
          <w:szCs w:val="16"/>
          <w:lang w:val="en-GB" w:eastAsia="en-GB"/>
        </w:rPr>
      </w:pPr>
    </w:p>
    <w:p w14:paraId="76B1E3E7" w14:textId="77777777" w:rsidR="00E60DD4" w:rsidRPr="00111CF8" w:rsidRDefault="00E60DD4" w:rsidP="008E33E8">
      <w:pPr>
        <w:pStyle w:val="BodyTextMain"/>
        <w:rPr>
          <w:sz w:val="16"/>
          <w:szCs w:val="16"/>
          <w:lang w:val="en-GB" w:eastAsia="en-GB"/>
        </w:rPr>
      </w:pPr>
    </w:p>
    <w:p w14:paraId="2181047D" w14:textId="77777777" w:rsidR="00E60DD4" w:rsidRPr="00E60DD4" w:rsidRDefault="00E60DD4" w:rsidP="008E33E8">
      <w:pPr>
        <w:pStyle w:val="Casehead2"/>
        <w:rPr>
          <w:lang w:val="en-GB" w:eastAsia="en-GB"/>
        </w:rPr>
      </w:pPr>
      <w:r w:rsidRPr="00E60DD4">
        <w:rPr>
          <w:lang w:val="en-GB" w:eastAsia="en-GB"/>
        </w:rPr>
        <w:t>Older Families</w:t>
      </w:r>
    </w:p>
    <w:p w14:paraId="6D95F4B7" w14:textId="77777777" w:rsidR="00E60DD4" w:rsidRPr="00111CF8" w:rsidRDefault="00E60DD4" w:rsidP="008E33E8">
      <w:pPr>
        <w:pStyle w:val="BodyTextMain"/>
        <w:rPr>
          <w:sz w:val="16"/>
          <w:szCs w:val="16"/>
          <w:lang w:val="en-GB" w:eastAsia="en-GB"/>
        </w:rPr>
      </w:pPr>
    </w:p>
    <w:p w14:paraId="2CDA115C" w14:textId="77777777" w:rsidR="00E60DD4" w:rsidRPr="00E60DD4" w:rsidRDefault="00E60DD4" w:rsidP="008E33E8">
      <w:pPr>
        <w:pStyle w:val="BodyTextMain"/>
        <w:rPr>
          <w:lang w:val="en-GB" w:eastAsia="en-GB"/>
        </w:rPr>
      </w:pPr>
      <w:r w:rsidRPr="00E60DD4">
        <w:rPr>
          <w:lang w:val="en-GB" w:eastAsia="en-GB"/>
        </w:rPr>
        <w:t>Accounting for approximately 39 per cent of the ORC’s membership, older families (consisting of older adults and any older children who continued to be active at the ORC) were the largest of the three groups.</w:t>
      </w:r>
      <w:r w:rsidRPr="00E60DD4">
        <w:rPr>
          <w:vertAlign w:val="superscript"/>
          <w:lang w:val="en-GB" w:eastAsia="en-GB"/>
        </w:rPr>
        <w:footnoteReference w:id="9"/>
      </w:r>
      <w:r w:rsidRPr="00E60DD4">
        <w:rPr>
          <w:lang w:val="en-GB" w:eastAsia="en-GB"/>
        </w:rPr>
        <w:t xml:space="preserve"> They typically led busy lifestyles, so convenience was paramount for this market segment. This demographic often wanted to remain active as they aged, and the ORC allowed them to do this in a familiar social atmosphere. In general, the longer someone remained a member, the more entrenched they became in the ORC community and, therefore, the more likely they were to remain members for longer.</w:t>
      </w:r>
    </w:p>
    <w:p w14:paraId="44D8BA15" w14:textId="77777777" w:rsidR="00E60DD4" w:rsidRPr="00111CF8" w:rsidRDefault="00E60DD4" w:rsidP="008E33E8">
      <w:pPr>
        <w:pStyle w:val="BodyTextMain"/>
        <w:rPr>
          <w:sz w:val="16"/>
          <w:szCs w:val="16"/>
          <w:lang w:val="en-GB" w:eastAsia="en-GB"/>
        </w:rPr>
      </w:pPr>
    </w:p>
    <w:p w14:paraId="4967924B" w14:textId="77777777" w:rsidR="00E60DD4" w:rsidRPr="00111CF8" w:rsidRDefault="00E60DD4" w:rsidP="008E33E8">
      <w:pPr>
        <w:pStyle w:val="BodyTextMain"/>
        <w:rPr>
          <w:sz w:val="16"/>
          <w:szCs w:val="16"/>
          <w:lang w:val="en-GB" w:eastAsia="en-GB"/>
        </w:rPr>
      </w:pPr>
    </w:p>
    <w:p w14:paraId="256418D8" w14:textId="77777777" w:rsidR="00E60DD4" w:rsidRPr="00E60DD4" w:rsidRDefault="00E60DD4" w:rsidP="008E33E8">
      <w:pPr>
        <w:pStyle w:val="Casehead2"/>
        <w:rPr>
          <w:lang w:val="en-GB" w:eastAsia="en-GB"/>
        </w:rPr>
      </w:pPr>
      <w:r w:rsidRPr="00E60DD4">
        <w:rPr>
          <w:lang w:val="en-GB" w:eastAsia="en-GB"/>
        </w:rPr>
        <w:t>Retirees</w:t>
      </w:r>
    </w:p>
    <w:p w14:paraId="0C19E8E5" w14:textId="77777777" w:rsidR="00E60DD4" w:rsidRPr="00111CF8" w:rsidRDefault="00E60DD4" w:rsidP="008E33E8">
      <w:pPr>
        <w:pStyle w:val="BodyTextMain"/>
        <w:rPr>
          <w:sz w:val="16"/>
          <w:szCs w:val="16"/>
          <w:lang w:val="en-GB" w:eastAsia="en-GB"/>
        </w:rPr>
      </w:pPr>
    </w:p>
    <w:p w14:paraId="5908452C" w14:textId="77777777" w:rsidR="00E60DD4" w:rsidRPr="00E60DD4" w:rsidRDefault="00E60DD4" w:rsidP="008E33E8">
      <w:pPr>
        <w:pStyle w:val="BodyTextMain"/>
        <w:rPr>
          <w:lang w:val="en-GB" w:eastAsia="en-GB"/>
        </w:rPr>
      </w:pPr>
      <w:r w:rsidRPr="00E60DD4">
        <w:rPr>
          <w:lang w:val="en-GB" w:eastAsia="en-GB"/>
        </w:rPr>
        <w:t>Retirees—considered all members aged 56 and above</w:t>
      </w:r>
      <w:r w:rsidRPr="00E60DD4">
        <w:rPr>
          <w:vertAlign w:val="superscript"/>
          <w:lang w:val="en-GB" w:eastAsia="en-GB"/>
        </w:rPr>
        <w:footnoteReference w:id="10"/>
      </w:r>
      <w:r w:rsidRPr="00E60DD4">
        <w:rPr>
          <w:lang w:val="en-GB" w:eastAsia="en-GB"/>
        </w:rPr>
        <w:t>—accounted for about 26 per cent of the ORC’s membership. These members wanted to remain as active as possible. They were also often engaged in the various social activities at the club. Within the ORC’s membership a wide variety of clubs had formed, including a book club, a wine club, and a gardening club. Additionally, members took advantage of various social events (such as a New Year’s Eve gala and an east coast surf-and-turf dinner) that were held throughout the year.</w:t>
      </w:r>
    </w:p>
    <w:p w14:paraId="2D529ABA" w14:textId="77777777" w:rsidR="00E60DD4" w:rsidRPr="00111CF8" w:rsidRDefault="00E60DD4" w:rsidP="008E33E8">
      <w:pPr>
        <w:pStyle w:val="BodyTextMain"/>
        <w:rPr>
          <w:sz w:val="16"/>
          <w:szCs w:val="16"/>
          <w:lang w:val="en-GB" w:eastAsia="en-GB"/>
        </w:rPr>
      </w:pPr>
    </w:p>
    <w:p w14:paraId="5506A111" w14:textId="77777777" w:rsidR="00E60DD4" w:rsidRPr="00111CF8" w:rsidRDefault="00E60DD4" w:rsidP="008E33E8">
      <w:pPr>
        <w:pStyle w:val="BodyTextMain"/>
        <w:rPr>
          <w:sz w:val="16"/>
          <w:szCs w:val="16"/>
          <w:lang w:val="en-GB"/>
        </w:rPr>
      </w:pPr>
    </w:p>
    <w:p w14:paraId="7A5DFEA9" w14:textId="77777777" w:rsidR="00E60DD4" w:rsidRPr="00E60DD4" w:rsidRDefault="00E60DD4" w:rsidP="008E33E8">
      <w:pPr>
        <w:pStyle w:val="Casehead1"/>
        <w:rPr>
          <w:lang w:val="en-GB" w:eastAsia="en-GB"/>
        </w:rPr>
      </w:pPr>
      <w:r w:rsidRPr="00E60DD4">
        <w:rPr>
          <w:lang w:val="en-GB" w:eastAsia="en-GB"/>
        </w:rPr>
        <w:t>ALTERNATIVES</w:t>
      </w:r>
    </w:p>
    <w:p w14:paraId="02FF9268" w14:textId="77777777" w:rsidR="00E60DD4" w:rsidRPr="00111CF8" w:rsidRDefault="00E60DD4" w:rsidP="008E33E8">
      <w:pPr>
        <w:pStyle w:val="BodyTextMain"/>
        <w:rPr>
          <w:sz w:val="16"/>
          <w:szCs w:val="16"/>
        </w:rPr>
      </w:pPr>
    </w:p>
    <w:p w14:paraId="21A060BF" w14:textId="77777777" w:rsidR="00E60DD4" w:rsidRPr="008E33E8" w:rsidRDefault="00E60DD4" w:rsidP="008E33E8">
      <w:pPr>
        <w:pStyle w:val="BodyTextMain"/>
      </w:pPr>
      <w:r w:rsidRPr="008E33E8">
        <w:rPr>
          <w:rFonts w:eastAsia="Calibri"/>
        </w:rPr>
        <w:t>Mitchell considered five strategic options for the ORC. In addition to maintaining the status quo or selling the business, he considered other alternatives that would hopefully boost membership levels. Under consideration were options to create an indoor multi-purpose sport court; build a new pool with a retractable roof, along with expanding the restaurant area; and allow children who were not ORC members to participate in programming at the club.</w:t>
      </w:r>
    </w:p>
    <w:p w14:paraId="20AC4560" w14:textId="77777777" w:rsidR="00E60DD4" w:rsidRPr="00111CF8" w:rsidRDefault="00E60DD4" w:rsidP="008E33E8">
      <w:pPr>
        <w:pStyle w:val="BodyTextMain"/>
        <w:rPr>
          <w:sz w:val="16"/>
          <w:szCs w:val="16"/>
        </w:rPr>
      </w:pPr>
    </w:p>
    <w:p w14:paraId="0BEE3105" w14:textId="77777777" w:rsidR="00E60DD4" w:rsidRPr="00111CF8" w:rsidRDefault="00E60DD4" w:rsidP="008E33E8">
      <w:pPr>
        <w:pStyle w:val="BodyTextMain"/>
        <w:rPr>
          <w:sz w:val="16"/>
          <w:szCs w:val="16"/>
        </w:rPr>
      </w:pPr>
    </w:p>
    <w:p w14:paraId="4BDB48AF" w14:textId="77777777" w:rsidR="00E60DD4" w:rsidRPr="00E60DD4" w:rsidRDefault="00E60DD4" w:rsidP="008E33E8">
      <w:pPr>
        <w:pStyle w:val="Casehead2"/>
        <w:rPr>
          <w:lang w:val="en-GB" w:eastAsia="en-GB"/>
        </w:rPr>
      </w:pPr>
      <w:r w:rsidRPr="00E60DD4">
        <w:rPr>
          <w:lang w:val="en-GB" w:eastAsia="en-GB"/>
        </w:rPr>
        <w:t>Status Quo</w:t>
      </w:r>
    </w:p>
    <w:p w14:paraId="3680406F" w14:textId="77777777" w:rsidR="00E60DD4" w:rsidRPr="00111CF8" w:rsidRDefault="00E60DD4" w:rsidP="008E33E8">
      <w:pPr>
        <w:pStyle w:val="BodyTextMain"/>
        <w:rPr>
          <w:sz w:val="16"/>
          <w:szCs w:val="16"/>
          <w:lang w:val="en-GB"/>
        </w:rPr>
      </w:pPr>
    </w:p>
    <w:p w14:paraId="7134BA83" w14:textId="387A970C" w:rsidR="00E60DD4" w:rsidRPr="001C1BCA" w:rsidRDefault="00E60DD4" w:rsidP="008E33E8">
      <w:pPr>
        <w:pStyle w:val="BodyTextMain"/>
        <w:rPr>
          <w:spacing w:val="-4"/>
          <w:lang w:val="en-GB"/>
        </w:rPr>
      </w:pPr>
      <w:r w:rsidRPr="001C1BCA">
        <w:rPr>
          <w:spacing w:val="-4"/>
          <w:lang w:val="en-GB"/>
        </w:rPr>
        <w:t>Keeping in mind the ORC’s successful history since its founding in 1975, Mitchell wanted to ensure he considered the option of maintaining the club’s status quo. He estimated that membership revenue would increase by about $100,000 in the coming year, while revenue from tennis, fitness, and squash clinics and lessons would remain at same dollar levels. All other forms of revenue were conservatively projected to increase by three per cent. With the exception of the telephone expense,</w:t>
      </w:r>
      <w:r w:rsidRPr="001C1BCA">
        <w:rPr>
          <w:spacing w:val="-4"/>
          <w:vertAlign w:val="superscript"/>
          <w:lang w:val="en-GB"/>
        </w:rPr>
        <w:footnoteReference w:id="11"/>
      </w:r>
      <w:r w:rsidRPr="001C1BCA">
        <w:rPr>
          <w:spacing w:val="-4"/>
          <w:lang w:val="en-GB"/>
        </w:rPr>
        <w:t xml:space="preserve"> all expenses were expected to remain at the same dollar amounts or proportions of total revenue for the upcoming year (see Exhibits 3</w:t>
      </w:r>
      <w:r w:rsidR="001C1BCA">
        <w:rPr>
          <w:spacing w:val="-4"/>
          <w:lang w:val="en-GB"/>
        </w:rPr>
        <w:t>–5</w:t>
      </w:r>
      <w:r w:rsidRPr="001C1BCA">
        <w:rPr>
          <w:spacing w:val="-4"/>
          <w:lang w:val="en-GB"/>
        </w:rPr>
        <w:t>).</w:t>
      </w:r>
    </w:p>
    <w:p w14:paraId="0EE42BC7" w14:textId="77777777" w:rsidR="00E60DD4" w:rsidRPr="00EF0DB1" w:rsidRDefault="00E60DD4" w:rsidP="008E33E8">
      <w:pPr>
        <w:pStyle w:val="BodyTextMain"/>
        <w:rPr>
          <w:sz w:val="18"/>
          <w:szCs w:val="18"/>
          <w:lang w:val="en-GB"/>
        </w:rPr>
      </w:pPr>
    </w:p>
    <w:p w14:paraId="3558DA77" w14:textId="77777777" w:rsidR="001C1BCA" w:rsidRPr="00EF0DB1" w:rsidRDefault="001C1BCA" w:rsidP="008E33E8">
      <w:pPr>
        <w:pStyle w:val="BodyTextMain"/>
        <w:rPr>
          <w:sz w:val="18"/>
          <w:szCs w:val="18"/>
          <w:lang w:val="en-GB"/>
        </w:rPr>
      </w:pPr>
    </w:p>
    <w:p w14:paraId="0544D3F7" w14:textId="77777777" w:rsidR="00E60DD4" w:rsidRPr="00E60DD4" w:rsidRDefault="00E60DD4" w:rsidP="008E33E8">
      <w:pPr>
        <w:pStyle w:val="Casehead2"/>
        <w:rPr>
          <w:lang w:val="en-GB" w:eastAsia="en-GB"/>
        </w:rPr>
      </w:pPr>
      <w:r w:rsidRPr="00E60DD4">
        <w:rPr>
          <w:lang w:val="en-GB" w:eastAsia="en-GB"/>
        </w:rPr>
        <w:lastRenderedPageBreak/>
        <w:t>Sport Court Expansion</w:t>
      </w:r>
    </w:p>
    <w:p w14:paraId="3C8450DF" w14:textId="77777777" w:rsidR="00E60DD4" w:rsidRPr="00111CF8" w:rsidRDefault="00E60DD4" w:rsidP="008E33E8">
      <w:pPr>
        <w:pStyle w:val="BodyTextMain"/>
        <w:rPr>
          <w:sz w:val="16"/>
          <w:szCs w:val="16"/>
          <w:lang w:val="en-GB" w:eastAsia="en-GB"/>
        </w:rPr>
      </w:pPr>
    </w:p>
    <w:p w14:paraId="3B1F3FF2" w14:textId="77777777" w:rsidR="00E60DD4" w:rsidRPr="00E60DD4" w:rsidRDefault="00E60DD4" w:rsidP="008E33E8">
      <w:pPr>
        <w:pStyle w:val="BodyTextMain"/>
        <w:rPr>
          <w:lang w:val="en-GB" w:eastAsia="en-GB"/>
        </w:rPr>
      </w:pPr>
      <w:r w:rsidRPr="00E60DD4">
        <w:rPr>
          <w:lang w:val="en-GB" w:eastAsia="en-GB"/>
        </w:rPr>
        <w:t xml:space="preserve">Mitchell wondered whether expanding the ORC’s range of activities would help to spur growth in membership. Upon further investigation, he discovered that converting an existing fully indoor tennis court into an all-purpose sport court was a feasible alternative. For a projected total construction cost of $750,000, the space could house a gym, with room for a full-sized basketball court; an additional space for weightlifting activities, which would be adjacent to the existing fitness area; and a storage area for all equipment that would be associated with the new space. </w:t>
      </w:r>
    </w:p>
    <w:p w14:paraId="38E504F3" w14:textId="77777777" w:rsidR="00E60DD4" w:rsidRPr="00111CF8" w:rsidRDefault="00E60DD4" w:rsidP="008E33E8">
      <w:pPr>
        <w:pStyle w:val="BodyTextMain"/>
        <w:rPr>
          <w:sz w:val="16"/>
          <w:szCs w:val="16"/>
          <w:lang w:val="en-GB" w:eastAsia="en-GB"/>
        </w:rPr>
      </w:pPr>
    </w:p>
    <w:p w14:paraId="44FBB68B" w14:textId="77777777" w:rsidR="00E60DD4" w:rsidRPr="001C1BCA" w:rsidRDefault="00E60DD4" w:rsidP="008E33E8">
      <w:pPr>
        <w:pStyle w:val="BodyTextMain"/>
        <w:rPr>
          <w:spacing w:val="-2"/>
          <w:lang w:val="en-GB" w:eastAsia="en-GB"/>
        </w:rPr>
      </w:pPr>
      <w:r w:rsidRPr="001C1BCA">
        <w:rPr>
          <w:spacing w:val="-2"/>
          <w:lang w:val="en-GB" w:eastAsia="en-GB"/>
        </w:rPr>
        <w:t>The sport court would allow for a variety of new programming to suit all age groups. Drop-in basketball and volleyball were the obvious uses for the space; however, Mitchell noted that the space had potential for many other additional purposes: The fitness department would be able to offer additional classes that required more space than was currently available—especially for classes that focused on children. The space could also be used to start badminton and pickleball</w:t>
      </w:r>
      <w:r w:rsidRPr="001C1BCA">
        <w:rPr>
          <w:spacing w:val="-2"/>
          <w:vertAlign w:val="superscript"/>
          <w:lang w:val="en-GB" w:eastAsia="en-GB"/>
        </w:rPr>
        <w:footnoteReference w:id="12"/>
      </w:r>
      <w:r w:rsidRPr="001C1BCA">
        <w:rPr>
          <w:spacing w:val="-2"/>
          <w:sz w:val="16"/>
          <w:szCs w:val="16"/>
          <w:lang w:val="en-GB"/>
        </w:rPr>
        <w:t xml:space="preserve"> </w:t>
      </w:r>
      <w:r w:rsidRPr="001C1BCA">
        <w:rPr>
          <w:spacing w:val="-2"/>
          <w:lang w:val="en-GB" w:eastAsia="en-GB"/>
        </w:rPr>
        <w:t xml:space="preserve">programs and clinics at the ORC. Finally, the space could be used to enhance the experience for children attending the ORC’s popular summer camp programs. </w:t>
      </w:r>
    </w:p>
    <w:p w14:paraId="0796CB4A" w14:textId="77777777" w:rsidR="00E60DD4" w:rsidRPr="00111CF8" w:rsidRDefault="00E60DD4" w:rsidP="008E33E8">
      <w:pPr>
        <w:pStyle w:val="BodyTextMain"/>
        <w:rPr>
          <w:sz w:val="16"/>
          <w:szCs w:val="16"/>
          <w:lang w:val="en-GB" w:eastAsia="en-GB"/>
        </w:rPr>
      </w:pPr>
    </w:p>
    <w:p w14:paraId="3F0192BA" w14:textId="77777777" w:rsidR="00E60DD4" w:rsidRPr="00E60DD4" w:rsidRDefault="00E60DD4" w:rsidP="008E33E8">
      <w:pPr>
        <w:pStyle w:val="BodyTextMain"/>
        <w:rPr>
          <w:lang w:val="en-GB" w:eastAsia="en-GB"/>
        </w:rPr>
      </w:pPr>
      <w:r w:rsidRPr="00E60DD4">
        <w:rPr>
          <w:lang w:val="en-GB" w:eastAsia="en-GB"/>
        </w:rPr>
        <w:t>Mitchell projected that the sport court expansion would result in new revenue of $70,000 from additional members joining the club. Incrementally, an additional 300 people were expected to sign up for six-week clinics in the sport court compared to the current tennis court.</w:t>
      </w:r>
      <w:r w:rsidRPr="00E60DD4">
        <w:rPr>
          <w:vertAlign w:val="superscript"/>
          <w:lang w:val="en-GB" w:eastAsia="en-GB"/>
        </w:rPr>
        <w:footnoteReference w:id="13"/>
      </w:r>
      <w:r w:rsidRPr="00E60DD4">
        <w:rPr>
          <w:lang w:val="en-GB" w:eastAsia="en-GB"/>
        </w:rPr>
        <w:t xml:space="preserve"> Of this additional lesson and clinic revenue, 60 per cent would go toward instructors in variable labour costs. Additionally, credit card processing fees would apply. Revenue from court fees would decrease by three per cent from 2013 levels. The maintenance and utilities expenses would increase by $8,000 and $12,000, respectively. The initial investment would be wholly financed through internal cash. </w:t>
      </w:r>
    </w:p>
    <w:p w14:paraId="3A66AFEE" w14:textId="77777777" w:rsidR="00E60DD4" w:rsidRPr="00111CF8" w:rsidRDefault="00E60DD4" w:rsidP="008E33E8">
      <w:pPr>
        <w:pStyle w:val="BodyTextMain"/>
        <w:rPr>
          <w:sz w:val="16"/>
          <w:szCs w:val="16"/>
          <w:lang w:val="en-GB" w:eastAsia="en-GB"/>
        </w:rPr>
      </w:pPr>
    </w:p>
    <w:p w14:paraId="10780672" w14:textId="77777777" w:rsidR="00E60DD4" w:rsidRPr="00E60DD4" w:rsidRDefault="00E60DD4" w:rsidP="008E33E8">
      <w:pPr>
        <w:pStyle w:val="BodyTextMain"/>
        <w:rPr>
          <w:lang w:val="en-GB" w:eastAsia="en-GB"/>
        </w:rPr>
      </w:pPr>
      <w:r w:rsidRPr="00E60DD4">
        <w:rPr>
          <w:lang w:val="en-GB" w:eastAsia="en-GB"/>
        </w:rPr>
        <w:t xml:space="preserve">Finally, Mitchell wondered if there would be members who might be lost without this expansion. If so, how would they be accounted for, if at all? </w:t>
      </w:r>
    </w:p>
    <w:p w14:paraId="679BF3BE" w14:textId="77777777" w:rsidR="00E60DD4" w:rsidRPr="00111CF8" w:rsidRDefault="00E60DD4" w:rsidP="008E33E8">
      <w:pPr>
        <w:pStyle w:val="BodyTextMain"/>
        <w:rPr>
          <w:sz w:val="16"/>
          <w:szCs w:val="16"/>
          <w:lang w:val="en-GB" w:eastAsia="en-GB"/>
        </w:rPr>
      </w:pPr>
    </w:p>
    <w:p w14:paraId="64E29FEE" w14:textId="77777777" w:rsidR="00E60DD4" w:rsidRPr="00111CF8" w:rsidRDefault="00E60DD4" w:rsidP="00E60DD4">
      <w:pPr>
        <w:jc w:val="both"/>
        <w:rPr>
          <w:sz w:val="16"/>
          <w:szCs w:val="16"/>
          <w:lang w:val="en-GB" w:eastAsia="en-GB"/>
        </w:rPr>
      </w:pPr>
    </w:p>
    <w:p w14:paraId="651E5A7B" w14:textId="77777777" w:rsidR="00E60DD4" w:rsidRPr="00E60DD4" w:rsidRDefault="00E60DD4" w:rsidP="008E33E8">
      <w:pPr>
        <w:pStyle w:val="Casehead2"/>
        <w:rPr>
          <w:lang w:val="en-GB" w:eastAsia="en-GB"/>
        </w:rPr>
      </w:pPr>
      <w:r w:rsidRPr="00E60DD4">
        <w:rPr>
          <w:lang w:val="en-GB" w:eastAsia="en-GB"/>
        </w:rPr>
        <w:t>Indoor–Outdoor Pool Addition</w:t>
      </w:r>
    </w:p>
    <w:p w14:paraId="58820589" w14:textId="77777777" w:rsidR="00E60DD4" w:rsidRPr="00111CF8" w:rsidRDefault="00E60DD4" w:rsidP="008E33E8">
      <w:pPr>
        <w:pStyle w:val="BodyTextMain"/>
        <w:rPr>
          <w:sz w:val="16"/>
          <w:szCs w:val="16"/>
          <w:lang w:val="en-GB" w:eastAsia="en-GB"/>
        </w:rPr>
      </w:pPr>
    </w:p>
    <w:p w14:paraId="0F1B4558" w14:textId="77777777" w:rsidR="00E60DD4" w:rsidRPr="00E60DD4" w:rsidRDefault="00E60DD4" w:rsidP="008E33E8">
      <w:pPr>
        <w:pStyle w:val="BodyTextMain"/>
        <w:rPr>
          <w:lang w:val="en-GB" w:eastAsia="en-GB"/>
        </w:rPr>
      </w:pPr>
      <w:r w:rsidRPr="00E60DD4">
        <w:rPr>
          <w:lang w:val="en-GB" w:eastAsia="en-GB"/>
        </w:rPr>
        <w:t xml:space="preserve">With the ORC’s outdoor pool beginning to look outdated, Mitchell also began to look at options to upgrade these facilities. One alternative stood above the others in this regard: by expanding the pool area and removing one outdoor tennis court, there would be enough space to build a brand new 25-metre pool and hot tub area, both within a modern glass enclosure. What was most impressive about these plans was that the roof of the enclosure would be retractable. This would ensure that the pool area remained heated during the lengthy Canadian winters, whereas during the summer, the roof could be opened, allowing members to enjoy the outdoor pool experience they were accustomed to. The new pool would allow for an expanded aquatics program that could be offered all year long. Aquatics programming typically focused on younger children, but the ORC was also well known for a variety of </w:t>
      </w:r>
      <w:proofErr w:type="spellStart"/>
      <w:r w:rsidRPr="00E60DD4">
        <w:rPr>
          <w:lang w:val="en-GB" w:eastAsia="en-GB"/>
        </w:rPr>
        <w:t>aquafit</w:t>
      </w:r>
      <w:proofErr w:type="spellEnd"/>
      <w:r w:rsidRPr="00E60DD4">
        <w:rPr>
          <w:lang w:val="en-GB" w:eastAsia="en-GB"/>
        </w:rPr>
        <w:t xml:space="preserve"> classes, which were popular among retirees. </w:t>
      </w:r>
    </w:p>
    <w:p w14:paraId="243FFC04" w14:textId="77777777" w:rsidR="00E60DD4" w:rsidRPr="00111CF8" w:rsidRDefault="00E60DD4" w:rsidP="008E33E8">
      <w:pPr>
        <w:pStyle w:val="BodyTextMain"/>
        <w:rPr>
          <w:sz w:val="16"/>
          <w:szCs w:val="16"/>
          <w:lang w:val="en-GB" w:eastAsia="en-GB"/>
        </w:rPr>
      </w:pPr>
    </w:p>
    <w:p w14:paraId="45B3DE06" w14:textId="77777777" w:rsidR="00E60DD4" w:rsidRDefault="00E60DD4" w:rsidP="00E60DD4">
      <w:pPr>
        <w:jc w:val="both"/>
        <w:rPr>
          <w:sz w:val="22"/>
          <w:szCs w:val="22"/>
          <w:lang w:val="en-GB" w:eastAsia="en-GB"/>
        </w:rPr>
      </w:pPr>
      <w:r w:rsidRPr="00E60DD4">
        <w:rPr>
          <w:sz w:val="22"/>
          <w:szCs w:val="22"/>
          <w:lang w:val="en-GB" w:eastAsia="en-GB"/>
        </w:rPr>
        <w:t xml:space="preserve">Alongside the new pool, the expansion plans called for new and modern pool-specific locker rooms and changing areas. The restaurant would also be expanded to almost double the current indoor eating area. Additionally, the outdoor patio area would also be completely renovated and expanded to include a children’s splash pad on the wall adjacent to the pool itself. </w:t>
      </w:r>
    </w:p>
    <w:p w14:paraId="3823F100" w14:textId="77777777" w:rsidR="001C1BCA" w:rsidRPr="00111CF8" w:rsidRDefault="001C1BCA" w:rsidP="00E60DD4">
      <w:pPr>
        <w:jc w:val="both"/>
        <w:rPr>
          <w:sz w:val="16"/>
          <w:szCs w:val="16"/>
          <w:lang w:val="en-GB" w:eastAsia="en-GB"/>
        </w:rPr>
      </w:pPr>
    </w:p>
    <w:p w14:paraId="2177B64F" w14:textId="77777777" w:rsidR="00E60DD4" w:rsidRPr="00E60DD4" w:rsidRDefault="00E60DD4" w:rsidP="00E60DD4">
      <w:pPr>
        <w:jc w:val="both"/>
        <w:rPr>
          <w:sz w:val="22"/>
          <w:szCs w:val="22"/>
          <w:lang w:val="en-GB" w:eastAsia="en-GB"/>
        </w:rPr>
      </w:pPr>
      <w:r w:rsidRPr="00E60DD4">
        <w:rPr>
          <w:sz w:val="22"/>
          <w:szCs w:val="22"/>
          <w:lang w:val="en-GB" w:eastAsia="en-GB"/>
        </w:rPr>
        <w:t>In order to fully understand the implications of pursuing this expansion option, Mitchell made a number of conservative projections. First, he projected that this large $5.25 million</w:t>
      </w:r>
      <w:r w:rsidRPr="00E60DD4">
        <w:rPr>
          <w:sz w:val="22"/>
          <w:szCs w:val="22"/>
          <w:vertAlign w:val="superscript"/>
          <w:lang w:val="en-GB" w:eastAsia="en-GB"/>
        </w:rPr>
        <w:footnoteReference w:id="14"/>
      </w:r>
      <w:r w:rsidRPr="00E60DD4">
        <w:rPr>
          <w:sz w:val="22"/>
          <w:szCs w:val="22"/>
          <w:lang w:val="en-GB" w:eastAsia="en-GB"/>
        </w:rPr>
        <w:t xml:space="preserve"> expansion would generate </w:t>
      </w:r>
      <w:r w:rsidRPr="00E60DD4">
        <w:rPr>
          <w:sz w:val="22"/>
          <w:szCs w:val="22"/>
          <w:lang w:val="en-GB" w:eastAsia="en-GB"/>
        </w:rPr>
        <w:lastRenderedPageBreak/>
        <w:t>significant publicity in the community and lead to an additional $520,000 in membership revenue. Mitchell also predicted that additional lesson and clinic revenue and costs from the pool would be similar to the expected results of the sport court expansion. With the expansion of the restaurant, Mitchell projected an additional $200,000 in revenue.</w:t>
      </w:r>
      <w:r w:rsidRPr="00E60DD4">
        <w:rPr>
          <w:sz w:val="22"/>
          <w:szCs w:val="22"/>
          <w:vertAlign w:val="superscript"/>
          <w:lang w:val="en-GB" w:eastAsia="en-GB"/>
        </w:rPr>
        <w:footnoteReference w:id="15"/>
      </w:r>
      <w:r w:rsidRPr="00E60DD4">
        <w:rPr>
          <w:sz w:val="22"/>
          <w:szCs w:val="22"/>
          <w:lang w:val="en-GB" w:eastAsia="en-GB"/>
        </w:rPr>
        <w:t xml:space="preserve"> To ensure the expansion would attract enough attention and anticipation in the surrounding community, Mitchell felt that allocating an additional $15,000 to the advertising budget was warranted. With this expansion, the maintenance and utilities expenses would increase by $22,000 and $30,000, respectively. As with the sport court, one tennis court would be lost due to this expansion; hence, three per cent of court fee revenues would be lost. With year-round pool usage, the ORC’s liability exposure would increase. The club’s insurance broker predicted an additional $5,000 premium on next year’s policy as a result. Similar to the sport court expansion option, Mitchell wondered if there could be a loss in members if the addition of the pool and expansion of the restaurant were </w:t>
      </w:r>
      <w:r w:rsidRPr="00E60DD4">
        <w:rPr>
          <w:i/>
          <w:sz w:val="22"/>
          <w:szCs w:val="22"/>
          <w:lang w:val="en-GB" w:eastAsia="en-GB"/>
        </w:rPr>
        <w:t>not</w:t>
      </w:r>
      <w:r w:rsidRPr="00E60DD4">
        <w:rPr>
          <w:sz w:val="22"/>
          <w:szCs w:val="22"/>
          <w:lang w:val="en-GB" w:eastAsia="en-GB"/>
        </w:rPr>
        <w:t xml:space="preserve"> pursued. If so, how should he account for these, if at all?</w:t>
      </w:r>
    </w:p>
    <w:p w14:paraId="0899B60A" w14:textId="77777777" w:rsidR="00E60DD4" w:rsidRPr="00111CF8" w:rsidRDefault="00E60DD4" w:rsidP="00E60DD4">
      <w:pPr>
        <w:jc w:val="both"/>
        <w:rPr>
          <w:sz w:val="16"/>
          <w:szCs w:val="16"/>
          <w:lang w:val="en-GB" w:eastAsia="en-GB"/>
        </w:rPr>
      </w:pPr>
    </w:p>
    <w:p w14:paraId="0BE96019" w14:textId="77777777" w:rsidR="00E60DD4" w:rsidRPr="00111CF8" w:rsidRDefault="00E60DD4" w:rsidP="00E60DD4">
      <w:pPr>
        <w:jc w:val="both"/>
        <w:rPr>
          <w:sz w:val="16"/>
          <w:szCs w:val="16"/>
          <w:lang w:val="en-GB" w:eastAsia="en-GB"/>
        </w:rPr>
      </w:pPr>
    </w:p>
    <w:p w14:paraId="131856FB" w14:textId="77777777" w:rsidR="00E60DD4" w:rsidRPr="00E60DD4" w:rsidRDefault="00E60DD4" w:rsidP="008E33E8">
      <w:pPr>
        <w:pStyle w:val="Casehead2"/>
        <w:rPr>
          <w:lang w:val="en-GB" w:eastAsia="en-GB"/>
        </w:rPr>
      </w:pPr>
      <w:r w:rsidRPr="00E60DD4">
        <w:rPr>
          <w:lang w:val="en-GB" w:eastAsia="en-GB"/>
        </w:rPr>
        <w:t>Non-Member Children’s Programs</w:t>
      </w:r>
    </w:p>
    <w:p w14:paraId="27CDA1FE" w14:textId="77777777" w:rsidR="00E60DD4" w:rsidRPr="00111CF8" w:rsidRDefault="00E60DD4" w:rsidP="008E33E8">
      <w:pPr>
        <w:pStyle w:val="BodyTextMain"/>
        <w:rPr>
          <w:sz w:val="16"/>
          <w:szCs w:val="16"/>
          <w:lang w:val="en-GB" w:eastAsia="en-GB"/>
        </w:rPr>
      </w:pPr>
    </w:p>
    <w:p w14:paraId="16CC59B4" w14:textId="77777777" w:rsidR="00E60DD4" w:rsidRPr="00E60DD4" w:rsidRDefault="00E60DD4" w:rsidP="008E33E8">
      <w:pPr>
        <w:pStyle w:val="BodyTextMain"/>
        <w:rPr>
          <w:lang w:val="en-GB" w:eastAsia="en-GB"/>
        </w:rPr>
      </w:pPr>
      <w:r w:rsidRPr="00E60DD4">
        <w:rPr>
          <w:lang w:val="en-GB" w:eastAsia="en-GB"/>
        </w:rPr>
        <w:t>Currently, the ORC did not allow children over the age of eight who were not members to participate in any lessons, clinics, or programs at the club. This created more of a private club perception and provided incentive for families to join so that their children could utilize the facilities. However, Mitchell wondered if the dynamic industry in which the ORC operated warranted a review of this policy.</w:t>
      </w:r>
    </w:p>
    <w:p w14:paraId="389A0C5B" w14:textId="77777777" w:rsidR="00E60DD4" w:rsidRPr="00111CF8" w:rsidRDefault="00E60DD4" w:rsidP="008E33E8">
      <w:pPr>
        <w:pStyle w:val="BodyTextMain"/>
        <w:rPr>
          <w:sz w:val="16"/>
          <w:szCs w:val="16"/>
          <w:lang w:val="en-GB" w:eastAsia="en-GB"/>
        </w:rPr>
      </w:pPr>
    </w:p>
    <w:p w14:paraId="08D8E138" w14:textId="77777777" w:rsidR="00E60DD4" w:rsidRPr="001C1BCA" w:rsidRDefault="00E60DD4" w:rsidP="008E33E8">
      <w:pPr>
        <w:pStyle w:val="BodyTextMain"/>
        <w:rPr>
          <w:spacing w:val="-2"/>
          <w:lang w:val="en-GB" w:eastAsia="en-GB"/>
        </w:rPr>
      </w:pPr>
      <w:r w:rsidRPr="001C1BCA">
        <w:rPr>
          <w:spacing w:val="-2"/>
          <w:lang w:val="en-GB" w:eastAsia="en-GB"/>
        </w:rPr>
        <w:t>Allowing non-member children to participate in programming could be an additional profitable revenue stream.</w:t>
      </w:r>
      <w:r w:rsidRPr="001C1BCA">
        <w:rPr>
          <w:spacing w:val="-2"/>
          <w:vertAlign w:val="superscript"/>
          <w:lang w:val="en-GB" w:eastAsia="en-GB"/>
        </w:rPr>
        <w:footnoteReference w:id="16"/>
      </w:r>
      <w:r w:rsidRPr="001C1BCA">
        <w:rPr>
          <w:spacing w:val="-2"/>
          <w:lang w:val="en-GB" w:eastAsia="en-GB"/>
        </w:rPr>
        <w:t xml:space="preserve"> Mitchell estimated that the ORC would need to spend an extra $15,000 on advertising to spread the message about this policy change.</w:t>
      </w:r>
      <w:r w:rsidRPr="001C1BCA">
        <w:rPr>
          <w:spacing w:val="-2"/>
          <w:vertAlign w:val="superscript"/>
          <w:lang w:val="en-GB" w:eastAsia="en-GB"/>
        </w:rPr>
        <w:footnoteReference w:id="17"/>
      </w:r>
      <w:r w:rsidRPr="001C1BCA">
        <w:rPr>
          <w:spacing w:val="-2"/>
          <w:lang w:val="en-GB" w:eastAsia="en-GB"/>
        </w:rPr>
        <w:t xml:space="preserve"> This would be done primarily through advertisements in local newspapers and with informational flyers in a direct mail campaign. Mitchell predicted that this advertising campaign would yield a total of approximately 12,000 views by members of the local community. </w:t>
      </w:r>
    </w:p>
    <w:p w14:paraId="0344D2E0" w14:textId="77777777" w:rsidR="00E60DD4" w:rsidRPr="00111CF8" w:rsidRDefault="00E60DD4" w:rsidP="008E33E8">
      <w:pPr>
        <w:pStyle w:val="BodyTextMain"/>
        <w:rPr>
          <w:sz w:val="16"/>
          <w:szCs w:val="16"/>
          <w:lang w:val="en-GB" w:eastAsia="en-GB"/>
        </w:rPr>
      </w:pPr>
    </w:p>
    <w:p w14:paraId="025A9154" w14:textId="77777777" w:rsidR="00E60DD4" w:rsidRPr="001C1BCA" w:rsidRDefault="00E60DD4" w:rsidP="008E33E8">
      <w:pPr>
        <w:pStyle w:val="BodyTextMain"/>
        <w:rPr>
          <w:spacing w:val="-4"/>
          <w:lang w:val="en-GB" w:eastAsia="en-GB"/>
        </w:rPr>
      </w:pPr>
      <w:r w:rsidRPr="001C1BCA">
        <w:rPr>
          <w:spacing w:val="-4"/>
          <w:lang w:val="en-GB" w:eastAsia="en-GB"/>
        </w:rPr>
        <w:t xml:space="preserve">Mitchell wondered whether implementing this policy change would have other additional benefits or drawbacks: Could this change positively benefit the ORC’s restaurant operations? Would it create overflowing programs? Would it devalue membership? How would it affect the social atmosphere at the ORC? </w:t>
      </w:r>
    </w:p>
    <w:p w14:paraId="6785EE9A" w14:textId="77777777" w:rsidR="00E60DD4" w:rsidRPr="00111CF8" w:rsidRDefault="00E60DD4" w:rsidP="008E33E8">
      <w:pPr>
        <w:pStyle w:val="BodyTextMain"/>
        <w:rPr>
          <w:sz w:val="16"/>
          <w:szCs w:val="16"/>
          <w:lang w:val="en-GB" w:eastAsia="en-GB"/>
        </w:rPr>
      </w:pPr>
    </w:p>
    <w:p w14:paraId="0A67462A" w14:textId="77777777" w:rsidR="001C1BCA" w:rsidRPr="00111CF8" w:rsidRDefault="001C1BCA" w:rsidP="008E33E8">
      <w:pPr>
        <w:pStyle w:val="BodyTextMain"/>
        <w:rPr>
          <w:sz w:val="16"/>
          <w:szCs w:val="16"/>
          <w:lang w:val="en-GB" w:eastAsia="en-GB"/>
        </w:rPr>
      </w:pPr>
    </w:p>
    <w:p w14:paraId="181F656E" w14:textId="77777777" w:rsidR="00E60DD4" w:rsidRPr="00E60DD4" w:rsidRDefault="00E60DD4" w:rsidP="008E33E8">
      <w:pPr>
        <w:pStyle w:val="Casehead2"/>
        <w:rPr>
          <w:lang w:val="en-GB" w:eastAsia="en-GB"/>
        </w:rPr>
      </w:pPr>
      <w:r w:rsidRPr="00E60DD4">
        <w:rPr>
          <w:lang w:val="en-GB" w:eastAsia="en-GB"/>
        </w:rPr>
        <w:t>Sell the Business</w:t>
      </w:r>
    </w:p>
    <w:p w14:paraId="0782F6D8" w14:textId="77777777" w:rsidR="00E60DD4" w:rsidRPr="00111CF8" w:rsidRDefault="00E60DD4" w:rsidP="008E33E8">
      <w:pPr>
        <w:pStyle w:val="BodyTextMain"/>
        <w:rPr>
          <w:sz w:val="16"/>
          <w:szCs w:val="16"/>
          <w:lang w:val="en-GB" w:eastAsia="en-GB"/>
        </w:rPr>
      </w:pPr>
    </w:p>
    <w:p w14:paraId="464473B1" w14:textId="77777777" w:rsidR="00E60DD4" w:rsidRPr="001C1BCA" w:rsidRDefault="00E60DD4" w:rsidP="008E33E8">
      <w:pPr>
        <w:pStyle w:val="BodyTextMain"/>
        <w:rPr>
          <w:spacing w:val="-4"/>
          <w:lang w:val="en-GB" w:eastAsia="en-GB"/>
        </w:rPr>
      </w:pPr>
      <w:r w:rsidRPr="001C1BCA">
        <w:rPr>
          <w:spacing w:val="-4"/>
          <w:lang w:val="en-GB" w:eastAsia="en-GB"/>
        </w:rPr>
        <w:t xml:space="preserve">Mitchell also wondered if it was time for the ORC to sell the business and whether the board of directors (consisting of the ORC’s founders and owners) would be open to pursuing this option. Having grown substantially since its founding, the ORC was a profitable business with further growth potential that could be attractive to potential buyers. Selling the business would require significant effort in finding a suitable buyer and determining a fair selling price that would be attractive to both the buyer and the board of directors. Mitchell knew that board members would undoubtedly want any future owner to continue to build on the ORC’s past success and enhance their vision of creating an upscale hub for an active local community. </w:t>
      </w:r>
    </w:p>
    <w:p w14:paraId="4B17221F" w14:textId="77777777" w:rsidR="00E60DD4" w:rsidRPr="00111CF8" w:rsidRDefault="00E60DD4" w:rsidP="008E33E8">
      <w:pPr>
        <w:pStyle w:val="BodyTextMain"/>
        <w:rPr>
          <w:sz w:val="16"/>
          <w:szCs w:val="16"/>
          <w:lang w:val="en-GB" w:eastAsia="en-GB"/>
        </w:rPr>
      </w:pPr>
    </w:p>
    <w:p w14:paraId="5184CA6A" w14:textId="77777777" w:rsidR="00E60DD4" w:rsidRPr="00111CF8" w:rsidRDefault="00E60DD4" w:rsidP="008E33E8">
      <w:pPr>
        <w:pStyle w:val="BodyTextMain"/>
        <w:rPr>
          <w:sz w:val="16"/>
          <w:szCs w:val="16"/>
          <w:lang w:val="en-GB" w:eastAsia="en-GB"/>
        </w:rPr>
      </w:pPr>
    </w:p>
    <w:p w14:paraId="6E562576" w14:textId="77777777" w:rsidR="00E60DD4" w:rsidRPr="00E60DD4" w:rsidRDefault="00E60DD4" w:rsidP="008E33E8">
      <w:pPr>
        <w:pStyle w:val="Casehead1"/>
        <w:rPr>
          <w:lang w:val="en-GB" w:eastAsia="en-GB"/>
        </w:rPr>
      </w:pPr>
      <w:r w:rsidRPr="00E60DD4">
        <w:rPr>
          <w:lang w:val="en-GB" w:eastAsia="en-GB"/>
        </w:rPr>
        <w:t>CONCLUSION</w:t>
      </w:r>
    </w:p>
    <w:p w14:paraId="79E821B7" w14:textId="77777777" w:rsidR="00E60DD4" w:rsidRPr="00111CF8" w:rsidRDefault="00E60DD4" w:rsidP="008E33E8">
      <w:pPr>
        <w:pStyle w:val="BodyTextMain"/>
        <w:rPr>
          <w:sz w:val="16"/>
          <w:szCs w:val="16"/>
          <w:lang w:val="en-GB" w:eastAsia="en-GB"/>
        </w:rPr>
      </w:pPr>
    </w:p>
    <w:p w14:paraId="2E40FE8C" w14:textId="61C9C121" w:rsidR="00E60DD4" w:rsidRPr="00E60DD4" w:rsidRDefault="00E60DD4" w:rsidP="008E33E8">
      <w:pPr>
        <w:pStyle w:val="BodyTextMain"/>
        <w:rPr>
          <w:rFonts w:ascii="Arial" w:hAnsi="Arial" w:cs="Arial"/>
          <w:i/>
          <w:sz w:val="17"/>
          <w:szCs w:val="17"/>
          <w:lang w:val="en-GB" w:eastAsia="en-GB"/>
        </w:rPr>
      </w:pPr>
      <w:r w:rsidRPr="00E60DD4">
        <w:rPr>
          <w:lang w:val="en-GB" w:eastAsia="en-GB"/>
        </w:rPr>
        <w:t>As Mitchell sat at his desk looking onto the continual hive of activity in the ORC’s parking lot, he knew he had a lot of work to do in determining the best course of action. The board of directors expected him to present his strategic plan at a meeting scheduled for the following month.</w:t>
      </w:r>
    </w:p>
    <w:p w14:paraId="0E721A2D" w14:textId="77777777" w:rsidR="00E60DD4" w:rsidRPr="00E60DD4" w:rsidRDefault="00E60DD4" w:rsidP="008E33E8">
      <w:pPr>
        <w:pStyle w:val="BodyTextMain"/>
        <w:rPr>
          <w:rFonts w:ascii="Arial" w:hAnsi="Arial" w:cs="Arial"/>
          <w:i/>
          <w:sz w:val="17"/>
          <w:szCs w:val="17"/>
          <w:lang w:val="en-GB" w:eastAsia="en-GB"/>
        </w:rPr>
      </w:pPr>
      <w:r w:rsidRPr="00E60DD4">
        <w:rPr>
          <w:rFonts w:ascii="Arial" w:hAnsi="Arial" w:cs="Arial"/>
          <w:i/>
          <w:sz w:val="17"/>
          <w:szCs w:val="17"/>
          <w:lang w:val="en-GB" w:eastAsia="en-GB"/>
        </w:rPr>
        <w:br w:type="page"/>
      </w:r>
    </w:p>
    <w:p w14:paraId="4A62F79B" w14:textId="77777777" w:rsidR="00E60DD4" w:rsidRPr="00E60DD4" w:rsidRDefault="00E60DD4" w:rsidP="00E60DD4">
      <w:pPr>
        <w:jc w:val="center"/>
        <w:rPr>
          <w:rFonts w:ascii="Arial" w:hAnsi="Arial" w:cs="Arial"/>
          <w:b/>
          <w:caps/>
          <w:lang w:val="en-GB" w:eastAsia="en-GB"/>
        </w:rPr>
      </w:pPr>
      <w:r w:rsidRPr="00E60DD4">
        <w:rPr>
          <w:rFonts w:ascii="Arial" w:hAnsi="Arial" w:cs="Arial"/>
          <w:b/>
          <w:caps/>
          <w:lang w:val="en-GB" w:eastAsia="en-GB"/>
        </w:rPr>
        <w:lastRenderedPageBreak/>
        <w:t>EXHIBIT 1: ORC LOGO</w:t>
      </w:r>
    </w:p>
    <w:p w14:paraId="51C1C52E" w14:textId="77777777" w:rsidR="00E60DD4" w:rsidRPr="00E60DD4" w:rsidRDefault="00E60DD4" w:rsidP="00AB270B">
      <w:pPr>
        <w:pStyle w:val="BodyTextMain"/>
        <w:rPr>
          <w:lang w:val="en-GB"/>
        </w:rPr>
      </w:pPr>
    </w:p>
    <w:p w14:paraId="11B667AE" w14:textId="77777777" w:rsidR="00E60DD4" w:rsidRPr="00AB270B" w:rsidRDefault="00E60DD4" w:rsidP="00E60DD4">
      <w:pPr>
        <w:spacing w:line="259" w:lineRule="auto"/>
        <w:jc w:val="center"/>
        <w:rPr>
          <w:rStyle w:val="BodyTextMainChar"/>
        </w:rPr>
      </w:pPr>
      <w:r w:rsidRPr="00E60DD4">
        <w:rPr>
          <w:noProof/>
          <w:sz w:val="22"/>
          <w:szCs w:val="22"/>
          <w:lang w:val="en-GB" w:eastAsia="en-GB"/>
        </w:rPr>
        <w:drawing>
          <wp:inline distT="0" distB="0" distL="0" distR="0" wp14:anchorId="51728CEE" wp14:editId="329579A0">
            <wp:extent cx="1377950" cy="926692"/>
            <wp:effectExtent l="0" t="0" r="0" b="6985"/>
            <wp:docPr id="2" name="Picture 2"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389832" cy="934683"/>
                    </a:xfrm>
                    <a:prstGeom prst="rect">
                      <a:avLst/>
                    </a:prstGeom>
                    <a:noFill/>
                    <a:ln>
                      <a:noFill/>
                    </a:ln>
                  </pic:spPr>
                </pic:pic>
              </a:graphicData>
            </a:graphic>
          </wp:inline>
        </w:drawing>
      </w:r>
    </w:p>
    <w:p w14:paraId="1DB43C41" w14:textId="77FF5AE2" w:rsidR="00E60DD4" w:rsidRPr="00AB270B" w:rsidRDefault="00E60DD4" w:rsidP="00AB270B">
      <w:pPr>
        <w:pStyle w:val="FootnoteText1"/>
        <w:rPr>
          <w:lang w:val="en-GB" w:eastAsia="en-GB"/>
        </w:rPr>
      </w:pPr>
      <w:r w:rsidRPr="00AB270B">
        <w:rPr>
          <w:lang w:val="en-GB" w:eastAsia="en-GB"/>
        </w:rPr>
        <w:t xml:space="preserve">Source: </w:t>
      </w:r>
      <w:r w:rsidR="00AB270B" w:rsidRPr="00AB270B">
        <w:rPr>
          <w:lang w:val="en-GB" w:eastAsia="en-GB"/>
        </w:rPr>
        <w:t xml:space="preserve">Company website: “The New ORC: Ontario Racquet Club,” ORC, accessed April 10, 2019, </w:t>
      </w:r>
      <w:r w:rsidR="00AB270B" w:rsidRPr="00AB270B">
        <w:t>www.ontarioracquetclub.com/.</w:t>
      </w:r>
    </w:p>
    <w:p w14:paraId="26784C60" w14:textId="77777777" w:rsidR="00E60DD4" w:rsidRPr="00E60DD4" w:rsidRDefault="00E60DD4" w:rsidP="00AB270B">
      <w:pPr>
        <w:pStyle w:val="BodyTextMain"/>
        <w:rPr>
          <w:lang w:val="en-GB"/>
        </w:rPr>
      </w:pPr>
    </w:p>
    <w:p w14:paraId="7016D2A4" w14:textId="77777777" w:rsidR="00E60DD4" w:rsidRPr="00E60DD4" w:rsidRDefault="00E60DD4" w:rsidP="00AB270B">
      <w:pPr>
        <w:pStyle w:val="BodyTextMain"/>
        <w:rPr>
          <w:lang w:val="en-GB"/>
        </w:rPr>
      </w:pPr>
    </w:p>
    <w:p w14:paraId="369BE0A1" w14:textId="77777777" w:rsidR="00E60DD4" w:rsidRPr="00E60DD4" w:rsidRDefault="00E60DD4" w:rsidP="00E60DD4">
      <w:pPr>
        <w:jc w:val="center"/>
        <w:rPr>
          <w:rFonts w:ascii="Arial" w:hAnsi="Arial" w:cs="Arial"/>
          <w:b/>
          <w:caps/>
          <w:lang w:val="en-GB" w:eastAsia="en-GB"/>
        </w:rPr>
      </w:pPr>
      <w:r w:rsidRPr="00E60DD4">
        <w:rPr>
          <w:rFonts w:ascii="Arial" w:hAnsi="Arial" w:cs="Arial"/>
          <w:b/>
          <w:caps/>
          <w:lang w:val="en-GB" w:eastAsia="en-GB"/>
        </w:rPr>
        <w:t>EXHIBIT 2: COMPLETED 2005 RENOVATION PICTURES</w:t>
      </w:r>
    </w:p>
    <w:p w14:paraId="15054E7E" w14:textId="77777777" w:rsidR="00E60DD4" w:rsidRPr="00E60DD4" w:rsidRDefault="00E60DD4" w:rsidP="00AB270B">
      <w:pPr>
        <w:pStyle w:val="BodyTextMain"/>
        <w:rPr>
          <w:lang w:val="en-GB"/>
        </w:rPr>
      </w:pPr>
    </w:p>
    <w:p w14:paraId="07A0EEA0" w14:textId="77777777" w:rsidR="00E60DD4" w:rsidRPr="00E60DD4" w:rsidRDefault="00E60DD4" w:rsidP="008E33E8">
      <w:pPr>
        <w:pStyle w:val="BodyTextMain"/>
        <w:jc w:val="center"/>
        <w:rPr>
          <w:lang w:val="en-GB"/>
        </w:rPr>
      </w:pPr>
      <w:r w:rsidRPr="00E60DD4">
        <w:rPr>
          <w:noProof/>
          <w:lang w:val="en-GB" w:eastAsia="en-GB"/>
        </w:rPr>
        <w:drawing>
          <wp:inline distT="0" distB="0" distL="0" distR="0" wp14:anchorId="2B67CFEF" wp14:editId="48A0D160">
            <wp:extent cx="4053840" cy="2634329"/>
            <wp:effectExtent l="0" t="0" r="3810" b="0"/>
            <wp:docPr id="3" name="Picture 3" descr="Image result for ontario racquet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ntario racquet club"/>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076525" cy="2649071"/>
                    </a:xfrm>
                    <a:prstGeom prst="rect">
                      <a:avLst/>
                    </a:prstGeom>
                    <a:noFill/>
                    <a:ln>
                      <a:noFill/>
                    </a:ln>
                  </pic:spPr>
                </pic:pic>
              </a:graphicData>
            </a:graphic>
          </wp:inline>
        </w:drawing>
      </w:r>
    </w:p>
    <w:p w14:paraId="43EF221A" w14:textId="77777777" w:rsidR="00E60DD4" w:rsidRPr="00E60DD4" w:rsidRDefault="00E60DD4" w:rsidP="008E33E8">
      <w:pPr>
        <w:pStyle w:val="BodyTextMain"/>
        <w:rPr>
          <w:lang w:val="en-GB"/>
        </w:rPr>
      </w:pPr>
    </w:p>
    <w:p w14:paraId="47FC1F34" w14:textId="77777777" w:rsidR="00E60DD4" w:rsidRPr="008E33E8" w:rsidRDefault="00E60DD4" w:rsidP="00E60DD4">
      <w:pPr>
        <w:spacing w:line="259" w:lineRule="auto"/>
        <w:jc w:val="center"/>
        <w:rPr>
          <w:rStyle w:val="BodyTextMainChar"/>
        </w:rPr>
      </w:pPr>
      <w:r w:rsidRPr="00E60DD4">
        <w:rPr>
          <w:noProof/>
          <w:sz w:val="22"/>
          <w:szCs w:val="22"/>
          <w:lang w:val="en-GB" w:eastAsia="en-GB"/>
        </w:rPr>
        <w:drawing>
          <wp:inline distT="0" distB="0" distL="0" distR="0" wp14:anchorId="5C8D29A3" wp14:editId="2E834348">
            <wp:extent cx="4015740" cy="2677160"/>
            <wp:effectExtent l="0" t="0" r="3810" b="8890"/>
            <wp:docPr id="4" name="Picture 4" descr="https://hubpagedesigner.mediatownmarketing.net/uploads/imagemanager/image_59ee297733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ubpagedesigner.mediatownmarketing.net/uploads/imagemanager/image_59ee297733d03.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019567" cy="2679711"/>
                    </a:xfrm>
                    <a:prstGeom prst="rect">
                      <a:avLst/>
                    </a:prstGeom>
                    <a:noFill/>
                    <a:ln>
                      <a:noFill/>
                    </a:ln>
                  </pic:spPr>
                </pic:pic>
              </a:graphicData>
            </a:graphic>
          </wp:inline>
        </w:drawing>
      </w:r>
    </w:p>
    <w:p w14:paraId="2E45ECFA" w14:textId="77777777" w:rsidR="00E60DD4" w:rsidRPr="00E60DD4" w:rsidRDefault="00E60DD4" w:rsidP="008E33E8">
      <w:pPr>
        <w:pStyle w:val="FootnoteText1"/>
        <w:rPr>
          <w:lang w:val="en-GB" w:eastAsia="en-GB"/>
        </w:rPr>
      </w:pPr>
    </w:p>
    <w:p w14:paraId="32F68824" w14:textId="77777777" w:rsidR="00AE7DCA" w:rsidRDefault="00E60DD4" w:rsidP="008E33E8">
      <w:pPr>
        <w:pStyle w:val="FootnoteText1"/>
        <w:rPr>
          <w:lang w:val="en-GB" w:eastAsia="en-GB"/>
        </w:rPr>
      </w:pPr>
      <w:r w:rsidRPr="00E60DD4">
        <w:rPr>
          <w:lang w:val="en-GB" w:eastAsia="en-GB"/>
        </w:rPr>
        <w:t xml:space="preserve">Source: Company </w:t>
      </w:r>
      <w:r w:rsidR="00AE7DCA">
        <w:rPr>
          <w:lang w:val="en-GB" w:eastAsia="en-GB"/>
        </w:rPr>
        <w:t>files.</w:t>
      </w:r>
    </w:p>
    <w:p w14:paraId="4BA0F98D" w14:textId="16846065" w:rsidR="00E60DD4" w:rsidRPr="00E60DD4" w:rsidRDefault="00E60DD4" w:rsidP="00E60DD4">
      <w:pPr>
        <w:tabs>
          <w:tab w:val="left" w:pos="-1440"/>
          <w:tab w:val="left" w:pos="-720"/>
          <w:tab w:val="left" w:pos="1"/>
          <w:tab w:val="right" w:pos="9000"/>
        </w:tabs>
        <w:jc w:val="both"/>
        <w:rPr>
          <w:rFonts w:ascii="Arial" w:hAnsi="Arial" w:cs="Arial"/>
          <w:iCs/>
          <w:sz w:val="17"/>
          <w:szCs w:val="17"/>
          <w:lang w:val="en-GB" w:eastAsia="en-GB"/>
        </w:rPr>
      </w:pPr>
      <w:r w:rsidRPr="00E60DD4">
        <w:rPr>
          <w:rFonts w:ascii="Arial" w:hAnsi="Arial" w:cs="Arial"/>
          <w:iCs/>
          <w:sz w:val="17"/>
          <w:szCs w:val="17"/>
          <w:lang w:val="en-GB" w:eastAsia="en-GB"/>
        </w:rPr>
        <w:br w:type="page"/>
      </w:r>
    </w:p>
    <w:p w14:paraId="7992820B" w14:textId="77777777" w:rsidR="00E60DD4" w:rsidRPr="00E60DD4" w:rsidRDefault="00E60DD4" w:rsidP="00E60DD4">
      <w:pPr>
        <w:jc w:val="center"/>
        <w:rPr>
          <w:rFonts w:ascii="Arial" w:hAnsi="Arial" w:cs="Arial"/>
          <w:b/>
        </w:rPr>
      </w:pPr>
      <w:r w:rsidRPr="00E60DD4">
        <w:rPr>
          <w:rFonts w:ascii="Arial" w:hAnsi="Arial" w:cs="Arial"/>
          <w:b/>
        </w:rPr>
        <w:lastRenderedPageBreak/>
        <w:t>EXHIBIT 3: INCOME STATEMENTS AND FINANCIAL RATIOS (UNAUDITED)</w:t>
      </w:r>
    </w:p>
    <w:p w14:paraId="0493C873" w14:textId="77777777" w:rsidR="00E60DD4" w:rsidRPr="00E60DD4" w:rsidRDefault="00E60DD4" w:rsidP="00E60DD4">
      <w:pPr>
        <w:jc w:val="center"/>
        <w:rPr>
          <w:rFonts w:ascii="Arial" w:hAnsi="Arial" w:cs="Arial"/>
          <w:b/>
        </w:rPr>
      </w:pPr>
      <w:r w:rsidRPr="00E60DD4">
        <w:rPr>
          <w:rFonts w:ascii="Arial" w:hAnsi="Arial" w:cs="Arial"/>
          <w:b/>
        </w:rPr>
        <w:t>FOR THE YEARS ENDING DECEMBER 31</w:t>
      </w:r>
    </w:p>
    <w:p w14:paraId="347D9F32" w14:textId="77777777" w:rsidR="00E60DD4" w:rsidRPr="00E60DD4" w:rsidRDefault="00E60DD4" w:rsidP="008E33E8">
      <w:pPr>
        <w:pStyle w:val="BodyTextMain"/>
        <w:rPr>
          <w:lang w:val="en-GB" w:eastAsia="en-GB"/>
        </w:rPr>
      </w:pPr>
    </w:p>
    <w:tbl>
      <w:tblPr>
        <w:tblStyle w:val="TableGrid1"/>
        <w:tblpPr w:leftFromText="180" w:rightFromText="180" w:vertAnchor="text" w:horzAnchor="margin" w:tblpXSpec="center" w:tblpY="103"/>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3"/>
        <w:gridCol w:w="1417"/>
        <w:gridCol w:w="851"/>
        <w:gridCol w:w="1417"/>
        <w:gridCol w:w="851"/>
      </w:tblGrid>
      <w:tr w:rsidR="00E60DD4" w:rsidRPr="00E60DD4" w14:paraId="61F11EE0" w14:textId="77777777" w:rsidTr="00E60DD4">
        <w:trPr>
          <w:trHeight w:val="306"/>
        </w:trPr>
        <w:tc>
          <w:tcPr>
            <w:tcW w:w="3823" w:type="dxa"/>
            <w:noWrap/>
            <w:hideMark/>
          </w:tcPr>
          <w:p w14:paraId="52511C93" w14:textId="77777777" w:rsidR="00E60DD4" w:rsidRPr="00E60DD4" w:rsidRDefault="00E60DD4" w:rsidP="00E60DD4">
            <w:pPr>
              <w:rPr>
                <w:rFonts w:ascii="Arial" w:hAnsi="Arial" w:cs="Arial"/>
                <w:color w:val="000000"/>
                <w:lang w:val="en-GB" w:eastAsia="en-CA"/>
              </w:rPr>
            </w:pPr>
          </w:p>
        </w:tc>
        <w:tc>
          <w:tcPr>
            <w:tcW w:w="2268" w:type="dxa"/>
            <w:gridSpan w:val="2"/>
            <w:noWrap/>
            <w:hideMark/>
          </w:tcPr>
          <w:p w14:paraId="0CC22453" w14:textId="77777777" w:rsidR="00E60DD4" w:rsidRPr="00E60DD4" w:rsidRDefault="00E60DD4" w:rsidP="00E60DD4">
            <w:pPr>
              <w:jc w:val="center"/>
              <w:rPr>
                <w:rFonts w:ascii="Arial" w:hAnsi="Arial" w:cs="Arial"/>
                <w:b/>
                <w:color w:val="000000"/>
                <w:lang w:val="en-GB"/>
              </w:rPr>
            </w:pPr>
            <w:r w:rsidRPr="00E60DD4">
              <w:rPr>
                <w:rFonts w:ascii="Arial" w:hAnsi="Arial" w:cs="Arial"/>
                <w:b/>
                <w:color w:val="000000"/>
                <w:lang w:val="en-GB" w:eastAsia="en-CA"/>
              </w:rPr>
              <w:t>2013</w:t>
            </w:r>
          </w:p>
        </w:tc>
        <w:tc>
          <w:tcPr>
            <w:tcW w:w="2268" w:type="dxa"/>
            <w:gridSpan w:val="2"/>
          </w:tcPr>
          <w:p w14:paraId="0EF82D5E" w14:textId="77777777" w:rsidR="00E60DD4" w:rsidRPr="00E60DD4" w:rsidRDefault="00E60DD4" w:rsidP="00E60DD4">
            <w:pPr>
              <w:jc w:val="center"/>
              <w:rPr>
                <w:rFonts w:ascii="Arial" w:hAnsi="Arial" w:cs="Arial"/>
                <w:b/>
                <w:color w:val="000000"/>
                <w:lang w:val="en-GB"/>
              </w:rPr>
            </w:pPr>
            <w:r w:rsidRPr="00E60DD4">
              <w:rPr>
                <w:rFonts w:ascii="Arial" w:hAnsi="Arial" w:cs="Arial"/>
                <w:b/>
                <w:color w:val="000000"/>
                <w:lang w:val="en-GB"/>
              </w:rPr>
              <w:t>2012</w:t>
            </w:r>
          </w:p>
        </w:tc>
      </w:tr>
      <w:tr w:rsidR="00E60DD4" w:rsidRPr="00E60DD4" w14:paraId="1EE0326E" w14:textId="77777777" w:rsidTr="00E60DD4">
        <w:trPr>
          <w:trHeight w:val="306"/>
        </w:trPr>
        <w:tc>
          <w:tcPr>
            <w:tcW w:w="3823" w:type="dxa"/>
            <w:noWrap/>
            <w:hideMark/>
          </w:tcPr>
          <w:p w14:paraId="7A3A6C43" w14:textId="77777777" w:rsidR="00E60DD4" w:rsidRPr="00E60DD4" w:rsidRDefault="00E60DD4" w:rsidP="00E60DD4">
            <w:pPr>
              <w:rPr>
                <w:rFonts w:ascii="Arial" w:hAnsi="Arial" w:cs="Arial"/>
                <w:b/>
                <w:color w:val="000000"/>
                <w:lang w:val="en-GB" w:eastAsia="en-CA"/>
              </w:rPr>
            </w:pPr>
            <w:r w:rsidRPr="00E60DD4">
              <w:rPr>
                <w:rFonts w:ascii="Arial" w:hAnsi="Arial" w:cs="Arial"/>
                <w:b/>
                <w:color w:val="000000"/>
                <w:lang w:val="en-GB" w:eastAsia="en-CA"/>
              </w:rPr>
              <w:t xml:space="preserve">  Revenue</w:t>
            </w:r>
          </w:p>
        </w:tc>
        <w:tc>
          <w:tcPr>
            <w:tcW w:w="1417" w:type="dxa"/>
            <w:noWrap/>
            <w:hideMark/>
          </w:tcPr>
          <w:p w14:paraId="2E582DF8"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07E83EAA" w14:textId="77777777" w:rsidR="00E60DD4" w:rsidRPr="00E60DD4" w:rsidRDefault="00E60DD4" w:rsidP="00E60DD4">
            <w:pPr>
              <w:jc w:val="center"/>
              <w:rPr>
                <w:rFonts w:ascii="Arial" w:hAnsi="Arial" w:cs="Arial"/>
                <w:color w:val="000000"/>
                <w:lang w:val="en-GB"/>
              </w:rPr>
            </w:pPr>
          </w:p>
        </w:tc>
        <w:tc>
          <w:tcPr>
            <w:tcW w:w="1417" w:type="dxa"/>
            <w:vAlign w:val="bottom"/>
          </w:tcPr>
          <w:p w14:paraId="73B8C2BE"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1213DBB4" w14:textId="77777777" w:rsidR="00E60DD4" w:rsidRPr="00E60DD4" w:rsidRDefault="00E60DD4" w:rsidP="00E60DD4">
            <w:pPr>
              <w:jc w:val="center"/>
              <w:rPr>
                <w:rFonts w:ascii="Arial" w:hAnsi="Arial" w:cs="Arial"/>
                <w:color w:val="000000"/>
                <w:lang w:val="en-GB"/>
              </w:rPr>
            </w:pPr>
          </w:p>
        </w:tc>
      </w:tr>
      <w:tr w:rsidR="00E60DD4" w:rsidRPr="00E60DD4" w14:paraId="4E7CAD77" w14:textId="77777777" w:rsidTr="00E60DD4">
        <w:trPr>
          <w:trHeight w:val="308"/>
        </w:trPr>
        <w:tc>
          <w:tcPr>
            <w:tcW w:w="3823" w:type="dxa"/>
            <w:noWrap/>
            <w:hideMark/>
          </w:tcPr>
          <w:p w14:paraId="19FB559E"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Memberships</w:t>
            </w:r>
          </w:p>
        </w:tc>
        <w:tc>
          <w:tcPr>
            <w:tcW w:w="1417" w:type="dxa"/>
            <w:noWrap/>
            <w:hideMark/>
          </w:tcPr>
          <w:p w14:paraId="5A1055F4"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t>$</w:t>
            </w:r>
            <w:r w:rsidRPr="00E60DD4">
              <w:rPr>
                <w:rFonts w:ascii="Arial" w:hAnsi="Arial" w:cs="Arial"/>
                <w:color w:val="000000"/>
                <w:lang w:val="en-GB" w:eastAsia="en-CA"/>
              </w:rPr>
              <w:tab/>
              <w:t>3,226,557</w:t>
            </w:r>
          </w:p>
        </w:tc>
        <w:tc>
          <w:tcPr>
            <w:tcW w:w="851" w:type="dxa"/>
          </w:tcPr>
          <w:p w14:paraId="3FBE5D63" w14:textId="77777777" w:rsidR="00E60DD4" w:rsidRPr="00E60DD4" w:rsidRDefault="00E60DD4" w:rsidP="00E60DD4">
            <w:pPr>
              <w:jc w:val="center"/>
              <w:rPr>
                <w:rFonts w:ascii="Arial" w:hAnsi="Arial" w:cs="Arial"/>
                <w:color w:val="000000"/>
                <w:lang w:val="en-GB"/>
              </w:rPr>
            </w:pPr>
          </w:p>
        </w:tc>
        <w:tc>
          <w:tcPr>
            <w:tcW w:w="1417" w:type="dxa"/>
          </w:tcPr>
          <w:p w14:paraId="05118073"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t>$</w:t>
            </w:r>
            <w:r w:rsidRPr="00E60DD4">
              <w:rPr>
                <w:rFonts w:ascii="Arial" w:hAnsi="Arial" w:cs="Arial"/>
                <w:color w:val="000000"/>
                <w:lang w:val="en-GB"/>
              </w:rPr>
              <w:tab/>
              <w:t>3,223,746</w:t>
            </w:r>
          </w:p>
        </w:tc>
        <w:tc>
          <w:tcPr>
            <w:tcW w:w="851" w:type="dxa"/>
          </w:tcPr>
          <w:p w14:paraId="0B797B52" w14:textId="77777777" w:rsidR="00E60DD4" w:rsidRPr="00E60DD4" w:rsidRDefault="00E60DD4" w:rsidP="00E60DD4">
            <w:pPr>
              <w:jc w:val="center"/>
              <w:rPr>
                <w:rFonts w:ascii="Arial" w:hAnsi="Arial" w:cs="Arial"/>
                <w:color w:val="000000"/>
                <w:lang w:val="en-GB"/>
              </w:rPr>
            </w:pPr>
          </w:p>
        </w:tc>
      </w:tr>
      <w:tr w:rsidR="00E60DD4" w:rsidRPr="00E60DD4" w14:paraId="02971D5D" w14:textId="77777777" w:rsidTr="00E60DD4">
        <w:trPr>
          <w:trHeight w:val="308"/>
        </w:trPr>
        <w:tc>
          <w:tcPr>
            <w:tcW w:w="3823" w:type="dxa"/>
            <w:noWrap/>
            <w:hideMark/>
          </w:tcPr>
          <w:p w14:paraId="20177C4F"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Lessons/Clinics</w:t>
            </w:r>
          </w:p>
        </w:tc>
        <w:tc>
          <w:tcPr>
            <w:tcW w:w="1417" w:type="dxa"/>
            <w:noWrap/>
            <w:hideMark/>
          </w:tcPr>
          <w:p w14:paraId="4008A084"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1,783,118</w:t>
            </w:r>
          </w:p>
        </w:tc>
        <w:tc>
          <w:tcPr>
            <w:tcW w:w="851" w:type="dxa"/>
          </w:tcPr>
          <w:p w14:paraId="2602BC2D" w14:textId="77777777" w:rsidR="00E60DD4" w:rsidRPr="00E60DD4" w:rsidRDefault="00E60DD4" w:rsidP="00E60DD4">
            <w:pPr>
              <w:jc w:val="center"/>
              <w:rPr>
                <w:rFonts w:ascii="Arial" w:hAnsi="Arial" w:cs="Arial"/>
                <w:color w:val="000000"/>
                <w:lang w:val="en-GB"/>
              </w:rPr>
            </w:pPr>
          </w:p>
        </w:tc>
        <w:tc>
          <w:tcPr>
            <w:tcW w:w="1417" w:type="dxa"/>
          </w:tcPr>
          <w:p w14:paraId="51F9C41E"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1,733,954</w:t>
            </w:r>
          </w:p>
        </w:tc>
        <w:tc>
          <w:tcPr>
            <w:tcW w:w="851" w:type="dxa"/>
          </w:tcPr>
          <w:p w14:paraId="75E58E75" w14:textId="77777777" w:rsidR="00E60DD4" w:rsidRPr="00E60DD4" w:rsidRDefault="00E60DD4" w:rsidP="00E60DD4">
            <w:pPr>
              <w:jc w:val="center"/>
              <w:rPr>
                <w:rFonts w:ascii="Arial" w:hAnsi="Arial" w:cs="Arial"/>
                <w:color w:val="000000"/>
                <w:lang w:val="en-GB"/>
              </w:rPr>
            </w:pPr>
          </w:p>
        </w:tc>
      </w:tr>
      <w:tr w:rsidR="00E60DD4" w:rsidRPr="00E60DD4" w14:paraId="77B9B617" w14:textId="77777777" w:rsidTr="00E60DD4">
        <w:trPr>
          <w:trHeight w:val="308"/>
        </w:trPr>
        <w:tc>
          <w:tcPr>
            <w:tcW w:w="3823" w:type="dxa"/>
            <w:noWrap/>
            <w:hideMark/>
          </w:tcPr>
          <w:p w14:paraId="7A4E19D3"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Court Fees</w:t>
            </w:r>
          </w:p>
        </w:tc>
        <w:tc>
          <w:tcPr>
            <w:tcW w:w="1417" w:type="dxa"/>
            <w:noWrap/>
            <w:hideMark/>
          </w:tcPr>
          <w:p w14:paraId="2141B7D5"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611,905</w:t>
            </w:r>
          </w:p>
        </w:tc>
        <w:tc>
          <w:tcPr>
            <w:tcW w:w="851" w:type="dxa"/>
          </w:tcPr>
          <w:p w14:paraId="71361A4D" w14:textId="77777777" w:rsidR="00E60DD4" w:rsidRPr="00E60DD4" w:rsidRDefault="00E60DD4" w:rsidP="00E60DD4">
            <w:pPr>
              <w:jc w:val="center"/>
              <w:rPr>
                <w:rFonts w:ascii="Arial" w:hAnsi="Arial" w:cs="Arial"/>
                <w:color w:val="000000"/>
                <w:lang w:val="en-GB"/>
              </w:rPr>
            </w:pPr>
          </w:p>
        </w:tc>
        <w:tc>
          <w:tcPr>
            <w:tcW w:w="1417" w:type="dxa"/>
          </w:tcPr>
          <w:p w14:paraId="439BF774"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621,665</w:t>
            </w:r>
          </w:p>
        </w:tc>
        <w:tc>
          <w:tcPr>
            <w:tcW w:w="851" w:type="dxa"/>
          </w:tcPr>
          <w:p w14:paraId="5171042B" w14:textId="77777777" w:rsidR="00E60DD4" w:rsidRPr="00E60DD4" w:rsidRDefault="00E60DD4" w:rsidP="00E60DD4">
            <w:pPr>
              <w:jc w:val="center"/>
              <w:rPr>
                <w:rFonts w:ascii="Arial" w:hAnsi="Arial" w:cs="Arial"/>
                <w:color w:val="000000"/>
                <w:lang w:val="en-GB"/>
              </w:rPr>
            </w:pPr>
          </w:p>
        </w:tc>
      </w:tr>
      <w:tr w:rsidR="00E60DD4" w:rsidRPr="00E60DD4" w14:paraId="36539ED5" w14:textId="77777777" w:rsidTr="00E60DD4">
        <w:trPr>
          <w:trHeight w:val="308"/>
        </w:trPr>
        <w:tc>
          <w:tcPr>
            <w:tcW w:w="3823" w:type="dxa"/>
            <w:noWrap/>
            <w:hideMark/>
          </w:tcPr>
          <w:p w14:paraId="2A8B93B5"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Restaurant</w:t>
            </w:r>
          </w:p>
        </w:tc>
        <w:tc>
          <w:tcPr>
            <w:tcW w:w="1417" w:type="dxa"/>
            <w:noWrap/>
          </w:tcPr>
          <w:p w14:paraId="47AE4A44"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673,918</w:t>
            </w:r>
          </w:p>
        </w:tc>
        <w:tc>
          <w:tcPr>
            <w:tcW w:w="851" w:type="dxa"/>
          </w:tcPr>
          <w:p w14:paraId="0463DF6F" w14:textId="77777777" w:rsidR="00E60DD4" w:rsidRPr="00E60DD4" w:rsidRDefault="00E60DD4" w:rsidP="00E60DD4">
            <w:pPr>
              <w:jc w:val="center"/>
              <w:rPr>
                <w:rFonts w:ascii="Arial" w:hAnsi="Arial" w:cs="Arial"/>
                <w:color w:val="000000"/>
                <w:u w:val="single"/>
                <w:lang w:val="en-GB"/>
              </w:rPr>
            </w:pPr>
          </w:p>
        </w:tc>
        <w:tc>
          <w:tcPr>
            <w:tcW w:w="1417" w:type="dxa"/>
          </w:tcPr>
          <w:p w14:paraId="067F58CE"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674,599</w:t>
            </w:r>
          </w:p>
        </w:tc>
        <w:tc>
          <w:tcPr>
            <w:tcW w:w="851" w:type="dxa"/>
          </w:tcPr>
          <w:p w14:paraId="5E7E8225" w14:textId="77777777" w:rsidR="00E60DD4" w:rsidRPr="00E60DD4" w:rsidRDefault="00E60DD4" w:rsidP="00E60DD4">
            <w:pPr>
              <w:jc w:val="center"/>
              <w:rPr>
                <w:rFonts w:ascii="Arial" w:hAnsi="Arial" w:cs="Arial"/>
                <w:color w:val="000000"/>
                <w:u w:val="single"/>
                <w:lang w:val="en-GB"/>
              </w:rPr>
            </w:pPr>
          </w:p>
        </w:tc>
      </w:tr>
      <w:tr w:rsidR="00E60DD4" w:rsidRPr="00E60DD4" w14:paraId="2953955A" w14:textId="77777777" w:rsidTr="00E60DD4">
        <w:trPr>
          <w:trHeight w:val="308"/>
        </w:trPr>
        <w:tc>
          <w:tcPr>
            <w:tcW w:w="3823" w:type="dxa"/>
            <w:noWrap/>
          </w:tcPr>
          <w:p w14:paraId="41011F9B"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Miscellaneous*</w:t>
            </w:r>
          </w:p>
        </w:tc>
        <w:tc>
          <w:tcPr>
            <w:tcW w:w="1417" w:type="dxa"/>
            <w:noWrap/>
          </w:tcPr>
          <w:p w14:paraId="6326490F" w14:textId="77777777" w:rsidR="00E60DD4" w:rsidRPr="00E60DD4" w:rsidRDefault="00E60DD4" w:rsidP="00E60DD4">
            <w:pPr>
              <w:tabs>
                <w:tab w:val="left" w:pos="30"/>
                <w:tab w:val="right" w:pos="1200"/>
              </w:tabs>
              <w:rPr>
                <w:rFonts w:ascii="Arial" w:hAnsi="Arial" w:cs="Arial"/>
                <w:color w:val="000000"/>
                <w:u w:val="single"/>
                <w:lang w:val="en-GB" w:eastAsia="en-CA"/>
              </w:rPr>
            </w:pPr>
            <w:r w:rsidRPr="00E60DD4">
              <w:rPr>
                <w:rFonts w:ascii="Arial" w:hAnsi="Arial" w:cs="Arial"/>
                <w:color w:val="000000"/>
                <w:u w:val="single"/>
                <w:lang w:val="en-GB" w:eastAsia="en-CA"/>
              </w:rPr>
              <w:tab/>
              <w:t>$</w:t>
            </w:r>
            <w:r w:rsidRPr="00E60DD4">
              <w:rPr>
                <w:rFonts w:ascii="Arial" w:hAnsi="Arial" w:cs="Arial"/>
                <w:color w:val="000000"/>
                <w:u w:val="single"/>
                <w:lang w:val="en-GB" w:eastAsia="en-CA"/>
              </w:rPr>
              <w:tab/>
              <w:t>376,880</w:t>
            </w:r>
          </w:p>
        </w:tc>
        <w:tc>
          <w:tcPr>
            <w:tcW w:w="851" w:type="dxa"/>
          </w:tcPr>
          <w:p w14:paraId="4ECDB6CA" w14:textId="77777777" w:rsidR="00E60DD4" w:rsidRPr="00E60DD4" w:rsidRDefault="00E60DD4" w:rsidP="00E60DD4">
            <w:pPr>
              <w:jc w:val="center"/>
              <w:rPr>
                <w:rFonts w:ascii="Arial" w:hAnsi="Arial" w:cs="Arial"/>
                <w:color w:val="000000"/>
                <w:u w:val="single"/>
                <w:lang w:val="en-GB"/>
              </w:rPr>
            </w:pPr>
          </w:p>
        </w:tc>
        <w:tc>
          <w:tcPr>
            <w:tcW w:w="1417" w:type="dxa"/>
          </w:tcPr>
          <w:p w14:paraId="44EA4444" w14:textId="77777777" w:rsidR="00E60DD4" w:rsidRPr="00E60DD4" w:rsidRDefault="00E60DD4" w:rsidP="00E60DD4">
            <w:pPr>
              <w:tabs>
                <w:tab w:val="left" w:pos="90"/>
                <w:tab w:val="right" w:pos="1200"/>
              </w:tabs>
              <w:rPr>
                <w:rFonts w:ascii="Arial" w:hAnsi="Arial" w:cs="Arial"/>
                <w:color w:val="000000"/>
                <w:u w:val="single"/>
                <w:lang w:val="en-GB"/>
              </w:rPr>
            </w:pPr>
            <w:r w:rsidRPr="00E60DD4">
              <w:rPr>
                <w:rFonts w:ascii="Arial" w:hAnsi="Arial" w:cs="Arial"/>
                <w:color w:val="000000"/>
                <w:u w:val="single"/>
                <w:lang w:val="en-GB"/>
              </w:rPr>
              <w:tab/>
              <w:t>$</w:t>
            </w:r>
            <w:r w:rsidRPr="00E60DD4">
              <w:rPr>
                <w:rFonts w:ascii="Arial" w:hAnsi="Arial" w:cs="Arial"/>
                <w:color w:val="000000"/>
                <w:u w:val="single"/>
                <w:lang w:val="en-GB"/>
              </w:rPr>
              <w:tab/>
              <w:t>456,413</w:t>
            </w:r>
          </w:p>
        </w:tc>
        <w:tc>
          <w:tcPr>
            <w:tcW w:w="851" w:type="dxa"/>
          </w:tcPr>
          <w:p w14:paraId="6A49B938" w14:textId="77777777" w:rsidR="00E60DD4" w:rsidRPr="00E60DD4" w:rsidRDefault="00E60DD4" w:rsidP="00E60DD4">
            <w:pPr>
              <w:jc w:val="center"/>
              <w:rPr>
                <w:rFonts w:ascii="Arial" w:hAnsi="Arial" w:cs="Arial"/>
                <w:color w:val="000000"/>
                <w:u w:val="single"/>
                <w:lang w:val="en-GB"/>
              </w:rPr>
            </w:pPr>
          </w:p>
        </w:tc>
      </w:tr>
      <w:tr w:rsidR="00E60DD4" w:rsidRPr="00E60DD4" w14:paraId="0AF0BE45" w14:textId="77777777" w:rsidTr="00E60DD4">
        <w:trPr>
          <w:trHeight w:val="308"/>
        </w:trPr>
        <w:tc>
          <w:tcPr>
            <w:tcW w:w="3823" w:type="dxa"/>
            <w:noWrap/>
            <w:hideMark/>
          </w:tcPr>
          <w:p w14:paraId="069568C7" w14:textId="77777777" w:rsidR="00E60DD4" w:rsidRPr="00E60DD4" w:rsidRDefault="00E60DD4" w:rsidP="00E60DD4">
            <w:pPr>
              <w:rPr>
                <w:rFonts w:ascii="Arial" w:hAnsi="Arial" w:cs="Arial"/>
                <w:b/>
                <w:bCs/>
                <w:color w:val="000000"/>
                <w:lang w:val="en-GB" w:eastAsia="en-CA"/>
              </w:rPr>
            </w:pPr>
            <w:r w:rsidRPr="00E60DD4">
              <w:rPr>
                <w:rFonts w:ascii="Arial" w:hAnsi="Arial" w:cs="Arial"/>
                <w:b/>
                <w:bCs/>
                <w:color w:val="000000"/>
                <w:lang w:val="en-GB" w:eastAsia="en-CA"/>
              </w:rPr>
              <w:t xml:space="preserve">  Total Revenue</w:t>
            </w:r>
          </w:p>
        </w:tc>
        <w:tc>
          <w:tcPr>
            <w:tcW w:w="1417" w:type="dxa"/>
            <w:noWrap/>
            <w:hideMark/>
          </w:tcPr>
          <w:p w14:paraId="2CE14DEC" w14:textId="65A903BD" w:rsidR="00E60DD4" w:rsidRPr="00E60DD4" w:rsidRDefault="00E60DD4" w:rsidP="00E60DD4">
            <w:pPr>
              <w:tabs>
                <w:tab w:val="left" w:pos="30"/>
                <w:tab w:val="right" w:pos="1200"/>
              </w:tabs>
              <w:rPr>
                <w:rFonts w:ascii="Arial" w:hAnsi="Arial" w:cs="Arial"/>
                <w:b/>
                <w:bCs/>
                <w:color w:val="000000"/>
                <w:lang w:val="en-GB" w:eastAsia="en-CA"/>
              </w:rPr>
            </w:pPr>
            <w:r w:rsidRPr="00E60DD4">
              <w:rPr>
                <w:rFonts w:ascii="Arial" w:hAnsi="Arial" w:cs="Arial"/>
                <w:b/>
                <w:bCs/>
                <w:color w:val="000000"/>
                <w:lang w:val="en-GB" w:eastAsia="en-CA"/>
              </w:rPr>
              <w:tab/>
              <w:t>$</w:t>
            </w:r>
            <w:r w:rsidRPr="00E60DD4">
              <w:rPr>
                <w:rFonts w:ascii="Arial" w:hAnsi="Arial" w:cs="Arial"/>
                <w:b/>
                <w:bCs/>
                <w:color w:val="000000"/>
                <w:lang w:val="en-GB" w:eastAsia="en-CA"/>
              </w:rPr>
              <w:tab/>
              <w:t>6,672,37</w:t>
            </w:r>
            <w:r w:rsidR="00E879A4">
              <w:rPr>
                <w:rFonts w:ascii="Arial" w:hAnsi="Arial" w:cs="Arial"/>
                <w:b/>
                <w:bCs/>
                <w:color w:val="000000"/>
                <w:lang w:val="en-GB" w:eastAsia="en-CA"/>
              </w:rPr>
              <w:t>8</w:t>
            </w:r>
          </w:p>
        </w:tc>
        <w:tc>
          <w:tcPr>
            <w:tcW w:w="851" w:type="dxa"/>
          </w:tcPr>
          <w:p w14:paraId="5A770FFA"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100%</w:t>
            </w:r>
          </w:p>
        </w:tc>
        <w:tc>
          <w:tcPr>
            <w:tcW w:w="1417" w:type="dxa"/>
          </w:tcPr>
          <w:p w14:paraId="24ACE155" w14:textId="77777777" w:rsidR="00E60DD4" w:rsidRPr="00E60DD4" w:rsidRDefault="00E60DD4" w:rsidP="00E60DD4">
            <w:pPr>
              <w:tabs>
                <w:tab w:val="left" w:pos="90"/>
                <w:tab w:val="right" w:pos="1200"/>
              </w:tabs>
              <w:rPr>
                <w:rFonts w:ascii="Arial" w:hAnsi="Arial" w:cs="Arial"/>
                <w:b/>
                <w:color w:val="000000"/>
                <w:lang w:val="en-GB"/>
              </w:rPr>
            </w:pPr>
            <w:r w:rsidRPr="00E60DD4">
              <w:rPr>
                <w:rFonts w:ascii="Arial" w:hAnsi="Arial" w:cs="Arial"/>
                <w:b/>
                <w:color w:val="000000"/>
                <w:lang w:val="en-GB"/>
              </w:rPr>
              <w:tab/>
              <w:t>$</w:t>
            </w:r>
            <w:r w:rsidRPr="00E60DD4">
              <w:rPr>
                <w:rFonts w:ascii="Arial" w:hAnsi="Arial" w:cs="Arial"/>
                <w:b/>
                <w:color w:val="000000"/>
                <w:lang w:val="en-GB"/>
              </w:rPr>
              <w:tab/>
              <w:t>6,710,377</w:t>
            </w:r>
          </w:p>
        </w:tc>
        <w:tc>
          <w:tcPr>
            <w:tcW w:w="851" w:type="dxa"/>
          </w:tcPr>
          <w:p w14:paraId="174D48D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100%</w:t>
            </w:r>
          </w:p>
        </w:tc>
      </w:tr>
      <w:tr w:rsidR="00E60DD4" w:rsidRPr="00E60DD4" w14:paraId="703CE1A6" w14:textId="77777777" w:rsidTr="00E60DD4">
        <w:trPr>
          <w:trHeight w:val="144"/>
        </w:trPr>
        <w:tc>
          <w:tcPr>
            <w:tcW w:w="3823" w:type="dxa"/>
            <w:noWrap/>
          </w:tcPr>
          <w:p w14:paraId="50C02632" w14:textId="77777777" w:rsidR="00E60DD4" w:rsidRPr="00E60DD4" w:rsidRDefault="00E60DD4" w:rsidP="00E60DD4">
            <w:pPr>
              <w:rPr>
                <w:rFonts w:ascii="Arial" w:hAnsi="Arial" w:cs="Arial"/>
                <w:color w:val="000000"/>
                <w:lang w:val="en-GB" w:eastAsia="en-CA"/>
              </w:rPr>
            </w:pPr>
          </w:p>
        </w:tc>
        <w:tc>
          <w:tcPr>
            <w:tcW w:w="1417" w:type="dxa"/>
            <w:noWrap/>
          </w:tcPr>
          <w:p w14:paraId="768630CA"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150AB36A" w14:textId="77777777" w:rsidR="00E60DD4" w:rsidRPr="00E60DD4" w:rsidRDefault="00E60DD4" w:rsidP="00E60DD4">
            <w:pPr>
              <w:jc w:val="center"/>
              <w:rPr>
                <w:rFonts w:ascii="Arial" w:hAnsi="Arial" w:cs="Arial"/>
                <w:color w:val="000000"/>
                <w:lang w:val="en-GB"/>
              </w:rPr>
            </w:pPr>
          </w:p>
        </w:tc>
        <w:tc>
          <w:tcPr>
            <w:tcW w:w="1417" w:type="dxa"/>
            <w:vAlign w:val="bottom"/>
          </w:tcPr>
          <w:p w14:paraId="5691B0EA"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2E3CDED2" w14:textId="77777777" w:rsidR="00E60DD4" w:rsidRPr="00E60DD4" w:rsidRDefault="00E60DD4" w:rsidP="00E60DD4">
            <w:pPr>
              <w:jc w:val="center"/>
              <w:rPr>
                <w:rFonts w:ascii="Arial" w:hAnsi="Arial" w:cs="Arial"/>
                <w:color w:val="000000"/>
                <w:lang w:val="en-GB"/>
              </w:rPr>
            </w:pPr>
          </w:p>
        </w:tc>
      </w:tr>
      <w:tr w:rsidR="00E60DD4" w:rsidRPr="00E60DD4" w14:paraId="2435E522" w14:textId="77777777" w:rsidTr="00E60DD4">
        <w:trPr>
          <w:trHeight w:val="306"/>
        </w:trPr>
        <w:tc>
          <w:tcPr>
            <w:tcW w:w="3823" w:type="dxa"/>
            <w:noWrap/>
          </w:tcPr>
          <w:p w14:paraId="6AA98275" w14:textId="77777777" w:rsidR="00E60DD4" w:rsidRPr="00E60DD4" w:rsidRDefault="00E60DD4" w:rsidP="00E60DD4">
            <w:pPr>
              <w:rPr>
                <w:rFonts w:ascii="Arial" w:hAnsi="Arial" w:cs="Arial"/>
                <w:color w:val="000000"/>
                <w:lang w:val="en-GB" w:eastAsia="en-CA"/>
              </w:rPr>
            </w:pPr>
            <w:r w:rsidRPr="00E60DD4">
              <w:rPr>
                <w:rFonts w:ascii="Arial" w:hAnsi="Arial" w:cs="Arial"/>
                <w:b/>
                <w:color w:val="000000"/>
                <w:lang w:val="en-GB" w:eastAsia="en-CA"/>
              </w:rPr>
              <w:t xml:space="preserve">  </w:t>
            </w:r>
            <w:r w:rsidRPr="00E60DD4">
              <w:rPr>
                <w:rFonts w:ascii="Arial" w:hAnsi="Arial" w:cs="Arial"/>
                <w:color w:val="000000"/>
                <w:lang w:val="en-GB" w:eastAsia="en-CA"/>
              </w:rPr>
              <w:t>Cost of Goods &amp; Services Sold**</w:t>
            </w:r>
          </w:p>
        </w:tc>
        <w:tc>
          <w:tcPr>
            <w:tcW w:w="1417" w:type="dxa"/>
            <w:noWrap/>
          </w:tcPr>
          <w:p w14:paraId="03FEA497" w14:textId="77777777" w:rsidR="00E60DD4" w:rsidRPr="00E60DD4" w:rsidRDefault="00E60DD4" w:rsidP="00E60DD4">
            <w:pPr>
              <w:tabs>
                <w:tab w:val="left" w:pos="30"/>
                <w:tab w:val="right" w:pos="1200"/>
              </w:tabs>
              <w:rPr>
                <w:rFonts w:ascii="Arial" w:hAnsi="Arial" w:cs="Arial"/>
                <w:color w:val="000000"/>
                <w:u w:val="single"/>
                <w:lang w:val="en-GB" w:eastAsia="en-CA"/>
              </w:rPr>
            </w:pPr>
            <w:r w:rsidRPr="00E60DD4">
              <w:rPr>
                <w:rFonts w:ascii="Arial" w:hAnsi="Arial" w:cs="Arial"/>
                <w:color w:val="000000"/>
                <w:u w:val="single"/>
                <w:lang w:val="en-GB" w:eastAsia="en-CA"/>
              </w:rPr>
              <w:tab/>
              <w:t>$</w:t>
            </w:r>
            <w:r w:rsidRPr="00E60DD4">
              <w:rPr>
                <w:rFonts w:ascii="Arial" w:hAnsi="Arial" w:cs="Arial"/>
                <w:color w:val="000000"/>
                <w:u w:val="single"/>
                <w:lang w:val="en-GB" w:eastAsia="en-CA"/>
              </w:rPr>
              <w:tab/>
              <w:t>1,475,602</w:t>
            </w:r>
          </w:p>
        </w:tc>
        <w:tc>
          <w:tcPr>
            <w:tcW w:w="851" w:type="dxa"/>
          </w:tcPr>
          <w:p w14:paraId="5AFCDF6A"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22.1%</w:t>
            </w:r>
          </w:p>
        </w:tc>
        <w:tc>
          <w:tcPr>
            <w:tcW w:w="1417" w:type="dxa"/>
          </w:tcPr>
          <w:p w14:paraId="3213C5F1" w14:textId="77777777" w:rsidR="00E60DD4" w:rsidRPr="00E60DD4" w:rsidRDefault="00E60DD4" w:rsidP="00E60DD4">
            <w:pPr>
              <w:tabs>
                <w:tab w:val="left" w:pos="90"/>
                <w:tab w:val="right" w:pos="1200"/>
              </w:tabs>
              <w:rPr>
                <w:rFonts w:ascii="Arial" w:hAnsi="Arial" w:cs="Arial"/>
                <w:color w:val="000000"/>
                <w:u w:val="single"/>
                <w:lang w:val="en-GB"/>
              </w:rPr>
            </w:pPr>
            <w:r w:rsidRPr="00E60DD4">
              <w:rPr>
                <w:rFonts w:ascii="Arial" w:hAnsi="Arial" w:cs="Arial"/>
                <w:color w:val="000000"/>
                <w:u w:val="single"/>
                <w:lang w:val="en-GB"/>
              </w:rPr>
              <w:tab/>
              <w:t>$</w:t>
            </w:r>
            <w:r w:rsidRPr="00E60DD4">
              <w:rPr>
                <w:rFonts w:ascii="Arial" w:hAnsi="Arial" w:cs="Arial"/>
                <w:color w:val="000000"/>
                <w:u w:val="single"/>
                <w:lang w:val="en-GB"/>
              </w:rPr>
              <w:tab/>
              <w:t>1,492,529</w:t>
            </w:r>
          </w:p>
        </w:tc>
        <w:tc>
          <w:tcPr>
            <w:tcW w:w="851" w:type="dxa"/>
          </w:tcPr>
          <w:p w14:paraId="3B9D7FA0"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22.2%</w:t>
            </w:r>
          </w:p>
        </w:tc>
      </w:tr>
      <w:tr w:rsidR="00E60DD4" w:rsidRPr="00E60DD4" w14:paraId="42C9319B" w14:textId="77777777" w:rsidTr="00E60DD4">
        <w:trPr>
          <w:trHeight w:val="306"/>
        </w:trPr>
        <w:tc>
          <w:tcPr>
            <w:tcW w:w="3823" w:type="dxa"/>
            <w:noWrap/>
          </w:tcPr>
          <w:p w14:paraId="42A4122F" w14:textId="77777777" w:rsidR="00E60DD4" w:rsidRPr="00E60DD4" w:rsidRDefault="00E60DD4" w:rsidP="00E60DD4">
            <w:pPr>
              <w:rPr>
                <w:rFonts w:ascii="Arial" w:hAnsi="Arial" w:cs="Arial"/>
                <w:b/>
                <w:color w:val="000000"/>
                <w:lang w:val="en-GB" w:eastAsia="en-CA"/>
              </w:rPr>
            </w:pPr>
          </w:p>
        </w:tc>
        <w:tc>
          <w:tcPr>
            <w:tcW w:w="1417" w:type="dxa"/>
            <w:noWrap/>
          </w:tcPr>
          <w:p w14:paraId="2B5A5DD5"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44CE762A" w14:textId="77777777" w:rsidR="00E60DD4" w:rsidRPr="00E60DD4" w:rsidRDefault="00E60DD4" w:rsidP="00E60DD4">
            <w:pPr>
              <w:jc w:val="center"/>
              <w:rPr>
                <w:rFonts w:ascii="Arial" w:hAnsi="Arial" w:cs="Arial"/>
                <w:color w:val="000000"/>
                <w:lang w:val="en-GB"/>
              </w:rPr>
            </w:pPr>
          </w:p>
        </w:tc>
        <w:tc>
          <w:tcPr>
            <w:tcW w:w="1417" w:type="dxa"/>
            <w:vAlign w:val="bottom"/>
          </w:tcPr>
          <w:p w14:paraId="3F981588"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487EC7F1" w14:textId="77777777" w:rsidR="00E60DD4" w:rsidRPr="00E60DD4" w:rsidRDefault="00E60DD4" w:rsidP="00E60DD4">
            <w:pPr>
              <w:jc w:val="center"/>
              <w:rPr>
                <w:rFonts w:ascii="Arial" w:hAnsi="Arial" w:cs="Arial"/>
                <w:color w:val="000000"/>
                <w:lang w:val="en-GB"/>
              </w:rPr>
            </w:pPr>
          </w:p>
        </w:tc>
      </w:tr>
      <w:tr w:rsidR="00E60DD4" w:rsidRPr="00E60DD4" w14:paraId="3337A16A" w14:textId="77777777" w:rsidTr="00E60DD4">
        <w:trPr>
          <w:trHeight w:val="306"/>
        </w:trPr>
        <w:tc>
          <w:tcPr>
            <w:tcW w:w="3823" w:type="dxa"/>
            <w:noWrap/>
          </w:tcPr>
          <w:p w14:paraId="3B80E4F8" w14:textId="77777777" w:rsidR="00E60DD4" w:rsidRPr="00E60DD4" w:rsidRDefault="00E60DD4" w:rsidP="00E60DD4">
            <w:pPr>
              <w:rPr>
                <w:rFonts w:ascii="Arial" w:hAnsi="Arial" w:cs="Arial"/>
                <w:b/>
                <w:color w:val="000000"/>
                <w:lang w:val="en-GB" w:eastAsia="en-CA"/>
              </w:rPr>
            </w:pPr>
            <w:r w:rsidRPr="00E60DD4">
              <w:rPr>
                <w:rFonts w:ascii="Arial" w:hAnsi="Arial" w:cs="Arial"/>
                <w:b/>
                <w:color w:val="000000"/>
                <w:lang w:val="en-GB" w:eastAsia="en-CA"/>
              </w:rPr>
              <w:t xml:space="preserve">  Gross Profit</w:t>
            </w:r>
          </w:p>
        </w:tc>
        <w:tc>
          <w:tcPr>
            <w:tcW w:w="1417" w:type="dxa"/>
            <w:noWrap/>
          </w:tcPr>
          <w:p w14:paraId="5ADCD9E1" w14:textId="710AB7AC" w:rsidR="00E60DD4" w:rsidRPr="00E60DD4" w:rsidRDefault="00E60DD4" w:rsidP="00E60DD4">
            <w:pPr>
              <w:tabs>
                <w:tab w:val="left" w:pos="30"/>
                <w:tab w:val="right" w:pos="1200"/>
              </w:tabs>
              <w:rPr>
                <w:rFonts w:ascii="Arial" w:hAnsi="Arial" w:cs="Arial"/>
                <w:b/>
                <w:color w:val="000000"/>
                <w:lang w:val="en-GB" w:eastAsia="en-CA"/>
              </w:rPr>
            </w:pPr>
            <w:r w:rsidRPr="00E60DD4">
              <w:rPr>
                <w:rFonts w:ascii="Arial" w:hAnsi="Arial" w:cs="Arial"/>
                <w:b/>
                <w:color w:val="000000"/>
                <w:lang w:val="en-GB" w:eastAsia="en-CA"/>
              </w:rPr>
              <w:tab/>
              <w:t>$</w:t>
            </w:r>
            <w:r w:rsidRPr="00E60DD4">
              <w:rPr>
                <w:rFonts w:ascii="Arial" w:hAnsi="Arial" w:cs="Arial"/>
                <w:b/>
                <w:color w:val="000000"/>
                <w:lang w:val="en-GB" w:eastAsia="en-CA"/>
              </w:rPr>
              <w:tab/>
              <w:t>5,196,77</w:t>
            </w:r>
            <w:r w:rsidR="00E879A4">
              <w:rPr>
                <w:rFonts w:ascii="Arial" w:hAnsi="Arial" w:cs="Arial"/>
                <w:b/>
                <w:color w:val="000000"/>
                <w:lang w:val="en-GB" w:eastAsia="en-CA"/>
              </w:rPr>
              <w:t>6</w:t>
            </w:r>
          </w:p>
        </w:tc>
        <w:tc>
          <w:tcPr>
            <w:tcW w:w="851" w:type="dxa"/>
          </w:tcPr>
          <w:p w14:paraId="659F7A22"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77.9%</w:t>
            </w:r>
          </w:p>
        </w:tc>
        <w:tc>
          <w:tcPr>
            <w:tcW w:w="1417" w:type="dxa"/>
          </w:tcPr>
          <w:p w14:paraId="321D4BAF" w14:textId="77777777" w:rsidR="00E60DD4" w:rsidRPr="00E60DD4" w:rsidRDefault="00E60DD4" w:rsidP="00E60DD4">
            <w:pPr>
              <w:tabs>
                <w:tab w:val="left" w:pos="90"/>
                <w:tab w:val="right" w:pos="1200"/>
              </w:tabs>
              <w:rPr>
                <w:rFonts w:ascii="Arial" w:hAnsi="Arial" w:cs="Arial"/>
                <w:b/>
                <w:color w:val="000000"/>
                <w:lang w:val="en-GB"/>
              </w:rPr>
            </w:pPr>
            <w:r w:rsidRPr="00E60DD4">
              <w:rPr>
                <w:rFonts w:ascii="Arial" w:hAnsi="Arial" w:cs="Arial"/>
                <w:b/>
                <w:color w:val="000000"/>
                <w:lang w:val="en-GB"/>
              </w:rPr>
              <w:tab/>
              <w:t>$</w:t>
            </w:r>
            <w:r w:rsidRPr="00E60DD4">
              <w:rPr>
                <w:rFonts w:ascii="Arial" w:hAnsi="Arial" w:cs="Arial"/>
                <w:b/>
                <w:color w:val="000000"/>
                <w:lang w:val="en-GB"/>
              </w:rPr>
              <w:tab/>
              <w:t>5,217,848</w:t>
            </w:r>
          </w:p>
        </w:tc>
        <w:tc>
          <w:tcPr>
            <w:tcW w:w="851" w:type="dxa"/>
          </w:tcPr>
          <w:p w14:paraId="28ED508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77.8%</w:t>
            </w:r>
          </w:p>
        </w:tc>
      </w:tr>
      <w:tr w:rsidR="00E60DD4" w:rsidRPr="00E60DD4" w14:paraId="4F9B133A" w14:textId="77777777" w:rsidTr="00E60DD4">
        <w:trPr>
          <w:trHeight w:val="306"/>
        </w:trPr>
        <w:tc>
          <w:tcPr>
            <w:tcW w:w="3823" w:type="dxa"/>
            <w:noWrap/>
            <w:hideMark/>
          </w:tcPr>
          <w:p w14:paraId="78382CD5" w14:textId="77777777" w:rsidR="00E60DD4" w:rsidRPr="00E60DD4" w:rsidRDefault="00E60DD4" w:rsidP="00E60DD4">
            <w:pPr>
              <w:rPr>
                <w:rFonts w:ascii="Arial" w:hAnsi="Arial" w:cs="Arial"/>
                <w:color w:val="000000"/>
                <w:lang w:val="en-GB" w:eastAsia="en-CA"/>
              </w:rPr>
            </w:pPr>
          </w:p>
        </w:tc>
        <w:tc>
          <w:tcPr>
            <w:tcW w:w="1417" w:type="dxa"/>
            <w:noWrap/>
            <w:hideMark/>
          </w:tcPr>
          <w:p w14:paraId="1E1CD29B"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52C83516" w14:textId="77777777" w:rsidR="00E60DD4" w:rsidRPr="00E60DD4" w:rsidRDefault="00E60DD4" w:rsidP="00E60DD4">
            <w:pPr>
              <w:jc w:val="center"/>
              <w:rPr>
                <w:rFonts w:ascii="Arial" w:hAnsi="Arial" w:cs="Arial"/>
                <w:color w:val="000000"/>
                <w:lang w:val="en-GB"/>
              </w:rPr>
            </w:pPr>
          </w:p>
        </w:tc>
        <w:tc>
          <w:tcPr>
            <w:tcW w:w="1417" w:type="dxa"/>
          </w:tcPr>
          <w:p w14:paraId="65A97058"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3047DAA1" w14:textId="77777777" w:rsidR="00E60DD4" w:rsidRPr="00E60DD4" w:rsidRDefault="00E60DD4" w:rsidP="00E60DD4">
            <w:pPr>
              <w:jc w:val="center"/>
              <w:rPr>
                <w:rFonts w:ascii="Arial" w:hAnsi="Arial" w:cs="Arial"/>
                <w:color w:val="000000"/>
                <w:lang w:val="en-GB"/>
              </w:rPr>
            </w:pPr>
          </w:p>
        </w:tc>
      </w:tr>
      <w:tr w:rsidR="00E60DD4" w:rsidRPr="00E60DD4" w14:paraId="6D7B28C7" w14:textId="77777777" w:rsidTr="00E60DD4">
        <w:trPr>
          <w:trHeight w:val="306"/>
        </w:trPr>
        <w:tc>
          <w:tcPr>
            <w:tcW w:w="3823" w:type="dxa"/>
            <w:noWrap/>
            <w:hideMark/>
          </w:tcPr>
          <w:p w14:paraId="0B3D6F84" w14:textId="77777777" w:rsidR="00E60DD4" w:rsidRPr="00E60DD4" w:rsidRDefault="00E60DD4" w:rsidP="00E60DD4">
            <w:pPr>
              <w:rPr>
                <w:rFonts w:ascii="Arial" w:hAnsi="Arial" w:cs="Arial"/>
                <w:b/>
                <w:color w:val="000000"/>
                <w:lang w:val="en-GB" w:eastAsia="en-CA"/>
              </w:rPr>
            </w:pPr>
            <w:r w:rsidRPr="00E60DD4">
              <w:rPr>
                <w:rFonts w:ascii="Arial" w:hAnsi="Arial" w:cs="Arial"/>
                <w:b/>
                <w:color w:val="000000"/>
                <w:lang w:val="en-GB" w:eastAsia="en-CA"/>
              </w:rPr>
              <w:t xml:space="preserve">  Expenses</w:t>
            </w:r>
          </w:p>
        </w:tc>
        <w:tc>
          <w:tcPr>
            <w:tcW w:w="1417" w:type="dxa"/>
            <w:noWrap/>
            <w:hideMark/>
          </w:tcPr>
          <w:p w14:paraId="4EEBCD74"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4735C550" w14:textId="77777777" w:rsidR="00E60DD4" w:rsidRPr="00E60DD4" w:rsidRDefault="00E60DD4" w:rsidP="00E60DD4">
            <w:pPr>
              <w:jc w:val="center"/>
              <w:rPr>
                <w:rFonts w:ascii="Arial" w:hAnsi="Arial" w:cs="Arial"/>
                <w:color w:val="000000"/>
                <w:lang w:val="en-GB"/>
              </w:rPr>
            </w:pPr>
          </w:p>
        </w:tc>
        <w:tc>
          <w:tcPr>
            <w:tcW w:w="1417" w:type="dxa"/>
          </w:tcPr>
          <w:p w14:paraId="74DF76A9"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3BD8211D" w14:textId="77777777" w:rsidR="00E60DD4" w:rsidRPr="00E60DD4" w:rsidRDefault="00E60DD4" w:rsidP="00E60DD4">
            <w:pPr>
              <w:jc w:val="center"/>
              <w:rPr>
                <w:rFonts w:ascii="Arial" w:hAnsi="Arial" w:cs="Arial"/>
                <w:color w:val="000000"/>
                <w:lang w:val="en-GB"/>
              </w:rPr>
            </w:pPr>
          </w:p>
        </w:tc>
      </w:tr>
      <w:tr w:rsidR="00E60DD4" w:rsidRPr="00E60DD4" w14:paraId="41169B07" w14:textId="77777777" w:rsidTr="00E60DD4">
        <w:trPr>
          <w:trHeight w:val="308"/>
        </w:trPr>
        <w:tc>
          <w:tcPr>
            <w:tcW w:w="3823" w:type="dxa"/>
            <w:noWrap/>
            <w:hideMark/>
          </w:tcPr>
          <w:p w14:paraId="28D852EE"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Advertising</w:t>
            </w:r>
          </w:p>
        </w:tc>
        <w:tc>
          <w:tcPr>
            <w:tcW w:w="1417" w:type="dxa"/>
            <w:noWrap/>
            <w:hideMark/>
          </w:tcPr>
          <w:p w14:paraId="0DF238E0"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t>$</w:t>
            </w:r>
            <w:r w:rsidRPr="00E60DD4">
              <w:rPr>
                <w:rFonts w:ascii="Arial" w:hAnsi="Arial" w:cs="Arial"/>
                <w:color w:val="000000"/>
                <w:lang w:val="en-GB" w:eastAsia="en-CA"/>
              </w:rPr>
              <w:tab/>
              <w:t>96,494</w:t>
            </w:r>
          </w:p>
        </w:tc>
        <w:tc>
          <w:tcPr>
            <w:tcW w:w="851" w:type="dxa"/>
          </w:tcPr>
          <w:p w14:paraId="207C96A2" w14:textId="77777777" w:rsidR="00E60DD4" w:rsidRPr="00E60DD4" w:rsidRDefault="00E60DD4" w:rsidP="00E60DD4">
            <w:pPr>
              <w:jc w:val="center"/>
              <w:rPr>
                <w:rFonts w:ascii="Arial" w:hAnsi="Arial" w:cs="Arial"/>
                <w:color w:val="000000"/>
                <w:lang w:val="en-GB" w:eastAsia="en-CA"/>
              </w:rPr>
            </w:pPr>
            <w:r w:rsidRPr="00E60DD4">
              <w:rPr>
                <w:rFonts w:ascii="Arial" w:hAnsi="Arial" w:cs="Arial"/>
                <w:color w:val="000000"/>
                <w:lang w:val="en-GB"/>
              </w:rPr>
              <w:t>1.4%</w:t>
            </w:r>
          </w:p>
        </w:tc>
        <w:tc>
          <w:tcPr>
            <w:tcW w:w="1417" w:type="dxa"/>
          </w:tcPr>
          <w:p w14:paraId="66AB9399"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t>$</w:t>
            </w:r>
            <w:r w:rsidRPr="00E60DD4">
              <w:rPr>
                <w:rFonts w:ascii="Arial" w:hAnsi="Arial" w:cs="Arial"/>
                <w:color w:val="000000"/>
                <w:lang w:val="en-GB"/>
              </w:rPr>
              <w:tab/>
              <w:t>117,821</w:t>
            </w:r>
          </w:p>
        </w:tc>
        <w:tc>
          <w:tcPr>
            <w:tcW w:w="851" w:type="dxa"/>
          </w:tcPr>
          <w:p w14:paraId="5F4A511C" w14:textId="77777777" w:rsidR="00E60DD4" w:rsidRPr="00E60DD4" w:rsidRDefault="00E60DD4" w:rsidP="00E60DD4">
            <w:pPr>
              <w:jc w:val="center"/>
              <w:rPr>
                <w:rFonts w:ascii="Arial" w:hAnsi="Arial" w:cs="Arial"/>
                <w:color w:val="000000"/>
                <w:lang w:val="en-GB" w:eastAsia="en-CA"/>
              </w:rPr>
            </w:pPr>
            <w:r w:rsidRPr="00E60DD4">
              <w:rPr>
                <w:rFonts w:ascii="Arial" w:hAnsi="Arial" w:cs="Arial"/>
                <w:color w:val="000000"/>
                <w:lang w:val="en-GB"/>
              </w:rPr>
              <w:t>1.8%</w:t>
            </w:r>
          </w:p>
        </w:tc>
      </w:tr>
      <w:tr w:rsidR="00E60DD4" w:rsidRPr="00E60DD4" w14:paraId="52B30FA9" w14:textId="77777777" w:rsidTr="00E60DD4">
        <w:trPr>
          <w:trHeight w:val="308"/>
        </w:trPr>
        <w:tc>
          <w:tcPr>
            <w:tcW w:w="3823" w:type="dxa"/>
            <w:noWrap/>
            <w:hideMark/>
          </w:tcPr>
          <w:p w14:paraId="1B463F0D"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Amortization &amp; Depreciation</w:t>
            </w:r>
          </w:p>
        </w:tc>
        <w:tc>
          <w:tcPr>
            <w:tcW w:w="1417" w:type="dxa"/>
            <w:noWrap/>
            <w:hideMark/>
          </w:tcPr>
          <w:p w14:paraId="70ED9196"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415,286</w:t>
            </w:r>
          </w:p>
        </w:tc>
        <w:tc>
          <w:tcPr>
            <w:tcW w:w="851" w:type="dxa"/>
          </w:tcPr>
          <w:p w14:paraId="64F72CB6"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6.2%</w:t>
            </w:r>
          </w:p>
        </w:tc>
        <w:tc>
          <w:tcPr>
            <w:tcW w:w="1417" w:type="dxa"/>
          </w:tcPr>
          <w:p w14:paraId="797B40AB"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411,174</w:t>
            </w:r>
          </w:p>
        </w:tc>
        <w:tc>
          <w:tcPr>
            <w:tcW w:w="851" w:type="dxa"/>
          </w:tcPr>
          <w:p w14:paraId="086CD84F"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6.1%</w:t>
            </w:r>
          </w:p>
        </w:tc>
      </w:tr>
      <w:tr w:rsidR="00E60DD4" w:rsidRPr="00E60DD4" w14:paraId="390AEA71" w14:textId="77777777" w:rsidTr="00E60DD4">
        <w:trPr>
          <w:trHeight w:val="308"/>
        </w:trPr>
        <w:tc>
          <w:tcPr>
            <w:tcW w:w="3823" w:type="dxa"/>
            <w:noWrap/>
          </w:tcPr>
          <w:p w14:paraId="3A6CB2BE"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Credit Card Processing Fees</w:t>
            </w:r>
          </w:p>
        </w:tc>
        <w:tc>
          <w:tcPr>
            <w:tcW w:w="1417" w:type="dxa"/>
            <w:noWrap/>
          </w:tcPr>
          <w:p w14:paraId="7711EF86"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152,109</w:t>
            </w:r>
          </w:p>
        </w:tc>
        <w:tc>
          <w:tcPr>
            <w:tcW w:w="851" w:type="dxa"/>
          </w:tcPr>
          <w:p w14:paraId="061ED2F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2.3%</w:t>
            </w:r>
          </w:p>
        </w:tc>
        <w:tc>
          <w:tcPr>
            <w:tcW w:w="1417" w:type="dxa"/>
          </w:tcPr>
          <w:p w14:paraId="67909EDA"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175,855</w:t>
            </w:r>
          </w:p>
        </w:tc>
        <w:tc>
          <w:tcPr>
            <w:tcW w:w="851" w:type="dxa"/>
          </w:tcPr>
          <w:p w14:paraId="322B0FD3"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2.6%</w:t>
            </w:r>
          </w:p>
        </w:tc>
      </w:tr>
      <w:tr w:rsidR="00E60DD4" w:rsidRPr="00E60DD4" w14:paraId="25DA3598" w14:textId="77777777" w:rsidTr="00E60DD4">
        <w:trPr>
          <w:trHeight w:val="308"/>
        </w:trPr>
        <w:tc>
          <w:tcPr>
            <w:tcW w:w="3823" w:type="dxa"/>
            <w:noWrap/>
            <w:hideMark/>
          </w:tcPr>
          <w:p w14:paraId="72D0D441"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Insurance</w:t>
            </w:r>
          </w:p>
        </w:tc>
        <w:tc>
          <w:tcPr>
            <w:tcW w:w="1417" w:type="dxa"/>
            <w:noWrap/>
            <w:hideMark/>
          </w:tcPr>
          <w:p w14:paraId="506BAE55"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31,697</w:t>
            </w:r>
          </w:p>
        </w:tc>
        <w:tc>
          <w:tcPr>
            <w:tcW w:w="851" w:type="dxa"/>
          </w:tcPr>
          <w:p w14:paraId="4E0BE24C"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0.5%</w:t>
            </w:r>
          </w:p>
        </w:tc>
        <w:tc>
          <w:tcPr>
            <w:tcW w:w="1417" w:type="dxa"/>
          </w:tcPr>
          <w:p w14:paraId="38F55B45"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31,039</w:t>
            </w:r>
          </w:p>
        </w:tc>
        <w:tc>
          <w:tcPr>
            <w:tcW w:w="851" w:type="dxa"/>
          </w:tcPr>
          <w:p w14:paraId="37BB41D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0.5%</w:t>
            </w:r>
          </w:p>
        </w:tc>
      </w:tr>
      <w:tr w:rsidR="00E60DD4" w:rsidRPr="00E60DD4" w14:paraId="709C936F" w14:textId="77777777" w:rsidTr="00E60DD4">
        <w:trPr>
          <w:trHeight w:val="308"/>
        </w:trPr>
        <w:tc>
          <w:tcPr>
            <w:tcW w:w="3823" w:type="dxa"/>
            <w:noWrap/>
            <w:hideMark/>
          </w:tcPr>
          <w:p w14:paraId="3F46C330"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Interest</w:t>
            </w:r>
          </w:p>
        </w:tc>
        <w:tc>
          <w:tcPr>
            <w:tcW w:w="1417" w:type="dxa"/>
            <w:noWrap/>
            <w:hideMark/>
          </w:tcPr>
          <w:p w14:paraId="18BAE068"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20,270</w:t>
            </w:r>
          </w:p>
        </w:tc>
        <w:tc>
          <w:tcPr>
            <w:tcW w:w="851" w:type="dxa"/>
          </w:tcPr>
          <w:p w14:paraId="543FB2B2"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0.3%</w:t>
            </w:r>
          </w:p>
        </w:tc>
        <w:tc>
          <w:tcPr>
            <w:tcW w:w="1417" w:type="dxa"/>
          </w:tcPr>
          <w:p w14:paraId="2AB74A5B"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20,812</w:t>
            </w:r>
          </w:p>
        </w:tc>
        <w:tc>
          <w:tcPr>
            <w:tcW w:w="851" w:type="dxa"/>
          </w:tcPr>
          <w:p w14:paraId="54AC49E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0.3%</w:t>
            </w:r>
          </w:p>
        </w:tc>
      </w:tr>
      <w:tr w:rsidR="00E60DD4" w:rsidRPr="00E60DD4" w14:paraId="33D8A52D" w14:textId="77777777" w:rsidTr="00E60DD4">
        <w:trPr>
          <w:trHeight w:val="308"/>
        </w:trPr>
        <w:tc>
          <w:tcPr>
            <w:tcW w:w="3823" w:type="dxa"/>
            <w:noWrap/>
            <w:hideMark/>
          </w:tcPr>
          <w:p w14:paraId="41D10C13"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Labour</w:t>
            </w:r>
          </w:p>
        </w:tc>
        <w:tc>
          <w:tcPr>
            <w:tcW w:w="1417" w:type="dxa"/>
            <w:noWrap/>
            <w:hideMark/>
          </w:tcPr>
          <w:p w14:paraId="0BC90D65"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2,219,740</w:t>
            </w:r>
          </w:p>
        </w:tc>
        <w:tc>
          <w:tcPr>
            <w:tcW w:w="851" w:type="dxa"/>
          </w:tcPr>
          <w:p w14:paraId="3B13A306"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33.3%</w:t>
            </w:r>
          </w:p>
        </w:tc>
        <w:tc>
          <w:tcPr>
            <w:tcW w:w="1417" w:type="dxa"/>
          </w:tcPr>
          <w:p w14:paraId="7B61F405"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2,185,009</w:t>
            </w:r>
          </w:p>
        </w:tc>
        <w:tc>
          <w:tcPr>
            <w:tcW w:w="851" w:type="dxa"/>
          </w:tcPr>
          <w:p w14:paraId="77DB51A8"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32.6%</w:t>
            </w:r>
          </w:p>
        </w:tc>
      </w:tr>
      <w:tr w:rsidR="00E60DD4" w:rsidRPr="00E60DD4" w14:paraId="24B2B190" w14:textId="77777777" w:rsidTr="00E60DD4">
        <w:trPr>
          <w:trHeight w:val="308"/>
        </w:trPr>
        <w:tc>
          <w:tcPr>
            <w:tcW w:w="3823" w:type="dxa"/>
            <w:noWrap/>
            <w:hideMark/>
          </w:tcPr>
          <w:p w14:paraId="19456EAA"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Maintenance</w:t>
            </w:r>
          </w:p>
        </w:tc>
        <w:tc>
          <w:tcPr>
            <w:tcW w:w="1417" w:type="dxa"/>
            <w:noWrap/>
            <w:hideMark/>
          </w:tcPr>
          <w:p w14:paraId="17B335E5"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199,854</w:t>
            </w:r>
          </w:p>
        </w:tc>
        <w:tc>
          <w:tcPr>
            <w:tcW w:w="851" w:type="dxa"/>
          </w:tcPr>
          <w:p w14:paraId="51274644"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3.0%</w:t>
            </w:r>
          </w:p>
        </w:tc>
        <w:tc>
          <w:tcPr>
            <w:tcW w:w="1417" w:type="dxa"/>
          </w:tcPr>
          <w:p w14:paraId="6ABF81C2"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195,893</w:t>
            </w:r>
          </w:p>
        </w:tc>
        <w:tc>
          <w:tcPr>
            <w:tcW w:w="851" w:type="dxa"/>
          </w:tcPr>
          <w:p w14:paraId="4FE1CE43"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2.9%</w:t>
            </w:r>
          </w:p>
        </w:tc>
      </w:tr>
      <w:tr w:rsidR="00E60DD4" w:rsidRPr="00E60DD4" w14:paraId="102044FA" w14:textId="77777777" w:rsidTr="00E60DD4">
        <w:trPr>
          <w:trHeight w:val="308"/>
        </w:trPr>
        <w:tc>
          <w:tcPr>
            <w:tcW w:w="3823" w:type="dxa"/>
            <w:noWrap/>
            <w:hideMark/>
          </w:tcPr>
          <w:p w14:paraId="7652B741"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Miscellaneous</w:t>
            </w:r>
          </w:p>
        </w:tc>
        <w:tc>
          <w:tcPr>
            <w:tcW w:w="1417" w:type="dxa"/>
            <w:noWrap/>
            <w:hideMark/>
          </w:tcPr>
          <w:p w14:paraId="5E4D1F90"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159,948</w:t>
            </w:r>
          </w:p>
        </w:tc>
        <w:tc>
          <w:tcPr>
            <w:tcW w:w="851" w:type="dxa"/>
          </w:tcPr>
          <w:p w14:paraId="4FC0C72E"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2.4%</w:t>
            </w:r>
          </w:p>
        </w:tc>
        <w:tc>
          <w:tcPr>
            <w:tcW w:w="1417" w:type="dxa"/>
          </w:tcPr>
          <w:p w14:paraId="31A610D2"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144,327</w:t>
            </w:r>
          </w:p>
        </w:tc>
        <w:tc>
          <w:tcPr>
            <w:tcW w:w="851" w:type="dxa"/>
          </w:tcPr>
          <w:p w14:paraId="4AE00B59"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2.2%</w:t>
            </w:r>
          </w:p>
        </w:tc>
      </w:tr>
      <w:tr w:rsidR="00E60DD4" w:rsidRPr="00E60DD4" w14:paraId="5FBDD07D" w14:textId="77777777" w:rsidTr="00E60DD4">
        <w:trPr>
          <w:trHeight w:val="308"/>
        </w:trPr>
        <w:tc>
          <w:tcPr>
            <w:tcW w:w="3823" w:type="dxa"/>
            <w:noWrap/>
            <w:hideMark/>
          </w:tcPr>
          <w:p w14:paraId="4102F706"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Office &amp; Supplies</w:t>
            </w:r>
          </w:p>
        </w:tc>
        <w:tc>
          <w:tcPr>
            <w:tcW w:w="1417" w:type="dxa"/>
            <w:noWrap/>
            <w:hideMark/>
          </w:tcPr>
          <w:p w14:paraId="29CB709B"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217,929</w:t>
            </w:r>
          </w:p>
        </w:tc>
        <w:tc>
          <w:tcPr>
            <w:tcW w:w="851" w:type="dxa"/>
          </w:tcPr>
          <w:p w14:paraId="7CABB276"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3.3%</w:t>
            </w:r>
          </w:p>
        </w:tc>
        <w:tc>
          <w:tcPr>
            <w:tcW w:w="1417" w:type="dxa"/>
          </w:tcPr>
          <w:p w14:paraId="61EA55FF"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222,269</w:t>
            </w:r>
          </w:p>
        </w:tc>
        <w:tc>
          <w:tcPr>
            <w:tcW w:w="851" w:type="dxa"/>
          </w:tcPr>
          <w:p w14:paraId="75F1FE83"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3.3%</w:t>
            </w:r>
          </w:p>
        </w:tc>
      </w:tr>
      <w:tr w:rsidR="00E60DD4" w:rsidRPr="00E60DD4" w14:paraId="7BF52B08" w14:textId="77777777" w:rsidTr="00E60DD4">
        <w:trPr>
          <w:trHeight w:val="308"/>
        </w:trPr>
        <w:tc>
          <w:tcPr>
            <w:tcW w:w="3823" w:type="dxa"/>
            <w:noWrap/>
            <w:hideMark/>
          </w:tcPr>
          <w:p w14:paraId="0FF430A4"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Property Taxes</w:t>
            </w:r>
          </w:p>
        </w:tc>
        <w:tc>
          <w:tcPr>
            <w:tcW w:w="1417" w:type="dxa"/>
            <w:noWrap/>
            <w:hideMark/>
          </w:tcPr>
          <w:p w14:paraId="25FAC644"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343,054</w:t>
            </w:r>
          </w:p>
        </w:tc>
        <w:tc>
          <w:tcPr>
            <w:tcW w:w="851" w:type="dxa"/>
          </w:tcPr>
          <w:p w14:paraId="2094EB82"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5.1%</w:t>
            </w:r>
          </w:p>
        </w:tc>
        <w:tc>
          <w:tcPr>
            <w:tcW w:w="1417" w:type="dxa"/>
          </w:tcPr>
          <w:p w14:paraId="0C1B94AD"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339,658</w:t>
            </w:r>
          </w:p>
        </w:tc>
        <w:tc>
          <w:tcPr>
            <w:tcW w:w="851" w:type="dxa"/>
          </w:tcPr>
          <w:p w14:paraId="1923580A"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5.1%</w:t>
            </w:r>
          </w:p>
        </w:tc>
      </w:tr>
      <w:tr w:rsidR="00E60DD4" w:rsidRPr="00E60DD4" w14:paraId="3AE31532" w14:textId="77777777" w:rsidTr="00E60DD4">
        <w:trPr>
          <w:trHeight w:val="308"/>
        </w:trPr>
        <w:tc>
          <w:tcPr>
            <w:tcW w:w="3823" w:type="dxa"/>
            <w:noWrap/>
            <w:hideMark/>
          </w:tcPr>
          <w:p w14:paraId="0780C2FA"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Rent</w:t>
            </w:r>
          </w:p>
        </w:tc>
        <w:tc>
          <w:tcPr>
            <w:tcW w:w="1417" w:type="dxa"/>
            <w:noWrap/>
            <w:hideMark/>
          </w:tcPr>
          <w:p w14:paraId="71C4A80A"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340,311</w:t>
            </w:r>
          </w:p>
        </w:tc>
        <w:tc>
          <w:tcPr>
            <w:tcW w:w="851" w:type="dxa"/>
          </w:tcPr>
          <w:p w14:paraId="206F82D1"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5.1%</w:t>
            </w:r>
          </w:p>
        </w:tc>
        <w:tc>
          <w:tcPr>
            <w:tcW w:w="1417" w:type="dxa"/>
          </w:tcPr>
          <w:p w14:paraId="70FA5714"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325,021</w:t>
            </w:r>
          </w:p>
        </w:tc>
        <w:tc>
          <w:tcPr>
            <w:tcW w:w="851" w:type="dxa"/>
          </w:tcPr>
          <w:p w14:paraId="4EEB7B39"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4.8%</w:t>
            </w:r>
          </w:p>
        </w:tc>
      </w:tr>
      <w:tr w:rsidR="00E60DD4" w:rsidRPr="00E60DD4" w14:paraId="3AD8ACB0" w14:textId="77777777" w:rsidTr="00E60DD4">
        <w:trPr>
          <w:trHeight w:val="308"/>
        </w:trPr>
        <w:tc>
          <w:tcPr>
            <w:tcW w:w="3823" w:type="dxa"/>
            <w:noWrap/>
            <w:hideMark/>
          </w:tcPr>
          <w:p w14:paraId="34B0F0B0"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Services</w:t>
            </w:r>
          </w:p>
        </w:tc>
        <w:tc>
          <w:tcPr>
            <w:tcW w:w="1417" w:type="dxa"/>
            <w:noWrap/>
            <w:hideMark/>
          </w:tcPr>
          <w:p w14:paraId="030E5B65"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450,113</w:t>
            </w:r>
          </w:p>
        </w:tc>
        <w:tc>
          <w:tcPr>
            <w:tcW w:w="851" w:type="dxa"/>
          </w:tcPr>
          <w:p w14:paraId="58D4E1C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6.7%</w:t>
            </w:r>
          </w:p>
        </w:tc>
        <w:tc>
          <w:tcPr>
            <w:tcW w:w="1417" w:type="dxa"/>
          </w:tcPr>
          <w:p w14:paraId="79E71A1D"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439,849</w:t>
            </w:r>
          </w:p>
        </w:tc>
        <w:tc>
          <w:tcPr>
            <w:tcW w:w="851" w:type="dxa"/>
          </w:tcPr>
          <w:p w14:paraId="31E1B48F"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6.6%</w:t>
            </w:r>
          </w:p>
        </w:tc>
      </w:tr>
      <w:tr w:rsidR="00E60DD4" w:rsidRPr="00E60DD4" w14:paraId="737DD0C5" w14:textId="77777777" w:rsidTr="00E60DD4">
        <w:trPr>
          <w:trHeight w:val="308"/>
        </w:trPr>
        <w:tc>
          <w:tcPr>
            <w:tcW w:w="3823" w:type="dxa"/>
            <w:noWrap/>
            <w:hideMark/>
          </w:tcPr>
          <w:p w14:paraId="2565B481"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Telephone</w:t>
            </w:r>
          </w:p>
        </w:tc>
        <w:tc>
          <w:tcPr>
            <w:tcW w:w="1417" w:type="dxa"/>
            <w:noWrap/>
            <w:hideMark/>
          </w:tcPr>
          <w:p w14:paraId="49CA872A" w14:textId="77777777" w:rsidR="00E60DD4" w:rsidRPr="00E60DD4" w:rsidRDefault="00E60DD4" w:rsidP="00E60DD4">
            <w:pPr>
              <w:tabs>
                <w:tab w:val="left" w:pos="30"/>
                <w:tab w:val="right" w:pos="1200"/>
              </w:tabs>
              <w:rPr>
                <w:rFonts w:ascii="Arial" w:hAnsi="Arial" w:cs="Arial"/>
                <w:color w:val="000000"/>
                <w:lang w:val="en-GB" w:eastAsia="en-CA"/>
              </w:rPr>
            </w:pPr>
            <w:r w:rsidRPr="00E60DD4">
              <w:rPr>
                <w:rFonts w:ascii="Arial" w:hAnsi="Arial" w:cs="Arial"/>
                <w:color w:val="000000"/>
                <w:lang w:val="en-GB" w:eastAsia="en-CA"/>
              </w:rPr>
              <w:tab/>
            </w:r>
            <w:r w:rsidRPr="00E60DD4">
              <w:rPr>
                <w:rFonts w:ascii="Arial" w:hAnsi="Arial" w:cs="Arial"/>
                <w:color w:val="000000"/>
                <w:lang w:val="en-GB" w:eastAsia="en-CA"/>
              </w:rPr>
              <w:tab/>
              <w:t>14,521</w:t>
            </w:r>
          </w:p>
        </w:tc>
        <w:tc>
          <w:tcPr>
            <w:tcW w:w="851" w:type="dxa"/>
          </w:tcPr>
          <w:p w14:paraId="79B028FA"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0.2%</w:t>
            </w:r>
          </w:p>
        </w:tc>
        <w:tc>
          <w:tcPr>
            <w:tcW w:w="1417" w:type="dxa"/>
          </w:tcPr>
          <w:p w14:paraId="7620ED09" w14:textId="77777777" w:rsidR="00E60DD4" w:rsidRPr="00E60DD4" w:rsidRDefault="00E60DD4" w:rsidP="00E60DD4">
            <w:pPr>
              <w:tabs>
                <w:tab w:val="left" w:pos="90"/>
                <w:tab w:val="right" w:pos="1200"/>
              </w:tabs>
              <w:rPr>
                <w:rFonts w:ascii="Arial" w:hAnsi="Arial" w:cs="Arial"/>
                <w:color w:val="000000"/>
                <w:lang w:val="en-GB"/>
              </w:rPr>
            </w:pPr>
            <w:r w:rsidRPr="00E60DD4">
              <w:rPr>
                <w:rFonts w:ascii="Arial" w:hAnsi="Arial" w:cs="Arial"/>
                <w:color w:val="000000"/>
                <w:lang w:val="en-GB"/>
              </w:rPr>
              <w:tab/>
            </w:r>
            <w:r w:rsidRPr="00E60DD4">
              <w:rPr>
                <w:rFonts w:ascii="Arial" w:hAnsi="Arial" w:cs="Arial"/>
                <w:color w:val="000000"/>
                <w:lang w:val="en-GB"/>
              </w:rPr>
              <w:tab/>
              <w:t>15,050</w:t>
            </w:r>
          </w:p>
        </w:tc>
        <w:tc>
          <w:tcPr>
            <w:tcW w:w="851" w:type="dxa"/>
          </w:tcPr>
          <w:p w14:paraId="683279F6"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0.2%</w:t>
            </w:r>
          </w:p>
        </w:tc>
      </w:tr>
      <w:tr w:rsidR="00E60DD4" w:rsidRPr="00E60DD4" w14:paraId="621E14AA" w14:textId="77777777" w:rsidTr="00E60DD4">
        <w:trPr>
          <w:trHeight w:val="308"/>
        </w:trPr>
        <w:tc>
          <w:tcPr>
            <w:tcW w:w="3823" w:type="dxa"/>
            <w:noWrap/>
            <w:hideMark/>
          </w:tcPr>
          <w:p w14:paraId="3CBEFFD1" w14:textId="77777777" w:rsidR="00E60DD4" w:rsidRPr="00E60DD4" w:rsidRDefault="00E60DD4" w:rsidP="00E60DD4">
            <w:pPr>
              <w:ind w:left="720"/>
              <w:rPr>
                <w:rFonts w:ascii="Arial" w:hAnsi="Arial" w:cs="Arial"/>
                <w:color w:val="000000"/>
                <w:lang w:val="en-GB" w:eastAsia="en-CA"/>
              </w:rPr>
            </w:pPr>
            <w:r w:rsidRPr="00E60DD4">
              <w:rPr>
                <w:rFonts w:ascii="Arial" w:hAnsi="Arial" w:cs="Arial"/>
                <w:color w:val="000000"/>
                <w:lang w:val="en-GB" w:eastAsia="en-CA"/>
              </w:rPr>
              <w:t>Utilities</w:t>
            </w:r>
          </w:p>
        </w:tc>
        <w:tc>
          <w:tcPr>
            <w:tcW w:w="1417" w:type="dxa"/>
            <w:noWrap/>
            <w:hideMark/>
          </w:tcPr>
          <w:p w14:paraId="0668BE22" w14:textId="77777777" w:rsidR="00E60DD4" w:rsidRPr="00E60DD4" w:rsidRDefault="00E60DD4" w:rsidP="00E60DD4">
            <w:pPr>
              <w:tabs>
                <w:tab w:val="left" w:pos="30"/>
                <w:tab w:val="right" w:pos="1200"/>
              </w:tabs>
              <w:rPr>
                <w:rFonts w:ascii="Arial" w:hAnsi="Arial" w:cs="Arial"/>
                <w:color w:val="000000"/>
                <w:u w:val="single"/>
                <w:lang w:val="en-GB" w:eastAsia="en-CA"/>
              </w:rPr>
            </w:pPr>
            <w:r w:rsidRPr="00E60DD4">
              <w:rPr>
                <w:rFonts w:ascii="Arial" w:hAnsi="Arial" w:cs="Arial"/>
                <w:color w:val="000000"/>
                <w:u w:val="single"/>
                <w:lang w:val="en-GB" w:eastAsia="en-CA"/>
              </w:rPr>
              <w:tab/>
              <w:t>$</w:t>
            </w:r>
            <w:r w:rsidRPr="00E60DD4">
              <w:rPr>
                <w:rFonts w:ascii="Arial" w:hAnsi="Arial" w:cs="Arial"/>
                <w:color w:val="000000"/>
                <w:u w:val="single"/>
                <w:lang w:val="en-GB" w:eastAsia="en-CA"/>
              </w:rPr>
              <w:tab/>
              <w:t>310,969</w:t>
            </w:r>
          </w:p>
        </w:tc>
        <w:tc>
          <w:tcPr>
            <w:tcW w:w="851" w:type="dxa"/>
          </w:tcPr>
          <w:p w14:paraId="7B52E395"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4.7%</w:t>
            </w:r>
          </w:p>
        </w:tc>
        <w:tc>
          <w:tcPr>
            <w:tcW w:w="1417" w:type="dxa"/>
          </w:tcPr>
          <w:p w14:paraId="35F1C50A" w14:textId="77777777" w:rsidR="00E60DD4" w:rsidRPr="00E60DD4" w:rsidRDefault="00E60DD4" w:rsidP="00E60DD4">
            <w:pPr>
              <w:tabs>
                <w:tab w:val="left" w:pos="90"/>
                <w:tab w:val="right" w:pos="1200"/>
              </w:tabs>
              <w:rPr>
                <w:rFonts w:ascii="Arial" w:hAnsi="Arial" w:cs="Arial"/>
                <w:color w:val="000000"/>
                <w:u w:val="single"/>
                <w:lang w:val="en-GB"/>
              </w:rPr>
            </w:pPr>
            <w:r w:rsidRPr="00E60DD4">
              <w:rPr>
                <w:rFonts w:ascii="Arial" w:hAnsi="Arial" w:cs="Arial"/>
                <w:color w:val="000000"/>
                <w:u w:val="single"/>
                <w:lang w:val="en-GB"/>
              </w:rPr>
              <w:tab/>
              <w:t>$</w:t>
            </w:r>
            <w:r w:rsidRPr="00E60DD4">
              <w:rPr>
                <w:rFonts w:ascii="Arial" w:hAnsi="Arial" w:cs="Arial"/>
                <w:color w:val="000000"/>
                <w:u w:val="single"/>
                <w:lang w:val="en-GB"/>
              </w:rPr>
              <w:tab/>
              <w:t>298,466</w:t>
            </w:r>
          </w:p>
        </w:tc>
        <w:tc>
          <w:tcPr>
            <w:tcW w:w="851" w:type="dxa"/>
          </w:tcPr>
          <w:p w14:paraId="1720D87E"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4.4%</w:t>
            </w:r>
          </w:p>
        </w:tc>
      </w:tr>
      <w:tr w:rsidR="00E60DD4" w:rsidRPr="00E60DD4" w14:paraId="26CCA2CA" w14:textId="77777777" w:rsidTr="00E60DD4">
        <w:trPr>
          <w:trHeight w:val="308"/>
        </w:trPr>
        <w:tc>
          <w:tcPr>
            <w:tcW w:w="3823" w:type="dxa"/>
            <w:noWrap/>
            <w:hideMark/>
          </w:tcPr>
          <w:p w14:paraId="370BB51F" w14:textId="77777777" w:rsidR="00E60DD4" w:rsidRPr="00E60DD4" w:rsidRDefault="00E60DD4" w:rsidP="00E60DD4">
            <w:pPr>
              <w:rPr>
                <w:rFonts w:ascii="Arial" w:hAnsi="Arial" w:cs="Arial"/>
                <w:b/>
                <w:bCs/>
                <w:color w:val="000000"/>
                <w:lang w:val="en-GB" w:eastAsia="en-CA"/>
              </w:rPr>
            </w:pPr>
            <w:r w:rsidRPr="00E60DD4">
              <w:rPr>
                <w:rFonts w:ascii="Arial" w:hAnsi="Arial" w:cs="Arial"/>
                <w:b/>
                <w:bCs/>
                <w:color w:val="000000"/>
                <w:lang w:val="en-GB" w:eastAsia="en-CA"/>
              </w:rPr>
              <w:t xml:space="preserve">  Total Expenses</w:t>
            </w:r>
          </w:p>
        </w:tc>
        <w:tc>
          <w:tcPr>
            <w:tcW w:w="1417" w:type="dxa"/>
            <w:noWrap/>
            <w:hideMark/>
          </w:tcPr>
          <w:p w14:paraId="5730274C" w14:textId="68CD60A8" w:rsidR="00E60DD4" w:rsidRPr="00E60DD4" w:rsidRDefault="00E60DD4" w:rsidP="00E60DD4">
            <w:pPr>
              <w:tabs>
                <w:tab w:val="left" w:pos="30"/>
                <w:tab w:val="right" w:pos="1200"/>
              </w:tabs>
              <w:rPr>
                <w:rFonts w:ascii="Arial" w:hAnsi="Arial" w:cs="Arial"/>
                <w:b/>
                <w:bCs/>
                <w:color w:val="000000"/>
                <w:lang w:val="en-GB" w:eastAsia="en-CA"/>
              </w:rPr>
            </w:pPr>
            <w:r w:rsidRPr="00E60DD4">
              <w:rPr>
                <w:rFonts w:ascii="Arial" w:hAnsi="Arial" w:cs="Arial"/>
                <w:b/>
                <w:bCs/>
                <w:color w:val="000000"/>
                <w:lang w:val="en-GB" w:eastAsia="en-CA"/>
              </w:rPr>
              <w:tab/>
              <w:t>$</w:t>
            </w:r>
            <w:r w:rsidRPr="00E60DD4">
              <w:rPr>
                <w:rFonts w:ascii="Arial" w:hAnsi="Arial" w:cs="Arial"/>
                <w:b/>
                <w:bCs/>
                <w:color w:val="000000"/>
                <w:lang w:val="en-GB" w:eastAsia="en-CA"/>
              </w:rPr>
              <w:tab/>
              <w:t>4,972,29</w:t>
            </w:r>
            <w:r w:rsidR="00E879A4">
              <w:rPr>
                <w:rFonts w:ascii="Arial" w:hAnsi="Arial" w:cs="Arial"/>
                <w:b/>
                <w:bCs/>
                <w:color w:val="000000"/>
                <w:lang w:val="en-GB" w:eastAsia="en-CA"/>
              </w:rPr>
              <w:t>5</w:t>
            </w:r>
          </w:p>
        </w:tc>
        <w:tc>
          <w:tcPr>
            <w:tcW w:w="851" w:type="dxa"/>
          </w:tcPr>
          <w:p w14:paraId="6D6081EC" w14:textId="77777777" w:rsidR="00E60DD4" w:rsidRPr="00E60DD4" w:rsidRDefault="00E60DD4" w:rsidP="00E60DD4">
            <w:pPr>
              <w:jc w:val="center"/>
              <w:rPr>
                <w:rFonts w:ascii="Arial" w:hAnsi="Arial" w:cs="Arial"/>
                <w:bCs/>
                <w:color w:val="000000"/>
                <w:lang w:val="en-GB"/>
              </w:rPr>
            </w:pPr>
            <w:r w:rsidRPr="00E60DD4">
              <w:rPr>
                <w:rFonts w:ascii="Arial" w:hAnsi="Arial" w:cs="Arial"/>
                <w:bCs/>
                <w:color w:val="000000"/>
                <w:lang w:val="en-GB"/>
              </w:rPr>
              <w:t>74.5%</w:t>
            </w:r>
          </w:p>
        </w:tc>
        <w:tc>
          <w:tcPr>
            <w:tcW w:w="1417" w:type="dxa"/>
          </w:tcPr>
          <w:p w14:paraId="2A65297B" w14:textId="61FC9A3E" w:rsidR="00E60DD4" w:rsidRPr="00E60DD4" w:rsidRDefault="00E60DD4" w:rsidP="00E60DD4">
            <w:pPr>
              <w:tabs>
                <w:tab w:val="left" w:pos="90"/>
                <w:tab w:val="right" w:pos="1200"/>
              </w:tabs>
              <w:rPr>
                <w:rFonts w:ascii="Arial" w:hAnsi="Arial" w:cs="Arial"/>
                <w:b/>
                <w:bCs/>
                <w:color w:val="000000"/>
                <w:lang w:val="en-GB"/>
              </w:rPr>
            </w:pPr>
            <w:r w:rsidRPr="00E60DD4">
              <w:rPr>
                <w:rFonts w:ascii="Arial" w:hAnsi="Arial" w:cs="Arial"/>
                <w:b/>
                <w:bCs/>
                <w:color w:val="000000"/>
                <w:lang w:val="en-GB"/>
              </w:rPr>
              <w:tab/>
              <w:t>$</w:t>
            </w:r>
            <w:r w:rsidRPr="00E60DD4">
              <w:rPr>
                <w:rFonts w:ascii="Arial" w:hAnsi="Arial" w:cs="Arial"/>
                <w:b/>
                <w:bCs/>
                <w:color w:val="000000"/>
                <w:lang w:val="en-GB"/>
              </w:rPr>
              <w:tab/>
              <w:t>4,922,24</w:t>
            </w:r>
            <w:r w:rsidR="00E879A4">
              <w:rPr>
                <w:rFonts w:ascii="Arial" w:hAnsi="Arial" w:cs="Arial"/>
                <w:b/>
                <w:bCs/>
                <w:color w:val="000000"/>
                <w:lang w:val="en-GB"/>
              </w:rPr>
              <w:t>3</w:t>
            </w:r>
          </w:p>
        </w:tc>
        <w:tc>
          <w:tcPr>
            <w:tcW w:w="851" w:type="dxa"/>
          </w:tcPr>
          <w:p w14:paraId="05F518FF"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73.4%</w:t>
            </w:r>
          </w:p>
        </w:tc>
      </w:tr>
      <w:tr w:rsidR="00E60DD4" w:rsidRPr="00E60DD4" w14:paraId="62522E77" w14:textId="77777777" w:rsidTr="00E60DD4">
        <w:trPr>
          <w:trHeight w:val="144"/>
        </w:trPr>
        <w:tc>
          <w:tcPr>
            <w:tcW w:w="3823" w:type="dxa"/>
            <w:noWrap/>
            <w:hideMark/>
          </w:tcPr>
          <w:p w14:paraId="138DE30C" w14:textId="77777777" w:rsidR="00E60DD4" w:rsidRPr="00E60DD4" w:rsidRDefault="00E60DD4" w:rsidP="00E60DD4">
            <w:pPr>
              <w:rPr>
                <w:rFonts w:ascii="Arial" w:hAnsi="Arial" w:cs="Arial"/>
                <w:color w:val="000000"/>
                <w:lang w:val="en-GB" w:eastAsia="en-CA"/>
              </w:rPr>
            </w:pPr>
          </w:p>
        </w:tc>
        <w:tc>
          <w:tcPr>
            <w:tcW w:w="1417" w:type="dxa"/>
            <w:noWrap/>
            <w:hideMark/>
          </w:tcPr>
          <w:p w14:paraId="454BF7A9"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0E68DFFF" w14:textId="77777777" w:rsidR="00E60DD4" w:rsidRPr="00E60DD4" w:rsidRDefault="00E60DD4" w:rsidP="00E60DD4">
            <w:pPr>
              <w:jc w:val="center"/>
              <w:rPr>
                <w:rFonts w:ascii="Arial" w:hAnsi="Arial" w:cs="Arial"/>
                <w:color w:val="000000"/>
                <w:lang w:val="en-GB"/>
              </w:rPr>
            </w:pPr>
          </w:p>
        </w:tc>
        <w:tc>
          <w:tcPr>
            <w:tcW w:w="1417" w:type="dxa"/>
          </w:tcPr>
          <w:p w14:paraId="6865E5B1"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2829B003" w14:textId="77777777" w:rsidR="00E60DD4" w:rsidRPr="00E60DD4" w:rsidRDefault="00E60DD4" w:rsidP="00E60DD4">
            <w:pPr>
              <w:jc w:val="center"/>
              <w:rPr>
                <w:rFonts w:ascii="Arial" w:hAnsi="Arial" w:cs="Arial"/>
                <w:color w:val="000000"/>
                <w:lang w:val="en-GB"/>
              </w:rPr>
            </w:pPr>
          </w:p>
        </w:tc>
      </w:tr>
      <w:tr w:rsidR="00E60DD4" w:rsidRPr="00E60DD4" w14:paraId="1C5D7DAE" w14:textId="77777777" w:rsidTr="00E60DD4">
        <w:trPr>
          <w:trHeight w:val="251"/>
        </w:trPr>
        <w:tc>
          <w:tcPr>
            <w:tcW w:w="3823" w:type="dxa"/>
            <w:noWrap/>
          </w:tcPr>
          <w:p w14:paraId="05CD8119" w14:textId="77777777" w:rsidR="00E60DD4" w:rsidRPr="00E60DD4" w:rsidRDefault="00E60DD4" w:rsidP="00E60DD4">
            <w:pPr>
              <w:rPr>
                <w:rFonts w:ascii="Arial" w:hAnsi="Arial" w:cs="Arial"/>
                <w:b/>
                <w:bCs/>
                <w:color w:val="000000"/>
                <w:lang w:val="en-GB" w:eastAsia="en-CA"/>
              </w:rPr>
            </w:pPr>
            <w:r w:rsidRPr="00E60DD4">
              <w:rPr>
                <w:rFonts w:ascii="Arial" w:hAnsi="Arial" w:cs="Arial"/>
                <w:b/>
                <w:bCs/>
                <w:color w:val="000000"/>
                <w:lang w:val="en-GB" w:eastAsia="en-CA"/>
              </w:rPr>
              <w:t xml:space="preserve">  Net Income Before Tax</w:t>
            </w:r>
          </w:p>
        </w:tc>
        <w:tc>
          <w:tcPr>
            <w:tcW w:w="1417" w:type="dxa"/>
            <w:noWrap/>
          </w:tcPr>
          <w:p w14:paraId="37DE44D8" w14:textId="75172B95" w:rsidR="00E60DD4" w:rsidRPr="00E60DD4" w:rsidRDefault="00E60DD4" w:rsidP="00E60DD4">
            <w:pPr>
              <w:tabs>
                <w:tab w:val="left" w:pos="30"/>
                <w:tab w:val="right" w:pos="1200"/>
              </w:tabs>
              <w:rPr>
                <w:rFonts w:ascii="Arial" w:hAnsi="Arial" w:cs="Arial"/>
                <w:b/>
                <w:bCs/>
                <w:color w:val="000000"/>
                <w:lang w:val="en-GB" w:eastAsia="en-CA"/>
              </w:rPr>
            </w:pPr>
            <w:r w:rsidRPr="00E60DD4">
              <w:rPr>
                <w:rFonts w:ascii="Arial" w:hAnsi="Arial" w:cs="Arial"/>
                <w:b/>
                <w:bCs/>
                <w:color w:val="000000"/>
                <w:lang w:val="en-GB" w:eastAsia="en-CA"/>
              </w:rPr>
              <w:tab/>
              <w:t>$</w:t>
            </w:r>
            <w:r w:rsidRPr="00E60DD4">
              <w:rPr>
                <w:rFonts w:ascii="Arial" w:hAnsi="Arial" w:cs="Arial"/>
                <w:b/>
                <w:bCs/>
                <w:color w:val="000000"/>
                <w:lang w:val="en-GB" w:eastAsia="en-CA"/>
              </w:rPr>
              <w:tab/>
              <w:t>224,4</w:t>
            </w:r>
            <w:r w:rsidR="00E879A4">
              <w:rPr>
                <w:rFonts w:ascii="Arial" w:hAnsi="Arial" w:cs="Arial"/>
                <w:b/>
                <w:bCs/>
                <w:color w:val="000000"/>
                <w:lang w:val="en-GB" w:eastAsia="en-CA"/>
              </w:rPr>
              <w:t>81</w:t>
            </w:r>
          </w:p>
        </w:tc>
        <w:tc>
          <w:tcPr>
            <w:tcW w:w="851" w:type="dxa"/>
          </w:tcPr>
          <w:p w14:paraId="6503E51D" w14:textId="77777777" w:rsidR="00E60DD4" w:rsidRPr="00E60DD4" w:rsidRDefault="00E60DD4" w:rsidP="00E60DD4">
            <w:pPr>
              <w:jc w:val="center"/>
              <w:rPr>
                <w:rFonts w:ascii="Arial" w:hAnsi="Arial" w:cs="Arial"/>
                <w:bCs/>
                <w:color w:val="000000"/>
                <w:lang w:val="en-GB"/>
              </w:rPr>
            </w:pPr>
            <w:r w:rsidRPr="00E60DD4">
              <w:rPr>
                <w:rFonts w:ascii="Arial" w:hAnsi="Arial" w:cs="Arial"/>
                <w:bCs/>
                <w:color w:val="000000"/>
                <w:lang w:val="en-GB"/>
              </w:rPr>
              <w:t>3.4%</w:t>
            </w:r>
          </w:p>
        </w:tc>
        <w:tc>
          <w:tcPr>
            <w:tcW w:w="1417" w:type="dxa"/>
          </w:tcPr>
          <w:p w14:paraId="617970C9" w14:textId="77777777" w:rsidR="00E60DD4" w:rsidRPr="00E60DD4" w:rsidRDefault="00E60DD4" w:rsidP="00E60DD4">
            <w:pPr>
              <w:tabs>
                <w:tab w:val="left" w:pos="90"/>
                <w:tab w:val="right" w:pos="1200"/>
              </w:tabs>
              <w:rPr>
                <w:rFonts w:ascii="Arial" w:hAnsi="Arial" w:cs="Arial"/>
                <w:b/>
                <w:bCs/>
                <w:color w:val="000000"/>
                <w:lang w:val="en-GB"/>
              </w:rPr>
            </w:pPr>
            <w:r w:rsidRPr="00E60DD4">
              <w:rPr>
                <w:rFonts w:ascii="Arial" w:hAnsi="Arial" w:cs="Arial"/>
                <w:b/>
                <w:bCs/>
                <w:color w:val="000000"/>
                <w:lang w:val="en-GB"/>
              </w:rPr>
              <w:tab/>
              <w:t>$</w:t>
            </w:r>
            <w:r w:rsidRPr="00E60DD4">
              <w:rPr>
                <w:rFonts w:ascii="Arial" w:hAnsi="Arial" w:cs="Arial"/>
                <w:b/>
                <w:bCs/>
                <w:color w:val="000000"/>
                <w:lang w:val="en-GB"/>
              </w:rPr>
              <w:tab/>
              <w:t>295,605</w:t>
            </w:r>
          </w:p>
        </w:tc>
        <w:tc>
          <w:tcPr>
            <w:tcW w:w="851" w:type="dxa"/>
          </w:tcPr>
          <w:p w14:paraId="0AE8B467"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4.4%</w:t>
            </w:r>
          </w:p>
        </w:tc>
      </w:tr>
      <w:tr w:rsidR="00E60DD4" w:rsidRPr="00E60DD4" w14:paraId="5C8FF19D" w14:textId="77777777" w:rsidTr="00E60DD4">
        <w:trPr>
          <w:trHeight w:val="144"/>
        </w:trPr>
        <w:tc>
          <w:tcPr>
            <w:tcW w:w="3823" w:type="dxa"/>
            <w:noWrap/>
          </w:tcPr>
          <w:p w14:paraId="49AB40C5" w14:textId="77777777" w:rsidR="00E60DD4" w:rsidRPr="00E60DD4" w:rsidRDefault="00E60DD4" w:rsidP="00E60DD4">
            <w:pPr>
              <w:rPr>
                <w:rFonts w:ascii="Arial" w:hAnsi="Arial" w:cs="Arial"/>
                <w:color w:val="000000"/>
                <w:lang w:val="en-GB" w:eastAsia="en-CA"/>
              </w:rPr>
            </w:pPr>
          </w:p>
        </w:tc>
        <w:tc>
          <w:tcPr>
            <w:tcW w:w="1417" w:type="dxa"/>
            <w:noWrap/>
          </w:tcPr>
          <w:p w14:paraId="49E0A71F"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4A783D22" w14:textId="77777777" w:rsidR="00E60DD4" w:rsidRPr="00E60DD4" w:rsidRDefault="00E60DD4" w:rsidP="00E60DD4">
            <w:pPr>
              <w:jc w:val="center"/>
              <w:rPr>
                <w:rFonts w:ascii="Arial" w:hAnsi="Arial" w:cs="Arial"/>
                <w:color w:val="000000"/>
                <w:lang w:val="en-GB"/>
              </w:rPr>
            </w:pPr>
          </w:p>
        </w:tc>
        <w:tc>
          <w:tcPr>
            <w:tcW w:w="1417" w:type="dxa"/>
          </w:tcPr>
          <w:p w14:paraId="01CE1846"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5A85DD84" w14:textId="77777777" w:rsidR="00E60DD4" w:rsidRPr="00E60DD4" w:rsidRDefault="00E60DD4" w:rsidP="00E60DD4">
            <w:pPr>
              <w:jc w:val="center"/>
              <w:rPr>
                <w:rFonts w:ascii="Arial" w:hAnsi="Arial" w:cs="Arial"/>
                <w:color w:val="000000"/>
                <w:lang w:val="en-GB"/>
              </w:rPr>
            </w:pPr>
          </w:p>
        </w:tc>
      </w:tr>
      <w:tr w:rsidR="00E60DD4" w:rsidRPr="00E60DD4" w14:paraId="771F7066" w14:textId="77777777" w:rsidTr="00E60DD4">
        <w:trPr>
          <w:trHeight w:val="308"/>
        </w:trPr>
        <w:tc>
          <w:tcPr>
            <w:tcW w:w="3823" w:type="dxa"/>
            <w:noWrap/>
            <w:hideMark/>
          </w:tcPr>
          <w:p w14:paraId="1934EAA8" w14:textId="77777777" w:rsidR="00E60DD4" w:rsidRPr="00E60DD4" w:rsidRDefault="00E60DD4" w:rsidP="00E60DD4">
            <w:pPr>
              <w:rPr>
                <w:rFonts w:ascii="Arial" w:hAnsi="Arial" w:cs="Arial"/>
                <w:color w:val="000000"/>
                <w:lang w:val="en-GB" w:eastAsia="en-CA"/>
              </w:rPr>
            </w:pPr>
            <w:r w:rsidRPr="00E60DD4">
              <w:rPr>
                <w:rFonts w:ascii="Arial" w:hAnsi="Arial" w:cs="Arial"/>
                <w:color w:val="000000"/>
                <w:lang w:val="en-GB" w:eastAsia="en-CA"/>
              </w:rPr>
              <w:t xml:space="preserve">       Income Tax</w:t>
            </w:r>
          </w:p>
        </w:tc>
        <w:tc>
          <w:tcPr>
            <w:tcW w:w="1417" w:type="dxa"/>
            <w:noWrap/>
            <w:hideMark/>
          </w:tcPr>
          <w:p w14:paraId="1E1AE19C" w14:textId="77777777" w:rsidR="00E60DD4" w:rsidRPr="00E60DD4" w:rsidRDefault="00E60DD4" w:rsidP="00E60DD4">
            <w:pPr>
              <w:tabs>
                <w:tab w:val="left" w:pos="30"/>
                <w:tab w:val="right" w:pos="1200"/>
              </w:tabs>
              <w:rPr>
                <w:rFonts w:ascii="Arial" w:hAnsi="Arial" w:cs="Arial"/>
                <w:color w:val="000000"/>
                <w:u w:val="single"/>
                <w:lang w:val="en-GB" w:eastAsia="en-CA"/>
              </w:rPr>
            </w:pPr>
            <w:r w:rsidRPr="00E60DD4">
              <w:rPr>
                <w:rFonts w:ascii="Arial" w:hAnsi="Arial" w:cs="Arial"/>
                <w:color w:val="000000"/>
                <w:u w:val="single"/>
                <w:lang w:val="en-GB" w:eastAsia="en-CA"/>
              </w:rPr>
              <w:tab/>
              <w:t>$</w:t>
            </w:r>
            <w:r w:rsidRPr="00E60DD4">
              <w:rPr>
                <w:rFonts w:ascii="Arial" w:hAnsi="Arial" w:cs="Arial"/>
                <w:color w:val="000000"/>
                <w:u w:val="single"/>
                <w:lang w:val="en-GB" w:eastAsia="en-CA"/>
              </w:rPr>
              <w:tab/>
              <w:t>60,609</w:t>
            </w:r>
          </w:p>
        </w:tc>
        <w:tc>
          <w:tcPr>
            <w:tcW w:w="851" w:type="dxa"/>
          </w:tcPr>
          <w:p w14:paraId="084DE874"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0.9%</w:t>
            </w:r>
          </w:p>
        </w:tc>
        <w:tc>
          <w:tcPr>
            <w:tcW w:w="1417" w:type="dxa"/>
          </w:tcPr>
          <w:p w14:paraId="2FDB6842" w14:textId="77777777" w:rsidR="00E60DD4" w:rsidRPr="00E60DD4" w:rsidRDefault="00E60DD4" w:rsidP="00E60DD4">
            <w:pPr>
              <w:tabs>
                <w:tab w:val="left" w:pos="90"/>
                <w:tab w:val="right" w:pos="1200"/>
              </w:tabs>
              <w:rPr>
                <w:rFonts w:ascii="Arial" w:hAnsi="Arial" w:cs="Arial"/>
                <w:color w:val="000000"/>
                <w:u w:val="single"/>
                <w:lang w:val="en-GB"/>
              </w:rPr>
            </w:pPr>
            <w:r w:rsidRPr="00E60DD4">
              <w:rPr>
                <w:rFonts w:ascii="Arial" w:hAnsi="Arial" w:cs="Arial"/>
                <w:color w:val="000000"/>
                <w:u w:val="single"/>
                <w:lang w:val="en-GB"/>
              </w:rPr>
              <w:tab/>
              <w:t>$</w:t>
            </w:r>
            <w:r w:rsidRPr="00E60DD4">
              <w:rPr>
                <w:rFonts w:ascii="Arial" w:hAnsi="Arial" w:cs="Arial"/>
                <w:color w:val="000000"/>
                <w:u w:val="single"/>
                <w:lang w:val="en-GB"/>
              </w:rPr>
              <w:tab/>
              <w:t>79,813</w:t>
            </w:r>
          </w:p>
        </w:tc>
        <w:tc>
          <w:tcPr>
            <w:tcW w:w="851" w:type="dxa"/>
          </w:tcPr>
          <w:p w14:paraId="0F3B75B6" w14:textId="77777777" w:rsidR="00E60DD4" w:rsidRPr="00E60DD4" w:rsidRDefault="00E60DD4" w:rsidP="00E60DD4">
            <w:pPr>
              <w:jc w:val="center"/>
              <w:rPr>
                <w:rFonts w:ascii="Arial" w:hAnsi="Arial" w:cs="Arial"/>
                <w:color w:val="000000"/>
                <w:u w:val="single"/>
                <w:lang w:val="en-GB"/>
              </w:rPr>
            </w:pPr>
            <w:r w:rsidRPr="00E60DD4">
              <w:rPr>
                <w:rFonts w:ascii="Arial" w:hAnsi="Arial" w:cs="Arial"/>
                <w:color w:val="000000"/>
                <w:u w:val="single"/>
                <w:lang w:val="en-GB"/>
              </w:rPr>
              <w:t>1.2%</w:t>
            </w:r>
          </w:p>
        </w:tc>
      </w:tr>
      <w:tr w:rsidR="00E60DD4" w:rsidRPr="00E60DD4" w14:paraId="4F736C15" w14:textId="77777777" w:rsidTr="00E60DD4">
        <w:trPr>
          <w:trHeight w:val="144"/>
        </w:trPr>
        <w:tc>
          <w:tcPr>
            <w:tcW w:w="3823" w:type="dxa"/>
            <w:noWrap/>
            <w:hideMark/>
          </w:tcPr>
          <w:p w14:paraId="0C27FC7B" w14:textId="77777777" w:rsidR="00E60DD4" w:rsidRPr="00E60DD4" w:rsidRDefault="00E60DD4" w:rsidP="00E60DD4">
            <w:pPr>
              <w:rPr>
                <w:rFonts w:ascii="Arial" w:hAnsi="Arial" w:cs="Arial"/>
                <w:color w:val="000000"/>
                <w:u w:val="single"/>
                <w:lang w:val="en-GB" w:eastAsia="en-CA"/>
              </w:rPr>
            </w:pPr>
          </w:p>
        </w:tc>
        <w:tc>
          <w:tcPr>
            <w:tcW w:w="1417" w:type="dxa"/>
            <w:noWrap/>
            <w:hideMark/>
          </w:tcPr>
          <w:p w14:paraId="750DC516" w14:textId="77777777" w:rsidR="00E60DD4" w:rsidRPr="00E60DD4" w:rsidRDefault="00E60DD4" w:rsidP="00E60DD4">
            <w:pPr>
              <w:tabs>
                <w:tab w:val="left" w:pos="30"/>
                <w:tab w:val="right" w:pos="1200"/>
              </w:tabs>
              <w:rPr>
                <w:rFonts w:ascii="Arial" w:hAnsi="Arial" w:cs="Arial"/>
                <w:color w:val="000000"/>
                <w:lang w:val="en-GB" w:eastAsia="en-CA"/>
              </w:rPr>
            </w:pPr>
          </w:p>
        </w:tc>
        <w:tc>
          <w:tcPr>
            <w:tcW w:w="851" w:type="dxa"/>
          </w:tcPr>
          <w:p w14:paraId="2C4EC4FF" w14:textId="77777777" w:rsidR="00E60DD4" w:rsidRPr="00E60DD4" w:rsidRDefault="00E60DD4" w:rsidP="00E60DD4">
            <w:pPr>
              <w:jc w:val="center"/>
              <w:rPr>
                <w:rFonts w:ascii="Arial" w:hAnsi="Arial" w:cs="Arial"/>
                <w:color w:val="000000"/>
                <w:lang w:val="en-GB"/>
              </w:rPr>
            </w:pPr>
          </w:p>
        </w:tc>
        <w:tc>
          <w:tcPr>
            <w:tcW w:w="1417" w:type="dxa"/>
          </w:tcPr>
          <w:p w14:paraId="64E8229B" w14:textId="77777777" w:rsidR="00E60DD4" w:rsidRPr="00E60DD4" w:rsidRDefault="00E60DD4" w:rsidP="00E60DD4">
            <w:pPr>
              <w:tabs>
                <w:tab w:val="left" w:pos="90"/>
                <w:tab w:val="right" w:pos="1200"/>
              </w:tabs>
              <w:rPr>
                <w:rFonts w:ascii="Arial" w:hAnsi="Arial" w:cs="Arial"/>
                <w:color w:val="000000"/>
                <w:lang w:val="en-GB"/>
              </w:rPr>
            </w:pPr>
          </w:p>
        </w:tc>
        <w:tc>
          <w:tcPr>
            <w:tcW w:w="851" w:type="dxa"/>
          </w:tcPr>
          <w:p w14:paraId="38848873" w14:textId="77777777" w:rsidR="00E60DD4" w:rsidRPr="00E60DD4" w:rsidRDefault="00E60DD4" w:rsidP="00E60DD4">
            <w:pPr>
              <w:jc w:val="center"/>
              <w:rPr>
                <w:rFonts w:ascii="Arial" w:hAnsi="Arial" w:cs="Arial"/>
                <w:color w:val="000000"/>
                <w:lang w:val="en-GB"/>
              </w:rPr>
            </w:pPr>
          </w:p>
        </w:tc>
      </w:tr>
      <w:tr w:rsidR="00E60DD4" w:rsidRPr="00E60DD4" w14:paraId="6E490888" w14:textId="77777777" w:rsidTr="00E60DD4">
        <w:trPr>
          <w:trHeight w:val="308"/>
        </w:trPr>
        <w:tc>
          <w:tcPr>
            <w:tcW w:w="3823" w:type="dxa"/>
            <w:noWrap/>
          </w:tcPr>
          <w:p w14:paraId="1A064656" w14:textId="77777777" w:rsidR="00E60DD4" w:rsidRPr="00E60DD4" w:rsidRDefault="00E60DD4" w:rsidP="00E60DD4">
            <w:pPr>
              <w:rPr>
                <w:rFonts w:ascii="Arial" w:hAnsi="Arial" w:cs="Arial"/>
                <w:b/>
                <w:bCs/>
                <w:color w:val="000000"/>
                <w:lang w:val="en-GB" w:eastAsia="en-CA"/>
              </w:rPr>
            </w:pPr>
            <w:r w:rsidRPr="00E60DD4">
              <w:rPr>
                <w:rFonts w:ascii="Arial" w:hAnsi="Arial" w:cs="Arial"/>
                <w:b/>
                <w:bCs/>
                <w:color w:val="000000"/>
                <w:lang w:val="en-GB" w:eastAsia="en-CA"/>
              </w:rPr>
              <w:t xml:space="preserve">  Net Income</w:t>
            </w:r>
          </w:p>
        </w:tc>
        <w:tc>
          <w:tcPr>
            <w:tcW w:w="1417" w:type="dxa"/>
            <w:noWrap/>
          </w:tcPr>
          <w:p w14:paraId="7DC50983" w14:textId="5176F6BB" w:rsidR="00E60DD4" w:rsidRPr="00E60DD4" w:rsidRDefault="00E60DD4" w:rsidP="00E60DD4">
            <w:pPr>
              <w:tabs>
                <w:tab w:val="left" w:pos="30"/>
                <w:tab w:val="right" w:pos="1200"/>
              </w:tabs>
              <w:rPr>
                <w:rFonts w:ascii="Arial" w:hAnsi="Arial" w:cs="Arial"/>
                <w:b/>
                <w:bCs/>
                <w:color w:val="000000"/>
                <w:u w:val="double"/>
                <w:lang w:val="en-GB" w:eastAsia="en-CA"/>
              </w:rPr>
            </w:pPr>
            <w:r w:rsidRPr="00E60DD4">
              <w:rPr>
                <w:rFonts w:ascii="Arial" w:hAnsi="Arial" w:cs="Arial"/>
                <w:b/>
                <w:bCs/>
                <w:color w:val="000000"/>
                <w:u w:val="double"/>
                <w:lang w:val="en-GB" w:eastAsia="en-CA"/>
              </w:rPr>
              <w:tab/>
              <w:t>$</w:t>
            </w:r>
            <w:r w:rsidRPr="00E60DD4">
              <w:rPr>
                <w:rFonts w:ascii="Arial" w:hAnsi="Arial" w:cs="Arial"/>
                <w:b/>
                <w:bCs/>
                <w:color w:val="000000"/>
                <w:u w:val="double"/>
                <w:lang w:val="en-GB" w:eastAsia="en-CA"/>
              </w:rPr>
              <w:tab/>
              <w:t>163,87</w:t>
            </w:r>
            <w:r w:rsidR="00E879A4">
              <w:rPr>
                <w:rFonts w:ascii="Arial" w:hAnsi="Arial" w:cs="Arial"/>
                <w:b/>
                <w:bCs/>
                <w:color w:val="000000"/>
                <w:u w:val="double"/>
                <w:lang w:val="en-GB" w:eastAsia="en-CA"/>
              </w:rPr>
              <w:t>2</w:t>
            </w:r>
          </w:p>
        </w:tc>
        <w:tc>
          <w:tcPr>
            <w:tcW w:w="851" w:type="dxa"/>
          </w:tcPr>
          <w:p w14:paraId="0B0AD03E"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2.5%</w:t>
            </w:r>
          </w:p>
        </w:tc>
        <w:tc>
          <w:tcPr>
            <w:tcW w:w="1417" w:type="dxa"/>
          </w:tcPr>
          <w:p w14:paraId="38E39259" w14:textId="0F569605" w:rsidR="00E60DD4" w:rsidRPr="00E60DD4" w:rsidRDefault="00E60DD4" w:rsidP="00E60DD4">
            <w:pPr>
              <w:tabs>
                <w:tab w:val="left" w:pos="90"/>
                <w:tab w:val="right" w:pos="1200"/>
              </w:tabs>
              <w:rPr>
                <w:rFonts w:ascii="Arial" w:hAnsi="Arial" w:cs="Arial"/>
                <w:b/>
                <w:color w:val="000000"/>
                <w:u w:val="double"/>
                <w:lang w:val="en-GB"/>
              </w:rPr>
            </w:pPr>
            <w:r w:rsidRPr="00E60DD4">
              <w:rPr>
                <w:rFonts w:ascii="Arial" w:hAnsi="Arial" w:cs="Arial"/>
                <w:b/>
                <w:color w:val="000000"/>
                <w:u w:val="double"/>
                <w:lang w:val="en-GB"/>
              </w:rPr>
              <w:tab/>
              <w:t>$</w:t>
            </w:r>
            <w:r w:rsidRPr="00E60DD4">
              <w:rPr>
                <w:rFonts w:ascii="Arial" w:hAnsi="Arial" w:cs="Arial"/>
                <w:b/>
                <w:color w:val="000000"/>
                <w:u w:val="double"/>
                <w:lang w:val="en-GB"/>
              </w:rPr>
              <w:tab/>
              <w:t>215,79</w:t>
            </w:r>
            <w:r w:rsidR="00E879A4">
              <w:rPr>
                <w:rFonts w:ascii="Arial" w:hAnsi="Arial" w:cs="Arial"/>
                <w:b/>
                <w:color w:val="000000"/>
                <w:u w:val="double"/>
                <w:lang w:val="en-GB"/>
              </w:rPr>
              <w:t>2</w:t>
            </w:r>
          </w:p>
        </w:tc>
        <w:tc>
          <w:tcPr>
            <w:tcW w:w="851" w:type="dxa"/>
          </w:tcPr>
          <w:p w14:paraId="0D72202D"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3.2%</w:t>
            </w:r>
          </w:p>
        </w:tc>
      </w:tr>
    </w:tbl>
    <w:p w14:paraId="02D92D5D" w14:textId="77777777" w:rsidR="00E60DD4" w:rsidRPr="00E60DD4" w:rsidRDefault="00E60DD4" w:rsidP="008E33E8">
      <w:pPr>
        <w:pStyle w:val="FootnoteText1"/>
        <w:rPr>
          <w:lang w:val="en-GB" w:eastAsia="en-GB"/>
        </w:rPr>
      </w:pPr>
    </w:p>
    <w:p w14:paraId="60AE0819" w14:textId="74028609" w:rsidR="00E60DD4" w:rsidRPr="00E60DD4" w:rsidRDefault="00E60DD4" w:rsidP="008E33E8">
      <w:pPr>
        <w:pStyle w:val="FootnoteText1"/>
        <w:rPr>
          <w:lang w:val="en-GB" w:eastAsia="en-GB"/>
        </w:rPr>
      </w:pPr>
      <w:r w:rsidRPr="00E60DD4">
        <w:rPr>
          <w:lang w:val="en-GB" w:eastAsia="en-GB"/>
        </w:rPr>
        <w:t>Notes: * This in</w:t>
      </w:r>
      <w:r w:rsidRPr="00E60DD4">
        <w:rPr>
          <w:lang w:val="en-GB"/>
        </w:rPr>
        <w:t xml:space="preserve">cluded locker rental, guest fees, special events, play centre, and other miscellaneous income; ** </w:t>
      </w:r>
      <w:r w:rsidR="00EF0DB1">
        <w:rPr>
          <w:lang w:val="en-GB"/>
        </w:rPr>
        <w:t>T</w:t>
      </w:r>
      <w:r w:rsidRPr="00E60DD4">
        <w:rPr>
          <w:lang w:val="en-GB"/>
        </w:rPr>
        <w:t>his was made up of variable labour costs for lessons and clinics as well as cost of goods sold for the restaurant.</w:t>
      </w:r>
    </w:p>
    <w:p w14:paraId="0F799395" w14:textId="77777777" w:rsidR="00E60DD4" w:rsidRPr="00E60DD4" w:rsidRDefault="00E60DD4" w:rsidP="008E33E8">
      <w:pPr>
        <w:pStyle w:val="FootnoteText1"/>
        <w:rPr>
          <w:lang w:val="en-GB" w:eastAsia="en-GB"/>
        </w:rPr>
      </w:pPr>
      <w:r w:rsidRPr="00E60DD4">
        <w:rPr>
          <w:lang w:val="en-GB" w:eastAsia="en-GB"/>
        </w:rPr>
        <w:t>Source: Company files. Financial information has been adapted for case purposes.</w:t>
      </w:r>
    </w:p>
    <w:p w14:paraId="461F8635" w14:textId="77777777" w:rsidR="00E60DD4" w:rsidRPr="00E60DD4" w:rsidRDefault="00E60DD4" w:rsidP="00E60DD4">
      <w:pPr>
        <w:tabs>
          <w:tab w:val="left" w:pos="-1440"/>
          <w:tab w:val="left" w:pos="-720"/>
          <w:tab w:val="left" w:pos="1"/>
          <w:tab w:val="right" w:pos="9000"/>
        </w:tabs>
        <w:jc w:val="both"/>
        <w:rPr>
          <w:rFonts w:ascii="Arial" w:hAnsi="Arial" w:cs="Arial"/>
          <w:iCs/>
          <w:sz w:val="17"/>
          <w:szCs w:val="17"/>
          <w:lang w:val="en-GB" w:eastAsia="en-GB"/>
        </w:rPr>
      </w:pPr>
      <w:r w:rsidRPr="00E60DD4">
        <w:rPr>
          <w:rFonts w:ascii="Arial" w:hAnsi="Arial" w:cs="Arial"/>
          <w:iCs/>
          <w:sz w:val="17"/>
          <w:szCs w:val="17"/>
          <w:lang w:val="en-GB" w:eastAsia="en-GB"/>
        </w:rPr>
        <w:br w:type="page"/>
      </w:r>
    </w:p>
    <w:p w14:paraId="426C793E" w14:textId="77777777" w:rsidR="00E60DD4" w:rsidRPr="00E60DD4" w:rsidRDefault="00E60DD4" w:rsidP="00E60DD4">
      <w:pPr>
        <w:jc w:val="center"/>
        <w:rPr>
          <w:rFonts w:ascii="Arial" w:hAnsi="Arial" w:cs="Arial"/>
          <w:b/>
          <w:caps/>
          <w:lang w:val="en-GB"/>
        </w:rPr>
      </w:pPr>
      <w:r w:rsidRPr="00E60DD4">
        <w:rPr>
          <w:rFonts w:ascii="Arial" w:hAnsi="Arial" w:cs="Arial"/>
          <w:b/>
          <w:caps/>
          <w:lang w:val="en-GB"/>
        </w:rPr>
        <w:lastRenderedPageBreak/>
        <w:t>EXHIBIT 4: BALANCE SHEETS (Unaudited)</w:t>
      </w:r>
    </w:p>
    <w:p w14:paraId="56741F22" w14:textId="5DC9D8E6" w:rsidR="00E60DD4" w:rsidRPr="00E60DD4" w:rsidRDefault="00E879A4" w:rsidP="00E60DD4">
      <w:pPr>
        <w:jc w:val="center"/>
        <w:rPr>
          <w:rFonts w:ascii="Arial" w:hAnsi="Arial" w:cs="Arial"/>
          <w:b/>
          <w:caps/>
          <w:lang w:val="en-GB" w:eastAsia="en-GB"/>
        </w:rPr>
      </w:pPr>
      <w:r>
        <w:rPr>
          <w:rFonts w:ascii="Arial" w:hAnsi="Arial" w:cs="Arial"/>
          <w:b/>
          <w:caps/>
          <w:lang w:val="en-GB"/>
        </w:rPr>
        <w:t>at</w:t>
      </w:r>
      <w:r w:rsidR="00E60DD4" w:rsidRPr="00E60DD4">
        <w:rPr>
          <w:rFonts w:ascii="Arial" w:hAnsi="Arial" w:cs="Arial"/>
          <w:b/>
          <w:caps/>
          <w:lang w:val="en-GB" w:eastAsia="en-GB"/>
        </w:rPr>
        <w:t xml:space="preserve"> the years ended December 31</w:t>
      </w:r>
    </w:p>
    <w:p w14:paraId="3FDB2C80" w14:textId="77777777" w:rsidR="00E60DD4" w:rsidRPr="00E60DD4" w:rsidRDefault="00E60DD4" w:rsidP="008E33E8">
      <w:pPr>
        <w:pStyle w:val="BodyTextMain"/>
        <w:rPr>
          <w:lang w:val="en-GB"/>
        </w:rPr>
      </w:pPr>
    </w:p>
    <w:tbl>
      <w:tblPr>
        <w:tblpPr w:leftFromText="202" w:rightFromText="202" w:vertAnchor="text" w:tblpXSpec="center"/>
        <w:tblW w:w="8243" w:type="dxa"/>
        <w:tblCellMar>
          <w:left w:w="0" w:type="dxa"/>
          <w:right w:w="0" w:type="dxa"/>
        </w:tblCellMar>
        <w:tblLook w:val="04A0" w:firstRow="1" w:lastRow="0" w:firstColumn="1" w:lastColumn="0" w:noHBand="0" w:noVBand="1"/>
      </w:tblPr>
      <w:tblGrid>
        <w:gridCol w:w="3368"/>
        <w:gridCol w:w="2154"/>
        <w:gridCol w:w="283"/>
        <w:gridCol w:w="2154"/>
        <w:gridCol w:w="284"/>
      </w:tblGrid>
      <w:tr w:rsidR="00E60DD4" w:rsidRPr="00E60DD4" w14:paraId="6C83D7FB" w14:textId="77777777" w:rsidTr="00E60DD4">
        <w:trPr>
          <w:trHeight w:val="266"/>
        </w:trPr>
        <w:tc>
          <w:tcPr>
            <w:tcW w:w="3368" w:type="dxa"/>
            <w:noWrap/>
            <w:tcMar>
              <w:top w:w="0" w:type="dxa"/>
              <w:left w:w="108" w:type="dxa"/>
              <w:bottom w:w="0" w:type="dxa"/>
              <w:right w:w="108" w:type="dxa"/>
            </w:tcMar>
            <w:hideMark/>
          </w:tcPr>
          <w:p w14:paraId="5646F979" w14:textId="77777777" w:rsidR="00E60DD4" w:rsidRPr="00E60DD4" w:rsidRDefault="00E60DD4" w:rsidP="00E60DD4">
            <w:pPr>
              <w:rPr>
                <w:rFonts w:ascii="Arial" w:hAnsi="Arial" w:cs="Arial"/>
                <w:lang w:val="en-GB"/>
              </w:rPr>
            </w:pPr>
            <w:r w:rsidRPr="00E60DD4">
              <w:rPr>
                <w:rFonts w:ascii="Arial" w:hAnsi="Arial" w:cs="Arial"/>
                <w:b/>
                <w:bCs/>
                <w:lang w:val="en-GB" w:eastAsia="en-CA"/>
              </w:rPr>
              <w:br w:type="page"/>
            </w:r>
          </w:p>
        </w:tc>
        <w:tc>
          <w:tcPr>
            <w:tcW w:w="2154" w:type="dxa"/>
            <w:noWrap/>
            <w:tcMar>
              <w:top w:w="0" w:type="dxa"/>
              <w:left w:w="108" w:type="dxa"/>
              <w:bottom w:w="0" w:type="dxa"/>
              <w:right w:w="108" w:type="dxa"/>
            </w:tcMar>
            <w:hideMark/>
          </w:tcPr>
          <w:p w14:paraId="7BDD8207" w14:textId="77777777" w:rsidR="00E60DD4" w:rsidRPr="00E60DD4" w:rsidRDefault="00E60DD4" w:rsidP="00E60DD4">
            <w:pPr>
              <w:jc w:val="center"/>
              <w:rPr>
                <w:rFonts w:ascii="Arial" w:eastAsia="Calibri" w:hAnsi="Arial" w:cs="Arial"/>
                <w:b/>
                <w:bCs/>
                <w:color w:val="000000"/>
                <w:lang w:val="en-GB"/>
              </w:rPr>
            </w:pPr>
            <w:r w:rsidRPr="00E60DD4">
              <w:rPr>
                <w:rFonts w:ascii="Arial" w:hAnsi="Arial" w:cs="Arial"/>
                <w:b/>
                <w:bCs/>
                <w:color w:val="000000"/>
                <w:lang w:val="en-GB"/>
              </w:rPr>
              <w:t>2013</w:t>
            </w:r>
          </w:p>
        </w:tc>
        <w:tc>
          <w:tcPr>
            <w:tcW w:w="283" w:type="dxa"/>
            <w:tcMar>
              <w:top w:w="0" w:type="dxa"/>
              <w:left w:w="108" w:type="dxa"/>
              <w:bottom w:w="0" w:type="dxa"/>
              <w:right w:w="108" w:type="dxa"/>
            </w:tcMar>
          </w:tcPr>
          <w:p w14:paraId="7BD23608" w14:textId="77777777" w:rsidR="00E60DD4" w:rsidRPr="00E60DD4" w:rsidRDefault="00E60DD4" w:rsidP="00E60DD4">
            <w:pPr>
              <w:jc w:val="center"/>
              <w:rPr>
                <w:rFonts w:ascii="Arial" w:hAnsi="Arial" w:cs="Arial"/>
                <w:color w:val="000000"/>
                <w:lang w:val="en-GB"/>
              </w:rPr>
            </w:pPr>
          </w:p>
        </w:tc>
        <w:tc>
          <w:tcPr>
            <w:tcW w:w="2154" w:type="dxa"/>
            <w:noWrap/>
            <w:tcMar>
              <w:top w:w="0" w:type="dxa"/>
              <w:left w:w="108" w:type="dxa"/>
              <w:bottom w:w="0" w:type="dxa"/>
              <w:right w:w="108" w:type="dxa"/>
            </w:tcMar>
            <w:hideMark/>
          </w:tcPr>
          <w:p w14:paraId="4A6FDBE6" w14:textId="77777777" w:rsidR="00E60DD4" w:rsidRPr="00E60DD4" w:rsidRDefault="00E60DD4" w:rsidP="00E60DD4">
            <w:pPr>
              <w:jc w:val="center"/>
              <w:rPr>
                <w:rFonts w:ascii="Arial" w:hAnsi="Arial" w:cs="Arial"/>
                <w:b/>
                <w:bCs/>
                <w:color w:val="000000"/>
                <w:lang w:val="en-GB"/>
              </w:rPr>
            </w:pPr>
            <w:r w:rsidRPr="00E60DD4">
              <w:rPr>
                <w:rFonts w:ascii="Arial" w:hAnsi="Arial" w:cs="Arial"/>
                <w:b/>
                <w:bCs/>
                <w:color w:val="000000"/>
                <w:lang w:val="en-GB"/>
              </w:rPr>
              <w:t>2012</w:t>
            </w:r>
          </w:p>
        </w:tc>
        <w:tc>
          <w:tcPr>
            <w:tcW w:w="284" w:type="dxa"/>
            <w:tcMar>
              <w:top w:w="0" w:type="dxa"/>
              <w:left w:w="108" w:type="dxa"/>
              <w:bottom w:w="0" w:type="dxa"/>
              <w:right w:w="108" w:type="dxa"/>
            </w:tcMar>
          </w:tcPr>
          <w:p w14:paraId="4053DE4C" w14:textId="77777777" w:rsidR="00E60DD4" w:rsidRPr="00E60DD4" w:rsidRDefault="00E60DD4" w:rsidP="00E60DD4">
            <w:pPr>
              <w:jc w:val="center"/>
              <w:rPr>
                <w:rFonts w:ascii="Arial" w:hAnsi="Arial" w:cs="Arial"/>
                <w:color w:val="000000"/>
                <w:lang w:val="en-GB"/>
              </w:rPr>
            </w:pPr>
          </w:p>
        </w:tc>
      </w:tr>
      <w:tr w:rsidR="00E60DD4" w:rsidRPr="00E60DD4" w14:paraId="337AAE37" w14:textId="77777777" w:rsidTr="00E60DD4">
        <w:trPr>
          <w:trHeight w:val="266"/>
        </w:trPr>
        <w:tc>
          <w:tcPr>
            <w:tcW w:w="3368" w:type="dxa"/>
            <w:noWrap/>
            <w:tcMar>
              <w:top w:w="0" w:type="dxa"/>
              <w:left w:w="108" w:type="dxa"/>
              <w:bottom w:w="0" w:type="dxa"/>
              <w:right w:w="108" w:type="dxa"/>
            </w:tcMar>
            <w:hideMark/>
          </w:tcPr>
          <w:p w14:paraId="1901B83D" w14:textId="77777777" w:rsidR="00E60DD4" w:rsidRPr="00E60DD4" w:rsidRDefault="00E60DD4" w:rsidP="00E60DD4">
            <w:pPr>
              <w:rPr>
                <w:rFonts w:ascii="Arial" w:hAnsi="Arial" w:cs="Arial"/>
                <w:b/>
                <w:bCs/>
                <w:color w:val="000000"/>
                <w:lang w:val="en-GB"/>
              </w:rPr>
            </w:pPr>
            <w:r w:rsidRPr="00E60DD4">
              <w:rPr>
                <w:rFonts w:ascii="Arial" w:hAnsi="Arial" w:cs="Arial"/>
                <w:b/>
                <w:bCs/>
                <w:color w:val="000000"/>
                <w:lang w:val="en-GB"/>
              </w:rPr>
              <w:t>ASSETS</w:t>
            </w:r>
          </w:p>
        </w:tc>
        <w:tc>
          <w:tcPr>
            <w:tcW w:w="2154" w:type="dxa"/>
            <w:noWrap/>
            <w:tcMar>
              <w:top w:w="0" w:type="dxa"/>
              <w:left w:w="108" w:type="dxa"/>
              <w:bottom w:w="0" w:type="dxa"/>
              <w:right w:w="108" w:type="dxa"/>
            </w:tcMar>
            <w:hideMark/>
          </w:tcPr>
          <w:p w14:paraId="7205BFF8" w14:textId="77777777" w:rsidR="00E60DD4" w:rsidRPr="00E60DD4" w:rsidRDefault="00E60DD4" w:rsidP="00E60DD4">
            <w:pPr>
              <w:rPr>
                <w:rFonts w:ascii="Arial" w:hAnsi="Arial" w:cs="Arial"/>
                <w:b/>
                <w:bCs/>
                <w:color w:val="000000"/>
                <w:lang w:val="en-GB"/>
              </w:rPr>
            </w:pPr>
          </w:p>
        </w:tc>
        <w:tc>
          <w:tcPr>
            <w:tcW w:w="283" w:type="dxa"/>
            <w:tcMar>
              <w:top w:w="0" w:type="dxa"/>
              <w:left w:w="108" w:type="dxa"/>
              <w:bottom w:w="0" w:type="dxa"/>
              <w:right w:w="108" w:type="dxa"/>
            </w:tcMar>
          </w:tcPr>
          <w:p w14:paraId="61A275B1" w14:textId="77777777" w:rsidR="00E60DD4" w:rsidRPr="00E60DD4" w:rsidRDefault="00E60DD4" w:rsidP="00E60DD4">
            <w:pPr>
              <w:jc w:val="center"/>
              <w:rPr>
                <w:rFonts w:ascii="Arial" w:eastAsia="Calibri" w:hAnsi="Arial" w:cs="Arial"/>
                <w:color w:val="000000"/>
                <w:lang w:val="en-GB"/>
              </w:rPr>
            </w:pPr>
          </w:p>
        </w:tc>
        <w:tc>
          <w:tcPr>
            <w:tcW w:w="2154" w:type="dxa"/>
            <w:noWrap/>
            <w:tcMar>
              <w:top w:w="0" w:type="dxa"/>
              <w:left w:w="108" w:type="dxa"/>
              <w:bottom w:w="0" w:type="dxa"/>
              <w:right w:w="108" w:type="dxa"/>
            </w:tcMar>
            <w:hideMark/>
          </w:tcPr>
          <w:p w14:paraId="3089F705" w14:textId="77777777" w:rsidR="00E60DD4" w:rsidRPr="00E60DD4" w:rsidRDefault="00E60DD4" w:rsidP="00E60DD4">
            <w:pPr>
              <w:tabs>
                <w:tab w:val="left" w:pos="120"/>
              </w:tabs>
              <w:rPr>
                <w:rFonts w:ascii="Arial" w:hAnsi="Arial" w:cs="Arial"/>
                <w:color w:val="000000"/>
                <w:lang w:val="en-GB"/>
              </w:rPr>
            </w:pPr>
          </w:p>
        </w:tc>
        <w:tc>
          <w:tcPr>
            <w:tcW w:w="284" w:type="dxa"/>
            <w:tcMar>
              <w:top w:w="0" w:type="dxa"/>
              <w:left w:w="108" w:type="dxa"/>
              <w:bottom w:w="0" w:type="dxa"/>
              <w:right w:w="108" w:type="dxa"/>
            </w:tcMar>
          </w:tcPr>
          <w:p w14:paraId="37D64DFD" w14:textId="77777777" w:rsidR="00E60DD4" w:rsidRPr="00E60DD4" w:rsidRDefault="00E60DD4" w:rsidP="00E60DD4">
            <w:pPr>
              <w:jc w:val="center"/>
              <w:rPr>
                <w:rFonts w:ascii="Arial" w:eastAsia="Calibri" w:hAnsi="Arial" w:cs="Arial"/>
                <w:color w:val="000000"/>
                <w:lang w:val="en-GB"/>
              </w:rPr>
            </w:pPr>
          </w:p>
        </w:tc>
      </w:tr>
      <w:tr w:rsidR="00E60DD4" w:rsidRPr="00E60DD4" w14:paraId="3631D908" w14:textId="77777777" w:rsidTr="00E60DD4">
        <w:trPr>
          <w:trHeight w:val="266"/>
        </w:trPr>
        <w:tc>
          <w:tcPr>
            <w:tcW w:w="3368" w:type="dxa"/>
            <w:noWrap/>
            <w:tcMar>
              <w:top w:w="0" w:type="dxa"/>
              <w:left w:w="108" w:type="dxa"/>
              <w:bottom w:w="0" w:type="dxa"/>
              <w:right w:w="108" w:type="dxa"/>
            </w:tcMar>
            <w:hideMark/>
          </w:tcPr>
          <w:p w14:paraId="047A3C84" w14:textId="77777777" w:rsidR="00E60DD4" w:rsidRPr="00E60DD4" w:rsidRDefault="00E60DD4" w:rsidP="00E60DD4">
            <w:pPr>
              <w:rPr>
                <w:rFonts w:ascii="Arial" w:eastAsia="Calibri" w:hAnsi="Arial" w:cs="Arial"/>
                <w:b/>
                <w:color w:val="000000"/>
                <w:lang w:val="en-GB"/>
              </w:rPr>
            </w:pPr>
            <w:r w:rsidRPr="00E60DD4">
              <w:rPr>
                <w:rFonts w:ascii="Arial" w:hAnsi="Arial" w:cs="Arial"/>
                <w:b/>
                <w:color w:val="000000"/>
                <w:lang w:val="en-GB"/>
              </w:rPr>
              <w:t>Current Assets</w:t>
            </w:r>
          </w:p>
        </w:tc>
        <w:tc>
          <w:tcPr>
            <w:tcW w:w="2154" w:type="dxa"/>
            <w:noWrap/>
            <w:tcMar>
              <w:top w:w="0" w:type="dxa"/>
              <w:left w:w="108" w:type="dxa"/>
              <w:bottom w:w="0" w:type="dxa"/>
              <w:right w:w="108" w:type="dxa"/>
            </w:tcMar>
            <w:hideMark/>
          </w:tcPr>
          <w:p w14:paraId="607040D5" w14:textId="77777777" w:rsidR="00E60DD4" w:rsidRPr="00E60DD4" w:rsidRDefault="00E60DD4" w:rsidP="00E60DD4">
            <w:pPr>
              <w:jc w:val="right"/>
              <w:rPr>
                <w:rFonts w:ascii="Arial" w:hAnsi="Arial" w:cs="Arial"/>
                <w:color w:val="000000"/>
                <w:u w:val="single"/>
                <w:lang w:val="en-GB"/>
              </w:rPr>
            </w:pPr>
          </w:p>
        </w:tc>
        <w:tc>
          <w:tcPr>
            <w:tcW w:w="283" w:type="dxa"/>
            <w:tcMar>
              <w:top w:w="0" w:type="dxa"/>
              <w:left w:w="108" w:type="dxa"/>
              <w:bottom w:w="0" w:type="dxa"/>
              <w:right w:w="108" w:type="dxa"/>
            </w:tcMar>
          </w:tcPr>
          <w:p w14:paraId="4D742403"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7B9671DC" w14:textId="77777777" w:rsidR="00E60DD4" w:rsidRPr="00E60DD4" w:rsidRDefault="00E60DD4" w:rsidP="00E60DD4">
            <w:pPr>
              <w:tabs>
                <w:tab w:val="left" w:pos="120"/>
              </w:tabs>
              <w:jc w:val="right"/>
              <w:rPr>
                <w:rFonts w:ascii="Arial" w:hAnsi="Arial" w:cs="Arial"/>
                <w:color w:val="000000"/>
                <w:lang w:val="en-GB"/>
              </w:rPr>
            </w:pPr>
          </w:p>
        </w:tc>
        <w:tc>
          <w:tcPr>
            <w:tcW w:w="284" w:type="dxa"/>
            <w:tcMar>
              <w:top w:w="0" w:type="dxa"/>
              <w:left w:w="108" w:type="dxa"/>
              <w:bottom w:w="0" w:type="dxa"/>
              <w:right w:w="108" w:type="dxa"/>
            </w:tcMar>
          </w:tcPr>
          <w:p w14:paraId="559AFEE7" w14:textId="77777777" w:rsidR="00E60DD4" w:rsidRPr="00E60DD4" w:rsidRDefault="00E60DD4" w:rsidP="00E60DD4">
            <w:pPr>
              <w:jc w:val="center"/>
              <w:rPr>
                <w:rFonts w:ascii="Arial" w:eastAsia="Calibri" w:hAnsi="Arial" w:cs="Arial"/>
                <w:color w:val="000000"/>
                <w:lang w:val="en-GB"/>
              </w:rPr>
            </w:pPr>
          </w:p>
        </w:tc>
      </w:tr>
      <w:tr w:rsidR="00E60DD4" w:rsidRPr="00E60DD4" w14:paraId="102A484A" w14:textId="77777777" w:rsidTr="00E60DD4">
        <w:trPr>
          <w:trHeight w:val="266"/>
        </w:trPr>
        <w:tc>
          <w:tcPr>
            <w:tcW w:w="3368" w:type="dxa"/>
            <w:noWrap/>
            <w:tcMar>
              <w:top w:w="0" w:type="dxa"/>
              <w:left w:w="108" w:type="dxa"/>
              <w:bottom w:w="0" w:type="dxa"/>
              <w:right w:w="108" w:type="dxa"/>
            </w:tcMar>
            <w:hideMark/>
          </w:tcPr>
          <w:p w14:paraId="315FDE13" w14:textId="77777777" w:rsidR="00E60DD4" w:rsidRPr="00E60DD4" w:rsidRDefault="00E60DD4" w:rsidP="00E60DD4">
            <w:pPr>
              <w:rPr>
                <w:rFonts w:ascii="Arial" w:eastAsia="Calibri" w:hAnsi="Arial" w:cs="Arial"/>
                <w:color w:val="000000"/>
                <w:lang w:val="en-GB"/>
              </w:rPr>
            </w:pPr>
            <w:r w:rsidRPr="00E60DD4">
              <w:rPr>
                <w:rFonts w:ascii="Arial" w:hAnsi="Arial" w:cs="Arial"/>
                <w:color w:val="000000"/>
                <w:lang w:val="en-GB"/>
              </w:rPr>
              <w:t>Cash</w:t>
            </w:r>
          </w:p>
        </w:tc>
        <w:tc>
          <w:tcPr>
            <w:tcW w:w="2154" w:type="dxa"/>
            <w:noWrap/>
            <w:tcMar>
              <w:top w:w="0" w:type="dxa"/>
              <w:left w:w="108" w:type="dxa"/>
              <w:bottom w:w="0" w:type="dxa"/>
              <w:right w:w="108" w:type="dxa"/>
            </w:tcMar>
            <w:hideMark/>
          </w:tcPr>
          <w:p w14:paraId="45D75465" w14:textId="77777777" w:rsidR="00E60DD4" w:rsidRPr="00E60DD4" w:rsidRDefault="00E60DD4" w:rsidP="00E60DD4">
            <w:pPr>
              <w:tabs>
                <w:tab w:val="right" w:pos="1935"/>
              </w:tabs>
              <w:jc w:val="right"/>
              <w:rPr>
                <w:rFonts w:ascii="Arial" w:hAnsi="Arial" w:cs="Arial"/>
                <w:color w:val="000000"/>
                <w:lang w:val="en-GB"/>
              </w:rPr>
            </w:pPr>
            <w:r w:rsidRPr="00E60DD4">
              <w:rPr>
                <w:rFonts w:ascii="Arial" w:hAnsi="Arial" w:cs="Arial"/>
                <w:color w:val="000000"/>
                <w:lang w:val="en-GB"/>
              </w:rPr>
              <w:t>$                   648,048</w:t>
            </w:r>
          </w:p>
        </w:tc>
        <w:tc>
          <w:tcPr>
            <w:tcW w:w="283" w:type="dxa"/>
            <w:tcMar>
              <w:top w:w="0" w:type="dxa"/>
              <w:left w:w="108" w:type="dxa"/>
              <w:bottom w:w="0" w:type="dxa"/>
              <w:right w:w="108" w:type="dxa"/>
            </w:tcMar>
          </w:tcPr>
          <w:p w14:paraId="70CD8A32"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183B8266" w14:textId="77777777" w:rsidR="00E60DD4" w:rsidRPr="00E60DD4" w:rsidRDefault="00E60DD4" w:rsidP="00E60DD4">
            <w:pPr>
              <w:tabs>
                <w:tab w:val="left" w:pos="1197"/>
                <w:tab w:val="right" w:pos="1920"/>
              </w:tabs>
              <w:jc w:val="right"/>
              <w:rPr>
                <w:rFonts w:ascii="Arial" w:hAnsi="Arial" w:cs="Arial"/>
                <w:color w:val="000000"/>
                <w:lang w:val="en-GB"/>
              </w:rPr>
            </w:pPr>
            <w:r w:rsidRPr="00E60DD4">
              <w:rPr>
                <w:rFonts w:ascii="Arial" w:hAnsi="Arial" w:cs="Arial"/>
                <w:color w:val="000000"/>
                <w:lang w:val="en-GB"/>
              </w:rPr>
              <w:t>$                   682,156</w:t>
            </w:r>
          </w:p>
        </w:tc>
        <w:tc>
          <w:tcPr>
            <w:tcW w:w="284" w:type="dxa"/>
            <w:tcMar>
              <w:top w:w="0" w:type="dxa"/>
              <w:left w:w="108" w:type="dxa"/>
              <w:bottom w:w="0" w:type="dxa"/>
              <w:right w:w="108" w:type="dxa"/>
            </w:tcMar>
          </w:tcPr>
          <w:p w14:paraId="3E063BA0" w14:textId="77777777" w:rsidR="00E60DD4" w:rsidRPr="00E60DD4" w:rsidRDefault="00E60DD4" w:rsidP="00E60DD4">
            <w:pPr>
              <w:jc w:val="right"/>
              <w:rPr>
                <w:rFonts w:ascii="Arial" w:hAnsi="Arial" w:cs="Arial"/>
                <w:color w:val="000000"/>
                <w:lang w:val="en-GB"/>
              </w:rPr>
            </w:pPr>
          </w:p>
        </w:tc>
      </w:tr>
      <w:tr w:rsidR="00E60DD4" w:rsidRPr="00E60DD4" w14:paraId="57708D55" w14:textId="77777777" w:rsidTr="00E60DD4">
        <w:trPr>
          <w:trHeight w:val="266"/>
        </w:trPr>
        <w:tc>
          <w:tcPr>
            <w:tcW w:w="3368" w:type="dxa"/>
            <w:noWrap/>
            <w:tcMar>
              <w:top w:w="0" w:type="dxa"/>
              <w:left w:w="108" w:type="dxa"/>
              <w:bottom w:w="0" w:type="dxa"/>
              <w:right w:w="108" w:type="dxa"/>
            </w:tcMar>
          </w:tcPr>
          <w:p w14:paraId="4123E638"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Marketable Securities</w:t>
            </w:r>
          </w:p>
        </w:tc>
        <w:tc>
          <w:tcPr>
            <w:tcW w:w="2154" w:type="dxa"/>
            <w:noWrap/>
            <w:tcMar>
              <w:top w:w="0" w:type="dxa"/>
              <w:left w:w="108" w:type="dxa"/>
              <w:bottom w:w="0" w:type="dxa"/>
              <w:right w:w="108" w:type="dxa"/>
            </w:tcMar>
          </w:tcPr>
          <w:p w14:paraId="1943DA0C" w14:textId="77777777" w:rsidR="00E60DD4" w:rsidRPr="00E60DD4" w:rsidRDefault="00E60DD4" w:rsidP="00E60DD4">
            <w:pPr>
              <w:tabs>
                <w:tab w:val="left" w:pos="210"/>
                <w:tab w:val="right" w:pos="1935"/>
              </w:tabs>
              <w:jc w:val="right"/>
              <w:rPr>
                <w:rFonts w:ascii="Arial" w:hAnsi="Arial" w:cs="Arial"/>
                <w:color w:val="000000"/>
                <w:lang w:val="en-GB"/>
              </w:rPr>
            </w:pPr>
            <w:r w:rsidRPr="00E60DD4">
              <w:rPr>
                <w:rFonts w:ascii="Arial" w:hAnsi="Arial" w:cs="Arial"/>
                <w:color w:val="000000"/>
                <w:lang w:val="en-GB"/>
              </w:rPr>
              <w:t>187,663</w:t>
            </w:r>
          </w:p>
        </w:tc>
        <w:tc>
          <w:tcPr>
            <w:tcW w:w="283" w:type="dxa"/>
            <w:tcMar>
              <w:top w:w="0" w:type="dxa"/>
              <w:left w:w="108" w:type="dxa"/>
              <w:bottom w:w="0" w:type="dxa"/>
              <w:right w:w="108" w:type="dxa"/>
            </w:tcMar>
          </w:tcPr>
          <w:p w14:paraId="5B10C0D2"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2CC2168D" w14:textId="77777777" w:rsidR="00E60DD4" w:rsidRPr="00E60DD4" w:rsidRDefault="00E60DD4" w:rsidP="00E60DD4">
            <w:pPr>
              <w:tabs>
                <w:tab w:val="left" w:pos="120"/>
                <w:tab w:val="right" w:pos="1920"/>
              </w:tabs>
              <w:jc w:val="right"/>
              <w:rPr>
                <w:rFonts w:ascii="Arial" w:hAnsi="Arial" w:cs="Arial"/>
                <w:color w:val="000000"/>
                <w:lang w:val="en-GB"/>
              </w:rPr>
            </w:pPr>
            <w:r w:rsidRPr="00E60DD4">
              <w:rPr>
                <w:rFonts w:ascii="Arial" w:hAnsi="Arial" w:cs="Arial"/>
                <w:color w:val="000000"/>
                <w:lang w:val="en-GB"/>
              </w:rPr>
              <w:t>197,540</w:t>
            </w:r>
          </w:p>
        </w:tc>
        <w:tc>
          <w:tcPr>
            <w:tcW w:w="284" w:type="dxa"/>
            <w:tcMar>
              <w:top w:w="0" w:type="dxa"/>
              <w:left w:w="108" w:type="dxa"/>
              <w:bottom w:w="0" w:type="dxa"/>
              <w:right w:w="108" w:type="dxa"/>
            </w:tcMar>
          </w:tcPr>
          <w:p w14:paraId="2CE7E608" w14:textId="77777777" w:rsidR="00E60DD4" w:rsidRPr="00E60DD4" w:rsidRDefault="00E60DD4" w:rsidP="00E60DD4">
            <w:pPr>
              <w:jc w:val="right"/>
              <w:rPr>
                <w:rFonts w:ascii="Arial" w:hAnsi="Arial" w:cs="Arial"/>
                <w:color w:val="000000"/>
                <w:lang w:val="en-GB"/>
              </w:rPr>
            </w:pPr>
          </w:p>
        </w:tc>
      </w:tr>
      <w:tr w:rsidR="00E60DD4" w:rsidRPr="00E60DD4" w14:paraId="3D45F940" w14:textId="77777777" w:rsidTr="00E60DD4">
        <w:trPr>
          <w:trHeight w:val="266"/>
        </w:trPr>
        <w:tc>
          <w:tcPr>
            <w:tcW w:w="3368" w:type="dxa"/>
            <w:noWrap/>
            <w:tcMar>
              <w:top w:w="0" w:type="dxa"/>
              <w:left w:w="108" w:type="dxa"/>
              <w:bottom w:w="0" w:type="dxa"/>
              <w:right w:w="108" w:type="dxa"/>
            </w:tcMar>
            <w:hideMark/>
          </w:tcPr>
          <w:p w14:paraId="13EADA36"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Accounts Receivable</w:t>
            </w:r>
          </w:p>
        </w:tc>
        <w:tc>
          <w:tcPr>
            <w:tcW w:w="2154" w:type="dxa"/>
            <w:noWrap/>
            <w:tcMar>
              <w:top w:w="0" w:type="dxa"/>
              <w:left w:w="108" w:type="dxa"/>
              <w:bottom w:w="0" w:type="dxa"/>
              <w:right w:w="108" w:type="dxa"/>
            </w:tcMar>
            <w:hideMark/>
          </w:tcPr>
          <w:p w14:paraId="33C20569" w14:textId="77777777" w:rsidR="00E60DD4" w:rsidRPr="00E60DD4" w:rsidRDefault="00E60DD4" w:rsidP="00E60DD4">
            <w:pPr>
              <w:tabs>
                <w:tab w:val="left" w:pos="210"/>
                <w:tab w:val="right" w:pos="1935"/>
              </w:tabs>
              <w:jc w:val="right"/>
              <w:rPr>
                <w:rFonts w:ascii="Arial" w:hAnsi="Arial" w:cs="Arial"/>
                <w:color w:val="000000"/>
                <w:lang w:val="en-GB"/>
              </w:rPr>
            </w:pPr>
            <w:r w:rsidRPr="00E60DD4">
              <w:rPr>
                <w:rFonts w:ascii="Arial" w:hAnsi="Arial" w:cs="Arial"/>
                <w:color w:val="000000"/>
                <w:lang w:val="en-GB"/>
              </w:rPr>
              <w:t>336,823</w:t>
            </w:r>
          </w:p>
        </w:tc>
        <w:tc>
          <w:tcPr>
            <w:tcW w:w="283" w:type="dxa"/>
            <w:tcMar>
              <w:top w:w="0" w:type="dxa"/>
              <w:left w:w="108" w:type="dxa"/>
              <w:bottom w:w="0" w:type="dxa"/>
              <w:right w:w="108" w:type="dxa"/>
            </w:tcMar>
          </w:tcPr>
          <w:p w14:paraId="35566509"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4E6EE695" w14:textId="77777777" w:rsidR="00E60DD4" w:rsidRPr="00E60DD4" w:rsidRDefault="00E60DD4" w:rsidP="00E60DD4">
            <w:pPr>
              <w:tabs>
                <w:tab w:val="left" w:pos="120"/>
                <w:tab w:val="right" w:pos="1920"/>
              </w:tabs>
              <w:jc w:val="right"/>
              <w:rPr>
                <w:rFonts w:ascii="Arial" w:hAnsi="Arial" w:cs="Arial"/>
                <w:color w:val="000000"/>
                <w:lang w:val="en-GB"/>
              </w:rPr>
            </w:pPr>
            <w:r w:rsidRPr="00E60DD4">
              <w:rPr>
                <w:rFonts w:ascii="Arial" w:hAnsi="Arial" w:cs="Arial"/>
                <w:color w:val="000000"/>
                <w:lang w:val="en-GB"/>
              </w:rPr>
              <w:t>344,820</w:t>
            </w:r>
          </w:p>
        </w:tc>
        <w:tc>
          <w:tcPr>
            <w:tcW w:w="284" w:type="dxa"/>
            <w:tcMar>
              <w:top w:w="0" w:type="dxa"/>
              <w:left w:w="108" w:type="dxa"/>
              <w:bottom w:w="0" w:type="dxa"/>
              <w:right w:w="108" w:type="dxa"/>
            </w:tcMar>
          </w:tcPr>
          <w:p w14:paraId="0F90B394" w14:textId="77777777" w:rsidR="00E60DD4" w:rsidRPr="00E60DD4" w:rsidRDefault="00E60DD4" w:rsidP="00E60DD4">
            <w:pPr>
              <w:jc w:val="right"/>
              <w:rPr>
                <w:rFonts w:ascii="Arial" w:hAnsi="Arial" w:cs="Arial"/>
                <w:color w:val="000000"/>
                <w:lang w:val="en-GB"/>
              </w:rPr>
            </w:pPr>
          </w:p>
        </w:tc>
      </w:tr>
      <w:tr w:rsidR="00E60DD4" w:rsidRPr="00E60DD4" w14:paraId="27F5795D" w14:textId="77777777" w:rsidTr="00E60DD4">
        <w:trPr>
          <w:trHeight w:val="266"/>
        </w:trPr>
        <w:tc>
          <w:tcPr>
            <w:tcW w:w="3368" w:type="dxa"/>
            <w:noWrap/>
            <w:tcMar>
              <w:top w:w="0" w:type="dxa"/>
              <w:left w:w="108" w:type="dxa"/>
              <w:bottom w:w="0" w:type="dxa"/>
              <w:right w:w="108" w:type="dxa"/>
            </w:tcMar>
            <w:hideMark/>
          </w:tcPr>
          <w:p w14:paraId="4077E6D7"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 xml:space="preserve">Income Tax Receivable </w:t>
            </w:r>
          </w:p>
        </w:tc>
        <w:tc>
          <w:tcPr>
            <w:tcW w:w="2154" w:type="dxa"/>
            <w:noWrap/>
            <w:tcMar>
              <w:top w:w="0" w:type="dxa"/>
              <w:left w:w="108" w:type="dxa"/>
              <w:bottom w:w="0" w:type="dxa"/>
              <w:right w:w="108" w:type="dxa"/>
            </w:tcMar>
            <w:hideMark/>
          </w:tcPr>
          <w:p w14:paraId="52DF90BC" w14:textId="77777777" w:rsidR="00E60DD4" w:rsidRPr="00E60DD4" w:rsidRDefault="00E60DD4" w:rsidP="00E60DD4">
            <w:pPr>
              <w:tabs>
                <w:tab w:val="left" w:pos="210"/>
                <w:tab w:val="right" w:pos="1935"/>
              </w:tabs>
              <w:jc w:val="right"/>
              <w:rPr>
                <w:rFonts w:ascii="Arial" w:hAnsi="Arial" w:cs="Arial"/>
                <w:color w:val="000000"/>
                <w:lang w:val="en-GB"/>
              </w:rPr>
            </w:pPr>
            <w:r w:rsidRPr="00E60DD4">
              <w:rPr>
                <w:rFonts w:ascii="Arial" w:hAnsi="Arial" w:cs="Arial"/>
                <w:color w:val="000000"/>
                <w:lang w:val="en-GB"/>
              </w:rPr>
              <w:t>114,025</w:t>
            </w:r>
          </w:p>
        </w:tc>
        <w:tc>
          <w:tcPr>
            <w:tcW w:w="283" w:type="dxa"/>
            <w:tcMar>
              <w:top w:w="0" w:type="dxa"/>
              <w:left w:w="108" w:type="dxa"/>
              <w:bottom w:w="0" w:type="dxa"/>
              <w:right w:w="108" w:type="dxa"/>
            </w:tcMar>
          </w:tcPr>
          <w:p w14:paraId="65C052D6"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1E36D414" w14:textId="77777777" w:rsidR="00E60DD4" w:rsidRPr="00E60DD4" w:rsidRDefault="00E60DD4" w:rsidP="00E60DD4">
            <w:pPr>
              <w:tabs>
                <w:tab w:val="left" w:pos="120"/>
                <w:tab w:val="right" w:pos="1920"/>
              </w:tabs>
              <w:jc w:val="right"/>
              <w:rPr>
                <w:rFonts w:ascii="Arial" w:hAnsi="Arial" w:cs="Arial"/>
                <w:color w:val="000000"/>
                <w:lang w:val="en-GB"/>
              </w:rPr>
            </w:pPr>
            <w:r w:rsidRPr="00E60DD4">
              <w:rPr>
                <w:rFonts w:ascii="Arial" w:hAnsi="Arial" w:cs="Arial"/>
                <w:color w:val="000000"/>
                <w:lang w:val="en-GB"/>
              </w:rPr>
              <w:t>94,235</w:t>
            </w:r>
          </w:p>
        </w:tc>
        <w:tc>
          <w:tcPr>
            <w:tcW w:w="284" w:type="dxa"/>
            <w:tcMar>
              <w:top w:w="0" w:type="dxa"/>
              <w:left w:w="108" w:type="dxa"/>
              <w:bottom w:w="0" w:type="dxa"/>
              <w:right w:w="108" w:type="dxa"/>
            </w:tcMar>
          </w:tcPr>
          <w:p w14:paraId="3872D22A" w14:textId="77777777" w:rsidR="00E60DD4" w:rsidRPr="00E60DD4" w:rsidRDefault="00E60DD4" w:rsidP="00E60DD4">
            <w:pPr>
              <w:jc w:val="right"/>
              <w:rPr>
                <w:rFonts w:ascii="Arial" w:hAnsi="Arial" w:cs="Arial"/>
                <w:color w:val="000000"/>
                <w:lang w:val="en-GB"/>
              </w:rPr>
            </w:pPr>
          </w:p>
        </w:tc>
      </w:tr>
      <w:tr w:rsidR="00E60DD4" w:rsidRPr="00E60DD4" w14:paraId="7F2706D8" w14:textId="77777777" w:rsidTr="00E60DD4">
        <w:trPr>
          <w:trHeight w:val="266"/>
        </w:trPr>
        <w:tc>
          <w:tcPr>
            <w:tcW w:w="3368" w:type="dxa"/>
            <w:noWrap/>
            <w:tcMar>
              <w:top w:w="0" w:type="dxa"/>
              <w:left w:w="108" w:type="dxa"/>
              <w:bottom w:w="0" w:type="dxa"/>
              <w:right w:w="108" w:type="dxa"/>
            </w:tcMar>
          </w:tcPr>
          <w:p w14:paraId="0F3DB20A"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Inventory</w:t>
            </w:r>
          </w:p>
        </w:tc>
        <w:tc>
          <w:tcPr>
            <w:tcW w:w="2154" w:type="dxa"/>
            <w:noWrap/>
            <w:tcMar>
              <w:top w:w="0" w:type="dxa"/>
              <w:left w:w="108" w:type="dxa"/>
              <w:bottom w:w="0" w:type="dxa"/>
              <w:right w:w="108" w:type="dxa"/>
            </w:tcMar>
          </w:tcPr>
          <w:p w14:paraId="4CE3E786" w14:textId="77777777" w:rsidR="00E60DD4" w:rsidRPr="00E60DD4" w:rsidRDefault="00E60DD4" w:rsidP="00E60DD4">
            <w:pPr>
              <w:tabs>
                <w:tab w:val="left" w:pos="210"/>
                <w:tab w:val="right" w:pos="1935"/>
              </w:tabs>
              <w:jc w:val="right"/>
              <w:rPr>
                <w:rFonts w:ascii="Arial" w:hAnsi="Arial" w:cs="Arial"/>
                <w:color w:val="000000"/>
                <w:lang w:val="en-GB"/>
              </w:rPr>
            </w:pPr>
            <w:r w:rsidRPr="00E60DD4">
              <w:rPr>
                <w:rFonts w:ascii="Arial" w:hAnsi="Arial" w:cs="Arial"/>
                <w:color w:val="000000"/>
                <w:lang w:val="en-GB"/>
              </w:rPr>
              <w:t>50,998</w:t>
            </w:r>
          </w:p>
        </w:tc>
        <w:tc>
          <w:tcPr>
            <w:tcW w:w="283" w:type="dxa"/>
            <w:tcMar>
              <w:top w:w="0" w:type="dxa"/>
              <w:left w:w="108" w:type="dxa"/>
              <w:bottom w:w="0" w:type="dxa"/>
              <w:right w:w="108" w:type="dxa"/>
            </w:tcMar>
          </w:tcPr>
          <w:p w14:paraId="5E35DADE"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531A52A9" w14:textId="77777777" w:rsidR="00E60DD4" w:rsidRPr="00E60DD4" w:rsidRDefault="00E60DD4" w:rsidP="00E60DD4">
            <w:pPr>
              <w:tabs>
                <w:tab w:val="left" w:pos="120"/>
                <w:tab w:val="right" w:pos="1920"/>
              </w:tabs>
              <w:jc w:val="right"/>
              <w:rPr>
                <w:rFonts w:ascii="Arial" w:hAnsi="Arial" w:cs="Arial"/>
                <w:color w:val="000000"/>
                <w:lang w:val="en-GB"/>
              </w:rPr>
            </w:pPr>
            <w:r w:rsidRPr="00E60DD4">
              <w:rPr>
                <w:rFonts w:ascii="Arial" w:hAnsi="Arial" w:cs="Arial"/>
                <w:color w:val="000000"/>
                <w:lang w:val="en-GB"/>
              </w:rPr>
              <w:t>41,565</w:t>
            </w:r>
          </w:p>
        </w:tc>
        <w:tc>
          <w:tcPr>
            <w:tcW w:w="284" w:type="dxa"/>
            <w:tcMar>
              <w:top w:w="0" w:type="dxa"/>
              <w:left w:w="108" w:type="dxa"/>
              <w:bottom w:w="0" w:type="dxa"/>
              <w:right w:w="108" w:type="dxa"/>
            </w:tcMar>
          </w:tcPr>
          <w:p w14:paraId="33E1F955" w14:textId="77777777" w:rsidR="00E60DD4" w:rsidRPr="00E60DD4" w:rsidRDefault="00E60DD4" w:rsidP="00E60DD4">
            <w:pPr>
              <w:jc w:val="right"/>
              <w:rPr>
                <w:rFonts w:ascii="Arial" w:hAnsi="Arial" w:cs="Arial"/>
                <w:color w:val="000000"/>
                <w:lang w:val="en-GB"/>
              </w:rPr>
            </w:pPr>
          </w:p>
        </w:tc>
      </w:tr>
      <w:tr w:rsidR="00E60DD4" w:rsidRPr="00E60DD4" w14:paraId="4D1CBA8B" w14:textId="77777777" w:rsidTr="00E60DD4">
        <w:trPr>
          <w:trHeight w:val="266"/>
        </w:trPr>
        <w:tc>
          <w:tcPr>
            <w:tcW w:w="3368" w:type="dxa"/>
            <w:noWrap/>
            <w:tcMar>
              <w:top w:w="0" w:type="dxa"/>
              <w:left w:w="108" w:type="dxa"/>
              <w:bottom w:w="0" w:type="dxa"/>
              <w:right w:w="108" w:type="dxa"/>
            </w:tcMar>
            <w:hideMark/>
          </w:tcPr>
          <w:p w14:paraId="173E8BED"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Prepaid Expenses</w:t>
            </w:r>
          </w:p>
        </w:tc>
        <w:tc>
          <w:tcPr>
            <w:tcW w:w="2154" w:type="dxa"/>
            <w:noWrap/>
            <w:tcMar>
              <w:top w:w="0" w:type="dxa"/>
              <w:left w:w="108" w:type="dxa"/>
              <w:bottom w:w="0" w:type="dxa"/>
              <w:right w:w="108" w:type="dxa"/>
            </w:tcMar>
            <w:hideMark/>
          </w:tcPr>
          <w:p w14:paraId="558AB586" w14:textId="77777777" w:rsidR="00E60DD4" w:rsidRPr="00E60DD4" w:rsidRDefault="00E60DD4" w:rsidP="00E60DD4">
            <w:pPr>
              <w:tabs>
                <w:tab w:val="left" w:pos="210"/>
                <w:tab w:val="right" w:pos="1935"/>
              </w:tabs>
              <w:jc w:val="right"/>
              <w:rPr>
                <w:rFonts w:ascii="Arial" w:hAnsi="Arial" w:cs="Arial"/>
                <w:color w:val="000000"/>
                <w:u w:val="single"/>
                <w:lang w:val="en-GB"/>
              </w:rPr>
            </w:pPr>
            <w:r w:rsidRPr="00E60DD4">
              <w:rPr>
                <w:rFonts w:ascii="Arial" w:hAnsi="Arial" w:cs="Arial"/>
                <w:color w:val="000000"/>
                <w:u w:val="single"/>
                <w:lang w:val="en-GB"/>
              </w:rPr>
              <w:t>$                     65,564</w:t>
            </w:r>
          </w:p>
        </w:tc>
        <w:tc>
          <w:tcPr>
            <w:tcW w:w="283" w:type="dxa"/>
            <w:tcMar>
              <w:top w:w="0" w:type="dxa"/>
              <w:left w:w="108" w:type="dxa"/>
              <w:bottom w:w="0" w:type="dxa"/>
              <w:right w:w="108" w:type="dxa"/>
            </w:tcMar>
          </w:tcPr>
          <w:p w14:paraId="4562B8E2" w14:textId="77777777" w:rsidR="00E60DD4" w:rsidRPr="00E60DD4" w:rsidRDefault="00E60DD4" w:rsidP="00E60DD4">
            <w:pPr>
              <w:jc w:val="right"/>
              <w:rPr>
                <w:rFonts w:ascii="Arial" w:hAnsi="Arial" w:cs="Arial"/>
                <w:color w:val="000000"/>
                <w:u w:val="single"/>
                <w:lang w:val="en-GB"/>
              </w:rPr>
            </w:pPr>
          </w:p>
        </w:tc>
        <w:tc>
          <w:tcPr>
            <w:tcW w:w="2154" w:type="dxa"/>
            <w:noWrap/>
            <w:tcMar>
              <w:top w:w="0" w:type="dxa"/>
              <w:left w:w="108" w:type="dxa"/>
              <w:bottom w:w="0" w:type="dxa"/>
              <w:right w:w="108" w:type="dxa"/>
            </w:tcMar>
            <w:hideMark/>
          </w:tcPr>
          <w:p w14:paraId="775BA2D2" w14:textId="7701BFE8" w:rsidR="00E60DD4" w:rsidRPr="00E60DD4" w:rsidRDefault="00E60DD4" w:rsidP="00E60DD4">
            <w:pPr>
              <w:tabs>
                <w:tab w:val="left" w:pos="120"/>
                <w:tab w:val="right" w:pos="1920"/>
              </w:tabs>
              <w:jc w:val="right"/>
              <w:rPr>
                <w:rFonts w:ascii="Arial" w:hAnsi="Arial" w:cs="Arial"/>
                <w:color w:val="000000"/>
                <w:u w:val="single"/>
                <w:lang w:val="en-GB"/>
              </w:rPr>
            </w:pPr>
            <w:r w:rsidRPr="00E60DD4">
              <w:rPr>
                <w:rFonts w:ascii="Arial" w:hAnsi="Arial" w:cs="Arial"/>
                <w:color w:val="000000"/>
                <w:u w:val="single"/>
                <w:lang w:val="en-GB"/>
              </w:rPr>
              <w:t>$                     50,19</w:t>
            </w:r>
            <w:r w:rsidR="00E879A4">
              <w:rPr>
                <w:rFonts w:ascii="Arial" w:hAnsi="Arial" w:cs="Arial"/>
                <w:color w:val="000000"/>
                <w:u w:val="single"/>
                <w:lang w:val="en-GB"/>
              </w:rPr>
              <w:t>6</w:t>
            </w:r>
          </w:p>
        </w:tc>
        <w:tc>
          <w:tcPr>
            <w:tcW w:w="284" w:type="dxa"/>
            <w:tcMar>
              <w:top w:w="0" w:type="dxa"/>
              <w:left w:w="108" w:type="dxa"/>
              <w:bottom w:w="0" w:type="dxa"/>
              <w:right w:w="108" w:type="dxa"/>
            </w:tcMar>
          </w:tcPr>
          <w:p w14:paraId="118241A3" w14:textId="77777777" w:rsidR="00E60DD4" w:rsidRPr="00E60DD4" w:rsidRDefault="00E60DD4" w:rsidP="00E60DD4">
            <w:pPr>
              <w:jc w:val="right"/>
              <w:rPr>
                <w:rFonts w:ascii="Arial" w:hAnsi="Arial" w:cs="Arial"/>
                <w:color w:val="000000"/>
                <w:u w:val="single"/>
                <w:lang w:val="en-GB"/>
              </w:rPr>
            </w:pPr>
          </w:p>
        </w:tc>
      </w:tr>
      <w:tr w:rsidR="00E60DD4" w:rsidRPr="00E60DD4" w14:paraId="754ED80A" w14:textId="77777777" w:rsidTr="00E60DD4">
        <w:trPr>
          <w:trHeight w:val="266"/>
        </w:trPr>
        <w:tc>
          <w:tcPr>
            <w:tcW w:w="3368" w:type="dxa"/>
            <w:noWrap/>
            <w:tcMar>
              <w:top w:w="0" w:type="dxa"/>
              <w:left w:w="108" w:type="dxa"/>
              <w:bottom w:w="0" w:type="dxa"/>
              <w:right w:w="108" w:type="dxa"/>
            </w:tcMar>
            <w:hideMark/>
          </w:tcPr>
          <w:p w14:paraId="622D4667"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Total Current Assets</w:t>
            </w:r>
          </w:p>
        </w:tc>
        <w:tc>
          <w:tcPr>
            <w:tcW w:w="2154" w:type="dxa"/>
            <w:noWrap/>
            <w:tcMar>
              <w:top w:w="0" w:type="dxa"/>
              <w:left w:w="108" w:type="dxa"/>
              <w:bottom w:w="0" w:type="dxa"/>
              <w:right w:w="108" w:type="dxa"/>
            </w:tcMar>
            <w:hideMark/>
          </w:tcPr>
          <w:p w14:paraId="7DF2CA6F" w14:textId="77777777" w:rsidR="00E60DD4" w:rsidRPr="00E60DD4" w:rsidRDefault="00E60DD4" w:rsidP="00E60DD4">
            <w:pPr>
              <w:tabs>
                <w:tab w:val="left" w:pos="210"/>
                <w:tab w:val="right" w:pos="1935"/>
              </w:tabs>
              <w:jc w:val="right"/>
              <w:rPr>
                <w:rFonts w:ascii="Arial" w:hAnsi="Arial" w:cs="Arial"/>
                <w:color w:val="000000"/>
                <w:lang w:val="en-GB"/>
              </w:rPr>
            </w:pPr>
            <w:r w:rsidRPr="00E60DD4">
              <w:rPr>
                <w:rFonts w:ascii="Arial" w:hAnsi="Arial" w:cs="Arial"/>
                <w:color w:val="000000"/>
                <w:lang w:val="en-GB"/>
              </w:rPr>
              <w:t>$                1,403,121</w:t>
            </w:r>
          </w:p>
        </w:tc>
        <w:tc>
          <w:tcPr>
            <w:tcW w:w="283" w:type="dxa"/>
            <w:tcMar>
              <w:top w:w="0" w:type="dxa"/>
              <w:left w:w="108" w:type="dxa"/>
              <w:bottom w:w="0" w:type="dxa"/>
              <w:right w:w="108" w:type="dxa"/>
            </w:tcMar>
          </w:tcPr>
          <w:p w14:paraId="664D0F8A"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355A0DB4" w14:textId="52394E5F" w:rsidR="00E60DD4" w:rsidRPr="00E60DD4" w:rsidRDefault="00E60DD4" w:rsidP="00E60DD4">
            <w:pPr>
              <w:tabs>
                <w:tab w:val="left" w:pos="120"/>
                <w:tab w:val="right" w:pos="1920"/>
              </w:tabs>
              <w:jc w:val="right"/>
              <w:rPr>
                <w:rFonts w:ascii="Arial" w:hAnsi="Arial" w:cs="Arial"/>
                <w:color w:val="000000"/>
                <w:lang w:val="en-GB"/>
              </w:rPr>
            </w:pPr>
            <w:r w:rsidRPr="00E60DD4">
              <w:rPr>
                <w:rFonts w:ascii="Arial" w:hAnsi="Arial" w:cs="Arial"/>
                <w:color w:val="000000"/>
                <w:lang w:val="en-GB"/>
              </w:rPr>
              <w:t>$                1,410,51</w:t>
            </w:r>
            <w:r w:rsidR="00E879A4">
              <w:rPr>
                <w:rFonts w:ascii="Arial" w:hAnsi="Arial" w:cs="Arial"/>
                <w:color w:val="000000"/>
                <w:lang w:val="en-GB"/>
              </w:rPr>
              <w:t>2</w:t>
            </w:r>
          </w:p>
        </w:tc>
        <w:tc>
          <w:tcPr>
            <w:tcW w:w="284" w:type="dxa"/>
            <w:tcMar>
              <w:top w:w="0" w:type="dxa"/>
              <w:left w:w="108" w:type="dxa"/>
              <w:bottom w:w="0" w:type="dxa"/>
              <w:right w:w="108" w:type="dxa"/>
            </w:tcMar>
          </w:tcPr>
          <w:p w14:paraId="5ACC93CC" w14:textId="77777777" w:rsidR="00E60DD4" w:rsidRPr="00E60DD4" w:rsidRDefault="00E60DD4" w:rsidP="00E60DD4">
            <w:pPr>
              <w:jc w:val="right"/>
              <w:rPr>
                <w:rFonts w:ascii="Arial" w:hAnsi="Arial" w:cs="Arial"/>
                <w:color w:val="000000"/>
                <w:lang w:val="en-GB"/>
              </w:rPr>
            </w:pPr>
          </w:p>
        </w:tc>
      </w:tr>
      <w:tr w:rsidR="00E60DD4" w:rsidRPr="00E60DD4" w14:paraId="1CF96CC2" w14:textId="77777777" w:rsidTr="00E60DD4">
        <w:trPr>
          <w:trHeight w:val="144"/>
        </w:trPr>
        <w:tc>
          <w:tcPr>
            <w:tcW w:w="3368" w:type="dxa"/>
            <w:noWrap/>
            <w:tcMar>
              <w:top w:w="0" w:type="dxa"/>
              <w:left w:w="108" w:type="dxa"/>
              <w:bottom w:w="0" w:type="dxa"/>
              <w:right w:w="108" w:type="dxa"/>
            </w:tcMar>
            <w:vAlign w:val="bottom"/>
          </w:tcPr>
          <w:p w14:paraId="6CC2FD27" w14:textId="77777777" w:rsidR="00E60DD4" w:rsidRPr="00E60DD4" w:rsidRDefault="00E60DD4" w:rsidP="00E60DD4">
            <w:pPr>
              <w:rPr>
                <w:rFonts w:ascii="Arial" w:hAnsi="Arial" w:cs="Arial"/>
                <w:b/>
                <w:color w:val="000000"/>
                <w:lang w:val="en-GB"/>
              </w:rPr>
            </w:pPr>
          </w:p>
        </w:tc>
        <w:tc>
          <w:tcPr>
            <w:tcW w:w="2154" w:type="dxa"/>
            <w:noWrap/>
            <w:tcMar>
              <w:top w:w="0" w:type="dxa"/>
              <w:left w:w="108" w:type="dxa"/>
              <w:bottom w:w="0" w:type="dxa"/>
              <w:right w:w="108" w:type="dxa"/>
            </w:tcMar>
          </w:tcPr>
          <w:p w14:paraId="0F76B53C" w14:textId="77777777" w:rsidR="00E60DD4" w:rsidRPr="00E60DD4" w:rsidRDefault="00E60DD4" w:rsidP="00E60DD4">
            <w:pPr>
              <w:jc w:val="right"/>
              <w:rPr>
                <w:rFonts w:ascii="Arial" w:hAnsi="Arial" w:cs="Arial"/>
                <w:color w:val="000000"/>
                <w:u w:val="single"/>
                <w:lang w:val="en-GB"/>
              </w:rPr>
            </w:pPr>
          </w:p>
        </w:tc>
        <w:tc>
          <w:tcPr>
            <w:tcW w:w="283" w:type="dxa"/>
            <w:tcMar>
              <w:top w:w="0" w:type="dxa"/>
              <w:left w:w="108" w:type="dxa"/>
              <w:bottom w:w="0" w:type="dxa"/>
              <w:right w:w="108" w:type="dxa"/>
            </w:tcMar>
          </w:tcPr>
          <w:p w14:paraId="58138035"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tcPr>
          <w:p w14:paraId="7F2A610B" w14:textId="77777777" w:rsidR="00E60DD4" w:rsidRPr="00E60DD4" w:rsidRDefault="00E60DD4" w:rsidP="00E60DD4">
            <w:pPr>
              <w:jc w:val="right"/>
              <w:rPr>
                <w:rFonts w:ascii="Arial" w:hAnsi="Arial" w:cs="Arial"/>
                <w:color w:val="000000"/>
                <w:lang w:val="en-GB"/>
              </w:rPr>
            </w:pPr>
          </w:p>
        </w:tc>
        <w:tc>
          <w:tcPr>
            <w:tcW w:w="284" w:type="dxa"/>
            <w:tcMar>
              <w:top w:w="0" w:type="dxa"/>
              <w:left w:w="108" w:type="dxa"/>
              <w:bottom w:w="0" w:type="dxa"/>
              <w:right w:w="108" w:type="dxa"/>
            </w:tcMar>
          </w:tcPr>
          <w:p w14:paraId="17D9E380" w14:textId="77777777" w:rsidR="00E60DD4" w:rsidRPr="00E60DD4" w:rsidRDefault="00E60DD4" w:rsidP="00E60DD4">
            <w:pPr>
              <w:jc w:val="center"/>
              <w:rPr>
                <w:rFonts w:ascii="Arial" w:eastAsia="Calibri" w:hAnsi="Arial" w:cs="Arial"/>
                <w:color w:val="000000"/>
                <w:lang w:val="en-GB"/>
              </w:rPr>
            </w:pPr>
          </w:p>
        </w:tc>
      </w:tr>
      <w:tr w:rsidR="00E60DD4" w:rsidRPr="00E60DD4" w14:paraId="77C0016F" w14:textId="77777777" w:rsidTr="00E60DD4">
        <w:trPr>
          <w:trHeight w:val="266"/>
        </w:trPr>
        <w:tc>
          <w:tcPr>
            <w:tcW w:w="3368" w:type="dxa"/>
            <w:noWrap/>
            <w:tcMar>
              <w:top w:w="0" w:type="dxa"/>
              <w:left w:w="108" w:type="dxa"/>
              <w:bottom w:w="0" w:type="dxa"/>
              <w:right w:w="108" w:type="dxa"/>
            </w:tcMar>
            <w:hideMark/>
          </w:tcPr>
          <w:p w14:paraId="27CE1E5A" w14:textId="77777777" w:rsidR="00E60DD4" w:rsidRPr="00E60DD4" w:rsidRDefault="00E60DD4" w:rsidP="00E60DD4">
            <w:pPr>
              <w:rPr>
                <w:rFonts w:ascii="Arial" w:eastAsia="Calibri" w:hAnsi="Arial" w:cs="Arial"/>
                <w:b/>
                <w:color w:val="000000"/>
                <w:lang w:val="en-GB"/>
              </w:rPr>
            </w:pPr>
            <w:r w:rsidRPr="00E60DD4">
              <w:rPr>
                <w:rFonts w:ascii="Arial" w:hAnsi="Arial" w:cs="Arial"/>
                <w:b/>
                <w:color w:val="000000"/>
                <w:lang w:val="en-GB"/>
              </w:rPr>
              <w:t>Fixed Assets</w:t>
            </w:r>
          </w:p>
        </w:tc>
        <w:tc>
          <w:tcPr>
            <w:tcW w:w="2154" w:type="dxa"/>
            <w:noWrap/>
            <w:tcMar>
              <w:top w:w="0" w:type="dxa"/>
              <w:left w:w="108" w:type="dxa"/>
              <w:bottom w:w="0" w:type="dxa"/>
              <w:right w:w="108" w:type="dxa"/>
            </w:tcMar>
            <w:hideMark/>
          </w:tcPr>
          <w:p w14:paraId="296F2E4D" w14:textId="77777777" w:rsidR="00E60DD4" w:rsidRPr="00E60DD4" w:rsidRDefault="00E60DD4" w:rsidP="00E60DD4">
            <w:pPr>
              <w:jc w:val="right"/>
              <w:rPr>
                <w:rFonts w:ascii="Arial" w:hAnsi="Arial" w:cs="Arial"/>
                <w:color w:val="000000"/>
                <w:u w:val="single"/>
                <w:lang w:val="en-GB"/>
              </w:rPr>
            </w:pPr>
          </w:p>
        </w:tc>
        <w:tc>
          <w:tcPr>
            <w:tcW w:w="283" w:type="dxa"/>
            <w:tcMar>
              <w:top w:w="0" w:type="dxa"/>
              <w:left w:w="108" w:type="dxa"/>
              <w:bottom w:w="0" w:type="dxa"/>
              <w:right w:w="108" w:type="dxa"/>
            </w:tcMar>
          </w:tcPr>
          <w:p w14:paraId="294FFE04"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7CD0A236" w14:textId="77777777" w:rsidR="00E60DD4" w:rsidRPr="00E60DD4" w:rsidRDefault="00E60DD4" w:rsidP="00E60DD4">
            <w:pPr>
              <w:jc w:val="right"/>
              <w:rPr>
                <w:rFonts w:ascii="Arial" w:hAnsi="Arial" w:cs="Arial"/>
                <w:color w:val="000000"/>
                <w:lang w:val="en-GB"/>
              </w:rPr>
            </w:pPr>
          </w:p>
        </w:tc>
        <w:tc>
          <w:tcPr>
            <w:tcW w:w="284" w:type="dxa"/>
            <w:tcMar>
              <w:top w:w="0" w:type="dxa"/>
              <w:left w:w="108" w:type="dxa"/>
              <w:bottom w:w="0" w:type="dxa"/>
              <w:right w:w="108" w:type="dxa"/>
            </w:tcMar>
          </w:tcPr>
          <w:p w14:paraId="6AEBEBBF" w14:textId="77777777" w:rsidR="00E60DD4" w:rsidRPr="00E60DD4" w:rsidRDefault="00E60DD4" w:rsidP="00E60DD4">
            <w:pPr>
              <w:jc w:val="center"/>
              <w:rPr>
                <w:rFonts w:ascii="Arial" w:eastAsia="Calibri" w:hAnsi="Arial" w:cs="Arial"/>
                <w:color w:val="000000"/>
                <w:lang w:val="en-GB"/>
              </w:rPr>
            </w:pPr>
          </w:p>
        </w:tc>
      </w:tr>
      <w:tr w:rsidR="00E60DD4" w:rsidRPr="00E60DD4" w14:paraId="08FC4C25" w14:textId="77777777" w:rsidTr="00E60DD4">
        <w:trPr>
          <w:trHeight w:val="266"/>
        </w:trPr>
        <w:tc>
          <w:tcPr>
            <w:tcW w:w="3368" w:type="dxa"/>
            <w:noWrap/>
            <w:tcMar>
              <w:top w:w="0" w:type="dxa"/>
              <w:left w:w="108" w:type="dxa"/>
              <w:bottom w:w="0" w:type="dxa"/>
              <w:right w:w="108" w:type="dxa"/>
            </w:tcMar>
            <w:hideMark/>
          </w:tcPr>
          <w:p w14:paraId="1C03F3B1"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 xml:space="preserve">   Furniture &amp; Fixtures</w:t>
            </w:r>
          </w:p>
        </w:tc>
        <w:tc>
          <w:tcPr>
            <w:tcW w:w="2154" w:type="dxa"/>
            <w:noWrap/>
            <w:tcMar>
              <w:top w:w="0" w:type="dxa"/>
              <w:left w:w="108" w:type="dxa"/>
              <w:bottom w:w="0" w:type="dxa"/>
              <w:right w:w="108" w:type="dxa"/>
            </w:tcMar>
            <w:hideMark/>
          </w:tcPr>
          <w:p w14:paraId="5EA88439" w14:textId="77777777" w:rsidR="00E60DD4" w:rsidRPr="00E60DD4" w:rsidRDefault="00E60DD4" w:rsidP="00E60DD4">
            <w:pPr>
              <w:tabs>
                <w:tab w:val="right" w:pos="1935"/>
              </w:tabs>
              <w:jc w:val="right"/>
              <w:rPr>
                <w:rFonts w:ascii="Arial" w:hAnsi="Arial" w:cs="Arial"/>
                <w:color w:val="000000"/>
                <w:lang w:val="en-GB"/>
              </w:rPr>
            </w:pPr>
            <w:r w:rsidRPr="00E60DD4">
              <w:rPr>
                <w:rFonts w:ascii="Arial" w:hAnsi="Arial" w:cs="Arial"/>
                <w:color w:val="000000"/>
                <w:lang w:val="en-GB"/>
              </w:rPr>
              <w:t>$                   823,183</w:t>
            </w:r>
          </w:p>
        </w:tc>
        <w:tc>
          <w:tcPr>
            <w:tcW w:w="283" w:type="dxa"/>
            <w:tcMar>
              <w:top w:w="0" w:type="dxa"/>
              <w:left w:w="108" w:type="dxa"/>
              <w:bottom w:w="0" w:type="dxa"/>
              <w:right w:w="108" w:type="dxa"/>
            </w:tcMar>
          </w:tcPr>
          <w:p w14:paraId="01E55E05"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57549B17" w14:textId="77777777" w:rsidR="00E60DD4" w:rsidRPr="00E60DD4" w:rsidRDefault="00E60DD4" w:rsidP="00E60DD4">
            <w:pPr>
              <w:jc w:val="right"/>
              <w:rPr>
                <w:rFonts w:ascii="Arial" w:hAnsi="Arial" w:cs="Arial"/>
                <w:color w:val="000000"/>
                <w:lang w:val="en-GB"/>
              </w:rPr>
            </w:pPr>
            <w:r w:rsidRPr="00E60DD4">
              <w:rPr>
                <w:rFonts w:ascii="Arial" w:hAnsi="Arial" w:cs="Arial"/>
                <w:color w:val="000000"/>
                <w:lang w:val="en-GB"/>
              </w:rPr>
              <w:t>$                   831,498</w:t>
            </w:r>
          </w:p>
        </w:tc>
        <w:tc>
          <w:tcPr>
            <w:tcW w:w="284" w:type="dxa"/>
            <w:tcMar>
              <w:top w:w="0" w:type="dxa"/>
              <w:left w:w="108" w:type="dxa"/>
              <w:bottom w:w="0" w:type="dxa"/>
              <w:right w:w="108" w:type="dxa"/>
            </w:tcMar>
          </w:tcPr>
          <w:p w14:paraId="63CEA0D1" w14:textId="77777777" w:rsidR="00E60DD4" w:rsidRPr="00E60DD4" w:rsidRDefault="00E60DD4" w:rsidP="00E60DD4">
            <w:pPr>
              <w:jc w:val="right"/>
              <w:rPr>
                <w:rFonts w:ascii="Arial" w:hAnsi="Arial" w:cs="Arial"/>
                <w:color w:val="000000"/>
                <w:lang w:val="en-GB"/>
              </w:rPr>
            </w:pPr>
          </w:p>
        </w:tc>
      </w:tr>
      <w:tr w:rsidR="00E60DD4" w:rsidRPr="00E60DD4" w14:paraId="7E416F28" w14:textId="77777777" w:rsidTr="00E60DD4">
        <w:trPr>
          <w:trHeight w:val="266"/>
        </w:trPr>
        <w:tc>
          <w:tcPr>
            <w:tcW w:w="3368" w:type="dxa"/>
            <w:noWrap/>
            <w:tcMar>
              <w:top w:w="0" w:type="dxa"/>
              <w:left w:w="108" w:type="dxa"/>
              <w:bottom w:w="0" w:type="dxa"/>
              <w:right w:w="108" w:type="dxa"/>
            </w:tcMar>
            <w:hideMark/>
          </w:tcPr>
          <w:p w14:paraId="5201CF3A"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 xml:space="preserve">   Computer Equipment</w:t>
            </w:r>
          </w:p>
        </w:tc>
        <w:tc>
          <w:tcPr>
            <w:tcW w:w="2154" w:type="dxa"/>
            <w:noWrap/>
            <w:tcMar>
              <w:top w:w="0" w:type="dxa"/>
              <w:left w:w="108" w:type="dxa"/>
              <w:bottom w:w="0" w:type="dxa"/>
              <w:right w:w="108" w:type="dxa"/>
            </w:tcMar>
            <w:hideMark/>
          </w:tcPr>
          <w:p w14:paraId="2A77CF38" w14:textId="77777777" w:rsidR="00E60DD4" w:rsidRPr="00E60DD4" w:rsidRDefault="00E60DD4" w:rsidP="00E60DD4">
            <w:pPr>
              <w:jc w:val="right"/>
              <w:rPr>
                <w:rFonts w:ascii="Arial" w:hAnsi="Arial" w:cs="Arial"/>
                <w:color w:val="000000"/>
                <w:lang w:val="en-GB"/>
              </w:rPr>
            </w:pPr>
            <w:r w:rsidRPr="00E60DD4">
              <w:rPr>
                <w:rFonts w:ascii="Arial" w:hAnsi="Arial" w:cs="Arial"/>
                <w:color w:val="000000"/>
                <w:lang w:val="en-GB"/>
              </w:rPr>
              <w:t>157,645</w:t>
            </w:r>
          </w:p>
        </w:tc>
        <w:tc>
          <w:tcPr>
            <w:tcW w:w="283" w:type="dxa"/>
            <w:tcMar>
              <w:top w:w="0" w:type="dxa"/>
              <w:left w:w="108" w:type="dxa"/>
              <w:bottom w:w="0" w:type="dxa"/>
              <w:right w:w="108" w:type="dxa"/>
            </w:tcMar>
          </w:tcPr>
          <w:p w14:paraId="51556771"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546E3A8F" w14:textId="77777777" w:rsidR="00E60DD4" w:rsidRPr="00E60DD4" w:rsidRDefault="00E60DD4" w:rsidP="00E60DD4">
            <w:pPr>
              <w:jc w:val="right"/>
              <w:rPr>
                <w:rFonts w:ascii="Arial" w:hAnsi="Arial" w:cs="Arial"/>
                <w:color w:val="000000"/>
                <w:lang w:val="en-GB"/>
              </w:rPr>
            </w:pPr>
            <w:r w:rsidRPr="00E60DD4">
              <w:rPr>
                <w:rFonts w:ascii="Arial" w:hAnsi="Arial" w:cs="Arial"/>
                <w:color w:val="000000"/>
                <w:lang w:val="en-GB"/>
              </w:rPr>
              <w:t>171,353</w:t>
            </w:r>
          </w:p>
        </w:tc>
        <w:tc>
          <w:tcPr>
            <w:tcW w:w="284" w:type="dxa"/>
            <w:tcMar>
              <w:top w:w="0" w:type="dxa"/>
              <w:left w:w="108" w:type="dxa"/>
              <w:bottom w:w="0" w:type="dxa"/>
              <w:right w:w="108" w:type="dxa"/>
            </w:tcMar>
          </w:tcPr>
          <w:p w14:paraId="23C957FE" w14:textId="77777777" w:rsidR="00E60DD4" w:rsidRPr="00E60DD4" w:rsidRDefault="00E60DD4" w:rsidP="00E60DD4">
            <w:pPr>
              <w:jc w:val="right"/>
              <w:rPr>
                <w:rFonts w:ascii="Arial" w:hAnsi="Arial" w:cs="Arial"/>
                <w:color w:val="000000"/>
                <w:lang w:val="en-GB"/>
              </w:rPr>
            </w:pPr>
          </w:p>
        </w:tc>
      </w:tr>
      <w:tr w:rsidR="00E60DD4" w:rsidRPr="00E60DD4" w14:paraId="2A0A4E68" w14:textId="77777777" w:rsidTr="00E60DD4">
        <w:trPr>
          <w:trHeight w:val="266"/>
        </w:trPr>
        <w:tc>
          <w:tcPr>
            <w:tcW w:w="3368" w:type="dxa"/>
            <w:noWrap/>
            <w:tcMar>
              <w:top w:w="0" w:type="dxa"/>
              <w:left w:w="108" w:type="dxa"/>
              <w:bottom w:w="0" w:type="dxa"/>
              <w:right w:w="108" w:type="dxa"/>
            </w:tcMar>
            <w:hideMark/>
          </w:tcPr>
          <w:p w14:paraId="2F52411A"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 xml:space="preserve">   Leasehold Improvements</w:t>
            </w:r>
          </w:p>
        </w:tc>
        <w:tc>
          <w:tcPr>
            <w:tcW w:w="2154" w:type="dxa"/>
            <w:noWrap/>
            <w:tcMar>
              <w:top w:w="0" w:type="dxa"/>
              <w:left w:w="108" w:type="dxa"/>
              <w:bottom w:w="0" w:type="dxa"/>
              <w:right w:w="108" w:type="dxa"/>
            </w:tcMar>
            <w:hideMark/>
          </w:tcPr>
          <w:p w14:paraId="019847C2" w14:textId="77777777" w:rsidR="00E60DD4" w:rsidRPr="00E60DD4" w:rsidRDefault="00E60DD4" w:rsidP="00E60DD4">
            <w:pPr>
              <w:jc w:val="right"/>
              <w:rPr>
                <w:rFonts w:ascii="Arial" w:hAnsi="Arial" w:cs="Arial"/>
                <w:color w:val="000000"/>
                <w:u w:val="single"/>
                <w:lang w:val="en-GB"/>
              </w:rPr>
            </w:pPr>
            <w:r w:rsidRPr="00E60DD4">
              <w:rPr>
                <w:rFonts w:ascii="Arial" w:hAnsi="Arial" w:cs="Arial"/>
                <w:color w:val="000000"/>
                <w:u w:val="single"/>
                <w:lang w:val="en-GB"/>
              </w:rPr>
              <w:t xml:space="preserve">                  2,030,848</w:t>
            </w:r>
          </w:p>
        </w:tc>
        <w:tc>
          <w:tcPr>
            <w:tcW w:w="283" w:type="dxa"/>
            <w:tcMar>
              <w:top w:w="0" w:type="dxa"/>
              <w:left w:w="108" w:type="dxa"/>
              <w:bottom w:w="0" w:type="dxa"/>
              <w:right w:w="108" w:type="dxa"/>
            </w:tcMar>
          </w:tcPr>
          <w:p w14:paraId="4A0591A0" w14:textId="77777777" w:rsidR="00E60DD4" w:rsidRPr="00E60DD4" w:rsidRDefault="00E60DD4" w:rsidP="00E60DD4">
            <w:pPr>
              <w:jc w:val="right"/>
              <w:rPr>
                <w:rFonts w:ascii="Arial" w:hAnsi="Arial" w:cs="Arial"/>
                <w:color w:val="000000"/>
                <w:u w:val="single"/>
                <w:lang w:val="en-GB"/>
              </w:rPr>
            </w:pPr>
          </w:p>
        </w:tc>
        <w:tc>
          <w:tcPr>
            <w:tcW w:w="2154" w:type="dxa"/>
            <w:noWrap/>
            <w:tcMar>
              <w:top w:w="0" w:type="dxa"/>
              <w:left w:w="108" w:type="dxa"/>
              <w:bottom w:w="0" w:type="dxa"/>
              <w:right w:w="108" w:type="dxa"/>
            </w:tcMar>
            <w:hideMark/>
          </w:tcPr>
          <w:p w14:paraId="52B09126" w14:textId="77777777" w:rsidR="00E60DD4" w:rsidRPr="00E60DD4" w:rsidRDefault="00E60DD4" w:rsidP="00E60DD4">
            <w:pPr>
              <w:jc w:val="right"/>
              <w:rPr>
                <w:rFonts w:ascii="Arial" w:hAnsi="Arial" w:cs="Arial"/>
                <w:color w:val="000000"/>
                <w:u w:val="single"/>
                <w:lang w:val="en-GB"/>
              </w:rPr>
            </w:pPr>
            <w:r w:rsidRPr="00E60DD4">
              <w:rPr>
                <w:rFonts w:ascii="Arial" w:hAnsi="Arial" w:cs="Arial"/>
                <w:color w:val="000000"/>
                <w:u w:val="single"/>
                <w:lang w:val="en-GB"/>
              </w:rPr>
              <w:t xml:space="preserve">                  1,952,739</w:t>
            </w:r>
          </w:p>
        </w:tc>
        <w:tc>
          <w:tcPr>
            <w:tcW w:w="284" w:type="dxa"/>
            <w:tcMar>
              <w:top w:w="0" w:type="dxa"/>
              <w:left w:w="108" w:type="dxa"/>
              <w:bottom w:w="0" w:type="dxa"/>
              <w:right w:w="108" w:type="dxa"/>
            </w:tcMar>
          </w:tcPr>
          <w:p w14:paraId="5ABD44EE" w14:textId="77777777" w:rsidR="00E60DD4" w:rsidRPr="00E60DD4" w:rsidRDefault="00E60DD4" w:rsidP="00E60DD4">
            <w:pPr>
              <w:jc w:val="right"/>
              <w:rPr>
                <w:rFonts w:ascii="Arial" w:hAnsi="Arial" w:cs="Arial"/>
                <w:color w:val="000000"/>
                <w:u w:val="single"/>
                <w:lang w:val="en-GB"/>
              </w:rPr>
            </w:pPr>
          </w:p>
        </w:tc>
      </w:tr>
      <w:tr w:rsidR="00E60DD4" w:rsidRPr="00E60DD4" w14:paraId="73C4CF17" w14:textId="77777777" w:rsidTr="00E60DD4">
        <w:trPr>
          <w:trHeight w:val="266"/>
        </w:trPr>
        <w:tc>
          <w:tcPr>
            <w:tcW w:w="3368" w:type="dxa"/>
            <w:noWrap/>
            <w:tcMar>
              <w:top w:w="0" w:type="dxa"/>
              <w:left w:w="108" w:type="dxa"/>
              <w:bottom w:w="0" w:type="dxa"/>
              <w:right w:w="108" w:type="dxa"/>
            </w:tcMar>
          </w:tcPr>
          <w:p w14:paraId="686EAD7E"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Total Fixed Assets (Cost)</w:t>
            </w:r>
          </w:p>
        </w:tc>
        <w:tc>
          <w:tcPr>
            <w:tcW w:w="2154" w:type="dxa"/>
            <w:noWrap/>
            <w:tcMar>
              <w:top w:w="0" w:type="dxa"/>
              <w:left w:w="108" w:type="dxa"/>
              <w:bottom w:w="0" w:type="dxa"/>
              <w:right w:w="108" w:type="dxa"/>
            </w:tcMar>
          </w:tcPr>
          <w:p w14:paraId="7902A013" w14:textId="77777777" w:rsidR="00E60DD4" w:rsidRPr="00E60DD4" w:rsidRDefault="00E60DD4" w:rsidP="00E60DD4">
            <w:pPr>
              <w:jc w:val="right"/>
              <w:rPr>
                <w:rFonts w:ascii="Arial" w:hAnsi="Arial" w:cs="Arial"/>
                <w:color w:val="000000"/>
                <w:lang w:val="en-GB"/>
              </w:rPr>
            </w:pPr>
            <w:r w:rsidRPr="00E60DD4">
              <w:rPr>
                <w:rFonts w:ascii="Arial" w:hAnsi="Arial" w:cs="Arial"/>
                <w:color w:val="000000"/>
                <w:lang w:val="en-GB"/>
              </w:rPr>
              <w:t>$                3,011,676</w:t>
            </w:r>
          </w:p>
        </w:tc>
        <w:tc>
          <w:tcPr>
            <w:tcW w:w="283" w:type="dxa"/>
            <w:tcMar>
              <w:top w:w="0" w:type="dxa"/>
              <w:left w:w="108" w:type="dxa"/>
              <w:bottom w:w="0" w:type="dxa"/>
              <w:right w:w="108" w:type="dxa"/>
            </w:tcMar>
          </w:tcPr>
          <w:p w14:paraId="74C3E8EB" w14:textId="77777777" w:rsidR="00E60DD4" w:rsidRPr="00E60DD4" w:rsidRDefault="00E60DD4" w:rsidP="00E60DD4">
            <w:pPr>
              <w:jc w:val="right"/>
              <w:rPr>
                <w:rFonts w:ascii="Arial" w:hAnsi="Arial" w:cs="Arial"/>
                <w:color w:val="000000"/>
                <w:u w:val="single"/>
                <w:lang w:val="en-GB"/>
              </w:rPr>
            </w:pPr>
          </w:p>
        </w:tc>
        <w:tc>
          <w:tcPr>
            <w:tcW w:w="2154" w:type="dxa"/>
            <w:noWrap/>
            <w:tcMar>
              <w:top w:w="0" w:type="dxa"/>
              <w:left w:w="108" w:type="dxa"/>
              <w:bottom w:w="0" w:type="dxa"/>
              <w:right w:w="108" w:type="dxa"/>
            </w:tcMar>
          </w:tcPr>
          <w:p w14:paraId="1ACB6E7E" w14:textId="77777777" w:rsidR="00E60DD4" w:rsidRPr="00E60DD4" w:rsidRDefault="00E60DD4" w:rsidP="00E60DD4">
            <w:pPr>
              <w:jc w:val="right"/>
              <w:rPr>
                <w:rFonts w:ascii="Arial" w:hAnsi="Arial" w:cs="Arial"/>
                <w:color w:val="000000"/>
                <w:lang w:val="en-GB"/>
              </w:rPr>
            </w:pPr>
            <w:r w:rsidRPr="00E60DD4">
              <w:rPr>
                <w:rFonts w:ascii="Arial" w:hAnsi="Arial" w:cs="Arial"/>
                <w:color w:val="000000"/>
                <w:lang w:val="en-GB"/>
              </w:rPr>
              <w:t>$                2,955,590</w:t>
            </w:r>
          </w:p>
        </w:tc>
        <w:tc>
          <w:tcPr>
            <w:tcW w:w="284" w:type="dxa"/>
            <w:tcMar>
              <w:top w:w="0" w:type="dxa"/>
              <w:left w:w="108" w:type="dxa"/>
              <w:bottom w:w="0" w:type="dxa"/>
              <w:right w:w="108" w:type="dxa"/>
            </w:tcMar>
          </w:tcPr>
          <w:p w14:paraId="095A99A4" w14:textId="77777777" w:rsidR="00E60DD4" w:rsidRPr="00E60DD4" w:rsidRDefault="00E60DD4" w:rsidP="00E60DD4">
            <w:pPr>
              <w:jc w:val="right"/>
              <w:rPr>
                <w:rFonts w:ascii="Arial" w:hAnsi="Arial" w:cs="Arial"/>
                <w:color w:val="000000"/>
                <w:u w:val="single"/>
                <w:lang w:val="en-GB"/>
              </w:rPr>
            </w:pPr>
          </w:p>
        </w:tc>
      </w:tr>
      <w:tr w:rsidR="00E60DD4" w:rsidRPr="00E60DD4" w14:paraId="43721E69" w14:textId="77777777" w:rsidTr="00E60DD4">
        <w:trPr>
          <w:trHeight w:val="266"/>
        </w:trPr>
        <w:tc>
          <w:tcPr>
            <w:tcW w:w="3368" w:type="dxa"/>
            <w:noWrap/>
            <w:tcMar>
              <w:top w:w="0" w:type="dxa"/>
              <w:left w:w="108" w:type="dxa"/>
              <w:bottom w:w="0" w:type="dxa"/>
              <w:right w:w="108" w:type="dxa"/>
            </w:tcMar>
            <w:hideMark/>
          </w:tcPr>
          <w:p w14:paraId="60498D21"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Less: Accumulated Depreciation</w:t>
            </w:r>
          </w:p>
        </w:tc>
        <w:tc>
          <w:tcPr>
            <w:tcW w:w="2154" w:type="dxa"/>
            <w:noWrap/>
            <w:tcMar>
              <w:top w:w="0" w:type="dxa"/>
              <w:left w:w="108" w:type="dxa"/>
              <w:bottom w:w="0" w:type="dxa"/>
              <w:right w:w="108" w:type="dxa"/>
            </w:tcMar>
            <w:hideMark/>
          </w:tcPr>
          <w:p w14:paraId="00B81ADC" w14:textId="77777777" w:rsidR="00E60DD4" w:rsidRPr="00E60DD4" w:rsidRDefault="00E60DD4" w:rsidP="00E60DD4">
            <w:pPr>
              <w:jc w:val="right"/>
              <w:rPr>
                <w:rFonts w:ascii="Arial" w:hAnsi="Arial" w:cs="Arial"/>
                <w:color w:val="000000"/>
                <w:u w:val="single"/>
                <w:lang w:val="en-GB"/>
              </w:rPr>
            </w:pPr>
            <w:r w:rsidRPr="00E60DD4">
              <w:rPr>
                <w:rFonts w:ascii="Arial" w:hAnsi="Arial" w:cs="Arial"/>
                <w:color w:val="000000"/>
                <w:sz w:val="2"/>
                <w:szCs w:val="2"/>
                <w:u w:val="single"/>
                <w:lang w:val="en-GB"/>
              </w:rPr>
              <w:t xml:space="preserve">  </w:t>
            </w:r>
            <w:r w:rsidRPr="00E60DD4">
              <w:rPr>
                <w:rFonts w:ascii="Arial" w:hAnsi="Arial" w:cs="Arial"/>
                <w:color w:val="000000"/>
                <w:u w:val="single"/>
                <w:lang w:val="en-GB"/>
              </w:rPr>
              <w:t>$              (1,427,637)</w:t>
            </w:r>
          </w:p>
        </w:tc>
        <w:tc>
          <w:tcPr>
            <w:tcW w:w="283" w:type="dxa"/>
            <w:tcMar>
              <w:top w:w="0" w:type="dxa"/>
              <w:left w:w="108" w:type="dxa"/>
              <w:bottom w:w="0" w:type="dxa"/>
              <w:right w:w="108" w:type="dxa"/>
            </w:tcMar>
          </w:tcPr>
          <w:p w14:paraId="31EB24AB" w14:textId="77777777" w:rsidR="00E60DD4" w:rsidRPr="00E60DD4" w:rsidRDefault="00E60DD4" w:rsidP="00E60DD4">
            <w:pPr>
              <w:jc w:val="right"/>
              <w:rPr>
                <w:rFonts w:ascii="Arial" w:hAnsi="Arial" w:cs="Arial"/>
                <w:color w:val="000000"/>
                <w:u w:val="single"/>
                <w:lang w:val="en-GB"/>
              </w:rPr>
            </w:pPr>
          </w:p>
        </w:tc>
        <w:tc>
          <w:tcPr>
            <w:tcW w:w="2154" w:type="dxa"/>
            <w:noWrap/>
            <w:tcMar>
              <w:top w:w="0" w:type="dxa"/>
              <w:left w:w="108" w:type="dxa"/>
              <w:bottom w:w="0" w:type="dxa"/>
              <w:right w:w="108" w:type="dxa"/>
            </w:tcMar>
            <w:hideMark/>
          </w:tcPr>
          <w:p w14:paraId="24EA772F" w14:textId="77777777" w:rsidR="00E60DD4" w:rsidRPr="00E60DD4" w:rsidRDefault="00E60DD4" w:rsidP="00E60DD4">
            <w:pPr>
              <w:jc w:val="right"/>
              <w:rPr>
                <w:rFonts w:ascii="Arial" w:hAnsi="Arial" w:cs="Arial"/>
                <w:color w:val="000000"/>
                <w:u w:val="single"/>
                <w:lang w:val="en-GB"/>
              </w:rPr>
            </w:pPr>
            <w:r w:rsidRPr="00E60DD4">
              <w:rPr>
                <w:rFonts w:ascii="Arial" w:hAnsi="Arial" w:cs="Arial"/>
                <w:color w:val="000000"/>
                <w:u w:val="single"/>
                <w:lang w:val="en-GB"/>
              </w:rPr>
              <w:t>$              (1,413,502)</w:t>
            </w:r>
          </w:p>
        </w:tc>
        <w:tc>
          <w:tcPr>
            <w:tcW w:w="284" w:type="dxa"/>
            <w:tcMar>
              <w:top w:w="0" w:type="dxa"/>
              <w:left w:w="108" w:type="dxa"/>
              <w:bottom w:w="0" w:type="dxa"/>
              <w:right w:w="108" w:type="dxa"/>
            </w:tcMar>
          </w:tcPr>
          <w:p w14:paraId="51EB1ADB" w14:textId="77777777" w:rsidR="00E60DD4" w:rsidRPr="00E60DD4" w:rsidRDefault="00E60DD4" w:rsidP="00E60DD4">
            <w:pPr>
              <w:jc w:val="right"/>
              <w:rPr>
                <w:rFonts w:ascii="Arial" w:hAnsi="Arial" w:cs="Arial"/>
                <w:color w:val="000000"/>
                <w:u w:val="single"/>
                <w:lang w:val="en-GB"/>
              </w:rPr>
            </w:pPr>
          </w:p>
        </w:tc>
      </w:tr>
      <w:tr w:rsidR="00E60DD4" w:rsidRPr="00E60DD4" w14:paraId="29A6EA9E" w14:textId="77777777" w:rsidTr="00E60DD4">
        <w:trPr>
          <w:trHeight w:val="266"/>
        </w:trPr>
        <w:tc>
          <w:tcPr>
            <w:tcW w:w="3368" w:type="dxa"/>
            <w:noWrap/>
            <w:tcMar>
              <w:top w:w="0" w:type="dxa"/>
              <w:left w:w="108" w:type="dxa"/>
              <w:bottom w:w="0" w:type="dxa"/>
              <w:right w:w="108" w:type="dxa"/>
            </w:tcMar>
          </w:tcPr>
          <w:p w14:paraId="0C057206"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Total Fixed Assets (Net)</w:t>
            </w:r>
          </w:p>
        </w:tc>
        <w:tc>
          <w:tcPr>
            <w:tcW w:w="2154" w:type="dxa"/>
            <w:noWrap/>
            <w:tcMar>
              <w:top w:w="0" w:type="dxa"/>
              <w:left w:w="108" w:type="dxa"/>
              <w:bottom w:w="0" w:type="dxa"/>
              <w:right w:w="108" w:type="dxa"/>
            </w:tcMar>
          </w:tcPr>
          <w:p w14:paraId="47F3F56B"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1,584,039</w:t>
            </w:r>
          </w:p>
        </w:tc>
        <w:tc>
          <w:tcPr>
            <w:tcW w:w="283" w:type="dxa"/>
            <w:tcMar>
              <w:top w:w="0" w:type="dxa"/>
              <w:left w:w="108" w:type="dxa"/>
              <w:bottom w:w="0" w:type="dxa"/>
              <w:right w:w="108" w:type="dxa"/>
            </w:tcMar>
          </w:tcPr>
          <w:p w14:paraId="751AEE46"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2533DC8E"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w:t>
            </w:r>
            <w:r w:rsidRPr="00E60DD4">
              <w:rPr>
                <w:rFonts w:ascii="Arial" w:hAnsi="Arial" w:cs="Arial"/>
                <w:color w:val="000000"/>
                <w:lang w:val="en-GB"/>
              </w:rPr>
              <w:tab/>
              <w:t xml:space="preserve">                1,542,088</w:t>
            </w:r>
          </w:p>
        </w:tc>
        <w:tc>
          <w:tcPr>
            <w:tcW w:w="284" w:type="dxa"/>
            <w:tcMar>
              <w:top w:w="0" w:type="dxa"/>
              <w:left w:w="108" w:type="dxa"/>
              <w:bottom w:w="0" w:type="dxa"/>
              <w:right w:w="108" w:type="dxa"/>
            </w:tcMar>
          </w:tcPr>
          <w:p w14:paraId="51A1076E" w14:textId="77777777" w:rsidR="00E60DD4" w:rsidRPr="00E60DD4" w:rsidRDefault="00E60DD4" w:rsidP="00E60DD4">
            <w:pPr>
              <w:jc w:val="right"/>
              <w:rPr>
                <w:rFonts w:ascii="Arial" w:hAnsi="Arial" w:cs="Arial"/>
                <w:color w:val="000000"/>
                <w:lang w:val="en-GB"/>
              </w:rPr>
            </w:pPr>
          </w:p>
        </w:tc>
      </w:tr>
      <w:tr w:rsidR="00E60DD4" w:rsidRPr="00E60DD4" w14:paraId="75E4E07F" w14:textId="77777777" w:rsidTr="00E60DD4">
        <w:trPr>
          <w:trHeight w:val="266"/>
        </w:trPr>
        <w:tc>
          <w:tcPr>
            <w:tcW w:w="3368" w:type="dxa"/>
            <w:noWrap/>
            <w:tcMar>
              <w:top w:w="0" w:type="dxa"/>
              <w:left w:w="108" w:type="dxa"/>
              <w:bottom w:w="0" w:type="dxa"/>
              <w:right w:w="108" w:type="dxa"/>
            </w:tcMar>
          </w:tcPr>
          <w:p w14:paraId="03837935" w14:textId="77777777" w:rsidR="00E60DD4" w:rsidRPr="00E60DD4" w:rsidRDefault="00E60DD4" w:rsidP="00E60DD4">
            <w:pPr>
              <w:rPr>
                <w:rFonts w:ascii="Arial" w:hAnsi="Arial" w:cs="Arial"/>
                <w:b/>
                <w:color w:val="000000"/>
                <w:lang w:val="en-GB"/>
              </w:rPr>
            </w:pPr>
          </w:p>
        </w:tc>
        <w:tc>
          <w:tcPr>
            <w:tcW w:w="2154" w:type="dxa"/>
            <w:noWrap/>
            <w:tcMar>
              <w:top w:w="0" w:type="dxa"/>
              <w:left w:w="108" w:type="dxa"/>
              <w:bottom w:w="0" w:type="dxa"/>
              <w:right w:w="108" w:type="dxa"/>
            </w:tcMar>
          </w:tcPr>
          <w:p w14:paraId="65CD9681" w14:textId="77777777" w:rsidR="00E60DD4" w:rsidRPr="00E60DD4" w:rsidRDefault="00E60DD4" w:rsidP="00E60DD4">
            <w:pPr>
              <w:tabs>
                <w:tab w:val="left" w:pos="30"/>
                <w:tab w:val="right" w:pos="1935"/>
              </w:tabs>
              <w:jc w:val="right"/>
              <w:rPr>
                <w:rFonts w:ascii="Arial" w:hAnsi="Arial" w:cs="Arial"/>
                <w:color w:val="000000"/>
                <w:lang w:val="en-GB"/>
              </w:rPr>
            </w:pPr>
          </w:p>
        </w:tc>
        <w:tc>
          <w:tcPr>
            <w:tcW w:w="283" w:type="dxa"/>
            <w:tcMar>
              <w:top w:w="0" w:type="dxa"/>
              <w:left w:w="108" w:type="dxa"/>
              <w:bottom w:w="0" w:type="dxa"/>
              <w:right w:w="108" w:type="dxa"/>
            </w:tcMar>
          </w:tcPr>
          <w:p w14:paraId="1B13D22B"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62728666"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5E9ADB88" w14:textId="77777777" w:rsidR="00E60DD4" w:rsidRPr="00E60DD4" w:rsidRDefault="00E60DD4" w:rsidP="00E60DD4">
            <w:pPr>
              <w:jc w:val="right"/>
              <w:rPr>
                <w:rFonts w:ascii="Arial" w:hAnsi="Arial" w:cs="Arial"/>
                <w:color w:val="000000"/>
                <w:lang w:val="en-GB"/>
              </w:rPr>
            </w:pPr>
          </w:p>
        </w:tc>
      </w:tr>
      <w:tr w:rsidR="00E60DD4" w:rsidRPr="00E60DD4" w14:paraId="2BECBDA4" w14:textId="77777777" w:rsidTr="00E60DD4">
        <w:trPr>
          <w:trHeight w:val="266"/>
        </w:trPr>
        <w:tc>
          <w:tcPr>
            <w:tcW w:w="3368" w:type="dxa"/>
            <w:noWrap/>
            <w:tcMar>
              <w:top w:w="0" w:type="dxa"/>
              <w:left w:w="108" w:type="dxa"/>
              <w:bottom w:w="0" w:type="dxa"/>
              <w:right w:w="108" w:type="dxa"/>
            </w:tcMar>
          </w:tcPr>
          <w:p w14:paraId="68855E26"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Intangible Assets</w:t>
            </w:r>
          </w:p>
        </w:tc>
        <w:tc>
          <w:tcPr>
            <w:tcW w:w="2154" w:type="dxa"/>
            <w:noWrap/>
            <w:tcMar>
              <w:top w:w="0" w:type="dxa"/>
              <w:left w:w="108" w:type="dxa"/>
              <w:bottom w:w="0" w:type="dxa"/>
              <w:right w:w="108" w:type="dxa"/>
            </w:tcMar>
          </w:tcPr>
          <w:p w14:paraId="5F79B4F0" w14:textId="77777777" w:rsidR="00E60DD4" w:rsidRPr="00E60DD4" w:rsidRDefault="00E60DD4" w:rsidP="00E60DD4">
            <w:pPr>
              <w:tabs>
                <w:tab w:val="left" w:pos="30"/>
                <w:tab w:val="right" w:pos="1935"/>
              </w:tabs>
              <w:jc w:val="right"/>
              <w:rPr>
                <w:rFonts w:ascii="Arial" w:hAnsi="Arial" w:cs="Arial"/>
                <w:color w:val="000000"/>
                <w:lang w:val="en-GB"/>
              </w:rPr>
            </w:pPr>
          </w:p>
        </w:tc>
        <w:tc>
          <w:tcPr>
            <w:tcW w:w="283" w:type="dxa"/>
            <w:tcMar>
              <w:top w:w="0" w:type="dxa"/>
              <w:left w:w="108" w:type="dxa"/>
              <w:bottom w:w="0" w:type="dxa"/>
              <w:right w:w="108" w:type="dxa"/>
            </w:tcMar>
          </w:tcPr>
          <w:p w14:paraId="5B1F52EC"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5BBD0B9D"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7E7364BE" w14:textId="77777777" w:rsidR="00E60DD4" w:rsidRPr="00E60DD4" w:rsidRDefault="00E60DD4" w:rsidP="00E60DD4">
            <w:pPr>
              <w:jc w:val="right"/>
              <w:rPr>
                <w:rFonts w:ascii="Arial" w:hAnsi="Arial" w:cs="Arial"/>
                <w:color w:val="000000"/>
                <w:lang w:val="en-GB"/>
              </w:rPr>
            </w:pPr>
          </w:p>
        </w:tc>
      </w:tr>
      <w:tr w:rsidR="00E60DD4" w:rsidRPr="00E60DD4" w14:paraId="7B5E55B0" w14:textId="77777777" w:rsidTr="00E60DD4">
        <w:trPr>
          <w:trHeight w:val="266"/>
        </w:trPr>
        <w:tc>
          <w:tcPr>
            <w:tcW w:w="3368" w:type="dxa"/>
            <w:noWrap/>
            <w:tcMar>
              <w:top w:w="0" w:type="dxa"/>
              <w:left w:w="108" w:type="dxa"/>
              <w:bottom w:w="0" w:type="dxa"/>
              <w:right w:w="108" w:type="dxa"/>
            </w:tcMar>
          </w:tcPr>
          <w:p w14:paraId="343416B8"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Goodwill</w:t>
            </w:r>
          </w:p>
        </w:tc>
        <w:tc>
          <w:tcPr>
            <w:tcW w:w="2154" w:type="dxa"/>
            <w:noWrap/>
            <w:tcMar>
              <w:top w:w="0" w:type="dxa"/>
              <w:left w:w="108" w:type="dxa"/>
              <w:bottom w:w="0" w:type="dxa"/>
              <w:right w:w="108" w:type="dxa"/>
            </w:tcMar>
          </w:tcPr>
          <w:p w14:paraId="4D585806"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78,750</w:t>
            </w:r>
          </w:p>
        </w:tc>
        <w:tc>
          <w:tcPr>
            <w:tcW w:w="283" w:type="dxa"/>
            <w:tcMar>
              <w:top w:w="0" w:type="dxa"/>
              <w:left w:w="108" w:type="dxa"/>
              <w:bottom w:w="0" w:type="dxa"/>
              <w:right w:w="108" w:type="dxa"/>
            </w:tcMar>
          </w:tcPr>
          <w:p w14:paraId="5135CD73"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18178481"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                     78,750</w:t>
            </w:r>
          </w:p>
        </w:tc>
        <w:tc>
          <w:tcPr>
            <w:tcW w:w="284" w:type="dxa"/>
            <w:tcMar>
              <w:top w:w="0" w:type="dxa"/>
              <w:left w:w="108" w:type="dxa"/>
              <w:bottom w:w="0" w:type="dxa"/>
              <w:right w:w="108" w:type="dxa"/>
            </w:tcMar>
          </w:tcPr>
          <w:p w14:paraId="59430687" w14:textId="77777777" w:rsidR="00E60DD4" w:rsidRPr="00E60DD4" w:rsidRDefault="00E60DD4" w:rsidP="00E60DD4">
            <w:pPr>
              <w:jc w:val="right"/>
              <w:rPr>
                <w:rFonts w:ascii="Arial" w:hAnsi="Arial" w:cs="Arial"/>
                <w:color w:val="000000"/>
                <w:lang w:val="en-GB"/>
              </w:rPr>
            </w:pPr>
          </w:p>
        </w:tc>
      </w:tr>
      <w:tr w:rsidR="00E60DD4" w:rsidRPr="00E60DD4" w14:paraId="5D0EBEA8" w14:textId="77777777" w:rsidTr="00E60DD4">
        <w:trPr>
          <w:trHeight w:val="144"/>
        </w:trPr>
        <w:tc>
          <w:tcPr>
            <w:tcW w:w="3368" w:type="dxa"/>
            <w:noWrap/>
            <w:tcMar>
              <w:top w:w="0" w:type="dxa"/>
              <w:left w:w="108" w:type="dxa"/>
              <w:bottom w:w="0" w:type="dxa"/>
              <w:right w:w="108" w:type="dxa"/>
            </w:tcMar>
          </w:tcPr>
          <w:p w14:paraId="6D0A294F" w14:textId="77777777" w:rsidR="00E60DD4" w:rsidRPr="00E60DD4" w:rsidRDefault="00E60DD4" w:rsidP="00E60DD4">
            <w:pPr>
              <w:rPr>
                <w:rFonts w:ascii="Arial" w:hAnsi="Arial" w:cs="Arial"/>
                <w:b/>
                <w:color w:val="000000"/>
                <w:lang w:val="en-GB"/>
              </w:rPr>
            </w:pPr>
          </w:p>
        </w:tc>
        <w:tc>
          <w:tcPr>
            <w:tcW w:w="2154" w:type="dxa"/>
            <w:noWrap/>
            <w:tcMar>
              <w:top w:w="0" w:type="dxa"/>
              <w:left w:w="108" w:type="dxa"/>
              <w:bottom w:w="0" w:type="dxa"/>
              <w:right w:w="108" w:type="dxa"/>
            </w:tcMar>
          </w:tcPr>
          <w:p w14:paraId="39DFBCF4" w14:textId="77777777" w:rsidR="00E60DD4" w:rsidRPr="00E60DD4" w:rsidRDefault="00E60DD4" w:rsidP="00E60DD4">
            <w:pPr>
              <w:tabs>
                <w:tab w:val="left" w:pos="30"/>
                <w:tab w:val="right" w:pos="1935"/>
              </w:tabs>
              <w:jc w:val="right"/>
              <w:rPr>
                <w:rFonts w:ascii="Arial" w:hAnsi="Arial" w:cs="Arial"/>
                <w:color w:val="000000"/>
                <w:lang w:val="en-GB"/>
              </w:rPr>
            </w:pPr>
          </w:p>
        </w:tc>
        <w:tc>
          <w:tcPr>
            <w:tcW w:w="283" w:type="dxa"/>
            <w:tcMar>
              <w:top w:w="0" w:type="dxa"/>
              <w:left w:w="108" w:type="dxa"/>
              <w:bottom w:w="0" w:type="dxa"/>
              <w:right w:w="108" w:type="dxa"/>
            </w:tcMar>
          </w:tcPr>
          <w:p w14:paraId="57609CDA"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306E4A96"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12302BD8" w14:textId="77777777" w:rsidR="00E60DD4" w:rsidRPr="00E60DD4" w:rsidRDefault="00E60DD4" w:rsidP="00E60DD4">
            <w:pPr>
              <w:jc w:val="right"/>
              <w:rPr>
                <w:rFonts w:ascii="Arial" w:hAnsi="Arial" w:cs="Arial"/>
                <w:color w:val="000000"/>
                <w:lang w:val="en-GB"/>
              </w:rPr>
            </w:pPr>
          </w:p>
        </w:tc>
      </w:tr>
      <w:tr w:rsidR="00E60DD4" w:rsidRPr="00E60DD4" w14:paraId="73964C24" w14:textId="77777777" w:rsidTr="00E60DD4">
        <w:trPr>
          <w:trHeight w:val="266"/>
        </w:trPr>
        <w:tc>
          <w:tcPr>
            <w:tcW w:w="3368" w:type="dxa"/>
            <w:noWrap/>
            <w:tcMar>
              <w:top w:w="0" w:type="dxa"/>
              <w:left w:w="108" w:type="dxa"/>
              <w:bottom w:w="0" w:type="dxa"/>
              <w:right w:w="108" w:type="dxa"/>
            </w:tcMar>
            <w:vAlign w:val="bottom"/>
            <w:hideMark/>
          </w:tcPr>
          <w:p w14:paraId="19B50DEC" w14:textId="77777777" w:rsidR="00E60DD4" w:rsidRPr="00E60DD4" w:rsidRDefault="00E60DD4" w:rsidP="00E60DD4">
            <w:pPr>
              <w:rPr>
                <w:rFonts w:ascii="Arial" w:hAnsi="Arial" w:cs="Arial"/>
                <w:b/>
                <w:bCs/>
                <w:color w:val="000000"/>
                <w:lang w:val="en-GB"/>
              </w:rPr>
            </w:pPr>
            <w:r w:rsidRPr="00E60DD4">
              <w:rPr>
                <w:rFonts w:ascii="Arial" w:hAnsi="Arial" w:cs="Arial"/>
                <w:b/>
                <w:bCs/>
                <w:color w:val="000000"/>
                <w:lang w:val="en-GB"/>
              </w:rPr>
              <w:t>TOTAL ASSETS</w:t>
            </w:r>
          </w:p>
        </w:tc>
        <w:tc>
          <w:tcPr>
            <w:tcW w:w="2154" w:type="dxa"/>
            <w:noWrap/>
            <w:tcMar>
              <w:top w:w="0" w:type="dxa"/>
              <w:left w:w="108" w:type="dxa"/>
              <w:bottom w:w="0" w:type="dxa"/>
              <w:right w:w="108" w:type="dxa"/>
            </w:tcMar>
            <w:vAlign w:val="bottom"/>
            <w:hideMark/>
          </w:tcPr>
          <w:p w14:paraId="51E3D6DF" w14:textId="77777777" w:rsidR="00E60DD4" w:rsidRPr="00E60DD4" w:rsidRDefault="00E60DD4" w:rsidP="00E60DD4">
            <w:pPr>
              <w:tabs>
                <w:tab w:val="left" w:pos="30"/>
                <w:tab w:val="right" w:pos="1935"/>
              </w:tabs>
              <w:jc w:val="right"/>
              <w:rPr>
                <w:rFonts w:ascii="Arial" w:hAnsi="Arial" w:cs="Arial"/>
                <w:b/>
                <w:bCs/>
                <w:color w:val="000000"/>
                <w:u w:val="double"/>
                <w:lang w:val="en-GB"/>
              </w:rPr>
            </w:pPr>
            <w:r w:rsidRPr="00E60DD4">
              <w:rPr>
                <w:rFonts w:ascii="Arial" w:hAnsi="Arial" w:cs="Arial"/>
                <w:b/>
                <w:bCs/>
                <w:color w:val="000000"/>
                <w:u w:val="double"/>
                <w:lang w:val="en-GB"/>
              </w:rPr>
              <w:t>$                3,065,910</w:t>
            </w:r>
          </w:p>
        </w:tc>
        <w:tc>
          <w:tcPr>
            <w:tcW w:w="283" w:type="dxa"/>
            <w:tcMar>
              <w:top w:w="0" w:type="dxa"/>
              <w:left w:w="108" w:type="dxa"/>
              <w:bottom w:w="0" w:type="dxa"/>
              <w:right w:w="108" w:type="dxa"/>
            </w:tcMar>
            <w:vAlign w:val="bottom"/>
          </w:tcPr>
          <w:p w14:paraId="2CB7156F" w14:textId="77777777" w:rsidR="00E60DD4" w:rsidRPr="00E60DD4" w:rsidRDefault="00E60DD4" w:rsidP="00E60DD4">
            <w:pPr>
              <w:jc w:val="right"/>
              <w:rPr>
                <w:rFonts w:ascii="Arial" w:hAnsi="Arial" w:cs="Arial"/>
                <w:b/>
                <w:bCs/>
                <w:color w:val="000000"/>
                <w:u w:val="double"/>
                <w:lang w:val="en-GB"/>
              </w:rPr>
            </w:pPr>
          </w:p>
        </w:tc>
        <w:tc>
          <w:tcPr>
            <w:tcW w:w="2154" w:type="dxa"/>
            <w:noWrap/>
            <w:tcMar>
              <w:top w:w="0" w:type="dxa"/>
              <w:left w:w="108" w:type="dxa"/>
              <w:bottom w:w="0" w:type="dxa"/>
              <w:right w:w="108" w:type="dxa"/>
            </w:tcMar>
            <w:vAlign w:val="bottom"/>
            <w:hideMark/>
          </w:tcPr>
          <w:p w14:paraId="06BE16CC" w14:textId="0C15374C" w:rsidR="00E60DD4" w:rsidRPr="00E60DD4" w:rsidRDefault="00E60DD4" w:rsidP="00E60DD4">
            <w:pPr>
              <w:tabs>
                <w:tab w:val="left" w:pos="120"/>
                <w:tab w:val="right" w:pos="1935"/>
              </w:tabs>
              <w:jc w:val="right"/>
              <w:rPr>
                <w:rFonts w:ascii="Arial" w:hAnsi="Arial" w:cs="Arial"/>
                <w:b/>
                <w:bCs/>
                <w:color w:val="000000"/>
                <w:u w:val="double"/>
                <w:lang w:val="en-GB"/>
              </w:rPr>
            </w:pPr>
            <w:r w:rsidRPr="00E60DD4">
              <w:rPr>
                <w:rFonts w:ascii="Arial" w:hAnsi="Arial" w:cs="Arial"/>
                <w:b/>
                <w:bCs/>
                <w:color w:val="000000"/>
                <w:u w:val="double"/>
                <w:lang w:val="en-GB"/>
              </w:rPr>
              <w:t>$</w:t>
            </w:r>
            <w:r w:rsidRPr="00E60DD4">
              <w:rPr>
                <w:rFonts w:ascii="Arial" w:hAnsi="Arial" w:cs="Arial"/>
                <w:b/>
                <w:bCs/>
                <w:color w:val="000000"/>
                <w:u w:val="double"/>
                <w:lang w:val="en-GB"/>
              </w:rPr>
              <w:tab/>
              <w:t xml:space="preserve">                3,031,35</w:t>
            </w:r>
            <w:r w:rsidR="00E879A4">
              <w:rPr>
                <w:rFonts w:ascii="Arial" w:hAnsi="Arial" w:cs="Arial"/>
                <w:b/>
                <w:bCs/>
                <w:color w:val="000000"/>
                <w:u w:val="double"/>
                <w:lang w:val="en-GB"/>
              </w:rPr>
              <w:t>0</w:t>
            </w:r>
          </w:p>
        </w:tc>
        <w:tc>
          <w:tcPr>
            <w:tcW w:w="284" w:type="dxa"/>
            <w:tcMar>
              <w:top w:w="0" w:type="dxa"/>
              <w:left w:w="108" w:type="dxa"/>
              <w:bottom w:w="0" w:type="dxa"/>
              <w:right w:w="108" w:type="dxa"/>
            </w:tcMar>
            <w:vAlign w:val="bottom"/>
          </w:tcPr>
          <w:p w14:paraId="457D50EC" w14:textId="77777777" w:rsidR="00E60DD4" w:rsidRPr="00E60DD4" w:rsidRDefault="00E60DD4" w:rsidP="00E60DD4">
            <w:pPr>
              <w:jc w:val="right"/>
              <w:rPr>
                <w:rFonts w:ascii="Arial" w:hAnsi="Arial" w:cs="Arial"/>
                <w:b/>
                <w:bCs/>
                <w:color w:val="000000"/>
                <w:u w:val="double"/>
                <w:lang w:val="en-GB"/>
              </w:rPr>
            </w:pPr>
          </w:p>
        </w:tc>
      </w:tr>
      <w:tr w:rsidR="00E60DD4" w:rsidRPr="00E60DD4" w14:paraId="3D991664" w14:textId="77777777" w:rsidTr="00E60DD4">
        <w:trPr>
          <w:trHeight w:val="144"/>
        </w:trPr>
        <w:tc>
          <w:tcPr>
            <w:tcW w:w="3368" w:type="dxa"/>
            <w:noWrap/>
            <w:tcMar>
              <w:top w:w="0" w:type="dxa"/>
              <w:left w:w="108" w:type="dxa"/>
              <w:bottom w:w="0" w:type="dxa"/>
              <w:right w:w="108" w:type="dxa"/>
            </w:tcMar>
            <w:hideMark/>
          </w:tcPr>
          <w:p w14:paraId="67F3FC2F" w14:textId="77777777" w:rsidR="00E60DD4" w:rsidRPr="00E60DD4" w:rsidRDefault="00E60DD4" w:rsidP="00E60DD4">
            <w:pPr>
              <w:rPr>
                <w:rFonts w:ascii="Arial" w:hAnsi="Arial" w:cs="Arial"/>
                <w:b/>
                <w:bCs/>
                <w:color w:val="000000"/>
                <w:lang w:val="en-GB"/>
              </w:rPr>
            </w:pPr>
          </w:p>
        </w:tc>
        <w:tc>
          <w:tcPr>
            <w:tcW w:w="2154" w:type="dxa"/>
            <w:noWrap/>
            <w:tcMar>
              <w:top w:w="0" w:type="dxa"/>
              <w:left w:w="108" w:type="dxa"/>
              <w:bottom w:w="0" w:type="dxa"/>
              <w:right w:w="108" w:type="dxa"/>
            </w:tcMar>
            <w:hideMark/>
          </w:tcPr>
          <w:p w14:paraId="161E81B3" w14:textId="77777777" w:rsidR="00E60DD4" w:rsidRPr="00E60DD4" w:rsidRDefault="00E60DD4" w:rsidP="00E60DD4">
            <w:pPr>
              <w:tabs>
                <w:tab w:val="left" w:pos="30"/>
                <w:tab w:val="right" w:pos="1935"/>
              </w:tabs>
              <w:jc w:val="right"/>
              <w:rPr>
                <w:rFonts w:ascii="Arial" w:hAnsi="Arial" w:cs="Arial"/>
                <w:lang w:val="en-GB"/>
              </w:rPr>
            </w:pPr>
          </w:p>
        </w:tc>
        <w:tc>
          <w:tcPr>
            <w:tcW w:w="283" w:type="dxa"/>
            <w:tcMar>
              <w:top w:w="0" w:type="dxa"/>
              <w:left w:w="108" w:type="dxa"/>
              <w:bottom w:w="0" w:type="dxa"/>
              <w:right w:w="108" w:type="dxa"/>
            </w:tcMar>
          </w:tcPr>
          <w:p w14:paraId="2B6275B6"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7B4A9E1B"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78A06D96" w14:textId="77777777" w:rsidR="00E60DD4" w:rsidRPr="00E60DD4" w:rsidRDefault="00E60DD4" w:rsidP="00E60DD4">
            <w:pPr>
              <w:jc w:val="center"/>
              <w:rPr>
                <w:rFonts w:ascii="Arial" w:eastAsia="Calibri" w:hAnsi="Arial" w:cs="Arial"/>
                <w:color w:val="000000"/>
                <w:lang w:val="en-GB"/>
              </w:rPr>
            </w:pPr>
          </w:p>
        </w:tc>
      </w:tr>
      <w:tr w:rsidR="00E60DD4" w:rsidRPr="00E60DD4" w14:paraId="3A91DD2C" w14:textId="77777777" w:rsidTr="00E60DD4">
        <w:trPr>
          <w:trHeight w:val="266"/>
        </w:trPr>
        <w:tc>
          <w:tcPr>
            <w:tcW w:w="3368" w:type="dxa"/>
            <w:noWrap/>
            <w:tcMar>
              <w:top w:w="0" w:type="dxa"/>
              <w:left w:w="108" w:type="dxa"/>
              <w:bottom w:w="0" w:type="dxa"/>
              <w:right w:w="108" w:type="dxa"/>
            </w:tcMar>
            <w:hideMark/>
          </w:tcPr>
          <w:p w14:paraId="34FCE0C2" w14:textId="77777777" w:rsidR="00E60DD4" w:rsidRPr="00E60DD4" w:rsidRDefault="00E60DD4" w:rsidP="00E60DD4">
            <w:pPr>
              <w:rPr>
                <w:rFonts w:ascii="Arial" w:eastAsia="Calibri" w:hAnsi="Arial" w:cs="Arial"/>
                <w:b/>
                <w:bCs/>
                <w:color w:val="000000"/>
                <w:lang w:val="en-GB"/>
              </w:rPr>
            </w:pPr>
            <w:r w:rsidRPr="00E60DD4">
              <w:rPr>
                <w:rFonts w:ascii="Arial" w:hAnsi="Arial" w:cs="Arial"/>
                <w:b/>
                <w:bCs/>
                <w:color w:val="000000"/>
                <w:lang w:val="en-GB"/>
              </w:rPr>
              <w:t>LIABILITIES</w:t>
            </w:r>
          </w:p>
        </w:tc>
        <w:tc>
          <w:tcPr>
            <w:tcW w:w="2154" w:type="dxa"/>
            <w:noWrap/>
            <w:tcMar>
              <w:top w:w="0" w:type="dxa"/>
              <w:left w:w="108" w:type="dxa"/>
              <w:bottom w:w="0" w:type="dxa"/>
              <w:right w:w="108" w:type="dxa"/>
            </w:tcMar>
            <w:hideMark/>
          </w:tcPr>
          <w:p w14:paraId="64473190" w14:textId="77777777" w:rsidR="00E60DD4" w:rsidRPr="00E60DD4" w:rsidRDefault="00E60DD4" w:rsidP="00E60DD4">
            <w:pPr>
              <w:tabs>
                <w:tab w:val="left" w:pos="30"/>
                <w:tab w:val="right" w:pos="1935"/>
              </w:tabs>
              <w:jc w:val="right"/>
              <w:rPr>
                <w:rFonts w:ascii="Arial" w:hAnsi="Arial" w:cs="Arial"/>
                <w:b/>
                <w:bCs/>
                <w:color w:val="000000"/>
                <w:lang w:val="en-GB"/>
              </w:rPr>
            </w:pPr>
          </w:p>
        </w:tc>
        <w:tc>
          <w:tcPr>
            <w:tcW w:w="283" w:type="dxa"/>
            <w:tcMar>
              <w:top w:w="0" w:type="dxa"/>
              <w:left w:w="108" w:type="dxa"/>
              <w:bottom w:w="0" w:type="dxa"/>
              <w:right w:w="108" w:type="dxa"/>
            </w:tcMar>
          </w:tcPr>
          <w:p w14:paraId="1A455F45"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72649A81"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188828CC" w14:textId="77777777" w:rsidR="00E60DD4" w:rsidRPr="00E60DD4" w:rsidRDefault="00E60DD4" w:rsidP="00E60DD4">
            <w:pPr>
              <w:jc w:val="center"/>
              <w:rPr>
                <w:rFonts w:ascii="Arial" w:eastAsia="Calibri" w:hAnsi="Arial" w:cs="Arial"/>
                <w:color w:val="000000"/>
                <w:lang w:val="en-GB"/>
              </w:rPr>
            </w:pPr>
          </w:p>
        </w:tc>
      </w:tr>
      <w:tr w:rsidR="00E60DD4" w:rsidRPr="00E60DD4" w14:paraId="32E41C06" w14:textId="77777777" w:rsidTr="00E60DD4">
        <w:trPr>
          <w:trHeight w:val="266"/>
        </w:trPr>
        <w:tc>
          <w:tcPr>
            <w:tcW w:w="3368" w:type="dxa"/>
            <w:noWrap/>
            <w:tcMar>
              <w:top w:w="0" w:type="dxa"/>
              <w:left w:w="108" w:type="dxa"/>
              <w:bottom w:w="0" w:type="dxa"/>
              <w:right w:w="108" w:type="dxa"/>
            </w:tcMar>
            <w:hideMark/>
          </w:tcPr>
          <w:p w14:paraId="08DEAA45" w14:textId="77777777" w:rsidR="00E60DD4" w:rsidRPr="00E60DD4" w:rsidRDefault="00E60DD4" w:rsidP="00E60DD4">
            <w:pPr>
              <w:rPr>
                <w:rFonts w:ascii="Arial" w:eastAsia="Calibri" w:hAnsi="Arial" w:cs="Arial"/>
                <w:b/>
                <w:color w:val="000000"/>
                <w:lang w:val="en-GB"/>
              </w:rPr>
            </w:pPr>
            <w:r w:rsidRPr="00E60DD4">
              <w:rPr>
                <w:rFonts w:ascii="Arial" w:hAnsi="Arial" w:cs="Arial"/>
                <w:b/>
                <w:color w:val="000000"/>
                <w:lang w:val="en-GB"/>
              </w:rPr>
              <w:t>Current Liabilities</w:t>
            </w:r>
          </w:p>
        </w:tc>
        <w:tc>
          <w:tcPr>
            <w:tcW w:w="2154" w:type="dxa"/>
            <w:noWrap/>
            <w:tcMar>
              <w:top w:w="0" w:type="dxa"/>
              <w:left w:w="108" w:type="dxa"/>
              <w:bottom w:w="0" w:type="dxa"/>
              <w:right w:w="108" w:type="dxa"/>
            </w:tcMar>
            <w:hideMark/>
          </w:tcPr>
          <w:p w14:paraId="6136BEE7" w14:textId="77777777" w:rsidR="00E60DD4" w:rsidRPr="00E60DD4" w:rsidRDefault="00E60DD4" w:rsidP="00E60DD4">
            <w:pPr>
              <w:tabs>
                <w:tab w:val="left" w:pos="30"/>
                <w:tab w:val="right" w:pos="1935"/>
              </w:tabs>
              <w:jc w:val="right"/>
              <w:rPr>
                <w:rFonts w:ascii="Arial" w:hAnsi="Arial" w:cs="Arial"/>
                <w:color w:val="000000"/>
                <w:u w:val="single"/>
                <w:lang w:val="en-GB"/>
              </w:rPr>
            </w:pPr>
          </w:p>
        </w:tc>
        <w:tc>
          <w:tcPr>
            <w:tcW w:w="283" w:type="dxa"/>
            <w:tcMar>
              <w:top w:w="0" w:type="dxa"/>
              <w:left w:w="108" w:type="dxa"/>
              <w:bottom w:w="0" w:type="dxa"/>
              <w:right w:w="108" w:type="dxa"/>
            </w:tcMar>
          </w:tcPr>
          <w:p w14:paraId="0C4699B5"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0B837CEA"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4E5BCD69" w14:textId="77777777" w:rsidR="00E60DD4" w:rsidRPr="00E60DD4" w:rsidRDefault="00E60DD4" w:rsidP="00E60DD4">
            <w:pPr>
              <w:jc w:val="right"/>
              <w:rPr>
                <w:rFonts w:ascii="Arial" w:eastAsia="Calibri" w:hAnsi="Arial" w:cs="Arial"/>
                <w:color w:val="000000"/>
                <w:lang w:val="en-GB"/>
              </w:rPr>
            </w:pPr>
          </w:p>
        </w:tc>
      </w:tr>
      <w:tr w:rsidR="00E60DD4" w:rsidRPr="00E60DD4" w14:paraId="34982A02" w14:textId="77777777" w:rsidTr="00E60DD4">
        <w:trPr>
          <w:trHeight w:val="266"/>
        </w:trPr>
        <w:tc>
          <w:tcPr>
            <w:tcW w:w="3368" w:type="dxa"/>
            <w:noWrap/>
            <w:tcMar>
              <w:top w:w="0" w:type="dxa"/>
              <w:left w:w="108" w:type="dxa"/>
              <w:bottom w:w="0" w:type="dxa"/>
              <w:right w:w="108" w:type="dxa"/>
            </w:tcMar>
            <w:hideMark/>
          </w:tcPr>
          <w:p w14:paraId="7413D4B7" w14:textId="77777777" w:rsidR="00E60DD4" w:rsidRPr="00E60DD4" w:rsidRDefault="00E60DD4" w:rsidP="00E60DD4">
            <w:pPr>
              <w:rPr>
                <w:rFonts w:ascii="Arial" w:eastAsia="Calibri" w:hAnsi="Arial" w:cs="Arial"/>
                <w:color w:val="000000"/>
                <w:lang w:val="en-GB"/>
              </w:rPr>
            </w:pPr>
            <w:r w:rsidRPr="00E60DD4">
              <w:rPr>
                <w:rFonts w:ascii="Arial" w:hAnsi="Arial" w:cs="Arial"/>
                <w:color w:val="000000"/>
                <w:lang w:val="en-GB"/>
              </w:rPr>
              <w:t>Accounts Payable</w:t>
            </w:r>
          </w:p>
        </w:tc>
        <w:tc>
          <w:tcPr>
            <w:tcW w:w="2154" w:type="dxa"/>
            <w:noWrap/>
            <w:tcMar>
              <w:top w:w="0" w:type="dxa"/>
              <w:left w:w="108" w:type="dxa"/>
              <w:bottom w:w="0" w:type="dxa"/>
              <w:right w:w="108" w:type="dxa"/>
            </w:tcMar>
            <w:hideMark/>
          </w:tcPr>
          <w:p w14:paraId="37D455B6"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341,510</w:t>
            </w:r>
          </w:p>
        </w:tc>
        <w:tc>
          <w:tcPr>
            <w:tcW w:w="283" w:type="dxa"/>
            <w:tcMar>
              <w:top w:w="0" w:type="dxa"/>
              <w:left w:w="108" w:type="dxa"/>
              <w:bottom w:w="0" w:type="dxa"/>
              <w:right w:w="108" w:type="dxa"/>
            </w:tcMar>
          </w:tcPr>
          <w:p w14:paraId="67E8E9E0"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6D613081"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w:t>
            </w:r>
            <w:r w:rsidRPr="00E60DD4">
              <w:rPr>
                <w:rFonts w:ascii="Arial" w:hAnsi="Arial" w:cs="Arial"/>
                <w:color w:val="000000"/>
                <w:lang w:val="en-GB"/>
              </w:rPr>
              <w:tab/>
              <w:t xml:space="preserve">                   280,915</w:t>
            </w:r>
          </w:p>
        </w:tc>
        <w:tc>
          <w:tcPr>
            <w:tcW w:w="284" w:type="dxa"/>
            <w:tcMar>
              <w:top w:w="0" w:type="dxa"/>
              <w:left w:w="108" w:type="dxa"/>
              <w:bottom w:w="0" w:type="dxa"/>
              <w:right w:w="108" w:type="dxa"/>
            </w:tcMar>
          </w:tcPr>
          <w:p w14:paraId="448EC7EA" w14:textId="77777777" w:rsidR="00E60DD4" w:rsidRPr="00E60DD4" w:rsidRDefault="00E60DD4" w:rsidP="00E60DD4">
            <w:pPr>
              <w:jc w:val="right"/>
              <w:rPr>
                <w:rFonts w:ascii="Arial" w:hAnsi="Arial" w:cs="Arial"/>
                <w:color w:val="000000"/>
                <w:lang w:val="en-GB"/>
              </w:rPr>
            </w:pPr>
          </w:p>
        </w:tc>
      </w:tr>
      <w:tr w:rsidR="00E60DD4" w:rsidRPr="00E60DD4" w14:paraId="695F0208" w14:textId="77777777" w:rsidTr="00E60DD4">
        <w:trPr>
          <w:trHeight w:val="266"/>
        </w:trPr>
        <w:tc>
          <w:tcPr>
            <w:tcW w:w="3368" w:type="dxa"/>
            <w:noWrap/>
            <w:tcMar>
              <w:top w:w="0" w:type="dxa"/>
              <w:left w:w="108" w:type="dxa"/>
              <w:bottom w:w="0" w:type="dxa"/>
              <w:right w:w="108" w:type="dxa"/>
            </w:tcMar>
            <w:hideMark/>
          </w:tcPr>
          <w:p w14:paraId="4C906BF0"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Property Tax Payable</w:t>
            </w:r>
          </w:p>
        </w:tc>
        <w:tc>
          <w:tcPr>
            <w:tcW w:w="2154" w:type="dxa"/>
            <w:noWrap/>
            <w:tcMar>
              <w:top w:w="0" w:type="dxa"/>
              <w:left w:w="108" w:type="dxa"/>
              <w:bottom w:w="0" w:type="dxa"/>
              <w:right w:w="108" w:type="dxa"/>
            </w:tcMar>
            <w:hideMark/>
          </w:tcPr>
          <w:p w14:paraId="5B89AE87"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53,412</w:t>
            </w:r>
          </w:p>
        </w:tc>
        <w:tc>
          <w:tcPr>
            <w:tcW w:w="283" w:type="dxa"/>
            <w:tcMar>
              <w:top w:w="0" w:type="dxa"/>
              <w:left w:w="108" w:type="dxa"/>
              <w:bottom w:w="0" w:type="dxa"/>
              <w:right w:w="108" w:type="dxa"/>
            </w:tcMar>
          </w:tcPr>
          <w:p w14:paraId="4BF950CD"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369DA78F"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66,564</w:t>
            </w:r>
          </w:p>
        </w:tc>
        <w:tc>
          <w:tcPr>
            <w:tcW w:w="284" w:type="dxa"/>
            <w:tcMar>
              <w:top w:w="0" w:type="dxa"/>
              <w:left w:w="108" w:type="dxa"/>
              <w:bottom w:w="0" w:type="dxa"/>
              <w:right w:w="108" w:type="dxa"/>
            </w:tcMar>
          </w:tcPr>
          <w:p w14:paraId="5931DFAE" w14:textId="77777777" w:rsidR="00E60DD4" w:rsidRPr="00E60DD4" w:rsidRDefault="00E60DD4" w:rsidP="00E60DD4">
            <w:pPr>
              <w:jc w:val="right"/>
              <w:rPr>
                <w:rFonts w:ascii="Arial" w:hAnsi="Arial" w:cs="Arial"/>
                <w:color w:val="000000"/>
                <w:lang w:val="en-GB"/>
              </w:rPr>
            </w:pPr>
          </w:p>
        </w:tc>
      </w:tr>
      <w:tr w:rsidR="00E60DD4" w:rsidRPr="00E60DD4" w14:paraId="12A47ECA" w14:textId="77777777" w:rsidTr="00E60DD4">
        <w:trPr>
          <w:trHeight w:val="266"/>
        </w:trPr>
        <w:tc>
          <w:tcPr>
            <w:tcW w:w="3368" w:type="dxa"/>
            <w:noWrap/>
            <w:tcMar>
              <w:top w:w="0" w:type="dxa"/>
              <w:left w:w="108" w:type="dxa"/>
              <w:bottom w:w="0" w:type="dxa"/>
              <w:right w:w="108" w:type="dxa"/>
            </w:tcMar>
          </w:tcPr>
          <w:p w14:paraId="7CDDD55A"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Other Current Liabilities</w:t>
            </w:r>
          </w:p>
        </w:tc>
        <w:tc>
          <w:tcPr>
            <w:tcW w:w="2154" w:type="dxa"/>
            <w:noWrap/>
            <w:tcMar>
              <w:top w:w="0" w:type="dxa"/>
              <w:left w:w="108" w:type="dxa"/>
              <w:bottom w:w="0" w:type="dxa"/>
              <w:right w:w="108" w:type="dxa"/>
            </w:tcMar>
          </w:tcPr>
          <w:p w14:paraId="654EE5D7"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60,468</w:t>
            </w:r>
          </w:p>
        </w:tc>
        <w:tc>
          <w:tcPr>
            <w:tcW w:w="283" w:type="dxa"/>
            <w:tcMar>
              <w:top w:w="0" w:type="dxa"/>
              <w:left w:w="108" w:type="dxa"/>
              <w:bottom w:w="0" w:type="dxa"/>
              <w:right w:w="108" w:type="dxa"/>
            </w:tcMar>
          </w:tcPr>
          <w:p w14:paraId="1ED44498"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50584CBD"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61,961</w:t>
            </w:r>
          </w:p>
        </w:tc>
        <w:tc>
          <w:tcPr>
            <w:tcW w:w="284" w:type="dxa"/>
            <w:tcMar>
              <w:top w:w="0" w:type="dxa"/>
              <w:left w:w="108" w:type="dxa"/>
              <w:bottom w:w="0" w:type="dxa"/>
              <w:right w:w="108" w:type="dxa"/>
            </w:tcMar>
          </w:tcPr>
          <w:p w14:paraId="6684E079" w14:textId="77777777" w:rsidR="00E60DD4" w:rsidRPr="00E60DD4" w:rsidRDefault="00E60DD4" w:rsidP="00E60DD4">
            <w:pPr>
              <w:jc w:val="right"/>
              <w:rPr>
                <w:rFonts w:ascii="Arial" w:hAnsi="Arial" w:cs="Arial"/>
                <w:color w:val="000000"/>
                <w:lang w:val="en-GB"/>
              </w:rPr>
            </w:pPr>
          </w:p>
        </w:tc>
      </w:tr>
      <w:tr w:rsidR="00E60DD4" w:rsidRPr="00E60DD4" w14:paraId="3E92B131" w14:textId="77777777" w:rsidTr="00E60DD4">
        <w:trPr>
          <w:trHeight w:val="266"/>
        </w:trPr>
        <w:tc>
          <w:tcPr>
            <w:tcW w:w="3368" w:type="dxa"/>
            <w:noWrap/>
            <w:tcMar>
              <w:top w:w="0" w:type="dxa"/>
              <w:left w:w="108" w:type="dxa"/>
              <w:bottom w:w="0" w:type="dxa"/>
              <w:right w:w="108" w:type="dxa"/>
            </w:tcMar>
          </w:tcPr>
          <w:p w14:paraId="4BA0D663"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Deferred Revenue</w:t>
            </w:r>
          </w:p>
        </w:tc>
        <w:tc>
          <w:tcPr>
            <w:tcW w:w="2154" w:type="dxa"/>
            <w:noWrap/>
            <w:tcMar>
              <w:top w:w="0" w:type="dxa"/>
              <w:left w:w="108" w:type="dxa"/>
              <w:bottom w:w="0" w:type="dxa"/>
              <w:right w:w="108" w:type="dxa"/>
            </w:tcMar>
          </w:tcPr>
          <w:p w14:paraId="744D66FC"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995,847</w:t>
            </w:r>
          </w:p>
        </w:tc>
        <w:tc>
          <w:tcPr>
            <w:tcW w:w="283" w:type="dxa"/>
            <w:tcMar>
              <w:top w:w="0" w:type="dxa"/>
              <w:left w:w="108" w:type="dxa"/>
              <w:bottom w:w="0" w:type="dxa"/>
              <w:right w:w="108" w:type="dxa"/>
            </w:tcMar>
          </w:tcPr>
          <w:p w14:paraId="5874B546"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105B35A5" w14:textId="6021985B"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1,015,38</w:t>
            </w:r>
            <w:r w:rsidR="00E879A4">
              <w:rPr>
                <w:rFonts w:ascii="Arial" w:hAnsi="Arial" w:cs="Arial"/>
                <w:color w:val="000000"/>
                <w:lang w:val="en-GB"/>
              </w:rPr>
              <w:t>7</w:t>
            </w:r>
          </w:p>
        </w:tc>
        <w:tc>
          <w:tcPr>
            <w:tcW w:w="284" w:type="dxa"/>
            <w:tcMar>
              <w:top w:w="0" w:type="dxa"/>
              <w:left w:w="108" w:type="dxa"/>
              <w:bottom w:w="0" w:type="dxa"/>
              <w:right w:w="108" w:type="dxa"/>
            </w:tcMar>
          </w:tcPr>
          <w:p w14:paraId="1625AE0C" w14:textId="77777777" w:rsidR="00E60DD4" w:rsidRPr="00E60DD4" w:rsidRDefault="00E60DD4" w:rsidP="00E60DD4">
            <w:pPr>
              <w:jc w:val="right"/>
              <w:rPr>
                <w:rFonts w:ascii="Arial" w:hAnsi="Arial" w:cs="Arial"/>
                <w:color w:val="000000"/>
                <w:lang w:val="en-GB"/>
              </w:rPr>
            </w:pPr>
          </w:p>
        </w:tc>
      </w:tr>
      <w:tr w:rsidR="00E60DD4" w:rsidRPr="00E60DD4" w14:paraId="2D0C2092" w14:textId="77777777" w:rsidTr="00E60DD4">
        <w:trPr>
          <w:trHeight w:val="266"/>
        </w:trPr>
        <w:tc>
          <w:tcPr>
            <w:tcW w:w="3368" w:type="dxa"/>
            <w:noWrap/>
            <w:tcMar>
              <w:top w:w="0" w:type="dxa"/>
              <w:left w:w="108" w:type="dxa"/>
              <w:bottom w:w="0" w:type="dxa"/>
              <w:right w:w="108" w:type="dxa"/>
            </w:tcMar>
            <w:hideMark/>
          </w:tcPr>
          <w:p w14:paraId="1CA46C6F"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Current Portion of Long-Term Debt</w:t>
            </w:r>
          </w:p>
        </w:tc>
        <w:tc>
          <w:tcPr>
            <w:tcW w:w="2154" w:type="dxa"/>
            <w:noWrap/>
            <w:tcMar>
              <w:top w:w="0" w:type="dxa"/>
              <w:left w:w="108" w:type="dxa"/>
              <w:bottom w:w="0" w:type="dxa"/>
              <w:right w:w="108" w:type="dxa"/>
            </w:tcMar>
            <w:hideMark/>
          </w:tcPr>
          <w:p w14:paraId="6AE0AAAD" w14:textId="77777777" w:rsidR="00E60DD4" w:rsidRPr="00E60DD4" w:rsidRDefault="00E60DD4" w:rsidP="00E60DD4">
            <w:pPr>
              <w:tabs>
                <w:tab w:val="left" w:pos="30"/>
                <w:tab w:val="right" w:pos="1935"/>
              </w:tabs>
              <w:jc w:val="right"/>
              <w:rPr>
                <w:rFonts w:ascii="Arial" w:hAnsi="Arial" w:cs="Arial"/>
                <w:color w:val="000000"/>
                <w:u w:val="single"/>
                <w:lang w:val="en-GB"/>
              </w:rPr>
            </w:pPr>
            <w:r w:rsidRPr="00E60DD4">
              <w:rPr>
                <w:rFonts w:ascii="Arial" w:hAnsi="Arial" w:cs="Arial"/>
                <w:color w:val="000000"/>
                <w:u w:val="single"/>
                <w:lang w:val="en-GB"/>
              </w:rPr>
              <w:t>$                     28,333</w:t>
            </w:r>
          </w:p>
        </w:tc>
        <w:tc>
          <w:tcPr>
            <w:tcW w:w="283" w:type="dxa"/>
            <w:tcMar>
              <w:top w:w="0" w:type="dxa"/>
              <w:left w:w="108" w:type="dxa"/>
              <w:bottom w:w="0" w:type="dxa"/>
              <w:right w:w="108" w:type="dxa"/>
            </w:tcMar>
          </w:tcPr>
          <w:p w14:paraId="48008C35" w14:textId="77777777" w:rsidR="00E60DD4" w:rsidRPr="00E60DD4" w:rsidRDefault="00E60DD4" w:rsidP="00E60DD4">
            <w:pPr>
              <w:jc w:val="right"/>
              <w:rPr>
                <w:rFonts w:ascii="Arial" w:hAnsi="Arial" w:cs="Arial"/>
                <w:color w:val="000000"/>
                <w:u w:val="single"/>
                <w:lang w:val="en-GB"/>
              </w:rPr>
            </w:pPr>
          </w:p>
        </w:tc>
        <w:tc>
          <w:tcPr>
            <w:tcW w:w="2154" w:type="dxa"/>
            <w:noWrap/>
            <w:tcMar>
              <w:top w:w="0" w:type="dxa"/>
              <w:left w:w="108" w:type="dxa"/>
              <w:bottom w:w="0" w:type="dxa"/>
              <w:right w:w="108" w:type="dxa"/>
            </w:tcMar>
            <w:hideMark/>
          </w:tcPr>
          <w:p w14:paraId="580FB388" w14:textId="77777777" w:rsidR="00E60DD4" w:rsidRPr="00E60DD4" w:rsidRDefault="00E60DD4" w:rsidP="00E60DD4">
            <w:pPr>
              <w:tabs>
                <w:tab w:val="left" w:pos="120"/>
                <w:tab w:val="right" w:pos="1935"/>
              </w:tabs>
              <w:jc w:val="right"/>
              <w:rPr>
                <w:rFonts w:ascii="Arial" w:hAnsi="Arial" w:cs="Arial"/>
                <w:color w:val="000000"/>
                <w:u w:val="single"/>
                <w:lang w:val="en-GB"/>
              </w:rPr>
            </w:pPr>
            <w:r w:rsidRPr="00E60DD4">
              <w:rPr>
                <w:rFonts w:ascii="Arial" w:hAnsi="Arial" w:cs="Arial"/>
                <w:color w:val="000000"/>
                <w:u w:val="single"/>
                <w:lang w:val="en-GB"/>
              </w:rPr>
              <w:t>$</w:t>
            </w:r>
            <w:r w:rsidRPr="00E60DD4">
              <w:rPr>
                <w:rFonts w:ascii="Arial" w:hAnsi="Arial" w:cs="Arial"/>
                <w:color w:val="000000"/>
                <w:u w:val="single"/>
                <w:lang w:val="en-GB"/>
              </w:rPr>
              <w:tab/>
              <w:t xml:space="preserve">                     28,333</w:t>
            </w:r>
          </w:p>
        </w:tc>
        <w:tc>
          <w:tcPr>
            <w:tcW w:w="284" w:type="dxa"/>
            <w:tcMar>
              <w:top w:w="0" w:type="dxa"/>
              <w:left w:w="108" w:type="dxa"/>
              <w:bottom w:w="0" w:type="dxa"/>
              <w:right w:w="108" w:type="dxa"/>
            </w:tcMar>
          </w:tcPr>
          <w:p w14:paraId="6D673FEC" w14:textId="77777777" w:rsidR="00E60DD4" w:rsidRPr="00E60DD4" w:rsidRDefault="00E60DD4" w:rsidP="00E60DD4">
            <w:pPr>
              <w:jc w:val="right"/>
              <w:rPr>
                <w:rFonts w:ascii="Arial" w:hAnsi="Arial" w:cs="Arial"/>
                <w:color w:val="000000"/>
                <w:u w:val="single"/>
                <w:lang w:val="en-GB"/>
              </w:rPr>
            </w:pPr>
          </w:p>
        </w:tc>
      </w:tr>
      <w:tr w:rsidR="00E60DD4" w:rsidRPr="00E60DD4" w14:paraId="18DA5FDE" w14:textId="77777777" w:rsidTr="00E60DD4">
        <w:trPr>
          <w:trHeight w:val="266"/>
        </w:trPr>
        <w:tc>
          <w:tcPr>
            <w:tcW w:w="3368" w:type="dxa"/>
            <w:noWrap/>
            <w:tcMar>
              <w:top w:w="0" w:type="dxa"/>
              <w:left w:w="108" w:type="dxa"/>
              <w:bottom w:w="0" w:type="dxa"/>
              <w:right w:w="108" w:type="dxa"/>
            </w:tcMar>
            <w:hideMark/>
          </w:tcPr>
          <w:p w14:paraId="454A40CE"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Total Current Liabilities</w:t>
            </w:r>
          </w:p>
        </w:tc>
        <w:tc>
          <w:tcPr>
            <w:tcW w:w="2154" w:type="dxa"/>
            <w:noWrap/>
            <w:tcMar>
              <w:top w:w="0" w:type="dxa"/>
              <w:left w:w="108" w:type="dxa"/>
              <w:bottom w:w="0" w:type="dxa"/>
              <w:right w:w="108" w:type="dxa"/>
            </w:tcMar>
            <w:hideMark/>
          </w:tcPr>
          <w:p w14:paraId="4CA4E86A" w14:textId="147A5D56"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1,479,5</w:t>
            </w:r>
            <w:r w:rsidR="00E879A4">
              <w:rPr>
                <w:rFonts w:ascii="Arial" w:hAnsi="Arial" w:cs="Arial"/>
                <w:color w:val="000000"/>
                <w:lang w:val="en-GB"/>
              </w:rPr>
              <w:t>70</w:t>
            </w:r>
          </w:p>
        </w:tc>
        <w:tc>
          <w:tcPr>
            <w:tcW w:w="283" w:type="dxa"/>
            <w:tcMar>
              <w:top w:w="0" w:type="dxa"/>
              <w:left w:w="108" w:type="dxa"/>
              <w:bottom w:w="0" w:type="dxa"/>
              <w:right w:w="108" w:type="dxa"/>
            </w:tcMar>
          </w:tcPr>
          <w:p w14:paraId="6D751295"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3F56C36F"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w:t>
            </w:r>
            <w:r w:rsidRPr="00E60DD4">
              <w:rPr>
                <w:rFonts w:ascii="Arial" w:hAnsi="Arial" w:cs="Arial"/>
                <w:color w:val="000000"/>
                <w:lang w:val="en-GB"/>
              </w:rPr>
              <w:tab/>
              <w:t xml:space="preserve">                1,453,160</w:t>
            </w:r>
          </w:p>
        </w:tc>
        <w:tc>
          <w:tcPr>
            <w:tcW w:w="284" w:type="dxa"/>
            <w:tcMar>
              <w:top w:w="0" w:type="dxa"/>
              <w:left w:w="108" w:type="dxa"/>
              <w:bottom w:w="0" w:type="dxa"/>
              <w:right w:w="108" w:type="dxa"/>
            </w:tcMar>
          </w:tcPr>
          <w:p w14:paraId="7E9442FA" w14:textId="77777777" w:rsidR="00E60DD4" w:rsidRPr="00E60DD4" w:rsidRDefault="00E60DD4" w:rsidP="00E60DD4">
            <w:pPr>
              <w:jc w:val="right"/>
              <w:rPr>
                <w:rFonts w:ascii="Arial" w:hAnsi="Arial" w:cs="Arial"/>
                <w:color w:val="000000"/>
                <w:lang w:val="en-GB"/>
              </w:rPr>
            </w:pPr>
          </w:p>
        </w:tc>
      </w:tr>
      <w:tr w:rsidR="00E60DD4" w:rsidRPr="00E60DD4" w14:paraId="69D45838" w14:textId="77777777" w:rsidTr="00E60DD4">
        <w:trPr>
          <w:trHeight w:val="144"/>
        </w:trPr>
        <w:tc>
          <w:tcPr>
            <w:tcW w:w="3368" w:type="dxa"/>
            <w:noWrap/>
            <w:tcMar>
              <w:top w:w="0" w:type="dxa"/>
              <w:left w:w="108" w:type="dxa"/>
              <w:bottom w:w="0" w:type="dxa"/>
              <w:right w:w="108" w:type="dxa"/>
            </w:tcMar>
          </w:tcPr>
          <w:p w14:paraId="0C9C8278" w14:textId="77777777" w:rsidR="00E60DD4" w:rsidRPr="00E60DD4" w:rsidRDefault="00E60DD4" w:rsidP="00E60DD4">
            <w:pPr>
              <w:rPr>
                <w:rFonts w:ascii="Arial" w:hAnsi="Arial" w:cs="Arial"/>
                <w:color w:val="000000"/>
                <w:lang w:val="en-GB"/>
              </w:rPr>
            </w:pPr>
          </w:p>
        </w:tc>
        <w:tc>
          <w:tcPr>
            <w:tcW w:w="2154" w:type="dxa"/>
            <w:noWrap/>
            <w:tcMar>
              <w:top w:w="0" w:type="dxa"/>
              <w:left w:w="108" w:type="dxa"/>
              <w:bottom w:w="0" w:type="dxa"/>
              <w:right w:w="108" w:type="dxa"/>
            </w:tcMar>
          </w:tcPr>
          <w:p w14:paraId="6B45FF9F" w14:textId="77777777" w:rsidR="00E60DD4" w:rsidRPr="00E60DD4" w:rsidRDefault="00E60DD4" w:rsidP="00E60DD4">
            <w:pPr>
              <w:tabs>
                <w:tab w:val="left" w:pos="30"/>
                <w:tab w:val="right" w:pos="1935"/>
              </w:tabs>
              <w:jc w:val="right"/>
              <w:rPr>
                <w:rFonts w:ascii="Arial" w:hAnsi="Arial" w:cs="Arial"/>
                <w:color w:val="000000"/>
                <w:lang w:val="en-GB"/>
              </w:rPr>
            </w:pPr>
          </w:p>
        </w:tc>
        <w:tc>
          <w:tcPr>
            <w:tcW w:w="283" w:type="dxa"/>
            <w:tcMar>
              <w:top w:w="0" w:type="dxa"/>
              <w:left w:w="108" w:type="dxa"/>
              <w:bottom w:w="0" w:type="dxa"/>
              <w:right w:w="108" w:type="dxa"/>
            </w:tcMar>
          </w:tcPr>
          <w:p w14:paraId="776C6248"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tcPr>
          <w:p w14:paraId="1403572D"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5F3405EE" w14:textId="77777777" w:rsidR="00E60DD4" w:rsidRPr="00E60DD4" w:rsidRDefault="00E60DD4" w:rsidP="00E60DD4">
            <w:pPr>
              <w:jc w:val="right"/>
              <w:rPr>
                <w:rFonts w:ascii="Arial" w:hAnsi="Arial" w:cs="Arial"/>
                <w:color w:val="000000"/>
                <w:lang w:val="en-GB"/>
              </w:rPr>
            </w:pPr>
          </w:p>
        </w:tc>
      </w:tr>
      <w:tr w:rsidR="00E60DD4" w:rsidRPr="00E60DD4" w14:paraId="740832DC" w14:textId="77777777" w:rsidTr="00E60DD4">
        <w:trPr>
          <w:trHeight w:val="266"/>
        </w:trPr>
        <w:tc>
          <w:tcPr>
            <w:tcW w:w="3368" w:type="dxa"/>
            <w:noWrap/>
            <w:tcMar>
              <w:top w:w="0" w:type="dxa"/>
              <w:left w:w="108" w:type="dxa"/>
              <w:bottom w:w="0" w:type="dxa"/>
              <w:right w:w="108" w:type="dxa"/>
            </w:tcMar>
            <w:hideMark/>
          </w:tcPr>
          <w:p w14:paraId="1249579B"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Long-Term Debt</w:t>
            </w:r>
          </w:p>
        </w:tc>
        <w:tc>
          <w:tcPr>
            <w:tcW w:w="2154" w:type="dxa"/>
            <w:noWrap/>
            <w:tcMar>
              <w:top w:w="0" w:type="dxa"/>
              <w:left w:w="108" w:type="dxa"/>
              <w:bottom w:w="0" w:type="dxa"/>
              <w:right w:w="108" w:type="dxa"/>
            </w:tcMar>
            <w:hideMark/>
          </w:tcPr>
          <w:p w14:paraId="22B28112"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478,413</w:t>
            </w:r>
          </w:p>
        </w:tc>
        <w:tc>
          <w:tcPr>
            <w:tcW w:w="283" w:type="dxa"/>
            <w:tcMar>
              <w:top w:w="0" w:type="dxa"/>
              <w:left w:w="108" w:type="dxa"/>
              <w:bottom w:w="0" w:type="dxa"/>
              <w:right w:w="108" w:type="dxa"/>
            </w:tcMar>
          </w:tcPr>
          <w:p w14:paraId="350E4603"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7FA0BCF3"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w:t>
            </w:r>
            <w:r w:rsidRPr="00E60DD4">
              <w:rPr>
                <w:rFonts w:ascii="Arial" w:hAnsi="Arial" w:cs="Arial"/>
                <w:color w:val="000000"/>
                <w:lang w:val="en-GB"/>
              </w:rPr>
              <w:tab/>
              <w:t xml:space="preserve">                   491,987</w:t>
            </w:r>
          </w:p>
        </w:tc>
        <w:tc>
          <w:tcPr>
            <w:tcW w:w="284" w:type="dxa"/>
            <w:tcMar>
              <w:top w:w="0" w:type="dxa"/>
              <w:left w:w="108" w:type="dxa"/>
              <w:bottom w:w="0" w:type="dxa"/>
              <w:right w:w="108" w:type="dxa"/>
            </w:tcMar>
          </w:tcPr>
          <w:p w14:paraId="547DAAA4" w14:textId="77777777" w:rsidR="00E60DD4" w:rsidRPr="00E60DD4" w:rsidRDefault="00E60DD4" w:rsidP="00E60DD4">
            <w:pPr>
              <w:jc w:val="right"/>
              <w:rPr>
                <w:rFonts w:ascii="Arial" w:hAnsi="Arial" w:cs="Arial"/>
                <w:color w:val="000000"/>
                <w:lang w:val="en-GB"/>
              </w:rPr>
            </w:pPr>
          </w:p>
        </w:tc>
      </w:tr>
      <w:tr w:rsidR="00E60DD4" w:rsidRPr="00E60DD4" w14:paraId="2EC47102" w14:textId="77777777" w:rsidTr="00E60DD4">
        <w:trPr>
          <w:trHeight w:val="144"/>
        </w:trPr>
        <w:tc>
          <w:tcPr>
            <w:tcW w:w="3368" w:type="dxa"/>
            <w:noWrap/>
            <w:tcMar>
              <w:top w:w="0" w:type="dxa"/>
              <w:left w:w="108" w:type="dxa"/>
              <w:bottom w:w="0" w:type="dxa"/>
              <w:right w:w="108" w:type="dxa"/>
            </w:tcMar>
            <w:hideMark/>
          </w:tcPr>
          <w:p w14:paraId="79942797" w14:textId="77777777" w:rsidR="00E60DD4" w:rsidRPr="00E60DD4" w:rsidRDefault="00E60DD4" w:rsidP="00E60DD4">
            <w:pPr>
              <w:rPr>
                <w:rFonts w:ascii="Arial" w:hAnsi="Arial" w:cs="Arial"/>
                <w:color w:val="000000"/>
                <w:lang w:val="en-GB"/>
              </w:rPr>
            </w:pPr>
          </w:p>
        </w:tc>
        <w:tc>
          <w:tcPr>
            <w:tcW w:w="2154" w:type="dxa"/>
            <w:noWrap/>
            <w:tcMar>
              <w:top w:w="0" w:type="dxa"/>
              <w:left w:w="108" w:type="dxa"/>
              <w:bottom w:w="0" w:type="dxa"/>
              <w:right w:w="108" w:type="dxa"/>
            </w:tcMar>
            <w:hideMark/>
          </w:tcPr>
          <w:p w14:paraId="43BFCDDB" w14:textId="77777777" w:rsidR="00E60DD4" w:rsidRPr="00E60DD4" w:rsidRDefault="00E60DD4" w:rsidP="00E60DD4">
            <w:pPr>
              <w:tabs>
                <w:tab w:val="left" w:pos="30"/>
                <w:tab w:val="right" w:pos="1935"/>
              </w:tabs>
              <w:jc w:val="right"/>
              <w:rPr>
                <w:rFonts w:ascii="Arial" w:hAnsi="Arial" w:cs="Arial"/>
                <w:lang w:val="en-GB"/>
              </w:rPr>
            </w:pPr>
          </w:p>
        </w:tc>
        <w:tc>
          <w:tcPr>
            <w:tcW w:w="283" w:type="dxa"/>
            <w:tcMar>
              <w:top w:w="0" w:type="dxa"/>
              <w:left w:w="108" w:type="dxa"/>
              <w:bottom w:w="0" w:type="dxa"/>
              <w:right w:w="108" w:type="dxa"/>
            </w:tcMar>
          </w:tcPr>
          <w:p w14:paraId="30492A18"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01E0A4E7"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2222DEA7" w14:textId="77777777" w:rsidR="00E60DD4" w:rsidRPr="00E60DD4" w:rsidRDefault="00E60DD4" w:rsidP="00E60DD4">
            <w:pPr>
              <w:jc w:val="right"/>
              <w:rPr>
                <w:rFonts w:ascii="Arial" w:eastAsia="Calibri" w:hAnsi="Arial" w:cs="Arial"/>
                <w:color w:val="000000"/>
                <w:lang w:val="en-GB"/>
              </w:rPr>
            </w:pPr>
          </w:p>
        </w:tc>
      </w:tr>
      <w:tr w:rsidR="00E60DD4" w:rsidRPr="00E60DD4" w14:paraId="3A369AE4" w14:textId="77777777" w:rsidTr="00E60DD4">
        <w:trPr>
          <w:trHeight w:val="266"/>
        </w:trPr>
        <w:tc>
          <w:tcPr>
            <w:tcW w:w="3368" w:type="dxa"/>
            <w:noWrap/>
            <w:tcMar>
              <w:top w:w="0" w:type="dxa"/>
              <w:left w:w="108" w:type="dxa"/>
              <w:bottom w:w="0" w:type="dxa"/>
              <w:right w:w="108" w:type="dxa"/>
            </w:tcMar>
            <w:hideMark/>
          </w:tcPr>
          <w:p w14:paraId="41301705" w14:textId="77777777" w:rsidR="00E60DD4" w:rsidRPr="00E60DD4" w:rsidRDefault="00E60DD4" w:rsidP="00E60DD4">
            <w:pPr>
              <w:rPr>
                <w:rFonts w:ascii="Arial" w:eastAsia="Calibri" w:hAnsi="Arial" w:cs="Arial"/>
                <w:b/>
                <w:color w:val="000000"/>
                <w:lang w:val="en-GB"/>
              </w:rPr>
            </w:pPr>
            <w:r w:rsidRPr="00E60DD4">
              <w:rPr>
                <w:rFonts w:ascii="Arial" w:hAnsi="Arial" w:cs="Arial"/>
                <w:b/>
                <w:color w:val="000000"/>
                <w:lang w:val="en-GB"/>
              </w:rPr>
              <w:t>TOTAL LIABILITIES</w:t>
            </w:r>
          </w:p>
        </w:tc>
        <w:tc>
          <w:tcPr>
            <w:tcW w:w="2154" w:type="dxa"/>
            <w:noWrap/>
            <w:tcMar>
              <w:top w:w="0" w:type="dxa"/>
              <w:left w:w="108" w:type="dxa"/>
              <w:bottom w:w="0" w:type="dxa"/>
              <w:right w:w="108" w:type="dxa"/>
            </w:tcMar>
            <w:hideMark/>
          </w:tcPr>
          <w:p w14:paraId="6CEFE49E" w14:textId="29C3AA6E"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1,957,98</w:t>
            </w:r>
            <w:r w:rsidR="00E879A4">
              <w:rPr>
                <w:rFonts w:ascii="Arial" w:hAnsi="Arial" w:cs="Arial"/>
                <w:color w:val="000000"/>
                <w:lang w:val="en-GB"/>
              </w:rPr>
              <w:t>3</w:t>
            </w:r>
          </w:p>
        </w:tc>
        <w:tc>
          <w:tcPr>
            <w:tcW w:w="283" w:type="dxa"/>
            <w:tcMar>
              <w:top w:w="0" w:type="dxa"/>
              <w:left w:w="108" w:type="dxa"/>
              <w:bottom w:w="0" w:type="dxa"/>
              <w:right w:w="108" w:type="dxa"/>
            </w:tcMar>
          </w:tcPr>
          <w:p w14:paraId="4A227E61"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2857282E"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w:t>
            </w:r>
            <w:r w:rsidRPr="00E60DD4">
              <w:rPr>
                <w:rFonts w:ascii="Arial" w:hAnsi="Arial" w:cs="Arial"/>
                <w:color w:val="000000"/>
                <w:lang w:val="en-GB"/>
              </w:rPr>
              <w:tab/>
              <w:t xml:space="preserve">                1,945,146</w:t>
            </w:r>
          </w:p>
        </w:tc>
        <w:tc>
          <w:tcPr>
            <w:tcW w:w="284" w:type="dxa"/>
            <w:tcMar>
              <w:top w:w="0" w:type="dxa"/>
              <w:left w:w="108" w:type="dxa"/>
              <w:bottom w:w="0" w:type="dxa"/>
              <w:right w:w="108" w:type="dxa"/>
            </w:tcMar>
          </w:tcPr>
          <w:p w14:paraId="32AD377E" w14:textId="77777777" w:rsidR="00E60DD4" w:rsidRPr="00E60DD4" w:rsidRDefault="00E60DD4" w:rsidP="00E60DD4">
            <w:pPr>
              <w:jc w:val="right"/>
              <w:rPr>
                <w:rFonts w:ascii="Arial" w:hAnsi="Arial" w:cs="Arial"/>
                <w:color w:val="000000"/>
                <w:lang w:val="en-GB"/>
              </w:rPr>
            </w:pPr>
          </w:p>
        </w:tc>
      </w:tr>
      <w:tr w:rsidR="00E60DD4" w:rsidRPr="00E60DD4" w14:paraId="671DB46D" w14:textId="77777777" w:rsidTr="00E60DD4">
        <w:trPr>
          <w:trHeight w:val="144"/>
        </w:trPr>
        <w:tc>
          <w:tcPr>
            <w:tcW w:w="3368" w:type="dxa"/>
            <w:noWrap/>
            <w:tcMar>
              <w:top w:w="0" w:type="dxa"/>
              <w:left w:w="108" w:type="dxa"/>
              <w:bottom w:w="0" w:type="dxa"/>
              <w:right w:w="108" w:type="dxa"/>
            </w:tcMar>
            <w:hideMark/>
          </w:tcPr>
          <w:p w14:paraId="5BE0E68E" w14:textId="77777777" w:rsidR="00E60DD4" w:rsidRPr="00E60DD4" w:rsidRDefault="00E60DD4" w:rsidP="00E60DD4">
            <w:pPr>
              <w:rPr>
                <w:rFonts w:ascii="Arial" w:hAnsi="Arial" w:cs="Arial"/>
                <w:color w:val="000000"/>
                <w:lang w:val="en-GB"/>
              </w:rPr>
            </w:pPr>
          </w:p>
        </w:tc>
        <w:tc>
          <w:tcPr>
            <w:tcW w:w="2154" w:type="dxa"/>
            <w:noWrap/>
            <w:tcMar>
              <w:top w:w="0" w:type="dxa"/>
              <w:left w:w="108" w:type="dxa"/>
              <w:bottom w:w="0" w:type="dxa"/>
              <w:right w:w="108" w:type="dxa"/>
            </w:tcMar>
            <w:hideMark/>
          </w:tcPr>
          <w:p w14:paraId="5DF9CB99" w14:textId="77777777" w:rsidR="00E60DD4" w:rsidRPr="00E60DD4" w:rsidRDefault="00E60DD4" w:rsidP="00E60DD4">
            <w:pPr>
              <w:tabs>
                <w:tab w:val="left" w:pos="30"/>
                <w:tab w:val="right" w:pos="1935"/>
              </w:tabs>
              <w:jc w:val="right"/>
              <w:rPr>
                <w:rFonts w:ascii="Arial" w:hAnsi="Arial" w:cs="Arial"/>
                <w:lang w:val="en-GB"/>
              </w:rPr>
            </w:pPr>
          </w:p>
        </w:tc>
        <w:tc>
          <w:tcPr>
            <w:tcW w:w="283" w:type="dxa"/>
            <w:tcMar>
              <w:top w:w="0" w:type="dxa"/>
              <w:left w:w="108" w:type="dxa"/>
              <w:bottom w:w="0" w:type="dxa"/>
              <w:right w:w="108" w:type="dxa"/>
            </w:tcMar>
          </w:tcPr>
          <w:p w14:paraId="530489A4"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70214958"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48079CF8" w14:textId="77777777" w:rsidR="00E60DD4" w:rsidRPr="00E60DD4" w:rsidRDefault="00E60DD4" w:rsidP="00E60DD4">
            <w:pPr>
              <w:jc w:val="right"/>
              <w:rPr>
                <w:rFonts w:ascii="Arial" w:eastAsia="Calibri" w:hAnsi="Arial" w:cs="Arial"/>
                <w:color w:val="000000"/>
                <w:lang w:val="en-GB"/>
              </w:rPr>
            </w:pPr>
          </w:p>
        </w:tc>
      </w:tr>
      <w:tr w:rsidR="00E60DD4" w:rsidRPr="00E60DD4" w14:paraId="024629F3" w14:textId="77777777" w:rsidTr="00E60DD4">
        <w:trPr>
          <w:trHeight w:val="266"/>
        </w:trPr>
        <w:tc>
          <w:tcPr>
            <w:tcW w:w="3368" w:type="dxa"/>
            <w:noWrap/>
            <w:tcMar>
              <w:top w:w="0" w:type="dxa"/>
              <w:left w:w="108" w:type="dxa"/>
              <w:bottom w:w="0" w:type="dxa"/>
              <w:right w:w="108" w:type="dxa"/>
            </w:tcMar>
            <w:hideMark/>
          </w:tcPr>
          <w:p w14:paraId="799FADBC" w14:textId="77777777" w:rsidR="00E60DD4" w:rsidRPr="00E60DD4" w:rsidRDefault="00E60DD4" w:rsidP="00E60DD4">
            <w:pPr>
              <w:rPr>
                <w:rFonts w:ascii="Arial" w:eastAsia="Calibri" w:hAnsi="Arial" w:cs="Arial"/>
                <w:b/>
                <w:bCs/>
                <w:color w:val="000000"/>
                <w:lang w:val="en-GB"/>
              </w:rPr>
            </w:pPr>
            <w:r w:rsidRPr="00E60DD4">
              <w:rPr>
                <w:rFonts w:ascii="Arial" w:hAnsi="Arial" w:cs="Arial"/>
                <w:b/>
                <w:bCs/>
                <w:color w:val="000000"/>
                <w:lang w:val="en-GB"/>
              </w:rPr>
              <w:t>SHAREHOLDERS’ EQUITY</w:t>
            </w:r>
          </w:p>
        </w:tc>
        <w:tc>
          <w:tcPr>
            <w:tcW w:w="2154" w:type="dxa"/>
            <w:noWrap/>
            <w:tcMar>
              <w:top w:w="0" w:type="dxa"/>
              <w:left w:w="108" w:type="dxa"/>
              <w:bottom w:w="0" w:type="dxa"/>
              <w:right w:w="108" w:type="dxa"/>
            </w:tcMar>
            <w:hideMark/>
          </w:tcPr>
          <w:p w14:paraId="7DD8F3F6" w14:textId="77777777" w:rsidR="00E60DD4" w:rsidRPr="00E60DD4" w:rsidRDefault="00E60DD4" w:rsidP="00E60DD4">
            <w:pPr>
              <w:tabs>
                <w:tab w:val="left" w:pos="30"/>
                <w:tab w:val="right" w:pos="1935"/>
              </w:tabs>
              <w:jc w:val="right"/>
              <w:rPr>
                <w:rFonts w:ascii="Arial" w:hAnsi="Arial" w:cs="Arial"/>
                <w:b/>
                <w:bCs/>
                <w:color w:val="000000"/>
                <w:lang w:val="en-GB"/>
              </w:rPr>
            </w:pPr>
          </w:p>
        </w:tc>
        <w:tc>
          <w:tcPr>
            <w:tcW w:w="283" w:type="dxa"/>
            <w:tcMar>
              <w:top w:w="0" w:type="dxa"/>
              <w:left w:w="108" w:type="dxa"/>
              <w:bottom w:w="0" w:type="dxa"/>
              <w:right w:w="108" w:type="dxa"/>
            </w:tcMar>
          </w:tcPr>
          <w:p w14:paraId="07142F83" w14:textId="77777777" w:rsidR="00E60DD4" w:rsidRPr="00E60DD4" w:rsidRDefault="00E60DD4" w:rsidP="00E60DD4">
            <w:pPr>
              <w:jc w:val="right"/>
              <w:rPr>
                <w:rFonts w:ascii="Arial" w:eastAsia="Calibri" w:hAnsi="Arial" w:cs="Arial"/>
                <w:color w:val="000000"/>
                <w:lang w:val="en-GB"/>
              </w:rPr>
            </w:pPr>
          </w:p>
        </w:tc>
        <w:tc>
          <w:tcPr>
            <w:tcW w:w="2154" w:type="dxa"/>
            <w:noWrap/>
            <w:tcMar>
              <w:top w:w="0" w:type="dxa"/>
              <w:left w:w="108" w:type="dxa"/>
              <w:bottom w:w="0" w:type="dxa"/>
              <w:right w:w="108" w:type="dxa"/>
            </w:tcMar>
            <w:hideMark/>
          </w:tcPr>
          <w:p w14:paraId="2C6F73E8" w14:textId="77777777" w:rsidR="00E60DD4" w:rsidRPr="00E60DD4" w:rsidRDefault="00E60DD4" w:rsidP="00E60DD4">
            <w:pPr>
              <w:tabs>
                <w:tab w:val="left" w:pos="120"/>
                <w:tab w:val="right" w:pos="1935"/>
              </w:tabs>
              <w:jc w:val="right"/>
              <w:rPr>
                <w:rFonts w:ascii="Arial" w:hAnsi="Arial" w:cs="Arial"/>
                <w:color w:val="000000"/>
                <w:lang w:val="en-GB"/>
              </w:rPr>
            </w:pPr>
          </w:p>
        </w:tc>
        <w:tc>
          <w:tcPr>
            <w:tcW w:w="284" w:type="dxa"/>
            <w:tcMar>
              <w:top w:w="0" w:type="dxa"/>
              <w:left w:w="108" w:type="dxa"/>
              <w:bottom w:w="0" w:type="dxa"/>
              <w:right w:w="108" w:type="dxa"/>
            </w:tcMar>
          </w:tcPr>
          <w:p w14:paraId="4ABE516A" w14:textId="77777777" w:rsidR="00E60DD4" w:rsidRPr="00E60DD4" w:rsidRDefault="00E60DD4" w:rsidP="00E60DD4">
            <w:pPr>
              <w:jc w:val="right"/>
              <w:rPr>
                <w:rFonts w:ascii="Arial" w:eastAsia="Calibri" w:hAnsi="Arial" w:cs="Arial"/>
                <w:color w:val="000000"/>
                <w:lang w:val="en-GB"/>
              </w:rPr>
            </w:pPr>
          </w:p>
        </w:tc>
      </w:tr>
      <w:tr w:rsidR="00E60DD4" w:rsidRPr="00E60DD4" w14:paraId="08F2FB51" w14:textId="77777777" w:rsidTr="00E60DD4">
        <w:trPr>
          <w:trHeight w:val="266"/>
        </w:trPr>
        <w:tc>
          <w:tcPr>
            <w:tcW w:w="3368" w:type="dxa"/>
            <w:noWrap/>
            <w:tcMar>
              <w:top w:w="0" w:type="dxa"/>
              <w:left w:w="108" w:type="dxa"/>
              <w:bottom w:w="0" w:type="dxa"/>
              <w:right w:w="108" w:type="dxa"/>
            </w:tcMar>
            <w:hideMark/>
          </w:tcPr>
          <w:p w14:paraId="58C40BF8" w14:textId="77777777" w:rsidR="00E60DD4" w:rsidRPr="00E60DD4" w:rsidRDefault="00E60DD4" w:rsidP="00E60DD4">
            <w:pPr>
              <w:rPr>
                <w:rFonts w:ascii="Arial" w:eastAsia="Calibri" w:hAnsi="Arial" w:cs="Arial"/>
                <w:color w:val="000000"/>
                <w:lang w:val="en-GB"/>
              </w:rPr>
            </w:pPr>
            <w:r w:rsidRPr="00E60DD4">
              <w:rPr>
                <w:rFonts w:ascii="Arial" w:hAnsi="Arial" w:cs="Arial"/>
                <w:color w:val="000000"/>
                <w:lang w:val="en-GB"/>
              </w:rPr>
              <w:t>Retained Earnings</w:t>
            </w:r>
          </w:p>
        </w:tc>
        <w:tc>
          <w:tcPr>
            <w:tcW w:w="2154" w:type="dxa"/>
            <w:noWrap/>
            <w:tcMar>
              <w:top w:w="0" w:type="dxa"/>
              <w:left w:w="108" w:type="dxa"/>
              <w:bottom w:w="0" w:type="dxa"/>
              <w:right w:w="108" w:type="dxa"/>
            </w:tcMar>
            <w:hideMark/>
          </w:tcPr>
          <w:p w14:paraId="740C07E1" w14:textId="77777777" w:rsidR="00E60DD4" w:rsidRPr="00E60DD4" w:rsidRDefault="00E60DD4" w:rsidP="00E60DD4">
            <w:pPr>
              <w:tabs>
                <w:tab w:val="left" w:pos="30"/>
                <w:tab w:val="right" w:pos="1935"/>
              </w:tabs>
              <w:jc w:val="right"/>
              <w:rPr>
                <w:rFonts w:ascii="Arial" w:hAnsi="Arial" w:cs="Arial"/>
                <w:color w:val="000000"/>
                <w:lang w:val="en-GB"/>
              </w:rPr>
            </w:pPr>
            <w:r w:rsidRPr="00E60DD4">
              <w:rPr>
                <w:rFonts w:ascii="Arial" w:hAnsi="Arial" w:cs="Arial"/>
                <w:color w:val="000000"/>
                <w:lang w:val="en-GB"/>
              </w:rPr>
              <w:t>$                1,107,927</w:t>
            </w:r>
          </w:p>
        </w:tc>
        <w:tc>
          <w:tcPr>
            <w:tcW w:w="283" w:type="dxa"/>
            <w:tcMar>
              <w:top w:w="0" w:type="dxa"/>
              <w:left w:w="108" w:type="dxa"/>
              <w:bottom w:w="0" w:type="dxa"/>
              <w:right w:w="108" w:type="dxa"/>
            </w:tcMar>
          </w:tcPr>
          <w:p w14:paraId="0C972AF8" w14:textId="77777777" w:rsidR="00E60DD4" w:rsidRPr="00E60DD4" w:rsidRDefault="00E60DD4" w:rsidP="00E60DD4">
            <w:pPr>
              <w:jc w:val="right"/>
              <w:rPr>
                <w:rFonts w:ascii="Arial" w:hAnsi="Arial" w:cs="Arial"/>
                <w:color w:val="000000"/>
                <w:lang w:val="en-GB"/>
              </w:rPr>
            </w:pPr>
          </w:p>
        </w:tc>
        <w:tc>
          <w:tcPr>
            <w:tcW w:w="2154" w:type="dxa"/>
            <w:noWrap/>
            <w:tcMar>
              <w:top w:w="0" w:type="dxa"/>
              <w:left w:w="108" w:type="dxa"/>
              <w:bottom w:w="0" w:type="dxa"/>
              <w:right w:w="108" w:type="dxa"/>
            </w:tcMar>
            <w:hideMark/>
          </w:tcPr>
          <w:p w14:paraId="1E5812AF" w14:textId="77777777" w:rsidR="00E60DD4" w:rsidRPr="00E60DD4" w:rsidRDefault="00E60DD4" w:rsidP="00E60DD4">
            <w:pPr>
              <w:tabs>
                <w:tab w:val="left" w:pos="120"/>
                <w:tab w:val="right" w:pos="1935"/>
              </w:tabs>
              <w:jc w:val="right"/>
              <w:rPr>
                <w:rFonts w:ascii="Arial" w:hAnsi="Arial" w:cs="Arial"/>
                <w:color w:val="000000"/>
                <w:lang w:val="en-GB"/>
              </w:rPr>
            </w:pPr>
            <w:r w:rsidRPr="00E60DD4">
              <w:rPr>
                <w:rFonts w:ascii="Arial" w:hAnsi="Arial" w:cs="Arial"/>
                <w:color w:val="000000"/>
                <w:lang w:val="en-GB"/>
              </w:rPr>
              <w:t>$                1,086,203</w:t>
            </w:r>
          </w:p>
        </w:tc>
        <w:tc>
          <w:tcPr>
            <w:tcW w:w="284" w:type="dxa"/>
            <w:tcMar>
              <w:top w:w="0" w:type="dxa"/>
              <w:left w:w="108" w:type="dxa"/>
              <w:bottom w:w="0" w:type="dxa"/>
              <w:right w:w="108" w:type="dxa"/>
            </w:tcMar>
          </w:tcPr>
          <w:p w14:paraId="33D18BF5" w14:textId="77777777" w:rsidR="00E60DD4" w:rsidRPr="00E60DD4" w:rsidRDefault="00E60DD4" w:rsidP="00E60DD4">
            <w:pPr>
              <w:jc w:val="right"/>
              <w:rPr>
                <w:rFonts w:ascii="Arial" w:hAnsi="Arial" w:cs="Arial"/>
                <w:color w:val="000000"/>
                <w:lang w:val="en-GB"/>
              </w:rPr>
            </w:pPr>
          </w:p>
        </w:tc>
      </w:tr>
      <w:tr w:rsidR="00E60DD4" w:rsidRPr="00E60DD4" w14:paraId="2ABDBA39" w14:textId="77777777" w:rsidTr="00E60DD4">
        <w:trPr>
          <w:trHeight w:val="144"/>
        </w:trPr>
        <w:tc>
          <w:tcPr>
            <w:tcW w:w="3368" w:type="dxa"/>
            <w:noWrap/>
            <w:tcMar>
              <w:top w:w="0" w:type="dxa"/>
              <w:left w:w="108" w:type="dxa"/>
              <w:bottom w:w="0" w:type="dxa"/>
              <w:right w:w="108" w:type="dxa"/>
            </w:tcMar>
            <w:vAlign w:val="bottom"/>
          </w:tcPr>
          <w:p w14:paraId="6CA00693" w14:textId="77777777" w:rsidR="00E60DD4" w:rsidRPr="00E60DD4" w:rsidRDefault="00E60DD4" w:rsidP="00E60DD4">
            <w:pPr>
              <w:rPr>
                <w:rFonts w:ascii="Arial" w:hAnsi="Arial" w:cs="Arial"/>
                <w:b/>
                <w:bCs/>
                <w:color w:val="000000"/>
                <w:lang w:val="en-GB"/>
              </w:rPr>
            </w:pPr>
          </w:p>
        </w:tc>
        <w:tc>
          <w:tcPr>
            <w:tcW w:w="2154" w:type="dxa"/>
            <w:noWrap/>
            <w:tcMar>
              <w:top w:w="0" w:type="dxa"/>
              <w:left w:w="108" w:type="dxa"/>
              <w:bottom w:w="0" w:type="dxa"/>
              <w:right w:w="108" w:type="dxa"/>
            </w:tcMar>
            <w:vAlign w:val="bottom"/>
          </w:tcPr>
          <w:p w14:paraId="52291F6D" w14:textId="77777777" w:rsidR="00E60DD4" w:rsidRPr="00E60DD4" w:rsidRDefault="00E60DD4" w:rsidP="00E60DD4">
            <w:pPr>
              <w:tabs>
                <w:tab w:val="left" w:pos="30"/>
                <w:tab w:val="right" w:pos="1935"/>
              </w:tabs>
              <w:jc w:val="right"/>
              <w:rPr>
                <w:rFonts w:ascii="Arial" w:hAnsi="Arial" w:cs="Arial"/>
                <w:b/>
                <w:bCs/>
                <w:color w:val="000000"/>
                <w:lang w:val="en-GB"/>
              </w:rPr>
            </w:pPr>
          </w:p>
        </w:tc>
        <w:tc>
          <w:tcPr>
            <w:tcW w:w="283" w:type="dxa"/>
            <w:tcMar>
              <w:top w:w="0" w:type="dxa"/>
              <w:left w:w="108" w:type="dxa"/>
              <w:bottom w:w="0" w:type="dxa"/>
              <w:right w:w="108" w:type="dxa"/>
            </w:tcMar>
            <w:vAlign w:val="bottom"/>
          </w:tcPr>
          <w:p w14:paraId="0EA77357" w14:textId="77777777" w:rsidR="00E60DD4" w:rsidRPr="00E60DD4" w:rsidRDefault="00E60DD4" w:rsidP="00E60DD4">
            <w:pPr>
              <w:jc w:val="right"/>
              <w:rPr>
                <w:rFonts w:ascii="Arial" w:hAnsi="Arial" w:cs="Arial"/>
                <w:b/>
                <w:bCs/>
                <w:color w:val="000000"/>
                <w:lang w:val="en-GB"/>
              </w:rPr>
            </w:pPr>
          </w:p>
        </w:tc>
        <w:tc>
          <w:tcPr>
            <w:tcW w:w="2154" w:type="dxa"/>
            <w:noWrap/>
            <w:tcMar>
              <w:top w:w="0" w:type="dxa"/>
              <w:left w:w="108" w:type="dxa"/>
              <w:bottom w:w="0" w:type="dxa"/>
              <w:right w:w="108" w:type="dxa"/>
            </w:tcMar>
            <w:vAlign w:val="bottom"/>
          </w:tcPr>
          <w:p w14:paraId="490082CF" w14:textId="77777777" w:rsidR="00E60DD4" w:rsidRPr="00E60DD4" w:rsidRDefault="00E60DD4" w:rsidP="00E60DD4">
            <w:pPr>
              <w:tabs>
                <w:tab w:val="left" w:pos="120"/>
                <w:tab w:val="right" w:pos="1935"/>
              </w:tabs>
              <w:jc w:val="right"/>
              <w:rPr>
                <w:rFonts w:ascii="Arial" w:hAnsi="Arial" w:cs="Arial"/>
                <w:b/>
                <w:bCs/>
                <w:color w:val="000000"/>
                <w:lang w:val="en-GB"/>
              </w:rPr>
            </w:pPr>
          </w:p>
        </w:tc>
        <w:tc>
          <w:tcPr>
            <w:tcW w:w="284" w:type="dxa"/>
            <w:tcMar>
              <w:top w:w="0" w:type="dxa"/>
              <w:left w:w="108" w:type="dxa"/>
              <w:bottom w:w="0" w:type="dxa"/>
              <w:right w:w="108" w:type="dxa"/>
            </w:tcMar>
            <w:vAlign w:val="bottom"/>
          </w:tcPr>
          <w:p w14:paraId="33A70D80" w14:textId="77777777" w:rsidR="00E60DD4" w:rsidRPr="00E60DD4" w:rsidRDefault="00E60DD4" w:rsidP="00E60DD4">
            <w:pPr>
              <w:jc w:val="right"/>
              <w:rPr>
                <w:rFonts w:ascii="Arial" w:hAnsi="Arial" w:cs="Arial"/>
                <w:b/>
                <w:bCs/>
                <w:color w:val="000000"/>
                <w:lang w:val="en-GB"/>
              </w:rPr>
            </w:pPr>
          </w:p>
        </w:tc>
      </w:tr>
      <w:tr w:rsidR="00E60DD4" w:rsidRPr="00E60DD4" w14:paraId="1EF14B12" w14:textId="77777777" w:rsidTr="00E60DD4">
        <w:trPr>
          <w:trHeight w:val="266"/>
        </w:trPr>
        <w:tc>
          <w:tcPr>
            <w:tcW w:w="3368" w:type="dxa"/>
            <w:noWrap/>
            <w:tcMar>
              <w:top w:w="0" w:type="dxa"/>
              <w:left w:w="108" w:type="dxa"/>
              <w:bottom w:w="0" w:type="dxa"/>
              <w:right w:w="108" w:type="dxa"/>
            </w:tcMar>
            <w:hideMark/>
          </w:tcPr>
          <w:p w14:paraId="4B9DE490" w14:textId="77777777" w:rsidR="00E60DD4" w:rsidRPr="00E60DD4" w:rsidRDefault="00E60DD4" w:rsidP="00E60DD4">
            <w:pPr>
              <w:rPr>
                <w:rFonts w:ascii="Arial" w:hAnsi="Arial" w:cs="Arial"/>
                <w:b/>
                <w:bCs/>
                <w:color w:val="000000"/>
                <w:lang w:val="en-GB"/>
              </w:rPr>
            </w:pPr>
            <w:r w:rsidRPr="00E60DD4">
              <w:rPr>
                <w:rFonts w:ascii="Arial" w:hAnsi="Arial" w:cs="Arial"/>
                <w:b/>
                <w:bCs/>
                <w:color w:val="000000"/>
                <w:lang w:val="en-GB"/>
              </w:rPr>
              <w:t>TOTAL LIABILITIES &amp; EQUITY</w:t>
            </w:r>
          </w:p>
        </w:tc>
        <w:tc>
          <w:tcPr>
            <w:tcW w:w="2154" w:type="dxa"/>
            <w:noWrap/>
            <w:tcMar>
              <w:top w:w="0" w:type="dxa"/>
              <w:left w:w="108" w:type="dxa"/>
              <w:bottom w:w="0" w:type="dxa"/>
              <w:right w:w="108" w:type="dxa"/>
            </w:tcMar>
            <w:hideMark/>
          </w:tcPr>
          <w:p w14:paraId="03564993" w14:textId="77777777" w:rsidR="00E60DD4" w:rsidRPr="00E60DD4" w:rsidRDefault="00E60DD4" w:rsidP="00E60DD4">
            <w:pPr>
              <w:tabs>
                <w:tab w:val="left" w:pos="30"/>
                <w:tab w:val="right" w:pos="1935"/>
              </w:tabs>
              <w:jc w:val="right"/>
              <w:rPr>
                <w:rFonts w:ascii="Arial" w:hAnsi="Arial" w:cs="Arial"/>
                <w:b/>
                <w:bCs/>
                <w:color w:val="000000"/>
                <w:u w:val="double"/>
                <w:lang w:val="en-GB"/>
              </w:rPr>
            </w:pPr>
            <w:r w:rsidRPr="00E60DD4">
              <w:rPr>
                <w:rFonts w:ascii="Arial" w:hAnsi="Arial" w:cs="Arial"/>
                <w:b/>
                <w:bCs/>
                <w:color w:val="000000"/>
                <w:u w:val="double"/>
                <w:lang w:val="en-GB"/>
              </w:rPr>
              <w:t>$                3,065,910</w:t>
            </w:r>
          </w:p>
        </w:tc>
        <w:tc>
          <w:tcPr>
            <w:tcW w:w="283" w:type="dxa"/>
            <w:tcMar>
              <w:top w:w="0" w:type="dxa"/>
              <w:left w:w="108" w:type="dxa"/>
              <w:bottom w:w="0" w:type="dxa"/>
              <w:right w:w="108" w:type="dxa"/>
            </w:tcMar>
            <w:vAlign w:val="bottom"/>
          </w:tcPr>
          <w:p w14:paraId="2051370A" w14:textId="77777777" w:rsidR="00E60DD4" w:rsidRPr="00E60DD4" w:rsidRDefault="00E60DD4" w:rsidP="00E60DD4">
            <w:pPr>
              <w:jc w:val="right"/>
              <w:rPr>
                <w:rFonts w:ascii="Arial" w:hAnsi="Arial" w:cs="Arial"/>
                <w:b/>
                <w:bCs/>
                <w:color w:val="000000"/>
                <w:lang w:val="en-GB"/>
              </w:rPr>
            </w:pPr>
          </w:p>
        </w:tc>
        <w:tc>
          <w:tcPr>
            <w:tcW w:w="2154" w:type="dxa"/>
            <w:noWrap/>
            <w:tcMar>
              <w:top w:w="0" w:type="dxa"/>
              <w:left w:w="108" w:type="dxa"/>
              <w:bottom w:w="0" w:type="dxa"/>
              <w:right w:w="108" w:type="dxa"/>
            </w:tcMar>
            <w:hideMark/>
          </w:tcPr>
          <w:p w14:paraId="66B93BAB" w14:textId="77777777" w:rsidR="00E60DD4" w:rsidRPr="00E60DD4" w:rsidRDefault="00E60DD4" w:rsidP="00E60DD4">
            <w:pPr>
              <w:tabs>
                <w:tab w:val="left" w:pos="120"/>
                <w:tab w:val="right" w:pos="1935"/>
              </w:tabs>
              <w:jc w:val="right"/>
              <w:rPr>
                <w:rFonts w:ascii="Arial" w:hAnsi="Arial" w:cs="Arial"/>
                <w:b/>
                <w:bCs/>
                <w:color w:val="000000"/>
                <w:u w:val="double"/>
                <w:lang w:val="en-GB"/>
              </w:rPr>
            </w:pPr>
            <w:r w:rsidRPr="00E60DD4">
              <w:rPr>
                <w:rFonts w:ascii="Arial" w:hAnsi="Arial" w:cs="Arial"/>
                <w:b/>
                <w:bCs/>
                <w:color w:val="000000"/>
                <w:u w:val="double"/>
                <w:lang w:val="en-GB"/>
              </w:rPr>
              <w:t>$</w:t>
            </w:r>
            <w:r w:rsidRPr="00E60DD4">
              <w:rPr>
                <w:rFonts w:ascii="Arial" w:hAnsi="Arial" w:cs="Arial"/>
                <w:b/>
                <w:bCs/>
                <w:color w:val="000000"/>
                <w:u w:val="double"/>
                <w:lang w:val="en-GB"/>
              </w:rPr>
              <w:tab/>
              <w:t xml:space="preserve">                3,031,350</w:t>
            </w:r>
          </w:p>
        </w:tc>
        <w:tc>
          <w:tcPr>
            <w:tcW w:w="284" w:type="dxa"/>
            <w:tcMar>
              <w:top w:w="0" w:type="dxa"/>
              <w:left w:w="108" w:type="dxa"/>
              <w:bottom w:w="0" w:type="dxa"/>
              <w:right w:w="108" w:type="dxa"/>
            </w:tcMar>
            <w:vAlign w:val="bottom"/>
          </w:tcPr>
          <w:p w14:paraId="6B33026F" w14:textId="77777777" w:rsidR="00E60DD4" w:rsidRPr="00E60DD4" w:rsidRDefault="00E60DD4" w:rsidP="00E60DD4">
            <w:pPr>
              <w:jc w:val="right"/>
              <w:rPr>
                <w:rFonts w:ascii="Arial" w:hAnsi="Arial" w:cs="Arial"/>
                <w:b/>
                <w:bCs/>
                <w:color w:val="000000"/>
                <w:u w:val="double"/>
                <w:lang w:val="en-GB"/>
              </w:rPr>
            </w:pPr>
          </w:p>
        </w:tc>
      </w:tr>
    </w:tbl>
    <w:p w14:paraId="29D9B6D9" w14:textId="77777777" w:rsidR="00E60DD4" w:rsidRPr="00E60DD4" w:rsidRDefault="00E60DD4" w:rsidP="008E33E8">
      <w:pPr>
        <w:pStyle w:val="FootnoteText1"/>
        <w:rPr>
          <w:lang w:val="en-GB" w:eastAsia="en-GB"/>
        </w:rPr>
      </w:pPr>
    </w:p>
    <w:p w14:paraId="20487D59" w14:textId="77777777" w:rsidR="00E60DD4" w:rsidRPr="00E60DD4" w:rsidRDefault="00E60DD4" w:rsidP="008E33E8">
      <w:pPr>
        <w:pStyle w:val="FootnoteText1"/>
        <w:rPr>
          <w:lang w:val="en-GB" w:eastAsia="en-GB"/>
        </w:rPr>
      </w:pPr>
      <w:r w:rsidRPr="00E60DD4">
        <w:rPr>
          <w:lang w:val="en-GB" w:eastAsia="en-GB"/>
        </w:rPr>
        <w:t>Source: Company files. Financial information has been adapted for case purposes.</w:t>
      </w:r>
    </w:p>
    <w:p w14:paraId="17FD82FF" w14:textId="77777777" w:rsidR="00E60DD4" w:rsidRPr="00E60DD4" w:rsidRDefault="00E60DD4" w:rsidP="00E60DD4">
      <w:pPr>
        <w:spacing w:before="40" w:line="259" w:lineRule="auto"/>
        <w:rPr>
          <w:rFonts w:ascii="Arial" w:hAnsi="Arial" w:cs="Arial"/>
          <w:i/>
          <w:sz w:val="17"/>
          <w:szCs w:val="17"/>
          <w:lang w:val="en-GB" w:eastAsia="en-GB"/>
        </w:rPr>
      </w:pPr>
      <w:r w:rsidRPr="00E60DD4">
        <w:rPr>
          <w:rFonts w:ascii="Arial" w:hAnsi="Arial" w:cs="Arial"/>
          <w:i/>
          <w:sz w:val="17"/>
          <w:szCs w:val="17"/>
          <w:lang w:val="en-GB" w:eastAsia="en-GB"/>
        </w:rPr>
        <w:br w:type="page"/>
      </w:r>
    </w:p>
    <w:p w14:paraId="739724EF" w14:textId="77777777" w:rsidR="00E60DD4" w:rsidRPr="00E60DD4" w:rsidRDefault="00E60DD4" w:rsidP="00E60DD4">
      <w:pPr>
        <w:jc w:val="center"/>
        <w:rPr>
          <w:rFonts w:ascii="Arial" w:hAnsi="Arial" w:cs="Arial"/>
          <w:b/>
          <w:caps/>
          <w:lang w:val="en-GB" w:eastAsia="en-GB"/>
        </w:rPr>
      </w:pPr>
      <w:r w:rsidRPr="00E60DD4">
        <w:rPr>
          <w:rFonts w:ascii="Arial" w:hAnsi="Arial" w:cs="Arial"/>
          <w:b/>
          <w:caps/>
          <w:lang w:val="en-GB" w:eastAsia="en-GB"/>
        </w:rPr>
        <w:lastRenderedPageBreak/>
        <w:t>EXHIBIT 5: FINANCIAL RATIOS</w:t>
      </w:r>
    </w:p>
    <w:p w14:paraId="0870DCCA" w14:textId="77777777" w:rsidR="00E60DD4" w:rsidRPr="00E60DD4" w:rsidRDefault="00E60DD4" w:rsidP="008E33E8">
      <w:pPr>
        <w:pStyle w:val="BodyTextMain"/>
        <w:rPr>
          <w:lang w:val="en-GB" w:eastAsia="en-GB"/>
        </w:rPr>
      </w:pPr>
    </w:p>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931"/>
        <w:gridCol w:w="1932"/>
      </w:tblGrid>
      <w:tr w:rsidR="00E60DD4" w:rsidRPr="00E60DD4" w14:paraId="6734E019" w14:textId="77777777" w:rsidTr="00E60DD4">
        <w:trPr>
          <w:trHeight w:val="285"/>
          <w:jc w:val="center"/>
        </w:trPr>
        <w:tc>
          <w:tcPr>
            <w:tcW w:w="2552" w:type="dxa"/>
            <w:noWrap/>
            <w:hideMark/>
          </w:tcPr>
          <w:p w14:paraId="6CD2DD83" w14:textId="77777777" w:rsidR="00E60DD4" w:rsidRPr="00E60DD4" w:rsidRDefault="00E60DD4" w:rsidP="00E60DD4">
            <w:pPr>
              <w:jc w:val="center"/>
              <w:rPr>
                <w:rFonts w:ascii="Arial" w:hAnsi="Arial" w:cs="Arial"/>
                <w:color w:val="000000"/>
                <w:lang w:val="en-GB"/>
              </w:rPr>
            </w:pPr>
          </w:p>
        </w:tc>
        <w:tc>
          <w:tcPr>
            <w:tcW w:w="1931" w:type="dxa"/>
            <w:noWrap/>
            <w:hideMark/>
          </w:tcPr>
          <w:p w14:paraId="7088EA44" w14:textId="77777777" w:rsidR="00E60DD4" w:rsidRPr="00E60DD4" w:rsidRDefault="00E60DD4" w:rsidP="00E60DD4">
            <w:pPr>
              <w:jc w:val="center"/>
              <w:rPr>
                <w:rFonts w:ascii="Arial" w:hAnsi="Arial" w:cs="Arial"/>
                <w:b/>
                <w:color w:val="000000"/>
                <w:lang w:val="en-GB"/>
              </w:rPr>
            </w:pPr>
            <w:r w:rsidRPr="00E60DD4">
              <w:rPr>
                <w:rFonts w:ascii="Arial" w:hAnsi="Arial" w:cs="Arial"/>
                <w:b/>
                <w:color w:val="000000"/>
                <w:lang w:val="en-GB"/>
              </w:rPr>
              <w:t>2013</w:t>
            </w:r>
          </w:p>
        </w:tc>
        <w:tc>
          <w:tcPr>
            <w:tcW w:w="1932" w:type="dxa"/>
            <w:noWrap/>
            <w:hideMark/>
          </w:tcPr>
          <w:p w14:paraId="4F902053" w14:textId="77777777" w:rsidR="00E60DD4" w:rsidRPr="00E60DD4" w:rsidRDefault="00E60DD4" w:rsidP="00E60DD4">
            <w:pPr>
              <w:jc w:val="center"/>
              <w:rPr>
                <w:rFonts w:ascii="Arial" w:hAnsi="Arial" w:cs="Arial"/>
                <w:b/>
                <w:color w:val="000000"/>
                <w:lang w:val="en-GB"/>
              </w:rPr>
            </w:pPr>
            <w:r w:rsidRPr="00E60DD4">
              <w:rPr>
                <w:rFonts w:ascii="Arial" w:hAnsi="Arial" w:cs="Arial"/>
                <w:b/>
                <w:color w:val="000000"/>
                <w:lang w:val="en-GB"/>
              </w:rPr>
              <w:t>2012</w:t>
            </w:r>
          </w:p>
        </w:tc>
      </w:tr>
      <w:tr w:rsidR="00E60DD4" w:rsidRPr="00E60DD4" w14:paraId="50805C3A" w14:textId="77777777" w:rsidTr="00E60DD4">
        <w:trPr>
          <w:trHeight w:val="285"/>
          <w:jc w:val="center"/>
        </w:trPr>
        <w:tc>
          <w:tcPr>
            <w:tcW w:w="2552" w:type="dxa"/>
            <w:noWrap/>
            <w:hideMark/>
          </w:tcPr>
          <w:p w14:paraId="72861803" w14:textId="77777777" w:rsidR="00E60DD4" w:rsidRPr="00E60DD4" w:rsidRDefault="00E60DD4" w:rsidP="00E60DD4">
            <w:pPr>
              <w:jc w:val="center"/>
              <w:rPr>
                <w:rFonts w:ascii="Arial" w:hAnsi="Arial" w:cs="Arial"/>
                <w:color w:val="000000"/>
                <w:lang w:val="en-GB"/>
              </w:rPr>
            </w:pPr>
          </w:p>
        </w:tc>
        <w:tc>
          <w:tcPr>
            <w:tcW w:w="1931" w:type="dxa"/>
            <w:noWrap/>
            <w:hideMark/>
          </w:tcPr>
          <w:p w14:paraId="1D5431BD" w14:textId="77777777" w:rsidR="00E60DD4" w:rsidRPr="00E60DD4" w:rsidRDefault="00E60DD4" w:rsidP="00E60DD4">
            <w:pPr>
              <w:jc w:val="center"/>
              <w:rPr>
                <w:rFonts w:ascii="Arial" w:hAnsi="Arial" w:cs="Arial"/>
                <w:b/>
                <w:lang w:val="en-GB"/>
              </w:rPr>
            </w:pPr>
          </w:p>
        </w:tc>
        <w:tc>
          <w:tcPr>
            <w:tcW w:w="1932" w:type="dxa"/>
            <w:noWrap/>
            <w:hideMark/>
          </w:tcPr>
          <w:p w14:paraId="4204E2DF" w14:textId="77777777" w:rsidR="00E60DD4" w:rsidRPr="00E60DD4" w:rsidRDefault="00E60DD4" w:rsidP="00E60DD4">
            <w:pPr>
              <w:jc w:val="center"/>
              <w:rPr>
                <w:rFonts w:ascii="Arial" w:hAnsi="Arial" w:cs="Arial"/>
                <w:b/>
                <w:lang w:val="en-GB"/>
              </w:rPr>
            </w:pPr>
          </w:p>
        </w:tc>
      </w:tr>
      <w:tr w:rsidR="00E60DD4" w:rsidRPr="00E60DD4" w14:paraId="4F8E02C2" w14:textId="77777777" w:rsidTr="00E60DD4">
        <w:trPr>
          <w:trHeight w:val="285"/>
          <w:jc w:val="center"/>
        </w:trPr>
        <w:tc>
          <w:tcPr>
            <w:tcW w:w="2552" w:type="dxa"/>
            <w:noWrap/>
            <w:hideMark/>
          </w:tcPr>
          <w:p w14:paraId="675F0764"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Profitability</w:t>
            </w:r>
          </w:p>
        </w:tc>
        <w:tc>
          <w:tcPr>
            <w:tcW w:w="1931" w:type="dxa"/>
            <w:noWrap/>
            <w:hideMark/>
          </w:tcPr>
          <w:p w14:paraId="43AB7DDD" w14:textId="77777777" w:rsidR="00E60DD4" w:rsidRPr="00E60DD4" w:rsidRDefault="00E60DD4" w:rsidP="00E60DD4">
            <w:pPr>
              <w:jc w:val="center"/>
              <w:rPr>
                <w:rFonts w:ascii="Arial" w:hAnsi="Arial" w:cs="Arial"/>
                <w:color w:val="000000"/>
                <w:lang w:val="en-GB"/>
              </w:rPr>
            </w:pPr>
          </w:p>
        </w:tc>
        <w:tc>
          <w:tcPr>
            <w:tcW w:w="1932" w:type="dxa"/>
            <w:noWrap/>
            <w:hideMark/>
          </w:tcPr>
          <w:p w14:paraId="25086EC3" w14:textId="77777777" w:rsidR="00E60DD4" w:rsidRPr="00E60DD4" w:rsidRDefault="00E60DD4" w:rsidP="00E60DD4">
            <w:pPr>
              <w:jc w:val="center"/>
              <w:rPr>
                <w:rFonts w:ascii="Arial" w:hAnsi="Arial" w:cs="Arial"/>
                <w:lang w:val="en-GB"/>
              </w:rPr>
            </w:pPr>
          </w:p>
        </w:tc>
      </w:tr>
      <w:tr w:rsidR="00E60DD4" w:rsidRPr="00E60DD4" w14:paraId="69E4F09A" w14:textId="77777777" w:rsidTr="00E60DD4">
        <w:trPr>
          <w:trHeight w:val="285"/>
          <w:jc w:val="center"/>
        </w:trPr>
        <w:tc>
          <w:tcPr>
            <w:tcW w:w="2552" w:type="dxa"/>
            <w:noWrap/>
            <w:hideMark/>
          </w:tcPr>
          <w:p w14:paraId="160CB71A"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Return on Equity</w:t>
            </w:r>
          </w:p>
        </w:tc>
        <w:tc>
          <w:tcPr>
            <w:tcW w:w="1931" w:type="dxa"/>
            <w:noWrap/>
            <w:hideMark/>
          </w:tcPr>
          <w:p w14:paraId="00D92622"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14.8%</w:t>
            </w:r>
          </w:p>
        </w:tc>
        <w:tc>
          <w:tcPr>
            <w:tcW w:w="1932" w:type="dxa"/>
            <w:noWrap/>
            <w:hideMark/>
          </w:tcPr>
          <w:p w14:paraId="259896FB"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19.9%</w:t>
            </w:r>
          </w:p>
        </w:tc>
      </w:tr>
      <w:tr w:rsidR="00E60DD4" w:rsidRPr="00E60DD4" w14:paraId="50E96BE5" w14:textId="77777777" w:rsidTr="00E60DD4">
        <w:trPr>
          <w:trHeight w:val="285"/>
          <w:jc w:val="center"/>
        </w:trPr>
        <w:tc>
          <w:tcPr>
            <w:tcW w:w="2552" w:type="dxa"/>
            <w:noWrap/>
            <w:hideMark/>
          </w:tcPr>
          <w:p w14:paraId="0EEF2BFD" w14:textId="77777777" w:rsidR="00E60DD4" w:rsidRPr="00E60DD4" w:rsidRDefault="00E60DD4" w:rsidP="00E60DD4">
            <w:pPr>
              <w:rPr>
                <w:rFonts w:ascii="Arial" w:hAnsi="Arial" w:cs="Arial"/>
                <w:color w:val="000000"/>
                <w:lang w:val="en-GB"/>
              </w:rPr>
            </w:pPr>
          </w:p>
        </w:tc>
        <w:tc>
          <w:tcPr>
            <w:tcW w:w="1931" w:type="dxa"/>
            <w:noWrap/>
            <w:hideMark/>
          </w:tcPr>
          <w:p w14:paraId="0877313A" w14:textId="77777777" w:rsidR="00E60DD4" w:rsidRPr="00E60DD4" w:rsidRDefault="00E60DD4" w:rsidP="00E60DD4">
            <w:pPr>
              <w:jc w:val="center"/>
              <w:rPr>
                <w:rFonts w:ascii="Arial" w:hAnsi="Arial" w:cs="Arial"/>
                <w:lang w:val="en-GB"/>
              </w:rPr>
            </w:pPr>
          </w:p>
        </w:tc>
        <w:tc>
          <w:tcPr>
            <w:tcW w:w="1932" w:type="dxa"/>
            <w:noWrap/>
            <w:hideMark/>
          </w:tcPr>
          <w:p w14:paraId="5FA826E8" w14:textId="77777777" w:rsidR="00E60DD4" w:rsidRPr="00E60DD4" w:rsidRDefault="00E60DD4" w:rsidP="00E60DD4">
            <w:pPr>
              <w:jc w:val="center"/>
              <w:rPr>
                <w:rFonts w:ascii="Arial" w:hAnsi="Arial" w:cs="Arial"/>
                <w:lang w:val="en-GB"/>
              </w:rPr>
            </w:pPr>
          </w:p>
        </w:tc>
      </w:tr>
      <w:tr w:rsidR="00E60DD4" w:rsidRPr="00E60DD4" w14:paraId="00E386E7" w14:textId="77777777" w:rsidTr="00E60DD4">
        <w:trPr>
          <w:trHeight w:val="285"/>
          <w:jc w:val="center"/>
        </w:trPr>
        <w:tc>
          <w:tcPr>
            <w:tcW w:w="2552" w:type="dxa"/>
            <w:noWrap/>
            <w:hideMark/>
          </w:tcPr>
          <w:p w14:paraId="25DD1353"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Liquidity</w:t>
            </w:r>
          </w:p>
        </w:tc>
        <w:tc>
          <w:tcPr>
            <w:tcW w:w="1931" w:type="dxa"/>
            <w:noWrap/>
            <w:hideMark/>
          </w:tcPr>
          <w:p w14:paraId="2D3B168B" w14:textId="77777777" w:rsidR="00E60DD4" w:rsidRPr="00E60DD4" w:rsidRDefault="00E60DD4" w:rsidP="00E60DD4">
            <w:pPr>
              <w:jc w:val="center"/>
              <w:rPr>
                <w:rFonts w:ascii="Arial" w:hAnsi="Arial" w:cs="Arial"/>
                <w:color w:val="000000"/>
                <w:lang w:val="en-GB"/>
              </w:rPr>
            </w:pPr>
          </w:p>
        </w:tc>
        <w:tc>
          <w:tcPr>
            <w:tcW w:w="1932" w:type="dxa"/>
            <w:noWrap/>
            <w:hideMark/>
          </w:tcPr>
          <w:p w14:paraId="4EDC9F99" w14:textId="77777777" w:rsidR="00E60DD4" w:rsidRPr="00E60DD4" w:rsidRDefault="00E60DD4" w:rsidP="00E60DD4">
            <w:pPr>
              <w:jc w:val="center"/>
              <w:rPr>
                <w:rFonts w:ascii="Arial" w:hAnsi="Arial" w:cs="Arial"/>
                <w:lang w:val="en-GB"/>
              </w:rPr>
            </w:pPr>
          </w:p>
        </w:tc>
      </w:tr>
      <w:tr w:rsidR="00E60DD4" w:rsidRPr="00E60DD4" w14:paraId="547B76AD" w14:textId="77777777" w:rsidTr="00E60DD4">
        <w:trPr>
          <w:trHeight w:val="285"/>
          <w:jc w:val="center"/>
        </w:trPr>
        <w:tc>
          <w:tcPr>
            <w:tcW w:w="2552" w:type="dxa"/>
            <w:noWrap/>
            <w:hideMark/>
          </w:tcPr>
          <w:p w14:paraId="33BB08FC"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Current Ratio</w:t>
            </w:r>
          </w:p>
        </w:tc>
        <w:tc>
          <w:tcPr>
            <w:tcW w:w="1931" w:type="dxa"/>
            <w:noWrap/>
            <w:hideMark/>
          </w:tcPr>
          <w:p w14:paraId="295486D0"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0.95 : 1</w:t>
            </w:r>
          </w:p>
        </w:tc>
        <w:tc>
          <w:tcPr>
            <w:tcW w:w="1932" w:type="dxa"/>
            <w:noWrap/>
            <w:hideMark/>
          </w:tcPr>
          <w:p w14:paraId="2AC4A1AF"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0.97 : 1</w:t>
            </w:r>
          </w:p>
        </w:tc>
      </w:tr>
      <w:tr w:rsidR="00E60DD4" w:rsidRPr="00E60DD4" w14:paraId="54E214EE" w14:textId="77777777" w:rsidTr="00E60DD4">
        <w:trPr>
          <w:trHeight w:val="285"/>
          <w:jc w:val="center"/>
        </w:trPr>
        <w:tc>
          <w:tcPr>
            <w:tcW w:w="2552" w:type="dxa"/>
            <w:noWrap/>
            <w:hideMark/>
          </w:tcPr>
          <w:p w14:paraId="1F84A09B"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Acid Test</w:t>
            </w:r>
          </w:p>
        </w:tc>
        <w:tc>
          <w:tcPr>
            <w:tcW w:w="1931" w:type="dxa"/>
            <w:noWrap/>
            <w:hideMark/>
          </w:tcPr>
          <w:p w14:paraId="3E121CB2"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0.79 : 1</w:t>
            </w:r>
          </w:p>
        </w:tc>
        <w:tc>
          <w:tcPr>
            <w:tcW w:w="1932" w:type="dxa"/>
            <w:noWrap/>
            <w:hideMark/>
          </w:tcPr>
          <w:p w14:paraId="57E3AFF4"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0.84 : 1</w:t>
            </w:r>
          </w:p>
        </w:tc>
      </w:tr>
      <w:tr w:rsidR="00E60DD4" w:rsidRPr="00E60DD4" w14:paraId="69581DFF" w14:textId="77777777" w:rsidTr="00E60DD4">
        <w:trPr>
          <w:trHeight w:val="285"/>
          <w:jc w:val="center"/>
        </w:trPr>
        <w:tc>
          <w:tcPr>
            <w:tcW w:w="2552" w:type="dxa"/>
            <w:noWrap/>
            <w:hideMark/>
          </w:tcPr>
          <w:p w14:paraId="0049E0E1" w14:textId="77777777" w:rsidR="00E60DD4" w:rsidRPr="00E60DD4" w:rsidRDefault="00E60DD4" w:rsidP="00E60DD4">
            <w:pPr>
              <w:rPr>
                <w:rFonts w:ascii="Arial" w:hAnsi="Arial" w:cs="Arial"/>
                <w:color w:val="000000"/>
                <w:lang w:val="en-GB"/>
              </w:rPr>
            </w:pPr>
          </w:p>
        </w:tc>
        <w:tc>
          <w:tcPr>
            <w:tcW w:w="1931" w:type="dxa"/>
            <w:noWrap/>
            <w:hideMark/>
          </w:tcPr>
          <w:p w14:paraId="2D44D93A" w14:textId="77777777" w:rsidR="00E60DD4" w:rsidRPr="00E60DD4" w:rsidRDefault="00E60DD4" w:rsidP="00E60DD4">
            <w:pPr>
              <w:jc w:val="center"/>
              <w:rPr>
                <w:rFonts w:ascii="Arial" w:hAnsi="Arial" w:cs="Arial"/>
                <w:lang w:val="en-GB"/>
              </w:rPr>
            </w:pPr>
          </w:p>
        </w:tc>
        <w:tc>
          <w:tcPr>
            <w:tcW w:w="1932" w:type="dxa"/>
            <w:noWrap/>
            <w:hideMark/>
          </w:tcPr>
          <w:p w14:paraId="454E5678" w14:textId="77777777" w:rsidR="00E60DD4" w:rsidRPr="00E60DD4" w:rsidRDefault="00E60DD4" w:rsidP="00E60DD4">
            <w:pPr>
              <w:jc w:val="center"/>
              <w:rPr>
                <w:rFonts w:ascii="Arial" w:hAnsi="Arial" w:cs="Arial"/>
                <w:lang w:val="en-GB"/>
              </w:rPr>
            </w:pPr>
          </w:p>
        </w:tc>
      </w:tr>
      <w:tr w:rsidR="00E60DD4" w:rsidRPr="00E60DD4" w14:paraId="4504746C" w14:textId="77777777" w:rsidTr="00E60DD4">
        <w:trPr>
          <w:trHeight w:val="285"/>
          <w:jc w:val="center"/>
        </w:trPr>
        <w:tc>
          <w:tcPr>
            <w:tcW w:w="2552" w:type="dxa"/>
            <w:noWrap/>
            <w:hideMark/>
          </w:tcPr>
          <w:p w14:paraId="7483A8C2"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Stability</w:t>
            </w:r>
          </w:p>
        </w:tc>
        <w:tc>
          <w:tcPr>
            <w:tcW w:w="1931" w:type="dxa"/>
            <w:noWrap/>
            <w:hideMark/>
          </w:tcPr>
          <w:p w14:paraId="79EE149B" w14:textId="77777777" w:rsidR="00E60DD4" w:rsidRPr="00E60DD4" w:rsidRDefault="00E60DD4" w:rsidP="00E60DD4">
            <w:pPr>
              <w:jc w:val="center"/>
              <w:rPr>
                <w:rFonts w:ascii="Arial" w:hAnsi="Arial" w:cs="Arial"/>
                <w:color w:val="000000"/>
                <w:lang w:val="en-GB"/>
              </w:rPr>
            </w:pPr>
          </w:p>
        </w:tc>
        <w:tc>
          <w:tcPr>
            <w:tcW w:w="1932" w:type="dxa"/>
            <w:noWrap/>
            <w:hideMark/>
          </w:tcPr>
          <w:p w14:paraId="3D99815C" w14:textId="77777777" w:rsidR="00E60DD4" w:rsidRPr="00E60DD4" w:rsidRDefault="00E60DD4" w:rsidP="00E60DD4">
            <w:pPr>
              <w:jc w:val="center"/>
              <w:rPr>
                <w:rFonts w:ascii="Arial" w:hAnsi="Arial" w:cs="Arial"/>
                <w:lang w:val="en-GB"/>
              </w:rPr>
            </w:pPr>
          </w:p>
        </w:tc>
      </w:tr>
      <w:tr w:rsidR="00E60DD4" w:rsidRPr="00E60DD4" w14:paraId="23370E19" w14:textId="77777777" w:rsidTr="00E60DD4">
        <w:trPr>
          <w:trHeight w:val="285"/>
          <w:jc w:val="center"/>
        </w:trPr>
        <w:tc>
          <w:tcPr>
            <w:tcW w:w="2552" w:type="dxa"/>
            <w:noWrap/>
            <w:hideMark/>
          </w:tcPr>
          <w:p w14:paraId="56F33072"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Net Worth to Total Assets</w:t>
            </w:r>
          </w:p>
        </w:tc>
        <w:tc>
          <w:tcPr>
            <w:tcW w:w="1931" w:type="dxa"/>
            <w:noWrap/>
            <w:hideMark/>
          </w:tcPr>
          <w:p w14:paraId="4A965DC1"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36.1%</w:t>
            </w:r>
          </w:p>
        </w:tc>
        <w:tc>
          <w:tcPr>
            <w:tcW w:w="1932" w:type="dxa"/>
            <w:noWrap/>
            <w:hideMark/>
          </w:tcPr>
          <w:p w14:paraId="059794E0"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35.8%</w:t>
            </w:r>
          </w:p>
        </w:tc>
      </w:tr>
      <w:tr w:rsidR="00E60DD4" w:rsidRPr="00E60DD4" w14:paraId="4D0D2281" w14:textId="77777777" w:rsidTr="00E60DD4">
        <w:trPr>
          <w:trHeight w:val="285"/>
          <w:jc w:val="center"/>
        </w:trPr>
        <w:tc>
          <w:tcPr>
            <w:tcW w:w="2552" w:type="dxa"/>
            <w:noWrap/>
            <w:hideMark/>
          </w:tcPr>
          <w:p w14:paraId="12249BD1"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Interest Coverage</w:t>
            </w:r>
          </w:p>
        </w:tc>
        <w:tc>
          <w:tcPr>
            <w:tcW w:w="1931" w:type="dxa"/>
            <w:noWrap/>
            <w:hideMark/>
          </w:tcPr>
          <w:p w14:paraId="217A6663"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12.07×</w:t>
            </w:r>
          </w:p>
        </w:tc>
        <w:tc>
          <w:tcPr>
            <w:tcW w:w="1932" w:type="dxa"/>
            <w:noWrap/>
            <w:hideMark/>
          </w:tcPr>
          <w:p w14:paraId="6FB6A60D"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15.20×</w:t>
            </w:r>
          </w:p>
        </w:tc>
      </w:tr>
      <w:tr w:rsidR="00E60DD4" w:rsidRPr="00E60DD4" w14:paraId="299C6B94" w14:textId="77777777" w:rsidTr="00E60DD4">
        <w:trPr>
          <w:trHeight w:val="285"/>
          <w:jc w:val="center"/>
        </w:trPr>
        <w:tc>
          <w:tcPr>
            <w:tcW w:w="2552" w:type="dxa"/>
            <w:noWrap/>
            <w:hideMark/>
          </w:tcPr>
          <w:p w14:paraId="0BF18A5B" w14:textId="77777777" w:rsidR="00E60DD4" w:rsidRPr="00E60DD4" w:rsidRDefault="00E60DD4" w:rsidP="00E60DD4">
            <w:pPr>
              <w:rPr>
                <w:rFonts w:ascii="Arial" w:hAnsi="Arial" w:cs="Arial"/>
                <w:color w:val="000000"/>
                <w:lang w:val="en-GB"/>
              </w:rPr>
            </w:pPr>
          </w:p>
        </w:tc>
        <w:tc>
          <w:tcPr>
            <w:tcW w:w="1931" w:type="dxa"/>
            <w:noWrap/>
            <w:hideMark/>
          </w:tcPr>
          <w:p w14:paraId="4C557038" w14:textId="77777777" w:rsidR="00E60DD4" w:rsidRPr="00E60DD4" w:rsidRDefault="00E60DD4" w:rsidP="00E60DD4">
            <w:pPr>
              <w:jc w:val="center"/>
              <w:rPr>
                <w:rFonts w:ascii="Arial" w:hAnsi="Arial" w:cs="Arial"/>
                <w:lang w:val="en-GB"/>
              </w:rPr>
            </w:pPr>
          </w:p>
        </w:tc>
        <w:tc>
          <w:tcPr>
            <w:tcW w:w="1932" w:type="dxa"/>
            <w:noWrap/>
            <w:hideMark/>
          </w:tcPr>
          <w:p w14:paraId="04BEDFCD" w14:textId="77777777" w:rsidR="00E60DD4" w:rsidRPr="00E60DD4" w:rsidRDefault="00E60DD4" w:rsidP="00E60DD4">
            <w:pPr>
              <w:jc w:val="center"/>
              <w:rPr>
                <w:rFonts w:ascii="Arial" w:hAnsi="Arial" w:cs="Arial"/>
                <w:lang w:val="en-GB"/>
              </w:rPr>
            </w:pPr>
          </w:p>
        </w:tc>
      </w:tr>
      <w:tr w:rsidR="00E60DD4" w:rsidRPr="00E60DD4" w14:paraId="7F48CC7A" w14:textId="77777777" w:rsidTr="00E60DD4">
        <w:trPr>
          <w:trHeight w:val="285"/>
          <w:jc w:val="center"/>
        </w:trPr>
        <w:tc>
          <w:tcPr>
            <w:tcW w:w="2552" w:type="dxa"/>
            <w:noWrap/>
          </w:tcPr>
          <w:p w14:paraId="70D7D7C4" w14:textId="77777777" w:rsidR="00E60DD4" w:rsidRPr="00E60DD4" w:rsidRDefault="00E60DD4" w:rsidP="00E60DD4">
            <w:pPr>
              <w:rPr>
                <w:rFonts w:ascii="Arial" w:hAnsi="Arial" w:cs="Arial"/>
                <w:b/>
                <w:color w:val="000000"/>
                <w:lang w:val="en-GB"/>
              </w:rPr>
            </w:pPr>
            <w:r w:rsidRPr="00E60DD4">
              <w:rPr>
                <w:rFonts w:ascii="Arial" w:hAnsi="Arial" w:cs="Arial"/>
                <w:b/>
                <w:color w:val="000000"/>
                <w:lang w:val="en-GB"/>
              </w:rPr>
              <w:t>Growth</w:t>
            </w:r>
          </w:p>
        </w:tc>
        <w:tc>
          <w:tcPr>
            <w:tcW w:w="1931" w:type="dxa"/>
            <w:noWrap/>
          </w:tcPr>
          <w:p w14:paraId="237D7397" w14:textId="77777777" w:rsidR="00E60DD4" w:rsidRPr="00E60DD4" w:rsidRDefault="00E60DD4" w:rsidP="00E60DD4">
            <w:pPr>
              <w:jc w:val="center"/>
              <w:rPr>
                <w:rFonts w:ascii="Arial" w:hAnsi="Arial" w:cs="Arial"/>
                <w:b/>
                <w:color w:val="000000"/>
                <w:lang w:val="en-GB"/>
              </w:rPr>
            </w:pPr>
          </w:p>
        </w:tc>
        <w:tc>
          <w:tcPr>
            <w:tcW w:w="1932" w:type="dxa"/>
            <w:noWrap/>
          </w:tcPr>
          <w:p w14:paraId="1EC82539" w14:textId="77777777" w:rsidR="00E60DD4" w:rsidRPr="00E60DD4" w:rsidRDefault="00E60DD4" w:rsidP="00E60DD4">
            <w:pPr>
              <w:jc w:val="center"/>
              <w:rPr>
                <w:rFonts w:ascii="Arial" w:hAnsi="Arial" w:cs="Arial"/>
                <w:b/>
                <w:color w:val="000000"/>
                <w:lang w:val="en-GB"/>
              </w:rPr>
            </w:pPr>
          </w:p>
        </w:tc>
      </w:tr>
      <w:tr w:rsidR="00E60DD4" w:rsidRPr="00E60DD4" w14:paraId="3C76983D" w14:textId="77777777" w:rsidTr="00E60DD4">
        <w:trPr>
          <w:trHeight w:val="285"/>
          <w:jc w:val="center"/>
        </w:trPr>
        <w:tc>
          <w:tcPr>
            <w:tcW w:w="2552" w:type="dxa"/>
            <w:noWrap/>
          </w:tcPr>
          <w:p w14:paraId="26D95D2E"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Sales</w:t>
            </w:r>
          </w:p>
        </w:tc>
        <w:tc>
          <w:tcPr>
            <w:tcW w:w="1931" w:type="dxa"/>
            <w:noWrap/>
          </w:tcPr>
          <w:p w14:paraId="7BD88719"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−0.6%</w:t>
            </w:r>
          </w:p>
        </w:tc>
        <w:tc>
          <w:tcPr>
            <w:tcW w:w="1932" w:type="dxa"/>
            <w:noWrap/>
          </w:tcPr>
          <w:p w14:paraId="3CC3BEAC" w14:textId="77777777" w:rsidR="00E60DD4" w:rsidRPr="00E60DD4" w:rsidRDefault="00E60DD4" w:rsidP="00E60DD4">
            <w:pPr>
              <w:jc w:val="center"/>
              <w:rPr>
                <w:rFonts w:ascii="Arial" w:hAnsi="Arial" w:cs="Arial"/>
                <w:color w:val="000000"/>
                <w:lang w:val="en-GB"/>
              </w:rPr>
            </w:pPr>
          </w:p>
        </w:tc>
      </w:tr>
      <w:tr w:rsidR="00E60DD4" w:rsidRPr="00E60DD4" w14:paraId="17DF5417" w14:textId="77777777" w:rsidTr="00E60DD4">
        <w:trPr>
          <w:trHeight w:val="285"/>
          <w:jc w:val="center"/>
        </w:trPr>
        <w:tc>
          <w:tcPr>
            <w:tcW w:w="2552" w:type="dxa"/>
            <w:noWrap/>
            <w:hideMark/>
          </w:tcPr>
          <w:p w14:paraId="2CBB2824"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Net Income</w:t>
            </w:r>
          </w:p>
        </w:tc>
        <w:tc>
          <w:tcPr>
            <w:tcW w:w="1931" w:type="dxa"/>
            <w:noWrap/>
            <w:hideMark/>
          </w:tcPr>
          <w:p w14:paraId="22FFA799"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−24.1%</w:t>
            </w:r>
          </w:p>
        </w:tc>
        <w:tc>
          <w:tcPr>
            <w:tcW w:w="1932" w:type="dxa"/>
            <w:noWrap/>
            <w:hideMark/>
          </w:tcPr>
          <w:p w14:paraId="44CD6D1A" w14:textId="77777777" w:rsidR="00E60DD4" w:rsidRPr="00E60DD4" w:rsidRDefault="00E60DD4" w:rsidP="00E60DD4">
            <w:pPr>
              <w:rPr>
                <w:rFonts w:ascii="Arial" w:hAnsi="Arial" w:cs="Arial"/>
                <w:color w:val="000000"/>
                <w:lang w:val="en-GB"/>
              </w:rPr>
            </w:pPr>
          </w:p>
        </w:tc>
      </w:tr>
      <w:tr w:rsidR="00E60DD4" w:rsidRPr="00E60DD4" w14:paraId="0CA48481" w14:textId="77777777" w:rsidTr="00E60DD4">
        <w:trPr>
          <w:trHeight w:val="285"/>
          <w:jc w:val="center"/>
        </w:trPr>
        <w:tc>
          <w:tcPr>
            <w:tcW w:w="2552" w:type="dxa"/>
            <w:noWrap/>
            <w:hideMark/>
          </w:tcPr>
          <w:p w14:paraId="6DA9C16E"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Total Assets</w:t>
            </w:r>
          </w:p>
        </w:tc>
        <w:tc>
          <w:tcPr>
            <w:tcW w:w="1931" w:type="dxa"/>
            <w:noWrap/>
            <w:hideMark/>
          </w:tcPr>
          <w:p w14:paraId="246E9951"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1.1%</w:t>
            </w:r>
          </w:p>
        </w:tc>
        <w:tc>
          <w:tcPr>
            <w:tcW w:w="1932" w:type="dxa"/>
            <w:noWrap/>
            <w:hideMark/>
          </w:tcPr>
          <w:p w14:paraId="41FC71BF" w14:textId="77777777" w:rsidR="00E60DD4" w:rsidRPr="00E60DD4" w:rsidRDefault="00E60DD4" w:rsidP="00E60DD4">
            <w:pPr>
              <w:rPr>
                <w:rFonts w:ascii="Arial" w:hAnsi="Arial" w:cs="Arial"/>
                <w:color w:val="000000"/>
                <w:lang w:val="en-GB"/>
              </w:rPr>
            </w:pPr>
          </w:p>
        </w:tc>
      </w:tr>
      <w:tr w:rsidR="00E60DD4" w:rsidRPr="00E60DD4" w14:paraId="6073E090" w14:textId="77777777" w:rsidTr="00E60DD4">
        <w:trPr>
          <w:trHeight w:val="285"/>
          <w:jc w:val="center"/>
        </w:trPr>
        <w:tc>
          <w:tcPr>
            <w:tcW w:w="2552" w:type="dxa"/>
            <w:noWrap/>
            <w:hideMark/>
          </w:tcPr>
          <w:p w14:paraId="1E7C13B8" w14:textId="77777777" w:rsidR="00E60DD4" w:rsidRPr="00E60DD4" w:rsidRDefault="00E60DD4" w:rsidP="00E60DD4">
            <w:pPr>
              <w:rPr>
                <w:rFonts w:ascii="Arial" w:hAnsi="Arial" w:cs="Arial"/>
                <w:color w:val="000000"/>
                <w:lang w:val="en-GB"/>
              </w:rPr>
            </w:pPr>
            <w:r w:rsidRPr="00E60DD4">
              <w:rPr>
                <w:rFonts w:ascii="Arial" w:hAnsi="Arial" w:cs="Arial"/>
                <w:color w:val="000000"/>
                <w:lang w:val="en-GB"/>
              </w:rPr>
              <w:t>Equity</w:t>
            </w:r>
          </w:p>
        </w:tc>
        <w:tc>
          <w:tcPr>
            <w:tcW w:w="1931" w:type="dxa"/>
            <w:noWrap/>
            <w:hideMark/>
          </w:tcPr>
          <w:p w14:paraId="190D3EEE" w14:textId="77777777" w:rsidR="00E60DD4" w:rsidRPr="00E60DD4" w:rsidRDefault="00E60DD4" w:rsidP="00E60DD4">
            <w:pPr>
              <w:jc w:val="center"/>
              <w:rPr>
                <w:rFonts w:ascii="Arial" w:hAnsi="Arial" w:cs="Arial"/>
                <w:color w:val="000000"/>
                <w:lang w:val="en-GB"/>
              </w:rPr>
            </w:pPr>
            <w:r w:rsidRPr="00E60DD4">
              <w:rPr>
                <w:rFonts w:ascii="Arial" w:hAnsi="Arial" w:cs="Arial"/>
                <w:color w:val="000000"/>
                <w:lang w:val="en-GB"/>
              </w:rPr>
              <w:t>2.0%</w:t>
            </w:r>
          </w:p>
        </w:tc>
        <w:tc>
          <w:tcPr>
            <w:tcW w:w="1932" w:type="dxa"/>
            <w:noWrap/>
            <w:hideMark/>
          </w:tcPr>
          <w:p w14:paraId="2C33F612" w14:textId="77777777" w:rsidR="00E60DD4" w:rsidRPr="00E60DD4" w:rsidRDefault="00E60DD4" w:rsidP="00E60DD4">
            <w:pPr>
              <w:jc w:val="center"/>
              <w:rPr>
                <w:rFonts w:ascii="Arial" w:hAnsi="Arial" w:cs="Arial"/>
                <w:color w:val="000000"/>
                <w:lang w:val="en-GB"/>
              </w:rPr>
            </w:pPr>
          </w:p>
        </w:tc>
      </w:tr>
    </w:tbl>
    <w:p w14:paraId="587ACDDA" w14:textId="77777777" w:rsidR="00E60DD4" w:rsidRPr="00E60DD4" w:rsidRDefault="00E60DD4" w:rsidP="008E33E8">
      <w:pPr>
        <w:pStyle w:val="FootnoteText1"/>
        <w:rPr>
          <w:lang w:val="en-GB"/>
        </w:rPr>
      </w:pPr>
    </w:p>
    <w:p w14:paraId="7A38005B" w14:textId="77777777" w:rsidR="00E60DD4" w:rsidRPr="00E60DD4" w:rsidRDefault="00E60DD4" w:rsidP="008E33E8">
      <w:pPr>
        <w:pStyle w:val="FootnoteText1"/>
        <w:rPr>
          <w:lang w:val="en-GB"/>
        </w:rPr>
      </w:pPr>
      <w:r w:rsidRPr="00E60DD4">
        <w:rPr>
          <w:lang w:val="en-GB"/>
        </w:rPr>
        <w:t>Source: Company files. Financial information has been adapted for case purposes.</w:t>
      </w:r>
    </w:p>
    <w:p w14:paraId="4107E7E6" w14:textId="77777777" w:rsidR="00E60DD4" w:rsidRPr="00E60DD4" w:rsidRDefault="00E60DD4" w:rsidP="00E60DD4">
      <w:pPr>
        <w:pStyle w:val="BodyTextMain"/>
        <w:rPr>
          <w:lang w:val="en-GB"/>
        </w:rPr>
      </w:pPr>
    </w:p>
    <w:p w14:paraId="3D9C112D" w14:textId="77777777" w:rsidR="00E60DD4" w:rsidRDefault="00E60DD4" w:rsidP="00E60DD4">
      <w:pPr>
        <w:pStyle w:val="BodyTextMain"/>
      </w:pPr>
    </w:p>
    <w:sectPr w:rsidR="00E60DD4"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E60DD4" w:rsidRDefault="00E60DD4" w:rsidP="00D75295">
      <w:r>
        <w:separator/>
      </w:r>
    </w:p>
  </w:endnote>
  <w:endnote w:type="continuationSeparator" w:id="0">
    <w:p w14:paraId="6B71D05B" w14:textId="77777777" w:rsidR="00E60DD4" w:rsidRDefault="00E60DD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E60DD4" w:rsidRDefault="00E60DD4" w:rsidP="00D75295">
      <w:r>
        <w:separator/>
      </w:r>
    </w:p>
  </w:footnote>
  <w:footnote w:type="continuationSeparator" w:id="0">
    <w:p w14:paraId="31BC9002" w14:textId="77777777" w:rsidR="00E60DD4" w:rsidRDefault="00E60DD4" w:rsidP="00D75295">
      <w:r>
        <w:continuationSeparator/>
      </w:r>
    </w:p>
  </w:footnote>
  <w:footnote w:id="1">
    <w:p w14:paraId="3FAC9463" w14:textId="2E4DDAD0" w:rsidR="00E60DD4" w:rsidRPr="008F5D02" w:rsidRDefault="00E60DD4" w:rsidP="00AB270B">
      <w:pPr>
        <w:pStyle w:val="FootnoteText1"/>
        <w:rPr>
          <w:lang w:val="en-GB"/>
        </w:rPr>
      </w:pPr>
      <w:r w:rsidRPr="00AB270B">
        <w:rPr>
          <w:rStyle w:val="footnotetextCharChar"/>
          <w:vertAlign w:val="superscript"/>
        </w:rPr>
        <w:footnoteRef/>
      </w:r>
      <w:r w:rsidRPr="00E60DD4">
        <w:rPr>
          <w:rStyle w:val="footnotetextCharChar"/>
        </w:rPr>
        <w:t xml:space="preserve"> The information in this section was largely obtained from an IBISWorld Canada industry report; </w:t>
      </w:r>
      <w:proofErr w:type="spellStart"/>
      <w:r w:rsidRPr="00E60DD4">
        <w:rPr>
          <w:rStyle w:val="footnotetextCharChar"/>
        </w:rPr>
        <w:t>Ediz</w:t>
      </w:r>
      <w:proofErr w:type="spellEnd"/>
      <w:r w:rsidRPr="00E60DD4">
        <w:rPr>
          <w:rStyle w:val="footnotetextCharChar"/>
        </w:rPr>
        <w:t xml:space="preserve"> </w:t>
      </w:r>
      <w:proofErr w:type="spellStart"/>
      <w:r w:rsidRPr="00E60DD4">
        <w:rPr>
          <w:rStyle w:val="footnotetextCharChar"/>
        </w:rPr>
        <w:t>Ozelkan</w:t>
      </w:r>
      <w:proofErr w:type="spellEnd"/>
      <w:r w:rsidRPr="00E60DD4">
        <w:rPr>
          <w:rStyle w:val="footnotetextCharChar"/>
        </w:rPr>
        <w:t xml:space="preserve">, “Gym, Health &amp; Fitness Clubs in Canada,” IBISWorld, March 2019, accessed May 25, 2018, </w:t>
      </w:r>
      <w:hyperlink r:id="rId1" w:history="1">
        <w:r w:rsidRPr="00E60DD4">
          <w:rPr>
            <w:rStyle w:val="footnotetextCharChar"/>
          </w:rPr>
          <w:t>https://clients1.ibisworld.ca/reports/ca/industry/default.aspx?entid=1655</w:t>
        </w:r>
      </w:hyperlink>
      <w:r>
        <w:rPr>
          <w:rStyle w:val="FootnoteChar"/>
        </w:rPr>
        <w:t>.</w:t>
      </w:r>
    </w:p>
  </w:footnote>
  <w:footnote w:id="2">
    <w:p w14:paraId="5AC574DA" w14:textId="7E90F496" w:rsidR="00E60DD4" w:rsidRPr="008F5D02" w:rsidRDefault="00E60DD4" w:rsidP="00AB270B">
      <w:pPr>
        <w:pStyle w:val="FootnoteText1"/>
        <w:rPr>
          <w:lang w:val="en-GB"/>
        </w:rPr>
      </w:pPr>
      <w:r w:rsidRPr="008F5D02">
        <w:rPr>
          <w:rStyle w:val="FootnoteReference"/>
          <w:lang w:val="en-GB"/>
        </w:rPr>
        <w:footnoteRef/>
      </w:r>
      <w:r w:rsidRPr="008F5D02">
        <w:rPr>
          <w:lang w:val="en-GB"/>
        </w:rPr>
        <w:t xml:space="preserve"> Peter L. Lindsay and J. Thomas West, </w:t>
      </w:r>
      <w:r>
        <w:rPr>
          <w:lang w:val="en-GB"/>
        </w:rPr>
        <w:t>“</w:t>
      </w:r>
      <w:r w:rsidRPr="008F5D02">
        <w:rPr>
          <w:lang w:val="en-GB"/>
        </w:rPr>
        <w:t>Canadian Sports History</w:t>
      </w:r>
      <w:r>
        <w:rPr>
          <w:lang w:val="en-GB"/>
        </w:rPr>
        <w:t>,”</w:t>
      </w:r>
      <w:r w:rsidRPr="008F5D02">
        <w:rPr>
          <w:lang w:val="en-GB"/>
        </w:rPr>
        <w:t xml:space="preserve"> </w:t>
      </w:r>
      <w:r w:rsidRPr="00D05DC7">
        <w:rPr>
          <w:i/>
          <w:lang w:val="en-GB"/>
        </w:rPr>
        <w:t xml:space="preserve">The Canadian </w:t>
      </w:r>
      <w:proofErr w:type="spellStart"/>
      <w:r w:rsidRPr="00D05DC7">
        <w:rPr>
          <w:i/>
          <w:lang w:val="en-GB"/>
        </w:rPr>
        <w:t>Encyclopedia</w:t>
      </w:r>
      <w:proofErr w:type="spellEnd"/>
      <w:r w:rsidRPr="008F5D02">
        <w:rPr>
          <w:lang w:val="en-GB"/>
        </w:rPr>
        <w:t xml:space="preserve">, </w:t>
      </w:r>
      <w:r>
        <w:rPr>
          <w:lang w:val="en-GB"/>
        </w:rPr>
        <w:t xml:space="preserve">September 30, 2016, </w:t>
      </w:r>
      <w:r w:rsidRPr="008F5D02">
        <w:rPr>
          <w:lang w:val="en-GB"/>
        </w:rPr>
        <w:t xml:space="preserve">accessed May 25, 2018, </w:t>
      </w:r>
      <w:r w:rsidRPr="0045211F">
        <w:rPr>
          <w:lang w:val="en-GB"/>
        </w:rPr>
        <w:t>www.thecanadianencyclopedia.ca/en/article/sports-history</w:t>
      </w:r>
      <w:r w:rsidRPr="008F5D02">
        <w:rPr>
          <w:lang w:val="en-GB"/>
        </w:rPr>
        <w:t xml:space="preserve">. </w:t>
      </w:r>
    </w:p>
  </w:footnote>
  <w:footnote w:id="3">
    <w:p w14:paraId="6420B5B2" w14:textId="77777777" w:rsidR="00E60DD4" w:rsidRPr="008F5D02" w:rsidRDefault="00E60DD4" w:rsidP="00AB270B">
      <w:pPr>
        <w:pStyle w:val="FootnoteText1"/>
        <w:rPr>
          <w:lang w:val="en-GB"/>
        </w:rPr>
      </w:pPr>
      <w:r w:rsidRPr="008F5D02">
        <w:rPr>
          <w:rStyle w:val="FootnoteReference"/>
          <w:lang w:val="en-GB"/>
        </w:rPr>
        <w:footnoteRef/>
      </w:r>
      <w:r w:rsidRPr="008F5D02">
        <w:rPr>
          <w:lang w:val="en-GB"/>
        </w:rPr>
        <w:t xml:space="preserve"> All currency amounts are in C</w:t>
      </w:r>
      <w:r>
        <w:rPr>
          <w:lang w:val="en-GB"/>
        </w:rPr>
        <w:t>A$</w:t>
      </w:r>
      <w:r w:rsidRPr="008F5D02">
        <w:rPr>
          <w:lang w:val="en-GB"/>
        </w:rPr>
        <w:t xml:space="preserve"> unless otherwise specified. </w:t>
      </w:r>
    </w:p>
  </w:footnote>
  <w:footnote w:id="4">
    <w:p w14:paraId="55E75A16" w14:textId="77777777" w:rsidR="00E60DD4" w:rsidRPr="008F5D02" w:rsidRDefault="00E60DD4" w:rsidP="00AB270B">
      <w:pPr>
        <w:pStyle w:val="FootnoteText1"/>
        <w:rPr>
          <w:i/>
          <w:lang w:val="en-GB"/>
        </w:rPr>
      </w:pPr>
      <w:r w:rsidRPr="008F5D02">
        <w:rPr>
          <w:rStyle w:val="FootnoteReference"/>
          <w:lang w:val="en-GB"/>
        </w:rPr>
        <w:footnoteRef/>
      </w:r>
      <w:r w:rsidRPr="008F5D02">
        <w:rPr>
          <w:lang w:val="en-GB"/>
        </w:rPr>
        <w:t xml:space="preserve"> Global Affairs Canada, “</w:t>
      </w:r>
      <w:r>
        <w:rPr>
          <w:lang w:val="en-GB"/>
        </w:rPr>
        <w:t xml:space="preserve">Annual Economic Indicators: </w:t>
      </w:r>
      <w:r w:rsidRPr="00BB3CC7">
        <w:rPr>
          <w:lang w:val="en-GB"/>
        </w:rPr>
        <w:t>Canada</w:t>
      </w:r>
      <w:r>
        <w:rPr>
          <w:lang w:val="en-GB"/>
        </w:rPr>
        <w:t>—</w:t>
      </w:r>
      <w:r w:rsidRPr="00BB3CC7">
        <w:rPr>
          <w:lang w:val="en-GB"/>
        </w:rPr>
        <w:t>Economic Indicators 2013–2017</w:t>
      </w:r>
      <w:r w:rsidRPr="008F5D02">
        <w:rPr>
          <w:lang w:val="en-GB"/>
        </w:rPr>
        <w:t xml:space="preserve">,” Government of Canada, </w:t>
      </w:r>
      <w:r>
        <w:rPr>
          <w:lang w:val="en-GB"/>
        </w:rPr>
        <w:t>last updated</w:t>
      </w:r>
      <w:r w:rsidRPr="008F5D02">
        <w:rPr>
          <w:lang w:val="en-GB"/>
        </w:rPr>
        <w:t xml:space="preserve"> March 12, 2018, accessed June 20, 2018, </w:t>
      </w:r>
      <w:r w:rsidRPr="00D05DC7">
        <w:rPr>
          <w:lang w:val="en-GB"/>
        </w:rPr>
        <w:t>www.international.gc.ca/economist-economiste/statistics-statistiques/data-indicators-indicateurs/Annual_Ec_Indicators.aspx?lang=eng</w:t>
      </w:r>
      <w:r w:rsidRPr="008F5D02">
        <w:rPr>
          <w:lang w:val="en-GB"/>
        </w:rPr>
        <w:t xml:space="preserve">. </w:t>
      </w:r>
    </w:p>
  </w:footnote>
  <w:footnote w:id="5">
    <w:p w14:paraId="2777D177" w14:textId="77777777" w:rsidR="00E60DD4" w:rsidRPr="00AB270B" w:rsidRDefault="00E60DD4" w:rsidP="00AB270B">
      <w:pPr>
        <w:pStyle w:val="FootnoteText1"/>
      </w:pPr>
      <w:r w:rsidRPr="008E33E8">
        <w:rPr>
          <w:rStyle w:val="FootnoteReference"/>
        </w:rPr>
        <w:footnoteRef/>
      </w:r>
      <w:r w:rsidRPr="00AB270B">
        <w:t xml:space="preserve"> This included the restaurant, play </w:t>
      </w:r>
      <w:proofErr w:type="spellStart"/>
      <w:r w:rsidRPr="00AB270B">
        <w:t>centre</w:t>
      </w:r>
      <w:proofErr w:type="spellEnd"/>
      <w:r w:rsidRPr="00AB270B">
        <w:t xml:space="preserve">, spa, and others. </w:t>
      </w:r>
    </w:p>
  </w:footnote>
  <w:footnote w:id="6">
    <w:p w14:paraId="3AAB830B" w14:textId="77777777" w:rsidR="00E60DD4" w:rsidRPr="00AB270B" w:rsidRDefault="00E60DD4" w:rsidP="00AB270B">
      <w:pPr>
        <w:pStyle w:val="FootnoteText1"/>
      </w:pPr>
      <w:r w:rsidRPr="008E33E8">
        <w:rPr>
          <w:rStyle w:val="FootnoteReference"/>
        </w:rPr>
        <w:footnoteRef/>
      </w:r>
      <w:r w:rsidRPr="00AB270B">
        <w:t xml:space="preserve"> City of Mississauga, Population, Demographics &amp; Housing, last updated July 2017, accessed June 6, 2018, www7.mississauga.ca/documents/business/2017/Population_Demographics_Housing.pdf. </w:t>
      </w:r>
    </w:p>
  </w:footnote>
  <w:footnote w:id="7">
    <w:p w14:paraId="60CF1B67" w14:textId="77777777" w:rsidR="00E60DD4" w:rsidRPr="001D17F3" w:rsidRDefault="00E60DD4" w:rsidP="00E60DD4">
      <w:pPr>
        <w:pStyle w:val="Footnote"/>
        <w:rPr>
          <w:i/>
        </w:rPr>
      </w:pPr>
      <w:r w:rsidRPr="001D17F3">
        <w:rPr>
          <w:rStyle w:val="FootnoteReference"/>
        </w:rPr>
        <w:footnoteRef/>
      </w:r>
      <w:r w:rsidRPr="001D17F3">
        <w:t xml:space="preserve"> CA$</w:t>
      </w:r>
      <w:r w:rsidRPr="001D17F3">
        <w:rPr>
          <w:rFonts w:eastAsiaTheme="minorEastAsia"/>
          <w:lang w:val="en-GB"/>
        </w:rPr>
        <w:t xml:space="preserve">1 = </w:t>
      </w:r>
      <w:r>
        <w:rPr>
          <w:rFonts w:eastAsiaTheme="minorEastAsia"/>
          <w:lang w:val="en-GB"/>
        </w:rPr>
        <w:t>US$0.94 in January 2014.</w:t>
      </w:r>
    </w:p>
  </w:footnote>
  <w:footnote w:id="8">
    <w:p w14:paraId="045B3987" w14:textId="77777777" w:rsidR="00E60DD4" w:rsidRPr="008F5D02" w:rsidRDefault="00E60DD4" w:rsidP="00E60DD4">
      <w:pPr>
        <w:pStyle w:val="FootnoteText1"/>
        <w:rPr>
          <w:lang w:val="en-GB"/>
        </w:rPr>
      </w:pPr>
      <w:r w:rsidRPr="00D05DC7">
        <w:rPr>
          <w:rStyle w:val="FootnoteReference"/>
          <w:lang w:val="en-GB"/>
        </w:rPr>
        <w:footnoteRef/>
      </w:r>
      <w:r w:rsidRPr="008F5D02">
        <w:rPr>
          <w:lang w:val="en-GB"/>
        </w:rPr>
        <w:t xml:space="preserve"> </w:t>
      </w:r>
      <w:r>
        <w:rPr>
          <w:lang w:val="en-GB"/>
        </w:rPr>
        <w:t>This number was the percentage</w:t>
      </w:r>
      <w:r w:rsidRPr="008F5D02">
        <w:rPr>
          <w:lang w:val="en-GB"/>
        </w:rPr>
        <w:t xml:space="preserve"> of members </w:t>
      </w:r>
      <w:r>
        <w:rPr>
          <w:lang w:val="en-GB"/>
        </w:rPr>
        <w:t>between the ages of</w:t>
      </w:r>
      <w:r w:rsidRPr="008F5D02">
        <w:rPr>
          <w:lang w:val="en-GB"/>
        </w:rPr>
        <w:t xml:space="preserve"> 27</w:t>
      </w:r>
      <w:r>
        <w:rPr>
          <w:lang w:val="en-GB"/>
        </w:rPr>
        <w:t>–</w:t>
      </w:r>
      <w:r w:rsidRPr="008F5D02">
        <w:rPr>
          <w:lang w:val="en-GB"/>
        </w:rPr>
        <w:t>45 and 1</w:t>
      </w:r>
      <w:r>
        <w:rPr>
          <w:lang w:val="en-GB"/>
        </w:rPr>
        <w:t>–</w:t>
      </w:r>
      <w:r w:rsidRPr="008F5D02">
        <w:rPr>
          <w:lang w:val="en-GB"/>
        </w:rPr>
        <w:t>12.</w:t>
      </w:r>
    </w:p>
  </w:footnote>
  <w:footnote w:id="9">
    <w:p w14:paraId="3ABAB43A" w14:textId="77777777" w:rsidR="00E60DD4" w:rsidRPr="008F5D02" w:rsidRDefault="00E60DD4" w:rsidP="00E60DD4">
      <w:pPr>
        <w:pStyle w:val="FootnoteText1"/>
        <w:rPr>
          <w:lang w:val="en-GB"/>
        </w:rPr>
      </w:pPr>
      <w:r w:rsidRPr="00D05DC7">
        <w:rPr>
          <w:rStyle w:val="FootnoteReference"/>
          <w:lang w:val="en-GB"/>
        </w:rPr>
        <w:footnoteRef/>
      </w:r>
      <w:r w:rsidRPr="008F5D02">
        <w:rPr>
          <w:lang w:val="en-GB"/>
        </w:rPr>
        <w:t xml:space="preserve"> </w:t>
      </w:r>
      <w:r>
        <w:rPr>
          <w:lang w:val="en-GB"/>
        </w:rPr>
        <w:t>This number was the percentage</w:t>
      </w:r>
      <w:r w:rsidRPr="008F5D02">
        <w:rPr>
          <w:lang w:val="en-GB"/>
        </w:rPr>
        <w:t xml:space="preserve"> of members </w:t>
      </w:r>
      <w:r>
        <w:rPr>
          <w:lang w:val="en-GB"/>
        </w:rPr>
        <w:t>between the ages of</w:t>
      </w:r>
      <w:r w:rsidRPr="008F5D02">
        <w:rPr>
          <w:lang w:val="en-GB"/>
        </w:rPr>
        <w:t xml:space="preserve"> </w:t>
      </w:r>
      <w:r>
        <w:rPr>
          <w:lang w:val="en-GB"/>
        </w:rPr>
        <w:t>46–55</w:t>
      </w:r>
      <w:r w:rsidRPr="008F5D02">
        <w:rPr>
          <w:lang w:val="en-GB"/>
        </w:rPr>
        <w:t xml:space="preserve"> and </w:t>
      </w:r>
      <w:r>
        <w:rPr>
          <w:lang w:val="en-GB"/>
        </w:rPr>
        <w:t>13–26</w:t>
      </w:r>
      <w:r w:rsidRPr="008F5D02">
        <w:rPr>
          <w:lang w:val="en-GB"/>
        </w:rPr>
        <w:t>.</w:t>
      </w:r>
    </w:p>
  </w:footnote>
  <w:footnote w:id="10">
    <w:p w14:paraId="27A0FA26" w14:textId="77777777" w:rsidR="00E60DD4" w:rsidRPr="008F5D02" w:rsidRDefault="00E60DD4" w:rsidP="00E60DD4">
      <w:pPr>
        <w:pStyle w:val="FootnoteText1"/>
        <w:rPr>
          <w:lang w:val="en-GB"/>
        </w:rPr>
      </w:pPr>
      <w:r w:rsidRPr="00D05DC7">
        <w:rPr>
          <w:rStyle w:val="FootnoteReference"/>
          <w:lang w:val="en-GB"/>
        </w:rPr>
        <w:footnoteRef/>
      </w:r>
      <w:r w:rsidRPr="00203187">
        <w:rPr>
          <w:lang w:val="en-GB"/>
        </w:rPr>
        <w:t xml:space="preserve"> </w:t>
      </w:r>
      <w:r w:rsidRPr="008F5D02">
        <w:rPr>
          <w:lang w:val="en-GB"/>
        </w:rPr>
        <w:t xml:space="preserve">This included individuals </w:t>
      </w:r>
      <w:r>
        <w:rPr>
          <w:lang w:val="en-GB"/>
        </w:rPr>
        <w:t xml:space="preserve">who were </w:t>
      </w:r>
      <w:r w:rsidRPr="008F5D02">
        <w:rPr>
          <w:lang w:val="en-GB"/>
        </w:rPr>
        <w:t>not technically</w:t>
      </w:r>
      <w:r>
        <w:rPr>
          <w:lang w:val="en-GB"/>
        </w:rPr>
        <w:t xml:space="preserve"> </w:t>
      </w:r>
      <w:r w:rsidRPr="008F5D02">
        <w:rPr>
          <w:lang w:val="en-GB"/>
        </w:rPr>
        <w:t>retired.</w:t>
      </w:r>
    </w:p>
  </w:footnote>
  <w:footnote w:id="11">
    <w:p w14:paraId="65A95EEA" w14:textId="77777777" w:rsidR="00E60DD4" w:rsidRPr="008F5D02" w:rsidRDefault="00E60DD4" w:rsidP="00E60DD4">
      <w:pPr>
        <w:pStyle w:val="FootnoteText1"/>
        <w:rPr>
          <w:lang w:val="en-GB"/>
        </w:rPr>
      </w:pPr>
      <w:r w:rsidRPr="00D05DC7">
        <w:rPr>
          <w:rStyle w:val="FootnoteReference"/>
          <w:lang w:val="en-GB"/>
        </w:rPr>
        <w:footnoteRef/>
      </w:r>
      <w:r w:rsidRPr="00D05DC7">
        <w:rPr>
          <w:lang w:val="en-GB"/>
        </w:rPr>
        <w:t xml:space="preserve"> </w:t>
      </w:r>
      <w:r>
        <w:rPr>
          <w:lang w:val="en-GB"/>
        </w:rPr>
        <w:t>The telephone</w:t>
      </w:r>
      <w:r w:rsidRPr="008F5D02">
        <w:rPr>
          <w:lang w:val="en-GB"/>
        </w:rPr>
        <w:t xml:space="preserve"> expense was expected to increase by $3,000. </w:t>
      </w:r>
    </w:p>
  </w:footnote>
  <w:footnote w:id="12">
    <w:p w14:paraId="2DAB326B" w14:textId="77777777" w:rsidR="00E60DD4" w:rsidRPr="008F5D02" w:rsidRDefault="00E60DD4" w:rsidP="00E60DD4">
      <w:pPr>
        <w:pStyle w:val="FootnoteText1"/>
        <w:rPr>
          <w:lang w:val="en-GB"/>
        </w:rPr>
      </w:pPr>
      <w:r w:rsidRPr="008F5D02">
        <w:rPr>
          <w:rStyle w:val="FootnoteReference"/>
          <w:lang w:val="en-GB"/>
        </w:rPr>
        <w:footnoteRef/>
      </w:r>
      <w:r w:rsidRPr="008F5D02">
        <w:rPr>
          <w:lang w:val="en-GB"/>
        </w:rPr>
        <w:t xml:space="preserve"> Pickleball</w:t>
      </w:r>
      <w:r>
        <w:rPr>
          <w:lang w:val="en-GB"/>
        </w:rPr>
        <w:t xml:space="preserve"> was </w:t>
      </w:r>
      <w:r w:rsidRPr="008F5D02">
        <w:rPr>
          <w:lang w:val="en-GB"/>
        </w:rPr>
        <w:t>a racquet sport played with a paddle</w:t>
      </w:r>
      <w:r>
        <w:rPr>
          <w:lang w:val="en-GB"/>
        </w:rPr>
        <w:t xml:space="preserve">, combining </w:t>
      </w:r>
      <w:r w:rsidRPr="008F5D02">
        <w:rPr>
          <w:lang w:val="en-GB"/>
        </w:rPr>
        <w:t>elements of tennis, table tennis</w:t>
      </w:r>
      <w:r>
        <w:rPr>
          <w:lang w:val="en-GB"/>
        </w:rPr>
        <w:t>,</w:t>
      </w:r>
      <w:r w:rsidRPr="008F5D02">
        <w:rPr>
          <w:lang w:val="en-GB"/>
        </w:rPr>
        <w:t xml:space="preserve"> and badminton. The sport had increased in popularity in recent years, especially with retirees and seniors.</w:t>
      </w:r>
    </w:p>
  </w:footnote>
  <w:footnote w:id="13">
    <w:p w14:paraId="1BB9EC92" w14:textId="77777777" w:rsidR="00E60DD4" w:rsidRPr="008F5D02" w:rsidRDefault="00E60DD4" w:rsidP="00E60DD4">
      <w:pPr>
        <w:pStyle w:val="FootnoteText1"/>
        <w:rPr>
          <w:i/>
          <w:lang w:val="en-GB"/>
        </w:rPr>
      </w:pPr>
      <w:r w:rsidRPr="008F5D02">
        <w:rPr>
          <w:rStyle w:val="FootnoteReference"/>
          <w:lang w:val="en-GB"/>
        </w:rPr>
        <w:footnoteRef/>
      </w:r>
      <w:r w:rsidRPr="008F5D02">
        <w:rPr>
          <w:lang w:val="en-GB"/>
        </w:rPr>
        <w:t xml:space="preserve"> Six-week clinics were priced at an average of $200 per person.</w:t>
      </w:r>
    </w:p>
  </w:footnote>
  <w:footnote w:id="14">
    <w:p w14:paraId="46B54B45" w14:textId="77777777" w:rsidR="00E60DD4" w:rsidRPr="008F5D02" w:rsidRDefault="00E60DD4" w:rsidP="00E60DD4">
      <w:pPr>
        <w:pStyle w:val="FootnoteText1"/>
        <w:rPr>
          <w:lang w:val="en-GB"/>
        </w:rPr>
      </w:pPr>
      <w:r w:rsidRPr="008F5D02">
        <w:rPr>
          <w:rStyle w:val="FootnoteReference"/>
          <w:lang w:val="en-GB"/>
        </w:rPr>
        <w:footnoteRef/>
      </w:r>
      <w:r w:rsidRPr="008F5D02">
        <w:rPr>
          <w:lang w:val="en-GB"/>
        </w:rPr>
        <w:t xml:space="preserve"> Financing for </w:t>
      </w:r>
      <w:r>
        <w:rPr>
          <w:lang w:val="en-GB"/>
        </w:rPr>
        <w:t>the expansion</w:t>
      </w:r>
      <w:r w:rsidRPr="008F5D02">
        <w:rPr>
          <w:lang w:val="en-GB"/>
        </w:rPr>
        <w:t xml:space="preserve"> would come from a bank loan with a 4 per cent interest rate.</w:t>
      </w:r>
    </w:p>
  </w:footnote>
  <w:footnote w:id="15">
    <w:p w14:paraId="341572AE" w14:textId="77777777" w:rsidR="00E60DD4" w:rsidRPr="008F5D02" w:rsidRDefault="00E60DD4" w:rsidP="00E60DD4">
      <w:pPr>
        <w:pStyle w:val="FootnoteText1"/>
        <w:rPr>
          <w:i/>
          <w:lang w:val="en-GB"/>
        </w:rPr>
      </w:pPr>
      <w:r w:rsidRPr="008F5D02">
        <w:rPr>
          <w:rStyle w:val="FootnoteReference"/>
          <w:lang w:val="en-GB"/>
        </w:rPr>
        <w:footnoteRef/>
      </w:r>
      <w:r w:rsidRPr="008F5D02">
        <w:rPr>
          <w:lang w:val="en-GB"/>
        </w:rPr>
        <w:t xml:space="preserve"> The restaurant’s cost of goods sold had historically been 45 per cent of revenue.</w:t>
      </w:r>
    </w:p>
  </w:footnote>
  <w:footnote w:id="16">
    <w:p w14:paraId="35DD442B" w14:textId="77777777" w:rsidR="00E60DD4" w:rsidRPr="008F5D02" w:rsidRDefault="00E60DD4" w:rsidP="00E60DD4">
      <w:pPr>
        <w:pStyle w:val="FootnoteText1"/>
        <w:rPr>
          <w:i/>
          <w:lang w:val="en-GB"/>
        </w:rPr>
      </w:pPr>
      <w:r w:rsidRPr="00D05DC7">
        <w:rPr>
          <w:rStyle w:val="FootnoteReference"/>
          <w:lang w:val="en-GB"/>
        </w:rPr>
        <w:footnoteRef/>
      </w:r>
      <w:r w:rsidRPr="008F5D02">
        <w:rPr>
          <w:i/>
          <w:lang w:val="en-GB"/>
        </w:rPr>
        <w:t xml:space="preserve"> </w:t>
      </w:r>
      <w:r w:rsidRPr="008F5D02">
        <w:rPr>
          <w:lang w:val="en-GB"/>
        </w:rPr>
        <w:t>On average, six-week clinics were priced at $200 per person. Of this, 60 per cent went to variable labour costs.</w:t>
      </w:r>
    </w:p>
  </w:footnote>
  <w:footnote w:id="17">
    <w:p w14:paraId="048CFFFD" w14:textId="77777777" w:rsidR="00E60DD4" w:rsidRPr="008F5D02" w:rsidRDefault="00E60DD4" w:rsidP="00E60DD4">
      <w:pPr>
        <w:pStyle w:val="FootnoteText1"/>
        <w:rPr>
          <w:lang w:val="en-GB"/>
        </w:rPr>
      </w:pPr>
      <w:r w:rsidRPr="008F5D02">
        <w:rPr>
          <w:rStyle w:val="FootnoteReference"/>
          <w:lang w:val="en-GB"/>
        </w:rPr>
        <w:footnoteRef/>
      </w:r>
      <w:r w:rsidRPr="008F5D02">
        <w:rPr>
          <w:lang w:val="en-GB"/>
        </w:rPr>
        <w:t xml:space="preserve"> An additional $12,000 </w:t>
      </w:r>
      <w:r>
        <w:rPr>
          <w:lang w:val="en-GB"/>
        </w:rPr>
        <w:t>was needed</w:t>
      </w:r>
      <w:r w:rsidRPr="008F5D02">
        <w:rPr>
          <w:lang w:val="en-GB"/>
        </w:rPr>
        <w:t xml:space="preserve"> to cover administrative costs associated with this change.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E6A18E2" w:rsidR="00E60DD4" w:rsidRPr="00C92CC4" w:rsidRDefault="00E60DD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4A7A">
      <w:rPr>
        <w:rFonts w:ascii="Arial" w:hAnsi="Arial"/>
        <w:b/>
        <w:noProof/>
      </w:rPr>
      <w:t>2</w:t>
    </w:r>
    <w:r>
      <w:rPr>
        <w:rFonts w:ascii="Arial" w:hAnsi="Arial"/>
        <w:b/>
      </w:rPr>
      <w:fldChar w:fldCharType="end"/>
    </w:r>
    <w:r>
      <w:rPr>
        <w:rFonts w:ascii="Arial" w:hAnsi="Arial"/>
        <w:b/>
      </w:rPr>
      <w:tab/>
      <w:t>9B19M056</w:t>
    </w:r>
  </w:p>
  <w:p w14:paraId="2B53C0A0" w14:textId="77777777" w:rsidR="00E60DD4" w:rsidRPr="001C1BCA" w:rsidRDefault="00E60DD4" w:rsidP="00D13667">
    <w:pPr>
      <w:pStyle w:val="Header"/>
      <w:tabs>
        <w:tab w:val="clear" w:pos="4680"/>
      </w:tabs>
      <w:rPr>
        <w:sz w:val="16"/>
        <w:szCs w:val="16"/>
      </w:rPr>
    </w:pPr>
  </w:p>
  <w:p w14:paraId="47119730" w14:textId="77777777" w:rsidR="00E60DD4" w:rsidRPr="001C1BCA" w:rsidRDefault="00E60DD4" w:rsidP="00D13667">
    <w:pPr>
      <w:pStyle w:val="Header"/>
      <w:tabs>
        <w:tab w:val="clear" w:pos="4680"/>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3C27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6053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B637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5CC7D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584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5669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5E35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2C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D4C4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20B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8"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14"/>
  </w:num>
  <w:num w:numId="4">
    <w:abstractNumId w:val="25"/>
  </w:num>
  <w:num w:numId="5">
    <w:abstractNumId w:val="16"/>
  </w:num>
  <w:num w:numId="6">
    <w:abstractNumId w:val="23"/>
  </w:num>
  <w:num w:numId="7">
    <w:abstractNumId w:val="11"/>
  </w:num>
  <w:num w:numId="8">
    <w:abstractNumId w:val="27"/>
  </w:num>
  <w:num w:numId="9">
    <w:abstractNumId w:val="24"/>
  </w:num>
  <w:num w:numId="10">
    <w:abstractNumId w:val="13"/>
  </w:num>
  <w:num w:numId="11">
    <w:abstractNumId w:val="21"/>
  </w:num>
  <w:num w:numId="12">
    <w:abstractNumId w:val="22"/>
  </w:num>
  <w:num w:numId="13">
    <w:abstractNumId w:val="15"/>
  </w:num>
  <w:num w:numId="14">
    <w:abstractNumId w:val="19"/>
  </w:num>
  <w:num w:numId="15">
    <w:abstractNumId w:val="18"/>
  </w:num>
  <w:num w:numId="16">
    <w:abstractNumId w:val="12"/>
  </w:num>
  <w:num w:numId="17">
    <w:abstractNumId w:val="17"/>
  </w:num>
  <w:num w:numId="18">
    <w:abstractNumId w:val="10"/>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11CF8"/>
    <w:rsid w:val="0012732D"/>
    <w:rsid w:val="00143F25"/>
    <w:rsid w:val="00152682"/>
    <w:rsid w:val="00154FC9"/>
    <w:rsid w:val="001901C0"/>
    <w:rsid w:val="0019241A"/>
    <w:rsid w:val="00192A18"/>
    <w:rsid w:val="001A22D1"/>
    <w:rsid w:val="001A752D"/>
    <w:rsid w:val="001A757E"/>
    <w:rsid w:val="001B42E8"/>
    <w:rsid w:val="001B5032"/>
    <w:rsid w:val="001C1BCA"/>
    <w:rsid w:val="001C7777"/>
    <w:rsid w:val="001D344B"/>
    <w:rsid w:val="001E364F"/>
    <w:rsid w:val="001F4222"/>
    <w:rsid w:val="00203AA1"/>
    <w:rsid w:val="00210C8E"/>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2F9D"/>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E33E8"/>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B270B"/>
    <w:rsid w:val="00AE7DCA"/>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44A7A"/>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0DD4"/>
    <w:rsid w:val="00E635CF"/>
    <w:rsid w:val="00E879A4"/>
    <w:rsid w:val="00EB1E3B"/>
    <w:rsid w:val="00EC6E0A"/>
    <w:rsid w:val="00ED4E18"/>
    <w:rsid w:val="00ED7922"/>
    <w:rsid w:val="00EE02C4"/>
    <w:rsid w:val="00EE1F37"/>
    <w:rsid w:val="00EF0DB1"/>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6C0AD2EE-D382-4A31-987D-F03F3512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E60DD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uiPriority w:val="99"/>
    <w:rsid w:val="00E60DD4"/>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E60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60DD4"/>
    <w:pPr>
      <w:spacing w:after="0" w:line="240" w:lineRule="auto"/>
    </w:pPr>
    <w:rPr>
      <w:rFonts w:eastAsia="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lients1.ibisworld.ca/reports/ca/industry/default.aspx?entid=1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2218F-EBA5-47E1-86A0-F1CF320B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8</cp:revision>
  <cp:lastPrinted>2015-03-04T20:34:00Z</cp:lastPrinted>
  <dcterms:created xsi:type="dcterms:W3CDTF">2019-06-11T12:17:00Z</dcterms:created>
  <dcterms:modified xsi:type="dcterms:W3CDTF">2019-08-01T13:18:00Z</dcterms:modified>
</cp:coreProperties>
</file>