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BC0EC" w14:textId="70A54962" w:rsidR="00337DF9" w:rsidRPr="000176CC" w:rsidRDefault="00814609"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0FFD2C91" wp14:editId="7EA362CE">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4B6EE93" w:rsidR="00C02410" w:rsidRPr="000176CC" w:rsidRDefault="00814609" w:rsidP="00C02410">
      <w:pPr>
        <w:pStyle w:val="ProductNumber"/>
        <w:rPr>
          <w:lang w:val="en-GB"/>
        </w:rPr>
      </w:pPr>
      <w:r>
        <w:rPr>
          <w:lang w:val="en-GB"/>
        </w:rPr>
        <w:t>9B19M</w:t>
      </w:r>
      <w:r w:rsidR="003A5CD7">
        <w:rPr>
          <w:lang w:val="en-GB"/>
        </w:rPr>
        <w:t>064</w:t>
      </w:r>
    </w:p>
    <w:p w14:paraId="4E057522" w14:textId="7A113CB1" w:rsidR="00D75295" w:rsidRPr="000176CC" w:rsidRDefault="00D75295" w:rsidP="00D75295">
      <w:pPr>
        <w:jc w:val="right"/>
        <w:rPr>
          <w:rFonts w:ascii="Arial" w:hAnsi="Arial"/>
          <w:b/>
          <w:lang w:val="en-GB"/>
        </w:rPr>
      </w:pPr>
    </w:p>
    <w:p w14:paraId="02524312" w14:textId="77777777" w:rsidR="001901C0" w:rsidRPr="000176CC" w:rsidRDefault="001901C0" w:rsidP="00D75295">
      <w:pPr>
        <w:jc w:val="right"/>
        <w:rPr>
          <w:rFonts w:ascii="Arial" w:hAnsi="Arial"/>
          <w:b/>
          <w:lang w:val="en-GB"/>
        </w:rPr>
      </w:pPr>
    </w:p>
    <w:p w14:paraId="2F03D26A" w14:textId="02207A26" w:rsidR="00013360" w:rsidRPr="000176CC" w:rsidRDefault="00337DF9" w:rsidP="00013360">
      <w:pPr>
        <w:pStyle w:val="CaseTitle"/>
        <w:spacing w:after="0" w:line="240" w:lineRule="auto"/>
        <w:rPr>
          <w:color w:val="auto"/>
          <w:sz w:val="20"/>
          <w:szCs w:val="20"/>
          <w:lang w:val="en-GB"/>
        </w:rPr>
      </w:pPr>
      <w:r w:rsidRPr="000176CC">
        <w:rPr>
          <w:color w:val="auto"/>
          <w:lang w:val="en-GB"/>
        </w:rPr>
        <w:t>PARLE</w:t>
      </w:r>
      <w:r w:rsidR="00410087">
        <w:rPr>
          <w:color w:val="auto"/>
          <w:lang w:val="en-GB"/>
        </w:rPr>
        <w:t xml:space="preserve"> Products Priv</w:t>
      </w:r>
      <w:r w:rsidR="00906137">
        <w:rPr>
          <w:color w:val="auto"/>
          <w:lang w:val="en-GB"/>
        </w:rPr>
        <w:t>ate Limited</w:t>
      </w:r>
      <w:r w:rsidRPr="000176CC">
        <w:rPr>
          <w:color w:val="auto"/>
          <w:lang w:val="en-GB"/>
        </w:rPr>
        <w:t xml:space="preserve">: GST AND </w:t>
      </w:r>
      <w:r w:rsidR="00906137">
        <w:rPr>
          <w:color w:val="auto"/>
          <w:lang w:val="en-GB"/>
        </w:rPr>
        <w:t xml:space="preserve">retaining </w:t>
      </w:r>
      <w:r w:rsidRPr="000176CC">
        <w:rPr>
          <w:color w:val="auto"/>
          <w:lang w:val="en-GB"/>
        </w:rPr>
        <w:t>COMPETITIVENESS</w:t>
      </w:r>
      <w:r w:rsidR="000D37F4">
        <w:rPr>
          <w:rStyle w:val="EndnoteReference"/>
          <w:color w:val="auto"/>
          <w:lang w:val="en-GB"/>
        </w:rPr>
        <w:endnoteReference w:id="1"/>
      </w:r>
    </w:p>
    <w:p w14:paraId="40ABF6FD" w14:textId="77777777" w:rsidR="00CA3976" w:rsidRPr="000176CC" w:rsidRDefault="00CA3976" w:rsidP="00013360">
      <w:pPr>
        <w:pStyle w:val="CaseTitle"/>
        <w:spacing w:after="0" w:line="240" w:lineRule="auto"/>
        <w:rPr>
          <w:color w:val="auto"/>
          <w:sz w:val="20"/>
          <w:szCs w:val="20"/>
          <w:lang w:val="en-GB"/>
        </w:rPr>
      </w:pPr>
    </w:p>
    <w:p w14:paraId="202F1085" w14:textId="77777777" w:rsidR="00013360" w:rsidRPr="000176CC" w:rsidRDefault="00013360" w:rsidP="00013360">
      <w:pPr>
        <w:pStyle w:val="CaseTitle"/>
        <w:spacing w:after="0" w:line="240" w:lineRule="auto"/>
        <w:rPr>
          <w:color w:val="auto"/>
          <w:sz w:val="20"/>
          <w:szCs w:val="20"/>
          <w:lang w:val="en-GB"/>
        </w:rPr>
      </w:pPr>
    </w:p>
    <w:p w14:paraId="58B0C73F" w14:textId="1A03F261" w:rsidR="00086B26" w:rsidRPr="000176CC" w:rsidRDefault="000B0007" w:rsidP="00086B26">
      <w:pPr>
        <w:pStyle w:val="StyleCopyrightStatementAfter0ptBottomSinglesolidline1"/>
        <w:rPr>
          <w:color w:val="auto"/>
          <w:lang w:val="en-GB"/>
        </w:rPr>
      </w:pPr>
      <w:r w:rsidRPr="000176CC">
        <w:rPr>
          <w:color w:val="auto"/>
          <w:lang w:val="en-GB"/>
        </w:rPr>
        <w:t>Veena P</w:t>
      </w:r>
      <w:r w:rsidR="000176CC">
        <w:rPr>
          <w:color w:val="auto"/>
          <w:lang w:val="en-GB"/>
        </w:rPr>
        <w:t xml:space="preserve">ailwar </w:t>
      </w:r>
      <w:r w:rsidR="00086B26" w:rsidRPr="000176CC">
        <w:rPr>
          <w:color w:val="auto"/>
          <w:lang w:val="en-GB"/>
        </w:rPr>
        <w:t>wrote this case solely to provide material for class discussion. The author do</w:t>
      </w:r>
      <w:r w:rsidRPr="000176CC">
        <w:rPr>
          <w:color w:val="auto"/>
          <w:lang w:val="en-GB"/>
        </w:rPr>
        <w:t>es</w:t>
      </w:r>
      <w:r w:rsidR="00086B26" w:rsidRPr="000176CC">
        <w:rPr>
          <w:color w:val="auto"/>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Pr="000176CC" w:rsidRDefault="00086B26" w:rsidP="00086B26">
      <w:pPr>
        <w:pStyle w:val="StyleCopyrightStatementAfter0ptBottomSinglesolidline1"/>
        <w:rPr>
          <w:color w:val="auto"/>
          <w:lang w:val="en-GB"/>
        </w:rPr>
      </w:pPr>
    </w:p>
    <w:p w14:paraId="72F64247" w14:textId="77777777" w:rsidR="00814609" w:rsidRPr="00A323B0" w:rsidRDefault="00814609" w:rsidP="00814609">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C5986EA" w14:textId="77777777" w:rsidR="00814609" w:rsidRPr="00A323B0" w:rsidRDefault="00814609" w:rsidP="00814609">
      <w:pPr>
        <w:pStyle w:val="StyleStyleCopyrightStatementAfter0ptBottomSinglesolid"/>
        <w:rPr>
          <w:rFonts w:cs="Arial"/>
          <w:szCs w:val="16"/>
        </w:rPr>
      </w:pPr>
    </w:p>
    <w:p w14:paraId="3922E14F" w14:textId="45ADFA42" w:rsidR="00751E0B" w:rsidRPr="000176CC" w:rsidRDefault="00814609" w:rsidP="00814609">
      <w:pPr>
        <w:pStyle w:val="StyleStyleCopyrightStatementAfter0ptBottomSinglesolid"/>
        <w:rPr>
          <w:rFonts w:cs="Arial"/>
          <w:color w:val="auto"/>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0176CC">
        <w:rPr>
          <w:rFonts w:cs="Arial"/>
          <w:iCs w:val="0"/>
          <w:color w:val="auto"/>
          <w:szCs w:val="16"/>
          <w:lang w:val="en-GB"/>
        </w:rPr>
        <w:tab/>
        <w:t>Version: 20</w:t>
      </w:r>
      <w:r w:rsidR="00337DF9" w:rsidRPr="000176CC">
        <w:rPr>
          <w:rFonts w:cs="Arial"/>
          <w:iCs w:val="0"/>
          <w:color w:val="auto"/>
          <w:szCs w:val="16"/>
          <w:lang w:val="en-GB"/>
        </w:rPr>
        <w:t>19</w:t>
      </w:r>
      <w:r w:rsidR="00A323B0" w:rsidRPr="000176CC">
        <w:rPr>
          <w:rFonts w:cs="Arial"/>
          <w:iCs w:val="0"/>
          <w:color w:val="auto"/>
          <w:szCs w:val="16"/>
          <w:lang w:val="en-GB"/>
        </w:rPr>
        <w:t>-</w:t>
      </w:r>
      <w:r w:rsidR="00E346DC">
        <w:rPr>
          <w:rFonts w:cs="Arial"/>
          <w:iCs w:val="0"/>
          <w:color w:val="auto"/>
          <w:szCs w:val="16"/>
          <w:lang w:val="en-GB"/>
        </w:rPr>
        <w:t>0</w:t>
      </w:r>
      <w:r>
        <w:rPr>
          <w:rFonts w:cs="Arial"/>
          <w:iCs w:val="0"/>
          <w:color w:val="auto"/>
          <w:szCs w:val="16"/>
          <w:lang w:val="en-GB"/>
        </w:rPr>
        <w:t>7</w:t>
      </w:r>
      <w:r w:rsidR="00E346DC">
        <w:rPr>
          <w:rFonts w:cs="Arial"/>
          <w:iCs w:val="0"/>
          <w:color w:val="auto"/>
          <w:szCs w:val="16"/>
          <w:lang w:val="en-GB"/>
        </w:rPr>
        <w:t>-</w:t>
      </w:r>
      <w:r w:rsidR="000D37F4">
        <w:rPr>
          <w:rFonts w:cs="Arial"/>
          <w:iCs w:val="0"/>
          <w:color w:val="auto"/>
          <w:szCs w:val="16"/>
          <w:lang w:val="en-GB"/>
        </w:rPr>
        <w:t>12</w:t>
      </w:r>
    </w:p>
    <w:p w14:paraId="0A2A54E4" w14:textId="77777777" w:rsidR="00751E0B" w:rsidRPr="000176CC" w:rsidRDefault="00751E0B" w:rsidP="00751E0B">
      <w:pPr>
        <w:pStyle w:val="StyleCopyrightStatementAfter0ptBottomSinglesolidline1"/>
        <w:rPr>
          <w:rFonts w:ascii="Times New Roman" w:hAnsi="Times New Roman"/>
          <w:color w:val="auto"/>
          <w:sz w:val="20"/>
          <w:lang w:val="en-GB"/>
        </w:rPr>
      </w:pPr>
    </w:p>
    <w:p w14:paraId="2C183161" w14:textId="77777777" w:rsidR="00B87DC0" w:rsidRPr="000176CC" w:rsidRDefault="00B87DC0" w:rsidP="00337DF9">
      <w:pPr>
        <w:pStyle w:val="BodyTextMain"/>
        <w:rPr>
          <w:lang w:val="en-GB"/>
        </w:rPr>
      </w:pPr>
    </w:p>
    <w:p w14:paraId="7209E9A6" w14:textId="257129DC" w:rsidR="00E0759F" w:rsidRDefault="00337DF9" w:rsidP="00337DF9">
      <w:pPr>
        <w:pStyle w:val="BodyTextMain"/>
        <w:rPr>
          <w:rFonts w:eastAsia="Calibri"/>
          <w:shd w:val="clear" w:color="auto" w:fill="FFFFFF"/>
          <w:lang w:val="en-GB"/>
        </w:rPr>
      </w:pPr>
      <w:r w:rsidRPr="000176CC">
        <w:rPr>
          <w:rFonts w:eastAsia="Calibri"/>
          <w:lang w:val="en-GB"/>
        </w:rPr>
        <w:t xml:space="preserve">In July 2017, the </w:t>
      </w:r>
      <w:r w:rsidR="000176CC">
        <w:rPr>
          <w:rFonts w:eastAsia="Calibri"/>
          <w:lang w:val="en-GB"/>
        </w:rPr>
        <w:t>goods and services tax</w:t>
      </w:r>
      <w:r w:rsidRPr="000176CC">
        <w:rPr>
          <w:rFonts w:eastAsia="Calibri"/>
          <w:lang w:val="en-GB"/>
        </w:rPr>
        <w:t xml:space="preserve"> (GST) council of India </w:t>
      </w:r>
      <w:r w:rsidR="000176CC">
        <w:rPr>
          <w:rFonts w:eastAsia="Calibri"/>
          <w:lang w:val="en-GB"/>
        </w:rPr>
        <w:t>removed</w:t>
      </w:r>
      <w:r w:rsidRPr="000176CC">
        <w:rPr>
          <w:rFonts w:eastAsia="Calibri"/>
          <w:lang w:val="en-GB"/>
        </w:rPr>
        <w:t xml:space="preserve"> the plethora of taxes and tax rates that prevailed on various types of goods by introducing GST.</w:t>
      </w:r>
      <w:r w:rsidR="00E0759F" w:rsidRPr="000176CC">
        <w:rPr>
          <w:rFonts w:eastAsia="Calibri"/>
          <w:vertAlign w:val="superscript"/>
          <w:lang w:val="en-GB"/>
        </w:rPr>
        <w:endnoteReference w:id="2"/>
      </w:r>
      <w:r w:rsidR="00E0759F" w:rsidRPr="000176CC">
        <w:rPr>
          <w:rFonts w:eastAsia="Calibri"/>
          <w:lang w:val="en-GB"/>
        </w:rPr>
        <w:t xml:space="preserve"> As part of this tax restructuring</w:t>
      </w:r>
      <w:r w:rsidR="00E0759F">
        <w:rPr>
          <w:rFonts w:eastAsia="Calibri"/>
          <w:lang w:val="en-GB"/>
        </w:rPr>
        <w:t>,</w:t>
      </w:r>
      <w:r w:rsidR="00E0759F" w:rsidRPr="000176CC">
        <w:rPr>
          <w:rFonts w:eastAsia="Calibri"/>
          <w:lang w:val="en-GB"/>
        </w:rPr>
        <w:t xml:space="preserve"> the council also </w:t>
      </w:r>
      <w:r w:rsidR="00E0759F">
        <w:rPr>
          <w:rFonts w:eastAsia="Calibri"/>
          <w:lang w:val="en-GB"/>
        </w:rPr>
        <w:t>removed</w:t>
      </w:r>
      <w:r w:rsidR="00E0759F" w:rsidRPr="000176CC">
        <w:rPr>
          <w:rFonts w:eastAsia="Calibri"/>
          <w:lang w:val="en-GB"/>
        </w:rPr>
        <w:t xml:space="preserve"> the variable tax structure that prevailed on different types of biscuits</w:t>
      </w:r>
      <w:r w:rsidR="00E0759F">
        <w:rPr>
          <w:rFonts w:eastAsia="Calibri"/>
          <w:lang w:val="en-GB"/>
        </w:rPr>
        <w:t>;</w:t>
      </w:r>
      <w:r w:rsidR="00E0759F" w:rsidRPr="000176CC">
        <w:rPr>
          <w:rStyle w:val="EndnoteReference"/>
          <w:rFonts w:eastAsia="Calibri"/>
          <w:lang w:val="en-GB"/>
        </w:rPr>
        <w:endnoteReference w:id="3"/>
      </w:r>
      <w:r w:rsidR="00E0759F" w:rsidRPr="000176CC">
        <w:rPr>
          <w:rFonts w:eastAsia="Calibri"/>
          <w:lang w:val="en-GB"/>
        </w:rPr>
        <w:t xml:space="preserve"> </w:t>
      </w:r>
      <w:r w:rsidR="00E0759F">
        <w:rPr>
          <w:rFonts w:eastAsia="Calibri"/>
          <w:lang w:val="en-GB"/>
        </w:rPr>
        <w:t>it</w:t>
      </w:r>
      <w:r w:rsidR="00E0759F" w:rsidRPr="000176CC">
        <w:rPr>
          <w:rFonts w:eastAsia="Calibri"/>
          <w:lang w:val="en-GB"/>
        </w:rPr>
        <w:t xml:space="preserve"> brought all types of biscuits</w:t>
      </w:r>
      <w:r w:rsidR="00E0759F">
        <w:rPr>
          <w:rFonts w:eastAsia="Calibri"/>
          <w:lang w:val="en-GB"/>
        </w:rPr>
        <w:t>—mass-market</w:t>
      </w:r>
      <w:r w:rsidR="00E0759F" w:rsidRPr="000176CC">
        <w:rPr>
          <w:rFonts w:eastAsia="Calibri"/>
          <w:lang w:val="en-GB"/>
        </w:rPr>
        <w:t xml:space="preserve"> biscuits costing less than </w:t>
      </w:r>
      <w:r w:rsidR="00E0759F" w:rsidRPr="000176CC">
        <w:rPr>
          <w:rFonts w:ascii="Tahoma" w:eastAsia="Calibri" w:hAnsi="Tahoma" w:cs="Tahoma"/>
          <w:lang w:val="en-GB"/>
        </w:rPr>
        <w:t>₹</w:t>
      </w:r>
      <w:r w:rsidR="00E0759F" w:rsidRPr="000176CC">
        <w:rPr>
          <w:rFonts w:eastAsia="Calibri"/>
          <w:lang w:val="en-GB"/>
        </w:rPr>
        <w:t>100</w:t>
      </w:r>
      <w:r w:rsidR="00E0759F">
        <w:rPr>
          <w:rStyle w:val="EndnoteReference"/>
          <w:rFonts w:eastAsia="Calibri"/>
          <w:lang w:val="en-GB"/>
        </w:rPr>
        <w:endnoteReference w:id="4"/>
      </w:r>
      <w:r w:rsidR="00E0759F" w:rsidRPr="000176CC">
        <w:rPr>
          <w:rFonts w:eastAsia="Calibri"/>
          <w:lang w:val="en-GB"/>
        </w:rPr>
        <w:t xml:space="preserve"> per </w:t>
      </w:r>
      <w:r w:rsidR="00E0759F">
        <w:rPr>
          <w:rFonts w:eastAsia="Calibri"/>
          <w:lang w:val="en-GB"/>
        </w:rPr>
        <w:t>kilogram (kg),</w:t>
      </w:r>
      <w:r w:rsidR="00E0759F" w:rsidRPr="000176CC">
        <w:rPr>
          <w:rFonts w:eastAsia="Calibri"/>
          <w:lang w:val="en-GB"/>
        </w:rPr>
        <w:t xml:space="preserve"> </w:t>
      </w:r>
      <w:r w:rsidR="00E0759F">
        <w:rPr>
          <w:rFonts w:eastAsia="Calibri"/>
          <w:lang w:val="en-GB"/>
        </w:rPr>
        <w:t>as well as</w:t>
      </w:r>
      <w:r w:rsidR="00E0759F" w:rsidRPr="000176CC">
        <w:rPr>
          <w:rFonts w:eastAsia="Calibri"/>
          <w:lang w:val="en-GB"/>
        </w:rPr>
        <w:t xml:space="preserve"> </w:t>
      </w:r>
      <w:r w:rsidR="00E0759F">
        <w:rPr>
          <w:rFonts w:eastAsia="Calibri"/>
          <w:lang w:val="en-GB"/>
        </w:rPr>
        <w:t>mid-range</w:t>
      </w:r>
      <w:r w:rsidR="00E0759F" w:rsidRPr="000176CC">
        <w:rPr>
          <w:rFonts w:eastAsia="Calibri"/>
          <w:lang w:val="en-GB"/>
        </w:rPr>
        <w:t xml:space="preserve"> and premium biscuits above </w:t>
      </w:r>
      <w:r w:rsidR="00E0759F" w:rsidRPr="000176CC">
        <w:rPr>
          <w:rFonts w:ascii="Tahoma" w:eastAsia="Calibri" w:hAnsi="Tahoma" w:cs="Tahoma"/>
          <w:lang w:val="en-GB"/>
        </w:rPr>
        <w:t>₹</w:t>
      </w:r>
      <w:r w:rsidR="00E0759F" w:rsidRPr="000176CC">
        <w:rPr>
          <w:rFonts w:eastAsia="Calibri"/>
          <w:lang w:val="en-GB"/>
        </w:rPr>
        <w:t>100 per kg</w:t>
      </w:r>
      <w:r w:rsidR="00E0759F">
        <w:rPr>
          <w:rFonts w:eastAsia="Calibri"/>
          <w:lang w:val="en-GB"/>
        </w:rPr>
        <w:t>—</w:t>
      </w:r>
      <w:r w:rsidR="00E0759F" w:rsidRPr="000176CC">
        <w:rPr>
          <w:rFonts w:eastAsia="Calibri"/>
          <w:lang w:val="en-GB"/>
        </w:rPr>
        <w:t>under the uniform GST rate of 18</w:t>
      </w:r>
      <w:r w:rsidR="00E0759F">
        <w:rPr>
          <w:rFonts w:eastAsia="Calibri"/>
          <w:lang w:val="en-GB"/>
        </w:rPr>
        <w:t xml:space="preserve"> per cent</w:t>
      </w:r>
      <w:r w:rsidR="00E0759F" w:rsidRPr="000176CC">
        <w:rPr>
          <w:rFonts w:eastAsia="Calibri"/>
          <w:lang w:val="en-GB"/>
        </w:rPr>
        <w:t>.</w:t>
      </w:r>
      <w:r w:rsidR="00E0759F" w:rsidRPr="000176CC">
        <w:rPr>
          <w:rFonts w:eastAsia="Calibri"/>
          <w:vertAlign w:val="superscript"/>
          <w:lang w:val="en-GB"/>
        </w:rPr>
        <w:endnoteReference w:id="5"/>
      </w:r>
      <w:r w:rsidR="00E0759F" w:rsidRPr="000176CC">
        <w:rPr>
          <w:rFonts w:eastAsia="Calibri"/>
          <w:lang w:val="en-GB"/>
        </w:rPr>
        <w:t xml:space="preserve"> Prior to the implementation of GST, </w:t>
      </w:r>
      <w:r w:rsidR="00E0759F">
        <w:rPr>
          <w:rFonts w:eastAsia="Calibri"/>
          <w:lang w:val="en-GB"/>
        </w:rPr>
        <w:t>mass-market</w:t>
      </w:r>
      <w:r w:rsidR="00E0759F" w:rsidRPr="000176CC">
        <w:rPr>
          <w:rFonts w:eastAsia="Calibri"/>
          <w:lang w:val="en-GB"/>
        </w:rPr>
        <w:t xml:space="preserve"> biscuits</w:t>
      </w:r>
      <w:r w:rsidR="00E0759F">
        <w:rPr>
          <w:rFonts w:eastAsia="Calibri"/>
          <w:lang w:val="en-GB"/>
        </w:rPr>
        <w:t xml:space="preserve"> (</w:t>
      </w:r>
      <w:r w:rsidR="00E0759F" w:rsidRPr="000176CC">
        <w:rPr>
          <w:rFonts w:eastAsia="Calibri"/>
          <w:lang w:val="en-GB"/>
        </w:rPr>
        <w:t xml:space="preserve">i.e., biscuits priced below </w:t>
      </w:r>
      <w:r w:rsidR="00E0759F" w:rsidRPr="000176CC">
        <w:rPr>
          <w:rFonts w:ascii="Tahoma" w:eastAsia="Calibri" w:hAnsi="Tahoma" w:cs="Tahoma"/>
          <w:lang w:val="en-GB"/>
        </w:rPr>
        <w:t>₹</w:t>
      </w:r>
      <w:r w:rsidR="00E0759F" w:rsidRPr="000176CC">
        <w:rPr>
          <w:rFonts w:eastAsia="Calibri"/>
          <w:lang w:val="en-GB"/>
        </w:rPr>
        <w:t>100 per kg</w:t>
      </w:r>
      <w:r w:rsidR="00E0759F">
        <w:rPr>
          <w:rFonts w:eastAsia="Calibri"/>
          <w:lang w:val="en-GB"/>
        </w:rPr>
        <w:t>)</w:t>
      </w:r>
      <w:r w:rsidR="00E0759F" w:rsidRPr="000176CC">
        <w:rPr>
          <w:rFonts w:eastAsia="Calibri"/>
          <w:lang w:val="en-GB"/>
        </w:rPr>
        <w:t xml:space="preserve"> were subject to </w:t>
      </w:r>
      <w:r w:rsidR="00E0759F">
        <w:rPr>
          <w:rFonts w:eastAsia="Calibri"/>
          <w:lang w:val="en-GB"/>
        </w:rPr>
        <w:t>a</w:t>
      </w:r>
      <w:r w:rsidR="00E0759F" w:rsidRPr="000176CC">
        <w:rPr>
          <w:rFonts w:eastAsia="Calibri"/>
          <w:lang w:val="en-GB"/>
        </w:rPr>
        <w:t xml:space="preserve"> tax rate of </w:t>
      </w:r>
      <w:r w:rsidR="00E0759F">
        <w:rPr>
          <w:rFonts w:eastAsia="Calibri"/>
          <w:lang w:val="en-GB"/>
        </w:rPr>
        <w:t>about</w:t>
      </w:r>
      <w:r w:rsidR="00E0759F" w:rsidRPr="000176CC">
        <w:rPr>
          <w:rFonts w:eastAsia="Calibri"/>
          <w:lang w:val="en-GB"/>
        </w:rPr>
        <w:t xml:space="preserve"> 14</w:t>
      </w:r>
      <w:r w:rsidR="00E0759F">
        <w:rPr>
          <w:rFonts w:eastAsia="Calibri"/>
          <w:lang w:val="en-GB"/>
        </w:rPr>
        <w:t xml:space="preserve"> per cent</w:t>
      </w:r>
      <w:r w:rsidR="00E0759F" w:rsidRPr="000176CC">
        <w:rPr>
          <w:rFonts w:eastAsia="Calibri"/>
          <w:lang w:val="en-GB"/>
        </w:rPr>
        <w:t xml:space="preserve">, whereas </w:t>
      </w:r>
      <w:r w:rsidR="00E0759F">
        <w:rPr>
          <w:rFonts w:eastAsia="Calibri"/>
          <w:lang w:val="en-GB"/>
        </w:rPr>
        <w:t>biscuits priced</w:t>
      </w:r>
      <w:r w:rsidR="00E0759F" w:rsidRPr="000176CC">
        <w:rPr>
          <w:rFonts w:eastAsia="Calibri"/>
          <w:lang w:val="en-GB"/>
        </w:rPr>
        <w:t xml:space="preserve"> above </w:t>
      </w:r>
      <w:r w:rsidR="00E0759F" w:rsidRPr="000176CC">
        <w:rPr>
          <w:rFonts w:ascii="Tahoma" w:eastAsia="Calibri" w:hAnsi="Tahoma" w:cs="Tahoma"/>
          <w:lang w:val="en-GB"/>
        </w:rPr>
        <w:t>₹</w:t>
      </w:r>
      <w:r w:rsidR="00E0759F" w:rsidRPr="000176CC">
        <w:rPr>
          <w:rFonts w:eastAsia="Calibri"/>
          <w:lang w:val="en-GB"/>
        </w:rPr>
        <w:t xml:space="preserve">100 per kg were subject to </w:t>
      </w:r>
      <w:r w:rsidR="00E0759F">
        <w:rPr>
          <w:rFonts w:eastAsia="Calibri"/>
          <w:lang w:val="en-GB"/>
        </w:rPr>
        <w:t xml:space="preserve">a </w:t>
      </w:r>
      <w:r w:rsidR="00E0759F" w:rsidRPr="000176CC">
        <w:rPr>
          <w:rFonts w:eastAsia="Calibri"/>
          <w:lang w:val="en-GB"/>
        </w:rPr>
        <w:t>22 to</w:t>
      </w:r>
      <w:r w:rsidR="00E0759F">
        <w:rPr>
          <w:rFonts w:eastAsia="Calibri"/>
          <w:lang w:val="en-GB"/>
        </w:rPr>
        <w:t xml:space="preserve"> </w:t>
      </w:r>
      <w:r w:rsidR="00E0759F" w:rsidRPr="000176CC">
        <w:rPr>
          <w:rFonts w:eastAsia="Calibri"/>
          <w:lang w:val="en-GB"/>
        </w:rPr>
        <w:t>24</w:t>
      </w:r>
      <w:r w:rsidR="00E0759F">
        <w:rPr>
          <w:rFonts w:eastAsia="Calibri"/>
          <w:lang w:val="en-GB"/>
        </w:rPr>
        <w:t xml:space="preserve"> per cent tax rate</w:t>
      </w:r>
      <w:r w:rsidR="00E0759F" w:rsidRPr="000176CC">
        <w:rPr>
          <w:rFonts w:eastAsia="Calibri"/>
          <w:lang w:val="en-GB"/>
        </w:rPr>
        <w:t xml:space="preserve"> (see Exhibit 1).</w:t>
      </w:r>
      <w:r w:rsidR="00E0759F" w:rsidRPr="000176CC">
        <w:rPr>
          <w:rFonts w:eastAsia="Calibri"/>
          <w:vertAlign w:val="superscript"/>
          <w:lang w:val="en-GB"/>
        </w:rPr>
        <w:endnoteReference w:id="6"/>
      </w:r>
      <w:r w:rsidR="00E0759F" w:rsidRPr="000176CC">
        <w:rPr>
          <w:rFonts w:eastAsia="Calibri"/>
          <w:lang w:val="en-GB"/>
        </w:rPr>
        <w:t xml:space="preserve"> Reacting to the sharp </w:t>
      </w:r>
      <w:r w:rsidR="00E0759F">
        <w:rPr>
          <w:rFonts w:eastAsia="Calibri"/>
          <w:lang w:val="en-GB"/>
        </w:rPr>
        <w:t xml:space="preserve">tax rate </w:t>
      </w:r>
      <w:r w:rsidR="00E0759F" w:rsidRPr="000176CC">
        <w:rPr>
          <w:rFonts w:eastAsia="Calibri"/>
          <w:lang w:val="en-GB"/>
        </w:rPr>
        <w:t xml:space="preserve">increase on </w:t>
      </w:r>
      <w:r w:rsidR="00E0759F">
        <w:rPr>
          <w:rFonts w:eastAsia="Calibri"/>
          <w:lang w:val="en-GB"/>
        </w:rPr>
        <w:t>mass-market</w:t>
      </w:r>
      <w:r w:rsidR="00E0759F" w:rsidRPr="000176CC">
        <w:rPr>
          <w:rFonts w:eastAsia="Calibri"/>
          <w:lang w:val="en-GB"/>
        </w:rPr>
        <w:t xml:space="preserve"> biscuits, </w:t>
      </w:r>
      <w:bookmarkStart w:id="1" w:name="_Hlk10621747"/>
      <w:r w:rsidR="00E0759F" w:rsidRPr="000176CC">
        <w:rPr>
          <w:rFonts w:eastAsia="Calibri"/>
          <w:lang w:val="en-GB"/>
        </w:rPr>
        <w:t>Mayank Shah</w:t>
      </w:r>
      <w:bookmarkEnd w:id="1"/>
      <w:r w:rsidR="00E0759F" w:rsidRPr="000176CC">
        <w:rPr>
          <w:rFonts w:eastAsia="Calibri"/>
          <w:lang w:val="en-GB"/>
        </w:rPr>
        <w:t>, category head</w:t>
      </w:r>
      <w:r w:rsidR="00E0759F">
        <w:rPr>
          <w:rFonts w:eastAsia="Calibri"/>
          <w:lang w:val="en-GB"/>
        </w:rPr>
        <w:t xml:space="preserve"> of </w:t>
      </w:r>
      <w:bookmarkStart w:id="2" w:name="_Hlk10619604"/>
      <w:r w:rsidR="00E0759F" w:rsidRPr="000176CC">
        <w:rPr>
          <w:rFonts w:eastAsia="Calibri"/>
          <w:lang w:val="en-GB"/>
        </w:rPr>
        <w:t>Parle Products Private Limited (Parle)</w:t>
      </w:r>
      <w:bookmarkEnd w:id="2"/>
      <w:r w:rsidR="00E0759F" w:rsidRPr="000176CC">
        <w:rPr>
          <w:rFonts w:eastAsia="Calibri"/>
          <w:lang w:val="en-GB"/>
        </w:rPr>
        <w:t>, said,</w:t>
      </w:r>
      <w:r w:rsidR="00E0759F" w:rsidRPr="000176CC">
        <w:rPr>
          <w:rFonts w:eastAsia="Calibri"/>
          <w:shd w:val="clear" w:color="auto" w:fill="FFFFFF"/>
          <w:lang w:val="en-GB"/>
        </w:rPr>
        <w:t> </w:t>
      </w:r>
    </w:p>
    <w:p w14:paraId="474ED0CD" w14:textId="77777777" w:rsidR="00E0759F" w:rsidRDefault="00E0759F" w:rsidP="00337DF9">
      <w:pPr>
        <w:pStyle w:val="BodyTextMain"/>
        <w:rPr>
          <w:rFonts w:eastAsia="Calibri"/>
          <w:shd w:val="clear" w:color="auto" w:fill="FFFFFF"/>
          <w:lang w:val="en-GB"/>
        </w:rPr>
      </w:pPr>
    </w:p>
    <w:p w14:paraId="4D9FD8FC" w14:textId="025B1DB0" w:rsidR="00E0759F" w:rsidRPr="00C11926" w:rsidRDefault="00E0759F" w:rsidP="00C11926">
      <w:pPr>
        <w:pStyle w:val="BodyTextMain"/>
        <w:ind w:left="720"/>
        <w:rPr>
          <w:rFonts w:eastAsia="Calibri"/>
        </w:rPr>
      </w:pPr>
      <w:r w:rsidRPr="00C11926">
        <w:rPr>
          <w:rFonts w:eastAsia="Calibri"/>
        </w:rPr>
        <w:t>Given the rise in input costs and slim margins in the low-priced biscuits category, companies will be forced to increase prices. Biscuit companies will have no motivation to operate in the below ₹100 per kg category as it will be difficult to make any money in this segment</w:t>
      </w:r>
      <w:proofErr w:type="gramStart"/>
      <w:r w:rsidRPr="00C11926">
        <w:rPr>
          <w:rFonts w:eastAsia="Calibri"/>
        </w:rPr>
        <w:t>. . . .</w:t>
      </w:r>
      <w:proofErr w:type="gramEnd"/>
      <w:r w:rsidRPr="00C11926">
        <w:rPr>
          <w:rFonts w:eastAsia="Calibri"/>
        </w:rPr>
        <w:t xml:space="preserve"> This is a price elastic segment, so it will be challenging to even increase prices as it will impact demand for these products.</w:t>
      </w:r>
      <w:r w:rsidRPr="00C11926">
        <w:rPr>
          <w:rFonts w:eastAsia="Calibri"/>
          <w:vertAlign w:val="superscript"/>
        </w:rPr>
        <w:endnoteReference w:id="7"/>
      </w:r>
      <w:r w:rsidRPr="00C11926">
        <w:rPr>
          <w:rFonts w:eastAsia="Calibri"/>
        </w:rPr>
        <w:t xml:space="preserve"> </w:t>
      </w:r>
    </w:p>
    <w:p w14:paraId="1B5B18EF" w14:textId="77777777" w:rsidR="00E0759F" w:rsidRDefault="00E0759F" w:rsidP="002937B7">
      <w:pPr>
        <w:pStyle w:val="BodyTextMain"/>
        <w:rPr>
          <w:rFonts w:eastAsia="Calibri"/>
          <w:lang w:val="en-GB"/>
        </w:rPr>
      </w:pPr>
    </w:p>
    <w:p w14:paraId="5B74071C" w14:textId="3E66A04D" w:rsidR="00E0759F" w:rsidRPr="000617CD" w:rsidRDefault="00E0759F" w:rsidP="000617CD">
      <w:pPr>
        <w:pStyle w:val="BodyTextMain"/>
        <w:rPr>
          <w:rFonts w:eastAsia="Calibri"/>
        </w:rPr>
      </w:pPr>
      <w:r w:rsidRPr="000176CC">
        <w:rPr>
          <w:rFonts w:eastAsia="Calibri"/>
          <w:lang w:val="en-GB"/>
        </w:rPr>
        <w:t>He further added</w:t>
      </w:r>
      <w:r w:rsidRPr="000617CD">
        <w:rPr>
          <w:rFonts w:eastAsia="Calibri"/>
        </w:rPr>
        <w:t>, “We are disappointed with the </w:t>
      </w:r>
      <w:hyperlink r:id="rId9" w:tgtFrame="_blank" w:history="1">
        <w:r w:rsidRPr="000617CD">
          <w:rPr>
            <w:rFonts w:eastAsia="Calibri"/>
          </w:rPr>
          <w:t>GST </w:t>
        </w:r>
      </w:hyperlink>
      <w:r w:rsidRPr="000617CD">
        <w:rPr>
          <w:rFonts w:eastAsia="Calibri"/>
        </w:rPr>
        <w:t>rate announced today (Saturday). This goes against the principle of social justice, where the poor will carry the burden of additional tax and those who are well-off will not.”</w:t>
      </w:r>
      <w:r w:rsidRPr="000D37F4">
        <w:rPr>
          <w:rFonts w:eastAsia="Calibri"/>
          <w:vertAlign w:val="superscript"/>
        </w:rPr>
        <w:endnoteReference w:id="8"/>
      </w:r>
      <w:r w:rsidRPr="000617CD">
        <w:rPr>
          <w:rFonts w:eastAsia="Calibri"/>
        </w:rPr>
        <w:t xml:space="preserve"> Parle derived one third of its revenue from the glucose category, whereas its major competitors—Britannia Industries Limited (Britannia) and ITC Limited (ITC)—focused on premium products. To mitigate the impact of GST on Parle’s margins, Shah was considering raising the price of the company’s mass-market biscuit, Parle-G, by March 2018.</w:t>
      </w:r>
      <w:r w:rsidRPr="000617CD">
        <w:rPr>
          <w:rFonts w:eastAsia="Calibri"/>
          <w:vertAlign w:val="superscript"/>
        </w:rPr>
        <w:endnoteReference w:id="9"/>
      </w:r>
      <w:r w:rsidRPr="000617CD">
        <w:rPr>
          <w:rFonts w:eastAsia="Calibri"/>
        </w:rPr>
        <w:t xml:space="preserve"> However, </w:t>
      </w:r>
      <w:r w:rsidR="00247D42" w:rsidRPr="000617CD">
        <w:rPr>
          <w:rFonts w:eastAsia="Calibri"/>
        </w:rPr>
        <w:t xml:space="preserve">Parle-G had tough competition from the glucose biscuits offered by the competitors, such as Tiger biscuits offered by Britannia and </w:t>
      </w:r>
      <w:proofErr w:type="spellStart"/>
      <w:r w:rsidR="00247D42" w:rsidRPr="000617CD">
        <w:rPr>
          <w:rFonts w:eastAsia="Calibri"/>
        </w:rPr>
        <w:t>Sunfeast</w:t>
      </w:r>
      <w:proofErr w:type="spellEnd"/>
      <w:r w:rsidR="00247D42" w:rsidRPr="000617CD">
        <w:rPr>
          <w:rFonts w:eastAsia="Calibri"/>
        </w:rPr>
        <w:t xml:space="preserve"> offered by ITC.</w:t>
      </w:r>
      <w:r w:rsidR="007209C4" w:rsidRPr="000617CD">
        <w:rPr>
          <w:rStyle w:val="EndnoteReference"/>
          <w:rFonts w:eastAsia="Calibri"/>
        </w:rPr>
        <w:endnoteReference w:id="10"/>
      </w:r>
      <w:r w:rsidRPr="000617CD">
        <w:rPr>
          <w:rFonts w:eastAsia="Calibri"/>
        </w:rPr>
        <w:t xml:space="preserve"> </w:t>
      </w:r>
      <w:r w:rsidR="007209C4" w:rsidRPr="000617CD">
        <w:rPr>
          <w:rFonts w:eastAsia="Calibri"/>
        </w:rPr>
        <w:t>Given the tough competition</w:t>
      </w:r>
      <w:r w:rsidR="00DF26E6" w:rsidRPr="000617CD">
        <w:rPr>
          <w:rFonts w:eastAsia="Calibri"/>
        </w:rPr>
        <w:t>,</w:t>
      </w:r>
      <w:r w:rsidR="007209C4" w:rsidRPr="000617CD">
        <w:rPr>
          <w:rFonts w:eastAsia="Calibri"/>
        </w:rPr>
        <w:t xml:space="preserve"> </w:t>
      </w:r>
      <w:r w:rsidRPr="000617CD">
        <w:rPr>
          <w:rFonts w:eastAsia="Calibri"/>
        </w:rPr>
        <w:t>the price increase might adversely affect demand and sharply decrease revenue. Shah wondered what he should do to retain Parle’s profit margin and competitiveness.</w:t>
      </w:r>
    </w:p>
    <w:p w14:paraId="27BE461A" w14:textId="77777777" w:rsidR="00E0759F" w:rsidRPr="000617CD" w:rsidRDefault="00E0759F" w:rsidP="000617CD">
      <w:pPr>
        <w:pStyle w:val="BodyTextMain"/>
        <w:rPr>
          <w:rFonts w:eastAsia="Calibri"/>
        </w:rPr>
      </w:pPr>
    </w:p>
    <w:p w14:paraId="2D1B50E2" w14:textId="0D419358" w:rsidR="00E0759F" w:rsidRPr="000617CD" w:rsidRDefault="00E0759F" w:rsidP="000617CD">
      <w:pPr>
        <w:pStyle w:val="BodyTextMain"/>
        <w:rPr>
          <w:rFonts w:eastAsia="Calibri"/>
        </w:rPr>
      </w:pPr>
      <w:r w:rsidRPr="000617CD">
        <w:rPr>
          <w:rFonts w:eastAsia="Calibri"/>
        </w:rPr>
        <w:t xml:space="preserve"> </w:t>
      </w:r>
      <w:bookmarkStart w:id="3" w:name="_GoBack"/>
      <w:bookmarkEnd w:id="3"/>
    </w:p>
    <w:p w14:paraId="0BFAB91C" w14:textId="3A56AB0B" w:rsidR="00E0759F" w:rsidRPr="000176CC" w:rsidRDefault="00E0759F" w:rsidP="00A30278">
      <w:pPr>
        <w:pStyle w:val="Casehead1"/>
        <w:keepNext/>
        <w:rPr>
          <w:rFonts w:eastAsia="Calibri"/>
          <w:lang w:val="en-GB"/>
        </w:rPr>
      </w:pPr>
      <w:r>
        <w:rPr>
          <w:rFonts w:eastAsia="Calibri"/>
          <w:lang w:val="en-GB"/>
        </w:rPr>
        <w:lastRenderedPageBreak/>
        <w:t>Goods and services tax</w:t>
      </w:r>
      <w:r w:rsidRPr="000176CC">
        <w:rPr>
          <w:rFonts w:eastAsia="Calibri"/>
          <w:lang w:val="en-GB"/>
        </w:rPr>
        <w:t xml:space="preserve"> in India</w:t>
      </w:r>
    </w:p>
    <w:p w14:paraId="5CD60AC4" w14:textId="77777777" w:rsidR="00E0759F" w:rsidRPr="000176CC" w:rsidRDefault="00E0759F" w:rsidP="00A30278">
      <w:pPr>
        <w:pStyle w:val="BodyTextMain"/>
        <w:keepNext/>
        <w:rPr>
          <w:rFonts w:eastAsia="Calibri"/>
          <w:lang w:val="en-GB"/>
        </w:rPr>
      </w:pPr>
    </w:p>
    <w:p w14:paraId="27438E0A" w14:textId="77777777" w:rsidR="0077518B" w:rsidRDefault="00E0759F" w:rsidP="00A30278">
      <w:pPr>
        <w:pStyle w:val="BodyTextMain"/>
        <w:keepNext/>
        <w:rPr>
          <w:rFonts w:eastAsia="Calibri"/>
          <w:lang w:val="en-GB"/>
        </w:rPr>
      </w:pPr>
      <w:r w:rsidRPr="000176CC">
        <w:rPr>
          <w:rFonts w:eastAsia="Calibri"/>
          <w:lang w:val="en-GB"/>
        </w:rPr>
        <w:t xml:space="preserve">GST was a form of </w:t>
      </w:r>
      <w:r>
        <w:rPr>
          <w:rFonts w:eastAsia="Calibri"/>
          <w:lang w:val="en-GB"/>
        </w:rPr>
        <w:t>value-added tax</w:t>
      </w:r>
      <w:r w:rsidRPr="000176CC">
        <w:rPr>
          <w:rFonts w:eastAsia="Calibri"/>
          <w:lang w:val="en-GB"/>
        </w:rPr>
        <w:t xml:space="preserve"> (VAT) in India. VAT was an indirect tax imposed on the value addition at each stage o</w:t>
      </w:r>
      <w:r>
        <w:rPr>
          <w:rFonts w:eastAsia="Calibri"/>
          <w:lang w:val="en-GB"/>
        </w:rPr>
        <w:t xml:space="preserve">f a commodity’s </w:t>
      </w:r>
      <w:r w:rsidRPr="000176CC">
        <w:rPr>
          <w:rFonts w:eastAsia="Calibri"/>
          <w:lang w:val="en-GB"/>
        </w:rPr>
        <w:t>production</w:t>
      </w:r>
      <w:r w:rsidRPr="00934EFA">
        <w:rPr>
          <w:rFonts w:eastAsia="Calibri"/>
          <w:lang w:val="en-GB"/>
        </w:rPr>
        <w:t xml:space="preserve"> </w:t>
      </w:r>
      <w:r w:rsidRPr="000176CC">
        <w:rPr>
          <w:rFonts w:eastAsia="Calibri"/>
          <w:lang w:val="en-GB"/>
        </w:rPr>
        <w:t xml:space="preserve">rather than on </w:t>
      </w:r>
      <w:r>
        <w:rPr>
          <w:rFonts w:eastAsia="Calibri"/>
          <w:lang w:val="en-GB"/>
        </w:rPr>
        <w:t>a commodity’s</w:t>
      </w:r>
      <w:r w:rsidRPr="000176CC">
        <w:rPr>
          <w:rFonts w:eastAsia="Calibri"/>
          <w:lang w:val="en-GB"/>
        </w:rPr>
        <w:t xml:space="preserve"> total value of production</w:t>
      </w:r>
      <w:r>
        <w:rPr>
          <w:rFonts w:eastAsia="Calibri"/>
          <w:lang w:val="en-GB"/>
        </w:rPr>
        <w:t xml:space="preserve"> at the end of the supply chain</w:t>
      </w:r>
      <w:r w:rsidRPr="000176CC">
        <w:rPr>
          <w:rFonts w:eastAsia="Calibri"/>
          <w:lang w:val="en-GB"/>
        </w:rPr>
        <w:t xml:space="preserve">. As the tax was on the value of the commodity, tax liability under the VAT used to be lower than the tax liability under other types of indirect taxes, such as excise tax. India had adopted a modified </w:t>
      </w:r>
      <w:r>
        <w:rPr>
          <w:rFonts w:eastAsia="Calibri"/>
          <w:lang w:val="en-GB"/>
        </w:rPr>
        <w:t>VAT</w:t>
      </w:r>
      <w:r w:rsidRPr="000176CC">
        <w:rPr>
          <w:rFonts w:eastAsia="Calibri"/>
          <w:lang w:val="en-GB"/>
        </w:rPr>
        <w:t xml:space="preserve"> (MODVAT) in 1986</w:t>
      </w:r>
      <w:r>
        <w:rPr>
          <w:rFonts w:eastAsia="Calibri"/>
          <w:lang w:val="en-GB"/>
        </w:rPr>
        <w:t>,</w:t>
      </w:r>
      <w:r w:rsidRPr="000176CC">
        <w:rPr>
          <w:rFonts w:eastAsia="Calibri"/>
          <w:vertAlign w:val="superscript"/>
          <w:lang w:val="en-GB"/>
        </w:rPr>
        <w:endnoteReference w:id="11"/>
      </w:r>
      <w:r w:rsidRPr="000176CC">
        <w:rPr>
          <w:rFonts w:eastAsia="Calibri"/>
          <w:lang w:val="en-GB"/>
        </w:rPr>
        <w:t xml:space="preserve"> whereby the tax was imposed on the total value of output, but tax credit was given to taxpayers on the tax </w:t>
      </w:r>
      <w:r>
        <w:rPr>
          <w:rFonts w:eastAsia="Calibri"/>
          <w:lang w:val="en-GB"/>
        </w:rPr>
        <w:t xml:space="preserve">they </w:t>
      </w:r>
      <w:r w:rsidRPr="000176CC">
        <w:rPr>
          <w:rFonts w:eastAsia="Calibri"/>
          <w:lang w:val="en-GB"/>
        </w:rPr>
        <w:t xml:space="preserve">paid on the value of inputs. In the presence of tax on inputs, the tax liability under MODVAT turned out to be similar to the VAT. </w:t>
      </w:r>
    </w:p>
    <w:p w14:paraId="31B47CF2" w14:textId="77777777" w:rsidR="0077518B" w:rsidRDefault="0077518B" w:rsidP="00A30278">
      <w:pPr>
        <w:pStyle w:val="BodyTextMain"/>
        <w:keepNext/>
        <w:rPr>
          <w:rFonts w:eastAsia="Calibri"/>
          <w:lang w:val="en-GB"/>
        </w:rPr>
      </w:pPr>
    </w:p>
    <w:p w14:paraId="33CABF52" w14:textId="77777777" w:rsidR="0077518B" w:rsidRPr="00C11926" w:rsidRDefault="00E0759F" w:rsidP="00C11926">
      <w:pPr>
        <w:pStyle w:val="BodyTextMain"/>
        <w:rPr>
          <w:rFonts w:eastAsia="Calibri"/>
        </w:rPr>
      </w:pPr>
      <w:r w:rsidRPr="00C11926">
        <w:rPr>
          <w:rFonts w:eastAsia="Calibri"/>
        </w:rPr>
        <w:t xml:space="preserve">In the initial years of its implementation, MODVAT was levied in India only on some manufactured goods, but gradually its coverage encompassed more goods. MODVAT was subsequently renamed the </w:t>
      </w:r>
      <w:bookmarkStart w:id="4" w:name="_Hlk10456546"/>
      <w:r w:rsidRPr="00C11926">
        <w:rPr>
          <w:rFonts w:eastAsia="Calibri"/>
        </w:rPr>
        <w:t>central value added tax (CENVAT)</w:t>
      </w:r>
      <w:bookmarkEnd w:id="4"/>
      <w:r w:rsidRPr="00C11926">
        <w:rPr>
          <w:rFonts w:eastAsia="Calibri"/>
        </w:rPr>
        <w:t>.</w:t>
      </w:r>
      <w:r w:rsidRPr="00C11926">
        <w:rPr>
          <w:rFonts w:eastAsia="Calibri"/>
          <w:vertAlign w:val="superscript"/>
        </w:rPr>
        <w:endnoteReference w:id="12"/>
      </w:r>
      <w:r w:rsidRPr="00C11926">
        <w:rPr>
          <w:rFonts w:eastAsia="Calibri"/>
        </w:rPr>
        <w:t xml:space="preserve"> </w:t>
      </w:r>
      <w:r w:rsidR="004D122E" w:rsidRPr="00C11926">
        <w:rPr>
          <w:rFonts w:eastAsia="Calibri"/>
        </w:rPr>
        <w:t>U</w:t>
      </w:r>
      <w:r w:rsidRPr="00C11926">
        <w:rPr>
          <w:rFonts w:eastAsia="Calibri"/>
        </w:rPr>
        <w:t>ntil the implementation of GST, services remained out of the purview of MODVAT or CENVAT. There were also many indirect taxes, including central excise, service tax, entry tax, and octroi (</w:t>
      </w:r>
      <w:r w:rsidRPr="00C11926">
        <w:t>tax imposed by local bodies like municipalities when any product entered their territories</w:t>
      </w:r>
      <w:r w:rsidRPr="00C11926">
        <w:rPr>
          <w:rStyle w:val="EndnoteReference"/>
          <w:rFonts w:eastAsia="Calibri"/>
          <w:vertAlign w:val="baseline"/>
        </w:rPr>
        <w:t xml:space="preserve"> </w:t>
      </w:r>
      <w:r w:rsidRPr="00C11926">
        <w:rPr>
          <w:rFonts w:eastAsia="Calibri"/>
        </w:rPr>
        <w:t xml:space="preserve">). Some of these taxes were levied by the central government, whereas others were levied by state governments. Tax rates varied across states, even on the same commodity. </w:t>
      </w:r>
    </w:p>
    <w:p w14:paraId="06CE75A2" w14:textId="77777777" w:rsidR="0077518B" w:rsidRPr="00C11926" w:rsidRDefault="0077518B" w:rsidP="00C11926">
      <w:pPr>
        <w:pStyle w:val="BodyTextMain"/>
        <w:rPr>
          <w:rFonts w:eastAsia="Calibri"/>
        </w:rPr>
      </w:pPr>
    </w:p>
    <w:p w14:paraId="2C9C13D5" w14:textId="041A7A32" w:rsidR="00E0759F" w:rsidRPr="00C11926" w:rsidRDefault="00E0759F" w:rsidP="00C11926">
      <w:pPr>
        <w:pStyle w:val="BodyTextMain"/>
        <w:rPr>
          <w:rFonts w:eastAsia="Calibri"/>
        </w:rPr>
      </w:pPr>
      <w:r w:rsidRPr="00C11926">
        <w:rPr>
          <w:rFonts w:eastAsia="Calibri"/>
        </w:rPr>
        <w:t>India implemented GST on July 1, 2017, to cover all goods and services under the MODVAT structure, bring uniformity to the tax structure, rationalize the tax structure across the country, and mitigate the cascading impact of taxes on prices.</w:t>
      </w:r>
      <w:r w:rsidRPr="00C11926">
        <w:rPr>
          <w:rFonts w:eastAsia="Calibri"/>
          <w:vertAlign w:val="superscript"/>
        </w:rPr>
        <w:endnoteReference w:id="13"/>
      </w:r>
      <w:r w:rsidRPr="00C11926">
        <w:rPr>
          <w:rFonts w:eastAsia="Calibri"/>
        </w:rPr>
        <w:t xml:space="preserve"> In India, it was a destination-based tax, where the tax was collected at the place of sale rather than at the place of origin or manufacturing. India was the 161st nation to adopt GST.</w:t>
      </w:r>
      <w:r w:rsidRPr="00C11926">
        <w:rPr>
          <w:rFonts w:eastAsia="Calibri"/>
          <w:vertAlign w:val="superscript"/>
        </w:rPr>
        <w:endnoteReference w:id="14"/>
      </w:r>
      <w:r w:rsidRPr="00C11926">
        <w:rPr>
          <w:rFonts w:eastAsia="Calibri"/>
        </w:rPr>
        <w:t xml:space="preserve"> Like Canada, India adopted a dual GST model in which both central and state governments concurrently levied tax on goods as well as services. The dual GST was expected to ensure that both central and state governments received their deserved revenue. </w:t>
      </w:r>
    </w:p>
    <w:p w14:paraId="1A67DF3E" w14:textId="77777777" w:rsidR="00E0759F" w:rsidRPr="00C11926" w:rsidRDefault="00E0759F" w:rsidP="00C11926">
      <w:pPr>
        <w:pStyle w:val="BodyTextMain"/>
        <w:rPr>
          <w:rFonts w:eastAsia="Calibri"/>
        </w:rPr>
      </w:pPr>
    </w:p>
    <w:p w14:paraId="7AB18FBE" w14:textId="033E634C" w:rsidR="00E0759F" w:rsidRPr="0045532B" w:rsidRDefault="00E0759F" w:rsidP="0045532B">
      <w:pPr>
        <w:pStyle w:val="BodyTextMain"/>
        <w:rPr>
          <w:rFonts w:eastAsia="Calibri"/>
        </w:rPr>
      </w:pPr>
      <w:r w:rsidRPr="0045532B">
        <w:rPr>
          <w:rFonts w:eastAsia="Calibri"/>
        </w:rPr>
        <w:t>Although GST aimed to levy a uniform tax rate on all commodities, keeping in mind the differences in the nature of commodities, four different tax rates of 5, 12, 18, and 28 per cent were introduced.</w:t>
      </w:r>
      <w:r w:rsidRPr="000D37F4">
        <w:rPr>
          <w:rFonts w:eastAsia="Calibri"/>
          <w:vertAlign w:val="superscript"/>
        </w:rPr>
        <w:endnoteReference w:id="15"/>
      </w:r>
      <w:r w:rsidRPr="0045532B">
        <w:rPr>
          <w:rFonts w:eastAsia="Calibri"/>
        </w:rPr>
        <w:t xml:space="preserve"> Most essential items, such as milk, fresh fruits and vegetables, bread, and salt, were not taxed, and other necessities, such as edible oil, sugar, spices, tea, coffee, and rusk (</w:t>
      </w:r>
      <w:r w:rsidRPr="0045532B">
        <w:t>a very hard dry biscuit or twice-baked bread</w:t>
      </w:r>
      <w:r w:rsidRPr="0045532B">
        <w:rPr>
          <w:rFonts w:eastAsia="Calibri"/>
        </w:rPr>
        <w:t>) were subjected to the low GST rate of 5 per cent.</w:t>
      </w:r>
      <w:r w:rsidRPr="0045532B">
        <w:rPr>
          <w:rFonts w:eastAsia="Calibri"/>
          <w:vertAlign w:val="superscript"/>
        </w:rPr>
        <w:endnoteReference w:id="16"/>
      </w:r>
      <w:r w:rsidRPr="0045532B">
        <w:rPr>
          <w:rFonts w:eastAsia="Calibri"/>
        </w:rPr>
        <w:t xml:space="preserve"> Items that were not considered essential (such as chocolate, chewing gum, paint, and hair dye) and luxury items (such as cars, high-end motorcycles, air conditioners, and refrigerators) were subjected to the highest slab rate of 28 per cent.</w:t>
      </w:r>
      <w:r w:rsidRPr="0045532B">
        <w:rPr>
          <w:rFonts w:eastAsia="Calibri"/>
          <w:vertAlign w:val="superscript"/>
        </w:rPr>
        <w:endnoteReference w:id="17"/>
      </w:r>
    </w:p>
    <w:p w14:paraId="1DEBFF6E" w14:textId="77777777" w:rsidR="00E0759F" w:rsidRPr="0045532B" w:rsidRDefault="00E0759F" w:rsidP="0045532B">
      <w:pPr>
        <w:pStyle w:val="BodyTextMain"/>
        <w:rPr>
          <w:rFonts w:eastAsia="Calibri"/>
        </w:rPr>
      </w:pPr>
    </w:p>
    <w:p w14:paraId="08E4632A" w14:textId="63717C40" w:rsidR="00E0759F" w:rsidRPr="0045532B" w:rsidRDefault="00E0759F" w:rsidP="0045532B">
      <w:pPr>
        <w:pStyle w:val="BodyTextMain"/>
        <w:rPr>
          <w:rFonts w:eastAsia="Calibri"/>
        </w:rPr>
      </w:pPr>
      <w:r w:rsidRPr="0045532B">
        <w:rPr>
          <w:rFonts w:eastAsia="Calibri"/>
        </w:rPr>
        <w:t>In the pre-GST period, the statutory tax rate for most goods was about 26.5 per cent; post-GST, most goods were brought into the 18 per cent range.</w:t>
      </w:r>
      <w:r w:rsidRPr="0045532B">
        <w:rPr>
          <w:rFonts w:eastAsia="Calibri"/>
          <w:vertAlign w:val="superscript"/>
        </w:rPr>
        <w:endnoteReference w:id="18"/>
      </w:r>
      <w:r w:rsidRPr="0045532B">
        <w:rPr>
          <w:rFonts w:eastAsia="Calibri"/>
        </w:rPr>
        <w:t xml:space="preserve"> To mitigate the negative impact of tax-rate reduction on government revenue, the government increased the tax rates on some not-so-essential items, and mass-market biscuits were among them. </w:t>
      </w:r>
    </w:p>
    <w:p w14:paraId="5A4EAC58" w14:textId="77777777" w:rsidR="00E0759F" w:rsidRPr="0045532B" w:rsidRDefault="00E0759F" w:rsidP="0045532B">
      <w:pPr>
        <w:pStyle w:val="BodyTextMain"/>
        <w:rPr>
          <w:rFonts w:eastAsia="Calibri"/>
        </w:rPr>
      </w:pPr>
    </w:p>
    <w:p w14:paraId="3CBCEE8A" w14:textId="3D06251F" w:rsidR="00E0759F" w:rsidRPr="00814609" w:rsidRDefault="00E0759F" w:rsidP="00337DF9">
      <w:pPr>
        <w:pStyle w:val="BodyTextMain"/>
        <w:rPr>
          <w:rFonts w:eastAsia="Calibri"/>
          <w:spacing w:val="-2"/>
          <w:lang w:val="en-GB"/>
        </w:rPr>
      </w:pPr>
      <w:r w:rsidRPr="00814609">
        <w:rPr>
          <w:rFonts w:eastAsia="Calibri"/>
          <w:spacing w:val="-2"/>
          <w:lang w:val="en-GB"/>
        </w:rPr>
        <w:t>Under the new regime, glucose, Marie, milk, and other low-priced biscuits would be adversely affected by the change. This category of low-priced biscuits accounted for 35 per cent of the total biscuit market.</w:t>
      </w:r>
      <w:r w:rsidRPr="00814609">
        <w:rPr>
          <w:rFonts w:eastAsia="Calibri"/>
          <w:spacing w:val="-2"/>
          <w:vertAlign w:val="superscript"/>
          <w:lang w:val="en-GB"/>
        </w:rPr>
        <w:endnoteReference w:id="19"/>
      </w:r>
      <w:r w:rsidRPr="00814609">
        <w:rPr>
          <w:rFonts w:eastAsia="Calibri"/>
          <w:spacing w:val="-2"/>
          <w:lang w:val="en-GB"/>
        </w:rPr>
        <w:t xml:space="preserve"> But premium biscuit brands that were above the </w:t>
      </w:r>
      <w:r w:rsidRPr="00814609">
        <w:rPr>
          <w:rFonts w:ascii="Tahoma" w:eastAsia="Calibri" w:hAnsi="Tahoma" w:cs="Tahoma"/>
          <w:spacing w:val="-2"/>
          <w:lang w:val="en-GB"/>
        </w:rPr>
        <w:t>₹</w:t>
      </w:r>
      <w:r w:rsidRPr="00814609">
        <w:rPr>
          <w:rFonts w:eastAsia="Calibri"/>
          <w:spacing w:val="-2"/>
          <w:lang w:val="en-GB"/>
        </w:rPr>
        <w:t xml:space="preserve">100 per kg category—like Parle’s Hide &amp; Seek and Monaco brands—would benefit from the change. This change effectively implied the cross-subsidization of premium biscuits by the mass-market biscuit category. The changes in the GST rates intensified the competition for low-priced biscuits—not only from premium biscuits but also from branded </w:t>
      </w:r>
      <w:r w:rsidRPr="00814609">
        <w:rPr>
          <w:rFonts w:eastAsia="Calibri"/>
          <w:i/>
          <w:spacing w:val="-2"/>
          <w:lang w:val="en-GB"/>
        </w:rPr>
        <w:t>namkeen</w:t>
      </w:r>
      <w:r w:rsidRPr="00814609">
        <w:rPr>
          <w:rFonts w:eastAsia="Calibri"/>
          <w:spacing w:val="-2"/>
          <w:lang w:val="en-GB"/>
        </w:rPr>
        <w:t xml:space="preserve"> (</w:t>
      </w:r>
      <w:proofErr w:type="spellStart"/>
      <w:r w:rsidRPr="000617CD">
        <w:rPr>
          <w:rFonts w:eastAsia="Calibri"/>
        </w:rPr>
        <w:t>savoury</w:t>
      </w:r>
      <w:proofErr w:type="spellEnd"/>
      <w:r w:rsidRPr="000617CD">
        <w:rPr>
          <w:rFonts w:eastAsia="Calibri"/>
        </w:rPr>
        <w:t xml:space="preserve"> </w:t>
      </w:r>
      <w:r w:rsidRPr="00814609">
        <w:rPr>
          <w:rFonts w:eastAsia="Calibri"/>
          <w:spacing w:val="-2"/>
          <w:lang w:val="en-GB"/>
        </w:rPr>
        <w:t>snacks) and rusk, which were subjected to GST rates of 12 and 5 per cent, respectively (see Exhibit 1).</w:t>
      </w:r>
      <w:r w:rsidRPr="00814609">
        <w:rPr>
          <w:rFonts w:eastAsia="Calibri"/>
          <w:spacing w:val="-2"/>
          <w:vertAlign w:val="superscript"/>
          <w:lang w:val="en-GB"/>
        </w:rPr>
        <w:endnoteReference w:id="20"/>
      </w:r>
    </w:p>
    <w:p w14:paraId="17368BF4" w14:textId="77777777" w:rsidR="00E0759F" w:rsidRPr="000176CC" w:rsidRDefault="00E0759F" w:rsidP="00337DF9">
      <w:pPr>
        <w:pStyle w:val="BodyTextMain"/>
        <w:rPr>
          <w:rFonts w:eastAsia="Calibri"/>
          <w:lang w:val="en-GB"/>
        </w:rPr>
      </w:pPr>
    </w:p>
    <w:p w14:paraId="22A3DD45" w14:textId="77777777" w:rsidR="00E0759F" w:rsidRPr="000176CC" w:rsidRDefault="00E0759F" w:rsidP="00337DF9">
      <w:pPr>
        <w:pStyle w:val="BodyTextMain"/>
        <w:rPr>
          <w:rFonts w:eastAsia="Calibri"/>
          <w:lang w:val="en-GB"/>
        </w:rPr>
      </w:pPr>
    </w:p>
    <w:p w14:paraId="37180B63" w14:textId="5763A761" w:rsidR="00E0759F" w:rsidRPr="000176CC" w:rsidRDefault="00E0759F" w:rsidP="00A30278">
      <w:pPr>
        <w:pStyle w:val="Casehead1"/>
        <w:keepNext/>
        <w:rPr>
          <w:rFonts w:eastAsia="Calibri"/>
          <w:lang w:val="en-GB"/>
        </w:rPr>
      </w:pPr>
      <w:r>
        <w:rPr>
          <w:rFonts w:eastAsia="Calibri"/>
          <w:lang w:val="en-GB"/>
        </w:rPr>
        <w:lastRenderedPageBreak/>
        <w:t xml:space="preserve">PArle </w:t>
      </w:r>
      <w:r w:rsidRPr="000176CC">
        <w:rPr>
          <w:rFonts w:eastAsia="Calibri"/>
          <w:lang w:val="en-GB"/>
        </w:rPr>
        <w:t xml:space="preserve">Product Profile </w:t>
      </w:r>
    </w:p>
    <w:p w14:paraId="2C92D1F4" w14:textId="77777777" w:rsidR="00E0759F" w:rsidRPr="000176CC" w:rsidRDefault="00E0759F" w:rsidP="00A30278">
      <w:pPr>
        <w:pStyle w:val="BodyTextMain"/>
        <w:keepNext/>
        <w:rPr>
          <w:rFonts w:eastAsia="Calibri"/>
          <w:lang w:val="en-GB"/>
        </w:rPr>
      </w:pPr>
    </w:p>
    <w:p w14:paraId="307993FB" w14:textId="5E018EF6" w:rsidR="00E0759F" w:rsidRPr="000176CC" w:rsidRDefault="00E0759F" w:rsidP="00A30278">
      <w:pPr>
        <w:pStyle w:val="BodyTextMain"/>
        <w:keepNext/>
        <w:rPr>
          <w:rFonts w:eastAsia="Calibri"/>
          <w:lang w:val="en-GB"/>
        </w:rPr>
      </w:pPr>
      <w:r w:rsidRPr="000176CC">
        <w:rPr>
          <w:rFonts w:eastAsia="Calibri"/>
          <w:lang w:val="en-GB"/>
        </w:rPr>
        <w:t xml:space="preserve">Established in 1929 as a confectionery manufacturer, Parle operated in five </w:t>
      </w:r>
      <w:r>
        <w:rPr>
          <w:rFonts w:eastAsia="Calibri"/>
          <w:lang w:val="en-GB"/>
        </w:rPr>
        <w:t xml:space="preserve">food </w:t>
      </w:r>
      <w:r w:rsidRPr="000176CC">
        <w:rPr>
          <w:rFonts w:eastAsia="Calibri"/>
          <w:lang w:val="en-GB"/>
        </w:rPr>
        <w:t>segments</w:t>
      </w:r>
      <w:r>
        <w:rPr>
          <w:rFonts w:eastAsia="Calibri"/>
          <w:lang w:val="en-GB"/>
        </w:rPr>
        <w:t>—</w:t>
      </w:r>
      <w:r w:rsidRPr="000176CC">
        <w:rPr>
          <w:rFonts w:eastAsia="Calibri"/>
          <w:lang w:val="en-GB"/>
        </w:rPr>
        <w:t>namely</w:t>
      </w:r>
      <w:r>
        <w:rPr>
          <w:rFonts w:eastAsia="Calibri"/>
          <w:lang w:val="en-GB"/>
        </w:rPr>
        <w:t>,</w:t>
      </w:r>
      <w:r w:rsidRPr="000176CC">
        <w:rPr>
          <w:rFonts w:eastAsia="Calibri"/>
          <w:lang w:val="en-GB"/>
        </w:rPr>
        <w:t xml:space="preserve"> </w:t>
      </w:r>
      <w:r>
        <w:rPr>
          <w:rFonts w:eastAsia="Calibri"/>
          <w:lang w:val="en-GB"/>
        </w:rPr>
        <w:t>biscuits, confectionery, namkeen</w:t>
      </w:r>
      <w:r w:rsidRPr="000176CC">
        <w:rPr>
          <w:rFonts w:eastAsia="Calibri"/>
          <w:lang w:val="en-GB"/>
        </w:rPr>
        <w:t xml:space="preserve">, </w:t>
      </w:r>
      <w:r>
        <w:rPr>
          <w:rFonts w:eastAsia="Calibri"/>
          <w:lang w:val="en-GB"/>
        </w:rPr>
        <w:t>rusk,</w:t>
      </w:r>
      <w:r w:rsidRPr="000176CC">
        <w:rPr>
          <w:rFonts w:eastAsia="Calibri"/>
          <w:lang w:val="en-GB"/>
        </w:rPr>
        <w:t xml:space="preserve"> and </w:t>
      </w:r>
      <w:r>
        <w:rPr>
          <w:rFonts w:eastAsia="Calibri"/>
          <w:lang w:val="en-GB"/>
        </w:rPr>
        <w:t>pulses</w:t>
      </w:r>
      <w:r w:rsidRPr="000176CC">
        <w:rPr>
          <w:rStyle w:val="EndnoteReference"/>
          <w:rFonts w:eastAsia="Calibri"/>
          <w:lang w:val="en-GB"/>
        </w:rPr>
        <w:endnoteReference w:id="21"/>
      </w:r>
      <w:r w:rsidRPr="000176CC">
        <w:rPr>
          <w:rFonts w:eastAsia="Calibri"/>
          <w:lang w:val="en-GB"/>
        </w:rPr>
        <w:t xml:space="preserve"> (</w:t>
      </w:r>
      <w:r>
        <w:rPr>
          <w:rFonts w:eastAsia="Calibri"/>
          <w:lang w:val="en-GB"/>
        </w:rPr>
        <w:t>see</w:t>
      </w:r>
      <w:r w:rsidRPr="000176CC">
        <w:rPr>
          <w:rFonts w:eastAsia="Calibri"/>
          <w:lang w:val="en-GB"/>
        </w:rPr>
        <w:t xml:space="preserve"> Exhibit 2).</w:t>
      </w:r>
    </w:p>
    <w:p w14:paraId="178D480C" w14:textId="77777777" w:rsidR="00E0759F" w:rsidRPr="000176CC" w:rsidRDefault="00E0759F" w:rsidP="00337DF9">
      <w:pPr>
        <w:pStyle w:val="BodyTextMain"/>
        <w:rPr>
          <w:rFonts w:eastAsia="Calibri"/>
          <w:b/>
          <w:bCs/>
          <w:i/>
          <w:iCs/>
          <w:lang w:val="en-GB"/>
        </w:rPr>
      </w:pPr>
    </w:p>
    <w:p w14:paraId="5EB0933A" w14:textId="075E612C" w:rsidR="00E0759F" w:rsidRPr="000176CC" w:rsidRDefault="00E0759F" w:rsidP="00337DF9">
      <w:pPr>
        <w:pStyle w:val="Casehead2"/>
        <w:rPr>
          <w:rFonts w:eastAsia="Calibri"/>
          <w:lang w:val="en-GB"/>
        </w:rPr>
      </w:pPr>
      <w:r w:rsidRPr="000176CC">
        <w:rPr>
          <w:rFonts w:eastAsia="Calibri"/>
          <w:lang w:val="en-GB"/>
        </w:rPr>
        <w:t xml:space="preserve">Biscuits </w:t>
      </w:r>
    </w:p>
    <w:p w14:paraId="253EB9ED" w14:textId="77777777" w:rsidR="00E0759F" w:rsidRPr="000176CC" w:rsidRDefault="00E0759F" w:rsidP="0045532B">
      <w:pPr>
        <w:pStyle w:val="BodyTextMain"/>
        <w:rPr>
          <w:rFonts w:eastAsia="Calibri"/>
          <w:lang w:val="en-GB"/>
        </w:rPr>
      </w:pPr>
    </w:p>
    <w:p w14:paraId="432ED4CE" w14:textId="27C821ED" w:rsidR="00E0759F" w:rsidRPr="000176CC" w:rsidRDefault="00E0759F" w:rsidP="0045532B">
      <w:pPr>
        <w:pStyle w:val="BodyTextMain"/>
        <w:rPr>
          <w:rFonts w:eastAsia="Calibri"/>
          <w:vertAlign w:val="superscript"/>
          <w:lang w:val="en-GB"/>
        </w:rPr>
      </w:pPr>
      <w:r w:rsidRPr="000176CC">
        <w:rPr>
          <w:rFonts w:eastAsia="Calibri"/>
          <w:lang w:val="en-GB"/>
        </w:rPr>
        <w:t xml:space="preserve">Parle forayed into the biscuits segment a decade </w:t>
      </w:r>
      <w:r>
        <w:rPr>
          <w:rFonts w:eastAsia="Calibri"/>
          <w:lang w:val="en-GB"/>
        </w:rPr>
        <w:t>after the company’s</w:t>
      </w:r>
      <w:r w:rsidRPr="000176CC">
        <w:rPr>
          <w:rFonts w:eastAsia="Calibri"/>
          <w:lang w:val="en-GB"/>
        </w:rPr>
        <w:t xml:space="preserve"> establishment. It baked its first biscuit </w:t>
      </w:r>
      <w:r>
        <w:rPr>
          <w:rFonts w:eastAsia="Calibri"/>
          <w:lang w:val="en-GB"/>
        </w:rPr>
        <w:t xml:space="preserve">in 1938, </w:t>
      </w:r>
      <w:r w:rsidRPr="000176CC">
        <w:rPr>
          <w:rFonts w:eastAsia="Calibri"/>
          <w:lang w:val="en-GB"/>
        </w:rPr>
        <w:t>with wheat, milk</w:t>
      </w:r>
      <w:r>
        <w:rPr>
          <w:rFonts w:eastAsia="Calibri"/>
          <w:lang w:val="en-GB"/>
        </w:rPr>
        <w:t>,</w:t>
      </w:r>
      <w:r w:rsidRPr="000176CC">
        <w:rPr>
          <w:rFonts w:eastAsia="Calibri"/>
          <w:lang w:val="en-GB"/>
        </w:rPr>
        <w:t xml:space="preserve"> and sugar as its primary ingredients.</w:t>
      </w:r>
      <w:r w:rsidRPr="000176CC">
        <w:rPr>
          <w:rFonts w:eastAsia="Calibri"/>
          <w:vertAlign w:val="superscript"/>
          <w:lang w:val="en-GB"/>
        </w:rPr>
        <w:endnoteReference w:id="22"/>
      </w:r>
      <w:r w:rsidRPr="000176CC">
        <w:rPr>
          <w:rFonts w:eastAsia="Calibri"/>
          <w:lang w:val="en-GB"/>
        </w:rPr>
        <w:t xml:space="preserve"> This biscuit was named </w:t>
      </w:r>
      <w:r>
        <w:rPr>
          <w:rFonts w:eastAsia="Calibri"/>
          <w:lang w:val="en-GB"/>
        </w:rPr>
        <w:t>“</w:t>
      </w:r>
      <w:r w:rsidRPr="000176CC">
        <w:rPr>
          <w:rFonts w:eastAsia="Calibri"/>
          <w:lang w:val="en-GB"/>
        </w:rPr>
        <w:t>Parle-Gluco</w:t>
      </w:r>
      <w:r>
        <w:rPr>
          <w:rFonts w:eastAsia="Calibri"/>
          <w:lang w:val="en-GB"/>
        </w:rPr>
        <w:t>”</w:t>
      </w:r>
      <w:r w:rsidRPr="000176CC">
        <w:rPr>
          <w:rFonts w:eastAsia="Calibri"/>
          <w:lang w:val="en-GB"/>
        </w:rPr>
        <w:t xml:space="preserve"> (Parle-G). Its unique taste helped it gain worldwide popularity, which led to it being branded as the world’s largest selling biscuit in 2011 by Nielsen.</w:t>
      </w:r>
      <w:r w:rsidRPr="000176CC">
        <w:rPr>
          <w:rFonts w:eastAsia="Calibri"/>
          <w:vertAlign w:val="superscript"/>
          <w:lang w:val="en-GB"/>
        </w:rPr>
        <w:endnoteReference w:id="23"/>
      </w:r>
      <w:r w:rsidRPr="000176CC">
        <w:rPr>
          <w:rFonts w:eastAsia="Calibri"/>
          <w:lang w:val="en-GB"/>
        </w:rPr>
        <w:t xml:space="preserve"> Since its foray </w:t>
      </w:r>
      <w:r>
        <w:rPr>
          <w:rFonts w:eastAsia="Calibri"/>
          <w:lang w:val="en-GB"/>
        </w:rPr>
        <w:t>into</w:t>
      </w:r>
      <w:r w:rsidRPr="000176CC">
        <w:rPr>
          <w:rFonts w:eastAsia="Calibri"/>
          <w:lang w:val="en-GB"/>
        </w:rPr>
        <w:t xml:space="preserve"> the biscuit segment, Parle had come up with </w:t>
      </w:r>
      <w:r>
        <w:rPr>
          <w:rFonts w:eastAsia="Calibri"/>
          <w:lang w:val="en-GB"/>
        </w:rPr>
        <w:t xml:space="preserve">an </w:t>
      </w:r>
      <w:r w:rsidRPr="000176CC">
        <w:rPr>
          <w:rFonts w:eastAsia="Calibri"/>
          <w:lang w:val="en-GB"/>
        </w:rPr>
        <w:t xml:space="preserve">extensive range of biscuits with </w:t>
      </w:r>
      <w:r>
        <w:rPr>
          <w:rFonts w:eastAsia="Calibri"/>
          <w:lang w:val="en-GB"/>
        </w:rPr>
        <w:t xml:space="preserve">a </w:t>
      </w:r>
      <w:r w:rsidRPr="000176CC">
        <w:rPr>
          <w:rFonts w:eastAsia="Calibri"/>
          <w:lang w:val="en-GB"/>
        </w:rPr>
        <w:t xml:space="preserve">wide range of </w:t>
      </w:r>
      <w:r>
        <w:rPr>
          <w:rFonts w:eastAsia="Calibri"/>
          <w:lang w:val="en-GB"/>
        </w:rPr>
        <w:t>tastes</w:t>
      </w:r>
      <w:r w:rsidRPr="000176CC">
        <w:rPr>
          <w:rFonts w:eastAsia="Calibri"/>
          <w:lang w:val="en-GB"/>
        </w:rPr>
        <w:t xml:space="preserve"> and flavours. The range included Monaco biscuits</w:t>
      </w:r>
      <w:r w:rsidR="00DF4815">
        <w:rPr>
          <w:rFonts w:eastAsia="Calibri"/>
          <w:lang w:val="en-GB"/>
        </w:rPr>
        <w:t>,</w:t>
      </w:r>
      <w:r w:rsidRPr="000176CC">
        <w:rPr>
          <w:rFonts w:eastAsia="Calibri"/>
          <w:lang w:val="en-GB"/>
        </w:rPr>
        <w:t xml:space="preserve"> India’s first salted crackers</w:t>
      </w:r>
      <w:r w:rsidR="00BC4375">
        <w:rPr>
          <w:rFonts w:eastAsia="Calibri"/>
          <w:lang w:val="en-GB"/>
        </w:rPr>
        <w:t>,</w:t>
      </w:r>
      <w:r w:rsidR="00A65FE5">
        <w:rPr>
          <w:rFonts w:eastAsia="Calibri"/>
          <w:lang w:val="en-GB"/>
        </w:rPr>
        <w:t xml:space="preserve"> </w:t>
      </w:r>
      <w:r w:rsidR="00BC4375">
        <w:rPr>
          <w:rFonts w:eastAsia="Calibri"/>
          <w:lang w:val="en-GB"/>
        </w:rPr>
        <w:t xml:space="preserve">which </w:t>
      </w:r>
      <w:r w:rsidR="00A65FE5">
        <w:rPr>
          <w:rFonts w:eastAsia="Calibri"/>
          <w:lang w:val="en-GB"/>
        </w:rPr>
        <w:t>includ</w:t>
      </w:r>
      <w:r w:rsidR="00BC4375">
        <w:rPr>
          <w:rFonts w:eastAsia="Calibri"/>
          <w:lang w:val="en-GB"/>
        </w:rPr>
        <w:t>ed</w:t>
      </w:r>
      <w:r w:rsidR="00A65FE5">
        <w:rPr>
          <w:rFonts w:eastAsia="Calibri"/>
          <w:lang w:val="en-GB"/>
        </w:rPr>
        <w:t xml:space="preserve"> </w:t>
      </w:r>
      <w:proofErr w:type="spellStart"/>
      <w:r w:rsidRPr="000617CD">
        <w:rPr>
          <w:rFonts w:eastAsia="Calibri"/>
        </w:rPr>
        <w:t>Cheeslings</w:t>
      </w:r>
      <w:proofErr w:type="spellEnd"/>
      <w:r w:rsidRPr="000617CD">
        <w:rPr>
          <w:rFonts w:eastAsia="Calibri"/>
        </w:rPr>
        <w:t xml:space="preserve"> (cheese snacks) </w:t>
      </w:r>
      <w:r w:rsidR="00E16564" w:rsidRPr="000617CD">
        <w:rPr>
          <w:rFonts w:eastAsia="Calibri"/>
        </w:rPr>
        <w:t xml:space="preserve">and </w:t>
      </w:r>
      <w:proofErr w:type="spellStart"/>
      <w:r w:rsidRPr="000617CD">
        <w:rPr>
          <w:rFonts w:eastAsia="Calibri"/>
        </w:rPr>
        <w:t>Jeffs</w:t>
      </w:r>
      <w:proofErr w:type="spellEnd"/>
      <w:r w:rsidRPr="000617CD">
        <w:rPr>
          <w:rFonts w:eastAsia="Calibri"/>
        </w:rPr>
        <w:t xml:space="preserve"> (cumin biscuits</w:t>
      </w:r>
      <w:r w:rsidR="00A65FE5" w:rsidRPr="000617CD">
        <w:rPr>
          <w:rFonts w:eastAsia="Calibri"/>
        </w:rPr>
        <w:t xml:space="preserve">); </w:t>
      </w:r>
      <w:proofErr w:type="spellStart"/>
      <w:r w:rsidRPr="000617CD">
        <w:rPr>
          <w:rFonts w:eastAsia="Calibri"/>
        </w:rPr>
        <w:t>Krackjack</w:t>
      </w:r>
      <w:proofErr w:type="spellEnd"/>
      <w:r w:rsidRPr="000617CD">
        <w:rPr>
          <w:rFonts w:eastAsia="Calibri"/>
        </w:rPr>
        <w:t xml:space="preserve"> (sweet and salty biscuits</w:t>
      </w:r>
      <w:r w:rsidR="00E16564" w:rsidRPr="000617CD">
        <w:rPr>
          <w:rFonts w:eastAsia="Calibri"/>
        </w:rPr>
        <w:t xml:space="preserve">); </w:t>
      </w:r>
      <w:r w:rsidRPr="000617CD">
        <w:rPr>
          <w:rFonts w:eastAsia="Calibri"/>
        </w:rPr>
        <w:t>Hide &amp; Seek (chocolate chip biscuits</w:t>
      </w:r>
      <w:r w:rsidR="00E16564" w:rsidRPr="000617CD">
        <w:rPr>
          <w:rFonts w:eastAsia="Calibri"/>
        </w:rPr>
        <w:t xml:space="preserve">); </w:t>
      </w:r>
      <w:r w:rsidRPr="000617CD">
        <w:rPr>
          <w:rFonts w:eastAsia="Calibri"/>
        </w:rPr>
        <w:t>Fab! (cream biscuits</w:t>
      </w:r>
      <w:r w:rsidR="00E16564" w:rsidRPr="000617CD">
        <w:rPr>
          <w:rFonts w:eastAsia="Calibri"/>
        </w:rPr>
        <w:t xml:space="preserve">); </w:t>
      </w:r>
      <w:proofErr w:type="spellStart"/>
      <w:r w:rsidRPr="000617CD">
        <w:rPr>
          <w:rFonts w:eastAsia="Calibri"/>
        </w:rPr>
        <w:t>Magix</w:t>
      </w:r>
      <w:proofErr w:type="spellEnd"/>
      <w:r w:rsidRPr="000617CD">
        <w:rPr>
          <w:rFonts w:eastAsia="Calibri"/>
        </w:rPr>
        <w:t xml:space="preserve"> (cream biscuits)</w:t>
      </w:r>
      <w:r w:rsidR="00E16564" w:rsidRPr="000617CD">
        <w:rPr>
          <w:rFonts w:eastAsia="Calibri"/>
        </w:rPr>
        <w:t>;</w:t>
      </w:r>
      <w:r w:rsidRPr="000617CD">
        <w:rPr>
          <w:rFonts w:eastAsia="Calibri"/>
        </w:rPr>
        <w:t xml:space="preserve"> 20-20 (cashew, butter, and cumin biscuits)</w:t>
      </w:r>
      <w:r w:rsidR="00E16564" w:rsidRPr="000617CD">
        <w:rPr>
          <w:rFonts w:eastAsia="Calibri"/>
        </w:rPr>
        <w:t>;</w:t>
      </w:r>
      <w:r w:rsidRPr="000617CD">
        <w:rPr>
          <w:rFonts w:eastAsia="Calibri"/>
        </w:rPr>
        <w:t xml:space="preserve"> Milano (chocolate cookies)</w:t>
      </w:r>
      <w:r w:rsidR="00E16564" w:rsidRPr="000617CD">
        <w:rPr>
          <w:rFonts w:eastAsia="Calibri"/>
        </w:rPr>
        <w:t>;</w:t>
      </w:r>
      <w:r w:rsidRPr="000617CD">
        <w:rPr>
          <w:rFonts w:eastAsia="Calibri"/>
        </w:rPr>
        <w:t xml:space="preserve"> Happy-Happy (cookies </w:t>
      </w:r>
      <w:r w:rsidR="00B43D91" w:rsidRPr="000617CD">
        <w:rPr>
          <w:rFonts w:eastAsia="Calibri"/>
        </w:rPr>
        <w:t xml:space="preserve">topped </w:t>
      </w:r>
      <w:r w:rsidRPr="000617CD">
        <w:rPr>
          <w:rFonts w:eastAsia="Calibri"/>
        </w:rPr>
        <w:t>with choco</w:t>
      </w:r>
      <w:r w:rsidR="00E16564" w:rsidRPr="000617CD">
        <w:rPr>
          <w:rFonts w:eastAsia="Calibri"/>
        </w:rPr>
        <w:t>late</w:t>
      </w:r>
      <w:r w:rsidRPr="000617CD">
        <w:rPr>
          <w:rFonts w:eastAsia="Calibri"/>
        </w:rPr>
        <w:t>-chips</w:t>
      </w:r>
      <w:r w:rsidR="00E16564" w:rsidRPr="000617CD">
        <w:rPr>
          <w:rFonts w:eastAsia="Calibri"/>
        </w:rPr>
        <w:t xml:space="preserve">); </w:t>
      </w:r>
      <w:proofErr w:type="spellStart"/>
      <w:r w:rsidRPr="000617CD">
        <w:rPr>
          <w:rFonts w:eastAsia="Calibri"/>
        </w:rPr>
        <w:t>Nutricrunch</w:t>
      </w:r>
      <w:proofErr w:type="spellEnd"/>
      <w:r w:rsidRPr="000617CD">
        <w:rPr>
          <w:rFonts w:eastAsia="Calibri"/>
        </w:rPr>
        <w:t xml:space="preserve"> (digestive biscuits</w:t>
      </w:r>
      <w:r w:rsidR="00E16564" w:rsidRPr="000617CD">
        <w:rPr>
          <w:rFonts w:eastAsia="Calibri"/>
        </w:rPr>
        <w:t xml:space="preserve">); </w:t>
      </w:r>
      <w:proofErr w:type="spellStart"/>
      <w:r w:rsidRPr="000617CD">
        <w:rPr>
          <w:rFonts w:eastAsia="Calibri"/>
        </w:rPr>
        <w:t>BakeSmith</w:t>
      </w:r>
      <w:proofErr w:type="spellEnd"/>
      <w:r w:rsidRPr="000617CD">
        <w:rPr>
          <w:rFonts w:eastAsia="Calibri"/>
        </w:rPr>
        <w:t xml:space="preserve"> (Marie biscuits</w:t>
      </w:r>
      <w:r w:rsidR="00E16564" w:rsidRPr="000617CD">
        <w:rPr>
          <w:rFonts w:eastAsia="Calibri"/>
        </w:rPr>
        <w:t xml:space="preserve">); </w:t>
      </w:r>
      <w:r w:rsidRPr="000617CD">
        <w:rPr>
          <w:rFonts w:eastAsia="Calibri"/>
        </w:rPr>
        <w:t>and Top (crispy crackers).</w:t>
      </w:r>
      <w:r w:rsidRPr="000617CD">
        <w:rPr>
          <w:rFonts w:eastAsia="Calibri"/>
          <w:vertAlign w:val="superscript"/>
        </w:rPr>
        <w:endnoteReference w:id="24"/>
      </w:r>
      <w:r w:rsidRPr="000617CD">
        <w:rPr>
          <w:rFonts w:eastAsia="Calibri"/>
        </w:rPr>
        <w:t xml:space="preserve"> Until 2015, when Britannia took the lead, Parle had remained a top biscuit manufacturer. Parle catered to both domestic and international biscuit markets, exporting to over 40</w:t>
      </w:r>
      <w:r w:rsidRPr="000176CC">
        <w:rPr>
          <w:rFonts w:eastAsia="Calibri"/>
          <w:shd w:val="clear" w:color="auto" w:fill="FFFFFF"/>
          <w:lang w:val="en-GB"/>
        </w:rPr>
        <w:t xml:space="preserve"> countries.</w:t>
      </w:r>
      <w:r w:rsidRPr="000176CC">
        <w:rPr>
          <w:rFonts w:eastAsia="Calibri"/>
          <w:shd w:val="clear" w:color="auto" w:fill="FFFFFF"/>
          <w:vertAlign w:val="superscript"/>
          <w:lang w:val="en-GB"/>
        </w:rPr>
        <w:endnoteReference w:id="25"/>
      </w:r>
      <w:r w:rsidRPr="000176CC">
        <w:rPr>
          <w:rFonts w:eastAsia="Calibri"/>
          <w:shd w:val="clear" w:color="auto" w:fill="FFFFFF"/>
          <w:lang w:val="en-GB"/>
        </w:rPr>
        <w:t xml:space="preserve"> </w:t>
      </w:r>
      <w:r w:rsidRPr="000176CC">
        <w:rPr>
          <w:rFonts w:eastAsia="Calibri"/>
          <w:lang w:val="en-GB"/>
        </w:rPr>
        <w:t>In 2017, 85</w:t>
      </w:r>
      <w:r>
        <w:rPr>
          <w:rFonts w:eastAsia="Calibri"/>
          <w:lang w:val="en-GB"/>
        </w:rPr>
        <w:t xml:space="preserve"> per cent</w:t>
      </w:r>
      <w:r w:rsidRPr="000176CC">
        <w:rPr>
          <w:rFonts w:eastAsia="Calibri"/>
          <w:lang w:val="en-GB"/>
        </w:rPr>
        <w:t xml:space="preserve"> of Parle’s revenue came from </w:t>
      </w:r>
      <w:r>
        <w:rPr>
          <w:rFonts w:eastAsia="Calibri"/>
          <w:lang w:val="en-GB"/>
        </w:rPr>
        <w:t xml:space="preserve">the </w:t>
      </w:r>
      <w:r w:rsidRPr="000176CC">
        <w:rPr>
          <w:rFonts w:eastAsia="Calibri"/>
          <w:lang w:val="en-GB"/>
        </w:rPr>
        <w:t>biscuit segment.</w:t>
      </w:r>
      <w:r w:rsidRPr="000176CC">
        <w:rPr>
          <w:rFonts w:eastAsia="Calibri"/>
          <w:vertAlign w:val="superscript"/>
          <w:lang w:val="en-GB"/>
        </w:rPr>
        <w:endnoteReference w:id="26"/>
      </w:r>
    </w:p>
    <w:p w14:paraId="1C7FD5F9" w14:textId="77777777" w:rsidR="00E0759F" w:rsidRPr="000176CC" w:rsidRDefault="00E0759F" w:rsidP="0045532B">
      <w:pPr>
        <w:pStyle w:val="BodyTextMain"/>
        <w:rPr>
          <w:rFonts w:eastAsia="Calibri"/>
          <w:lang w:val="en-GB"/>
        </w:rPr>
      </w:pPr>
    </w:p>
    <w:p w14:paraId="4609578A" w14:textId="43CA534B" w:rsidR="00C63B9D" w:rsidRDefault="00E0759F" w:rsidP="00337DF9">
      <w:pPr>
        <w:pStyle w:val="BodyTextMain"/>
        <w:rPr>
          <w:rFonts w:eastAsia="Calibri"/>
          <w:lang w:val="en-GB"/>
        </w:rPr>
      </w:pPr>
      <w:r w:rsidRPr="000176CC">
        <w:rPr>
          <w:rFonts w:eastAsia="Calibri"/>
          <w:lang w:val="en-GB"/>
        </w:rPr>
        <w:t xml:space="preserve">Of its </w:t>
      </w:r>
      <w:r>
        <w:rPr>
          <w:rFonts w:eastAsia="Calibri"/>
          <w:lang w:val="en-GB"/>
        </w:rPr>
        <w:t>mass-market</w:t>
      </w:r>
      <w:r w:rsidRPr="000176CC">
        <w:rPr>
          <w:rFonts w:eastAsia="Calibri"/>
          <w:lang w:val="en-GB"/>
        </w:rPr>
        <w:t xml:space="preserve"> biscuit category, consisting of Parle-G, Parle Marie, </w:t>
      </w:r>
      <w:r>
        <w:rPr>
          <w:rFonts w:eastAsia="Calibri"/>
          <w:lang w:val="en-GB"/>
        </w:rPr>
        <w:t>Krackjack,</w:t>
      </w:r>
      <w:r w:rsidRPr="000176CC">
        <w:rPr>
          <w:rFonts w:eastAsia="Calibri"/>
          <w:lang w:val="en-GB"/>
        </w:rPr>
        <w:t xml:space="preserve"> and Monaco, the company derived a large share of its revenue from Parle-G. Since </w:t>
      </w:r>
      <w:r w:rsidR="00407B67">
        <w:rPr>
          <w:rFonts w:eastAsia="Calibri"/>
          <w:lang w:val="en-GB"/>
        </w:rPr>
        <w:t xml:space="preserve">the introduction of </w:t>
      </w:r>
      <w:proofErr w:type="spellStart"/>
      <w:r>
        <w:rPr>
          <w:rFonts w:eastAsia="Calibri"/>
          <w:lang w:val="en-GB"/>
        </w:rPr>
        <w:t>Par</w:t>
      </w:r>
      <w:r w:rsidR="00834D3A">
        <w:rPr>
          <w:rFonts w:eastAsia="Calibri"/>
          <w:lang w:val="en-GB"/>
        </w:rPr>
        <w:t>l</w:t>
      </w:r>
      <w:r>
        <w:rPr>
          <w:rFonts w:eastAsia="Calibri"/>
          <w:lang w:val="en-GB"/>
        </w:rPr>
        <w:t>e</w:t>
      </w:r>
      <w:proofErr w:type="spellEnd"/>
      <w:r>
        <w:rPr>
          <w:rFonts w:eastAsia="Calibri"/>
          <w:lang w:val="en-GB"/>
        </w:rPr>
        <w:t>-G</w:t>
      </w:r>
      <w:r w:rsidR="00407B67">
        <w:rPr>
          <w:rFonts w:eastAsia="Calibri"/>
          <w:lang w:val="en-GB"/>
        </w:rPr>
        <w:t xml:space="preserve"> in the</w:t>
      </w:r>
      <w:r>
        <w:rPr>
          <w:rFonts w:eastAsia="Calibri"/>
          <w:lang w:val="en-GB"/>
        </w:rPr>
        <w:t xml:space="preserve"> market,</w:t>
      </w:r>
      <w:r w:rsidRPr="000176CC">
        <w:rPr>
          <w:rFonts w:eastAsia="Calibri"/>
          <w:lang w:val="en-GB"/>
        </w:rPr>
        <w:t xml:space="preserve"> the company had kept its price at the entry level. Parle-G had</w:t>
      </w:r>
      <w:r>
        <w:rPr>
          <w:rFonts w:eastAsia="Calibri"/>
          <w:lang w:val="en-GB"/>
        </w:rPr>
        <w:t xml:space="preserve"> </w:t>
      </w:r>
      <w:r w:rsidRPr="000176CC">
        <w:rPr>
          <w:rFonts w:eastAsia="Calibri"/>
          <w:lang w:val="en-GB"/>
        </w:rPr>
        <w:t>mass appeal</w:t>
      </w:r>
      <w:r>
        <w:rPr>
          <w:rFonts w:eastAsia="Calibri"/>
          <w:lang w:val="en-GB"/>
        </w:rPr>
        <w:t>, as emphasized by Shah:</w:t>
      </w:r>
      <w:r w:rsidRPr="000176CC">
        <w:rPr>
          <w:rFonts w:eastAsia="Calibri"/>
          <w:lang w:val="en-GB"/>
        </w:rPr>
        <w:t xml:space="preserve"> “Parle-G for us is not a biscuit, and not just for us but for our consumers. For them, it’s more like a staple, because of the way it is consumed. It’s a habit. Parle-G with </w:t>
      </w:r>
      <w:r w:rsidRPr="000176CC">
        <w:rPr>
          <w:rFonts w:eastAsia="Calibri"/>
          <w:i/>
          <w:iCs/>
          <w:lang w:val="en-GB"/>
        </w:rPr>
        <w:t>chai</w:t>
      </w:r>
      <w:r w:rsidRPr="000176CC">
        <w:rPr>
          <w:rFonts w:eastAsia="Calibri"/>
          <w:iCs/>
          <w:lang w:val="en-GB"/>
        </w:rPr>
        <w:t xml:space="preserve"> (tea)</w:t>
      </w:r>
      <w:r w:rsidRPr="000176CC">
        <w:rPr>
          <w:rFonts w:eastAsia="Calibri"/>
          <w:i/>
          <w:iCs/>
          <w:lang w:val="en-GB"/>
        </w:rPr>
        <w:t>,</w:t>
      </w:r>
      <w:r w:rsidRPr="000176CC">
        <w:rPr>
          <w:rFonts w:eastAsia="Calibri"/>
          <w:lang w:val="en-GB"/>
        </w:rPr>
        <w:t xml:space="preserve"> or milk for kids, or with a coffee.”</w:t>
      </w:r>
      <w:r w:rsidRPr="000176CC">
        <w:rPr>
          <w:rFonts w:eastAsia="Calibri"/>
          <w:vertAlign w:val="superscript"/>
          <w:lang w:val="en-GB"/>
        </w:rPr>
        <w:endnoteReference w:id="27"/>
      </w:r>
      <w:r w:rsidRPr="000176CC">
        <w:rPr>
          <w:rFonts w:eastAsia="Calibri"/>
          <w:lang w:val="en-GB"/>
        </w:rPr>
        <w:t xml:space="preserve"> Parle-G had 75 to 80</w:t>
      </w:r>
      <w:r>
        <w:rPr>
          <w:rFonts w:eastAsia="Calibri"/>
          <w:lang w:val="en-GB"/>
        </w:rPr>
        <w:t xml:space="preserve"> per cent</w:t>
      </w:r>
      <w:r w:rsidRPr="000176CC">
        <w:rPr>
          <w:rFonts w:eastAsia="Calibri"/>
          <w:lang w:val="en-GB"/>
        </w:rPr>
        <w:t xml:space="preserve"> share in </w:t>
      </w:r>
      <w:r>
        <w:rPr>
          <w:rFonts w:eastAsia="Calibri"/>
          <w:lang w:val="en-GB"/>
        </w:rPr>
        <w:t>the glucose</w:t>
      </w:r>
      <w:r w:rsidRPr="000176CC">
        <w:rPr>
          <w:rFonts w:eastAsia="Calibri"/>
          <w:lang w:val="en-GB"/>
        </w:rPr>
        <w:t xml:space="preserve"> biscuit market, while it accounted for 20</w:t>
      </w:r>
      <w:r>
        <w:rPr>
          <w:rFonts w:eastAsia="Calibri"/>
          <w:lang w:val="en-GB"/>
        </w:rPr>
        <w:t xml:space="preserve"> per cent</w:t>
      </w:r>
      <w:r w:rsidRPr="000176CC">
        <w:rPr>
          <w:rFonts w:eastAsia="Calibri"/>
          <w:lang w:val="en-GB"/>
        </w:rPr>
        <w:t xml:space="preserve"> of the overall </w:t>
      </w:r>
      <w:r w:rsidRPr="000176CC">
        <w:rPr>
          <w:rFonts w:ascii="Tahoma" w:eastAsia="Calibri" w:hAnsi="Tahoma" w:cs="Tahoma"/>
          <w:lang w:val="en-GB"/>
        </w:rPr>
        <w:t>₹</w:t>
      </w:r>
      <w:r w:rsidRPr="000176CC">
        <w:rPr>
          <w:rFonts w:eastAsia="Calibri"/>
          <w:lang w:val="en-GB"/>
        </w:rPr>
        <w:t>250 billion biscuit market in India.</w:t>
      </w:r>
      <w:r w:rsidRPr="000176CC">
        <w:rPr>
          <w:rFonts w:eastAsia="Calibri"/>
          <w:vertAlign w:val="superscript"/>
          <w:lang w:val="en-GB"/>
        </w:rPr>
        <w:endnoteReference w:id="28"/>
      </w:r>
      <w:r w:rsidRPr="000176CC">
        <w:rPr>
          <w:rFonts w:eastAsia="Calibri"/>
          <w:lang w:val="en-GB"/>
        </w:rPr>
        <w:t xml:space="preserve"> </w:t>
      </w:r>
      <w:r>
        <w:rPr>
          <w:rFonts w:eastAsia="Calibri"/>
          <w:lang w:val="en-GB"/>
        </w:rPr>
        <w:t>Although the</w:t>
      </w:r>
      <w:r w:rsidRPr="000176CC">
        <w:rPr>
          <w:rFonts w:eastAsia="Calibri"/>
          <w:lang w:val="en-GB"/>
        </w:rPr>
        <w:t xml:space="preserve"> adult Indian population had </w:t>
      </w:r>
      <w:r>
        <w:rPr>
          <w:rFonts w:eastAsia="Calibri"/>
          <w:lang w:val="en-GB"/>
        </w:rPr>
        <w:t xml:space="preserve">largely </w:t>
      </w:r>
      <w:r w:rsidRPr="000176CC">
        <w:rPr>
          <w:rFonts w:eastAsia="Calibri"/>
          <w:lang w:val="en-GB"/>
        </w:rPr>
        <w:t xml:space="preserve">turned to digestive cookies, children remained the primary </w:t>
      </w:r>
      <w:r>
        <w:rPr>
          <w:rFonts w:eastAsia="Calibri"/>
          <w:lang w:val="en-GB"/>
        </w:rPr>
        <w:t>consumers</w:t>
      </w:r>
      <w:r w:rsidRPr="000176CC">
        <w:rPr>
          <w:rFonts w:eastAsia="Calibri"/>
          <w:lang w:val="en-GB"/>
        </w:rPr>
        <w:t xml:space="preserve"> of Parle-G. </w:t>
      </w:r>
    </w:p>
    <w:p w14:paraId="3BC0FEB7" w14:textId="77777777" w:rsidR="00C63B9D" w:rsidRDefault="00C63B9D" w:rsidP="00337DF9">
      <w:pPr>
        <w:pStyle w:val="BodyTextMain"/>
        <w:rPr>
          <w:rFonts w:eastAsia="Calibri"/>
          <w:lang w:val="en-GB"/>
        </w:rPr>
      </w:pPr>
    </w:p>
    <w:p w14:paraId="76A6CDC1" w14:textId="59337522" w:rsidR="00E0759F" w:rsidRPr="000176CC" w:rsidRDefault="00E0759F" w:rsidP="00337DF9">
      <w:pPr>
        <w:pStyle w:val="BodyTextMain"/>
        <w:rPr>
          <w:rFonts w:eastAsia="Calibri"/>
          <w:lang w:val="en-GB"/>
        </w:rPr>
      </w:pPr>
      <w:r w:rsidRPr="000176CC">
        <w:rPr>
          <w:rFonts w:eastAsia="Calibri"/>
          <w:lang w:val="en-GB"/>
        </w:rPr>
        <w:t>Parle-G</w:t>
      </w:r>
      <w:r>
        <w:rPr>
          <w:rFonts w:eastAsia="Calibri"/>
          <w:lang w:val="en-GB"/>
        </w:rPr>
        <w:t>’s share</w:t>
      </w:r>
      <w:r w:rsidRPr="000176CC">
        <w:rPr>
          <w:rFonts w:eastAsia="Calibri"/>
          <w:lang w:val="en-GB"/>
        </w:rPr>
        <w:t xml:space="preserve"> in the total revenue of the company had fallen from 66</w:t>
      </w:r>
      <w:r>
        <w:rPr>
          <w:rFonts w:eastAsia="Calibri"/>
          <w:lang w:val="en-GB"/>
        </w:rPr>
        <w:t xml:space="preserve"> per cent</w:t>
      </w:r>
      <w:r w:rsidRPr="000176CC">
        <w:rPr>
          <w:rFonts w:eastAsia="Calibri"/>
          <w:lang w:val="en-GB"/>
        </w:rPr>
        <w:t xml:space="preserve"> </w:t>
      </w:r>
      <w:r w:rsidR="000D37F4">
        <w:rPr>
          <w:rFonts w:eastAsia="Calibri"/>
          <w:lang w:val="en-GB"/>
        </w:rPr>
        <w:t>at</w:t>
      </w:r>
      <w:r w:rsidRPr="000176CC">
        <w:rPr>
          <w:rFonts w:eastAsia="Calibri"/>
          <w:lang w:val="en-GB"/>
        </w:rPr>
        <w:t xml:space="preserve"> its </w:t>
      </w:r>
      <w:r w:rsidR="000D37F4">
        <w:rPr>
          <w:rFonts w:eastAsia="Calibri"/>
          <w:lang w:val="en-GB"/>
        </w:rPr>
        <w:t xml:space="preserve">peak, </w:t>
      </w:r>
      <w:r w:rsidRPr="000176CC">
        <w:rPr>
          <w:rFonts w:eastAsia="Calibri"/>
          <w:lang w:val="en-GB"/>
        </w:rPr>
        <w:t>to nearly 33</w:t>
      </w:r>
      <w:r>
        <w:rPr>
          <w:rFonts w:eastAsia="Calibri"/>
          <w:lang w:val="en-GB"/>
        </w:rPr>
        <w:t xml:space="preserve"> per cent</w:t>
      </w:r>
      <w:r w:rsidRPr="000176CC">
        <w:rPr>
          <w:rFonts w:eastAsia="Calibri"/>
          <w:lang w:val="en-GB"/>
        </w:rPr>
        <w:t xml:space="preserve"> by 2017, </w:t>
      </w:r>
      <w:r>
        <w:rPr>
          <w:rFonts w:eastAsia="Calibri"/>
          <w:lang w:val="en-GB"/>
        </w:rPr>
        <w:t xml:space="preserve">but </w:t>
      </w:r>
      <w:r w:rsidRPr="000176CC">
        <w:rPr>
          <w:rFonts w:eastAsia="Calibri"/>
          <w:lang w:val="en-GB"/>
        </w:rPr>
        <w:t xml:space="preserve">Parle-G remained </w:t>
      </w:r>
      <w:r>
        <w:rPr>
          <w:rFonts w:eastAsia="Calibri"/>
          <w:lang w:val="en-GB"/>
        </w:rPr>
        <w:t>Parle’s</w:t>
      </w:r>
      <w:r w:rsidRPr="000176CC">
        <w:rPr>
          <w:rFonts w:eastAsia="Calibri"/>
          <w:lang w:val="en-GB"/>
        </w:rPr>
        <w:t xml:space="preserve"> flagship and number </w:t>
      </w:r>
      <w:r>
        <w:rPr>
          <w:rFonts w:eastAsia="Calibri"/>
          <w:lang w:val="en-GB"/>
        </w:rPr>
        <w:t>one</w:t>
      </w:r>
      <w:r w:rsidRPr="000176CC">
        <w:rPr>
          <w:rFonts w:eastAsia="Calibri"/>
          <w:lang w:val="en-GB"/>
        </w:rPr>
        <w:t xml:space="preserve"> brand.</w:t>
      </w:r>
      <w:r w:rsidRPr="000176CC">
        <w:rPr>
          <w:rFonts w:eastAsia="Calibri"/>
          <w:vertAlign w:val="superscript"/>
          <w:lang w:val="en-GB"/>
        </w:rPr>
        <w:endnoteReference w:id="29"/>
      </w:r>
      <w:r w:rsidRPr="000176CC">
        <w:rPr>
          <w:rFonts w:eastAsia="Calibri"/>
          <w:lang w:val="en-GB"/>
        </w:rPr>
        <w:t xml:space="preserve"> </w:t>
      </w:r>
      <w:proofErr w:type="spellStart"/>
      <w:r w:rsidRPr="000176CC">
        <w:rPr>
          <w:rFonts w:eastAsia="Calibri"/>
          <w:lang w:val="en-GB"/>
        </w:rPr>
        <w:t>Its</w:t>
      </w:r>
      <w:proofErr w:type="spellEnd"/>
      <w:r w:rsidRPr="000176CC">
        <w:rPr>
          <w:rFonts w:eastAsia="Calibri"/>
          <w:lang w:val="en-GB"/>
        </w:rPr>
        <w:t xml:space="preserve"> simple but </w:t>
      </w:r>
      <w:r w:rsidR="002D3BF9">
        <w:rPr>
          <w:rFonts w:eastAsia="Calibri"/>
          <w:lang w:val="en-GB"/>
        </w:rPr>
        <w:t>captivating</w:t>
      </w:r>
      <w:r w:rsidR="00FB2A79" w:rsidRPr="000176CC">
        <w:rPr>
          <w:rFonts w:eastAsia="Calibri"/>
          <w:lang w:val="en-GB"/>
        </w:rPr>
        <w:t xml:space="preserve"> </w:t>
      </w:r>
      <w:r>
        <w:rPr>
          <w:rFonts w:eastAsia="Calibri"/>
          <w:lang w:val="en-GB"/>
        </w:rPr>
        <w:t>flavour</w:t>
      </w:r>
      <w:r w:rsidR="002928B4">
        <w:rPr>
          <w:rFonts w:eastAsia="Calibri"/>
          <w:lang w:val="en-GB"/>
        </w:rPr>
        <w:t>,</w:t>
      </w:r>
      <w:r w:rsidRPr="000176CC">
        <w:rPr>
          <w:rFonts w:eastAsia="Calibri"/>
          <w:lang w:val="en-GB"/>
        </w:rPr>
        <w:t xml:space="preserve"> </w:t>
      </w:r>
      <w:r>
        <w:rPr>
          <w:rFonts w:eastAsia="Calibri"/>
          <w:lang w:val="en-GB"/>
        </w:rPr>
        <w:t>as well as its</w:t>
      </w:r>
      <w:r w:rsidRPr="000176CC">
        <w:rPr>
          <w:rFonts w:eastAsia="Calibri"/>
          <w:lang w:val="en-GB"/>
        </w:rPr>
        <w:t xml:space="preserve"> </w:t>
      </w:r>
      <w:r w:rsidR="00DB4FD7">
        <w:rPr>
          <w:rFonts w:eastAsia="Calibri"/>
          <w:lang w:val="en-GB"/>
        </w:rPr>
        <w:t>affordable price</w:t>
      </w:r>
      <w:r w:rsidR="002928B4">
        <w:rPr>
          <w:rFonts w:eastAsia="Calibri"/>
          <w:lang w:val="en-GB"/>
        </w:rPr>
        <w:t>,</w:t>
      </w:r>
      <w:r w:rsidR="00DB4FD7" w:rsidRPr="000176CC">
        <w:rPr>
          <w:rFonts w:eastAsia="Calibri"/>
          <w:lang w:val="en-GB"/>
        </w:rPr>
        <w:t xml:space="preserve"> </w:t>
      </w:r>
      <w:r w:rsidRPr="000176CC">
        <w:rPr>
          <w:rFonts w:eastAsia="Calibri"/>
          <w:lang w:val="en-GB"/>
        </w:rPr>
        <w:t xml:space="preserve">were the most important </w:t>
      </w:r>
      <w:r>
        <w:rPr>
          <w:rFonts w:eastAsia="Calibri"/>
          <w:lang w:val="en-GB"/>
        </w:rPr>
        <w:t>reasons</w:t>
      </w:r>
      <w:r w:rsidRPr="000176CC">
        <w:rPr>
          <w:rFonts w:eastAsia="Calibri"/>
          <w:lang w:val="en-GB"/>
        </w:rPr>
        <w:t xml:space="preserve"> for its popularity. Its packaging </w:t>
      </w:r>
      <w:r>
        <w:rPr>
          <w:rFonts w:eastAsia="Calibri"/>
          <w:lang w:val="en-GB"/>
        </w:rPr>
        <w:t>appealed to many</w:t>
      </w:r>
      <w:r w:rsidRPr="000176CC">
        <w:rPr>
          <w:rFonts w:eastAsia="Calibri"/>
          <w:lang w:val="en-GB"/>
        </w:rPr>
        <w:t xml:space="preserve"> different groups</w:t>
      </w:r>
      <w:r>
        <w:rPr>
          <w:rFonts w:eastAsia="Calibri"/>
          <w:lang w:val="en-GB"/>
        </w:rPr>
        <w:t xml:space="preserve"> of people</w:t>
      </w:r>
      <w:r w:rsidRPr="000176CC">
        <w:rPr>
          <w:rFonts w:eastAsia="Calibri"/>
          <w:lang w:val="en-GB"/>
        </w:rPr>
        <w:t>. Parle-G was sold in packages</w:t>
      </w:r>
      <w:r>
        <w:rPr>
          <w:rFonts w:eastAsia="Calibri"/>
          <w:lang w:val="en-GB"/>
        </w:rPr>
        <w:t xml:space="preserve"> ranging </w:t>
      </w:r>
      <w:r w:rsidR="00E16564">
        <w:rPr>
          <w:rFonts w:eastAsia="Calibri"/>
          <w:lang w:val="en-GB"/>
        </w:rPr>
        <w:t xml:space="preserve">from </w:t>
      </w:r>
      <w:r w:rsidR="00E16564" w:rsidRPr="000176CC">
        <w:rPr>
          <w:rFonts w:ascii="Tahoma" w:eastAsia="Calibri" w:hAnsi="Tahoma" w:cs="Tahoma"/>
          <w:lang w:val="en-GB"/>
        </w:rPr>
        <w:t>₹</w:t>
      </w:r>
      <w:r w:rsidRPr="000176CC">
        <w:rPr>
          <w:rFonts w:eastAsia="Calibri"/>
          <w:lang w:val="en-GB"/>
        </w:rPr>
        <w:t xml:space="preserve">2 to </w:t>
      </w:r>
      <w:r w:rsidRPr="000176CC">
        <w:rPr>
          <w:rFonts w:ascii="Tahoma" w:eastAsia="Calibri" w:hAnsi="Tahoma" w:cs="Tahoma"/>
          <w:lang w:val="en-GB"/>
        </w:rPr>
        <w:t>₹</w:t>
      </w:r>
      <w:r w:rsidRPr="000176CC">
        <w:rPr>
          <w:rFonts w:eastAsia="Calibri"/>
          <w:lang w:val="en-GB"/>
        </w:rPr>
        <w:t>60</w:t>
      </w:r>
      <w:r w:rsidR="002928B4">
        <w:rPr>
          <w:rFonts w:eastAsia="Calibri"/>
          <w:lang w:val="en-GB"/>
        </w:rPr>
        <w:t>,</w:t>
      </w:r>
      <w:r w:rsidRPr="000176CC">
        <w:rPr>
          <w:rFonts w:eastAsia="Calibri"/>
          <w:lang w:val="en-GB"/>
        </w:rPr>
        <w:t xml:space="preserve"> so that </w:t>
      </w:r>
      <w:r>
        <w:rPr>
          <w:rFonts w:eastAsia="Calibri"/>
          <w:lang w:val="en-GB"/>
        </w:rPr>
        <w:t xml:space="preserve">even </w:t>
      </w:r>
      <w:r w:rsidRPr="000176CC">
        <w:rPr>
          <w:rFonts w:eastAsia="Calibri"/>
          <w:lang w:val="en-GB"/>
        </w:rPr>
        <w:t xml:space="preserve">the poorest </w:t>
      </w:r>
      <w:r w:rsidR="002928B4">
        <w:rPr>
          <w:rFonts w:eastAsia="Calibri"/>
          <w:lang w:val="en-GB"/>
        </w:rPr>
        <w:t>consumers</w:t>
      </w:r>
      <w:r w:rsidRPr="000176CC">
        <w:rPr>
          <w:rFonts w:eastAsia="Calibri"/>
          <w:lang w:val="en-GB"/>
        </w:rPr>
        <w:t xml:space="preserve"> could afford to </w:t>
      </w:r>
      <w:r>
        <w:rPr>
          <w:rFonts w:eastAsia="Calibri"/>
          <w:lang w:val="en-GB"/>
        </w:rPr>
        <w:t>purchase them</w:t>
      </w:r>
      <w:r w:rsidRPr="000176CC">
        <w:rPr>
          <w:rFonts w:eastAsia="Calibri"/>
          <w:lang w:val="en-GB"/>
        </w:rPr>
        <w:t>.</w:t>
      </w:r>
      <w:r w:rsidRPr="000176CC">
        <w:rPr>
          <w:rFonts w:eastAsia="Calibri"/>
          <w:vertAlign w:val="superscript"/>
          <w:lang w:val="en-GB"/>
        </w:rPr>
        <w:endnoteReference w:id="30"/>
      </w:r>
      <w:r w:rsidRPr="000176CC">
        <w:rPr>
          <w:rFonts w:eastAsia="Calibri"/>
          <w:lang w:val="en-GB"/>
        </w:rPr>
        <w:t xml:space="preserve"> </w:t>
      </w:r>
      <w:proofErr w:type="spellStart"/>
      <w:r w:rsidRPr="000176CC">
        <w:rPr>
          <w:rFonts w:eastAsia="Calibri"/>
          <w:lang w:val="en-GB"/>
        </w:rPr>
        <w:t>Parle</w:t>
      </w:r>
      <w:proofErr w:type="spellEnd"/>
      <w:r w:rsidRPr="000176CC">
        <w:rPr>
          <w:rFonts w:eastAsia="Calibri"/>
          <w:lang w:val="en-GB"/>
        </w:rPr>
        <w:t xml:space="preserve"> had </w:t>
      </w:r>
      <w:r w:rsidR="000D37F4">
        <w:rPr>
          <w:rFonts w:eastAsia="Calibri"/>
          <w:lang w:val="en-GB"/>
        </w:rPr>
        <w:t>more than</w:t>
      </w:r>
      <w:r w:rsidRPr="000176CC">
        <w:rPr>
          <w:rFonts w:eastAsia="Calibri"/>
          <w:lang w:val="en-GB"/>
        </w:rPr>
        <w:t xml:space="preserve"> </w:t>
      </w:r>
      <w:r>
        <w:rPr>
          <w:rFonts w:eastAsia="Calibri"/>
          <w:lang w:val="en-GB"/>
        </w:rPr>
        <w:t xml:space="preserve">1,000 </w:t>
      </w:r>
      <w:r w:rsidRPr="000176CC">
        <w:rPr>
          <w:rFonts w:eastAsia="Calibri"/>
          <w:lang w:val="en-GB"/>
        </w:rPr>
        <w:t>manufacturing units across India.</w:t>
      </w:r>
      <w:r w:rsidRPr="000176CC">
        <w:rPr>
          <w:rFonts w:eastAsia="Calibri"/>
          <w:vertAlign w:val="superscript"/>
          <w:lang w:val="en-GB"/>
        </w:rPr>
        <w:endnoteReference w:id="31"/>
      </w:r>
      <w:r w:rsidRPr="000176CC">
        <w:rPr>
          <w:rFonts w:eastAsia="Calibri"/>
          <w:lang w:val="en-GB"/>
        </w:rPr>
        <w:t xml:space="preserve"> It had the widest distribution network of 7 million outlets</w:t>
      </w:r>
      <w:r>
        <w:rPr>
          <w:rFonts w:eastAsia="Calibri"/>
          <w:lang w:val="en-GB"/>
        </w:rPr>
        <w:t>,</w:t>
      </w:r>
      <w:r w:rsidRPr="000176CC">
        <w:rPr>
          <w:rFonts w:eastAsia="Calibri"/>
          <w:vertAlign w:val="superscript"/>
          <w:lang w:val="en-GB"/>
        </w:rPr>
        <w:endnoteReference w:id="32"/>
      </w:r>
      <w:r w:rsidRPr="000176CC">
        <w:rPr>
          <w:rFonts w:eastAsia="Calibri"/>
          <w:lang w:val="en-GB"/>
        </w:rPr>
        <w:t xml:space="preserve"> through which it could make </w:t>
      </w:r>
      <w:r>
        <w:rPr>
          <w:rFonts w:eastAsia="Calibri"/>
          <w:lang w:val="en-GB"/>
        </w:rPr>
        <w:t>its</w:t>
      </w:r>
      <w:r w:rsidRPr="000176CC">
        <w:rPr>
          <w:rFonts w:eastAsia="Calibri"/>
          <w:lang w:val="en-GB"/>
        </w:rPr>
        <w:t xml:space="preserve"> biscuits </w:t>
      </w:r>
      <w:r>
        <w:rPr>
          <w:rFonts w:eastAsia="Calibri"/>
          <w:lang w:val="en-GB"/>
        </w:rPr>
        <w:t xml:space="preserve">available in </w:t>
      </w:r>
      <w:r w:rsidRPr="000176CC">
        <w:rPr>
          <w:rFonts w:eastAsia="Calibri"/>
          <w:lang w:val="en-GB"/>
        </w:rPr>
        <w:t xml:space="preserve">even </w:t>
      </w:r>
      <w:r>
        <w:rPr>
          <w:rFonts w:eastAsia="Calibri"/>
          <w:lang w:val="en-GB"/>
        </w:rPr>
        <w:t>the</w:t>
      </w:r>
      <w:r w:rsidRPr="000176CC">
        <w:rPr>
          <w:rFonts w:eastAsia="Calibri"/>
          <w:lang w:val="en-GB"/>
        </w:rPr>
        <w:t xml:space="preserve"> smallest </w:t>
      </w:r>
      <w:r>
        <w:rPr>
          <w:rFonts w:eastAsia="Calibri"/>
          <w:lang w:val="en-GB"/>
        </w:rPr>
        <w:t>Indian towns</w:t>
      </w:r>
      <w:r w:rsidRPr="000176CC">
        <w:rPr>
          <w:rFonts w:eastAsia="Calibri"/>
          <w:lang w:val="en-GB"/>
        </w:rPr>
        <w:t xml:space="preserve">. Because of </w:t>
      </w:r>
      <w:r>
        <w:rPr>
          <w:rFonts w:eastAsia="Calibri"/>
          <w:lang w:val="en-GB"/>
        </w:rPr>
        <w:t xml:space="preserve">the </w:t>
      </w:r>
      <w:r w:rsidRPr="000176CC">
        <w:rPr>
          <w:rFonts w:eastAsia="Calibri"/>
          <w:lang w:val="en-GB"/>
        </w:rPr>
        <w:t>huge demand for Parle-G biscuits, the company could enjoy benefits arising from economies of scale.</w:t>
      </w:r>
    </w:p>
    <w:p w14:paraId="6F407F3B" w14:textId="77777777" w:rsidR="00E0759F" w:rsidRPr="000176CC" w:rsidRDefault="00E0759F" w:rsidP="00337DF9">
      <w:pPr>
        <w:pStyle w:val="BodyTextMain"/>
        <w:rPr>
          <w:rFonts w:eastAsia="Calibri"/>
          <w:lang w:val="en-GB"/>
        </w:rPr>
      </w:pPr>
    </w:p>
    <w:p w14:paraId="78306D08" w14:textId="10875DB2" w:rsidR="00E0759F" w:rsidRPr="000176CC" w:rsidRDefault="00E0759F" w:rsidP="00337DF9">
      <w:pPr>
        <w:pStyle w:val="BodyTextMain"/>
        <w:rPr>
          <w:rFonts w:eastAsia="Calibri"/>
          <w:lang w:val="en-GB"/>
        </w:rPr>
      </w:pPr>
      <w:r w:rsidRPr="000176CC">
        <w:rPr>
          <w:rFonts w:eastAsia="Calibri"/>
          <w:spacing w:val="-6"/>
          <w:lang w:val="en-GB"/>
        </w:rPr>
        <w:t xml:space="preserve">Though Parle </w:t>
      </w:r>
      <w:r>
        <w:rPr>
          <w:rFonts w:eastAsia="Calibri"/>
          <w:spacing w:val="-6"/>
          <w:lang w:val="en-GB"/>
        </w:rPr>
        <w:t>offered</w:t>
      </w:r>
      <w:r w:rsidRPr="000176CC">
        <w:rPr>
          <w:rFonts w:eastAsia="Calibri"/>
          <w:spacing w:val="-6"/>
          <w:lang w:val="en-GB"/>
        </w:rPr>
        <w:t xml:space="preserve"> a range of premium and super-premium biscuits, </w:t>
      </w:r>
      <w:r>
        <w:rPr>
          <w:rFonts w:eastAsia="Calibri"/>
          <w:spacing w:val="-6"/>
          <w:lang w:val="en-GB"/>
        </w:rPr>
        <w:t>the company’s</w:t>
      </w:r>
      <w:r w:rsidRPr="000176CC">
        <w:rPr>
          <w:rFonts w:eastAsia="Calibri"/>
          <w:spacing w:val="-6"/>
          <w:lang w:val="en-GB"/>
        </w:rPr>
        <w:t xml:space="preserve"> products were largely associated with </w:t>
      </w:r>
      <w:r>
        <w:rPr>
          <w:rFonts w:eastAsia="Calibri"/>
          <w:spacing w:val="-6"/>
          <w:lang w:val="en-GB"/>
        </w:rPr>
        <w:t>value-led</w:t>
      </w:r>
      <w:r w:rsidRPr="000176CC">
        <w:rPr>
          <w:rFonts w:eastAsia="Calibri"/>
          <w:spacing w:val="-6"/>
          <w:lang w:val="en-GB"/>
        </w:rPr>
        <w:t xml:space="preserve"> offerings and </w:t>
      </w:r>
      <w:r>
        <w:rPr>
          <w:rFonts w:eastAsia="Calibri"/>
          <w:spacing w:val="-6"/>
          <w:lang w:val="en-GB"/>
        </w:rPr>
        <w:t>the</w:t>
      </w:r>
      <w:r w:rsidRPr="000176CC">
        <w:rPr>
          <w:rFonts w:eastAsia="Calibri"/>
          <w:spacing w:val="-6"/>
          <w:lang w:val="en-GB"/>
        </w:rPr>
        <w:t xml:space="preserve"> masses. Expressing these views, B. Krishna Rao, category head </w:t>
      </w:r>
      <w:r>
        <w:rPr>
          <w:rFonts w:eastAsia="Calibri"/>
          <w:spacing w:val="-6"/>
          <w:lang w:val="en-GB"/>
        </w:rPr>
        <w:t>of confectionery and snacks at</w:t>
      </w:r>
      <w:r w:rsidRPr="000176CC">
        <w:rPr>
          <w:rFonts w:eastAsia="Calibri"/>
          <w:spacing w:val="-6"/>
          <w:lang w:val="en-GB"/>
        </w:rPr>
        <w:t xml:space="preserve"> Parle, said, “</w:t>
      </w:r>
      <w:r w:rsidRPr="009502B7">
        <w:rPr>
          <w:rFonts w:eastAsia="Calibri"/>
          <w:spacing w:val="-6"/>
          <w:lang w:val="en-GB"/>
        </w:rPr>
        <w:t>Parle (Products) was largely seen as a Parle G company. People didn’t realise that we have a broad range of premium offerings, such as Milano and Hide &amp; Seek, as well as snacks, confectionery, rusk, cakes and chocolates, which consumers liked and consumed. It is just that they didn’t know that it comes from the company that makes Parle G</w:t>
      </w:r>
      <w:r w:rsidRPr="000176CC">
        <w:rPr>
          <w:rFonts w:eastAsia="Calibri"/>
          <w:lang w:val="en-GB"/>
        </w:rPr>
        <w:t>.”</w:t>
      </w:r>
      <w:r w:rsidRPr="000176CC">
        <w:rPr>
          <w:rFonts w:eastAsia="Calibri"/>
          <w:vertAlign w:val="superscript"/>
          <w:lang w:val="en-GB"/>
        </w:rPr>
        <w:endnoteReference w:id="33"/>
      </w:r>
      <w:r w:rsidRPr="000176CC">
        <w:rPr>
          <w:rFonts w:eastAsia="Calibri"/>
          <w:lang w:val="en-GB"/>
        </w:rPr>
        <w:t xml:space="preserve"> </w:t>
      </w:r>
      <w:r>
        <w:rPr>
          <w:rFonts w:eastAsia="Calibri"/>
          <w:lang w:val="en-GB"/>
        </w:rPr>
        <w:t>Due to the perception of</w:t>
      </w:r>
      <w:r w:rsidRPr="000176CC">
        <w:rPr>
          <w:rFonts w:eastAsia="Calibri"/>
          <w:lang w:val="en-GB"/>
        </w:rPr>
        <w:t xml:space="preserve"> Parle </w:t>
      </w:r>
      <w:r>
        <w:rPr>
          <w:rFonts w:eastAsia="Calibri"/>
          <w:lang w:val="en-GB"/>
        </w:rPr>
        <w:t xml:space="preserve">as mass-market, the company </w:t>
      </w:r>
      <w:r w:rsidRPr="000176CC">
        <w:rPr>
          <w:rFonts w:eastAsia="Calibri"/>
          <w:lang w:val="en-GB"/>
        </w:rPr>
        <w:t xml:space="preserve">could not </w:t>
      </w:r>
      <w:r>
        <w:rPr>
          <w:rFonts w:eastAsia="Calibri"/>
          <w:lang w:val="en-GB"/>
        </w:rPr>
        <w:t>successfully advance</w:t>
      </w:r>
      <w:r w:rsidRPr="000176CC">
        <w:rPr>
          <w:rFonts w:eastAsia="Calibri"/>
          <w:lang w:val="en-GB"/>
        </w:rPr>
        <w:t xml:space="preserve"> in the premium segment. Expressing Parle’s inability to achieve success in this segment, Pravin Kulkarni, </w:t>
      </w:r>
      <w:r>
        <w:rPr>
          <w:rFonts w:eastAsia="Calibri"/>
          <w:lang w:val="en-GB"/>
        </w:rPr>
        <w:t xml:space="preserve">Parle’s </w:t>
      </w:r>
      <w:r w:rsidRPr="000176CC">
        <w:rPr>
          <w:rFonts w:eastAsia="Calibri"/>
          <w:lang w:val="en-GB"/>
        </w:rPr>
        <w:t>ex-general manager</w:t>
      </w:r>
      <w:r>
        <w:rPr>
          <w:rFonts w:eastAsia="Calibri"/>
          <w:lang w:val="en-GB"/>
        </w:rPr>
        <w:t xml:space="preserve"> of</w:t>
      </w:r>
      <w:r w:rsidRPr="000176CC">
        <w:rPr>
          <w:rFonts w:eastAsia="Calibri"/>
          <w:lang w:val="en-GB"/>
        </w:rPr>
        <w:t xml:space="preserve"> marketing, said, “The massy image came in the way of these premium brands. There was resistance from consumers to pay a premium and in some cases, even acceptance was a problem.”</w:t>
      </w:r>
      <w:r w:rsidRPr="000176CC">
        <w:rPr>
          <w:rFonts w:eastAsia="Calibri"/>
          <w:vertAlign w:val="superscript"/>
          <w:lang w:val="en-GB"/>
        </w:rPr>
        <w:endnoteReference w:id="34"/>
      </w:r>
      <w:r w:rsidRPr="000176CC">
        <w:rPr>
          <w:rFonts w:eastAsia="Calibri"/>
          <w:lang w:val="en-GB"/>
        </w:rPr>
        <w:t xml:space="preserve"> </w:t>
      </w:r>
      <w:r>
        <w:rPr>
          <w:rFonts w:eastAsia="Calibri"/>
          <w:lang w:val="en-GB"/>
        </w:rPr>
        <w:t>With such</w:t>
      </w:r>
      <w:r w:rsidRPr="000176CC">
        <w:rPr>
          <w:rFonts w:eastAsia="Calibri"/>
          <w:lang w:val="en-GB"/>
        </w:rPr>
        <w:t xml:space="preserve"> limited success, Parle </w:t>
      </w:r>
      <w:r>
        <w:rPr>
          <w:rFonts w:eastAsia="Calibri"/>
          <w:lang w:val="en-GB"/>
        </w:rPr>
        <w:t xml:space="preserve">had only a </w:t>
      </w:r>
      <w:r w:rsidRPr="000176CC">
        <w:rPr>
          <w:rFonts w:eastAsia="Calibri"/>
          <w:lang w:val="en-GB"/>
        </w:rPr>
        <w:t>15</w:t>
      </w:r>
      <w:r>
        <w:rPr>
          <w:rFonts w:eastAsia="Calibri"/>
          <w:lang w:val="en-GB"/>
        </w:rPr>
        <w:t xml:space="preserve"> per cent</w:t>
      </w:r>
      <w:r w:rsidRPr="000176CC">
        <w:rPr>
          <w:rFonts w:eastAsia="Calibri"/>
          <w:lang w:val="en-GB"/>
        </w:rPr>
        <w:t xml:space="preserve"> market share in </w:t>
      </w:r>
      <w:r>
        <w:rPr>
          <w:rFonts w:eastAsia="Calibri"/>
          <w:lang w:val="en-GB"/>
        </w:rPr>
        <w:t xml:space="preserve">the </w:t>
      </w:r>
      <w:r w:rsidRPr="000176CC">
        <w:rPr>
          <w:rFonts w:eastAsia="Calibri"/>
          <w:lang w:val="en-GB"/>
        </w:rPr>
        <w:t>premium biscuit category</w:t>
      </w:r>
      <w:r>
        <w:rPr>
          <w:rFonts w:eastAsia="Calibri"/>
          <w:lang w:val="en-GB"/>
        </w:rPr>
        <w:t>,</w:t>
      </w:r>
      <w:r w:rsidRPr="000176CC">
        <w:rPr>
          <w:rFonts w:eastAsia="Calibri"/>
          <w:vertAlign w:val="superscript"/>
          <w:lang w:val="en-GB"/>
        </w:rPr>
        <w:endnoteReference w:id="35"/>
      </w:r>
      <w:r>
        <w:rPr>
          <w:rFonts w:eastAsia="Calibri"/>
          <w:lang w:val="en-GB"/>
        </w:rPr>
        <w:t xml:space="preserve"> but it was leading the high-growth super-premium biscuit </w:t>
      </w:r>
      <w:r>
        <w:rPr>
          <w:rFonts w:eastAsia="Calibri"/>
          <w:lang w:val="en-GB"/>
        </w:rPr>
        <w:lastRenderedPageBreak/>
        <w:t>category—a category that accounted for 6 per cent of the entire biscuit market—</w:t>
      </w:r>
      <w:r w:rsidRPr="000176CC">
        <w:rPr>
          <w:rFonts w:eastAsia="Calibri"/>
          <w:lang w:val="en-GB"/>
        </w:rPr>
        <w:t>with 40</w:t>
      </w:r>
      <w:r>
        <w:rPr>
          <w:rFonts w:eastAsia="Calibri"/>
          <w:lang w:val="en-GB"/>
        </w:rPr>
        <w:t xml:space="preserve"> per cent</w:t>
      </w:r>
      <w:r w:rsidRPr="000176CC">
        <w:rPr>
          <w:rFonts w:eastAsia="Calibri"/>
          <w:lang w:val="en-GB"/>
        </w:rPr>
        <w:t xml:space="preserve"> market share.</w:t>
      </w:r>
      <w:r w:rsidRPr="000176CC">
        <w:rPr>
          <w:rFonts w:eastAsia="Calibri"/>
          <w:vertAlign w:val="superscript"/>
          <w:lang w:val="en-GB"/>
        </w:rPr>
        <w:endnoteReference w:id="36"/>
      </w:r>
      <w:r w:rsidRPr="000176CC">
        <w:rPr>
          <w:rFonts w:eastAsia="Calibri"/>
          <w:lang w:val="en-GB"/>
        </w:rPr>
        <w:t xml:space="preserve"> Though </w:t>
      </w:r>
      <w:r>
        <w:rPr>
          <w:rFonts w:eastAsia="Calibri"/>
          <w:lang w:val="en-GB"/>
        </w:rPr>
        <w:t xml:space="preserve">the </w:t>
      </w:r>
      <w:r w:rsidRPr="000176CC">
        <w:rPr>
          <w:rFonts w:eastAsia="Calibri"/>
          <w:lang w:val="en-GB"/>
        </w:rPr>
        <w:t xml:space="preserve">overall biscuit segment was expected to grow at a </w:t>
      </w:r>
      <w:r>
        <w:rPr>
          <w:rFonts w:eastAsia="Calibri"/>
          <w:lang w:val="en-GB"/>
        </w:rPr>
        <w:t>compound annual growth rate (</w:t>
      </w:r>
      <w:r w:rsidRPr="000176CC">
        <w:rPr>
          <w:rFonts w:eastAsia="Calibri"/>
          <w:lang w:val="en-GB"/>
        </w:rPr>
        <w:t>CAGR</w:t>
      </w:r>
      <w:r>
        <w:rPr>
          <w:rFonts w:eastAsia="Calibri"/>
          <w:lang w:val="en-GB"/>
        </w:rPr>
        <w:t>)</w:t>
      </w:r>
      <w:r w:rsidRPr="000176CC">
        <w:rPr>
          <w:rFonts w:eastAsia="Calibri"/>
          <w:lang w:val="en-GB"/>
        </w:rPr>
        <w:t xml:space="preserve"> of 6</w:t>
      </w:r>
      <w:r>
        <w:rPr>
          <w:rFonts w:eastAsia="Calibri"/>
          <w:lang w:val="en-GB"/>
        </w:rPr>
        <w:t xml:space="preserve"> per cent</w:t>
      </w:r>
      <w:r w:rsidRPr="000176CC">
        <w:rPr>
          <w:rFonts w:eastAsia="Calibri"/>
          <w:lang w:val="en-GB"/>
        </w:rPr>
        <w:t xml:space="preserve">, premium biscuits were expected to register </w:t>
      </w:r>
      <w:r>
        <w:rPr>
          <w:rFonts w:eastAsia="Calibri"/>
          <w:lang w:val="en-GB"/>
        </w:rPr>
        <w:t>11 per cent during</w:t>
      </w:r>
      <w:r w:rsidRPr="000176CC">
        <w:rPr>
          <w:rFonts w:eastAsia="Calibri"/>
          <w:lang w:val="en-GB"/>
        </w:rPr>
        <w:t xml:space="preserve"> 2017</w:t>
      </w:r>
      <w:r>
        <w:rPr>
          <w:rFonts w:eastAsia="Calibri"/>
          <w:lang w:val="en-GB"/>
        </w:rPr>
        <w:t>–</w:t>
      </w:r>
      <w:r w:rsidRPr="000176CC">
        <w:rPr>
          <w:rFonts w:eastAsia="Calibri"/>
          <w:lang w:val="en-GB"/>
        </w:rPr>
        <w:t>2023.</w:t>
      </w:r>
      <w:r w:rsidRPr="000176CC">
        <w:rPr>
          <w:rFonts w:eastAsia="Calibri"/>
          <w:vertAlign w:val="superscript"/>
          <w:lang w:val="en-GB"/>
        </w:rPr>
        <w:endnoteReference w:id="37"/>
      </w:r>
    </w:p>
    <w:p w14:paraId="185DE91B" w14:textId="77777777" w:rsidR="00E0759F" w:rsidRPr="000176CC" w:rsidRDefault="00E0759F" w:rsidP="00337DF9">
      <w:pPr>
        <w:pStyle w:val="BodyTextMain"/>
        <w:rPr>
          <w:rFonts w:eastAsia="Calibri"/>
          <w:lang w:val="en-GB"/>
        </w:rPr>
      </w:pPr>
    </w:p>
    <w:p w14:paraId="441AC02E" w14:textId="77777777" w:rsidR="00E0759F" w:rsidRPr="000176CC" w:rsidRDefault="00E0759F" w:rsidP="00337DF9">
      <w:pPr>
        <w:pStyle w:val="BodyTextMain"/>
        <w:rPr>
          <w:rFonts w:eastAsia="Calibri"/>
          <w:lang w:val="en-GB"/>
        </w:rPr>
      </w:pPr>
    </w:p>
    <w:p w14:paraId="74D3B8ED" w14:textId="77777777" w:rsidR="00E0759F" w:rsidRPr="000176CC" w:rsidRDefault="00E0759F" w:rsidP="00AC1016">
      <w:pPr>
        <w:pStyle w:val="Casehead2"/>
        <w:keepNext/>
        <w:rPr>
          <w:rFonts w:eastAsia="Calibri"/>
          <w:lang w:val="en-GB"/>
        </w:rPr>
      </w:pPr>
      <w:r w:rsidRPr="000176CC">
        <w:rPr>
          <w:rFonts w:eastAsia="Calibri"/>
          <w:lang w:val="en-GB"/>
        </w:rPr>
        <w:t>Confectionery</w:t>
      </w:r>
    </w:p>
    <w:p w14:paraId="376F771D" w14:textId="77777777" w:rsidR="00E0759F" w:rsidRPr="000176CC" w:rsidRDefault="00E0759F" w:rsidP="00AC1016">
      <w:pPr>
        <w:pStyle w:val="Casehead2"/>
        <w:keepNext/>
        <w:rPr>
          <w:rFonts w:eastAsia="Calibri"/>
          <w:lang w:val="en-GB"/>
        </w:rPr>
      </w:pPr>
    </w:p>
    <w:p w14:paraId="796A4106" w14:textId="04857042" w:rsidR="00E0759F" w:rsidRDefault="00E0759F" w:rsidP="00AC1016">
      <w:pPr>
        <w:pStyle w:val="BodyTextMain"/>
        <w:keepNext/>
        <w:rPr>
          <w:rFonts w:eastAsia="Calibri"/>
          <w:lang w:val="en-GB"/>
        </w:rPr>
      </w:pPr>
      <w:r w:rsidRPr="000176CC">
        <w:rPr>
          <w:rFonts w:eastAsia="Calibri"/>
          <w:lang w:val="en-GB"/>
        </w:rPr>
        <w:t>The confectionery business in India consisted of three categories: candies or boiled sweets</w:t>
      </w:r>
      <w:r>
        <w:rPr>
          <w:rFonts w:eastAsia="Calibri"/>
          <w:lang w:val="en-GB"/>
        </w:rPr>
        <w:t>,</w:t>
      </w:r>
      <w:r w:rsidRPr="000176CC">
        <w:rPr>
          <w:rFonts w:eastAsia="Calibri"/>
          <w:lang w:val="en-GB"/>
        </w:rPr>
        <w:t xml:space="preserve"> such as lollipops and suckers</w:t>
      </w:r>
      <w:r>
        <w:rPr>
          <w:rFonts w:eastAsia="Calibri"/>
          <w:lang w:val="en-GB"/>
        </w:rPr>
        <w:t>;</w:t>
      </w:r>
      <w:r w:rsidRPr="000176CC">
        <w:rPr>
          <w:rFonts w:eastAsia="Calibri"/>
          <w:lang w:val="en-GB"/>
        </w:rPr>
        <w:t xml:space="preserve"> chocolates and soft toffees</w:t>
      </w:r>
      <w:r>
        <w:rPr>
          <w:rFonts w:eastAsia="Calibri"/>
          <w:lang w:val="en-GB"/>
        </w:rPr>
        <w:t>;</w:t>
      </w:r>
      <w:r w:rsidRPr="000176CC">
        <w:rPr>
          <w:rFonts w:eastAsia="Calibri"/>
          <w:lang w:val="en-GB"/>
        </w:rPr>
        <w:t xml:space="preserve"> and mints and gums. The confectionery segment, which was comparatively less penetrated, was expected to grow faster than </w:t>
      </w:r>
      <w:r>
        <w:rPr>
          <w:rFonts w:eastAsia="Calibri"/>
          <w:lang w:val="en-GB"/>
        </w:rPr>
        <w:t xml:space="preserve">the </w:t>
      </w:r>
      <w:r w:rsidRPr="000176CC">
        <w:rPr>
          <w:rFonts w:eastAsia="Calibri"/>
          <w:lang w:val="en-GB"/>
        </w:rPr>
        <w:t xml:space="preserve">biscuits segment. </w:t>
      </w:r>
      <w:r>
        <w:rPr>
          <w:rFonts w:eastAsia="Calibri"/>
          <w:lang w:val="en-GB"/>
        </w:rPr>
        <w:t xml:space="preserve">The confectionery </w:t>
      </w:r>
      <w:r w:rsidRPr="000176CC">
        <w:rPr>
          <w:rFonts w:eastAsia="Calibri"/>
          <w:lang w:val="en-GB"/>
        </w:rPr>
        <w:t>market was expected to grow at a CAGR of approximately 17</w:t>
      </w:r>
      <w:r>
        <w:rPr>
          <w:rFonts w:eastAsia="Calibri"/>
          <w:lang w:val="en-GB"/>
        </w:rPr>
        <w:t xml:space="preserve"> per cent</w:t>
      </w:r>
      <w:r w:rsidRPr="000176CC">
        <w:rPr>
          <w:rFonts w:eastAsia="Calibri"/>
          <w:lang w:val="en-GB"/>
        </w:rPr>
        <w:t xml:space="preserve"> during 2016</w:t>
      </w:r>
      <w:r>
        <w:rPr>
          <w:rFonts w:eastAsia="Calibri"/>
          <w:lang w:val="en-GB"/>
        </w:rPr>
        <w:t>–20</w:t>
      </w:r>
      <w:r w:rsidRPr="000176CC">
        <w:rPr>
          <w:rFonts w:eastAsia="Calibri"/>
          <w:lang w:val="en-GB"/>
        </w:rPr>
        <w:t>21 (see Exhibit 3).</w:t>
      </w:r>
      <w:r w:rsidRPr="000176CC">
        <w:rPr>
          <w:rFonts w:eastAsia="Calibri"/>
          <w:vertAlign w:val="superscript"/>
          <w:lang w:val="en-GB"/>
        </w:rPr>
        <w:endnoteReference w:id="38"/>
      </w:r>
      <w:r w:rsidRPr="000176CC">
        <w:rPr>
          <w:rFonts w:eastAsia="Calibri"/>
          <w:lang w:val="en-GB"/>
        </w:rPr>
        <w:t xml:space="preserve"> </w:t>
      </w:r>
      <w:r>
        <w:rPr>
          <w:rFonts w:eastAsia="Calibri"/>
          <w:lang w:val="en-GB"/>
        </w:rPr>
        <w:t xml:space="preserve"> </w:t>
      </w:r>
      <w:r w:rsidRPr="000176CC">
        <w:rPr>
          <w:rFonts w:eastAsia="Calibri"/>
          <w:lang w:val="en-GB"/>
        </w:rPr>
        <w:t>Of all three segments, the candy segment accounted for nearly half of the total confectionery market. During 2016</w:t>
      </w:r>
      <w:r>
        <w:rPr>
          <w:rFonts w:eastAsia="Calibri"/>
          <w:lang w:val="en-GB"/>
        </w:rPr>
        <w:t>–2021</w:t>
      </w:r>
      <w:r w:rsidRPr="000176CC">
        <w:rPr>
          <w:rFonts w:eastAsia="Calibri"/>
          <w:lang w:val="en-GB"/>
        </w:rPr>
        <w:t>, the candy segment was expected to grow at a CAGR of 12.70</w:t>
      </w:r>
      <w:r>
        <w:rPr>
          <w:rFonts w:eastAsia="Calibri"/>
          <w:lang w:val="en-GB"/>
        </w:rPr>
        <w:t xml:space="preserve"> per cent</w:t>
      </w:r>
      <w:r w:rsidRPr="000176CC">
        <w:rPr>
          <w:rFonts w:eastAsia="Calibri"/>
          <w:lang w:val="en-GB"/>
        </w:rPr>
        <w:t xml:space="preserve">, while </w:t>
      </w:r>
      <w:r>
        <w:rPr>
          <w:rFonts w:eastAsia="Calibri"/>
          <w:lang w:val="en-GB"/>
        </w:rPr>
        <w:t xml:space="preserve">the </w:t>
      </w:r>
      <w:r w:rsidRPr="000176CC">
        <w:rPr>
          <w:rFonts w:eastAsia="Calibri"/>
          <w:lang w:val="en-GB"/>
        </w:rPr>
        <w:t>chocolate segment was expected to grow at a CAGR of 18.57</w:t>
      </w:r>
      <w:r>
        <w:rPr>
          <w:rFonts w:eastAsia="Calibri"/>
          <w:lang w:val="en-GB"/>
        </w:rPr>
        <w:t xml:space="preserve"> per cent;</w:t>
      </w:r>
      <w:r w:rsidRPr="000176CC">
        <w:rPr>
          <w:rFonts w:eastAsia="Calibri"/>
          <w:lang w:val="en-GB"/>
        </w:rPr>
        <w:t xml:space="preserve"> </w:t>
      </w:r>
      <w:r w:rsidR="00B93F25">
        <w:rPr>
          <w:rFonts w:eastAsia="Calibri"/>
          <w:lang w:val="en-GB"/>
        </w:rPr>
        <w:t xml:space="preserve">mints and </w:t>
      </w:r>
      <w:r w:rsidRPr="000176CC">
        <w:rPr>
          <w:rFonts w:eastAsia="Calibri"/>
          <w:lang w:val="en-GB"/>
        </w:rPr>
        <w:t>gum</w:t>
      </w:r>
      <w:r>
        <w:rPr>
          <w:rFonts w:eastAsia="Calibri"/>
          <w:lang w:val="en-GB"/>
        </w:rPr>
        <w:t>,</w:t>
      </w:r>
      <w:r w:rsidRPr="000176CC">
        <w:rPr>
          <w:rFonts w:eastAsia="Calibri"/>
          <w:lang w:val="en-GB"/>
        </w:rPr>
        <w:t xml:space="preserve"> at 16.90</w:t>
      </w:r>
      <w:r>
        <w:rPr>
          <w:rFonts w:eastAsia="Calibri"/>
          <w:lang w:val="en-GB"/>
        </w:rPr>
        <w:t xml:space="preserve"> per cent</w:t>
      </w:r>
      <w:r w:rsidRPr="000176CC">
        <w:rPr>
          <w:rFonts w:eastAsia="Calibri"/>
          <w:lang w:val="en-GB"/>
        </w:rPr>
        <w:t>.</w:t>
      </w:r>
      <w:r w:rsidRPr="000176CC">
        <w:rPr>
          <w:rFonts w:eastAsia="Calibri"/>
          <w:vertAlign w:val="superscript"/>
          <w:lang w:val="en-GB"/>
        </w:rPr>
        <w:endnoteReference w:id="39"/>
      </w:r>
    </w:p>
    <w:p w14:paraId="39296ACC" w14:textId="77777777" w:rsidR="00E0759F" w:rsidRPr="000176CC" w:rsidRDefault="00E0759F" w:rsidP="00337DF9">
      <w:pPr>
        <w:pStyle w:val="BodyTextMain"/>
        <w:rPr>
          <w:rFonts w:eastAsia="Calibri"/>
          <w:lang w:val="en-GB"/>
        </w:rPr>
      </w:pPr>
    </w:p>
    <w:p w14:paraId="7C4D76CA" w14:textId="20DBBCBD" w:rsidR="00E0759F" w:rsidRPr="000176CC" w:rsidRDefault="00E0759F" w:rsidP="00337DF9">
      <w:pPr>
        <w:pStyle w:val="BodyTextMain"/>
        <w:rPr>
          <w:rFonts w:eastAsia="Calibri"/>
          <w:lang w:val="en-GB"/>
        </w:rPr>
      </w:pPr>
      <w:r w:rsidRPr="000176CC">
        <w:rPr>
          <w:rFonts w:eastAsia="Calibri"/>
          <w:lang w:val="en-GB"/>
        </w:rPr>
        <w:t xml:space="preserve">Although Parle started with confectionery brands Gold Star and </w:t>
      </w:r>
      <w:r>
        <w:rPr>
          <w:rFonts w:eastAsia="Calibri"/>
          <w:lang w:val="en-GB"/>
        </w:rPr>
        <w:t>Mints</w:t>
      </w:r>
      <w:r w:rsidRPr="000176CC">
        <w:rPr>
          <w:rFonts w:eastAsia="Calibri"/>
          <w:lang w:val="en-GB"/>
        </w:rPr>
        <w:t xml:space="preserve">, its confectionery business could not grow </w:t>
      </w:r>
      <w:r>
        <w:rPr>
          <w:rFonts w:eastAsia="Calibri"/>
          <w:lang w:val="en-GB"/>
        </w:rPr>
        <w:t xml:space="preserve">very </w:t>
      </w:r>
      <w:r w:rsidRPr="000176CC">
        <w:rPr>
          <w:rFonts w:eastAsia="Calibri"/>
          <w:lang w:val="en-GB"/>
        </w:rPr>
        <w:t>much because of its increasing focus on the biscuits segment. In the confectionery segment</w:t>
      </w:r>
      <w:r>
        <w:rPr>
          <w:rFonts w:eastAsia="Calibri"/>
          <w:lang w:val="en-GB"/>
        </w:rPr>
        <w:t>,</w:t>
      </w:r>
      <w:r w:rsidRPr="000176CC">
        <w:rPr>
          <w:rFonts w:eastAsia="Calibri"/>
          <w:lang w:val="en-GB"/>
        </w:rPr>
        <w:t xml:space="preserve"> it was known for its innovative products</w:t>
      </w:r>
      <w:r>
        <w:rPr>
          <w:rFonts w:eastAsia="Calibri"/>
          <w:lang w:val="en-GB"/>
        </w:rPr>
        <w:t>—</w:t>
      </w:r>
      <w:r w:rsidRPr="000176CC">
        <w:rPr>
          <w:rFonts w:eastAsia="Calibri"/>
          <w:lang w:val="en-GB"/>
        </w:rPr>
        <w:t xml:space="preserve">Kismi, Poppins, Melody, Mango Bite, </w:t>
      </w:r>
      <w:r>
        <w:rPr>
          <w:rFonts w:eastAsia="Calibri"/>
          <w:lang w:val="en-GB"/>
        </w:rPr>
        <w:t>and Kaccha</w:t>
      </w:r>
      <w:r w:rsidRPr="000176CC">
        <w:rPr>
          <w:rFonts w:eastAsia="Calibri"/>
          <w:lang w:val="en-GB"/>
        </w:rPr>
        <w:t xml:space="preserve"> Mango. With a market share of 13</w:t>
      </w:r>
      <w:r>
        <w:rPr>
          <w:rFonts w:eastAsia="Calibri"/>
          <w:lang w:val="en-GB"/>
        </w:rPr>
        <w:t xml:space="preserve"> per cent</w:t>
      </w:r>
      <w:r w:rsidRPr="000176CC">
        <w:rPr>
          <w:rFonts w:eastAsia="Calibri"/>
          <w:lang w:val="en-GB"/>
        </w:rPr>
        <w:t>, Parle was the leading p</w:t>
      </w:r>
      <w:r w:rsidR="00D471CB">
        <w:rPr>
          <w:rFonts w:eastAsia="Calibri"/>
          <w:lang w:val="en-GB"/>
        </w:rPr>
        <w:t>roduct</w:t>
      </w:r>
      <w:r w:rsidRPr="000176CC">
        <w:rPr>
          <w:rFonts w:eastAsia="Calibri"/>
          <w:lang w:val="en-GB"/>
        </w:rPr>
        <w:t xml:space="preserve"> in the candy segment.</w:t>
      </w:r>
      <w:r w:rsidRPr="000176CC">
        <w:rPr>
          <w:rFonts w:eastAsia="Calibri"/>
          <w:vertAlign w:val="superscript"/>
          <w:lang w:val="en-GB"/>
        </w:rPr>
        <w:endnoteReference w:id="40"/>
      </w:r>
    </w:p>
    <w:p w14:paraId="4A396D99" w14:textId="77777777" w:rsidR="00E0759F" w:rsidRPr="000176CC" w:rsidRDefault="00E0759F" w:rsidP="00337DF9">
      <w:pPr>
        <w:pStyle w:val="BodyTextMain"/>
        <w:rPr>
          <w:rFonts w:eastAsia="Calibri"/>
          <w:lang w:val="en-GB"/>
        </w:rPr>
      </w:pPr>
    </w:p>
    <w:p w14:paraId="42D32E13" w14:textId="5B5ACCEF" w:rsidR="00E0759F" w:rsidRPr="00D66356" w:rsidRDefault="00E0759F" w:rsidP="00337DF9">
      <w:pPr>
        <w:pStyle w:val="BodyTextMain"/>
        <w:rPr>
          <w:rFonts w:eastAsia="Calibri"/>
          <w:lang w:val="en-GB"/>
        </w:rPr>
      </w:pPr>
      <w:r w:rsidRPr="00E902F2">
        <w:rPr>
          <w:rFonts w:eastAsia="Calibri"/>
          <w:lang w:val="en-GB"/>
        </w:rPr>
        <w:t>With 36 per cent</w:t>
      </w:r>
      <w:r w:rsidRPr="003B7361">
        <w:rPr>
          <w:rFonts w:eastAsia="Calibri"/>
          <w:lang w:val="en-GB"/>
        </w:rPr>
        <w:t xml:space="preserve"> market share, Mondelez India Foods Private Limited </w:t>
      </w:r>
      <w:r w:rsidRPr="00FC6958">
        <w:rPr>
          <w:rFonts w:eastAsia="Calibri"/>
          <w:lang w:val="en-GB"/>
        </w:rPr>
        <w:t xml:space="preserve">led the overall chocolate confectionery segment, which was worth </w:t>
      </w:r>
      <w:r w:rsidRPr="00D66356">
        <w:rPr>
          <w:rFonts w:eastAsia="Calibri"/>
          <w:lang w:val="en-GB"/>
        </w:rPr>
        <w:t>₹</w:t>
      </w:r>
      <w:r w:rsidRPr="00E902F2">
        <w:rPr>
          <w:rFonts w:eastAsia="Calibri"/>
          <w:lang w:val="en-GB"/>
        </w:rPr>
        <w:t>80 billion.</w:t>
      </w:r>
      <w:r w:rsidRPr="00E902F2">
        <w:rPr>
          <w:rFonts w:eastAsia="Calibri"/>
          <w:vertAlign w:val="superscript"/>
          <w:lang w:val="en-GB"/>
        </w:rPr>
        <w:endnoteReference w:id="41"/>
      </w:r>
      <w:r w:rsidRPr="00E902F2">
        <w:rPr>
          <w:rFonts w:eastAsia="Calibri"/>
          <w:lang w:val="en-GB"/>
        </w:rPr>
        <w:t xml:space="preserve"> Parle, </w:t>
      </w:r>
      <w:r>
        <w:rPr>
          <w:rFonts w:eastAsia="Calibri"/>
          <w:lang w:val="en-GB"/>
        </w:rPr>
        <w:t>who</w:t>
      </w:r>
      <w:r w:rsidRPr="00E902F2">
        <w:rPr>
          <w:rFonts w:eastAsia="Calibri"/>
          <w:lang w:val="en-GB"/>
        </w:rPr>
        <w:t xml:space="preserve"> only </w:t>
      </w:r>
      <w:r w:rsidRPr="003B7361">
        <w:rPr>
          <w:rFonts w:eastAsia="Calibri"/>
          <w:lang w:val="en-GB"/>
        </w:rPr>
        <w:t>entered this segment</w:t>
      </w:r>
      <w:r w:rsidRPr="00FC6958">
        <w:rPr>
          <w:rFonts w:eastAsia="Calibri"/>
          <w:lang w:val="en-GB"/>
        </w:rPr>
        <w:t xml:space="preserve"> in 2016, had an </w:t>
      </w:r>
      <w:r w:rsidRPr="00E0759F">
        <w:rPr>
          <w:rFonts w:eastAsia="Calibri"/>
          <w:lang w:val="en-GB"/>
        </w:rPr>
        <w:t xml:space="preserve">almost negligible presence. </w:t>
      </w:r>
      <w:r w:rsidRPr="00D66356">
        <w:rPr>
          <w:rFonts w:eastAsia="Calibri"/>
          <w:lang w:val="en-GB"/>
        </w:rPr>
        <w:t xml:space="preserve">Parle, however, was the </w:t>
      </w:r>
      <w:r>
        <w:rPr>
          <w:rFonts w:eastAsia="Calibri"/>
          <w:lang w:val="en-GB"/>
        </w:rPr>
        <w:t xml:space="preserve">second-largest </w:t>
      </w:r>
      <w:r w:rsidRPr="00D66356">
        <w:rPr>
          <w:rFonts w:eastAsia="Calibri"/>
          <w:lang w:val="en-GB"/>
        </w:rPr>
        <w:t>playe</w:t>
      </w:r>
      <w:r>
        <w:rPr>
          <w:rFonts w:eastAsia="Calibri"/>
          <w:lang w:val="en-GB"/>
        </w:rPr>
        <w:t>r—</w:t>
      </w:r>
      <w:r w:rsidRPr="00D66356">
        <w:rPr>
          <w:rFonts w:eastAsia="Calibri"/>
          <w:lang w:val="en-GB"/>
        </w:rPr>
        <w:t xml:space="preserve">next to </w:t>
      </w:r>
      <w:bookmarkStart w:id="5" w:name="_Hlk10630606"/>
      <w:proofErr w:type="spellStart"/>
      <w:r w:rsidRPr="00B66D1A">
        <w:rPr>
          <w:rFonts w:eastAsia="Calibri"/>
          <w:lang w:val="en-GB"/>
        </w:rPr>
        <w:t>Chocoladefabriken</w:t>
      </w:r>
      <w:proofErr w:type="spellEnd"/>
      <w:r w:rsidRPr="00B66D1A">
        <w:rPr>
          <w:rFonts w:eastAsia="Calibri"/>
          <w:lang w:val="en-GB"/>
        </w:rPr>
        <w:t xml:space="preserve"> Lindt &amp; </w:t>
      </w:r>
      <w:proofErr w:type="spellStart"/>
      <w:r w:rsidRPr="00B66D1A">
        <w:rPr>
          <w:rFonts w:eastAsia="Calibri"/>
          <w:lang w:val="en-GB"/>
        </w:rPr>
        <w:t>Sprüngli</w:t>
      </w:r>
      <w:proofErr w:type="spellEnd"/>
      <w:r w:rsidRPr="00B66D1A">
        <w:rPr>
          <w:rFonts w:eastAsia="Calibri"/>
          <w:lang w:val="en-GB"/>
        </w:rPr>
        <w:t xml:space="preserve"> </w:t>
      </w:r>
      <w:r>
        <w:rPr>
          <w:rFonts w:eastAsia="Calibri"/>
          <w:lang w:val="en-GB"/>
        </w:rPr>
        <w:t>(</w:t>
      </w:r>
      <w:r w:rsidRPr="00D66356">
        <w:rPr>
          <w:rFonts w:eastAsia="Calibri"/>
          <w:lang w:val="en-GB"/>
        </w:rPr>
        <w:t>Lindt</w:t>
      </w:r>
      <w:r>
        <w:rPr>
          <w:rFonts w:eastAsia="Calibri"/>
          <w:lang w:val="en-GB"/>
        </w:rPr>
        <w:t>)</w:t>
      </w:r>
      <w:bookmarkEnd w:id="5"/>
      <w:r w:rsidR="00D471CB">
        <w:rPr>
          <w:rFonts w:eastAsia="Calibri"/>
          <w:lang w:val="en-GB"/>
        </w:rPr>
        <w:t>,</w:t>
      </w:r>
      <w:r w:rsidRPr="00D66356">
        <w:rPr>
          <w:rFonts w:eastAsia="Calibri"/>
          <w:lang w:val="en-GB"/>
        </w:rPr>
        <w:t xml:space="preserve"> </w:t>
      </w:r>
      <w:r>
        <w:rPr>
          <w:rFonts w:eastAsia="Calibri"/>
          <w:lang w:val="en-GB"/>
        </w:rPr>
        <w:t>who</w:t>
      </w:r>
      <w:r w:rsidRPr="00D66356">
        <w:rPr>
          <w:rFonts w:eastAsia="Calibri"/>
          <w:lang w:val="en-GB"/>
        </w:rPr>
        <w:t xml:space="preserve"> </w:t>
      </w:r>
      <w:r>
        <w:rPr>
          <w:rFonts w:eastAsia="Calibri"/>
          <w:lang w:val="en-GB"/>
        </w:rPr>
        <w:t>had a long presence</w:t>
      </w:r>
      <w:r w:rsidRPr="00D66356">
        <w:rPr>
          <w:rFonts w:eastAsia="Calibri"/>
          <w:lang w:val="en-GB"/>
        </w:rPr>
        <w:t xml:space="preserve"> </w:t>
      </w:r>
      <w:r>
        <w:rPr>
          <w:rFonts w:eastAsia="Calibri"/>
          <w:lang w:val="en-GB"/>
        </w:rPr>
        <w:t>in India—</w:t>
      </w:r>
      <w:r w:rsidRPr="00D66356">
        <w:rPr>
          <w:rFonts w:eastAsia="Calibri"/>
          <w:lang w:val="en-GB"/>
        </w:rPr>
        <w:t xml:space="preserve">in </w:t>
      </w:r>
      <w:r>
        <w:rPr>
          <w:rFonts w:eastAsia="Calibri"/>
          <w:lang w:val="en-GB"/>
        </w:rPr>
        <w:t xml:space="preserve">the </w:t>
      </w:r>
      <w:r w:rsidRPr="00D66356">
        <w:rPr>
          <w:rFonts w:eastAsia="Calibri"/>
          <w:lang w:val="en-GB"/>
        </w:rPr>
        <w:t>₹2 billion super-premium chocolate category.</w:t>
      </w:r>
      <w:r w:rsidRPr="00D66356">
        <w:rPr>
          <w:rFonts w:eastAsia="Calibri"/>
          <w:vertAlign w:val="superscript"/>
          <w:lang w:val="en-GB"/>
        </w:rPr>
        <w:endnoteReference w:id="42"/>
      </w:r>
      <w:r w:rsidRPr="00D66356">
        <w:rPr>
          <w:rFonts w:eastAsia="Calibri"/>
          <w:lang w:val="en-GB"/>
        </w:rPr>
        <w:t xml:space="preserve"> The super-premium</w:t>
      </w:r>
      <w:r>
        <w:rPr>
          <w:rFonts w:eastAsia="Calibri"/>
          <w:lang w:val="en-GB"/>
        </w:rPr>
        <w:t>,</w:t>
      </w:r>
      <w:r w:rsidRPr="00D66356">
        <w:rPr>
          <w:rFonts w:eastAsia="Calibri"/>
          <w:lang w:val="en-GB"/>
        </w:rPr>
        <w:t xml:space="preserve"> or luxury</w:t>
      </w:r>
      <w:r>
        <w:rPr>
          <w:rFonts w:eastAsia="Calibri"/>
          <w:lang w:val="en-GB"/>
        </w:rPr>
        <w:t>,</w:t>
      </w:r>
      <w:r w:rsidRPr="00D66356">
        <w:rPr>
          <w:rFonts w:eastAsia="Calibri"/>
          <w:lang w:val="en-GB"/>
        </w:rPr>
        <w:t xml:space="preserve"> chocolate segment was expected to experience 50 to 80</w:t>
      </w:r>
      <w:r>
        <w:rPr>
          <w:rFonts w:eastAsia="Calibri"/>
          <w:lang w:val="en-GB"/>
        </w:rPr>
        <w:t xml:space="preserve"> per cent</w:t>
      </w:r>
      <w:r w:rsidRPr="00D66356">
        <w:rPr>
          <w:rFonts w:eastAsia="Calibri"/>
          <w:lang w:val="en-GB"/>
        </w:rPr>
        <w:t xml:space="preserve"> growth from </w:t>
      </w:r>
      <w:r>
        <w:rPr>
          <w:rFonts w:eastAsia="Calibri"/>
          <w:lang w:val="en-GB"/>
        </w:rPr>
        <w:t xml:space="preserve">a </w:t>
      </w:r>
      <w:r w:rsidRPr="00D66356">
        <w:rPr>
          <w:rFonts w:eastAsia="Calibri"/>
          <w:lang w:val="en-GB"/>
        </w:rPr>
        <w:t>very low base.</w:t>
      </w:r>
      <w:r w:rsidRPr="00D66356">
        <w:rPr>
          <w:rFonts w:eastAsia="Calibri"/>
          <w:vertAlign w:val="superscript"/>
          <w:lang w:val="en-GB"/>
        </w:rPr>
        <w:endnoteReference w:id="43"/>
      </w:r>
      <w:r w:rsidRPr="00D66356">
        <w:rPr>
          <w:rFonts w:eastAsia="Calibri"/>
          <w:lang w:val="en-GB"/>
        </w:rPr>
        <w:t xml:space="preserve"> </w:t>
      </w:r>
    </w:p>
    <w:p w14:paraId="182E6D29" w14:textId="77777777" w:rsidR="00E0759F" w:rsidRPr="000176CC" w:rsidRDefault="00E0759F" w:rsidP="00337DF9">
      <w:pPr>
        <w:pStyle w:val="BodyTextMain"/>
        <w:rPr>
          <w:rFonts w:ascii="Georgia" w:eastAsia="Calibri" w:hAnsi="Georgia" w:cs="Mangal"/>
          <w:lang w:val="en-GB"/>
        </w:rPr>
      </w:pPr>
    </w:p>
    <w:p w14:paraId="3A9B7122" w14:textId="696AD43E" w:rsidR="00E0759F" w:rsidRPr="000176CC" w:rsidRDefault="00E0759F" w:rsidP="00337DF9">
      <w:pPr>
        <w:pStyle w:val="BodyTextMain"/>
        <w:rPr>
          <w:rFonts w:eastAsia="Calibri"/>
          <w:lang w:val="en-GB"/>
        </w:rPr>
      </w:pPr>
      <w:r w:rsidRPr="000176CC">
        <w:rPr>
          <w:rFonts w:eastAsia="Calibri"/>
          <w:lang w:val="en-GB"/>
        </w:rPr>
        <w:t xml:space="preserve">In the </w:t>
      </w:r>
      <w:r>
        <w:rPr>
          <w:rFonts w:eastAsia="Calibri"/>
          <w:lang w:val="en-GB"/>
        </w:rPr>
        <w:t>fast-growing</w:t>
      </w:r>
      <w:r w:rsidRPr="000176CC">
        <w:rPr>
          <w:rFonts w:eastAsia="Calibri"/>
          <w:lang w:val="en-GB"/>
        </w:rPr>
        <w:t xml:space="preserve"> mint and gum market, Perfetti Van Melle India Private Limited was leading with a market share of 22.7</w:t>
      </w:r>
      <w:r>
        <w:rPr>
          <w:rFonts w:eastAsia="Calibri"/>
          <w:lang w:val="en-GB"/>
        </w:rPr>
        <w:t xml:space="preserve"> per cent</w:t>
      </w:r>
      <w:r w:rsidRPr="000176CC">
        <w:rPr>
          <w:rFonts w:eastAsia="Calibri"/>
          <w:lang w:val="en-GB"/>
        </w:rPr>
        <w:t>.</w:t>
      </w:r>
      <w:r w:rsidRPr="000176CC">
        <w:rPr>
          <w:rFonts w:eastAsia="Calibri"/>
          <w:vertAlign w:val="superscript"/>
          <w:lang w:val="en-GB"/>
        </w:rPr>
        <w:endnoteReference w:id="44"/>
      </w:r>
      <w:r w:rsidRPr="000176CC">
        <w:rPr>
          <w:rFonts w:eastAsia="Calibri"/>
          <w:lang w:val="en-GB"/>
        </w:rPr>
        <w:t xml:space="preserve"> In this growing market, </w:t>
      </w:r>
      <w:r>
        <w:rPr>
          <w:rFonts w:eastAsia="Calibri"/>
          <w:lang w:val="en-GB"/>
        </w:rPr>
        <w:t>Parle’s share</w:t>
      </w:r>
      <w:r w:rsidRPr="000176CC">
        <w:rPr>
          <w:rFonts w:eastAsia="Calibri"/>
          <w:lang w:val="en-GB"/>
        </w:rPr>
        <w:t xml:space="preserve"> was falling and had become minuscule.</w:t>
      </w:r>
      <w:r w:rsidRPr="000176CC">
        <w:rPr>
          <w:rFonts w:eastAsia="Calibri"/>
          <w:vertAlign w:val="superscript"/>
          <w:lang w:val="en-GB"/>
        </w:rPr>
        <w:endnoteReference w:id="45"/>
      </w:r>
    </w:p>
    <w:p w14:paraId="481E8AEC" w14:textId="77777777" w:rsidR="00E0759F" w:rsidRPr="000176CC" w:rsidRDefault="00E0759F" w:rsidP="00337DF9">
      <w:pPr>
        <w:pStyle w:val="BodyTextMain"/>
        <w:rPr>
          <w:rFonts w:ascii="Georgia" w:eastAsia="Calibri" w:hAnsi="Georgia" w:cs="Mangal"/>
          <w:lang w:val="en-GB"/>
        </w:rPr>
      </w:pPr>
    </w:p>
    <w:p w14:paraId="78500435" w14:textId="1DBEA880" w:rsidR="00E0759F" w:rsidRPr="00D66356" w:rsidRDefault="00E0759F" w:rsidP="00337DF9">
      <w:pPr>
        <w:pStyle w:val="BodyTextMain"/>
        <w:rPr>
          <w:rFonts w:eastAsia="Calibri"/>
          <w:lang w:val="en-GB"/>
        </w:rPr>
      </w:pPr>
      <w:r w:rsidRPr="00E902F2">
        <w:rPr>
          <w:rFonts w:eastAsia="Calibri"/>
          <w:lang w:val="en-GB"/>
        </w:rPr>
        <w:t>With a market share of 15</w:t>
      </w:r>
      <w:r w:rsidRPr="003B7361">
        <w:rPr>
          <w:rFonts w:eastAsia="Calibri"/>
          <w:lang w:val="en-GB"/>
        </w:rPr>
        <w:t xml:space="preserve"> per cent, Parle’s </w:t>
      </w:r>
      <w:r w:rsidRPr="00FC6958">
        <w:rPr>
          <w:rFonts w:eastAsia="Calibri"/>
          <w:lang w:val="en-GB"/>
        </w:rPr>
        <w:t xml:space="preserve">confectionery business </w:t>
      </w:r>
      <w:r w:rsidRPr="00E0759F">
        <w:rPr>
          <w:rFonts w:eastAsia="Calibri"/>
          <w:lang w:val="en-GB"/>
        </w:rPr>
        <w:t xml:space="preserve">made up </w:t>
      </w:r>
      <w:r w:rsidRPr="005C278F">
        <w:rPr>
          <w:rFonts w:eastAsia="Calibri"/>
          <w:lang w:val="en-GB"/>
        </w:rPr>
        <w:t>about 12 per cent of Parle’s revenue.</w:t>
      </w:r>
      <w:r w:rsidRPr="00E902F2">
        <w:rPr>
          <w:rFonts w:eastAsia="Calibri"/>
          <w:vertAlign w:val="superscript"/>
          <w:lang w:val="en-GB"/>
        </w:rPr>
        <w:endnoteReference w:id="46"/>
      </w:r>
      <w:r w:rsidRPr="00E902F2">
        <w:rPr>
          <w:rFonts w:eastAsia="Calibri"/>
          <w:lang w:val="en-GB"/>
        </w:rPr>
        <w:t xml:space="preserve"> </w:t>
      </w:r>
      <w:r>
        <w:rPr>
          <w:rFonts w:eastAsia="Calibri"/>
          <w:lang w:val="en-GB"/>
        </w:rPr>
        <w:t>Parle’s confectioneries</w:t>
      </w:r>
      <w:r w:rsidRPr="00D66356">
        <w:rPr>
          <w:rFonts w:eastAsia="Calibri"/>
          <w:lang w:val="en-GB"/>
        </w:rPr>
        <w:t xml:space="preserve"> had a strong presence in the </w:t>
      </w:r>
      <w:r>
        <w:rPr>
          <w:rFonts w:eastAsia="Calibri"/>
          <w:lang w:val="en-GB"/>
        </w:rPr>
        <w:t>northern</w:t>
      </w:r>
      <w:r w:rsidRPr="00D66356">
        <w:rPr>
          <w:rFonts w:eastAsia="Calibri"/>
          <w:lang w:val="en-GB"/>
        </w:rPr>
        <w:t xml:space="preserve"> and </w:t>
      </w:r>
      <w:r>
        <w:rPr>
          <w:rFonts w:eastAsia="Calibri"/>
          <w:lang w:val="en-GB"/>
        </w:rPr>
        <w:t>western</w:t>
      </w:r>
      <w:r w:rsidRPr="00D66356">
        <w:rPr>
          <w:rFonts w:eastAsia="Calibri"/>
          <w:lang w:val="en-GB"/>
        </w:rPr>
        <w:t xml:space="preserve"> regions of the country. </w:t>
      </w:r>
    </w:p>
    <w:p w14:paraId="56C44F15" w14:textId="77777777" w:rsidR="00E0759F" w:rsidRPr="000176CC" w:rsidRDefault="00E0759F" w:rsidP="00337DF9">
      <w:pPr>
        <w:pStyle w:val="BodyTextMain"/>
        <w:rPr>
          <w:rFonts w:ascii="Georgia" w:eastAsia="Calibri" w:hAnsi="Georgia" w:cs="Mangal"/>
          <w:lang w:val="en-GB"/>
        </w:rPr>
      </w:pPr>
    </w:p>
    <w:p w14:paraId="496B560C" w14:textId="77777777" w:rsidR="00E0759F" w:rsidRPr="000176CC" w:rsidRDefault="00E0759F" w:rsidP="00337DF9">
      <w:pPr>
        <w:pStyle w:val="BodyTextMain"/>
        <w:rPr>
          <w:rFonts w:ascii="Georgia" w:eastAsia="Calibri" w:hAnsi="Georgia" w:cs="Mangal"/>
          <w:lang w:val="en-GB"/>
        </w:rPr>
      </w:pPr>
    </w:p>
    <w:p w14:paraId="586AF715" w14:textId="36530999" w:rsidR="00E0759F" w:rsidRPr="000176CC" w:rsidRDefault="00E0759F" w:rsidP="00337DF9">
      <w:pPr>
        <w:pStyle w:val="Casehead2"/>
        <w:rPr>
          <w:rFonts w:eastAsia="Calibri"/>
          <w:lang w:val="en-GB"/>
        </w:rPr>
      </w:pPr>
      <w:r w:rsidRPr="000176CC">
        <w:rPr>
          <w:rFonts w:eastAsia="Calibri"/>
          <w:lang w:val="en-GB"/>
        </w:rPr>
        <w:t>Namkeen</w:t>
      </w:r>
    </w:p>
    <w:p w14:paraId="579D524E" w14:textId="77777777" w:rsidR="00E0759F" w:rsidRPr="000176CC" w:rsidRDefault="00E0759F" w:rsidP="00337DF9">
      <w:pPr>
        <w:pStyle w:val="Casehead2"/>
        <w:rPr>
          <w:rFonts w:eastAsia="Calibri"/>
          <w:lang w:val="en-GB"/>
        </w:rPr>
      </w:pPr>
    </w:p>
    <w:p w14:paraId="30BE63CF" w14:textId="3E7C6E9A" w:rsidR="00E0759F" w:rsidRPr="003B7361" w:rsidRDefault="00E0759F" w:rsidP="00337DF9">
      <w:pPr>
        <w:pStyle w:val="BodyTextMain"/>
        <w:rPr>
          <w:rFonts w:eastAsia="Calibri"/>
          <w:lang w:val="en-GB"/>
        </w:rPr>
      </w:pPr>
      <w:r w:rsidRPr="00E902F2">
        <w:rPr>
          <w:rFonts w:eastAsia="Calibri"/>
          <w:lang w:val="en-GB"/>
        </w:rPr>
        <w:t>In 2008</w:t>
      </w:r>
      <w:r>
        <w:rPr>
          <w:rFonts w:eastAsia="Calibri"/>
          <w:lang w:val="en-GB"/>
        </w:rPr>
        <w:t>,</w:t>
      </w:r>
      <w:r w:rsidRPr="00E902F2">
        <w:rPr>
          <w:rFonts w:eastAsia="Calibri"/>
          <w:lang w:val="en-GB"/>
        </w:rPr>
        <w:t xml:space="preserve"> Parle forayed into the </w:t>
      </w:r>
      <w:r>
        <w:rPr>
          <w:rFonts w:eastAsia="Calibri"/>
          <w:lang w:val="en-GB"/>
        </w:rPr>
        <w:t>namkeen</w:t>
      </w:r>
      <w:r w:rsidRPr="003B7361">
        <w:rPr>
          <w:rFonts w:eastAsia="Calibri"/>
          <w:lang w:val="en-GB"/>
        </w:rPr>
        <w:t xml:space="preserve"> market by launching </w:t>
      </w:r>
      <w:r w:rsidRPr="00D66356">
        <w:rPr>
          <w:rFonts w:eastAsia="Calibri"/>
          <w:lang w:val="en-GB"/>
        </w:rPr>
        <w:t>Musst Chips, Musst Stix</w:t>
      </w:r>
      <w:r>
        <w:rPr>
          <w:rFonts w:eastAsia="Calibri"/>
          <w:lang w:val="en-GB"/>
        </w:rPr>
        <w:t>,</w:t>
      </w:r>
      <w:r w:rsidRPr="00D66356">
        <w:rPr>
          <w:rFonts w:eastAsia="Calibri"/>
          <w:lang w:val="en-GB"/>
        </w:rPr>
        <w:t xml:space="preserve"> and Monaco Smart Chips</w:t>
      </w:r>
      <w:r>
        <w:rPr>
          <w:rFonts w:eastAsia="Calibri"/>
          <w:lang w:val="en-GB"/>
        </w:rPr>
        <w:t>, but</w:t>
      </w:r>
      <w:r w:rsidRPr="00D66356">
        <w:rPr>
          <w:rFonts w:eastAsia="Calibri"/>
          <w:lang w:val="en-GB"/>
        </w:rPr>
        <w:t xml:space="preserve"> these products </w:t>
      </w:r>
      <w:r>
        <w:rPr>
          <w:rFonts w:eastAsia="Calibri"/>
          <w:lang w:val="en-GB"/>
        </w:rPr>
        <w:t>did</w:t>
      </w:r>
      <w:r w:rsidRPr="00D66356">
        <w:rPr>
          <w:rFonts w:eastAsia="Calibri"/>
          <w:lang w:val="en-GB"/>
        </w:rPr>
        <w:t xml:space="preserve"> not succeed</w:t>
      </w:r>
      <w:r>
        <w:rPr>
          <w:rFonts w:eastAsia="Calibri"/>
          <w:lang w:val="en-GB"/>
        </w:rPr>
        <w:t xml:space="preserve">, so </w:t>
      </w:r>
      <w:r w:rsidRPr="003B7361">
        <w:rPr>
          <w:rFonts w:eastAsia="Calibri"/>
          <w:lang w:val="en-GB"/>
        </w:rPr>
        <w:t xml:space="preserve">the company </w:t>
      </w:r>
      <w:r>
        <w:rPr>
          <w:rFonts w:eastAsia="Calibri"/>
          <w:lang w:val="en-GB"/>
        </w:rPr>
        <w:t>relaunched</w:t>
      </w:r>
      <w:r w:rsidRPr="00D66356">
        <w:rPr>
          <w:rFonts w:eastAsia="Calibri"/>
          <w:lang w:val="en-GB"/>
        </w:rPr>
        <w:t xml:space="preserve"> </w:t>
      </w:r>
      <w:r>
        <w:rPr>
          <w:rFonts w:eastAsia="Calibri"/>
          <w:lang w:val="en-GB"/>
        </w:rPr>
        <w:t xml:space="preserve">them </w:t>
      </w:r>
      <w:r w:rsidRPr="00D66356">
        <w:rPr>
          <w:rFonts w:eastAsia="Calibri"/>
          <w:lang w:val="en-GB"/>
        </w:rPr>
        <w:t xml:space="preserve">in 2011 </w:t>
      </w:r>
      <w:r>
        <w:rPr>
          <w:rFonts w:eastAsia="Calibri"/>
          <w:lang w:val="en-GB"/>
        </w:rPr>
        <w:t>under the</w:t>
      </w:r>
      <w:r w:rsidRPr="00D66356">
        <w:rPr>
          <w:rFonts w:eastAsia="Calibri"/>
          <w:lang w:val="en-GB"/>
        </w:rPr>
        <w:t xml:space="preserve"> brand names </w:t>
      </w:r>
      <w:r>
        <w:rPr>
          <w:rFonts w:eastAsia="Calibri"/>
          <w:lang w:val="en-GB"/>
        </w:rPr>
        <w:t>Parle’s</w:t>
      </w:r>
      <w:r w:rsidRPr="00D66356">
        <w:rPr>
          <w:rFonts w:eastAsia="Calibri"/>
          <w:lang w:val="en-GB"/>
        </w:rPr>
        <w:t xml:space="preserve"> Wafers and </w:t>
      </w:r>
      <w:r>
        <w:rPr>
          <w:rFonts w:eastAsia="Calibri"/>
          <w:lang w:val="en-GB"/>
        </w:rPr>
        <w:t>FullToss</w:t>
      </w:r>
      <w:r w:rsidRPr="00D66356">
        <w:rPr>
          <w:rFonts w:eastAsia="Calibri"/>
          <w:lang w:val="en-GB"/>
        </w:rPr>
        <w:t xml:space="preserve">. The company further expanded its snacks portfolio </w:t>
      </w:r>
      <w:r>
        <w:rPr>
          <w:rFonts w:eastAsia="Calibri"/>
          <w:lang w:val="en-GB"/>
        </w:rPr>
        <w:t>with</w:t>
      </w:r>
      <w:r w:rsidRPr="00D66356">
        <w:rPr>
          <w:rFonts w:eastAsia="Calibri"/>
          <w:lang w:val="en-GB"/>
        </w:rPr>
        <w:t xml:space="preserve"> Mexitos and Chatkeens</w:t>
      </w:r>
      <w:r>
        <w:rPr>
          <w:rFonts w:eastAsia="Calibri"/>
          <w:lang w:val="en-GB"/>
        </w:rPr>
        <w:t xml:space="preserve"> Nankeen</w:t>
      </w:r>
      <w:r w:rsidRPr="00D66356">
        <w:rPr>
          <w:rFonts w:eastAsia="Calibri"/>
          <w:lang w:val="en-GB"/>
        </w:rPr>
        <w:t xml:space="preserve">. </w:t>
      </w:r>
      <w:r w:rsidRPr="00E902F2">
        <w:rPr>
          <w:rFonts w:eastAsia="Calibri"/>
          <w:lang w:val="en-GB"/>
        </w:rPr>
        <w:t xml:space="preserve">For </w:t>
      </w:r>
      <w:r>
        <w:rPr>
          <w:rFonts w:eastAsia="Calibri"/>
          <w:lang w:val="en-GB"/>
        </w:rPr>
        <w:t xml:space="preserve">the </w:t>
      </w:r>
      <w:r w:rsidRPr="00E902F2">
        <w:rPr>
          <w:rFonts w:eastAsia="Calibri"/>
          <w:lang w:val="en-GB"/>
        </w:rPr>
        <w:t xml:space="preserve">snacks segment, Parle was more focused on </w:t>
      </w:r>
      <w:r>
        <w:rPr>
          <w:rFonts w:eastAsia="Calibri"/>
          <w:lang w:val="en-GB"/>
        </w:rPr>
        <w:t>the northern</w:t>
      </w:r>
      <w:r w:rsidRPr="00E902F2">
        <w:rPr>
          <w:rFonts w:eastAsia="Calibri"/>
          <w:lang w:val="en-GB"/>
        </w:rPr>
        <w:t xml:space="preserve"> </w:t>
      </w:r>
      <w:r w:rsidRPr="003B7361">
        <w:rPr>
          <w:rFonts w:eastAsia="Calibri"/>
          <w:lang w:val="en-GB"/>
        </w:rPr>
        <w:t xml:space="preserve">and </w:t>
      </w:r>
      <w:r>
        <w:rPr>
          <w:rFonts w:eastAsia="Calibri"/>
          <w:lang w:val="en-GB"/>
        </w:rPr>
        <w:t>western</w:t>
      </w:r>
      <w:r w:rsidRPr="00E902F2">
        <w:rPr>
          <w:rFonts w:eastAsia="Calibri"/>
          <w:lang w:val="en-GB"/>
        </w:rPr>
        <w:t xml:space="preserve"> </w:t>
      </w:r>
      <w:r w:rsidRPr="003B7361">
        <w:rPr>
          <w:rFonts w:eastAsia="Calibri"/>
          <w:lang w:val="en-GB"/>
        </w:rPr>
        <w:t xml:space="preserve">regions. </w:t>
      </w:r>
      <w:r w:rsidRPr="00D66356">
        <w:rPr>
          <w:rFonts w:eastAsia="Calibri"/>
          <w:lang w:val="en-GB"/>
        </w:rPr>
        <w:t>In an intensely competitive snacks market</w:t>
      </w:r>
      <w:r>
        <w:rPr>
          <w:rFonts w:eastAsia="Calibri"/>
          <w:lang w:val="en-GB"/>
        </w:rPr>
        <w:t xml:space="preserve">, </w:t>
      </w:r>
      <w:r w:rsidRPr="00D66356">
        <w:rPr>
          <w:rFonts w:eastAsia="Calibri"/>
          <w:lang w:val="en-GB"/>
        </w:rPr>
        <w:t>Parle had a miniscule market share</w:t>
      </w:r>
      <w:r>
        <w:rPr>
          <w:rFonts w:eastAsia="Calibri"/>
          <w:lang w:val="en-GB"/>
        </w:rPr>
        <w:t xml:space="preserve"> </w:t>
      </w:r>
      <w:r w:rsidRPr="00D66356">
        <w:rPr>
          <w:rFonts w:eastAsia="Calibri"/>
          <w:lang w:val="en-GB"/>
        </w:rPr>
        <w:t>of just over 5</w:t>
      </w:r>
      <w:r>
        <w:rPr>
          <w:rFonts w:eastAsia="Calibri"/>
          <w:lang w:val="en-GB"/>
        </w:rPr>
        <w:t xml:space="preserve"> per cent,</w:t>
      </w:r>
      <w:r w:rsidRPr="00D66356">
        <w:rPr>
          <w:rFonts w:eastAsia="Calibri"/>
          <w:vertAlign w:val="superscript"/>
          <w:lang w:val="en-GB"/>
        </w:rPr>
        <w:endnoteReference w:id="47"/>
      </w:r>
      <w:r w:rsidRPr="00D66356">
        <w:rPr>
          <w:rFonts w:eastAsia="Calibri"/>
          <w:lang w:val="en-GB"/>
        </w:rPr>
        <w:t xml:space="preserve"> </w:t>
      </w:r>
      <w:r>
        <w:rPr>
          <w:rFonts w:eastAsia="Calibri"/>
          <w:lang w:val="en-GB"/>
        </w:rPr>
        <w:t>which made up only</w:t>
      </w:r>
      <w:r w:rsidRPr="003B7361">
        <w:rPr>
          <w:rFonts w:eastAsia="Calibri"/>
          <w:lang w:val="en-GB"/>
        </w:rPr>
        <w:t xml:space="preserve"> 3</w:t>
      </w:r>
      <w:r>
        <w:rPr>
          <w:rFonts w:eastAsia="Calibri"/>
          <w:lang w:val="en-GB"/>
        </w:rPr>
        <w:t xml:space="preserve"> per cent</w:t>
      </w:r>
      <w:r w:rsidRPr="003B7361">
        <w:rPr>
          <w:rFonts w:eastAsia="Calibri"/>
          <w:lang w:val="en-GB"/>
        </w:rPr>
        <w:t xml:space="preserve"> of </w:t>
      </w:r>
      <w:r>
        <w:rPr>
          <w:rFonts w:eastAsia="Calibri"/>
          <w:lang w:val="en-GB"/>
        </w:rPr>
        <w:t>Parle’s</w:t>
      </w:r>
      <w:r w:rsidRPr="003B7361">
        <w:rPr>
          <w:rFonts w:eastAsia="Calibri"/>
          <w:lang w:val="en-GB"/>
        </w:rPr>
        <w:t xml:space="preserve"> overall revenue.</w:t>
      </w:r>
      <w:r w:rsidRPr="00E902F2">
        <w:rPr>
          <w:rFonts w:eastAsia="Calibri"/>
          <w:vertAlign w:val="superscript"/>
          <w:lang w:val="en-GB"/>
        </w:rPr>
        <w:endnoteReference w:id="48"/>
      </w:r>
      <w:r w:rsidRPr="00E902F2">
        <w:rPr>
          <w:rFonts w:eastAsia="Calibri"/>
          <w:lang w:val="en-GB"/>
        </w:rPr>
        <w:t xml:space="preserve"> </w:t>
      </w:r>
      <w:r>
        <w:rPr>
          <w:rFonts w:eastAsia="Calibri"/>
          <w:lang w:val="en-GB"/>
        </w:rPr>
        <w:t xml:space="preserve">The </w:t>
      </w:r>
      <w:r w:rsidRPr="003B7361">
        <w:rPr>
          <w:rFonts w:eastAsia="Calibri"/>
          <w:lang w:val="en-GB"/>
        </w:rPr>
        <w:t>snacks market</w:t>
      </w:r>
      <w:r>
        <w:rPr>
          <w:rFonts w:eastAsia="Calibri"/>
          <w:lang w:val="en-GB"/>
        </w:rPr>
        <w:t>, however,</w:t>
      </w:r>
      <w:r w:rsidRPr="00E902F2">
        <w:rPr>
          <w:rFonts w:eastAsia="Calibri"/>
          <w:lang w:val="en-GB"/>
        </w:rPr>
        <w:t xml:space="preserve"> was expected to register a CAGR of </w:t>
      </w:r>
      <w:r>
        <w:rPr>
          <w:rFonts w:eastAsia="Calibri"/>
          <w:lang w:val="en-GB"/>
        </w:rPr>
        <w:t>more than</w:t>
      </w:r>
      <w:r w:rsidRPr="00E902F2">
        <w:rPr>
          <w:rFonts w:eastAsia="Calibri"/>
          <w:lang w:val="en-GB"/>
        </w:rPr>
        <w:t xml:space="preserve"> </w:t>
      </w:r>
      <w:r w:rsidRPr="003B7361">
        <w:rPr>
          <w:rFonts w:eastAsia="Calibri"/>
          <w:lang w:val="en-GB"/>
        </w:rPr>
        <w:t>30</w:t>
      </w:r>
      <w:r>
        <w:rPr>
          <w:rFonts w:eastAsia="Calibri"/>
          <w:lang w:val="en-GB"/>
        </w:rPr>
        <w:t xml:space="preserve"> per cent</w:t>
      </w:r>
      <w:r w:rsidRPr="003B7361">
        <w:rPr>
          <w:rFonts w:eastAsia="Calibri"/>
          <w:lang w:val="en-GB"/>
        </w:rPr>
        <w:t xml:space="preserve"> during the same period (see Exhibit 4).</w:t>
      </w:r>
      <w:r w:rsidRPr="00E902F2">
        <w:rPr>
          <w:rFonts w:eastAsia="Calibri"/>
          <w:vertAlign w:val="superscript"/>
          <w:lang w:val="en-GB"/>
        </w:rPr>
        <w:endnoteReference w:id="49"/>
      </w:r>
      <w:r w:rsidRPr="00E902F2">
        <w:rPr>
          <w:rFonts w:eastAsia="Calibri"/>
          <w:lang w:val="en-GB"/>
        </w:rPr>
        <w:t xml:space="preserve"> PepsiCo India </w:t>
      </w:r>
      <w:r w:rsidRPr="00537D0D">
        <w:rPr>
          <w:rFonts w:eastAsia="Calibri"/>
          <w:lang w:val="en-GB"/>
        </w:rPr>
        <w:t xml:space="preserve">was leading the </w:t>
      </w:r>
      <w:r>
        <w:rPr>
          <w:rFonts w:eastAsia="Calibri"/>
          <w:lang w:val="en-GB"/>
        </w:rPr>
        <w:t>namkeen</w:t>
      </w:r>
      <w:r w:rsidRPr="00537D0D">
        <w:rPr>
          <w:rFonts w:eastAsia="Calibri"/>
          <w:lang w:val="en-GB"/>
        </w:rPr>
        <w:t xml:space="preserve"> market in India </w:t>
      </w:r>
      <w:r w:rsidRPr="00E902F2">
        <w:rPr>
          <w:rFonts w:eastAsia="Calibri"/>
          <w:lang w:val="en-GB"/>
        </w:rPr>
        <w:t xml:space="preserve">with a market share of </w:t>
      </w:r>
      <w:r>
        <w:rPr>
          <w:rFonts w:eastAsia="Calibri"/>
          <w:lang w:val="en-GB"/>
        </w:rPr>
        <w:t xml:space="preserve">more than </w:t>
      </w:r>
      <w:r w:rsidRPr="00E902F2">
        <w:rPr>
          <w:rFonts w:eastAsia="Calibri"/>
          <w:lang w:val="en-GB"/>
        </w:rPr>
        <w:t>49</w:t>
      </w:r>
      <w:r>
        <w:rPr>
          <w:rFonts w:eastAsia="Calibri"/>
          <w:lang w:val="en-GB"/>
        </w:rPr>
        <w:t xml:space="preserve"> per cent</w:t>
      </w:r>
      <w:r w:rsidRPr="003B7361">
        <w:rPr>
          <w:rFonts w:eastAsia="Calibri"/>
          <w:lang w:val="en-GB"/>
        </w:rPr>
        <w:t xml:space="preserve"> (see Exhibit 5).</w:t>
      </w:r>
    </w:p>
    <w:p w14:paraId="35D0F0CA" w14:textId="77777777" w:rsidR="00E0759F" w:rsidRPr="000176CC" w:rsidRDefault="00E0759F" w:rsidP="00337DF9">
      <w:pPr>
        <w:pStyle w:val="BodyTextMain"/>
        <w:rPr>
          <w:rFonts w:eastAsia="Calibri"/>
          <w:lang w:val="en-GB"/>
        </w:rPr>
      </w:pPr>
    </w:p>
    <w:p w14:paraId="2BB23479" w14:textId="77777777" w:rsidR="00E0759F" w:rsidRPr="000176CC" w:rsidRDefault="00E0759F" w:rsidP="00337DF9">
      <w:pPr>
        <w:pStyle w:val="BodyTextMain"/>
        <w:rPr>
          <w:rFonts w:eastAsia="Calibri"/>
          <w:lang w:val="en-GB"/>
        </w:rPr>
      </w:pPr>
    </w:p>
    <w:p w14:paraId="41481DAC" w14:textId="77777777" w:rsidR="00E0759F" w:rsidRPr="000176CC" w:rsidRDefault="00E0759F" w:rsidP="00B05C1B">
      <w:pPr>
        <w:pStyle w:val="Casehead2"/>
        <w:keepNext/>
        <w:rPr>
          <w:rFonts w:eastAsia="Calibri"/>
          <w:lang w:val="en-GB"/>
        </w:rPr>
      </w:pPr>
      <w:r w:rsidRPr="000176CC">
        <w:rPr>
          <w:rFonts w:eastAsia="Calibri"/>
          <w:lang w:val="en-GB"/>
        </w:rPr>
        <w:lastRenderedPageBreak/>
        <w:t>Rusk</w:t>
      </w:r>
    </w:p>
    <w:p w14:paraId="042C6B1D" w14:textId="77777777" w:rsidR="00E0759F" w:rsidRPr="000176CC" w:rsidRDefault="00E0759F" w:rsidP="00B05C1B">
      <w:pPr>
        <w:pStyle w:val="BodyTextMain"/>
        <w:keepNext/>
        <w:rPr>
          <w:rFonts w:eastAsia="Calibri"/>
          <w:lang w:val="en-GB"/>
        </w:rPr>
      </w:pPr>
    </w:p>
    <w:p w14:paraId="1307CE19" w14:textId="6115F768" w:rsidR="00E0759F" w:rsidRPr="00D66356" w:rsidRDefault="00E0759F" w:rsidP="00B05C1B">
      <w:pPr>
        <w:pStyle w:val="BodyTextMain"/>
        <w:keepNext/>
        <w:rPr>
          <w:rFonts w:eastAsia="Calibri"/>
          <w:lang w:val="en-GB"/>
        </w:rPr>
      </w:pPr>
      <w:r>
        <w:rPr>
          <w:rFonts w:eastAsia="Calibri"/>
          <w:lang w:val="en-GB"/>
        </w:rPr>
        <w:t>Parle had had a presence in the</w:t>
      </w:r>
      <w:r w:rsidRPr="003B7361">
        <w:rPr>
          <w:rFonts w:eastAsia="Calibri"/>
          <w:lang w:val="en-GB"/>
        </w:rPr>
        <w:t xml:space="preserve"> relatively untapped and largely unorganized </w:t>
      </w:r>
      <w:r>
        <w:rPr>
          <w:rFonts w:eastAsia="Calibri"/>
          <w:lang w:val="en-GB"/>
        </w:rPr>
        <w:t xml:space="preserve">rusk </w:t>
      </w:r>
      <w:r w:rsidRPr="00E902F2">
        <w:rPr>
          <w:rFonts w:eastAsia="Calibri"/>
          <w:lang w:val="en-GB"/>
        </w:rPr>
        <w:t>segment</w:t>
      </w:r>
      <w:r>
        <w:rPr>
          <w:rFonts w:eastAsia="Calibri"/>
          <w:lang w:val="en-GB"/>
        </w:rPr>
        <w:t xml:space="preserve"> </w:t>
      </w:r>
      <w:r w:rsidRPr="00D66356">
        <w:rPr>
          <w:rFonts w:eastAsia="Calibri"/>
          <w:lang w:val="en-GB"/>
        </w:rPr>
        <w:t>since 2013.</w:t>
      </w:r>
      <w:r w:rsidRPr="00D66356">
        <w:rPr>
          <w:rFonts w:eastAsia="Calibri"/>
          <w:vertAlign w:val="superscript"/>
          <w:lang w:val="en-GB"/>
        </w:rPr>
        <w:endnoteReference w:id="50"/>
      </w:r>
      <w:r w:rsidRPr="00D66356">
        <w:rPr>
          <w:rFonts w:eastAsia="Calibri"/>
          <w:lang w:val="en-GB"/>
        </w:rPr>
        <w:t xml:space="preserve"> For its rusk business, the company initially focused </w:t>
      </w:r>
      <w:r>
        <w:rPr>
          <w:rFonts w:eastAsia="Calibri"/>
          <w:lang w:val="en-GB"/>
        </w:rPr>
        <w:t>on</w:t>
      </w:r>
      <w:r w:rsidRPr="00D66356">
        <w:rPr>
          <w:rFonts w:eastAsia="Calibri"/>
          <w:lang w:val="en-GB"/>
        </w:rPr>
        <w:t xml:space="preserve"> the </w:t>
      </w:r>
      <w:r>
        <w:rPr>
          <w:rFonts w:eastAsia="Calibri"/>
          <w:lang w:val="en-GB"/>
        </w:rPr>
        <w:t>eastern region</w:t>
      </w:r>
      <w:r w:rsidRPr="00D66356">
        <w:rPr>
          <w:rFonts w:eastAsia="Calibri"/>
          <w:lang w:val="en-GB"/>
        </w:rPr>
        <w:t xml:space="preserve"> of India</w:t>
      </w:r>
      <w:r>
        <w:rPr>
          <w:rFonts w:eastAsia="Calibri"/>
          <w:lang w:val="en-GB"/>
        </w:rPr>
        <w:t>,</w:t>
      </w:r>
      <w:r w:rsidRPr="00D66356">
        <w:rPr>
          <w:rFonts w:eastAsia="Calibri"/>
          <w:lang w:val="en-GB"/>
        </w:rPr>
        <w:t xml:space="preserve"> gradually </w:t>
      </w:r>
      <w:r>
        <w:rPr>
          <w:rFonts w:eastAsia="Calibri"/>
          <w:lang w:val="en-GB"/>
        </w:rPr>
        <w:t>expanding</w:t>
      </w:r>
      <w:r w:rsidRPr="00D66356">
        <w:rPr>
          <w:rFonts w:eastAsia="Calibri"/>
          <w:lang w:val="en-GB"/>
        </w:rPr>
        <w:t xml:space="preserve"> its reach to the other parts of the country. Starting with </w:t>
      </w:r>
      <w:r>
        <w:rPr>
          <w:rFonts w:eastAsia="Calibri"/>
          <w:lang w:val="en-GB"/>
        </w:rPr>
        <w:t>cardamom</w:t>
      </w:r>
      <w:r w:rsidRPr="00D66356">
        <w:rPr>
          <w:rFonts w:eastAsia="Calibri"/>
          <w:lang w:val="en-GB"/>
        </w:rPr>
        <w:t xml:space="preserve"> rusk, the </w:t>
      </w:r>
      <w:r>
        <w:rPr>
          <w:rFonts w:eastAsia="Calibri"/>
          <w:lang w:val="en-GB"/>
        </w:rPr>
        <w:t>company’s</w:t>
      </w:r>
      <w:r w:rsidRPr="00D66356">
        <w:rPr>
          <w:rFonts w:eastAsia="Calibri"/>
          <w:lang w:val="en-GB"/>
        </w:rPr>
        <w:t xml:space="preserve"> rusk segment </w:t>
      </w:r>
      <w:r>
        <w:rPr>
          <w:rFonts w:eastAsia="Calibri"/>
          <w:lang w:val="en-GB"/>
        </w:rPr>
        <w:t xml:space="preserve">expanded </w:t>
      </w:r>
      <w:r w:rsidRPr="00D66356">
        <w:rPr>
          <w:rFonts w:eastAsia="Calibri"/>
          <w:lang w:val="en-GB"/>
        </w:rPr>
        <w:t>to include milk rusk, garlic bread toast</w:t>
      </w:r>
      <w:r>
        <w:rPr>
          <w:rFonts w:eastAsia="Calibri"/>
          <w:lang w:val="en-GB"/>
        </w:rPr>
        <w:t>,</w:t>
      </w:r>
      <w:r w:rsidRPr="00D66356">
        <w:rPr>
          <w:rFonts w:eastAsia="Calibri"/>
          <w:lang w:val="en-GB"/>
        </w:rPr>
        <w:t xml:space="preserve"> and cake rusk. With a market share of 18 to 20</w:t>
      </w:r>
      <w:r>
        <w:rPr>
          <w:rFonts w:eastAsia="Calibri"/>
          <w:lang w:val="en-GB"/>
        </w:rPr>
        <w:t xml:space="preserve"> per cent</w:t>
      </w:r>
      <w:r w:rsidRPr="00D66356">
        <w:rPr>
          <w:rFonts w:eastAsia="Calibri"/>
          <w:lang w:val="en-GB"/>
        </w:rPr>
        <w:t xml:space="preserve">, </w:t>
      </w:r>
      <w:r>
        <w:rPr>
          <w:rFonts w:eastAsia="Calibri"/>
          <w:lang w:val="en-GB"/>
        </w:rPr>
        <w:t>the rusk and cake</w:t>
      </w:r>
      <w:r w:rsidRPr="00D66356">
        <w:rPr>
          <w:rFonts w:eastAsia="Calibri"/>
          <w:lang w:val="en-GB"/>
        </w:rPr>
        <w:t xml:space="preserve"> segment contributed less than 1 </w:t>
      </w:r>
      <w:r>
        <w:rPr>
          <w:rFonts w:eastAsia="Calibri"/>
          <w:lang w:val="en-GB"/>
        </w:rPr>
        <w:t xml:space="preserve">per cent </w:t>
      </w:r>
      <w:r w:rsidRPr="00D66356">
        <w:rPr>
          <w:rFonts w:eastAsia="Calibri"/>
          <w:lang w:val="en-GB"/>
        </w:rPr>
        <w:t xml:space="preserve">to </w:t>
      </w:r>
      <w:r>
        <w:rPr>
          <w:rFonts w:eastAsia="Calibri"/>
          <w:lang w:val="en-GB"/>
        </w:rPr>
        <w:t>Parle’s overall revenue</w:t>
      </w:r>
      <w:r w:rsidRPr="00D66356">
        <w:rPr>
          <w:rFonts w:eastAsia="Calibri"/>
          <w:lang w:val="en-GB"/>
        </w:rPr>
        <w:t>.</w:t>
      </w:r>
      <w:r w:rsidRPr="00D66356">
        <w:rPr>
          <w:rFonts w:eastAsia="Calibri"/>
          <w:vertAlign w:val="superscript"/>
          <w:lang w:val="en-GB"/>
        </w:rPr>
        <w:endnoteReference w:id="51"/>
      </w:r>
      <w:r w:rsidRPr="00D66356">
        <w:rPr>
          <w:rFonts w:eastAsia="Calibri"/>
          <w:lang w:val="en-GB"/>
        </w:rPr>
        <w:t xml:space="preserve"> Britannia, a leading player in this segment, had a market share of 36</w:t>
      </w:r>
      <w:r>
        <w:rPr>
          <w:rFonts w:eastAsia="Calibri"/>
          <w:lang w:val="en-GB"/>
        </w:rPr>
        <w:t xml:space="preserve"> per cent</w:t>
      </w:r>
      <w:r w:rsidRPr="00D66356">
        <w:rPr>
          <w:rFonts w:eastAsia="Calibri"/>
          <w:lang w:val="en-GB"/>
        </w:rPr>
        <w:t>.</w:t>
      </w:r>
      <w:r w:rsidRPr="00D66356">
        <w:rPr>
          <w:rFonts w:eastAsia="Calibri"/>
          <w:vertAlign w:val="superscript"/>
          <w:lang w:val="en-GB"/>
        </w:rPr>
        <w:endnoteReference w:id="52"/>
      </w:r>
    </w:p>
    <w:p w14:paraId="10CB74FD" w14:textId="77777777" w:rsidR="007F7069" w:rsidRDefault="007F7069" w:rsidP="00337DF9">
      <w:pPr>
        <w:pStyle w:val="Casehead2"/>
        <w:rPr>
          <w:rFonts w:eastAsia="Calibri"/>
          <w:lang w:val="en-GB"/>
        </w:rPr>
      </w:pPr>
    </w:p>
    <w:p w14:paraId="70D85D01" w14:textId="77777777" w:rsidR="007F7069" w:rsidRDefault="007F7069" w:rsidP="00337DF9">
      <w:pPr>
        <w:pStyle w:val="Casehead2"/>
        <w:rPr>
          <w:rFonts w:eastAsia="Calibri"/>
          <w:lang w:val="en-GB"/>
        </w:rPr>
      </w:pPr>
    </w:p>
    <w:p w14:paraId="2835C506" w14:textId="6853C5CE" w:rsidR="00E0759F" w:rsidRPr="000176CC" w:rsidRDefault="00E0759F" w:rsidP="00337DF9">
      <w:pPr>
        <w:pStyle w:val="Casehead2"/>
        <w:rPr>
          <w:rFonts w:eastAsia="Calibri"/>
          <w:lang w:val="en-GB"/>
        </w:rPr>
      </w:pPr>
      <w:r w:rsidRPr="000176CC">
        <w:rPr>
          <w:rFonts w:eastAsia="Calibri"/>
          <w:lang w:val="en-GB"/>
        </w:rPr>
        <w:t>Pulses</w:t>
      </w:r>
    </w:p>
    <w:p w14:paraId="385A8851" w14:textId="77777777" w:rsidR="00E0759F" w:rsidRPr="000176CC" w:rsidRDefault="00E0759F" w:rsidP="00337DF9">
      <w:pPr>
        <w:pStyle w:val="BodyTextMain"/>
        <w:rPr>
          <w:rFonts w:eastAsia="Calibri"/>
          <w:b/>
          <w:bCs/>
          <w:i/>
          <w:iCs/>
          <w:lang w:val="en-GB"/>
        </w:rPr>
      </w:pPr>
    </w:p>
    <w:p w14:paraId="2D7A5D04" w14:textId="4EA75F56" w:rsidR="00E0759F" w:rsidRPr="00B05C1B" w:rsidRDefault="00E0759F" w:rsidP="00B05C1B">
      <w:pPr>
        <w:pStyle w:val="BodyTextMain"/>
        <w:rPr>
          <w:rFonts w:eastAsia="Calibri"/>
        </w:rPr>
      </w:pPr>
      <w:r w:rsidRPr="000176CC">
        <w:rPr>
          <w:rFonts w:eastAsia="Calibri"/>
          <w:lang w:val="en-GB"/>
        </w:rPr>
        <w:t>India was the world’s largest producer and consumer of pulses</w:t>
      </w:r>
      <w:r>
        <w:rPr>
          <w:rFonts w:eastAsia="Calibri"/>
          <w:lang w:val="en-GB"/>
        </w:rPr>
        <w:t>, with</w:t>
      </w:r>
      <w:r w:rsidRPr="000176CC">
        <w:rPr>
          <w:rFonts w:eastAsia="Calibri"/>
          <w:lang w:val="en-GB"/>
        </w:rPr>
        <w:t xml:space="preserve"> a</w:t>
      </w:r>
      <w:r w:rsidR="002D3BF9">
        <w:rPr>
          <w:rFonts w:eastAsia="Calibri"/>
          <w:lang w:val="en-GB"/>
        </w:rPr>
        <w:t xml:space="preserve"> combined </w:t>
      </w:r>
      <w:r>
        <w:rPr>
          <w:rFonts w:eastAsia="Calibri"/>
          <w:lang w:val="en-GB"/>
        </w:rPr>
        <w:t>estimate</w:t>
      </w:r>
      <w:r w:rsidR="002D3BF9">
        <w:rPr>
          <w:rFonts w:eastAsia="Calibri"/>
          <w:lang w:val="en-GB"/>
        </w:rPr>
        <w:t xml:space="preserve"> of</w:t>
      </w:r>
      <w:r w:rsidRPr="000176CC">
        <w:rPr>
          <w:rFonts w:eastAsia="Calibri"/>
          <w:lang w:val="en-GB"/>
        </w:rPr>
        <w:t xml:space="preserve"> 27 million </w:t>
      </w:r>
      <w:r>
        <w:rPr>
          <w:rFonts w:eastAsia="Calibri"/>
          <w:lang w:val="en-GB"/>
        </w:rPr>
        <w:t>metric tons</w:t>
      </w:r>
      <w:r w:rsidRPr="000176CC">
        <w:rPr>
          <w:rFonts w:eastAsia="Calibri"/>
          <w:lang w:val="en-GB"/>
        </w:rPr>
        <w:t xml:space="preserve"> per annum.</w:t>
      </w:r>
      <w:r w:rsidRPr="000176CC">
        <w:rPr>
          <w:rFonts w:eastAsia="Calibri"/>
          <w:vertAlign w:val="superscript"/>
          <w:lang w:val="en-GB"/>
        </w:rPr>
        <w:endnoteReference w:id="53"/>
      </w:r>
      <w:r w:rsidRPr="000176CC">
        <w:rPr>
          <w:rFonts w:eastAsia="Calibri"/>
          <w:lang w:val="en-GB"/>
        </w:rPr>
        <w:t xml:space="preserve"> The demand for pulses was expected to grow to 35 million </w:t>
      </w:r>
      <w:r>
        <w:rPr>
          <w:rFonts w:eastAsia="Calibri"/>
          <w:lang w:val="en-GB"/>
        </w:rPr>
        <w:t>metric tons</w:t>
      </w:r>
      <w:r w:rsidRPr="000176CC">
        <w:rPr>
          <w:rFonts w:eastAsia="Calibri"/>
          <w:lang w:val="en-GB"/>
        </w:rPr>
        <w:t xml:space="preserve"> by 2020. </w:t>
      </w:r>
      <w:r>
        <w:rPr>
          <w:rFonts w:eastAsia="Calibri"/>
          <w:lang w:val="en-GB"/>
        </w:rPr>
        <w:t>Ninety-nine per cent</w:t>
      </w:r>
      <w:r w:rsidRPr="000176CC">
        <w:rPr>
          <w:rFonts w:eastAsia="Calibri"/>
          <w:lang w:val="en-GB"/>
        </w:rPr>
        <w:t xml:space="preserve"> of </w:t>
      </w:r>
      <w:r>
        <w:rPr>
          <w:rFonts w:eastAsia="Calibri"/>
          <w:lang w:val="en-GB"/>
        </w:rPr>
        <w:t xml:space="preserve">the </w:t>
      </w:r>
      <w:r w:rsidRPr="00B05C1B">
        <w:rPr>
          <w:rFonts w:eastAsia="Calibri"/>
        </w:rPr>
        <w:t>pulses market was unorganized and dominated by unbranded products.</w:t>
      </w:r>
      <w:r w:rsidRPr="000D37F4">
        <w:rPr>
          <w:rFonts w:eastAsia="Calibri"/>
          <w:vertAlign w:val="superscript"/>
        </w:rPr>
        <w:endnoteReference w:id="54"/>
      </w:r>
      <w:r w:rsidRPr="00B05C1B">
        <w:rPr>
          <w:rFonts w:eastAsia="Calibri"/>
        </w:rPr>
        <w:t xml:space="preserve"> “[The] commodities market is a challenging space to be in. Consumers still do not differentiate between branded products and loose products. By and large, consumers are not inclined to buying packed pulses,” said Shah.</w:t>
      </w:r>
      <w:r w:rsidRPr="00B05C1B">
        <w:rPr>
          <w:rFonts w:eastAsia="Calibri"/>
          <w:vertAlign w:val="superscript"/>
        </w:rPr>
        <w:endnoteReference w:id="55"/>
      </w:r>
      <w:r w:rsidRPr="00B05C1B">
        <w:rPr>
          <w:rFonts w:eastAsia="Calibri"/>
        </w:rPr>
        <w:t xml:space="preserve"> However, changing tastes and preferences and increasing awareness for quality health products presented a huge opportunity for the growth of branded pulses.</w:t>
      </w:r>
    </w:p>
    <w:p w14:paraId="5D1C7753" w14:textId="77777777" w:rsidR="00E0759F" w:rsidRPr="00B05C1B" w:rsidRDefault="00E0759F" w:rsidP="00B05C1B">
      <w:pPr>
        <w:pStyle w:val="BodyTextMain"/>
        <w:rPr>
          <w:rFonts w:eastAsia="Calibri"/>
        </w:rPr>
      </w:pPr>
    </w:p>
    <w:p w14:paraId="4A4F2451" w14:textId="365178EE" w:rsidR="00E0759F" w:rsidRPr="000176CC" w:rsidRDefault="00E0759F" w:rsidP="00B05C1B">
      <w:pPr>
        <w:pStyle w:val="BodyTextMain"/>
        <w:rPr>
          <w:rFonts w:eastAsia="Calibri"/>
          <w:shd w:val="clear" w:color="auto" w:fill="FFFFFF"/>
          <w:lang w:val="en-GB"/>
        </w:rPr>
      </w:pPr>
      <w:r w:rsidRPr="00B05C1B">
        <w:rPr>
          <w:rFonts w:eastAsia="Calibri"/>
        </w:rPr>
        <w:t>In 2017, Parle entered the pulses segment by launching the brand Fresh Harvest, which included pulses sourced from the best farms in Maharashtra and Karnataka states.</w:t>
      </w:r>
      <w:r w:rsidRPr="00B05C1B">
        <w:rPr>
          <w:rFonts w:eastAsia="Calibri"/>
          <w:vertAlign w:val="superscript"/>
        </w:rPr>
        <w:endnoteReference w:id="56"/>
      </w:r>
      <w:r w:rsidRPr="00B05C1B">
        <w:rPr>
          <w:rFonts w:eastAsia="Calibri"/>
        </w:rPr>
        <w:t> </w:t>
      </w:r>
    </w:p>
    <w:p w14:paraId="3715E94A" w14:textId="77777777" w:rsidR="00E0759F" w:rsidRPr="000176CC" w:rsidRDefault="00E0759F" w:rsidP="00337DF9">
      <w:pPr>
        <w:pStyle w:val="BodyTextMain"/>
        <w:rPr>
          <w:rFonts w:eastAsia="Calibri"/>
          <w:shd w:val="clear" w:color="auto" w:fill="FFFFFF"/>
          <w:lang w:val="en-GB"/>
        </w:rPr>
      </w:pPr>
    </w:p>
    <w:p w14:paraId="5EA386BC" w14:textId="77777777" w:rsidR="00E0759F" w:rsidRPr="000176CC" w:rsidRDefault="00E0759F" w:rsidP="00337DF9">
      <w:pPr>
        <w:pStyle w:val="BodyTextMain"/>
        <w:rPr>
          <w:rFonts w:eastAsia="Calibri"/>
          <w:shd w:val="clear" w:color="auto" w:fill="FFFFFF"/>
          <w:lang w:val="en-GB"/>
        </w:rPr>
      </w:pPr>
    </w:p>
    <w:p w14:paraId="5931044D" w14:textId="77777777" w:rsidR="00E0759F" w:rsidRPr="000176CC" w:rsidRDefault="00E0759F" w:rsidP="00337DF9">
      <w:pPr>
        <w:pStyle w:val="Casehead1"/>
        <w:rPr>
          <w:rFonts w:eastAsia="Calibri"/>
          <w:lang w:val="en-GB"/>
        </w:rPr>
      </w:pPr>
      <w:r w:rsidRPr="000176CC">
        <w:rPr>
          <w:rFonts w:eastAsia="Calibri"/>
          <w:lang w:val="en-GB"/>
        </w:rPr>
        <w:t>Economic Scenario and Market for Biscuits</w:t>
      </w:r>
    </w:p>
    <w:p w14:paraId="4274C5BF" w14:textId="77777777" w:rsidR="00E0759F" w:rsidRPr="000176CC" w:rsidRDefault="00E0759F" w:rsidP="00337DF9">
      <w:pPr>
        <w:pStyle w:val="Casehead1"/>
        <w:rPr>
          <w:rFonts w:eastAsia="Calibri"/>
          <w:lang w:val="en-GB"/>
        </w:rPr>
      </w:pPr>
    </w:p>
    <w:p w14:paraId="487EE5C0" w14:textId="390DEBB6" w:rsidR="00E0759F" w:rsidRPr="000176CC" w:rsidRDefault="00E0759F" w:rsidP="00337DF9">
      <w:pPr>
        <w:pStyle w:val="BodyTextMain"/>
        <w:rPr>
          <w:rFonts w:eastAsia="Calibri"/>
          <w:lang w:val="en-GB"/>
        </w:rPr>
      </w:pPr>
      <w:r>
        <w:rPr>
          <w:rFonts w:eastAsia="Calibri"/>
          <w:lang w:val="en-GB"/>
        </w:rPr>
        <w:t xml:space="preserve">The </w:t>
      </w:r>
      <w:r w:rsidRPr="000176CC">
        <w:rPr>
          <w:rFonts w:eastAsia="Calibri"/>
          <w:lang w:val="en-GB"/>
        </w:rPr>
        <w:t xml:space="preserve">Indian retail market was expected to be one of the </w:t>
      </w:r>
      <w:r>
        <w:rPr>
          <w:rFonts w:eastAsia="Calibri"/>
          <w:lang w:val="en-GB"/>
        </w:rPr>
        <w:t>fastest-growing markets</w:t>
      </w:r>
      <w:r w:rsidRPr="000176CC">
        <w:rPr>
          <w:rFonts w:eastAsia="Calibri"/>
          <w:lang w:val="en-GB"/>
        </w:rPr>
        <w:t xml:space="preserve"> in the world. In the retail segment, </w:t>
      </w:r>
      <w:r>
        <w:rPr>
          <w:rFonts w:eastAsia="Calibri"/>
          <w:lang w:val="en-GB"/>
        </w:rPr>
        <w:t>the food and grocery</w:t>
      </w:r>
      <w:r w:rsidRPr="000176CC">
        <w:rPr>
          <w:rFonts w:eastAsia="Calibri"/>
          <w:lang w:val="en-GB"/>
        </w:rPr>
        <w:t xml:space="preserve"> category </w:t>
      </w:r>
      <w:proofErr w:type="gramStart"/>
      <w:r w:rsidRPr="000176CC">
        <w:rPr>
          <w:rFonts w:eastAsia="Calibri"/>
          <w:lang w:val="en-GB"/>
        </w:rPr>
        <w:t>was</w:t>
      </w:r>
      <w:proofErr w:type="gramEnd"/>
      <w:r w:rsidRPr="000176CC">
        <w:rPr>
          <w:rFonts w:eastAsia="Calibri"/>
          <w:lang w:val="en-GB"/>
        </w:rPr>
        <w:t xml:space="preserve"> expected to grow at </w:t>
      </w:r>
      <w:r>
        <w:rPr>
          <w:rFonts w:eastAsia="Calibri"/>
          <w:lang w:val="en-GB"/>
        </w:rPr>
        <w:t>a CAGR</w:t>
      </w:r>
      <w:r w:rsidRPr="000176CC">
        <w:rPr>
          <w:rFonts w:eastAsia="Calibri"/>
          <w:lang w:val="en-GB"/>
        </w:rPr>
        <w:t xml:space="preserve"> rate of 15 </w:t>
      </w:r>
      <w:r>
        <w:rPr>
          <w:rFonts w:eastAsia="Calibri"/>
          <w:lang w:val="en-GB"/>
        </w:rPr>
        <w:t xml:space="preserve">per cent </w:t>
      </w:r>
      <w:r w:rsidRPr="000176CC">
        <w:rPr>
          <w:rFonts w:eastAsia="Calibri"/>
          <w:lang w:val="en-GB"/>
        </w:rPr>
        <w:t>and capture 66</w:t>
      </w:r>
      <w:r>
        <w:rPr>
          <w:rFonts w:eastAsia="Calibri"/>
          <w:lang w:val="en-GB"/>
        </w:rPr>
        <w:t xml:space="preserve"> per cent</w:t>
      </w:r>
      <w:r w:rsidRPr="000176CC">
        <w:rPr>
          <w:rFonts w:eastAsia="Calibri"/>
          <w:lang w:val="en-GB"/>
        </w:rPr>
        <w:t xml:space="preserve"> of the total retail sector by 2020 (</w:t>
      </w:r>
      <w:r>
        <w:rPr>
          <w:rFonts w:eastAsia="Calibri"/>
          <w:lang w:val="en-GB"/>
        </w:rPr>
        <w:t>see</w:t>
      </w:r>
      <w:r w:rsidRPr="000176CC">
        <w:rPr>
          <w:rFonts w:eastAsia="Calibri"/>
          <w:lang w:val="en-GB"/>
        </w:rPr>
        <w:t xml:space="preserve"> Exhibit 3).</w:t>
      </w:r>
      <w:r w:rsidRPr="000176CC">
        <w:rPr>
          <w:rFonts w:eastAsia="Calibri"/>
          <w:vertAlign w:val="superscript"/>
          <w:lang w:val="en-GB"/>
        </w:rPr>
        <w:endnoteReference w:id="57"/>
      </w:r>
      <w:r>
        <w:rPr>
          <w:rFonts w:eastAsia="Calibri"/>
          <w:lang w:val="en-GB"/>
        </w:rPr>
        <w:t xml:space="preserve"> </w:t>
      </w:r>
      <w:r w:rsidRPr="000176CC">
        <w:rPr>
          <w:rFonts w:eastAsia="Calibri"/>
          <w:lang w:val="en-GB"/>
        </w:rPr>
        <w:t>This category consisted of seven food sub- categories</w:t>
      </w:r>
      <w:r>
        <w:rPr>
          <w:rFonts w:eastAsia="Calibri"/>
          <w:lang w:val="en-GB"/>
        </w:rPr>
        <w:t>:</w:t>
      </w:r>
      <w:r w:rsidRPr="000176CC">
        <w:rPr>
          <w:rFonts w:eastAsia="Calibri"/>
          <w:lang w:val="en-GB"/>
        </w:rPr>
        <w:t xml:space="preserve"> </w:t>
      </w:r>
      <w:r>
        <w:rPr>
          <w:rFonts w:eastAsia="Calibri"/>
          <w:lang w:val="en-GB"/>
        </w:rPr>
        <w:t xml:space="preserve">beverages, perishables, fresh produce, spices, dairy, dry food, and other processed food. </w:t>
      </w:r>
      <w:r w:rsidRPr="000176CC">
        <w:rPr>
          <w:rFonts w:eastAsia="Calibri"/>
          <w:lang w:val="en-GB"/>
        </w:rPr>
        <w:t xml:space="preserve">Parle’s product portfolio primary belonged to the </w:t>
      </w:r>
      <w:r>
        <w:rPr>
          <w:rFonts w:eastAsia="Calibri"/>
          <w:lang w:val="en-GB"/>
        </w:rPr>
        <w:t>other processed food</w:t>
      </w:r>
      <w:r w:rsidRPr="000176CC">
        <w:rPr>
          <w:rFonts w:eastAsia="Calibri"/>
          <w:lang w:val="en-GB"/>
        </w:rPr>
        <w:t xml:space="preserve"> category, which comprised biscuits, bakery food items, sweets, confectioneries, chocolates, snacks, sauces, non-alcoholic beverages, and pickles and other preserves (see Exhibit 4). </w:t>
      </w:r>
    </w:p>
    <w:p w14:paraId="7316B7EE" w14:textId="77777777" w:rsidR="00E0759F" w:rsidRPr="000176CC" w:rsidRDefault="00E0759F" w:rsidP="00337DF9">
      <w:pPr>
        <w:pStyle w:val="BodyTextMain"/>
        <w:rPr>
          <w:rFonts w:eastAsia="Calibri"/>
          <w:lang w:val="en-GB"/>
        </w:rPr>
      </w:pPr>
    </w:p>
    <w:p w14:paraId="4740C02E" w14:textId="361C6339" w:rsidR="00E0759F" w:rsidRPr="000176CC" w:rsidRDefault="00E0759F" w:rsidP="00337DF9">
      <w:pPr>
        <w:pStyle w:val="BodyTextMain"/>
        <w:rPr>
          <w:rFonts w:eastAsia="Calibri"/>
          <w:lang w:val="en-GB"/>
        </w:rPr>
      </w:pPr>
      <w:r>
        <w:rPr>
          <w:rFonts w:eastAsia="Calibri"/>
          <w:lang w:val="en-GB"/>
        </w:rPr>
        <w:t xml:space="preserve">The </w:t>
      </w:r>
      <w:r w:rsidRPr="000176CC">
        <w:rPr>
          <w:rFonts w:eastAsia="Calibri"/>
          <w:lang w:val="en-GB"/>
        </w:rPr>
        <w:t>Indian biscuit market could be divided into organized and unorganized segments. The organized segment accounted for 70</w:t>
      </w:r>
      <w:r>
        <w:rPr>
          <w:rFonts w:eastAsia="Calibri"/>
          <w:lang w:val="en-GB"/>
        </w:rPr>
        <w:t xml:space="preserve"> per cent</w:t>
      </w:r>
      <w:r w:rsidRPr="000176CC">
        <w:rPr>
          <w:rFonts w:eastAsia="Calibri"/>
          <w:lang w:val="en-GB"/>
        </w:rPr>
        <w:t xml:space="preserve"> of the biscuit </w:t>
      </w:r>
      <w:r>
        <w:rPr>
          <w:rFonts w:eastAsia="Calibri"/>
          <w:lang w:val="en-GB"/>
        </w:rPr>
        <w:t>industry’s</w:t>
      </w:r>
      <w:r w:rsidRPr="000176CC">
        <w:rPr>
          <w:rFonts w:eastAsia="Calibri"/>
          <w:lang w:val="en-GB"/>
        </w:rPr>
        <w:t xml:space="preserve"> volume.</w:t>
      </w:r>
      <w:r w:rsidRPr="000176CC">
        <w:rPr>
          <w:rFonts w:eastAsia="Calibri"/>
          <w:vertAlign w:val="superscript"/>
          <w:lang w:val="en-GB"/>
        </w:rPr>
        <w:endnoteReference w:id="58"/>
      </w:r>
      <w:r w:rsidRPr="000176CC">
        <w:rPr>
          <w:rFonts w:eastAsia="Calibri"/>
          <w:lang w:val="en-GB"/>
        </w:rPr>
        <w:t xml:space="preserve"> Parle, Britannia, ITC</w:t>
      </w:r>
      <w:r>
        <w:rPr>
          <w:rFonts w:eastAsia="Calibri"/>
          <w:lang w:val="en-GB"/>
        </w:rPr>
        <w:t>,</w:t>
      </w:r>
      <w:r w:rsidRPr="000176CC">
        <w:rPr>
          <w:rFonts w:eastAsia="Calibri"/>
          <w:lang w:val="en-GB"/>
        </w:rPr>
        <w:t xml:space="preserve"> and Surya Foods were the four major players in the organized sector (see Exhibit 6). The unorganized sector consisted of small bakery units and cottage and household units. Without spending much on packaging and distribution, these units primarily catered to the local and regional tastes.</w:t>
      </w:r>
    </w:p>
    <w:p w14:paraId="499B2810" w14:textId="77777777" w:rsidR="00E0759F" w:rsidRPr="000176CC" w:rsidRDefault="00E0759F" w:rsidP="00337DF9">
      <w:pPr>
        <w:pStyle w:val="BodyTextMain"/>
        <w:rPr>
          <w:rFonts w:eastAsia="Calibri"/>
          <w:lang w:val="en-GB"/>
        </w:rPr>
      </w:pPr>
    </w:p>
    <w:p w14:paraId="1A197EDA" w14:textId="06014DA6" w:rsidR="00E0759F" w:rsidRPr="000176CC" w:rsidRDefault="00E0759F" w:rsidP="00337DF9">
      <w:pPr>
        <w:pStyle w:val="BodyTextMain"/>
        <w:rPr>
          <w:rFonts w:eastAsia="Calibri"/>
          <w:lang w:val="en-GB"/>
        </w:rPr>
      </w:pPr>
      <w:r w:rsidRPr="000176CC">
        <w:rPr>
          <w:rFonts w:eastAsia="Calibri"/>
          <w:lang w:val="en-GB"/>
        </w:rPr>
        <w:t xml:space="preserve">Depending on the premium earned, biscuits could be divided into </w:t>
      </w:r>
      <w:r>
        <w:rPr>
          <w:rFonts w:eastAsia="Calibri"/>
          <w:lang w:val="en-GB"/>
        </w:rPr>
        <w:t>mass-market</w:t>
      </w:r>
      <w:r w:rsidRPr="000176CC">
        <w:rPr>
          <w:rFonts w:eastAsia="Calibri"/>
          <w:lang w:val="en-GB"/>
        </w:rPr>
        <w:t>, premium</w:t>
      </w:r>
      <w:r>
        <w:rPr>
          <w:rFonts w:eastAsia="Calibri"/>
          <w:lang w:val="en-GB"/>
        </w:rPr>
        <w:t>,</w:t>
      </w:r>
      <w:r w:rsidRPr="000176CC">
        <w:rPr>
          <w:rFonts w:eastAsia="Calibri"/>
          <w:lang w:val="en-GB"/>
        </w:rPr>
        <w:t xml:space="preserve"> and </w:t>
      </w:r>
      <w:r>
        <w:rPr>
          <w:rFonts w:eastAsia="Calibri"/>
          <w:lang w:val="en-GB"/>
        </w:rPr>
        <w:t>super-premium</w:t>
      </w:r>
      <w:r w:rsidRPr="000176CC">
        <w:rPr>
          <w:rFonts w:eastAsia="Calibri"/>
          <w:lang w:val="en-GB"/>
        </w:rPr>
        <w:t xml:space="preserve"> categories. Profit margins on </w:t>
      </w:r>
      <w:r>
        <w:rPr>
          <w:rFonts w:eastAsia="Calibri"/>
          <w:lang w:val="en-GB"/>
        </w:rPr>
        <w:t>mass-market</w:t>
      </w:r>
      <w:r w:rsidRPr="000176CC">
        <w:rPr>
          <w:rFonts w:eastAsia="Calibri"/>
          <w:lang w:val="en-GB"/>
        </w:rPr>
        <w:t xml:space="preserve"> biscuits ranged from 3 to 5</w:t>
      </w:r>
      <w:r>
        <w:rPr>
          <w:rFonts w:eastAsia="Calibri"/>
          <w:lang w:val="en-GB"/>
        </w:rPr>
        <w:t xml:space="preserve"> per cent</w:t>
      </w:r>
      <w:r w:rsidRPr="000176CC">
        <w:rPr>
          <w:rFonts w:eastAsia="Calibri"/>
          <w:lang w:val="en-GB"/>
        </w:rPr>
        <w:t>,</w:t>
      </w:r>
      <w:r w:rsidRPr="000176CC">
        <w:rPr>
          <w:rFonts w:eastAsia="Calibri"/>
          <w:vertAlign w:val="superscript"/>
          <w:lang w:val="en-GB"/>
        </w:rPr>
        <w:endnoteReference w:id="59"/>
      </w:r>
      <w:r w:rsidRPr="000176CC">
        <w:rPr>
          <w:rFonts w:eastAsia="Calibri"/>
          <w:lang w:val="en-GB"/>
        </w:rPr>
        <w:t xml:space="preserve"> while on premium and </w:t>
      </w:r>
      <w:r>
        <w:rPr>
          <w:rFonts w:eastAsia="Calibri"/>
          <w:lang w:val="en-GB"/>
        </w:rPr>
        <w:t>super-premium</w:t>
      </w:r>
      <w:r w:rsidRPr="000176CC">
        <w:rPr>
          <w:rFonts w:eastAsia="Calibri"/>
          <w:lang w:val="en-GB"/>
        </w:rPr>
        <w:t xml:space="preserve"> biscuits</w:t>
      </w:r>
      <w:r>
        <w:rPr>
          <w:rFonts w:eastAsia="Calibri"/>
          <w:lang w:val="en-GB"/>
        </w:rPr>
        <w:t>,</w:t>
      </w:r>
      <w:r w:rsidRPr="000176CC">
        <w:rPr>
          <w:rFonts w:eastAsia="Calibri"/>
          <w:lang w:val="en-GB"/>
        </w:rPr>
        <w:t xml:space="preserve"> </w:t>
      </w:r>
      <w:r>
        <w:rPr>
          <w:rFonts w:eastAsia="Calibri"/>
          <w:lang w:val="en-GB"/>
        </w:rPr>
        <w:t>profit margins</w:t>
      </w:r>
      <w:r w:rsidRPr="000176CC">
        <w:rPr>
          <w:rFonts w:eastAsia="Calibri"/>
          <w:lang w:val="en-GB"/>
        </w:rPr>
        <w:t xml:space="preserve"> were 15 to 20</w:t>
      </w:r>
      <w:r>
        <w:rPr>
          <w:rFonts w:eastAsia="Calibri"/>
          <w:lang w:val="en-GB"/>
        </w:rPr>
        <w:t xml:space="preserve"> per cent.</w:t>
      </w:r>
      <w:r w:rsidRPr="000176CC">
        <w:rPr>
          <w:rFonts w:eastAsia="Calibri"/>
          <w:vertAlign w:val="superscript"/>
          <w:lang w:val="en-GB"/>
        </w:rPr>
        <w:endnoteReference w:id="60"/>
      </w:r>
      <w:r>
        <w:rPr>
          <w:rFonts w:eastAsia="Calibri"/>
          <w:lang w:val="en-GB"/>
        </w:rPr>
        <w:t xml:space="preserve"> </w:t>
      </w:r>
      <w:r w:rsidRPr="000176CC">
        <w:rPr>
          <w:rFonts w:eastAsia="Calibri"/>
          <w:lang w:val="en-GB"/>
        </w:rPr>
        <w:t xml:space="preserve">Parle led in </w:t>
      </w:r>
      <w:r>
        <w:rPr>
          <w:rFonts w:eastAsia="Calibri"/>
          <w:lang w:val="en-GB"/>
        </w:rPr>
        <w:t>mass-market</w:t>
      </w:r>
      <w:r w:rsidRPr="000176CC">
        <w:rPr>
          <w:rFonts w:eastAsia="Calibri"/>
          <w:lang w:val="en-GB"/>
        </w:rPr>
        <w:t xml:space="preserve"> biscuits</w:t>
      </w:r>
      <w:r>
        <w:rPr>
          <w:rFonts w:eastAsia="Calibri"/>
          <w:lang w:val="en-GB"/>
        </w:rPr>
        <w:t xml:space="preserve">; </w:t>
      </w:r>
      <w:r w:rsidRPr="000176CC">
        <w:rPr>
          <w:rFonts w:eastAsia="Calibri"/>
          <w:lang w:val="en-GB"/>
        </w:rPr>
        <w:t>Britannia dominated in the premium biscuit segment.</w:t>
      </w:r>
    </w:p>
    <w:p w14:paraId="605CB85D" w14:textId="77777777" w:rsidR="00E0759F" w:rsidRPr="000176CC" w:rsidRDefault="00E0759F" w:rsidP="00337DF9">
      <w:pPr>
        <w:pStyle w:val="BodyTextMain"/>
        <w:rPr>
          <w:rFonts w:eastAsia="Calibri"/>
          <w:lang w:val="en-GB"/>
        </w:rPr>
      </w:pPr>
    </w:p>
    <w:p w14:paraId="202434B1" w14:textId="57B3A759" w:rsidR="00E0759F" w:rsidRDefault="00E0759F" w:rsidP="00337DF9">
      <w:pPr>
        <w:pStyle w:val="BodyTextMain"/>
        <w:rPr>
          <w:rFonts w:eastAsia="Calibri"/>
          <w:lang w:val="en-GB"/>
        </w:rPr>
      </w:pPr>
      <w:r>
        <w:rPr>
          <w:rFonts w:eastAsia="Calibri"/>
          <w:lang w:val="en-GB"/>
        </w:rPr>
        <w:t xml:space="preserve">An </w:t>
      </w:r>
      <w:r w:rsidRPr="000176CC">
        <w:rPr>
          <w:rFonts w:eastAsia="Calibri"/>
          <w:lang w:val="en-GB"/>
        </w:rPr>
        <w:t xml:space="preserve">increasing young population, </w:t>
      </w:r>
      <w:r>
        <w:rPr>
          <w:rFonts w:eastAsia="Calibri"/>
          <w:lang w:val="en-GB"/>
        </w:rPr>
        <w:t>an overall growth in</w:t>
      </w:r>
      <w:r w:rsidRPr="000176CC">
        <w:rPr>
          <w:rFonts w:eastAsia="Calibri"/>
          <w:lang w:val="en-GB"/>
        </w:rPr>
        <w:t xml:space="preserve"> disposable income, changing consumer </w:t>
      </w:r>
      <w:r>
        <w:rPr>
          <w:rFonts w:eastAsia="Calibri"/>
          <w:lang w:val="en-GB"/>
        </w:rPr>
        <w:t>lifestyles</w:t>
      </w:r>
      <w:r w:rsidRPr="000176CC">
        <w:rPr>
          <w:rFonts w:eastAsia="Calibri"/>
          <w:lang w:val="en-GB"/>
        </w:rPr>
        <w:t>, and increasing and growing health consciousne</w:t>
      </w:r>
      <w:r>
        <w:rPr>
          <w:rFonts w:eastAsia="Calibri"/>
          <w:lang w:val="en-GB"/>
        </w:rPr>
        <w:t>ss contributed toward the changing consumer</w:t>
      </w:r>
      <w:r w:rsidRPr="000176CC">
        <w:rPr>
          <w:rFonts w:eastAsia="Calibri"/>
          <w:lang w:val="en-GB"/>
        </w:rPr>
        <w:t xml:space="preserve"> </w:t>
      </w:r>
      <w:r>
        <w:rPr>
          <w:rFonts w:eastAsia="Calibri"/>
          <w:lang w:val="en-GB"/>
        </w:rPr>
        <w:t>tastes</w:t>
      </w:r>
      <w:r w:rsidRPr="000176CC">
        <w:rPr>
          <w:rFonts w:eastAsia="Calibri"/>
          <w:lang w:val="en-GB"/>
        </w:rPr>
        <w:t xml:space="preserve"> and preferences </w:t>
      </w:r>
      <w:r>
        <w:rPr>
          <w:rFonts w:eastAsia="Calibri"/>
          <w:lang w:val="en-GB"/>
        </w:rPr>
        <w:t xml:space="preserve">of Indians </w:t>
      </w:r>
      <w:r w:rsidRPr="000176CC">
        <w:rPr>
          <w:rFonts w:eastAsia="Calibri"/>
          <w:lang w:val="en-GB"/>
        </w:rPr>
        <w:t>in favour of premium offerings and variety</w:t>
      </w:r>
      <w:r w:rsidRPr="000176CC" w:rsidDel="00C24F07">
        <w:rPr>
          <w:rFonts w:eastAsia="Calibri"/>
          <w:lang w:val="en-GB"/>
        </w:rPr>
        <w:t xml:space="preserve"> </w:t>
      </w:r>
      <w:r w:rsidRPr="000176CC">
        <w:rPr>
          <w:rFonts w:eastAsia="Calibri"/>
          <w:lang w:val="en-GB"/>
        </w:rPr>
        <w:t xml:space="preserve">(see </w:t>
      </w:r>
      <w:r>
        <w:rPr>
          <w:rFonts w:eastAsia="Calibri"/>
          <w:lang w:val="en-GB"/>
        </w:rPr>
        <w:t>Exhibits</w:t>
      </w:r>
      <w:r w:rsidRPr="000176CC">
        <w:rPr>
          <w:rFonts w:eastAsia="Calibri"/>
          <w:lang w:val="en-GB"/>
        </w:rPr>
        <w:t xml:space="preserve"> 7 and 8). </w:t>
      </w:r>
      <w:r>
        <w:rPr>
          <w:rFonts w:eastAsia="Calibri"/>
          <w:lang w:val="en-GB"/>
        </w:rPr>
        <w:t>The competitive</w:t>
      </w:r>
      <w:r w:rsidRPr="000176CC">
        <w:rPr>
          <w:rFonts w:eastAsia="Calibri"/>
          <w:lang w:val="en-GB"/>
        </w:rPr>
        <w:t xml:space="preserve"> space for Parle-G and other </w:t>
      </w:r>
      <w:r>
        <w:rPr>
          <w:rFonts w:eastAsia="Calibri"/>
          <w:lang w:val="en-GB"/>
        </w:rPr>
        <w:t>mass-market</w:t>
      </w:r>
      <w:r w:rsidRPr="000176CC">
        <w:rPr>
          <w:rFonts w:eastAsia="Calibri"/>
          <w:lang w:val="en-GB"/>
        </w:rPr>
        <w:t xml:space="preserve"> biscuits was heated up with competitors such as Britannia and ITC</w:t>
      </w:r>
      <w:r>
        <w:rPr>
          <w:rFonts w:eastAsia="Calibri"/>
          <w:lang w:val="en-GB"/>
        </w:rPr>
        <w:t>, who</w:t>
      </w:r>
      <w:r w:rsidRPr="000176CC">
        <w:rPr>
          <w:rFonts w:eastAsia="Calibri"/>
          <w:lang w:val="en-GB"/>
        </w:rPr>
        <w:t xml:space="preserve"> </w:t>
      </w:r>
      <w:r>
        <w:rPr>
          <w:rFonts w:eastAsia="Calibri"/>
          <w:lang w:val="en-GB"/>
        </w:rPr>
        <w:t>took</w:t>
      </w:r>
      <w:r w:rsidRPr="000176CC">
        <w:rPr>
          <w:rFonts w:eastAsia="Calibri"/>
          <w:lang w:val="en-GB"/>
        </w:rPr>
        <w:t xml:space="preserve"> up the lead in the premium segment. Though </w:t>
      </w:r>
      <w:r>
        <w:rPr>
          <w:rFonts w:eastAsia="Calibri"/>
          <w:lang w:val="en-GB"/>
        </w:rPr>
        <w:t>mass-market</w:t>
      </w:r>
      <w:r w:rsidRPr="000176CC">
        <w:rPr>
          <w:rFonts w:eastAsia="Calibri"/>
          <w:lang w:val="en-GB"/>
        </w:rPr>
        <w:t xml:space="preserve"> biscuits dominated the market in </w:t>
      </w:r>
      <w:r w:rsidRPr="000176CC">
        <w:rPr>
          <w:rFonts w:eastAsia="Calibri"/>
          <w:lang w:val="en-GB"/>
        </w:rPr>
        <w:lastRenderedPageBreak/>
        <w:t xml:space="preserve">2016, cookies and sandwich biscuits were expected to exhibit high growth during </w:t>
      </w:r>
      <w:r>
        <w:rPr>
          <w:rFonts w:eastAsia="Calibri"/>
          <w:lang w:val="en-GB"/>
        </w:rPr>
        <w:t>2017–2023</w:t>
      </w:r>
      <w:r w:rsidRPr="000176CC">
        <w:rPr>
          <w:rFonts w:eastAsia="Calibri"/>
          <w:lang w:val="en-GB"/>
        </w:rPr>
        <w:t>.</w:t>
      </w:r>
      <w:r w:rsidRPr="000176CC">
        <w:rPr>
          <w:rFonts w:eastAsia="Calibri"/>
          <w:vertAlign w:val="superscript"/>
          <w:lang w:val="en-GB"/>
        </w:rPr>
        <w:endnoteReference w:id="61"/>
      </w:r>
      <w:r w:rsidRPr="000176CC">
        <w:rPr>
          <w:rFonts w:eastAsia="Calibri"/>
          <w:lang w:val="en-GB"/>
        </w:rPr>
        <w:t xml:space="preserve"> Premium biscuits were becoming popular in Tier </w:t>
      </w:r>
      <w:r>
        <w:rPr>
          <w:rFonts w:eastAsia="Calibri"/>
          <w:lang w:val="en-GB"/>
        </w:rPr>
        <w:t>1</w:t>
      </w:r>
      <w:r w:rsidRPr="000176CC">
        <w:rPr>
          <w:rFonts w:eastAsia="Calibri"/>
          <w:lang w:val="en-GB"/>
        </w:rPr>
        <w:t xml:space="preserve"> and Tier </w:t>
      </w:r>
      <w:r>
        <w:rPr>
          <w:rFonts w:eastAsia="Calibri"/>
          <w:lang w:val="en-GB"/>
        </w:rPr>
        <w:t>2</w:t>
      </w:r>
      <w:r w:rsidRPr="000176CC">
        <w:rPr>
          <w:rFonts w:eastAsia="Calibri"/>
          <w:lang w:val="en-GB"/>
        </w:rPr>
        <w:t xml:space="preserve"> cities. Commenting on changing tastes and preferences, Suman Gautam, </w:t>
      </w:r>
      <w:r>
        <w:rPr>
          <w:rFonts w:eastAsia="Calibri"/>
          <w:lang w:val="en-GB"/>
        </w:rPr>
        <w:t>research associate of</w:t>
      </w:r>
      <w:r w:rsidRPr="000176CC">
        <w:rPr>
          <w:rFonts w:eastAsia="Calibri"/>
          <w:lang w:val="en-GB"/>
        </w:rPr>
        <w:t xml:space="preserve"> </w:t>
      </w:r>
      <w:r>
        <w:rPr>
          <w:rFonts w:eastAsia="Calibri"/>
          <w:lang w:val="en-GB"/>
        </w:rPr>
        <w:t>research and consulting at</w:t>
      </w:r>
      <w:r w:rsidRPr="000176CC">
        <w:rPr>
          <w:rFonts w:eastAsia="Calibri"/>
          <w:lang w:val="en-GB"/>
        </w:rPr>
        <w:t xml:space="preserve"> 6Wresearch</w:t>
      </w:r>
      <w:r>
        <w:rPr>
          <w:rFonts w:eastAsia="Calibri"/>
          <w:lang w:val="en-GB"/>
        </w:rPr>
        <w:t>,</w:t>
      </w:r>
      <w:r w:rsidRPr="000176CC">
        <w:rPr>
          <w:rFonts w:eastAsia="Calibri"/>
          <w:lang w:val="en-GB"/>
        </w:rPr>
        <w:t xml:space="preserve"> said, </w:t>
      </w:r>
    </w:p>
    <w:p w14:paraId="0E01A959" w14:textId="77777777" w:rsidR="00E0759F" w:rsidRDefault="00E0759F" w:rsidP="00337DF9">
      <w:pPr>
        <w:pStyle w:val="BodyTextMain"/>
        <w:rPr>
          <w:rFonts w:eastAsia="Calibri"/>
          <w:lang w:val="en-GB"/>
        </w:rPr>
      </w:pPr>
    </w:p>
    <w:p w14:paraId="5F243860" w14:textId="24BEC022" w:rsidR="00E0759F" w:rsidRPr="000176CC" w:rsidRDefault="00E0759F" w:rsidP="00D66356">
      <w:pPr>
        <w:pStyle w:val="BodyTextMain"/>
        <w:ind w:left="720"/>
        <w:rPr>
          <w:rFonts w:eastAsia="Calibri"/>
          <w:lang w:val="en-GB"/>
        </w:rPr>
      </w:pPr>
      <w:r>
        <w:rPr>
          <w:rFonts w:eastAsia="Calibri"/>
          <w:lang w:val="en-GB"/>
        </w:rPr>
        <w:t>Although biscuits</w:t>
      </w:r>
      <w:r w:rsidRPr="000176CC">
        <w:rPr>
          <w:rFonts w:eastAsia="Calibri"/>
          <w:lang w:val="en-GB"/>
        </w:rPr>
        <w:t xml:space="preserve"> consumption is majorly accounted to urban consumers, however, with improving warehouse &amp; storage facilities across rural areas, the market is registering immense growth opportunities for biscuits market players. Additionally, growing number of health-conscious population in the country, low calorie, low sugar, multigrain, and oats biscuits are gaining acceptance.</w:t>
      </w:r>
      <w:r w:rsidRPr="000176CC">
        <w:rPr>
          <w:rFonts w:eastAsia="Calibri"/>
          <w:vertAlign w:val="superscript"/>
          <w:lang w:val="en-GB"/>
        </w:rPr>
        <w:endnoteReference w:id="62"/>
      </w:r>
      <w:r>
        <w:rPr>
          <w:rFonts w:eastAsia="Calibri"/>
          <w:lang w:val="en-GB"/>
        </w:rPr>
        <w:t xml:space="preserve"> </w:t>
      </w:r>
    </w:p>
    <w:p w14:paraId="6019BDB8" w14:textId="77777777" w:rsidR="00E0759F" w:rsidRPr="000176CC" w:rsidRDefault="00E0759F" w:rsidP="00337DF9">
      <w:pPr>
        <w:pStyle w:val="BodyTextMain"/>
        <w:rPr>
          <w:rFonts w:eastAsia="Calibri"/>
          <w:lang w:val="en-GB"/>
        </w:rPr>
      </w:pPr>
    </w:p>
    <w:p w14:paraId="5E473ED3" w14:textId="5339274C" w:rsidR="00E0759F" w:rsidRDefault="00E0759F" w:rsidP="00337DF9">
      <w:pPr>
        <w:pStyle w:val="BodyTextMain"/>
        <w:rPr>
          <w:rFonts w:eastAsia="Calibri"/>
          <w:lang w:val="en-GB"/>
        </w:rPr>
      </w:pPr>
      <w:r w:rsidRPr="000176CC">
        <w:rPr>
          <w:rFonts w:eastAsia="Calibri"/>
          <w:lang w:val="en-GB"/>
        </w:rPr>
        <w:t xml:space="preserve">Changes in the GST rate were likely to bring substantial changes in the market scenario. Highlighting the impact of GST on </w:t>
      </w:r>
      <w:r>
        <w:rPr>
          <w:rFonts w:eastAsia="Calibri"/>
          <w:lang w:val="en-GB"/>
        </w:rPr>
        <w:t xml:space="preserve">the </w:t>
      </w:r>
      <w:r w:rsidRPr="000176CC">
        <w:rPr>
          <w:rFonts w:eastAsia="Calibri"/>
          <w:lang w:val="en-GB"/>
        </w:rPr>
        <w:t xml:space="preserve">biscuit market, Anuj Mehrotra, </w:t>
      </w:r>
      <w:r>
        <w:rPr>
          <w:rFonts w:eastAsia="Calibri"/>
          <w:lang w:val="en-GB"/>
        </w:rPr>
        <w:t>senior research analyst of</w:t>
      </w:r>
      <w:r w:rsidRPr="000176CC">
        <w:rPr>
          <w:rFonts w:eastAsia="Calibri"/>
          <w:lang w:val="en-GB"/>
        </w:rPr>
        <w:t xml:space="preserve"> </w:t>
      </w:r>
      <w:r>
        <w:rPr>
          <w:rFonts w:eastAsia="Calibri"/>
          <w:lang w:val="en-GB"/>
        </w:rPr>
        <w:t>research and consulting at</w:t>
      </w:r>
      <w:r w:rsidRPr="000176CC">
        <w:rPr>
          <w:rFonts w:eastAsia="Calibri"/>
          <w:lang w:val="en-GB"/>
        </w:rPr>
        <w:t xml:space="preserve"> 6Wresearch</w:t>
      </w:r>
      <w:r>
        <w:rPr>
          <w:rFonts w:eastAsia="Calibri"/>
          <w:lang w:val="en-GB"/>
        </w:rPr>
        <w:t>,</w:t>
      </w:r>
      <w:r w:rsidRPr="000176CC">
        <w:rPr>
          <w:rFonts w:eastAsia="Calibri"/>
          <w:lang w:val="en-GB"/>
        </w:rPr>
        <w:t xml:space="preserve"> said, </w:t>
      </w:r>
    </w:p>
    <w:p w14:paraId="76A1845D" w14:textId="77777777" w:rsidR="00E0759F" w:rsidRDefault="00E0759F" w:rsidP="00337DF9">
      <w:pPr>
        <w:pStyle w:val="BodyTextMain"/>
        <w:rPr>
          <w:rFonts w:eastAsia="Calibri"/>
          <w:lang w:val="en-GB"/>
        </w:rPr>
      </w:pPr>
    </w:p>
    <w:p w14:paraId="0B93AA26" w14:textId="7F205EC5" w:rsidR="00E0759F" w:rsidRPr="000176CC" w:rsidRDefault="00E0759F" w:rsidP="00D66356">
      <w:pPr>
        <w:pStyle w:val="BodyTextMain"/>
        <w:ind w:left="720"/>
        <w:rPr>
          <w:rFonts w:eastAsia="Calibri"/>
          <w:lang w:val="en-GB"/>
        </w:rPr>
      </w:pPr>
      <w:r w:rsidRPr="00F11747">
        <w:rPr>
          <w:rFonts w:eastAsia="Calibri"/>
          <w:lang w:val="en-GB"/>
        </w:rPr>
        <w:t>Implementation of uniform Goods &amp; Services Tax (GST) of 18</w:t>
      </w:r>
      <w:r w:rsidR="000D37F4">
        <w:rPr>
          <w:rFonts w:eastAsia="Calibri"/>
          <w:lang w:val="en-GB"/>
        </w:rPr>
        <w:t xml:space="preserve"> per cent</w:t>
      </w:r>
      <w:r w:rsidRPr="00F11747">
        <w:rPr>
          <w:rFonts w:eastAsia="Calibri"/>
          <w:lang w:val="en-GB"/>
        </w:rPr>
        <w:t xml:space="preserve"> across all biscuit segments in 2017 is likely to impact the overall growth of the industry post 2017. This would pose greater challenge for local players of plain biscuits who are majorly targeting the rural market. Further, comparatively lower tax rates on namkeens, wafers, and other snack items is likely to hinder biscuits market growth over the coming years</w:t>
      </w:r>
      <w:r w:rsidRPr="000176CC">
        <w:rPr>
          <w:rFonts w:eastAsia="Calibri"/>
          <w:lang w:val="en-GB"/>
        </w:rPr>
        <w:t>.</w:t>
      </w:r>
      <w:r w:rsidRPr="000176CC">
        <w:rPr>
          <w:rFonts w:eastAsia="Calibri"/>
          <w:vertAlign w:val="superscript"/>
          <w:lang w:val="en-GB"/>
        </w:rPr>
        <w:endnoteReference w:id="63"/>
      </w:r>
      <w:r>
        <w:rPr>
          <w:rFonts w:eastAsia="Calibri"/>
          <w:lang w:val="en-GB"/>
        </w:rPr>
        <w:t xml:space="preserve"> </w:t>
      </w:r>
    </w:p>
    <w:p w14:paraId="5690384C" w14:textId="77777777" w:rsidR="00E0759F" w:rsidRPr="000176CC" w:rsidRDefault="00E0759F" w:rsidP="00337DF9">
      <w:pPr>
        <w:pStyle w:val="BodyTextMain"/>
        <w:rPr>
          <w:rFonts w:eastAsia="Calibri"/>
          <w:lang w:val="en-GB"/>
        </w:rPr>
      </w:pPr>
    </w:p>
    <w:p w14:paraId="75CCB07F" w14:textId="77777777" w:rsidR="00E0759F" w:rsidRPr="000176CC" w:rsidRDefault="00E0759F" w:rsidP="00337DF9">
      <w:pPr>
        <w:pStyle w:val="BodyTextMain"/>
        <w:rPr>
          <w:rFonts w:eastAsia="Calibri"/>
          <w:lang w:val="en-GB"/>
        </w:rPr>
      </w:pPr>
    </w:p>
    <w:p w14:paraId="3AF31D2A" w14:textId="77777777" w:rsidR="00E0759F" w:rsidRPr="000176CC" w:rsidRDefault="00E0759F" w:rsidP="00337DF9">
      <w:pPr>
        <w:pStyle w:val="Casehead1"/>
        <w:rPr>
          <w:rFonts w:eastAsia="Calibri"/>
          <w:lang w:val="en-GB"/>
        </w:rPr>
      </w:pPr>
      <w:r w:rsidRPr="000176CC">
        <w:rPr>
          <w:rFonts w:eastAsia="Calibri"/>
          <w:lang w:val="en-GB"/>
        </w:rPr>
        <w:t>Parle’s Concerns</w:t>
      </w:r>
    </w:p>
    <w:p w14:paraId="3056F7EB" w14:textId="77777777" w:rsidR="00E0759F" w:rsidRPr="000176CC" w:rsidRDefault="00E0759F" w:rsidP="00337DF9">
      <w:pPr>
        <w:pStyle w:val="Casehead1"/>
        <w:rPr>
          <w:rFonts w:eastAsia="Calibri"/>
          <w:lang w:val="en-GB"/>
        </w:rPr>
      </w:pPr>
    </w:p>
    <w:p w14:paraId="1BB2B84A" w14:textId="007B60C0" w:rsidR="00E0759F" w:rsidRPr="000176CC" w:rsidRDefault="00E0759F" w:rsidP="00337DF9">
      <w:pPr>
        <w:pStyle w:val="BodyTextMain"/>
        <w:rPr>
          <w:rFonts w:eastAsia="Calibri"/>
          <w:lang w:val="en-GB"/>
        </w:rPr>
      </w:pPr>
      <w:r w:rsidRPr="000176CC">
        <w:rPr>
          <w:rFonts w:eastAsia="Calibri"/>
          <w:lang w:val="en-GB"/>
        </w:rPr>
        <w:t xml:space="preserve">Demand for Parle-G, which was </w:t>
      </w:r>
      <w:r>
        <w:rPr>
          <w:rFonts w:eastAsia="Calibri"/>
          <w:lang w:val="en-GB"/>
        </w:rPr>
        <w:t>Parle’s</w:t>
      </w:r>
      <w:r w:rsidRPr="000176CC">
        <w:rPr>
          <w:rFonts w:eastAsia="Calibri"/>
          <w:lang w:val="en-GB"/>
        </w:rPr>
        <w:t xml:space="preserve"> main source of revenue, was highly price sensitive. Wide choices were available to Indian consumers in the snacks market, which enabled </w:t>
      </w:r>
      <w:r>
        <w:rPr>
          <w:rFonts w:eastAsia="Calibri"/>
          <w:lang w:val="en-GB"/>
        </w:rPr>
        <w:t>consumers</w:t>
      </w:r>
      <w:r w:rsidRPr="000176CC">
        <w:rPr>
          <w:rFonts w:eastAsia="Calibri"/>
          <w:lang w:val="en-GB"/>
        </w:rPr>
        <w:t xml:space="preserve"> to substitute </w:t>
      </w:r>
      <w:r>
        <w:rPr>
          <w:rFonts w:eastAsia="Calibri"/>
          <w:lang w:val="en-GB"/>
        </w:rPr>
        <w:t>mass-market</w:t>
      </w:r>
      <w:r w:rsidRPr="000176CC">
        <w:rPr>
          <w:rFonts w:eastAsia="Calibri"/>
          <w:lang w:val="en-GB"/>
        </w:rPr>
        <w:t xml:space="preserve"> biscuits with premium biscuits and other varieties of snacks. Given the choices available, Parle expected that if it reduced the size of </w:t>
      </w:r>
      <w:r w:rsidRPr="000176CC">
        <w:rPr>
          <w:rFonts w:ascii="Tahoma" w:eastAsia="Calibri" w:hAnsi="Tahoma" w:cs="Tahoma"/>
          <w:lang w:val="en-GB"/>
        </w:rPr>
        <w:t>₹</w:t>
      </w:r>
      <w:r w:rsidRPr="000176CC">
        <w:rPr>
          <w:rFonts w:eastAsia="Calibri"/>
          <w:lang w:val="en-GB"/>
        </w:rPr>
        <w:t>2 packs by one biscuit per pack, the sales would decline by 30</w:t>
      </w:r>
      <w:r>
        <w:rPr>
          <w:rFonts w:eastAsia="Calibri"/>
          <w:lang w:val="en-GB"/>
        </w:rPr>
        <w:t xml:space="preserve"> to </w:t>
      </w:r>
      <w:r w:rsidRPr="000176CC">
        <w:rPr>
          <w:rFonts w:eastAsia="Calibri"/>
          <w:lang w:val="en-GB"/>
        </w:rPr>
        <w:t>50</w:t>
      </w:r>
      <w:r>
        <w:rPr>
          <w:rFonts w:eastAsia="Calibri"/>
          <w:lang w:val="en-GB"/>
        </w:rPr>
        <w:t xml:space="preserve"> per cent</w:t>
      </w:r>
      <w:r w:rsidRPr="000176CC">
        <w:rPr>
          <w:rFonts w:eastAsia="Calibri"/>
          <w:lang w:val="en-GB"/>
        </w:rPr>
        <w:t>.</w:t>
      </w:r>
      <w:r w:rsidRPr="000176CC">
        <w:rPr>
          <w:rFonts w:eastAsia="Calibri"/>
          <w:vertAlign w:val="superscript"/>
          <w:lang w:val="en-GB"/>
        </w:rPr>
        <w:endnoteReference w:id="64"/>
      </w:r>
      <w:r w:rsidRPr="000176CC">
        <w:rPr>
          <w:rFonts w:eastAsia="Calibri"/>
          <w:lang w:val="en-GB"/>
        </w:rPr>
        <w:t xml:space="preserve"> Expressing the difficulty in changing the size of the pack, Sreedhar Prasad, partner and head of consumer markets at KPMG said, “It’s a risky proposition to reduce the quantity or size of an accepted mass brand at the same price. A marginal price increase may be still acceptable by masses compared to a size and quantity </w:t>
      </w:r>
      <w:r w:rsidR="00AC1016" w:rsidRPr="000176CC">
        <w:rPr>
          <w:rFonts w:eastAsia="Calibri"/>
          <w:lang w:val="en-GB"/>
        </w:rPr>
        <w:t>reduction</w:t>
      </w:r>
      <w:r w:rsidR="00AC1016">
        <w:rPr>
          <w:rFonts w:eastAsia="Calibri"/>
          <w:lang w:val="en-GB"/>
        </w:rPr>
        <w:t xml:space="preserve"> </w:t>
      </w:r>
      <w:r w:rsidRPr="000176CC">
        <w:rPr>
          <w:rFonts w:eastAsia="Calibri"/>
          <w:lang w:val="en-GB"/>
        </w:rPr>
        <w:t>as people know there will be a gradual price increase in everything.”</w:t>
      </w:r>
      <w:r w:rsidRPr="000176CC">
        <w:rPr>
          <w:rFonts w:eastAsia="Calibri"/>
          <w:vertAlign w:val="superscript"/>
          <w:lang w:val="en-GB"/>
        </w:rPr>
        <w:endnoteReference w:id="65"/>
      </w:r>
    </w:p>
    <w:p w14:paraId="45DDDF9B" w14:textId="77777777" w:rsidR="00E0759F" w:rsidRPr="000176CC" w:rsidRDefault="00E0759F" w:rsidP="00337DF9">
      <w:pPr>
        <w:pStyle w:val="BodyTextMain"/>
        <w:rPr>
          <w:rFonts w:eastAsia="Calibri"/>
          <w:lang w:val="en-GB"/>
        </w:rPr>
      </w:pPr>
    </w:p>
    <w:p w14:paraId="3254B52B" w14:textId="2C040DC3" w:rsidR="00E0759F" w:rsidRPr="000176CC" w:rsidRDefault="00E0759F" w:rsidP="00337DF9">
      <w:pPr>
        <w:pStyle w:val="BodyTextMain"/>
        <w:rPr>
          <w:rFonts w:eastAsia="Calibri"/>
          <w:lang w:val="en-GB"/>
        </w:rPr>
      </w:pPr>
      <w:r w:rsidRPr="000176CC">
        <w:rPr>
          <w:rFonts w:eastAsia="Calibri"/>
          <w:lang w:val="en-GB"/>
        </w:rPr>
        <w:t xml:space="preserve">But earlier </w:t>
      </w:r>
      <w:r>
        <w:rPr>
          <w:rFonts w:eastAsia="Calibri"/>
          <w:lang w:val="en-GB"/>
        </w:rPr>
        <w:t>experiments</w:t>
      </w:r>
      <w:r w:rsidRPr="000176CC">
        <w:rPr>
          <w:rFonts w:eastAsia="Calibri"/>
          <w:lang w:val="en-GB"/>
        </w:rPr>
        <w:t xml:space="preserve"> with price </w:t>
      </w:r>
      <w:r>
        <w:rPr>
          <w:rFonts w:eastAsia="Calibri"/>
          <w:lang w:val="en-GB"/>
        </w:rPr>
        <w:t>increases</w:t>
      </w:r>
      <w:r w:rsidRPr="000176CC">
        <w:rPr>
          <w:rFonts w:eastAsia="Calibri"/>
          <w:lang w:val="en-GB"/>
        </w:rPr>
        <w:t xml:space="preserve"> had not gone well </w:t>
      </w:r>
      <w:r>
        <w:rPr>
          <w:rFonts w:eastAsia="Calibri"/>
          <w:lang w:val="en-GB"/>
        </w:rPr>
        <w:t>for</w:t>
      </w:r>
      <w:r w:rsidRPr="000176CC">
        <w:rPr>
          <w:rFonts w:eastAsia="Calibri"/>
          <w:lang w:val="en-GB"/>
        </w:rPr>
        <w:t xml:space="preserve"> </w:t>
      </w:r>
      <w:r>
        <w:rPr>
          <w:rFonts w:eastAsia="Calibri"/>
          <w:lang w:val="en-GB"/>
        </w:rPr>
        <w:t>Parle</w:t>
      </w:r>
      <w:r w:rsidRPr="000176CC">
        <w:rPr>
          <w:rFonts w:eastAsia="Calibri"/>
          <w:lang w:val="en-GB"/>
        </w:rPr>
        <w:t xml:space="preserve">. In 2004, the company </w:t>
      </w:r>
      <w:r>
        <w:rPr>
          <w:rFonts w:eastAsia="Calibri"/>
          <w:lang w:val="en-GB"/>
        </w:rPr>
        <w:t xml:space="preserve">increased the price of its </w:t>
      </w:r>
      <w:r w:rsidR="00814609" w:rsidRPr="000176CC">
        <w:rPr>
          <w:rFonts w:eastAsia="Calibri"/>
          <w:lang w:val="en-GB"/>
        </w:rPr>
        <w:t>100-gram</w:t>
      </w:r>
      <w:r w:rsidRPr="000176CC">
        <w:rPr>
          <w:rFonts w:eastAsia="Calibri"/>
          <w:lang w:val="en-GB"/>
        </w:rPr>
        <w:t xml:space="preserve"> packet of 16 biscuits from ₹4 to ₹4.50.</w:t>
      </w:r>
      <w:r w:rsidRPr="000176CC">
        <w:rPr>
          <w:rStyle w:val="EndnoteReference"/>
          <w:rFonts w:eastAsia="Calibri"/>
          <w:lang w:val="en-GB"/>
        </w:rPr>
        <w:endnoteReference w:id="66"/>
      </w:r>
      <w:r w:rsidRPr="000176CC">
        <w:rPr>
          <w:rFonts w:eastAsia="Calibri"/>
          <w:lang w:val="en-GB"/>
        </w:rPr>
        <w:t xml:space="preserve"> The </w:t>
      </w:r>
      <w:r>
        <w:rPr>
          <w:rFonts w:eastAsia="Calibri"/>
          <w:lang w:val="en-GB"/>
        </w:rPr>
        <w:t>increase</w:t>
      </w:r>
      <w:r w:rsidRPr="000176CC">
        <w:rPr>
          <w:rFonts w:eastAsia="Calibri"/>
          <w:lang w:val="en-GB"/>
        </w:rPr>
        <w:t xml:space="preserve"> led to </w:t>
      </w:r>
      <w:r>
        <w:rPr>
          <w:rFonts w:eastAsia="Calibri"/>
          <w:lang w:val="en-GB"/>
        </w:rPr>
        <w:t xml:space="preserve">a 40 per cent </w:t>
      </w:r>
      <w:r w:rsidRPr="000176CC">
        <w:rPr>
          <w:rFonts w:eastAsia="Calibri"/>
          <w:lang w:val="en-GB"/>
        </w:rPr>
        <w:t>drop in sales within six months.</w:t>
      </w:r>
      <w:r w:rsidRPr="000176CC">
        <w:rPr>
          <w:rFonts w:eastAsia="Calibri"/>
          <w:vertAlign w:val="superscript"/>
          <w:lang w:val="en-GB"/>
        </w:rPr>
        <w:endnoteReference w:id="67"/>
      </w:r>
    </w:p>
    <w:p w14:paraId="6BD808FC" w14:textId="77777777" w:rsidR="00E0759F" w:rsidRPr="000176CC" w:rsidRDefault="00E0759F" w:rsidP="00337DF9">
      <w:pPr>
        <w:pStyle w:val="BodyTextMain"/>
        <w:rPr>
          <w:rFonts w:eastAsia="Calibri"/>
          <w:lang w:val="en-GB"/>
        </w:rPr>
      </w:pPr>
    </w:p>
    <w:p w14:paraId="63D3C5AA" w14:textId="3422AD6F" w:rsidR="002D3BF9" w:rsidRDefault="00E0759F" w:rsidP="002D3BF9">
      <w:pPr>
        <w:pStyle w:val="BodyTextMain"/>
        <w:rPr>
          <w:rFonts w:eastAsia="Calibri"/>
          <w:lang w:val="en-GB"/>
        </w:rPr>
      </w:pPr>
      <w:r w:rsidRPr="000176CC">
        <w:rPr>
          <w:rFonts w:eastAsia="Calibri"/>
          <w:lang w:val="en-GB"/>
        </w:rPr>
        <w:t xml:space="preserve">Increasing competition and declining growth in the </w:t>
      </w:r>
      <w:r>
        <w:rPr>
          <w:rFonts w:eastAsia="Calibri"/>
          <w:lang w:val="en-GB"/>
        </w:rPr>
        <w:t>mass-market</w:t>
      </w:r>
      <w:r w:rsidRPr="000176CC">
        <w:rPr>
          <w:rFonts w:eastAsia="Calibri"/>
          <w:lang w:val="en-GB"/>
        </w:rPr>
        <w:t xml:space="preserve"> biscuits segment </w:t>
      </w:r>
      <w:r>
        <w:rPr>
          <w:rFonts w:eastAsia="Calibri"/>
          <w:lang w:val="en-GB"/>
        </w:rPr>
        <w:t>were</w:t>
      </w:r>
      <w:r w:rsidRPr="000176CC">
        <w:rPr>
          <w:rFonts w:eastAsia="Calibri"/>
          <w:lang w:val="en-GB"/>
        </w:rPr>
        <w:t xml:space="preserve"> threatening </w:t>
      </w:r>
      <w:r>
        <w:rPr>
          <w:rFonts w:eastAsia="Calibri"/>
          <w:lang w:val="en-GB"/>
        </w:rPr>
        <w:t>Parle’s</w:t>
      </w:r>
      <w:r w:rsidRPr="000176CC">
        <w:rPr>
          <w:rFonts w:eastAsia="Calibri"/>
          <w:lang w:val="en-GB"/>
        </w:rPr>
        <w:t xml:space="preserve"> profitability. Though Parle was leading the overall business segment, its profit margin </w:t>
      </w:r>
      <w:r>
        <w:rPr>
          <w:rFonts w:eastAsia="Calibri"/>
          <w:lang w:val="en-GB"/>
        </w:rPr>
        <w:t>was</w:t>
      </w:r>
      <w:r w:rsidRPr="000176CC">
        <w:rPr>
          <w:rFonts w:eastAsia="Calibri"/>
          <w:lang w:val="en-GB"/>
        </w:rPr>
        <w:t xml:space="preserve"> much lower than </w:t>
      </w:r>
      <w:r>
        <w:rPr>
          <w:rFonts w:eastAsia="Calibri"/>
          <w:lang w:val="en-GB"/>
        </w:rPr>
        <w:t xml:space="preserve">that of </w:t>
      </w:r>
      <w:r w:rsidRPr="000176CC">
        <w:rPr>
          <w:rFonts w:eastAsia="Calibri"/>
          <w:lang w:val="en-GB"/>
        </w:rPr>
        <w:t>its major competitor</w:t>
      </w:r>
      <w:r>
        <w:rPr>
          <w:rFonts w:eastAsia="Calibri"/>
          <w:lang w:val="en-GB"/>
        </w:rPr>
        <w:t>,</w:t>
      </w:r>
      <w:r w:rsidRPr="000176CC">
        <w:rPr>
          <w:rFonts w:eastAsia="Calibri"/>
          <w:lang w:val="en-GB"/>
        </w:rPr>
        <w:t xml:space="preserve"> Britannia. In 2016, the year for which full financial data was available, Britannia earned a net profit margin of 9.81</w:t>
      </w:r>
      <w:r>
        <w:rPr>
          <w:rFonts w:eastAsia="Calibri"/>
          <w:lang w:val="en-GB"/>
        </w:rPr>
        <w:t xml:space="preserve"> per cent,</w:t>
      </w:r>
      <w:r w:rsidRPr="000176CC">
        <w:rPr>
          <w:rFonts w:eastAsia="Calibri"/>
          <w:lang w:val="en-GB"/>
        </w:rPr>
        <w:t xml:space="preserve"> while Parle had to contend with just 5.3</w:t>
      </w:r>
      <w:r>
        <w:rPr>
          <w:rFonts w:eastAsia="Calibri"/>
          <w:lang w:val="en-GB"/>
        </w:rPr>
        <w:t xml:space="preserve"> per cent</w:t>
      </w:r>
      <w:r w:rsidRPr="000176CC">
        <w:rPr>
          <w:rFonts w:eastAsia="Calibri"/>
          <w:lang w:val="en-GB"/>
        </w:rPr>
        <w:t>.</w:t>
      </w:r>
      <w:r w:rsidRPr="000176CC">
        <w:rPr>
          <w:rFonts w:eastAsia="Calibri"/>
          <w:vertAlign w:val="superscript"/>
          <w:lang w:val="en-GB"/>
        </w:rPr>
        <w:endnoteReference w:id="68"/>
      </w:r>
      <w:r w:rsidRPr="000176CC">
        <w:rPr>
          <w:rFonts w:eastAsia="Calibri"/>
          <w:lang w:val="en-GB"/>
        </w:rPr>
        <w:t xml:space="preserve"> </w:t>
      </w:r>
      <w:r w:rsidR="00337DF9" w:rsidRPr="000176CC">
        <w:rPr>
          <w:rFonts w:eastAsia="Calibri"/>
          <w:lang w:val="en-GB"/>
        </w:rPr>
        <w:t xml:space="preserve">Parle’s leadership in </w:t>
      </w:r>
      <w:r w:rsidR="00D63BAC">
        <w:rPr>
          <w:rFonts w:eastAsia="Calibri"/>
          <w:lang w:val="en-GB"/>
        </w:rPr>
        <w:t>mass-market</w:t>
      </w:r>
      <w:r w:rsidR="00337DF9" w:rsidRPr="000176CC">
        <w:rPr>
          <w:rFonts w:eastAsia="Calibri"/>
          <w:lang w:val="en-GB"/>
        </w:rPr>
        <w:t xml:space="preserve"> biscuits had given it volumes at the cost of margins. </w:t>
      </w:r>
      <w:r w:rsidR="00D63BAC">
        <w:rPr>
          <w:rFonts w:eastAsia="Calibri"/>
          <w:lang w:val="en-GB"/>
        </w:rPr>
        <w:t>The uniform</w:t>
      </w:r>
      <w:r w:rsidR="00337DF9" w:rsidRPr="000176CC">
        <w:rPr>
          <w:rFonts w:eastAsia="Calibri"/>
          <w:lang w:val="en-GB"/>
        </w:rPr>
        <w:t xml:space="preserve"> GST rate of 18</w:t>
      </w:r>
      <w:r w:rsidR="00D63BAC">
        <w:rPr>
          <w:rFonts w:eastAsia="Calibri"/>
          <w:lang w:val="en-GB"/>
        </w:rPr>
        <w:t xml:space="preserve"> per cent</w:t>
      </w:r>
      <w:r w:rsidR="00337DF9" w:rsidRPr="000176CC">
        <w:rPr>
          <w:rFonts w:eastAsia="Calibri"/>
          <w:lang w:val="en-GB"/>
        </w:rPr>
        <w:t xml:space="preserve"> on all types of biscuits was further eroding the competitiveness of Parle-G and other </w:t>
      </w:r>
      <w:r w:rsidR="00D63BAC">
        <w:rPr>
          <w:rFonts w:eastAsia="Calibri"/>
          <w:lang w:val="en-GB"/>
        </w:rPr>
        <w:t>mass-market</w:t>
      </w:r>
      <w:r w:rsidR="00337DF9" w:rsidRPr="000176CC">
        <w:rPr>
          <w:rFonts w:eastAsia="Calibri"/>
          <w:lang w:val="en-GB"/>
        </w:rPr>
        <w:t xml:space="preserve"> biscuits. What should Shah do to retain Parle’s profit margins</w:t>
      </w:r>
      <w:r w:rsidR="00D63BAC" w:rsidRPr="00D63BAC">
        <w:rPr>
          <w:rFonts w:eastAsia="Calibri"/>
          <w:lang w:val="en-GB"/>
        </w:rPr>
        <w:t xml:space="preserve"> </w:t>
      </w:r>
      <w:r w:rsidR="00D63BAC" w:rsidRPr="000176CC">
        <w:rPr>
          <w:rFonts w:eastAsia="Calibri"/>
          <w:lang w:val="en-GB"/>
        </w:rPr>
        <w:t>in this competitive space</w:t>
      </w:r>
      <w:r w:rsidR="00337DF9" w:rsidRPr="000176CC">
        <w:rPr>
          <w:rFonts w:eastAsia="Calibri"/>
          <w:lang w:val="en-GB"/>
        </w:rPr>
        <w:t xml:space="preserve">? Should he increase the price of the company’s </w:t>
      </w:r>
      <w:r w:rsidR="00D63BAC">
        <w:rPr>
          <w:rFonts w:eastAsia="Calibri"/>
          <w:lang w:val="en-GB"/>
        </w:rPr>
        <w:t>mass-market</w:t>
      </w:r>
      <w:r w:rsidR="00337DF9" w:rsidRPr="000176CC">
        <w:rPr>
          <w:rFonts w:eastAsia="Calibri"/>
          <w:lang w:val="en-GB"/>
        </w:rPr>
        <w:t xml:space="preserve"> biscuits</w:t>
      </w:r>
      <w:r w:rsidR="00D63BAC">
        <w:rPr>
          <w:rFonts w:eastAsia="Calibri"/>
          <w:lang w:val="en-GB"/>
        </w:rPr>
        <w:t>,</w:t>
      </w:r>
      <w:r w:rsidR="00337DF9" w:rsidRPr="000176CC">
        <w:rPr>
          <w:rFonts w:eastAsia="Calibri"/>
          <w:lang w:val="en-GB"/>
        </w:rPr>
        <w:t xml:space="preserve"> or look for other avenues for higher growth and profitability? Opportunities were immense</w:t>
      </w:r>
      <w:r w:rsidR="00D63BAC">
        <w:rPr>
          <w:rFonts w:eastAsia="Calibri"/>
          <w:lang w:val="en-GB"/>
        </w:rPr>
        <w:t>,</w:t>
      </w:r>
      <w:r w:rsidR="00337DF9" w:rsidRPr="000176CC">
        <w:rPr>
          <w:rFonts w:eastAsia="Calibri"/>
          <w:lang w:val="en-GB"/>
        </w:rPr>
        <w:t xml:space="preserve"> as the food market segment in which Parle </w:t>
      </w:r>
      <w:r w:rsidR="00E62389">
        <w:rPr>
          <w:rFonts w:eastAsia="Calibri"/>
          <w:lang w:val="en-GB"/>
        </w:rPr>
        <w:t xml:space="preserve">operated </w:t>
      </w:r>
      <w:r w:rsidR="00337DF9" w:rsidRPr="000176CC">
        <w:rPr>
          <w:rFonts w:eastAsia="Calibri"/>
          <w:lang w:val="en-GB"/>
        </w:rPr>
        <w:t>was growing</w:t>
      </w:r>
      <w:r w:rsidR="00D63BAC">
        <w:rPr>
          <w:rFonts w:eastAsia="Calibri"/>
          <w:lang w:val="en-GB"/>
        </w:rPr>
        <w:t>. However,</w:t>
      </w:r>
      <w:r w:rsidR="00337DF9" w:rsidRPr="000176CC">
        <w:rPr>
          <w:rFonts w:eastAsia="Calibri"/>
          <w:lang w:val="en-GB"/>
        </w:rPr>
        <w:t xml:space="preserve"> it was challenging to retain the lead in a highly competitive market space.</w:t>
      </w:r>
      <w:r w:rsidR="00337DF9" w:rsidRPr="000176CC" w:rsidDel="00311335">
        <w:rPr>
          <w:rFonts w:eastAsia="Calibri"/>
          <w:lang w:val="en-GB"/>
        </w:rPr>
        <w:t xml:space="preserve"> </w:t>
      </w:r>
    </w:p>
    <w:p w14:paraId="6A3D59A8" w14:textId="31D24769" w:rsidR="002D3BF9" w:rsidRDefault="002D3BF9" w:rsidP="002D3BF9">
      <w:pPr>
        <w:pStyle w:val="BodyTextMain"/>
        <w:rPr>
          <w:rFonts w:eastAsia="Calibri"/>
          <w:lang w:val="en-GB"/>
        </w:rPr>
      </w:pPr>
    </w:p>
    <w:p w14:paraId="4388ED34" w14:textId="31643D0A" w:rsidR="002D3BF9" w:rsidRDefault="002D3BF9">
      <w:pPr>
        <w:spacing w:after="200" w:line="276" w:lineRule="auto"/>
        <w:rPr>
          <w:rFonts w:eastAsia="Calibri"/>
          <w:sz w:val="22"/>
          <w:szCs w:val="22"/>
          <w:lang w:val="en-GB"/>
        </w:rPr>
      </w:pPr>
      <w:r w:rsidRPr="002D3BF9">
        <w:rPr>
          <w:rFonts w:eastAsia="Calibri"/>
          <w:noProof/>
        </w:rPr>
        <mc:AlternateContent>
          <mc:Choice Requires="wps">
            <w:drawing>
              <wp:anchor distT="45720" distB="45720" distL="114300" distR="114300" simplePos="0" relativeHeight="251663360" behindDoc="0" locked="0" layoutInCell="1" allowOverlap="1" wp14:anchorId="3B70CB3F" wp14:editId="1D3C9663">
                <wp:simplePos x="0" y="0"/>
                <wp:positionH relativeFrom="page">
                  <wp:posOffset>1388745</wp:posOffset>
                </wp:positionH>
                <wp:positionV relativeFrom="paragraph">
                  <wp:posOffset>18415</wp:posOffset>
                </wp:positionV>
                <wp:extent cx="5059680" cy="2286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680" cy="228600"/>
                        </a:xfrm>
                        <a:prstGeom prst="rect">
                          <a:avLst/>
                        </a:prstGeom>
                        <a:solidFill>
                          <a:srgbClr val="FFFFFF"/>
                        </a:solidFill>
                        <a:ln w="9525">
                          <a:solidFill>
                            <a:srgbClr val="000000"/>
                          </a:solidFill>
                          <a:miter lim="800000"/>
                          <a:headEnd/>
                          <a:tailEnd/>
                        </a:ln>
                      </wps:spPr>
                      <wps:txbx>
                        <w:txbxContent>
                          <w:p w14:paraId="6885739F" w14:textId="27EBDBE0" w:rsidR="002D3BF9" w:rsidRDefault="002D3BF9" w:rsidP="002D3BF9">
                            <w:pPr>
                              <w:pStyle w:val="Footnote"/>
                              <w:jc w:val="center"/>
                              <w:rPr>
                                <w:rFonts w:eastAsia="Calibri"/>
                              </w:rPr>
                            </w:pPr>
                            <w:r>
                              <w:rPr>
                                <w:rFonts w:eastAsia="Calibri"/>
                              </w:rPr>
                              <w:t>Veena Keshav Pailwar is a faculty member at the Institute of Management Technology, Nagpur, India.</w:t>
                            </w:r>
                          </w:p>
                          <w:p w14:paraId="2D6603BD" w14:textId="17B84EE1" w:rsidR="002D3BF9" w:rsidRDefault="002D3BF9" w:rsidP="002D3BF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0CB3F" id="_x0000_t202" coordsize="21600,21600" o:spt="202" path="m,l,21600r21600,l21600,xe">
                <v:stroke joinstyle="miter"/>
                <v:path gradientshapeok="t" o:connecttype="rect"/>
              </v:shapetype>
              <v:shape id="Text Box 2" o:spid="_x0000_s1026" type="#_x0000_t202" style="position:absolute;margin-left:109.35pt;margin-top:1.45pt;width:398.4pt;height:18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">
                <v:textbox>
                  <w:txbxContent>
                    <w:p w14:paraId="6885739F" w14:textId="27EBDBE0" w:rsidR="002D3BF9" w:rsidRDefault="002D3BF9" w:rsidP="002D3BF9">
                      <w:pPr>
                        <w:pStyle w:val="Footnote"/>
                        <w:jc w:val="center"/>
                        <w:rPr>
                          <w:rFonts w:eastAsia="Calibri"/>
                        </w:rPr>
                      </w:pPr>
                      <w:r>
                        <w:rPr>
                          <w:rFonts w:eastAsia="Calibri"/>
                        </w:rPr>
                        <w:t>Veena Keshav Pailwar is a faculty member at the Institute of Management Technology, Nagpur, India.</w:t>
                      </w:r>
                    </w:p>
                    <w:p w14:paraId="2D6603BD" w14:textId="17B84EE1" w:rsidR="002D3BF9" w:rsidRDefault="002D3BF9" w:rsidP="002D3BF9">
                      <w:pPr>
                        <w:jc w:val="center"/>
                      </w:pPr>
                    </w:p>
                  </w:txbxContent>
                </v:textbox>
                <w10:wrap type="square" anchorx="page"/>
              </v:shape>
            </w:pict>
          </mc:Fallback>
        </mc:AlternateContent>
      </w:r>
      <w:r>
        <w:rPr>
          <w:rFonts w:eastAsia="Calibri"/>
          <w:lang w:val="en-GB"/>
        </w:rPr>
        <w:br w:type="page"/>
      </w:r>
    </w:p>
    <w:p w14:paraId="4E52EA4A" w14:textId="2962157F" w:rsidR="00337DF9" w:rsidRPr="000176CC" w:rsidRDefault="00337DF9" w:rsidP="00337DF9">
      <w:pPr>
        <w:pStyle w:val="ExhibitHeading"/>
        <w:rPr>
          <w:rFonts w:eastAsia="Calibri"/>
          <w:lang w:val="en-GB"/>
        </w:rPr>
      </w:pPr>
      <w:r w:rsidRPr="000176CC">
        <w:rPr>
          <w:rFonts w:eastAsia="Calibri"/>
          <w:lang w:val="en-GB"/>
        </w:rPr>
        <w:lastRenderedPageBreak/>
        <w:t>Exhibit 1:</w:t>
      </w:r>
      <w:r w:rsidR="000176CC">
        <w:rPr>
          <w:rFonts w:eastAsia="Calibri"/>
          <w:lang w:val="en-GB"/>
        </w:rPr>
        <w:t xml:space="preserve"> </w:t>
      </w:r>
      <w:r w:rsidRPr="000176CC">
        <w:rPr>
          <w:rFonts w:eastAsia="Calibri"/>
          <w:lang w:val="en-GB"/>
        </w:rPr>
        <w:t>GST rates on Parle’s products</w:t>
      </w:r>
    </w:p>
    <w:p w14:paraId="4257544B" w14:textId="77777777" w:rsidR="000B0007" w:rsidRPr="000176CC" w:rsidRDefault="000B0007" w:rsidP="00337DF9">
      <w:pPr>
        <w:pStyle w:val="ExhibitHeading"/>
        <w:rPr>
          <w:rFonts w:eastAsia="Calibri"/>
          <w:lang w:val="en-GB"/>
        </w:rPr>
      </w:pPr>
    </w:p>
    <w:tbl>
      <w:tblPr>
        <w:tblStyle w:val="TableGrid"/>
        <w:tblW w:w="0" w:type="auto"/>
        <w:jc w:val="center"/>
        <w:tblLook w:val="04A0" w:firstRow="1" w:lastRow="0" w:firstColumn="1" w:lastColumn="0" w:noHBand="0" w:noVBand="1"/>
      </w:tblPr>
      <w:tblGrid>
        <w:gridCol w:w="4673"/>
        <w:gridCol w:w="1418"/>
        <w:gridCol w:w="1842"/>
      </w:tblGrid>
      <w:tr w:rsidR="00337DF9" w:rsidRPr="000176CC" w14:paraId="1B5A6EA7" w14:textId="77777777" w:rsidTr="00D66356">
        <w:trPr>
          <w:jc w:val="center"/>
        </w:trPr>
        <w:tc>
          <w:tcPr>
            <w:tcW w:w="4673" w:type="dxa"/>
          </w:tcPr>
          <w:p w14:paraId="5DF3096C" w14:textId="673DC5F0" w:rsidR="00337DF9" w:rsidRPr="00D66356" w:rsidRDefault="00337DF9" w:rsidP="00337DF9">
            <w:pPr>
              <w:pStyle w:val="ExhibitText"/>
              <w:jc w:val="left"/>
              <w:rPr>
                <w:rFonts w:eastAsia="Calibri"/>
                <w:b/>
                <w:lang w:val="en-GB"/>
              </w:rPr>
            </w:pPr>
            <w:r w:rsidRPr="00D66356">
              <w:rPr>
                <w:rFonts w:eastAsia="Calibri"/>
                <w:b/>
                <w:lang w:val="en-GB"/>
              </w:rPr>
              <w:t xml:space="preserve">Parle </w:t>
            </w:r>
            <w:r w:rsidR="00984AC5">
              <w:rPr>
                <w:rFonts w:eastAsia="Calibri"/>
                <w:b/>
                <w:lang w:val="en-GB"/>
              </w:rPr>
              <w:t>products</w:t>
            </w:r>
          </w:p>
        </w:tc>
        <w:tc>
          <w:tcPr>
            <w:tcW w:w="1418" w:type="dxa"/>
          </w:tcPr>
          <w:p w14:paraId="4FBD6DB1" w14:textId="47DF7462" w:rsidR="00337DF9" w:rsidRPr="00D66356" w:rsidRDefault="00337DF9" w:rsidP="00337DF9">
            <w:pPr>
              <w:pStyle w:val="ExhibitText"/>
              <w:jc w:val="center"/>
              <w:rPr>
                <w:rFonts w:eastAsia="Calibri"/>
                <w:b/>
                <w:lang w:val="en-GB"/>
              </w:rPr>
            </w:pPr>
            <w:r w:rsidRPr="00D66356">
              <w:rPr>
                <w:rFonts w:eastAsia="Calibri"/>
                <w:b/>
                <w:lang w:val="en-GB"/>
              </w:rPr>
              <w:t xml:space="preserve">GST </w:t>
            </w:r>
            <w:r w:rsidR="00984AC5">
              <w:rPr>
                <w:rFonts w:eastAsia="Calibri"/>
                <w:b/>
                <w:lang w:val="en-GB"/>
              </w:rPr>
              <w:t>rate</w:t>
            </w:r>
            <w:r w:rsidR="00E649DE">
              <w:rPr>
                <w:rFonts w:eastAsia="Calibri"/>
                <w:b/>
                <w:lang w:val="en-GB"/>
              </w:rPr>
              <w:t xml:space="preserve"> (%)</w:t>
            </w:r>
          </w:p>
        </w:tc>
        <w:tc>
          <w:tcPr>
            <w:tcW w:w="1842" w:type="dxa"/>
          </w:tcPr>
          <w:p w14:paraId="31260A00" w14:textId="7F340694" w:rsidR="00337DF9" w:rsidRPr="00D66356" w:rsidRDefault="00337DF9" w:rsidP="00337DF9">
            <w:pPr>
              <w:pStyle w:val="ExhibitText"/>
              <w:jc w:val="center"/>
              <w:rPr>
                <w:rFonts w:eastAsia="Calibri"/>
                <w:b/>
                <w:lang w:val="en-GB"/>
              </w:rPr>
            </w:pPr>
            <w:r w:rsidRPr="00D66356">
              <w:rPr>
                <w:rFonts w:eastAsia="Calibri"/>
                <w:b/>
                <w:lang w:val="en-GB"/>
              </w:rPr>
              <w:t xml:space="preserve">Pre-GST </w:t>
            </w:r>
            <w:r w:rsidR="00984AC5">
              <w:rPr>
                <w:rFonts w:eastAsia="Calibri"/>
                <w:b/>
                <w:lang w:val="en-GB"/>
              </w:rPr>
              <w:t>rate</w:t>
            </w:r>
            <w:r w:rsidR="00E649DE">
              <w:rPr>
                <w:rFonts w:eastAsia="Calibri"/>
                <w:b/>
                <w:lang w:val="en-GB"/>
              </w:rPr>
              <w:t xml:space="preserve"> (%)</w:t>
            </w:r>
          </w:p>
        </w:tc>
      </w:tr>
      <w:tr w:rsidR="00337DF9" w:rsidRPr="000176CC" w14:paraId="294C8103" w14:textId="77777777" w:rsidTr="00D66356">
        <w:trPr>
          <w:jc w:val="center"/>
        </w:trPr>
        <w:tc>
          <w:tcPr>
            <w:tcW w:w="4673" w:type="dxa"/>
          </w:tcPr>
          <w:p w14:paraId="0E2CE968" w14:textId="09ED5F6B" w:rsidR="00337DF9" w:rsidRPr="000176CC" w:rsidRDefault="00337DF9" w:rsidP="00337DF9">
            <w:pPr>
              <w:pStyle w:val="ExhibitText"/>
              <w:jc w:val="left"/>
              <w:rPr>
                <w:rFonts w:eastAsia="Calibri"/>
                <w:lang w:val="en-GB"/>
              </w:rPr>
            </w:pPr>
            <w:r w:rsidRPr="000176CC">
              <w:rPr>
                <w:rFonts w:eastAsia="Calibri"/>
                <w:lang w:val="en-GB"/>
              </w:rPr>
              <w:t xml:space="preserve">White chocolate </w:t>
            </w:r>
            <w:r w:rsidR="00984AC5">
              <w:rPr>
                <w:rFonts w:eastAsia="Calibri"/>
                <w:lang w:val="en-GB"/>
              </w:rPr>
              <w:t xml:space="preserve">(does </w:t>
            </w:r>
            <w:r w:rsidRPr="000176CC">
              <w:rPr>
                <w:rFonts w:eastAsia="Calibri"/>
                <w:lang w:val="en-GB"/>
              </w:rPr>
              <w:t xml:space="preserve">not </w:t>
            </w:r>
            <w:r w:rsidR="00984AC5">
              <w:rPr>
                <w:rFonts w:eastAsia="Calibri"/>
                <w:lang w:val="en-GB"/>
              </w:rPr>
              <w:t>contain cocoa)</w:t>
            </w:r>
          </w:p>
          <w:p w14:paraId="6C030542" w14:textId="77777777" w:rsidR="00337DF9" w:rsidRPr="000176CC" w:rsidRDefault="00337DF9" w:rsidP="00337DF9">
            <w:pPr>
              <w:pStyle w:val="ExhibitText"/>
              <w:jc w:val="left"/>
              <w:rPr>
                <w:rFonts w:eastAsia="Calibri"/>
                <w:lang w:val="en-GB"/>
              </w:rPr>
            </w:pPr>
            <w:r w:rsidRPr="000176CC">
              <w:rPr>
                <w:rFonts w:eastAsia="Calibri"/>
                <w:lang w:val="en-GB"/>
              </w:rPr>
              <w:t>Chewing gum</w:t>
            </w:r>
          </w:p>
        </w:tc>
        <w:tc>
          <w:tcPr>
            <w:tcW w:w="1418" w:type="dxa"/>
            <w:vAlign w:val="center"/>
          </w:tcPr>
          <w:p w14:paraId="4AEDA3F2" w14:textId="77777777" w:rsidR="00337DF9" w:rsidRPr="000176CC" w:rsidRDefault="00337DF9" w:rsidP="00D66356">
            <w:pPr>
              <w:pStyle w:val="ExhibitText"/>
              <w:jc w:val="right"/>
              <w:rPr>
                <w:rFonts w:eastAsia="Calibri"/>
                <w:lang w:val="en-GB"/>
              </w:rPr>
            </w:pPr>
            <w:r w:rsidRPr="000176CC">
              <w:rPr>
                <w:rFonts w:eastAsia="Calibri"/>
                <w:lang w:val="en-GB"/>
              </w:rPr>
              <w:t>28</w:t>
            </w:r>
          </w:p>
        </w:tc>
        <w:tc>
          <w:tcPr>
            <w:tcW w:w="1842" w:type="dxa"/>
            <w:vAlign w:val="center"/>
          </w:tcPr>
          <w:p w14:paraId="19B75535" w14:textId="77777777" w:rsidR="00337DF9" w:rsidRPr="000176CC" w:rsidRDefault="00337DF9" w:rsidP="00D66356">
            <w:pPr>
              <w:pStyle w:val="ExhibitText"/>
              <w:jc w:val="right"/>
              <w:rPr>
                <w:rFonts w:eastAsia="Calibri"/>
                <w:lang w:val="en-GB"/>
              </w:rPr>
            </w:pPr>
            <w:r w:rsidRPr="000176CC">
              <w:rPr>
                <w:rFonts w:eastAsia="Calibri"/>
                <w:lang w:val="en-GB"/>
              </w:rPr>
              <w:t>26</w:t>
            </w:r>
          </w:p>
        </w:tc>
      </w:tr>
      <w:tr w:rsidR="00337DF9" w:rsidRPr="000176CC" w14:paraId="1CEC78DD" w14:textId="77777777" w:rsidTr="00D66356">
        <w:trPr>
          <w:jc w:val="center"/>
        </w:trPr>
        <w:tc>
          <w:tcPr>
            <w:tcW w:w="4673" w:type="dxa"/>
          </w:tcPr>
          <w:p w14:paraId="76FE10C0" w14:textId="2A502F58" w:rsidR="00337DF9" w:rsidRPr="000176CC" w:rsidRDefault="00337DF9" w:rsidP="00337DF9">
            <w:pPr>
              <w:pStyle w:val="ExhibitText"/>
              <w:jc w:val="left"/>
              <w:rPr>
                <w:rFonts w:eastAsia="Calibri"/>
                <w:lang w:val="en-GB"/>
              </w:rPr>
            </w:pPr>
            <w:r w:rsidRPr="000176CC">
              <w:rPr>
                <w:rFonts w:eastAsia="Calibri"/>
                <w:lang w:val="en-GB"/>
              </w:rPr>
              <w:t>Biscuits</w:t>
            </w:r>
            <w:r w:rsidR="00984AC5">
              <w:rPr>
                <w:rFonts w:eastAsia="Calibri"/>
                <w:lang w:val="en-GB"/>
              </w:rPr>
              <w:t>,</w:t>
            </w:r>
            <w:r w:rsidRPr="000176CC">
              <w:rPr>
                <w:rFonts w:eastAsia="Calibri"/>
                <w:lang w:val="en-GB"/>
              </w:rPr>
              <w:t xml:space="preserve"> </w:t>
            </w:r>
            <w:r w:rsidR="00984AC5">
              <w:rPr>
                <w:rFonts w:eastAsia="Calibri"/>
                <w:lang w:val="en-GB"/>
              </w:rPr>
              <w:t>mass-market</w:t>
            </w:r>
            <w:r w:rsidRPr="000176CC">
              <w:rPr>
                <w:rFonts w:eastAsia="Calibri"/>
                <w:lang w:val="en-GB"/>
              </w:rPr>
              <w:t xml:space="preserve"> (</w:t>
            </w:r>
            <w:r w:rsidR="00984AC5">
              <w:rPr>
                <w:rFonts w:eastAsia="Calibri"/>
                <w:lang w:val="en-GB"/>
              </w:rPr>
              <w:t>below</w:t>
            </w:r>
            <w:r w:rsidR="00984AC5" w:rsidRPr="000176CC">
              <w:rPr>
                <w:rFonts w:eastAsia="Calibri"/>
                <w:lang w:val="en-GB"/>
              </w:rPr>
              <w:t xml:space="preserve"> </w:t>
            </w:r>
            <w:r w:rsidRPr="000176CC">
              <w:rPr>
                <w:rFonts w:ascii="Tahoma" w:eastAsia="Calibri" w:hAnsi="Tahoma" w:cs="Tahoma"/>
                <w:lang w:val="en-GB"/>
              </w:rPr>
              <w:t>₹</w:t>
            </w:r>
            <w:r w:rsidRPr="000176CC">
              <w:rPr>
                <w:rFonts w:eastAsia="Calibri"/>
                <w:lang w:val="en-GB"/>
              </w:rPr>
              <w:t xml:space="preserve">100 per </w:t>
            </w:r>
            <w:r w:rsidR="00984AC5">
              <w:rPr>
                <w:rFonts w:eastAsia="Calibri"/>
                <w:lang w:val="en-GB"/>
              </w:rPr>
              <w:t>kilogram)</w:t>
            </w:r>
          </w:p>
        </w:tc>
        <w:tc>
          <w:tcPr>
            <w:tcW w:w="1418" w:type="dxa"/>
            <w:vAlign w:val="center"/>
          </w:tcPr>
          <w:p w14:paraId="0BD58C97" w14:textId="77777777" w:rsidR="00337DF9" w:rsidRPr="000176CC" w:rsidRDefault="00337DF9" w:rsidP="00D66356">
            <w:pPr>
              <w:pStyle w:val="ExhibitText"/>
              <w:jc w:val="right"/>
              <w:rPr>
                <w:rFonts w:eastAsia="Calibri"/>
                <w:lang w:val="en-GB"/>
              </w:rPr>
            </w:pPr>
            <w:r w:rsidRPr="000176CC">
              <w:rPr>
                <w:rFonts w:eastAsia="Calibri"/>
                <w:lang w:val="en-GB"/>
              </w:rPr>
              <w:t>18</w:t>
            </w:r>
          </w:p>
        </w:tc>
        <w:tc>
          <w:tcPr>
            <w:tcW w:w="1842" w:type="dxa"/>
            <w:vAlign w:val="center"/>
          </w:tcPr>
          <w:p w14:paraId="1A7F33A1" w14:textId="77777777" w:rsidR="00337DF9" w:rsidRPr="000176CC" w:rsidRDefault="00337DF9" w:rsidP="00D66356">
            <w:pPr>
              <w:pStyle w:val="ExhibitText"/>
              <w:jc w:val="right"/>
              <w:rPr>
                <w:rFonts w:eastAsia="Calibri"/>
                <w:lang w:val="en-GB"/>
              </w:rPr>
            </w:pPr>
            <w:r w:rsidRPr="000176CC">
              <w:rPr>
                <w:rFonts w:eastAsia="Calibri"/>
                <w:lang w:val="en-GB"/>
              </w:rPr>
              <w:t>14</w:t>
            </w:r>
          </w:p>
        </w:tc>
      </w:tr>
      <w:tr w:rsidR="00337DF9" w:rsidRPr="000176CC" w14:paraId="2CF39F95" w14:textId="77777777" w:rsidTr="00D66356">
        <w:trPr>
          <w:jc w:val="center"/>
        </w:trPr>
        <w:tc>
          <w:tcPr>
            <w:tcW w:w="4673" w:type="dxa"/>
          </w:tcPr>
          <w:p w14:paraId="36E573CD" w14:textId="3B99001E" w:rsidR="00337DF9" w:rsidRPr="000176CC" w:rsidRDefault="00337DF9" w:rsidP="00337DF9">
            <w:pPr>
              <w:pStyle w:val="ExhibitText"/>
              <w:jc w:val="left"/>
              <w:rPr>
                <w:rFonts w:eastAsia="Calibri"/>
                <w:lang w:val="en-GB"/>
              </w:rPr>
            </w:pPr>
            <w:r w:rsidRPr="000176CC">
              <w:rPr>
                <w:rFonts w:eastAsia="Calibri"/>
                <w:lang w:val="en-GB"/>
              </w:rPr>
              <w:t>Biscuits</w:t>
            </w:r>
            <w:r w:rsidR="00984AC5">
              <w:rPr>
                <w:rFonts w:eastAsia="Calibri"/>
                <w:lang w:val="en-GB"/>
              </w:rPr>
              <w:t>,</w:t>
            </w:r>
            <w:r w:rsidRPr="000176CC">
              <w:rPr>
                <w:rFonts w:eastAsia="Calibri"/>
                <w:lang w:val="en-GB"/>
              </w:rPr>
              <w:t xml:space="preserve"> premium</w:t>
            </w:r>
          </w:p>
        </w:tc>
        <w:tc>
          <w:tcPr>
            <w:tcW w:w="1418" w:type="dxa"/>
            <w:vAlign w:val="center"/>
          </w:tcPr>
          <w:p w14:paraId="1B985E2F" w14:textId="77777777" w:rsidR="00337DF9" w:rsidRPr="000176CC" w:rsidRDefault="00337DF9" w:rsidP="00D66356">
            <w:pPr>
              <w:pStyle w:val="ExhibitText"/>
              <w:jc w:val="right"/>
              <w:rPr>
                <w:rFonts w:eastAsia="Calibri"/>
                <w:lang w:val="en-GB"/>
              </w:rPr>
            </w:pPr>
            <w:r w:rsidRPr="000176CC">
              <w:rPr>
                <w:rFonts w:eastAsia="Calibri"/>
                <w:lang w:val="en-GB"/>
              </w:rPr>
              <w:t>18</w:t>
            </w:r>
          </w:p>
        </w:tc>
        <w:tc>
          <w:tcPr>
            <w:tcW w:w="1842" w:type="dxa"/>
            <w:vAlign w:val="center"/>
          </w:tcPr>
          <w:p w14:paraId="3F61FB54" w14:textId="613516D0" w:rsidR="00337DF9" w:rsidRPr="000176CC" w:rsidRDefault="00337DF9" w:rsidP="00D66356">
            <w:pPr>
              <w:pStyle w:val="ExhibitText"/>
              <w:jc w:val="right"/>
              <w:rPr>
                <w:rFonts w:eastAsia="Calibri"/>
                <w:lang w:val="en-GB"/>
              </w:rPr>
            </w:pPr>
            <w:r w:rsidRPr="000176CC">
              <w:rPr>
                <w:rFonts w:eastAsia="Calibri"/>
                <w:lang w:val="en-GB"/>
              </w:rPr>
              <w:t>22</w:t>
            </w:r>
            <w:r w:rsidR="00E649DE">
              <w:rPr>
                <w:rFonts w:eastAsia="Calibri"/>
                <w:lang w:val="en-GB"/>
              </w:rPr>
              <w:t>–</w:t>
            </w:r>
            <w:r w:rsidRPr="000176CC">
              <w:rPr>
                <w:rFonts w:eastAsia="Calibri"/>
                <w:lang w:val="en-GB"/>
              </w:rPr>
              <w:t>24</w:t>
            </w:r>
          </w:p>
        </w:tc>
      </w:tr>
      <w:tr w:rsidR="00337DF9" w:rsidRPr="000176CC" w14:paraId="0D198B2D" w14:textId="77777777" w:rsidTr="00D66356">
        <w:trPr>
          <w:jc w:val="center"/>
        </w:trPr>
        <w:tc>
          <w:tcPr>
            <w:tcW w:w="4673" w:type="dxa"/>
          </w:tcPr>
          <w:p w14:paraId="193DD758" w14:textId="4CB90D37" w:rsidR="00337DF9" w:rsidRPr="000176CC" w:rsidRDefault="00337DF9" w:rsidP="00337DF9">
            <w:pPr>
              <w:pStyle w:val="ExhibitText"/>
              <w:jc w:val="left"/>
              <w:rPr>
                <w:rFonts w:eastAsia="Calibri"/>
                <w:lang w:val="en-GB"/>
              </w:rPr>
            </w:pPr>
            <w:r w:rsidRPr="000176CC">
              <w:rPr>
                <w:rFonts w:eastAsia="Calibri"/>
                <w:lang w:val="en-GB"/>
              </w:rPr>
              <w:t>Sugar confectionery (other than white chocolate and chewing gum)</w:t>
            </w:r>
          </w:p>
        </w:tc>
        <w:tc>
          <w:tcPr>
            <w:tcW w:w="1418" w:type="dxa"/>
            <w:vAlign w:val="center"/>
          </w:tcPr>
          <w:p w14:paraId="747B17FE" w14:textId="77777777" w:rsidR="00337DF9" w:rsidRPr="000176CC" w:rsidRDefault="00337DF9" w:rsidP="00D66356">
            <w:pPr>
              <w:pStyle w:val="ExhibitText"/>
              <w:jc w:val="right"/>
              <w:rPr>
                <w:rFonts w:eastAsia="Calibri"/>
                <w:lang w:val="en-GB"/>
              </w:rPr>
            </w:pPr>
            <w:r w:rsidRPr="000176CC">
              <w:rPr>
                <w:rFonts w:eastAsia="Calibri"/>
                <w:lang w:val="en-GB"/>
              </w:rPr>
              <w:t>18</w:t>
            </w:r>
          </w:p>
        </w:tc>
        <w:tc>
          <w:tcPr>
            <w:tcW w:w="1842" w:type="dxa"/>
            <w:vAlign w:val="center"/>
          </w:tcPr>
          <w:p w14:paraId="315460FD" w14:textId="77777777" w:rsidR="00337DF9" w:rsidRPr="000176CC" w:rsidRDefault="00337DF9" w:rsidP="00D66356">
            <w:pPr>
              <w:pStyle w:val="ExhibitText"/>
              <w:jc w:val="right"/>
              <w:rPr>
                <w:rFonts w:eastAsia="Calibri"/>
                <w:lang w:val="en-GB"/>
              </w:rPr>
            </w:pPr>
            <w:r w:rsidRPr="000176CC">
              <w:rPr>
                <w:rFonts w:eastAsia="Calibri"/>
                <w:lang w:val="en-GB"/>
              </w:rPr>
              <w:t>21</w:t>
            </w:r>
          </w:p>
        </w:tc>
      </w:tr>
      <w:tr w:rsidR="00337DF9" w:rsidRPr="000176CC" w14:paraId="7D114D6A" w14:textId="77777777" w:rsidTr="00D66356">
        <w:trPr>
          <w:jc w:val="center"/>
        </w:trPr>
        <w:tc>
          <w:tcPr>
            <w:tcW w:w="4673" w:type="dxa"/>
          </w:tcPr>
          <w:p w14:paraId="27FCF8D8" w14:textId="77777777" w:rsidR="00337DF9" w:rsidRPr="000176CC" w:rsidRDefault="00337DF9" w:rsidP="00337DF9">
            <w:pPr>
              <w:pStyle w:val="ExhibitText"/>
              <w:jc w:val="left"/>
              <w:rPr>
                <w:rFonts w:eastAsia="Calibri"/>
                <w:lang w:val="en-GB"/>
              </w:rPr>
            </w:pPr>
            <w:r w:rsidRPr="000176CC">
              <w:rPr>
                <w:rFonts w:eastAsia="Calibri"/>
                <w:lang w:val="en-GB"/>
              </w:rPr>
              <w:t>Cakes and pastries</w:t>
            </w:r>
          </w:p>
        </w:tc>
        <w:tc>
          <w:tcPr>
            <w:tcW w:w="1418" w:type="dxa"/>
            <w:vAlign w:val="center"/>
          </w:tcPr>
          <w:p w14:paraId="2EE3327D" w14:textId="77777777" w:rsidR="00337DF9" w:rsidRPr="000176CC" w:rsidRDefault="00337DF9" w:rsidP="00D66356">
            <w:pPr>
              <w:pStyle w:val="ExhibitText"/>
              <w:jc w:val="right"/>
              <w:rPr>
                <w:rFonts w:eastAsia="Calibri"/>
                <w:lang w:val="en-GB"/>
              </w:rPr>
            </w:pPr>
            <w:r w:rsidRPr="000176CC">
              <w:rPr>
                <w:rFonts w:eastAsia="Calibri"/>
                <w:lang w:val="en-GB"/>
              </w:rPr>
              <w:t>18</w:t>
            </w:r>
          </w:p>
        </w:tc>
        <w:tc>
          <w:tcPr>
            <w:tcW w:w="1842" w:type="dxa"/>
            <w:vAlign w:val="center"/>
          </w:tcPr>
          <w:p w14:paraId="5D14ABD7" w14:textId="77777777" w:rsidR="00337DF9" w:rsidRPr="000176CC" w:rsidRDefault="00337DF9" w:rsidP="00D66356">
            <w:pPr>
              <w:pStyle w:val="ExhibitText"/>
              <w:jc w:val="right"/>
              <w:rPr>
                <w:rFonts w:eastAsia="Calibri"/>
                <w:lang w:val="en-GB"/>
              </w:rPr>
            </w:pPr>
            <w:r w:rsidRPr="000176CC">
              <w:rPr>
                <w:rFonts w:eastAsia="Calibri"/>
                <w:lang w:val="en-GB"/>
              </w:rPr>
              <w:t>19.5</w:t>
            </w:r>
          </w:p>
        </w:tc>
      </w:tr>
      <w:tr w:rsidR="00337DF9" w:rsidRPr="000176CC" w14:paraId="209B2645" w14:textId="77777777" w:rsidTr="00D66356">
        <w:trPr>
          <w:jc w:val="center"/>
        </w:trPr>
        <w:tc>
          <w:tcPr>
            <w:tcW w:w="4673" w:type="dxa"/>
          </w:tcPr>
          <w:p w14:paraId="1BD3D472" w14:textId="257C736C" w:rsidR="00337DF9" w:rsidRPr="000176CC" w:rsidRDefault="00337DF9" w:rsidP="00337DF9">
            <w:pPr>
              <w:pStyle w:val="ExhibitText"/>
              <w:jc w:val="left"/>
              <w:rPr>
                <w:rFonts w:eastAsia="Calibri"/>
                <w:lang w:val="en-GB"/>
              </w:rPr>
            </w:pPr>
            <w:r w:rsidRPr="000176CC">
              <w:rPr>
                <w:rFonts w:eastAsia="Calibri"/>
                <w:lang w:val="en-GB"/>
              </w:rPr>
              <w:t xml:space="preserve">Branded </w:t>
            </w:r>
            <w:r w:rsidR="00E62389">
              <w:rPr>
                <w:rFonts w:eastAsia="Calibri"/>
                <w:lang w:val="en-GB"/>
              </w:rPr>
              <w:t>namkeen</w:t>
            </w:r>
            <w:r w:rsidR="00984AC5">
              <w:rPr>
                <w:rFonts w:eastAsia="Calibri"/>
                <w:lang w:val="en-GB"/>
              </w:rPr>
              <w:t xml:space="preserve"> (</w:t>
            </w:r>
            <w:r w:rsidR="00E62389">
              <w:rPr>
                <w:rFonts w:eastAsia="Calibri"/>
                <w:lang w:val="en-GB"/>
              </w:rPr>
              <w:t>savoury snacks</w:t>
            </w:r>
            <w:r w:rsidR="00984AC5">
              <w:rPr>
                <w:rFonts w:eastAsia="Calibri"/>
                <w:lang w:val="en-GB"/>
              </w:rPr>
              <w:t>)</w:t>
            </w:r>
          </w:p>
        </w:tc>
        <w:tc>
          <w:tcPr>
            <w:tcW w:w="1418" w:type="dxa"/>
            <w:vAlign w:val="center"/>
          </w:tcPr>
          <w:p w14:paraId="2889D37C" w14:textId="77777777" w:rsidR="00337DF9" w:rsidRPr="000176CC" w:rsidRDefault="00337DF9" w:rsidP="00D66356">
            <w:pPr>
              <w:pStyle w:val="ExhibitText"/>
              <w:jc w:val="right"/>
              <w:rPr>
                <w:rFonts w:eastAsia="Calibri"/>
                <w:lang w:val="en-GB"/>
              </w:rPr>
            </w:pPr>
            <w:r w:rsidRPr="000176CC">
              <w:rPr>
                <w:rFonts w:eastAsia="Calibri"/>
                <w:lang w:val="en-GB"/>
              </w:rPr>
              <w:t>12</w:t>
            </w:r>
          </w:p>
        </w:tc>
        <w:tc>
          <w:tcPr>
            <w:tcW w:w="1842" w:type="dxa"/>
            <w:vAlign w:val="center"/>
          </w:tcPr>
          <w:p w14:paraId="4A830D1E" w14:textId="77777777" w:rsidR="00337DF9" w:rsidRPr="000176CC" w:rsidRDefault="00337DF9" w:rsidP="00D66356">
            <w:pPr>
              <w:pStyle w:val="ExhibitText"/>
              <w:jc w:val="right"/>
              <w:rPr>
                <w:rFonts w:eastAsia="Calibri"/>
                <w:lang w:val="en-GB"/>
              </w:rPr>
            </w:pPr>
            <w:r w:rsidRPr="000176CC">
              <w:rPr>
                <w:rFonts w:eastAsia="Calibri"/>
                <w:lang w:val="en-GB"/>
              </w:rPr>
              <w:t>26</w:t>
            </w:r>
          </w:p>
        </w:tc>
      </w:tr>
      <w:tr w:rsidR="00337DF9" w:rsidRPr="000176CC" w14:paraId="095A37FA" w14:textId="77777777" w:rsidTr="00D66356">
        <w:trPr>
          <w:jc w:val="center"/>
        </w:trPr>
        <w:tc>
          <w:tcPr>
            <w:tcW w:w="4673" w:type="dxa"/>
          </w:tcPr>
          <w:p w14:paraId="7B17EDE5" w14:textId="77777777" w:rsidR="00337DF9" w:rsidRPr="000176CC" w:rsidRDefault="00337DF9" w:rsidP="00337DF9">
            <w:pPr>
              <w:pStyle w:val="ExhibitText"/>
              <w:jc w:val="left"/>
              <w:rPr>
                <w:rFonts w:eastAsia="Calibri"/>
                <w:lang w:val="en-GB"/>
              </w:rPr>
            </w:pPr>
            <w:r w:rsidRPr="000176CC">
              <w:rPr>
                <w:rFonts w:eastAsia="Calibri"/>
                <w:lang w:val="en-GB"/>
              </w:rPr>
              <w:t>Rusk</w:t>
            </w:r>
          </w:p>
        </w:tc>
        <w:tc>
          <w:tcPr>
            <w:tcW w:w="1418" w:type="dxa"/>
            <w:vAlign w:val="center"/>
          </w:tcPr>
          <w:p w14:paraId="600E594F" w14:textId="77777777" w:rsidR="00337DF9" w:rsidRPr="000176CC" w:rsidRDefault="00337DF9" w:rsidP="00D66356">
            <w:pPr>
              <w:pStyle w:val="ExhibitText"/>
              <w:jc w:val="right"/>
              <w:rPr>
                <w:rFonts w:eastAsia="Calibri"/>
                <w:lang w:val="en-GB"/>
              </w:rPr>
            </w:pPr>
            <w:r w:rsidRPr="000176CC">
              <w:rPr>
                <w:rFonts w:eastAsia="Calibri"/>
                <w:lang w:val="en-GB"/>
              </w:rPr>
              <w:t>5</w:t>
            </w:r>
          </w:p>
        </w:tc>
        <w:tc>
          <w:tcPr>
            <w:tcW w:w="1842" w:type="dxa"/>
            <w:vAlign w:val="center"/>
          </w:tcPr>
          <w:p w14:paraId="218513ED" w14:textId="77777777" w:rsidR="00337DF9" w:rsidRPr="000176CC" w:rsidRDefault="00337DF9" w:rsidP="00D66356">
            <w:pPr>
              <w:pStyle w:val="ExhibitText"/>
              <w:jc w:val="right"/>
              <w:rPr>
                <w:rFonts w:eastAsia="Calibri"/>
                <w:lang w:val="en-GB"/>
              </w:rPr>
            </w:pPr>
            <w:r w:rsidRPr="000176CC">
              <w:rPr>
                <w:rFonts w:eastAsia="Calibri"/>
                <w:lang w:val="en-GB"/>
              </w:rPr>
              <w:t>12</w:t>
            </w:r>
          </w:p>
        </w:tc>
      </w:tr>
      <w:tr w:rsidR="00337DF9" w:rsidRPr="000176CC" w14:paraId="30119BE0" w14:textId="77777777" w:rsidTr="00D66356">
        <w:trPr>
          <w:jc w:val="center"/>
        </w:trPr>
        <w:tc>
          <w:tcPr>
            <w:tcW w:w="4673" w:type="dxa"/>
          </w:tcPr>
          <w:p w14:paraId="6522333B" w14:textId="4679FC1B" w:rsidR="00337DF9" w:rsidRPr="000176CC" w:rsidRDefault="00337DF9" w:rsidP="00337DF9">
            <w:pPr>
              <w:pStyle w:val="ExhibitText"/>
              <w:jc w:val="left"/>
              <w:rPr>
                <w:rFonts w:eastAsia="Calibri"/>
                <w:lang w:val="en-GB"/>
              </w:rPr>
            </w:pPr>
            <w:r w:rsidRPr="000176CC">
              <w:rPr>
                <w:rFonts w:eastAsia="Calibri"/>
                <w:lang w:val="en-GB"/>
              </w:rPr>
              <w:t>Pulses</w:t>
            </w:r>
            <w:r w:rsidR="00984AC5">
              <w:rPr>
                <w:rFonts w:eastAsia="Calibri"/>
                <w:lang w:val="en-GB"/>
              </w:rPr>
              <w:t>,</w:t>
            </w:r>
            <w:r w:rsidRPr="000176CC">
              <w:rPr>
                <w:rFonts w:eastAsia="Calibri"/>
                <w:lang w:val="en-GB"/>
              </w:rPr>
              <w:t xml:space="preserve"> branded </w:t>
            </w:r>
          </w:p>
        </w:tc>
        <w:tc>
          <w:tcPr>
            <w:tcW w:w="1418" w:type="dxa"/>
            <w:vAlign w:val="center"/>
          </w:tcPr>
          <w:p w14:paraId="6C144E39" w14:textId="77777777" w:rsidR="00337DF9" w:rsidRPr="000176CC" w:rsidRDefault="00337DF9" w:rsidP="00D66356">
            <w:pPr>
              <w:pStyle w:val="ExhibitText"/>
              <w:jc w:val="right"/>
              <w:rPr>
                <w:rFonts w:eastAsia="Calibri"/>
                <w:lang w:val="en-GB"/>
              </w:rPr>
            </w:pPr>
            <w:r w:rsidRPr="000176CC">
              <w:rPr>
                <w:rFonts w:eastAsia="Calibri"/>
                <w:lang w:val="en-GB"/>
              </w:rPr>
              <w:t>5</w:t>
            </w:r>
          </w:p>
        </w:tc>
        <w:tc>
          <w:tcPr>
            <w:tcW w:w="1842" w:type="dxa"/>
            <w:vAlign w:val="center"/>
          </w:tcPr>
          <w:p w14:paraId="6209E135" w14:textId="77777777" w:rsidR="00337DF9" w:rsidRPr="000176CC" w:rsidRDefault="00337DF9" w:rsidP="00D66356">
            <w:pPr>
              <w:pStyle w:val="ExhibitText"/>
              <w:jc w:val="right"/>
              <w:rPr>
                <w:rFonts w:eastAsia="Calibri"/>
                <w:lang w:val="en-GB"/>
              </w:rPr>
            </w:pPr>
            <w:r w:rsidRPr="000176CC">
              <w:rPr>
                <w:rFonts w:eastAsia="Calibri"/>
                <w:lang w:val="en-GB"/>
              </w:rPr>
              <w:t>0</w:t>
            </w:r>
          </w:p>
        </w:tc>
      </w:tr>
    </w:tbl>
    <w:p w14:paraId="6ACB7640" w14:textId="77777777" w:rsidR="00C758DD" w:rsidRPr="000176CC" w:rsidRDefault="00C758DD" w:rsidP="00337DF9">
      <w:pPr>
        <w:pStyle w:val="Footnote"/>
        <w:rPr>
          <w:lang w:val="en-GB"/>
        </w:rPr>
      </w:pPr>
    </w:p>
    <w:p w14:paraId="2E95B040" w14:textId="1FB7A713" w:rsidR="00337DF9" w:rsidRPr="000176CC" w:rsidRDefault="00337DF9" w:rsidP="00337DF9">
      <w:pPr>
        <w:pStyle w:val="Footnote"/>
        <w:rPr>
          <w:lang w:val="en-GB"/>
        </w:rPr>
      </w:pPr>
      <w:r w:rsidRPr="000176CC">
        <w:rPr>
          <w:lang w:val="en-GB"/>
        </w:rPr>
        <w:t xml:space="preserve">Source: Compiled from </w:t>
      </w:r>
      <w:proofErr w:type="spellStart"/>
      <w:r w:rsidRPr="000176CC">
        <w:rPr>
          <w:lang w:val="en-GB"/>
        </w:rPr>
        <w:t>Gurman</w:t>
      </w:r>
      <w:proofErr w:type="spellEnd"/>
      <w:r w:rsidRPr="000176CC">
        <w:rPr>
          <w:lang w:val="en-GB"/>
        </w:rPr>
        <w:t xml:space="preserve"> Bhatia, “</w:t>
      </w:r>
      <w:r w:rsidR="00E649DE" w:rsidRPr="00E649DE">
        <w:rPr>
          <w:lang w:val="en-GB"/>
        </w:rPr>
        <w:t xml:space="preserve">From Eating Out to Mobile Phones: Find Out the </w:t>
      </w:r>
      <w:r w:rsidR="00E649DE">
        <w:rPr>
          <w:lang w:val="en-GB"/>
        </w:rPr>
        <w:t>GST</w:t>
      </w:r>
      <w:r w:rsidR="00E649DE" w:rsidRPr="00E649DE">
        <w:rPr>
          <w:lang w:val="en-GB"/>
        </w:rPr>
        <w:t xml:space="preserve"> Rate for over 1,800 Goods and Services</w:t>
      </w:r>
      <w:r w:rsidRPr="000176CC">
        <w:rPr>
          <w:lang w:val="en-GB"/>
        </w:rPr>
        <w:t xml:space="preserve">,” </w:t>
      </w:r>
      <w:r w:rsidRPr="00D66356">
        <w:rPr>
          <w:i/>
          <w:lang w:val="en-GB"/>
        </w:rPr>
        <w:t>Hindustan Times</w:t>
      </w:r>
      <w:r w:rsidRPr="000176CC">
        <w:rPr>
          <w:lang w:val="en-GB"/>
        </w:rPr>
        <w:t xml:space="preserve">, November 14, 2017, accessed December 24, 2018, </w:t>
      </w:r>
      <w:r w:rsidR="00C758DD" w:rsidRPr="000176CC">
        <w:rPr>
          <w:lang w:val="en-GB"/>
        </w:rPr>
        <w:t>www.</w:t>
      </w:r>
      <w:r w:rsidRPr="000176CC">
        <w:rPr>
          <w:lang w:val="en-GB"/>
        </w:rPr>
        <w:t xml:space="preserve">hindustantimes.com/interactives/gst-rate-complete-list/; Azman </w:t>
      </w:r>
      <w:proofErr w:type="spellStart"/>
      <w:r w:rsidRPr="000176CC">
        <w:rPr>
          <w:lang w:val="en-GB"/>
        </w:rPr>
        <w:t>Usmani</w:t>
      </w:r>
      <w:proofErr w:type="spellEnd"/>
      <w:r w:rsidRPr="000176CC">
        <w:rPr>
          <w:lang w:val="en-GB"/>
        </w:rPr>
        <w:t>, “</w:t>
      </w:r>
      <w:r w:rsidR="00E649DE" w:rsidRPr="00E649DE">
        <w:rPr>
          <w:lang w:val="en-GB"/>
        </w:rPr>
        <w:t>Tax Rates before and after GST</w:t>
      </w:r>
      <w:r w:rsidRPr="000176CC">
        <w:rPr>
          <w:lang w:val="en-GB"/>
        </w:rPr>
        <w:t xml:space="preserve">,” </w:t>
      </w:r>
      <w:proofErr w:type="spellStart"/>
      <w:r w:rsidR="00E649DE">
        <w:rPr>
          <w:lang w:val="en-GB"/>
        </w:rPr>
        <w:t>BloombergQuint</w:t>
      </w:r>
      <w:proofErr w:type="spellEnd"/>
      <w:r w:rsidRPr="000176CC">
        <w:rPr>
          <w:lang w:val="en-GB"/>
        </w:rPr>
        <w:t>, May 19, 2017</w:t>
      </w:r>
      <w:r w:rsidR="00E649DE">
        <w:rPr>
          <w:lang w:val="en-GB"/>
        </w:rPr>
        <w:t>,</w:t>
      </w:r>
      <w:r w:rsidR="00E649DE" w:rsidRPr="00E649DE">
        <w:t xml:space="preserve"> </w:t>
      </w:r>
      <w:r w:rsidR="000D37F4">
        <w:rPr>
          <w:lang w:val="en-GB"/>
        </w:rPr>
        <w:t>www.</w:t>
      </w:r>
      <w:r w:rsidR="00E649DE" w:rsidRPr="00E649DE">
        <w:rPr>
          <w:lang w:val="en-GB"/>
        </w:rPr>
        <w:t>bloombergquint.com/gst/tax-rates-before-and-after-gst</w:t>
      </w:r>
      <w:r w:rsidRPr="000176CC">
        <w:rPr>
          <w:lang w:val="en-GB"/>
        </w:rPr>
        <w:t xml:space="preserve">; Sangeetha G., </w:t>
      </w:r>
      <w:r w:rsidR="00E649DE">
        <w:rPr>
          <w:lang w:val="en-GB"/>
        </w:rPr>
        <w:t>“</w:t>
      </w:r>
      <w:r w:rsidR="00E649DE" w:rsidRPr="00E649DE">
        <w:rPr>
          <w:lang w:val="en-GB"/>
        </w:rPr>
        <w:t>Mass Market Biscuits Turn Lighter, Premiums Heavier after GST</w:t>
      </w:r>
      <w:r w:rsidRPr="000176CC">
        <w:rPr>
          <w:lang w:val="en-GB"/>
        </w:rPr>
        <w:t xml:space="preserve">,” </w:t>
      </w:r>
      <w:r w:rsidRPr="00D66356">
        <w:rPr>
          <w:i/>
          <w:lang w:val="en-GB"/>
        </w:rPr>
        <w:t>Financial Chronical</w:t>
      </w:r>
      <w:r w:rsidRPr="000176CC">
        <w:rPr>
          <w:lang w:val="en-GB"/>
        </w:rPr>
        <w:t xml:space="preserve">, accessed December 2018, </w:t>
      </w:r>
      <w:r w:rsidR="00C758DD" w:rsidRPr="000176CC">
        <w:rPr>
          <w:lang w:val="en-GB"/>
        </w:rPr>
        <w:t>www.</w:t>
      </w:r>
      <w:r w:rsidRPr="000176CC">
        <w:rPr>
          <w:lang w:val="en-GB"/>
        </w:rPr>
        <w:t>mydigitalfc.com/brand/mass-market-biscuits-turn-lighter-premiums-heavier-after-gst; “</w:t>
      </w:r>
      <w:r w:rsidR="00E649DE" w:rsidRPr="00E649DE">
        <w:rPr>
          <w:lang w:val="en-GB"/>
        </w:rPr>
        <w:t>Benefits of Goods &amp; Services Tax to the Consumer</w:t>
      </w:r>
      <w:r w:rsidRPr="000176CC">
        <w:rPr>
          <w:lang w:val="en-GB"/>
        </w:rPr>
        <w:t xml:space="preserve">,” Axis Bank, </w:t>
      </w:r>
      <w:r w:rsidR="00E649DE">
        <w:rPr>
          <w:lang w:val="en-GB"/>
        </w:rPr>
        <w:t xml:space="preserve">July 1, 2017, </w:t>
      </w:r>
      <w:r w:rsidRPr="000176CC">
        <w:rPr>
          <w:lang w:val="en-GB"/>
        </w:rPr>
        <w:t xml:space="preserve">accessed December 28, 2018, </w:t>
      </w:r>
      <w:r w:rsidR="00C758DD" w:rsidRPr="000176CC">
        <w:rPr>
          <w:lang w:val="en-GB"/>
        </w:rPr>
        <w:t>www.</w:t>
      </w:r>
      <w:r w:rsidRPr="000176CC">
        <w:rPr>
          <w:lang w:val="en-GB"/>
        </w:rPr>
        <w:t>axisbank.com/progress-with-us/save/what-is-gst-bill-benefits-of-goods-service-tax-to-consumer; and NDTV Profit Team, “</w:t>
      </w:r>
      <w:r w:rsidR="00E649DE" w:rsidRPr="00E649DE">
        <w:rPr>
          <w:lang w:val="en-GB"/>
        </w:rPr>
        <w:t>Before and after GST: Here Are Tax Rates on Some Common Use Items</w:t>
      </w:r>
      <w:r w:rsidRPr="000176CC">
        <w:rPr>
          <w:lang w:val="en-GB"/>
        </w:rPr>
        <w:t xml:space="preserve">,” NDTV Profit, August 10, 2017, </w:t>
      </w:r>
      <w:r w:rsidR="00C758DD" w:rsidRPr="000176CC">
        <w:rPr>
          <w:lang w:val="en-GB"/>
        </w:rPr>
        <w:t>www.</w:t>
      </w:r>
      <w:r w:rsidRPr="000176CC">
        <w:rPr>
          <w:lang w:val="en-GB"/>
        </w:rPr>
        <w:t xml:space="preserve">ndtv.com/business/before-and-after-gst-here-are-tax-rates-on-some-common-use-items-1735863. </w:t>
      </w:r>
    </w:p>
    <w:p w14:paraId="3F9752DA" w14:textId="77777777" w:rsidR="00337DF9" w:rsidRPr="000176CC" w:rsidRDefault="00337DF9" w:rsidP="00337DF9">
      <w:pPr>
        <w:pStyle w:val="BodyTextMain"/>
        <w:rPr>
          <w:rFonts w:eastAsia="Calibri"/>
          <w:lang w:val="en-GB"/>
        </w:rPr>
      </w:pPr>
    </w:p>
    <w:p w14:paraId="2D61B887" w14:textId="77777777" w:rsidR="00337DF9" w:rsidRPr="000176CC" w:rsidRDefault="00337DF9" w:rsidP="00337DF9">
      <w:pPr>
        <w:pStyle w:val="BodyTextMain"/>
        <w:rPr>
          <w:rFonts w:eastAsia="Calibri"/>
          <w:lang w:val="en-GB"/>
        </w:rPr>
      </w:pPr>
    </w:p>
    <w:p w14:paraId="2B52599A" w14:textId="77777777" w:rsidR="00337DF9" w:rsidRPr="000176CC" w:rsidRDefault="00337DF9" w:rsidP="00337DF9">
      <w:pPr>
        <w:pStyle w:val="ExhibitHeading"/>
        <w:rPr>
          <w:rFonts w:eastAsia="Calibri"/>
          <w:lang w:val="en-GB"/>
        </w:rPr>
      </w:pPr>
      <w:r w:rsidRPr="000176CC">
        <w:rPr>
          <w:rFonts w:eastAsia="Calibri"/>
          <w:lang w:val="en-GB"/>
        </w:rPr>
        <w:t>Exhibit 2: Product profile of Parle</w:t>
      </w:r>
    </w:p>
    <w:p w14:paraId="18F0DD26" w14:textId="77777777" w:rsidR="00337DF9" w:rsidRPr="000176CC" w:rsidRDefault="00337DF9" w:rsidP="00337DF9">
      <w:pPr>
        <w:pStyle w:val="ExhibitHeading"/>
        <w:rPr>
          <w:rFonts w:eastAsia="Calibri"/>
          <w:lang w:val="en-GB"/>
        </w:rPr>
      </w:pPr>
    </w:p>
    <w:tbl>
      <w:tblPr>
        <w:tblStyle w:val="TableGrid"/>
        <w:tblW w:w="0" w:type="auto"/>
        <w:tblLook w:val="04A0" w:firstRow="1" w:lastRow="0" w:firstColumn="1" w:lastColumn="0" w:noHBand="0" w:noVBand="1"/>
      </w:tblPr>
      <w:tblGrid>
        <w:gridCol w:w="2065"/>
        <w:gridCol w:w="2160"/>
        <w:gridCol w:w="1385"/>
        <w:gridCol w:w="1870"/>
        <w:gridCol w:w="1870"/>
      </w:tblGrid>
      <w:tr w:rsidR="00337DF9" w:rsidRPr="000176CC" w14:paraId="3B754FCC" w14:textId="77777777" w:rsidTr="00D66356">
        <w:tc>
          <w:tcPr>
            <w:tcW w:w="2065" w:type="dxa"/>
            <w:vAlign w:val="center"/>
          </w:tcPr>
          <w:p w14:paraId="11442BB6" w14:textId="77777777" w:rsidR="00337DF9" w:rsidRPr="00D66356" w:rsidRDefault="00337DF9" w:rsidP="00D66356">
            <w:pPr>
              <w:pStyle w:val="ExhibitText"/>
              <w:jc w:val="center"/>
              <w:rPr>
                <w:rFonts w:eastAsia="Calibri"/>
                <w:b/>
                <w:lang w:val="en-GB"/>
              </w:rPr>
            </w:pPr>
            <w:r w:rsidRPr="00D66356">
              <w:rPr>
                <w:rFonts w:eastAsia="Calibri"/>
                <w:b/>
                <w:lang w:val="en-GB"/>
              </w:rPr>
              <w:t>Biscuits</w:t>
            </w:r>
          </w:p>
        </w:tc>
        <w:tc>
          <w:tcPr>
            <w:tcW w:w="2160" w:type="dxa"/>
            <w:vAlign w:val="center"/>
          </w:tcPr>
          <w:p w14:paraId="7F4D9285" w14:textId="77777777" w:rsidR="00337DF9" w:rsidRPr="00D66356" w:rsidRDefault="00337DF9" w:rsidP="00E902F2">
            <w:pPr>
              <w:pStyle w:val="ExhibitText"/>
              <w:jc w:val="center"/>
              <w:rPr>
                <w:rFonts w:eastAsia="Calibri"/>
                <w:b/>
                <w:lang w:val="en-GB"/>
              </w:rPr>
            </w:pPr>
            <w:r w:rsidRPr="00D66356">
              <w:rPr>
                <w:rFonts w:eastAsia="Calibri"/>
                <w:b/>
                <w:lang w:val="en-GB"/>
              </w:rPr>
              <w:t>Confectionery</w:t>
            </w:r>
          </w:p>
        </w:tc>
        <w:tc>
          <w:tcPr>
            <w:tcW w:w="1385" w:type="dxa"/>
            <w:vAlign w:val="center"/>
          </w:tcPr>
          <w:p w14:paraId="5DFAFB5D" w14:textId="77777777" w:rsidR="00337DF9" w:rsidRPr="00D66356" w:rsidRDefault="00337DF9" w:rsidP="00E902F2">
            <w:pPr>
              <w:pStyle w:val="ExhibitText"/>
              <w:jc w:val="center"/>
              <w:rPr>
                <w:rFonts w:eastAsia="Calibri"/>
                <w:b/>
                <w:lang w:val="en-GB"/>
              </w:rPr>
            </w:pPr>
            <w:r w:rsidRPr="00D66356">
              <w:rPr>
                <w:rFonts w:eastAsia="Calibri"/>
                <w:b/>
                <w:lang w:val="en-GB"/>
              </w:rPr>
              <w:t>Rusk</w:t>
            </w:r>
          </w:p>
        </w:tc>
        <w:tc>
          <w:tcPr>
            <w:tcW w:w="1870" w:type="dxa"/>
            <w:vAlign w:val="center"/>
          </w:tcPr>
          <w:p w14:paraId="008A1327" w14:textId="77777777" w:rsidR="00337DF9" w:rsidRPr="00D66356" w:rsidRDefault="00337DF9" w:rsidP="003B7361">
            <w:pPr>
              <w:pStyle w:val="ExhibitText"/>
              <w:jc w:val="center"/>
              <w:rPr>
                <w:rFonts w:eastAsia="Calibri"/>
                <w:b/>
                <w:lang w:val="en-GB"/>
              </w:rPr>
            </w:pPr>
            <w:r w:rsidRPr="00D66356">
              <w:rPr>
                <w:rFonts w:eastAsia="Calibri"/>
                <w:b/>
                <w:lang w:val="en-GB"/>
              </w:rPr>
              <w:t>Snacks</w:t>
            </w:r>
          </w:p>
        </w:tc>
        <w:tc>
          <w:tcPr>
            <w:tcW w:w="1870" w:type="dxa"/>
            <w:vAlign w:val="center"/>
          </w:tcPr>
          <w:p w14:paraId="4C0D7604" w14:textId="77777777" w:rsidR="00337DF9" w:rsidRPr="00D66356" w:rsidRDefault="00337DF9" w:rsidP="00FC6958">
            <w:pPr>
              <w:pStyle w:val="ExhibitText"/>
              <w:jc w:val="center"/>
              <w:rPr>
                <w:rFonts w:eastAsia="Calibri"/>
                <w:b/>
                <w:lang w:val="en-GB"/>
              </w:rPr>
            </w:pPr>
            <w:r w:rsidRPr="00D66356">
              <w:rPr>
                <w:rFonts w:eastAsia="Calibri"/>
                <w:b/>
                <w:lang w:val="en-GB"/>
              </w:rPr>
              <w:t>Pulses</w:t>
            </w:r>
          </w:p>
        </w:tc>
      </w:tr>
      <w:tr w:rsidR="00337DF9" w:rsidRPr="000176CC" w14:paraId="73CAE22A" w14:textId="77777777" w:rsidTr="00337DF9">
        <w:tc>
          <w:tcPr>
            <w:tcW w:w="2065" w:type="dxa"/>
          </w:tcPr>
          <w:p w14:paraId="1E8309F9" w14:textId="77777777" w:rsidR="00337DF9" w:rsidRPr="000176CC" w:rsidRDefault="00337DF9" w:rsidP="00D66356">
            <w:pPr>
              <w:pStyle w:val="ExhibitText"/>
              <w:jc w:val="left"/>
              <w:rPr>
                <w:rFonts w:eastAsia="Calibri"/>
                <w:lang w:val="en-GB"/>
              </w:rPr>
            </w:pPr>
            <w:r w:rsidRPr="000176CC">
              <w:rPr>
                <w:rFonts w:eastAsia="Calibri"/>
                <w:lang w:val="en-GB"/>
              </w:rPr>
              <w:t>Parle-G</w:t>
            </w:r>
          </w:p>
        </w:tc>
        <w:tc>
          <w:tcPr>
            <w:tcW w:w="2160" w:type="dxa"/>
          </w:tcPr>
          <w:p w14:paraId="2422462A" w14:textId="77777777" w:rsidR="00337DF9" w:rsidRPr="000176CC" w:rsidRDefault="00337DF9" w:rsidP="00D66356">
            <w:pPr>
              <w:pStyle w:val="ExhibitText"/>
              <w:jc w:val="left"/>
              <w:rPr>
                <w:rFonts w:eastAsia="Calibri"/>
                <w:lang w:val="en-GB"/>
              </w:rPr>
            </w:pPr>
            <w:r w:rsidRPr="000176CC">
              <w:rPr>
                <w:rFonts w:eastAsia="Calibri"/>
                <w:lang w:val="en-GB"/>
              </w:rPr>
              <w:t>Melody</w:t>
            </w:r>
          </w:p>
        </w:tc>
        <w:tc>
          <w:tcPr>
            <w:tcW w:w="1385" w:type="dxa"/>
          </w:tcPr>
          <w:p w14:paraId="51EA6F48" w14:textId="139D96E4" w:rsidR="00337DF9" w:rsidRPr="000176CC" w:rsidRDefault="00EC6AFC" w:rsidP="00D66356">
            <w:pPr>
              <w:pStyle w:val="ExhibitText"/>
              <w:jc w:val="left"/>
              <w:rPr>
                <w:rFonts w:eastAsia="Calibri"/>
                <w:lang w:val="en-GB"/>
              </w:rPr>
            </w:pPr>
            <w:r>
              <w:rPr>
                <w:rFonts w:eastAsia="Calibri"/>
                <w:lang w:val="en-GB"/>
              </w:rPr>
              <w:t xml:space="preserve">Cake </w:t>
            </w:r>
            <w:r w:rsidR="00337DF9" w:rsidRPr="000176CC">
              <w:rPr>
                <w:rFonts w:eastAsia="Calibri"/>
                <w:lang w:val="en-GB"/>
              </w:rPr>
              <w:t>Rusk</w:t>
            </w:r>
          </w:p>
        </w:tc>
        <w:tc>
          <w:tcPr>
            <w:tcW w:w="1870" w:type="dxa"/>
          </w:tcPr>
          <w:p w14:paraId="29BBF593" w14:textId="77777777" w:rsidR="00337DF9" w:rsidRPr="000176CC" w:rsidRDefault="00337DF9" w:rsidP="00D66356">
            <w:pPr>
              <w:pStyle w:val="ExhibitText"/>
              <w:jc w:val="left"/>
              <w:rPr>
                <w:rFonts w:eastAsia="Calibri"/>
                <w:lang w:val="en-GB"/>
              </w:rPr>
            </w:pPr>
            <w:r w:rsidRPr="000176CC">
              <w:rPr>
                <w:rFonts w:eastAsia="Calibri"/>
                <w:lang w:val="en-GB"/>
              </w:rPr>
              <w:t>Wafers</w:t>
            </w:r>
          </w:p>
        </w:tc>
        <w:tc>
          <w:tcPr>
            <w:tcW w:w="1870" w:type="dxa"/>
          </w:tcPr>
          <w:p w14:paraId="2AC8C8C4" w14:textId="77777777" w:rsidR="00337DF9" w:rsidRPr="000176CC" w:rsidRDefault="00337DF9" w:rsidP="00D66356">
            <w:pPr>
              <w:pStyle w:val="ExhibitText"/>
              <w:jc w:val="left"/>
              <w:rPr>
                <w:rFonts w:eastAsia="Calibri"/>
                <w:lang w:val="en-GB"/>
              </w:rPr>
            </w:pPr>
            <w:r w:rsidRPr="000176CC">
              <w:rPr>
                <w:rFonts w:eastAsia="Calibri"/>
                <w:lang w:val="en-GB"/>
              </w:rPr>
              <w:t>Chana Dal</w:t>
            </w:r>
          </w:p>
        </w:tc>
      </w:tr>
      <w:tr w:rsidR="00337DF9" w:rsidRPr="000176CC" w14:paraId="3D0B0C02" w14:textId="77777777" w:rsidTr="00337DF9">
        <w:tc>
          <w:tcPr>
            <w:tcW w:w="2065" w:type="dxa"/>
          </w:tcPr>
          <w:p w14:paraId="495352BA" w14:textId="77777777" w:rsidR="00337DF9" w:rsidRPr="000176CC" w:rsidRDefault="00337DF9" w:rsidP="00D66356">
            <w:pPr>
              <w:pStyle w:val="ExhibitText"/>
              <w:jc w:val="left"/>
              <w:rPr>
                <w:rFonts w:eastAsia="Calibri"/>
                <w:lang w:val="en-GB"/>
              </w:rPr>
            </w:pPr>
            <w:r w:rsidRPr="000176CC">
              <w:rPr>
                <w:rFonts w:eastAsia="Calibri"/>
                <w:lang w:val="en-GB"/>
              </w:rPr>
              <w:t>Magix</w:t>
            </w:r>
          </w:p>
        </w:tc>
        <w:tc>
          <w:tcPr>
            <w:tcW w:w="2160" w:type="dxa"/>
          </w:tcPr>
          <w:p w14:paraId="1C9991F3" w14:textId="77777777" w:rsidR="00337DF9" w:rsidRPr="000176CC" w:rsidRDefault="00337DF9" w:rsidP="00D66356">
            <w:pPr>
              <w:pStyle w:val="ExhibitText"/>
              <w:jc w:val="left"/>
              <w:rPr>
                <w:rFonts w:eastAsia="Calibri"/>
                <w:lang w:val="en-GB"/>
              </w:rPr>
            </w:pPr>
            <w:r w:rsidRPr="000176CC">
              <w:rPr>
                <w:rFonts w:eastAsia="Calibri"/>
                <w:lang w:val="en-GB"/>
              </w:rPr>
              <w:t>Kismi</w:t>
            </w:r>
          </w:p>
        </w:tc>
        <w:tc>
          <w:tcPr>
            <w:tcW w:w="1385" w:type="dxa"/>
          </w:tcPr>
          <w:p w14:paraId="4A80CBBA" w14:textId="183B50C3" w:rsidR="00337DF9" w:rsidRPr="000176CC" w:rsidRDefault="00EC6AFC" w:rsidP="00EC6AFC">
            <w:pPr>
              <w:pStyle w:val="ExhibitText"/>
              <w:jc w:val="left"/>
              <w:rPr>
                <w:rFonts w:eastAsia="Calibri"/>
                <w:lang w:val="en-GB"/>
              </w:rPr>
            </w:pPr>
            <w:r>
              <w:rPr>
                <w:rFonts w:eastAsia="Calibri"/>
                <w:lang w:val="en-GB"/>
              </w:rPr>
              <w:t>Premium Rusk Milk</w:t>
            </w:r>
          </w:p>
        </w:tc>
        <w:tc>
          <w:tcPr>
            <w:tcW w:w="1870" w:type="dxa"/>
          </w:tcPr>
          <w:p w14:paraId="4A147E1B" w14:textId="77777777" w:rsidR="00337DF9" w:rsidRPr="000176CC" w:rsidRDefault="00337DF9" w:rsidP="00D66356">
            <w:pPr>
              <w:pStyle w:val="ExhibitText"/>
              <w:jc w:val="left"/>
              <w:rPr>
                <w:rFonts w:eastAsia="Calibri"/>
                <w:lang w:val="en-GB"/>
              </w:rPr>
            </w:pPr>
            <w:r w:rsidRPr="000176CC">
              <w:rPr>
                <w:rFonts w:eastAsia="Calibri"/>
                <w:lang w:val="en-GB"/>
              </w:rPr>
              <w:t>Chatkeens Namkeens</w:t>
            </w:r>
          </w:p>
        </w:tc>
        <w:tc>
          <w:tcPr>
            <w:tcW w:w="1870" w:type="dxa"/>
          </w:tcPr>
          <w:p w14:paraId="0F369BFE" w14:textId="77777777" w:rsidR="00337DF9" w:rsidRPr="000176CC" w:rsidRDefault="00337DF9" w:rsidP="00D66356">
            <w:pPr>
              <w:pStyle w:val="ExhibitText"/>
              <w:jc w:val="left"/>
              <w:rPr>
                <w:rFonts w:eastAsia="Calibri"/>
                <w:lang w:val="en-GB"/>
              </w:rPr>
            </w:pPr>
            <w:r w:rsidRPr="000176CC">
              <w:rPr>
                <w:rFonts w:eastAsia="Calibri"/>
                <w:lang w:val="en-GB"/>
              </w:rPr>
              <w:t>Moong Dal</w:t>
            </w:r>
          </w:p>
        </w:tc>
      </w:tr>
      <w:tr w:rsidR="00337DF9" w:rsidRPr="000176CC" w14:paraId="1CEA5F0B" w14:textId="77777777" w:rsidTr="00337DF9">
        <w:tc>
          <w:tcPr>
            <w:tcW w:w="2065" w:type="dxa"/>
          </w:tcPr>
          <w:p w14:paraId="6BD86D0F" w14:textId="77777777" w:rsidR="00337DF9" w:rsidRPr="000176CC" w:rsidRDefault="00337DF9" w:rsidP="00D66356">
            <w:pPr>
              <w:pStyle w:val="ExhibitText"/>
              <w:jc w:val="left"/>
              <w:rPr>
                <w:rFonts w:eastAsia="Calibri"/>
                <w:lang w:val="en-GB"/>
              </w:rPr>
            </w:pPr>
            <w:r w:rsidRPr="000176CC">
              <w:rPr>
                <w:rFonts w:eastAsia="Calibri"/>
                <w:lang w:val="en-GB"/>
              </w:rPr>
              <w:t>Nutricrunch</w:t>
            </w:r>
          </w:p>
        </w:tc>
        <w:tc>
          <w:tcPr>
            <w:tcW w:w="2160" w:type="dxa"/>
          </w:tcPr>
          <w:p w14:paraId="68DCCB76" w14:textId="77777777" w:rsidR="00337DF9" w:rsidRPr="000176CC" w:rsidRDefault="00337DF9" w:rsidP="00D66356">
            <w:pPr>
              <w:pStyle w:val="ExhibitText"/>
              <w:jc w:val="left"/>
              <w:rPr>
                <w:rFonts w:eastAsia="Calibri"/>
                <w:lang w:val="en-GB"/>
              </w:rPr>
            </w:pPr>
            <w:r w:rsidRPr="000176CC">
              <w:rPr>
                <w:rFonts w:eastAsia="Calibri"/>
                <w:lang w:val="en-GB"/>
              </w:rPr>
              <w:t>Mango Bite</w:t>
            </w:r>
          </w:p>
        </w:tc>
        <w:tc>
          <w:tcPr>
            <w:tcW w:w="1385" w:type="dxa"/>
          </w:tcPr>
          <w:p w14:paraId="7976672C" w14:textId="30A7C35F" w:rsidR="00337DF9" w:rsidRPr="000176CC" w:rsidRDefault="00EC6AFC" w:rsidP="00D66356">
            <w:pPr>
              <w:pStyle w:val="ExhibitText"/>
              <w:jc w:val="left"/>
              <w:rPr>
                <w:rFonts w:eastAsia="Calibri"/>
                <w:lang w:val="en-GB"/>
              </w:rPr>
            </w:pPr>
            <w:r>
              <w:rPr>
                <w:rFonts w:eastAsia="Calibri"/>
                <w:lang w:val="en-GB"/>
              </w:rPr>
              <w:t xml:space="preserve">Premium Rusk Real </w:t>
            </w:r>
            <w:proofErr w:type="spellStart"/>
            <w:r>
              <w:rPr>
                <w:rFonts w:eastAsia="Calibri"/>
                <w:lang w:val="en-GB"/>
              </w:rPr>
              <w:t>Elaichi</w:t>
            </w:r>
            <w:proofErr w:type="spellEnd"/>
          </w:p>
        </w:tc>
        <w:tc>
          <w:tcPr>
            <w:tcW w:w="1870" w:type="dxa"/>
          </w:tcPr>
          <w:p w14:paraId="4E61061C" w14:textId="035E7F8F" w:rsidR="00337DF9" w:rsidRPr="000176CC" w:rsidRDefault="00337DF9" w:rsidP="00D66356">
            <w:pPr>
              <w:pStyle w:val="ExhibitText"/>
              <w:jc w:val="left"/>
              <w:rPr>
                <w:rFonts w:eastAsia="Calibri"/>
                <w:lang w:val="en-GB"/>
              </w:rPr>
            </w:pPr>
            <w:r w:rsidRPr="000176CC">
              <w:rPr>
                <w:rFonts w:eastAsia="Calibri"/>
                <w:lang w:val="en-GB"/>
              </w:rPr>
              <w:t>Mexitos</w:t>
            </w:r>
          </w:p>
        </w:tc>
        <w:tc>
          <w:tcPr>
            <w:tcW w:w="1870" w:type="dxa"/>
          </w:tcPr>
          <w:p w14:paraId="7B343536" w14:textId="77777777" w:rsidR="00337DF9" w:rsidRPr="000176CC" w:rsidRDefault="00337DF9" w:rsidP="00D66356">
            <w:pPr>
              <w:pStyle w:val="ExhibitText"/>
              <w:jc w:val="left"/>
              <w:rPr>
                <w:rFonts w:eastAsia="Calibri"/>
                <w:lang w:val="en-GB"/>
              </w:rPr>
            </w:pPr>
            <w:r w:rsidRPr="000176CC">
              <w:rPr>
                <w:rFonts w:eastAsia="Calibri"/>
                <w:lang w:val="en-GB"/>
              </w:rPr>
              <w:t>Split Urad Dal</w:t>
            </w:r>
          </w:p>
        </w:tc>
      </w:tr>
      <w:tr w:rsidR="00337DF9" w:rsidRPr="000176CC" w14:paraId="5C812763" w14:textId="77777777" w:rsidTr="00337DF9">
        <w:tc>
          <w:tcPr>
            <w:tcW w:w="2065" w:type="dxa"/>
          </w:tcPr>
          <w:p w14:paraId="664CD760" w14:textId="5B504F4A" w:rsidR="00337DF9" w:rsidRPr="000176CC" w:rsidRDefault="005D04A1" w:rsidP="00D66356">
            <w:pPr>
              <w:pStyle w:val="ExhibitText"/>
              <w:jc w:val="left"/>
              <w:rPr>
                <w:rFonts w:eastAsia="Calibri"/>
                <w:lang w:val="en-GB"/>
              </w:rPr>
            </w:pPr>
            <w:r w:rsidRPr="000176CC">
              <w:rPr>
                <w:rFonts w:eastAsia="Calibri"/>
                <w:lang w:val="en-GB"/>
              </w:rPr>
              <w:t>M</w:t>
            </w:r>
            <w:r>
              <w:rPr>
                <w:rFonts w:eastAsia="Calibri"/>
                <w:lang w:val="en-GB"/>
              </w:rPr>
              <w:t>onaco</w:t>
            </w:r>
          </w:p>
        </w:tc>
        <w:tc>
          <w:tcPr>
            <w:tcW w:w="2160" w:type="dxa"/>
          </w:tcPr>
          <w:p w14:paraId="2CEF686D" w14:textId="77777777" w:rsidR="00337DF9" w:rsidRPr="000176CC" w:rsidRDefault="00337DF9" w:rsidP="00D66356">
            <w:pPr>
              <w:pStyle w:val="ExhibitText"/>
              <w:jc w:val="left"/>
              <w:rPr>
                <w:rFonts w:eastAsia="Calibri"/>
                <w:lang w:val="en-GB"/>
              </w:rPr>
            </w:pPr>
            <w:r w:rsidRPr="000176CC">
              <w:rPr>
                <w:rFonts w:eastAsia="Calibri"/>
                <w:lang w:val="en-GB"/>
              </w:rPr>
              <w:t>Orange Bite</w:t>
            </w:r>
          </w:p>
        </w:tc>
        <w:tc>
          <w:tcPr>
            <w:tcW w:w="1385" w:type="dxa"/>
          </w:tcPr>
          <w:p w14:paraId="7785DC4F" w14:textId="4072EA91" w:rsidR="00337DF9" w:rsidRPr="000176CC" w:rsidRDefault="00EC6AFC" w:rsidP="00D66356">
            <w:pPr>
              <w:pStyle w:val="ExhibitText"/>
              <w:jc w:val="left"/>
              <w:rPr>
                <w:rFonts w:eastAsia="Calibri"/>
                <w:lang w:val="en-GB"/>
              </w:rPr>
            </w:pPr>
            <w:r>
              <w:rPr>
                <w:rFonts w:eastAsia="Calibri"/>
                <w:lang w:val="en-GB"/>
              </w:rPr>
              <w:t>Garlic Bread Toast</w:t>
            </w:r>
          </w:p>
        </w:tc>
        <w:tc>
          <w:tcPr>
            <w:tcW w:w="1870" w:type="dxa"/>
          </w:tcPr>
          <w:p w14:paraId="6561C42C" w14:textId="03E3EFBD" w:rsidR="00337DF9" w:rsidRPr="000176CC" w:rsidRDefault="00337DF9" w:rsidP="00D66356">
            <w:pPr>
              <w:pStyle w:val="ExhibitText"/>
              <w:jc w:val="left"/>
              <w:rPr>
                <w:rFonts w:eastAsia="Calibri"/>
                <w:lang w:val="en-GB"/>
              </w:rPr>
            </w:pPr>
            <w:r w:rsidRPr="000176CC">
              <w:rPr>
                <w:rFonts w:eastAsia="Calibri"/>
                <w:lang w:val="en-GB"/>
              </w:rPr>
              <w:t>Cheesling</w:t>
            </w:r>
            <w:r w:rsidR="003B7D6C">
              <w:rPr>
                <w:rFonts w:eastAsia="Calibri"/>
                <w:lang w:val="en-GB"/>
              </w:rPr>
              <w:t>s</w:t>
            </w:r>
          </w:p>
        </w:tc>
        <w:tc>
          <w:tcPr>
            <w:tcW w:w="1870" w:type="dxa"/>
          </w:tcPr>
          <w:p w14:paraId="72AFC763" w14:textId="77777777" w:rsidR="00337DF9" w:rsidRPr="000176CC" w:rsidRDefault="00337DF9" w:rsidP="00D66356">
            <w:pPr>
              <w:pStyle w:val="ExhibitText"/>
              <w:jc w:val="left"/>
              <w:rPr>
                <w:rFonts w:eastAsia="Calibri"/>
                <w:lang w:val="en-GB"/>
              </w:rPr>
            </w:pPr>
            <w:r w:rsidRPr="000176CC">
              <w:rPr>
                <w:rFonts w:eastAsia="Calibri"/>
                <w:lang w:val="en-GB"/>
              </w:rPr>
              <w:t>Toor Dal Unpolished</w:t>
            </w:r>
          </w:p>
        </w:tc>
      </w:tr>
      <w:tr w:rsidR="00337DF9" w:rsidRPr="000176CC" w14:paraId="17400815" w14:textId="77777777" w:rsidTr="00337DF9">
        <w:tc>
          <w:tcPr>
            <w:tcW w:w="2065" w:type="dxa"/>
          </w:tcPr>
          <w:p w14:paraId="61D0D5B5" w14:textId="3696065C" w:rsidR="00337DF9" w:rsidRPr="000176CC" w:rsidRDefault="00AB5ED1" w:rsidP="00D66356">
            <w:pPr>
              <w:pStyle w:val="ExhibitText"/>
              <w:jc w:val="left"/>
              <w:rPr>
                <w:rFonts w:eastAsia="Calibri"/>
                <w:lang w:val="en-GB"/>
              </w:rPr>
            </w:pPr>
            <w:r w:rsidRPr="000176CC">
              <w:rPr>
                <w:rFonts w:eastAsia="Calibri"/>
                <w:lang w:val="en-GB"/>
              </w:rPr>
              <w:t>Hide &amp; Seek</w:t>
            </w:r>
            <w:r w:rsidRPr="000176CC" w:rsidDel="00AB5ED1">
              <w:rPr>
                <w:rFonts w:eastAsia="Calibri"/>
                <w:lang w:val="en-GB"/>
              </w:rPr>
              <w:t xml:space="preserve"> </w:t>
            </w:r>
          </w:p>
        </w:tc>
        <w:tc>
          <w:tcPr>
            <w:tcW w:w="2160" w:type="dxa"/>
          </w:tcPr>
          <w:p w14:paraId="23A36B4E" w14:textId="77777777" w:rsidR="00337DF9" w:rsidRPr="000176CC" w:rsidRDefault="00337DF9" w:rsidP="00D66356">
            <w:pPr>
              <w:pStyle w:val="ExhibitText"/>
              <w:jc w:val="left"/>
              <w:rPr>
                <w:rFonts w:eastAsia="Calibri"/>
                <w:lang w:val="en-GB"/>
              </w:rPr>
            </w:pPr>
            <w:r w:rsidRPr="000176CC">
              <w:rPr>
                <w:rFonts w:eastAsia="Calibri"/>
                <w:lang w:val="en-GB"/>
              </w:rPr>
              <w:t>Poppins</w:t>
            </w:r>
          </w:p>
        </w:tc>
        <w:tc>
          <w:tcPr>
            <w:tcW w:w="1385" w:type="dxa"/>
          </w:tcPr>
          <w:p w14:paraId="4F584E0D" w14:textId="77777777" w:rsidR="00337DF9" w:rsidRPr="000176CC" w:rsidRDefault="00337DF9" w:rsidP="00D66356">
            <w:pPr>
              <w:pStyle w:val="ExhibitText"/>
              <w:jc w:val="left"/>
              <w:rPr>
                <w:rFonts w:eastAsia="Calibri"/>
                <w:lang w:val="en-GB"/>
              </w:rPr>
            </w:pPr>
          </w:p>
        </w:tc>
        <w:tc>
          <w:tcPr>
            <w:tcW w:w="1870" w:type="dxa"/>
          </w:tcPr>
          <w:p w14:paraId="09B723D7" w14:textId="77777777" w:rsidR="00337DF9" w:rsidRPr="000176CC" w:rsidRDefault="00337DF9" w:rsidP="00D66356">
            <w:pPr>
              <w:pStyle w:val="ExhibitText"/>
              <w:jc w:val="left"/>
              <w:rPr>
                <w:rFonts w:eastAsia="Calibri"/>
                <w:lang w:val="en-GB"/>
              </w:rPr>
            </w:pPr>
            <w:r w:rsidRPr="000176CC">
              <w:rPr>
                <w:rFonts w:eastAsia="Calibri"/>
                <w:lang w:val="en-GB"/>
              </w:rPr>
              <w:t>Full Toss</w:t>
            </w:r>
          </w:p>
        </w:tc>
        <w:tc>
          <w:tcPr>
            <w:tcW w:w="1870" w:type="dxa"/>
          </w:tcPr>
          <w:p w14:paraId="51E69DC9" w14:textId="77777777" w:rsidR="00337DF9" w:rsidRPr="000176CC" w:rsidRDefault="00337DF9" w:rsidP="00D66356">
            <w:pPr>
              <w:pStyle w:val="ExhibitText"/>
              <w:jc w:val="left"/>
              <w:rPr>
                <w:rFonts w:eastAsia="Calibri"/>
                <w:lang w:val="en-GB"/>
              </w:rPr>
            </w:pPr>
          </w:p>
        </w:tc>
      </w:tr>
      <w:tr w:rsidR="00337DF9" w:rsidRPr="000176CC" w14:paraId="219C438D" w14:textId="77777777" w:rsidTr="00337DF9">
        <w:tc>
          <w:tcPr>
            <w:tcW w:w="2065" w:type="dxa"/>
          </w:tcPr>
          <w:p w14:paraId="0E82BBDD" w14:textId="347EBB45" w:rsidR="00337DF9" w:rsidRPr="000176CC" w:rsidRDefault="00AB5ED1" w:rsidP="00D66356">
            <w:pPr>
              <w:pStyle w:val="ExhibitText"/>
              <w:jc w:val="left"/>
              <w:rPr>
                <w:rFonts w:eastAsia="Calibri"/>
                <w:lang w:val="en-GB"/>
              </w:rPr>
            </w:pPr>
            <w:r>
              <w:rPr>
                <w:rFonts w:eastAsia="Calibri"/>
                <w:lang w:val="en-GB"/>
              </w:rPr>
              <w:t>BakeSmith</w:t>
            </w:r>
            <w:r w:rsidRPr="000176CC" w:rsidDel="00AB5ED1">
              <w:rPr>
                <w:rFonts w:eastAsia="Calibri"/>
                <w:lang w:val="en-GB"/>
              </w:rPr>
              <w:t xml:space="preserve"> </w:t>
            </w:r>
          </w:p>
        </w:tc>
        <w:tc>
          <w:tcPr>
            <w:tcW w:w="2160" w:type="dxa"/>
          </w:tcPr>
          <w:p w14:paraId="486DC388" w14:textId="7CE31EEE" w:rsidR="00337DF9" w:rsidRPr="000176CC" w:rsidRDefault="0073408E" w:rsidP="00D66356">
            <w:pPr>
              <w:pStyle w:val="ExhibitText"/>
              <w:jc w:val="left"/>
              <w:rPr>
                <w:rFonts w:eastAsia="Calibri"/>
                <w:lang w:val="en-GB"/>
              </w:rPr>
            </w:pPr>
            <w:r w:rsidRPr="000176CC">
              <w:rPr>
                <w:rFonts w:eastAsia="Calibri"/>
                <w:lang w:val="en-GB"/>
              </w:rPr>
              <w:t xml:space="preserve">Mazelo </w:t>
            </w:r>
            <w:r>
              <w:rPr>
                <w:rFonts w:eastAsia="Calibri"/>
                <w:lang w:val="en-GB"/>
              </w:rPr>
              <w:t>Fruit Jelly</w:t>
            </w:r>
            <w:r w:rsidDel="0073408E">
              <w:rPr>
                <w:rFonts w:eastAsia="Calibri"/>
                <w:lang w:val="en-GB"/>
              </w:rPr>
              <w:t xml:space="preserve"> </w:t>
            </w:r>
          </w:p>
        </w:tc>
        <w:tc>
          <w:tcPr>
            <w:tcW w:w="1385" w:type="dxa"/>
          </w:tcPr>
          <w:p w14:paraId="35F325BA" w14:textId="77777777" w:rsidR="00337DF9" w:rsidRPr="000176CC" w:rsidRDefault="00337DF9" w:rsidP="00D66356">
            <w:pPr>
              <w:pStyle w:val="ExhibitText"/>
              <w:jc w:val="left"/>
              <w:rPr>
                <w:rFonts w:eastAsia="Calibri"/>
                <w:lang w:val="en-GB"/>
              </w:rPr>
            </w:pPr>
          </w:p>
        </w:tc>
        <w:tc>
          <w:tcPr>
            <w:tcW w:w="1870" w:type="dxa"/>
          </w:tcPr>
          <w:p w14:paraId="4BFB2AEF" w14:textId="77777777" w:rsidR="00337DF9" w:rsidRPr="000176CC" w:rsidRDefault="00337DF9" w:rsidP="00D66356">
            <w:pPr>
              <w:pStyle w:val="ExhibitText"/>
              <w:jc w:val="left"/>
              <w:rPr>
                <w:rFonts w:eastAsia="Calibri"/>
                <w:lang w:val="en-GB"/>
              </w:rPr>
            </w:pPr>
          </w:p>
        </w:tc>
        <w:tc>
          <w:tcPr>
            <w:tcW w:w="1870" w:type="dxa"/>
          </w:tcPr>
          <w:p w14:paraId="7DAAEEE8" w14:textId="77777777" w:rsidR="00337DF9" w:rsidRPr="000176CC" w:rsidRDefault="00337DF9" w:rsidP="00D66356">
            <w:pPr>
              <w:pStyle w:val="ExhibitText"/>
              <w:jc w:val="left"/>
              <w:rPr>
                <w:rFonts w:eastAsia="Calibri"/>
                <w:lang w:val="en-GB"/>
              </w:rPr>
            </w:pPr>
          </w:p>
        </w:tc>
      </w:tr>
      <w:tr w:rsidR="00337DF9" w:rsidRPr="000176CC" w14:paraId="01454D7B" w14:textId="77777777" w:rsidTr="00337DF9">
        <w:tc>
          <w:tcPr>
            <w:tcW w:w="2065" w:type="dxa"/>
          </w:tcPr>
          <w:p w14:paraId="02D84913" w14:textId="30267AA3" w:rsidR="00337DF9" w:rsidRPr="000176CC" w:rsidRDefault="00AB5ED1" w:rsidP="00D66356">
            <w:pPr>
              <w:pStyle w:val="ExhibitText"/>
              <w:jc w:val="left"/>
              <w:rPr>
                <w:rFonts w:eastAsia="Calibri"/>
                <w:lang w:val="en-GB"/>
              </w:rPr>
            </w:pPr>
            <w:r w:rsidRPr="000176CC">
              <w:rPr>
                <w:rFonts w:eastAsia="Calibri"/>
                <w:lang w:val="en-GB"/>
              </w:rPr>
              <w:t>Milano</w:t>
            </w:r>
            <w:r w:rsidDel="00AB5ED1">
              <w:rPr>
                <w:rFonts w:eastAsia="Calibri"/>
                <w:lang w:val="en-GB"/>
              </w:rPr>
              <w:t xml:space="preserve"> </w:t>
            </w:r>
          </w:p>
        </w:tc>
        <w:tc>
          <w:tcPr>
            <w:tcW w:w="2160" w:type="dxa"/>
          </w:tcPr>
          <w:p w14:paraId="3E781101" w14:textId="38E4E85E" w:rsidR="00337DF9" w:rsidRPr="000176CC" w:rsidRDefault="0073408E" w:rsidP="00D66356">
            <w:pPr>
              <w:pStyle w:val="ExhibitText"/>
              <w:jc w:val="left"/>
              <w:rPr>
                <w:rFonts w:eastAsia="Calibri"/>
                <w:lang w:val="en-GB"/>
              </w:rPr>
            </w:pPr>
            <w:r w:rsidRPr="000176CC">
              <w:rPr>
                <w:rFonts w:eastAsia="Calibri"/>
                <w:lang w:val="en-GB"/>
              </w:rPr>
              <w:t>Mints</w:t>
            </w:r>
            <w:r w:rsidRPr="000176CC" w:rsidDel="0073408E">
              <w:rPr>
                <w:rFonts w:eastAsia="Calibri"/>
                <w:lang w:val="en-GB"/>
              </w:rPr>
              <w:t xml:space="preserve"> </w:t>
            </w:r>
          </w:p>
        </w:tc>
        <w:tc>
          <w:tcPr>
            <w:tcW w:w="1385" w:type="dxa"/>
          </w:tcPr>
          <w:p w14:paraId="1F312890" w14:textId="77777777" w:rsidR="00337DF9" w:rsidRPr="000176CC" w:rsidRDefault="00337DF9" w:rsidP="00D66356">
            <w:pPr>
              <w:pStyle w:val="ExhibitText"/>
              <w:jc w:val="left"/>
              <w:rPr>
                <w:rFonts w:eastAsia="Calibri"/>
                <w:lang w:val="en-GB"/>
              </w:rPr>
            </w:pPr>
          </w:p>
        </w:tc>
        <w:tc>
          <w:tcPr>
            <w:tcW w:w="1870" w:type="dxa"/>
          </w:tcPr>
          <w:p w14:paraId="3BEDD496" w14:textId="77777777" w:rsidR="00337DF9" w:rsidRPr="000176CC" w:rsidRDefault="00337DF9" w:rsidP="00D66356">
            <w:pPr>
              <w:pStyle w:val="ExhibitText"/>
              <w:jc w:val="left"/>
              <w:rPr>
                <w:rFonts w:eastAsia="Calibri"/>
                <w:lang w:val="en-GB"/>
              </w:rPr>
            </w:pPr>
          </w:p>
        </w:tc>
        <w:tc>
          <w:tcPr>
            <w:tcW w:w="1870" w:type="dxa"/>
          </w:tcPr>
          <w:p w14:paraId="2E0141C7" w14:textId="77777777" w:rsidR="00337DF9" w:rsidRPr="000176CC" w:rsidRDefault="00337DF9" w:rsidP="00D66356">
            <w:pPr>
              <w:pStyle w:val="ExhibitText"/>
              <w:jc w:val="left"/>
              <w:rPr>
                <w:rFonts w:eastAsia="Calibri"/>
                <w:lang w:val="en-GB"/>
              </w:rPr>
            </w:pPr>
          </w:p>
        </w:tc>
      </w:tr>
      <w:tr w:rsidR="00337DF9" w:rsidRPr="000176CC" w14:paraId="08FC44A0" w14:textId="77777777" w:rsidTr="00337DF9">
        <w:tc>
          <w:tcPr>
            <w:tcW w:w="2065" w:type="dxa"/>
          </w:tcPr>
          <w:p w14:paraId="5ABA2785" w14:textId="40B32D33" w:rsidR="00337DF9" w:rsidRPr="000176CC" w:rsidRDefault="00AB5ED1" w:rsidP="00D66356">
            <w:pPr>
              <w:pStyle w:val="ExhibitText"/>
              <w:jc w:val="left"/>
              <w:rPr>
                <w:rFonts w:eastAsia="Calibri"/>
                <w:lang w:val="en-GB"/>
              </w:rPr>
            </w:pPr>
            <w:r w:rsidRPr="000176CC">
              <w:rPr>
                <w:rFonts w:eastAsia="Calibri"/>
                <w:lang w:val="en-GB"/>
              </w:rPr>
              <w:t>Fab!</w:t>
            </w:r>
          </w:p>
        </w:tc>
        <w:tc>
          <w:tcPr>
            <w:tcW w:w="2160" w:type="dxa"/>
          </w:tcPr>
          <w:p w14:paraId="328B103B" w14:textId="34D9C935" w:rsidR="00337DF9" w:rsidRPr="000176CC" w:rsidRDefault="00F301E1" w:rsidP="00D66356">
            <w:pPr>
              <w:pStyle w:val="ExhibitText"/>
              <w:jc w:val="left"/>
              <w:rPr>
                <w:rFonts w:eastAsia="Calibri"/>
                <w:lang w:val="en-GB"/>
              </w:rPr>
            </w:pPr>
            <w:r w:rsidRPr="000176CC">
              <w:rPr>
                <w:rFonts w:eastAsia="Calibri"/>
                <w:lang w:val="en-GB"/>
              </w:rPr>
              <w:t>Friberg</w:t>
            </w:r>
            <w:r>
              <w:rPr>
                <w:rFonts w:eastAsia="Calibri"/>
                <w:lang w:val="en-GB"/>
              </w:rPr>
              <w:t xml:space="preserve"> Range</w:t>
            </w:r>
          </w:p>
        </w:tc>
        <w:tc>
          <w:tcPr>
            <w:tcW w:w="1385" w:type="dxa"/>
          </w:tcPr>
          <w:p w14:paraId="1BFA707E" w14:textId="77777777" w:rsidR="00337DF9" w:rsidRPr="000176CC" w:rsidRDefault="00337DF9" w:rsidP="00D66356">
            <w:pPr>
              <w:pStyle w:val="ExhibitText"/>
              <w:jc w:val="left"/>
              <w:rPr>
                <w:rFonts w:eastAsia="Calibri"/>
                <w:lang w:val="en-GB"/>
              </w:rPr>
            </w:pPr>
          </w:p>
        </w:tc>
        <w:tc>
          <w:tcPr>
            <w:tcW w:w="1870" w:type="dxa"/>
          </w:tcPr>
          <w:p w14:paraId="71BA4911" w14:textId="77777777" w:rsidR="00337DF9" w:rsidRPr="000176CC" w:rsidRDefault="00337DF9" w:rsidP="00D66356">
            <w:pPr>
              <w:pStyle w:val="ExhibitText"/>
              <w:jc w:val="left"/>
              <w:rPr>
                <w:rFonts w:eastAsia="Calibri"/>
                <w:lang w:val="en-GB"/>
              </w:rPr>
            </w:pPr>
          </w:p>
        </w:tc>
        <w:tc>
          <w:tcPr>
            <w:tcW w:w="1870" w:type="dxa"/>
          </w:tcPr>
          <w:p w14:paraId="12921354" w14:textId="77777777" w:rsidR="00337DF9" w:rsidRPr="000176CC" w:rsidRDefault="00337DF9" w:rsidP="00D66356">
            <w:pPr>
              <w:pStyle w:val="ExhibitText"/>
              <w:jc w:val="left"/>
              <w:rPr>
                <w:rFonts w:eastAsia="Calibri"/>
                <w:lang w:val="en-GB"/>
              </w:rPr>
            </w:pPr>
          </w:p>
        </w:tc>
      </w:tr>
      <w:tr w:rsidR="00337DF9" w:rsidRPr="000176CC" w14:paraId="2401AD4D" w14:textId="77777777" w:rsidTr="00337DF9">
        <w:tc>
          <w:tcPr>
            <w:tcW w:w="2065" w:type="dxa"/>
          </w:tcPr>
          <w:p w14:paraId="50E17010" w14:textId="2208BB44" w:rsidR="00337DF9" w:rsidRPr="000176CC" w:rsidRDefault="00AB5ED1" w:rsidP="00D66356">
            <w:pPr>
              <w:pStyle w:val="ExhibitText"/>
              <w:jc w:val="left"/>
              <w:rPr>
                <w:rFonts w:eastAsia="Calibri"/>
                <w:lang w:val="en-GB"/>
              </w:rPr>
            </w:pPr>
            <w:r w:rsidRPr="000176CC">
              <w:rPr>
                <w:rFonts w:eastAsia="Calibri"/>
                <w:lang w:val="en-GB"/>
              </w:rPr>
              <w:t>Happy</w:t>
            </w:r>
            <w:r>
              <w:rPr>
                <w:rFonts w:eastAsia="Calibri"/>
                <w:lang w:val="en-GB"/>
              </w:rPr>
              <w:t>-</w:t>
            </w:r>
            <w:r w:rsidRPr="000176CC">
              <w:rPr>
                <w:rFonts w:eastAsia="Calibri"/>
                <w:lang w:val="en-GB"/>
              </w:rPr>
              <w:t>Happy</w:t>
            </w:r>
            <w:r w:rsidRPr="000176CC" w:rsidDel="00AB5ED1">
              <w:rPr>
                <w:rFonts w:eastAsia="Calibri"/>
                <w:lang w:val="en-GB"/>
              </w:rPr>
              <w:t xml:space="preserve"> </w:t>
            </w:r>
          </w:p>
        </w:tc>
        <w:tc>
          <w:tcPr>
            <w:tcW w:w="2160" w:type="dxa"/>
          </w:tcPr>
          <w:p w14:paraId="7394E9A8" w14:textId="4404DE58" w:rsidR="00337DF9" w:rsidRPr="000176CC" w:rsidRDefault="00F301E1" w:rsidP="00D66356">
            <w:pPr>
              <w:pStyle w:val="ExhibitText"/>
              <w:jc w:val="left"/>
              <w:rPr>
                <w:rFonts w:eastAsia="Calibri"/>
                <w:lang w:val="en-GB"/>
              </w:rPr>
            </w:pPr>
            <w:r>
              <w:rPr>
                <w:rFonts w:eastAsia="Calibri"/>
                <w:lang w:val="en-GB"/>
              </w:rPr>
              <w:t>Other Chocolates</w:t>
            </w:r>
          </w:p>
        </w:tc>
        <w:tc>
          <w:tcPr>
            <w:tcW w:w="1385" w:type="dxa"/>
          </w:tcPr>
          <w:p w14:paraId="32D4B5B0" w14:textId="77777777" w:rsidR="00337DF9" w:rsidRPr="000176CC" w:rsidRDefault="00337DF9" w:rsidP="00D66356">
            <w:pPr>
              <w:pStyle w:val="ExhibitText"/>
              <w:jc w:val="left"/>
              <w:rPr>
                <w:rFonts w:eastAsia="Calibri"/>
                <w:lang w:val="en-GB"/>
              </w:rPr>
            </w:pPr>
          </w:p>
        </w:tc>
        <w:tc>
          <w:tcPr>
            <w:tcW w:w="1870" w:type="dxa"/>
          </w:tcPr>
          <w:p w14:paraId="254AEAE5" w14:textId="77777777" w:rsidR="00337DF9" w:rsidRPr="000176CC" w:rsidRDefault="00337DF9" w:rsidP="00D66356">
            <w:pPr>
              <w:pStyle w:val="ExhibitText"/>
              <w:jc w:val="left"/>
              <w:rPr>
                <w:rFonts w:eastAsia="Calibri"/>
                <w:lang w:val="en-GB"/>
              </w:rPr>
            </w:pPr>
          </w:p>
        </w:tc>
        <w:tc>
          <w:tcPr>
            <w:tcW w:w="1870" w:type="dxa"/>
          </w:tcPr>
          <w:p w14:paraId="46221162" w14:textId="77777777" w:rsidR="00337DF9" w:rsidRPr="000176CC" w:rsidRDefault="00337DF9" w:rsidP="00D66356">
            <w:pPr>
              <w:pStyle w:val="ExhibitText"/>
              <w:jc w:val="left"/>
              <w:rPr>
                <w:rFonts w:eastAsia="Calibri"/>
                <w:lang w:val="en-GB"/>
              </w:rPr>
            </w:pPr>
          </w:p>
        </w:tc>
      </w:tr>
      <w:tr w:rsidR="00337DF9" w:rsidRPr="000176CC" w14:paraId="445D2662" w14:textId="77777777" w:rsidTr="00337DF9">
        <w:tc>
          <w:tcPr>
            <w:tcW w:w="2065" w:type="dxa"/>
          </w:tcPr>
          <w:p w14:paraId="6F622E7F" w14:textId="09D2AA1E" w:rsidR="00337DF9" w:rsidRPr="000176CC" w:rsidRDefault="00AB5ED1" w:rsidP="00D66356">
            <w:pPr>
              <w:pStyle w:val="ExhibitText"/>
              <w:jc w:val="left"/>
              <w:rPr>
                <w:rFonts w:eastAsia="Calibri"/>
                <w:lang w:val="en-GB"/>
              </w:rPr>
            </w:pPr>
            <w:r w:rsidRPr="000176CC">
              <w:rPr>
                <w:rFonts w:eastAsia="Calibri"/>
                <w:lang w:val="en-GB"/>
              </w:rPr>
              <w:t>Krackjack</w:t>
            </w:r>
            <w:r w:rsidRPr="000176CC" w:rsidDel="00AB5ED1">
              <w:rPr>
                <w:rFonts w:eastAsia="Calibri"/>
                <w:lang w:val="en-GB"/>
              </w:rPr>
              <w:t xml:space="preserve"> </w:t>
            </w:r>
          </w:p>
        </w:tc>
        <w:tc>
          <w:tcPr>
            <w:tcW w:w="2160" w:type="dxa"/>
          </w:tcPr>
          <w:p w14:paraId="249EC1F0" w14:textId="71D4F3B2" w:rsidR="00337DF9" w:rsidRPr="000176CC" w:rsidRDefault="00337DF9" w:rsidP="00D66356">
            <w:pPr>
              <w:pStyle w:val="ExhibitText"/>
              <w:jc w:val="left"/>
              <w:rPr>
                <w:rFonts w:eastAsia="Calibri"/>
                <w:lang w:val="en-GB"/>
              </w:rPr>
            </w:pPr>
          </w:p>
        </w:tc>
        <w:tc>
          <w:tcPr>
            <w:tcW w:w="1385" w:type="dxa"/>
          </w:tcPr>
          <w:p w14:paraId="7982DB24" w14:textId="77777777" w:rsidR="00337DF9" w:rsidRPr="000176CC" w:rsidRDefault="00337DF9" w:rsidP="00D66356">
            <w:pPr>
              <w:pStyle w:val="ExhibitText"/>
              <w:jc w:val="left"/>
              <w:rPr>
                <w:rFonts w:eastAsia="Calibri"/>
                <w:lang w:val="en-GB"/>
              </w:rPr>
            </w:pPr>
          </w:p>
        </w:tc>
        <w:tc>
          <w:tcPr>
            <w:tcW w:w="1870" w:type="dxa"/>
          </w:tcPr>
          <w:p w14:paraId="2C1DF4CE" w14:textId="77777777" w:rsidR="00337DF9" w:rsidRPr="000176CC" w:rsidRDefault="00337DF9" w:rsidP="00D66356">
            <w:pPr>
              <w:pStyle w:val="ExhibitText"/>
              <w:jc w:val="left"/>
              <w:rPr>
                <w:rFonts w:eastAsia="Calibri"/>
                <w:lang w:val="en-GB"/>
              </w:rPr>
            </w:pPr>
          </w:p>
        </w:tc>
        <w:tc>
          <w:tcPr>
            <w:tcW w:w="1870" w:type="dxa"/>
          </w:tcPr>
          <w:p w14:paraId="14455F13" w14:textId="77777777" w:rsidR="00337DF9" w:rsidRPr="000176CC" w:rsidRDefault="00337DF9" w:rsidP="00D66356">
            <w:pPr>
              <w:pStyle w:val="ExhibitText"/>
              <w:jc w:val="left"/>
              <w:rPr>
                <w:rFonts w:eastAsia="Calibri"/>
                <w:lang w:val="en-GB"/>
              </w:rPr>
            </w:pPr>
          </w:p>
        </w:tc>
      </w:tr>
      <w:tr w:rsidR="00337DF9" w:rsidRPr="000176CC" w14:paraId="58AFC823" w14:textId="77777777" w:rsidTr="00337DF9">
        <w:tc>
          <w:tcPr>
            <w:tcW w:w="2065" w:type="dxa"/>
          </w:tcPr>
          <w:p w14:paraId="44964635" w14:textId="3BB50F86" w:rsidR="00337DF9" w:rsidRPr="000176CC" w:rsidRDefault="00AB5ED1" w:rsidP="00D66356">
            <w:pPr>
              <w:pStyle w:val="ExhibitText"/>
              <w:jc w:val="left"/>
              <w:rPr>
                <w:rFonts w:eastAsia="Calibri"/>
                <w:lang w:val="en-GB"/>
              </w:rPr>
            </w:pPr>
            <w:r>
              <w:rPr>
                <w:rFonts w:eastAsia="Calibri"/>
                <w:lang w:val="en-GB"/>
              </w:rPr>
              <w:t>Top</w:t>
            </w:r>
            <w:r w:rsidRPr="000176CC" w:rsidDel="00AB5ED1">
              <w:rPr>
                <w:rFonts w:eastAsia="Calibri"/>
                <w:lang w:val="en-GB"/>
              </w:rPr>
              <w:t xml:space="preserve"> </w:t>
            </w:r>
          </w:p>
        </w:tc>
        <w:tc>
          <w:tcPr>
            <w:tcW w:w="2160" w:type="dxa"/>
          </w:tcPr>
          <w:p w14:paraId="54103977" w14:textId="2C2148A5" w:rsidR="00337DF9" w:rsidRPr="000176CC" w:rsidRDefault="00337DF9" w:rsidP="00D66356">
            <w:pPr>
              <w:pStyle w:val="ExhibitText"/>
              <w:jc w:val="left"/>
              <w:rPr>
                <w:rFonts w:eastAsia="Calibri"/>
                <w:lang w:val="en-GB"/>
              </w:rPr>
            </w:pPr>
          </w:p>
        </w:tc>
        <w:tc>
          <w:tcPr>
            <w:tcW w:w="1385" w:type="dxa"/>
          </w:tcPr>
          <w:p w14:paraId="0D797EBF" w14:textId="77777777" w:rsidR="00337DF9" w:rsidRPr="000176CC" w:rsidRDefault="00337DF9" w:rsidP="00D66356">
            <w:pPr>
              <w:pStyle w:val="ExhibitText"/>
              <w:jc w:val="left"/>
              <w:rPr>
                <w:rFonts w:eastAsia="Calibri"/>
                <w:lang w:val="en-GB"/>
              </w:rPr>
            </w:pPr>
          </w:p>
        </w:tc>
        <w:tc>
          <w:tcPr>
            <w:tcW w:w="1870" w:type="dxa"/>
          </w:tcPr>
          <w:p w14:paraId="09002A2D" w14:textId="77777777" w:rsidR="00337DF9" w:rsidRPr="000176CC" w:rsidRDefault="00337DF9" w:rsidP="00D66356">
            <w:pPr>
              <w:pStyle w:val="ExhibitText"/>
              <w:jc w:val="left"/>
              <w:rPr>
                <w:rFonts w:eastAsia="Calibri"/>
                <w:lang w:val="en-GB"/>
              </w:rPr>
            </w:pPr>
          </w:p>
        </w:tc>
        <w:tc>
          <w:tcPr>
            <w:tcW w:w="1870" w:type="dxa"/>
          </w:tcPr>
          <w:p w14:paraId="665EAA15" w14:textId="77777777" w:rsidR="00337DF9" w:rsidRPr="000176CC" w:rsidRDefault="00337DF9" w:rsidP="00D66356">
            <w:pPr>
              <w:pStyle w:val="ExhibitText"/>
              <w:jc w:val="left"/>
              <w:rPr>
                <w:rFonts w:eastAsia="Calibri"/>
                <w:lang w:val="en-GB"/>
              </w:rPr>
            </w:pPr>
          </w:p>
        </w:tc>
      </w:tr>
      <w:tr w:rsidR="00337DF9" w:rsidRPr="000176CC" w14:paraId="0FBD3AB7" w14:textId="77777777" w:rsidTr="00337DF9">
        <w:tc>
          <w:tcPr>
            <w:tcW w:w="2065" w:type="dxa"/>
          </w:tcPr>
          <w:p w14:paraId="6A9DBEC1" w14:textId="13ECA7ED" w:rsidR="00337DF9" w:rsidRPr="000176CC" w:rsidRDefault="00AB5ED1" w:rsidP="00D66356">
            <w:pPr>
              <w:pStyle w:val="ExhibitText"/>
              <w:jc w:val="left"/>
              <w:rPr>
                <w:rFonts w:eastAsia="Calibri"/>
                <w:lang w:val="en-GB"/>
              </w:rPr>
            </w:pPr>
            <w:r w:rsidRPr="000176CC">
              <w:rPr>
                <w:rFonts w:eastAsia="Calibri"/>
                <w:lang w:val="en-GB"/>
              </w:rPr>
              <w:t xml:space="preserve">20-20 </w:t>
            </w:r>
            <w:r>
              <w:rPr>
                <w:rFonts w:eastAsia="Calibri"/>
                <w:lang w:val="en-GB"/>
              </w:rPr>
              <w:t>cookies</w:t>
            </w:r>
            <w:r w:rsidRPr="000176CC" w:rsidDel="00AB5ED1">
              <w:rPr>
                <w:rFonts w:eastAsia="Calibri"/>
                <w:lang w:val="en-GB"/>
              </w:rPr>
              <w:t xml:space="preserve"> </w:t>
            </w:r>
          </w:p>
        </w:tc>
        <w:tc>
          <w:tcPr>
            <w:tcW w:w="2160" w:type="dxa"/>
          </w:tcPr>
          <w:p w14:paraId="40ABDC5D" w14:textId="78F2FB99" w:rsidR="00337DF9" w:rsidRPr="000176CC" w:rsidRDefault="00337DF9" w:rsidP="00D66356">
            <w:pPr>
              <w:pStyle w:val="ExhibitText"/>
              <w:jc w:val="left"/>
              <w:rPr>
                <w:rFonts w:eastAsia="Calibri"/>
                <w:lang w:val="en-GB"/>
              </w:rPr>
            </w:pPr>
          </w:p>
        </w:tc>
        <w:tc>
          <w:tcPr>
            <w:tcW w:w="1385" w:type="dxa"/>
          </w:tcPr>
          <w:p w14:paraId="1C31A4FE" w14:textId="77777777" w:rsidR="00337DF9" w:rsidRPr="000176CC" w:rsidRDefault="00337DF9" w:rsidP="00D66356">
            <w:pPr>
              <w:pStyle w:val="ExhibitText"/>
              <w:jc w:val="left"/>
              <w:rPr>
                <w:rFonts w:eastAsia="Calibri"/>
                <w:lang w:val="en-GB"/>
              </w:rPr>
            </w:pPr>
          </w:p>
        </w:tc>
        <w:tc>
          <w:tcPr>
            <w:tcW w:w="1870" w:type="dxa"/>
          </w:tcPr>
          <w:p w14:paraId="37936982" w14:textId="77777777" w:rsidR="00337DF9" w:rsidRPr="000176CC" w:rsidRDefault="00337DF9" w:rsidP="00D66356">
            <w:pPr>
              <w:pStyle w:val="ExhibitText"/>
              <w:jc w:val="left"/>
              <w:rPr>
                <w:rFonts w:eastAsia="Calibri"/>
                <w:lang w:val="en-GB"/>
              </w:rPr>
            </w:pPr>
          </w:p>
        </w:tc>
        <w:tc>
          <w:tcPr>
            <w:tcW w:w="1870" w:type="dxa"/>
          </w:tcPr>
          <w:p w14:paraId="2D4373C6" w14:textId="77777777" w:rsidR="00337DF9" w:rsidRPr="000176CC" w:rsidRDefault="00337DF9" w:rsidP="00D66356">
            <w:pPr>
              <w:pStyle w:val="ExhibitText"/>
              <w:jc w:val="left"/>
              <w:rPr>
                <w:rFonts w:eastAsia="Calibri"/>
                <w:lang w:val="en-GB"/>
              </w:rPr>
            </w:pPr>
          </w:p>
        </w:tc>
      </w:tr>
      <w:tr w:rsidR="00337DF9" w:rsidRPr="000176CC" w14:paraId="03857201" w14:textId="77777777" w:rsidTr="00337DF9">
        <w:tc>
          <w:tcPr>
            <w:tcW w:w="2065" w:type="dxa"/>
          </w:tcPr>
          <w:p w14:paraId="69823267" w14:textId="1CAB07E2" w:rsidR="00337DF9" w:rsidRPr="000176CC" w:rsidRDefault="00AB5ED1" w:rsidP="00D66356">
            <w:pPr>
              <w:pStyle w:val="ExhibitText"/>
              <w:jc w:val="left"/>
              <w:rPr>
                <w:rFonts w:eastAsia="Calibri"/>
                <w:lang w:val="en-GB"/>
              </w:rPr>
            </w:pPr>
            <w:r w:rsidRPr="000176CC">
              <w:rPr>
                <w:rFonts w:eastAsia="Calibri"/>
                <w:lang w:val="en-GB"/>
              </w:rPr>
              <w:t xml:space="preserve">Marie </w:t>
            </w:r>
            <w:r>
              <w:rPr>
                <w:rFonts w:eastAsia="Calibri"/>
                <w:lang w:val="en-GB"/>
              </w:rPr>
              <w:t>cookies</w:t>
            </w:r>
            <w:r w:rsidDel="00AB5ED1">
              <w:rPr>
                <w:rFonts w:eastAsia="Calibri"/>
                <w:lang w:val="en-GB"/>
              </w:rPr>
              <w:t xml:space="preserve"> </w:t>
            </w:r>
          </w:p>
        </w:tc>
        <w:tc>
          <w:tcPr>
            <w:tcW w:w="2160" w:type="dxa"/>
          </w:tcPr>
          <w:p w14:paraId="42D494E6" w14:textId="685A20C5" w:rsidR="00337DF9" w:rsidRPr="000176CC" w:rsidRDefault="00337DF9" w:rsidP="00D66356">
            <w:pPr>
              <w:pStyle w:val="ExhibitText"/>
              <w:jc w:val="left"/>
              <w:rPr>
                <w:rFonts w:eastAsia="Calibri"/>
                <w:lang w:val="en-GB"/>
              </w:rPr>
            </w:pPr>
          </w:p>
        </w:tc>
        <w:tc>
          <w:tcPr>
            <w:tcW w:w="1385" w:type="dxa"/>
          </w:tcPr>
          <w:p w14:paraId="70612294" w14:textId="77777777" w:rsidR="00337DF9" w:rsidRPr="000176CC" w:rsidRDefault="00337DF9" w:rsidP="00D66356">
            <w:pPr>
              <w:pStyle w:val="ExhibitText"/>
              <w:jc w:val="left"/>
              <w:rPr>
                <w:rFonts w:eastAsia="Calibri"/>
                <w:lang w:val="en-GB"/>
              </w:rPr>
            </w:pPr>
          </w:p>
        </w:tc>
        <w:tc>
          <w:tcPr>
            <w:tcW w:w="1870" w:type="dxa"/>
          </w:tcPr>
          <w:p w14:paraId="59787E9A" w14:textId="77777777" w:rsidR="00337DF9" w:rsidRPr="000176CC" w:rsidRDefault="00337DF9" w:rsidP="00D66356">
            <w:pPr>
              <w:pStyle w:val="ExhibitText"/>
              <w:jc w:val="left"/>
              <w:rPr>
                <w:rFonts w:eastAsia="Calibri"/>
                <w:lang w:val="en-GB"/>
              </w:rPr>
            </w:pPr>
          </w:p>
        </w:tc>
        <w:tc>
          <w:tcPr>
            <w:tcW w:w="1870" w:type="dxa"/>
          </w:tcPr>
          <w:p w14:paraId="7E9DB714" w14:textId="77777777" w:rsidR="00337DF9" w:rsidRPr="000176CC" w:rsidRDefault="00337DF9" w:rsidP="00D66356">
            <w:pPr>
              <w:pStyle w:val="ExhibitText"/>
              <w:jc w:val="left"/>
              <w:rPr>
                <w:rFonts w:eastAsia="Calibri"/>
                <w:lang w:val="en-GB"/>
              </w:rPr>
            </w:pPr>
          </w:p>
        </w:tc>
      </w:tr>
      <w:tr w:rsidR="00337DF9" w:rsidRPr="000176CC" w14:paraId="74593252" w14:textId="77777777" w:rsidTr="00337DF9">
        <w:tc>
          <w:tcPr>
            <w:tcW w:w="2065" w:type="dxa"/>
          </w:tcPr>
          <w:p w14:paraId="31734E08" w14:textId="21816AF5" w:rsidR="00337DF9" w:rsidRPr="000176CC" w:rsidRDefault="00337DF9" w:rsidP="00D66356">
            <w:pPr>
              <w:pStyle w:val="ExhibitText"/>
              <w:jc w:val="left"/>
              <w:rPr>
                <w:rFonts w:eastAsia="Calibri"/>
                <w:lang w:val="en-GB"/>
              </w:rPr>
            </w:pPr>
          </w:p>
        </w:tc>
        <w:tc>
          <w:tcPr>
            <w:tcW w:w="2160" w:type="dxa"/>
          </w:tcPr>
          <w:p w14:paraId="2F854F31" w14:textId="7CF0F5D8" w:rsidR="00337DF9" w:rsidRPr="000176CC" w:rsidRDefault="00337DF9" w:rsidP="00D66356">
            <w:pPr>
              <w:pStyle w:val="ExhibitText"/>
              <w:jc w:val="left"/>
              <w:rPr>
                <w:rFonts w:eastAsia="Calibri"/>
                <w:lang w:val="en-GB"/>
              </w:rPr>
            </w:pPr>
          </w:p>
        </w:tc>
        <w:tc>
          <w:tcPr>
            <w:tcW w:w="1385" w:type="dxa"/>
          </w:tcPr>
          <w:p w14:paraId="283BCCD0" w14:textId="77777777" w:rsidR="00337DF9" w:rsidRPr="000176CC" w:rsidRDefault="00337DF9" w:rsidP="00D66356">
            <w:pPr>
              <w:pStyle w:val="ExhibitText"/>
              <w:jc w:val="left"/>
              <w:rPr>
                <w:rFonts w:eastAsia="Calibri"/>
                <w:lang w:val="en-GB"/>
              </w:rPr>
            </w:pPr>
          </w:p>
        </w:tc>
        <w:tc>
          <w:tcPr>
            <w:tcW w:w="1870" w:type="dxa"/>
          </w:tcPr>
          <w:p w14:paraId="192D2261" w14:textId="77777777" w:rsidR="00337DF9" w:rsidRPr="000176CC" w:rsidRDefault="00337DF9" w:rsidP="00D66356">
            <w:pPr>
              <w:pStyle w:val="ExhibitText"/>
              <w:jc w:val="left"/>
              <w:rPr>
                <w:rFonts w:eastAsia="Calibri"/>
                <w:lang w:val="en-GB"/>
              </w:rPr>
            </w:pPr>
          </w:p>
        </w:tc>
        <w:tc>
          <w:tcPr>
            <w:tcW w:w="1870" w:type="dxa"/>
          </w:tcPr>
          <w:p w14:paraId="738C9C68" w14:textId="77777777" w:rsidR="00337DF9" w:rsidRPr="000176CC" w:rsidRDefault="00337DF9" w:rsidP="00D66356">
            <w:pPr>
              <w:pStyle w:val="ExhibitText"/>
              <w:jc w:val="left"/>
              <w:rPr>
                <w:rFonts w:eastAsia="Calibri"/>
                <w:lang w:val="en-GB"/>
              </w:rPr>
            </w:pPr>
          </w:p>
        </w:tc>
      </w:tr>
      <w:tr w:rsidR="00337DF9" w:rsidRPr="000176CC" w14:paraId="418FB6C1" w14:textId="77777777" w:rsidTr="00337DF9">
        <w:tc>
          <w:tcPr>
            <w:tcW w:w="2065" w:type="dxa"/>
          </w:tcPr>
          <w:p w14:paraId="1CEC6D66" w14:textId="7CBBBCDA" w:rsidR="00337DF9" w:rsidRPr="000176CC" w:rsidRDefault="00337DF9" w:rsidP="00D66356">
            <w:pPr>
              <w:pStyle w:val="ExhibitText"/>
              <w:jc w:val="left"/>
              <w:rPr>
                <w:rFonts w:eastAsia="Calibri"/>
                <w:lang w:val="en-GB"/>
              </w:rPr>
            </w:pPr>
          </w:p>
        </w:tc>
        <w:tc>
          <w:tcPr>
            <w:tcW w:w="2160" w:type="dxa"/>
          </w:tcPr>
          <w:p w14:paraId="352DB467" w14:textId="77777777" w:rsidR="00337DF9" w:rsidRPr="000176CC" w:rsidRDefault="00337DF9" w:rsidP="00D66356">
            <w:pPr>
              <w:pStyle w:val="ExhibitText"/>
              <w:jc w:val="left"/>
              <w:rPr>
                <w:rFonts w:eastAsia="Calibri"/>
                <w:lang w:val="en-GB"/>
              </w:rPr>
            </w:pPr>
          </w:p>
        </w:tc>
        <w:tc>
          <w:tcPr>
            <w:tcW w:w="1385" w:type="dxa"/>
          </w:tcPr>
          <w:p w14:paraId="356E9ECC" w14:textId="77777777" w:rsidR="00337DF9" w:rsidRPr="000176CC" w:rsidRDefault="00337DF9" w:rsidP="00D66356">
            <w:pPr>
              <w:pStyle w:val="ExhibitText"/>
              <w:jc w:val="left"/>
              <w:rPr>
                <w:rFonts w:eastAsia="Calibri"/>
                <w:lang w:val="en-GB"/>
              </w:rPr>
            </w:pPr>
          </w:p>
        </w:tc>
        <w:tc>
          <w:tcPr>
            <w:tcW w:w="1870" w:type="dxa"/>
          </w:tcPr>
          <w:p w14:paraId="6FCEC79B" w14:textId="77777777" w:rsidR="00337DF9" w:rsidRPr="000176CC" w:rsidRDefault="00337DF9" w:rsidP="00D66356">
            <w:pPr>
              <w:pStyle w:val="ExhibitText"/>
              <w:jc w:val="left"/>
              <w:rPr>
                <w:rFonts w:eastAsia="Calibri"/>
                <w:lang w:val="en-GB"/>
              </w:rPr>
            </w:pPr>
          </w:p>
        </w:tc>
        <w:tc>
          <w:tcPr>
            <w:tcW w:w="1870" w:type="dxa"/>
          </w:tcPr>
          <w:p w14:paraId="6ACC7ACB" w14:textId="77777777" w:rsidR="00337DF9" w:rsidRPr="000176CC" w:rsidRDefault="00337DF9" w:rsidP="00D66356">
            <w:pPr>
              <w:pStyle w:val="ExhibitText"/>
              <w:jc w:val="left"/>
              <w:rPr>
                <w:rFonts w:eastAsia="Calibri"/>
                <w:lang w:val="en-GB"/>
              </w:rPr>
            </w:pPr>
          </w:p>
        </w:tc>
      </w:tr>
    </w:tbl>
    <w:p w14:paraId="70D30749" w14:textId="77777777" w:rsidR="00C758DD" w:rsidRPr="000176CC" w:rsidRDefault="00C758DD" w:rsidP="00C758DD">
      <w:pPr>
        <w:pStyle w:val="Footnote"/>
        <w:rPr>
          <w:lang w:val="en-GB"/>
        </w:rPr>
      </w:pPr>
    </w:p>
    <w:p w14:paraId="4162F171" w14:textId="2EFEF0A6" w:rsidR="00337DF9" w:rsidRPr="000176CC" w:rsidRDefault="00337DF9" w:rsidP="00C758DD">
      <w:pPr>
        <w:pStyle w:val="Footnote"/>
        <w:rPr>
          <w:rFonts w:eastAsia="Calibri"/>
          <w:sz w:val="24"/>
          <w:szCs w:val="24"/>
          <w:lang w:val="en-GB"/>
        </w:rPr>
      </w:pPr>
      <w:r w:rsidRPr="000176CC">
        <w:rPr>
          <w:lang w:val="en-GB"/>
        </w:rPr>
        <w:t xml:space="preserve">Source: Compiled from </w:t>
      </w:r>
      <w:r w:rsidR="00CB3A00">
        <w:rPr>
          <w:lang w:val="en-GB"/>
        </w:rPr>
        <w:t xml:space="preserve">“Home Page,” </w:t>
      </w:r>
      <w:proofErr w:type="spellStart"/>
      <w:r w:rsidRPr="000176CC">
        <w:rPr>
          <w:lang w:val="en-GB"/>
        </w:rPr>
        <w:t>Parle</w:t>
      </w:r>
      <w:proofErr w:type="spellEnd"/>
      <w:r w:rsidRPr="000176CC">
        <w:rPr>
          <w:lang w:val="en-GB"/>
        </w:rPr>
        <w:t xml:space="preserve"> </w:t>
      </w:r>
      <w:r w:rsidR="00893612">
        <w:rPr>
          <w:lang w:val="en-GB"/>
        </w:rPr>
        <w:t>Products</w:t>
      </w:r>
      <w:r w:rsidR="00893612" w:rsidRPr="000176CC">
        <w:rPr>
          <w:lang w:val="en-GB"/>
        </w:rPr>
        <w:t xml:space="preserve"> </w:t>
      </w:r>
      <w:proofErr w:type="spellStart"/>
      <w:r w:rsidR="00893612">
        <w:rPr>
          <w:lang w:val="en-GB"/>
        </w:rPr>
        <w:t>Pvt.</w:t>
      </w:r>
      <w:proofErr w:type="spellEnd"/>
      <w:r w:rsidR="00893612">
        <w:rPr>
          <w:lang w:val="en-GB"/>
        </w:rPr>
        <w:t xml:space="preserve"> Ltd.</w:t>
      </w:r>
      <w:r w:rsidRPr="000176CC">
        <w:rPr>
          <w:lang w:val="en-GB"/>
        </w:rPr>
        <w:t xml:space="preserve">, accessed December 14, 2018, </w:t>
      </w:r>
      <w:r w:rsidR="00C758DD" w:rsidRPr="000176CC">
        <w:rPr>
          <w:lang w:val="en-GB"/>
        </w:rPr>
        <w:t>www.</w:t>
      </w:r>
      <w:r w:rsidRPr="000176CC">
        <w:rPr>
          <w:lang w:val="en-GB"/>
        </w:rPr>
        <w:t>parleproducts.com</w:t>
      </w:r>
      <w:r w:rsidRPr="000176CC">
        <w:rPr>
          <w:rFonts w:eastAsia="Calibri"/>
          <w:sz w:val="24"/>
          <w:szCs w:val="24"/>
          <w:lang w:val="en-GB"/>
        </w:rPr>
        <w:t>.</w:t>
      </w:r>
    </w:p>
    <w:p w14:paraId="0BD5420A" w14:textId="77777777" w:rsidR="00337DF9" w:rsidRPr="000176CC" w:rsidRDefault="00337DF9" w:rsidP="00337DF9">
      <w:pPr>
        <w:spacing w:after="120"/>
        <w:rPr>
          <w:rFonts w:ascii="Calibri" w:eastAsia="Calibri" w:hAnsi="Calibri" w:cs="Mangal"/>
          <w:b/>
          <w:bCs/>
          <w:sz w:val="22"/>
          <w:szCs w:val="22"/>
          <w:lang w:val="en-GB"/>
        </w:rPr>
      </w:pPr>
      <w:r w:rsidRPr="000176CC">
        <w:rPr>
          <w:rFonts w:ascii="Calibri" w:eastAsia="Calibri" w:hAnsi="Calibri" w:cs="Mangal"/>
          <w:b/>
          <w:bCs/>
          <w:sz w:val="22"/>
          <w:szCs w:val="22"/>
          <w:lang w:val="en-GB"/>
        </w:rPr>
        <w:br w:type="page"/>
      </w:r>
    </w:p>
    <w:p w14:paraId="0F531FC6" w14:textId="5570511C" w:rsidR="00337DF9" w:rsidRPr="000176CC" w:rsidRDefault="00337DF9" w:rsidP="00C758DD">
      <w:pPr>
        <w:pStyle w:val="ExhibitHeading"/>
        <w:rPr>
          <w:rFonts w:eastAsia="Calibri"/>
          <w:lang w:val="en-GB"/>
        </w:rPr>
      </w:pPr>
      <w:r w:rsidRPr="000176CC">
        <w:rPr>
          <w:rFonts w:eastAsia="Calibri"/>
          <w:lang w:val="en-GB"/>
        </w:rPr>
        <w:lastRenderedPageBreak/>
        <w:t xml:space="preserve">Exhibit 3: High growth </w:t>
      </w:r>
      <w:r w:rsidR="00893612">
        <w:rPr>
          <w:rFonts w:eastAsia="Calibri"/>
          <w:lang w:val="en-GB"/>
        </w:rPr>
        <w:t>segments</w:t>
      </w:r>
      <w:r w:rsidR="00893612" w:rsidRPr="000176CC">
        <w:rPr>
          <w:rFonts w:eastAsia="Calibri"/>
          <w:lang w:val="en-GB"/>
        </w:rPr>
        <w:t xml:space="preserve"> </w:t>
      </w:r>
      <w:r w:rsidRPr="000176CC">
        <w:rPr>
          <w:rFonts w:eastAsia="Calibri"/>
          <w:lang w:val="en-GB"/>
        </w:rPr>
        <w:t xml:space="preserve">of </w:t>
      </w:r>
      <w:r w:rsidR="00893612">
        <w:rPr>
          <w:rFonts w:eastAsia="Calibri"/>
          <w:lang w:val="en-GB"/>
        </w:rPr>
        <w:t xml:space="preserve">the </w:t>
      </w:r>
      <w:r w:rsidRPr="000176CC">
        <w:rPr>
          <w:rFonts w:eastAsia="Calibri"/>
          <w:lang w:val="en-GB"/>
        </w:rPr>
        <w:t>food industry in India</w:t>
      </w:r>
    </w:p>
    <w:p w14:paraId="0824E312" w14:textId="77777777" w:rsidR="00C758DD" w:rsidRPr="000176CC" w:rsidRDefault="00C758DD" w:rsidP="00C758DD">
      <w:pPr>
        <w:pStyle w:val="ExhibitHeading"/>
        <w:rPr>
          <w:rFonts w:eastAsia="Calibri"/>
          <w:lang w:val="en-GB"/>
        </w:rPr>
      </w:pPr>
    </w:p>
    <w:tbl>
      <w:tblPr>
        <w:tblStyle w:val="TableGrid"/>
        <w:tblW w:w="9067" w:type="dxa"/>
        <w:jc w:val="center"/>
        <w:tblLook w:val="04A0" w:firstRow="1" w:lastRow="0" w:firstColumn="1" w:lastColumn="0" w:noHBand="0" w:noVBand="1"/>
      </w:tblPr>
      <w:tblGrid>
        <w:gridCol w:w="2228"/>
        <w:gridCol w:w="4571"/>
        <w:gridCol w:w="2268"/>
      </w:tblGrid>
      <w:tr w:rsidR="00F6370B" w:rsidRPr="000176CC" w14:paraId="500CBDE1" w14:textId="77777777" w:rsidTr="00D66356">
        <w:trPr>
          <w:jc w:val="center"/>
        </w:trPr>
        <w:tc>
          <w:tcPr>
            <w:tcW w:w="2228" w:type="dxa"/>
            <w:vAlign w:val="center"/>
          </w:tcPr>
          <w:p w14:paraId="02F6B3DE" w14:textId="77777777" w:rsidR="00337DF9" w:rsidRPr="00D66356" w:rsidRDefault="00337DF9" w:rsidP="00E902F2">
            <w:pPr>
              <w:pStyle w:val="ExhibitText"/>
              <w:jc w:val="center"/>
              <w:rPr>
                <w:rFonts w:eastAsia="Calibri"/>
                <w:b/>
                <w:lang w:val="en-GB"/>
              </w:rPr>
            </w:pPr>
            <w:r w:rsidRPr="00D66356">
              <w:rPr>
                <w:rFonts w:eastAsia="Calibri"/>
                <w:b/>
                <w:lang w:val="en-GB"/>
              </w:rPr>
              <w:t>Segments</w:t>
            </w:r>
          </w:p>
        </w:tc>
        <w:tc>
          <w:tcPr>
            <w:tcW w:w="4571" w:type="dxa"/>
            <w:vAlign w:val="center"/>
          </w:tcPr>
          <w:p w14:paraId="4D5F0352" w14:textId="77777777" w:rsidR="00337DF9" w:rsidRPr="00D66356" w:rsidRDefault="00337DF9" w:rsidP="003B7361">
            <w:pPr>
              <w:pStyle w:val="ExhibitText"/>
              <w:jc w:val="center"/>
              <w:rPr>
                <w:rFonts w:eastAsia="Calibri"/>
                <w:b/>
                <w:lang w:val="en-GB"/>
              </w:rPr>
            </w:pPr>
            <w:r w:rsidRPr="00D66356">
              <w:rPr>
                <w:rFonts w:eastAsia="Calibri"/>
                <w:b/>
                <w:lang w:val="en-GB"/>
              </w:rPr>
              <w:t>Categories</w:t>
            </w:r>
          </w:p>
        </w:tc>
        <w:tc>
          <w:tcPr>
            <w:tcW w:w="2268" w:type="dxa"/>
            <w:vAlign w:val="center"/>
          </w:tcPr>
          <w:p w14:paraId="510F390E" w14:textId="684836A8" w:rsidR="00337DF9" w:rsidRPr="00D66356" w:rsidRDefault="00337DF9" w:rsidP="00FC6958">
            <w:pPr>
              <w:pStyle w:val="ExhibitText"/>
              <w:jc w:val="center"/>
              <w:rPr>
                <w:rFonts w:eastAsia="Calibri"/>
                <w:b/>
                <w:lang w:val="en-GB"/>
              </w:rPr>
            </w:pPr>
            <w:r w:rsidRPr="00D66356">
              <w:rPr>
                <w:rFonts w:eastAsia="Calibri"/>
                <w:b/>
                <w:lang w:val="en-GB"/>
              </w:rPr>
              <w:t>Expected CAGR during 2016</w:t>
            </w:r>
            <w:r w:rsidR="00893612">
              <w:rPr>
                <w:rFonts w:eastAsia="Calibri"/>
                <w:b/>
                <w:lang w:val="en-GB"/>
              </w:rPr>
              <w:t>–2021 (%)</w:t>
            </w:r>
          </w:p>
        </w:tc>
      </w:tr>
      <w:tr w:rsidR="00F6370B" w:rsidRPr="000176CC" w14:paraId="5470414D" w14:textId="77777777" w:rsidTr="00D66356">
        <w:trPr>
          <w:jc w:val="center"/>
        </w:trPr>
        <w:tc>
          <w:tcPr>
            <w:tcW w:w="2228" w:type="dxa"/>
            <w:vAlign w:val="center"/>
          </w:tcPr>
          <w:p w14:paraId="13DD3AE1" w14:textId="3565B49B" w:rsidR="00337DF9" w:rsidRPr="000176CC" w:rsidRDefault="00337DF9" w:rsidP="00E902F2">
            <w:pPr>
              <w:pStyle w:val="ExhibitText"/>
              <w:jc w:val="left"/>
              <w:rPr>
                <w:rFonts w:eastAsia="Calibri"/>
                <w:lang w:val="en-GB"/>
              </w:rPr>
            </w:pPr>
            <w:r w:rsidRPr="000176CC">
              <w:rPr>
                <w:rFonts w:eastAsia="Calibri"/>
                <w:lang w:val="en-GB"/>
              </w:rPr>
              <w:t xml:space="preserve">Breakfast </w:t>
            </w:r>
            <w:r w:rsidR="00893612">
              <w:rPr>
                <w:rFonts w:eastAsia="Calibri"/>
                <w:lang w:val="en-GB"/>
              </w:rPr>
              <w:t>cereals</w:t>
            </w:r>
          </w:p>
        </w:tc>
        <w:tc>
          <w:tcPr>
            <w:tcW w:w="4571" w:type="dxa"/>
          </w:tcPr>
          <w:p w14:paraId="292890EC" w14:textId="77777777" w:rsidR="00337DF9" w:rsidRPr="000176CC" w:rsidRDefault="00337DF9" w:rsidP="00D66356">
            <w:pPr>
              <w:pStyle w:val="ExhibitText"/>
              <w:jc w:val="left"/>
              <w:rPr>
                <w:rFonts w:eastAsia="Calibri"/>
                <w:lang w:val="en-GB"/>
              </w:rPr>
            </w:pPr>
            <w:r w:rsidRPr="000176CC">
              <w:rPr>
                <w:rFonts w:eastAsia="Calibri"/>
                <w:lang w:val="en-GB"/>
              </w:rPr>
              <w:t>Hot and cold cereals</w:t>
            </w:r>
          </w:p>
        </w:tc>
        <w:tc>
          <w:tcPr>
            <w:tcW w:w="2268" w:type="dxa"/>
            <w:vAlign w:val="center"/>
          </w:tcPr>
          <w:p w14:paraId="144C76A5" w14:textId="19CE7587" w:rsidR="00337DF9" w:rsidRPr="000176CC" w:rsidRDefault="00337DF9" w:rsidP="000D37F4">
            <w:pPr>
              <w:pStyle w:val="ExhibitText"/>
              <w:jc w:val="center"/>
              <w:rPr>
                <w:rFonts w:eastAsia="Calibri"/>
                <w:lang w:val="en-GB"/>
              </w:rPr>
            </w:pPr>
            <w:r w:rsidRPr="000176CC">
              <w:rPr>
                <w:rFonts w:eastAsia="Calibri"/>
                <w:lang w:val="en-GB"/>
              </w:rPr>
              <w:t>19.23</w:t>
            </w:r>
          </w:p>
        </w:tc>
      </w:tr>
      <w:tr w:rsidR="00F6370B" w:rsidRPr="000176CC" w14:paraId="1D0DE67A" w14:textId="77777777" w:rsidTr="00D66356">
        <w:trPr>
          <w:jc w:val="center"/>
        </w:trPr>
        <w:tc>
          <w:tcPr>
            <w:tcW w:w="2228" w:type="dxa"/>
            <w:vAlign w:val="center"/>
          </w:tcPr>
          <w:p w14:paraId="71860B00" w14:textId="565E7689" w:rsidR="00337DF9" w:rsidRPr="000176CC" w:rsidRDefault="00E62389" w:rsidP="00E902F2">
            <w:pPr>
              <w:pStyle w:val="ExhibitText"/>
              <w:jc w:val="left"/>
              <w:rPr>
                <w:rFonts w:eastAsia="Calibri"/>
                <w:lang w:val="en-GB"/>
              </w:rPr>
            </w:pPr>
            <w:r>
              <w:rPr>
                <w:rFonts w:eastAsia="Calibri"/>
                <w:lang w:val="en-GB"/>
              </w:rPr>
              <w:t>Namkeen</w:t>
            </w:r>
          </w:p>
          <w:p w14:paraId="3E60EBA5" w14:textId="00F64D40" w:rsidR="00337DF9" w:rsidRPr="000176CC" w:rsidRDefault="00337DF9" w:rsidP="003B7361">
            <w:pPr>
              <w:pStyle w:val="ExhibitText"/>
              <w:jc w:val="left"/>
              <w:rPr>
                <w:rFonts w:eastAsia="Calibri"/>
                <w:lang w:val="en-GB"/>
              </w:rPr>
            </w:pPr>
            <w:r w:rsidRPr="000176CC">
              <w:rPr>
                <w:rFonts w:eastAsia="Calibri"/>
                <w:lang w:val="en-GB"/>
              </w:rPr>
              <w:t>(</w:t>
            </w:r>
            <w:r w:rsidR="00E62389">
              <w:rPr>
                <w:rFonts w:eastAsia="Calibri"/>
                <w:lang w:val="en-GB"/>
              </w:rPr>
              <w:t>savoury snacks</w:t>
            </w:r>
            <w:r w:rsidRPr="000176CC">
              <w:rPr>
                <w:rFonts w:eastAsia="Calibri"/>
                <w:lang w:val="en-GB"/>
              </w:rPr>
              <w:t>)</w:t>
            </w:r>
          </w:p>
        </w:tc>
        <w:tc>
          <w:tcPr>
            <w:tcW w:w="4571" w:type="dxa"/>
          </w:tcPr>
          <w:p w14:paraId="273D0178" w14:textId="03FE3DCF" w:rsidR="00337DF9" w:rsidRPr="000176CC" w:rsidRDefault="00337DF9" w:rsidP="00D66356">
            <w:pPr>
              <w:pStyle w:val="ExhibitText"/>
              <w:jc w:val="left"/>
              <w:rPr>
                <w:rFonts w:eastAsia="Calibri"/>
                <w:lang w:val="en-GB"/>
              </w:rPr>
            </w:pPr>
            <w:r w:rsidRPr="000176CC">
              <w:rPr>
                <w:rFonts w:eastAsia="Calibri"/>
                <w:lang w:val="en-GB"/>
              </w:rPr>
              <w:t>Ethnic</w:t>
            </w:r>
            <w:r w:rsidR="00B67AB0">
              <w:rPr>
                <w:rFonts w:eastAsia="Calibri"/>
                <w:lang w:val="en-GB"/>
              </w:rPr>
              <w:t xml:space="preserve"> and traditional </w:t>
            </w:r>
            <w:r w:rsidRPr="000176CC">
              <w:rPr>
                <w:rFonts w:eastAsia="Calibri"/>
                <w:lang w:val="en-GB"/>
              </w:rPr>
              <w:t>snacks, meat snacks, nuts and seeds, popcorn, potato chips, processed snacks</w:t>
            </w:r>
          </w:p>
        </w:tc>
        <w:tc>
          <w:tcPr>
            <w:tcW w:w="2268" w:type="dxa"/>
            <w:vAlign w:val="center"/>
          </w:tcPr>
          <w:p w14:paraId="6A6E1AFA" w14:textId="4B95F276" w:rsidR="00337DF9" w:rsidRPr="000176CC" w:rsidRDefault="00337DF9" w:rsidP="000D37F4">
            <w:pPr>
              <w:pStyle w:val="ExhibitText"/>
              <w:jc w:val="center"/>
              <w:rPr>
                <w:rFonts w:eastAsia="Calibri"/>
                <w:lang w:val="en-GB"/>
              </w:rPr>
            </w:pPr>
            <w:r w:rsidRPr="000176CC">
              <w:rPr>
                <w:rFonts w:eastAsia="Calibri"/>
                <w:lang w:val="en-GB"/>
              </w:rPr>
              <w:t>33.59</w:t>
            </w:r>
          </w:p>
        </w:tc>
      </w:tr>
      <w:tr w:rsidR="00F6370B" w:rsidRPr="000176CC" w14:paraId="43D45C0D" w14:textId="77777777" w:rsidTr="00D66356">
        <w:trPr>
          <w:jc w:val="center"/>
        </w:trPr>
        <w:tc>
          <w:tcPr>
            <w:tcW w:w="2228" w:type="dxa"/>
            <w:vAlign w:val="center"/>
          </w:tcPr>
          <w:p w14:paraId="394FA140" w14:textId="77777777" w:rsidR="00337DF9" w:rsidRPr="000176CC" w:rsidRDefault="00337DF9" w:rsidP="00E902F2">
            <w:pPr>
              <w:pStyle w:val="ExhibitText"/>
              <w:jc w:val="left"/>
              <w:rPr>
                <w:rFonts w:eastAsia="Calibri"/>
                <w:lang w:val="en-GB"/>
              </w:rPr>
            </w:pPr>
            <w:r w:rsidRPr="000176CC">
              <w:rPr>
                <w:rFonts w:eastAsia="Calibri"/>
                <w:lang w:val="en-GB"/>
              </w:rPr>
              <w:t>Ingredients</w:t>
            </w:r>
          </w:p>
        </w:tc>
        <w:tc>
          <w:tcPr>
            <w:tcW w:w="4571" w:type="dxa"/>
          </w:tcPr>
          <w:p w14:paraId="3EE9E04D" w14:textId="434C4F3D" w:rsidR="00337DF9" w:rsidRPr="000176CC" w:rsidRDefault="00337DF9" w:rsidP="00D66356">
            <w:pPr>
              <w:pStyle w:val="ExhibitText"/>
              <w:jc w:val="left"/>
              <w:rPr>
                <w:rFonts w:eastAsia="Calibri"/>
                <w:lang w:val="en-GB"/>
              </w:rPr>
            </w:pPr>
            <w:r w:rsidRPr="000176CC">
              <w:rPr>
                <w:rFonts w:eastAsia="Calibri"/>
                <w:lang w:val="en-GB"/>
              </w:rPr>
              <w:t>Seasonings, dressing</w:t>
            </w:r>
            <w:r w:rsidR="00B67AB0">
              <w:rPr>
                <w:rFonts w:eastAsia="Calibri"/>
                <w:lang w:val="en-GB"/>
              </w:rPr>
              <w:t>s,</w:t>
            </w:r>
            <w:r w:rsidRPr="000176CC">
              <w:rPr>
                <w:rFonts w:eastAsia="Calibri"/>
                <w:lang w:val="en-GB"/>
              </w:rPr>
              <w:t xml:space="preserve"> and sauces</w:t>
            </w:r>
          </w:p>
        </w:tc>
        <w:tc>
          <w:tcPr>
            <w:tcW w:w="2268" w:type="dxa"/>
            <w:vAlign w:val="center"/>
          </w:tcPr>
          <w:p w14:paraId="2D4ED1D3" w14:textId="52836A0C" w:rsidR="00337DF9" w:rsidRPr="000176CC" w:rsidRDefault="00337DF9" w:rsidP="000D37F4">
            <w:pPr>
              <w:pStyle w:val="ExhibitText"/>
              <w:jc w:val="center"/>
              <w:rPr>
                <w:rFonts w:eastAsia="Calibri"/>
                <w:lang w:val="en-GB"/>
              </w:rPr>
            </w:pPr>
            <w:r w:rsidRPr="000176CC">
              <w:rPr>
                <w:rFonts w:eastAsia="Calibri"/>
                <w:lang w:val="en-GB"/>
              </w:rPr>
              <w:t>7.92</w:t>
            </w:r>
          </w:p>
        </w:tc>
      </w:tr>
      <w:tr w:rsidR="00F6370B" w:rsidRPr="000176CC" w14:paraId="7126DC12" w14:textId="77777777" w:rsidTr="00D66356">
        <w:trPr>
          <w:jc w:val="center"/>
        </w:trPr>
        <w:tc>
          <w:tcPr>
            <w:tcW w:w="2228" w:type="dxa"/>
            <w:vAlign w:val="center"/>
          </w:tcPr>
          <w:p w14:paraId="44DC34BE" w14:textId="16882C66" w:rsidR="00337DF9" w:rsidRPr="000176CC" w:rsidRDefault="00337DF9" w:rsidP="00E902F2">
            <w:pPr>
              <w:pStyle w:val="ExhibitText"/>
              <w:jc w:val="left"/>
              <w:rPr>
                <w:rFonts w:eastAsia="Calibri"/>
                <w:lang w:val="en-GB"/>
              </w:rPr>
            </w:pPr>
            <w:r w:rsidRPr="000176CC">
              <w:rPr>
                <w:rFonts w:eastAsia="Calibri"/>
                <w:lang w:val="en-GB"/>
              </w:rPr>
              <w:t xml:space="preserve">Pet </w:t>
            </w:r>
            <w:r w:rsidR="00893612">
              <w:rPr>
                <w:rFonts w:eastAsia="Calibri"/>
                <w:lang w:val="en-GB"/>
              </w:rPr>
              <w:t>food market</w:t>
            </w:r>
          </w:p>
        </w:tc>
        <w:tc>
          <w:tcPr>
            <w:tcW w:w="4571" w:type="dxa"/>
          </w:tcPr>
          <w:p w14:paraId="4EE02494" w14:textId="6188B8B6" w:rsidR="00337DF9" w:rsidRPr="000176CC" w:rsidRDefault="00337DF9" w:rsidP="00D66356">
            <w:pPr>
              <w:pStyle w:val="ExhibitText"/>
              <w:jc w:val="left"/>
              <w:rPr>
                <w:rFonts w:eastAsia="Calibri"/>
                <w:lang w:val="en-GB"/>
              </w:rPr>
            </w:pPr>
            <w:r w:rsidRPr="000176CC">
              <w:rPr>
                <w:rFonts w:eastAsia="Calibri"/>
                <w:lang w:val="en-GB"/>
              </w:rPr>
              <w:t>Dog, cat</w:t>
            </w:r>
            <w:r w:rsidR="00B67AB0">
              <w:rPr>
                <w:rFonts w:eastAsia="Calibri"/>
                <w:lang w:val="en-GB"/>
              </w:rPr>
              <w:t>,</w:t>
            </w:r>
            <w:r w:rsidRPr="000176CC">
              <w:rPr>
                <w:rFonts w:eastAsia="Calibri"/>
                <w:lang w:val="en-GB"/>
              </w:rPr>
              <w:t xml:space="preserve"> and </w:t>
            </w:r>
            <w:proofErr w:type="gramStart"/>
            <w:r w:rsidRPr="000176CC">
              <w:rPr>
                <w:rFonts w:eastAsia="Calibri"/>
                <w:lang w:val="en-GB"/>
              </w:rPr>
              <w:t>other</w:t>
            </w:r>
            <w:proofErr w:type="gramEnd"/>
            <w:r w:rsidRPr="000176CC">
              <w:rPr>
                <w:rFonts w:eastAsia="Calibri"/>
                <w:lang w:val="en-GB"/>
              </w:rPr>
              <w:t xml:space="preserve"> pet food</w:t>
            </w:r>
          </w:p>
        </w:tc>
        <w:tc>
          <w:tcPr>
            <w:tcW w:w="2268" w:type="dxa"/>
            <w:vAlign w:val="center"/>
          </w:tcPr>
          <w:p w14:paraId="07E82D84" w14:textId="011BF6F6" w:rsidR="00337DF9" w:rsidRPr="000176CC" w:rsidRDefault="00337DF9" w:rsidP="000D37F4">
            <w:pPr>
              <w:pStyle w:val="ExhibitText"/>
              <w:jc w:val="center"/>
              <w:rPr>
                <w:rFonts w:eastAsia="Calibri"/>
                <w:lang w:val="en-GB"/>
              </w:rPr>
            </w:pPr>
            <w:r w:rsidRPr="000176CC">
              <w:rPr>
                <w:rFonts w:eastAsia="Calibri"/>
                <w:lang w:val="en-GB"/>
              </w:rPr>
              <w:t>18</w:t>
            </w:r>
          </w:p>
        </w:tc>
      </w:tr>
      <w:tr w:rsidR="00F6370B" w:rsidRPr="000176CC" w14:paraId="5958AE16" w14:textId="77777777" w:rsidTr="00D66356">
        <w:trPr>
          <w:jc w:val="center"/>
        </w:trPr>
        <w:tc>
          <w:tcPr>
            <w:tcW w:w="2228" w:type="dxa"/>
            <w:vAlign w:val="center"/>
          </w:tcPr>
          <w:p w14:paraId="7AD58470" w14:textId="28DDEDCC" w:rsidR="00337DF9" w:rsidRPr="000176CC" w:rsidRDefault="00337DF9" w:rsidP="00E902F2">
            <w:pPr>
              <w:pStyle w:val="ExhibitText"/>
              <w:jc w:val="left"/>
              <w:rPr>
                <w:rFonts w:eastAsia="Calibri"/>
                <w:lang w:val="en-GB"/>
              </w:rPr>
            </w:pPr>
            <w:r w:rsidRPr="000176CC">
              <w:rPr>
                <w:rFonts w:eastAsia="Calibri"/>
                <w:lang w:val="en-GB"/>
              </w:rPr>
              <w:t xml:space="preserve">Naturally </w:t>
            </w:r>
            <w:r w:rsidR="00893612">
              <w:rPr>
                <w:rFonts w:eastAsia="Calibri"/>
                <w:lang w:val="en-GB"/>
              </w:rPr>
              <w:t>healthy beverages</w:t>
            </w:r>
          </w:p>
        </w:tc>
        <w:tc>
          <w:tcPr>
            <w:tcW w:w="4571" w:type="dxa"/>
          </w:tcPr>
          <w:p w14:paraId="6C46BE16" w14:textId="28B8CD80" w:rsidR="00337DF9" w:rsidRPr="000176CC" w:rsidRDefault="00337DF9" w:rsidP="00D66356">
            <w:pPr>
              <w:pStyle w:val="ExhibitText"/>
              <w:jc w:val="left"/>
              <w:rPr>
                <w:rFonts w:eastAsia="Calibri"/>
                <w:lang w:val="en-GB"/>
              </w:rPr>
            </w:pPr>
            <w:r w:rsidRPr="000176CC">
              <w:rPr>
                <w:rFonts w:eastAsia="Calibri"/>
                <w:lang w:val="en-GB"/>
              </w:rPr>
              <w:t>100% fruit</w:t>
            </w:r>
            <w:r w:rsidR="00B67AB0">
              <w:rPr>
                <w:rFonts w:eastAsia="Calibri"/>
                <w:lang w:val="en-GB"/>
              </w:rPr>
              <w:t xml:space="preserve"> and </w:t>
            </w:r>
            <w:r w:rsidRPr="000176CC">
              <w:rPr>
                <w:rFonts w:eastAsia="Calibri"/>
                <w:lang w:val="en-GB"/>
              </w:rPr>
              <w:t xml:space="preserve">vegetable juice, natural mineral water, spring water, RTD green tea, other naturally healthy RTD tea, malt-based hot drinks, other </w:t>
            </w:r>
            <w:r w:rsidR="004918E3">
              <w:rPr>
                <w:rFonts w:eastAsia="Calibri"/>
                <w:lang w:val="en-GB"/>
              </w:rPr>
              <w:t>plant-based</w:t>
            </w:r>
            <w:r w:rsidRPr="000176CC">
              <w:rPr>
                <w:rFonts w:eastAsia="Calibri"/>
                <w:lang w:val="en-GB"/>
              </w:rPr>
              <w:t xml:space="preserve"> hot drinks</w:t>
            </w:r>
          </w:p>
        </w:tc>
        <w:tc>
          <w:tcPr>
            <w:tcW w:w="2268" w:type="dxa"/>
            <w:vAlign w:val="center"/>
          </w:tcPr>
          <w:p w14:paraId="70F74681" w14:textId="54B07F2A" w:rsidR="00337DF9" w:rsidRPr="000176CC" w:rsidRDefault="00337DF9" w:rsidP="000D37F4">
            <w:pPr>
              <w:pStyle w:val="ExhibitText"/>
              <w:jc w:val="center"/>
              <w:rPr>
                <w:rFonts w:eastAsia="Calibri"/>
                <w:lang w:val="en-GB"/>
              </w:rPr>
            </w:pPr>
            <w:r w:rsidRPr="000176CC">
              <w:rPr>
                <w:rFonts w:eastAsia="Calibri"/>
                <w:lang w:val="en-GB"/>
              </w:rPr>
              <w:t>22</w:t>
            </w:r>
          </w:p>
        </w:tc>
      </w:tr>
      <w:tr w:rsidR="00F6370B" w:rsidRPr="000176CC" w14:paraId="0E482777" w14:textId="77777777" w:rsidTr="00D66356">
        <w:trPr>
          <w:jc w:val="center"/>
        </w:trPr>
        <w:tc>
          <w:tcPr>
            <w:tcW w:w="2228" w:type="dxa"/>
            <w:vAlign w:val="center"/>
          </w:tcPr>
          <w:p w14:paraId="3A1B5922" w14:textId="58D6565A" w:rsidR="00337DF9" w:rsidRPr="000176CC" w:rsidRDefault="00337DF9" w:rsidP="00E902F2">
            <w:pPr>
              <w:pStyle w:val="ExhibitText"/>
              <w:jc w:val="left"/>
              <w:rPr>
                <w:rFonts w:eastAsia="Calibri"/>
                <w:lang w:val="en-GB"/>
              </w:rPr>
            </w:pPr>
            <w:r w:rsidRPr="000176CC">
              <w:rPr>
                <w:rFonts w:eastAsia="Calibri"/>
                <w:lang w:val="en-GB"/>
              </w:rPr>
              <w:t xml:space="preserve">Ready </w:t>
            </w:r>
            <w:r w:rsidR="00893612">
              <w:rPr>
                <w:rFonts w:eastAsia="Calibri"/>
                <w:lang w:val="en-GB"/>
              </w:rPr>
              <w:t>meals</w:t>
            </w:r>
          </w:p>
        </w:tc>
        <w:tc>
          <w:tcPr>
            <w:tcW w:w="4571" w:type="dxa"/>
          </w:tcPr>
          <w:p w14:paraId="463750B5" w14:textId="31BBA46C" w:rsidR="00337DF9" w:rsidRPr="000176CC" w:rsidRDefault="00337DF9" w:rsidP="00D66356">
            <w:pPr>
              <w:pStyle w:val="ExhibitText"/>
              <w:jc w:val="left"/>
              <w:rPr>
                <w:rFonts w:eastAsia="Calibri"/>
                <w:lang w:val="en-GB"/>
              </w:rPr>
            </w:pPr>
            <w:r w:rsidRPr="000176CC">
              <w:rPr>
                <w:rFonts w:eastAsia="Calibri"/>
                <w:lang w:val="en-GB"/>
              </w:rPr>
              <w:t>Ambient ready meals and dried ready meals, chilled</w:t>
            </w:r>
            <w:r w:rsidR="004918E3">
              <w:rPr>
                <w:rFonts w:eastAsia="Calibri"/>
                <w:lang w:val="en-GB"/>
              </w:rPr>
              <w:t xml:space="preserve"> and</w:t>
            </w:r>
            <w:r w:rsidR="000C649A">
              <w:rPr>
                <w:rFonts w:eastAsia="Calibri"/>
                <w:lang w:val="en-GB"/>
              </w:rPr>
              <w:t xml:space="preserve"> </w:t>
            </w:r>
            <w:r w:rsidRPr="000176CC">
              <w:rPr>
                <w:rFonts w:eastAsia="Calibri"/>
                <w:lang w:val="en-GB"/>
              </w:rPr>
              <w:t>frozen ready meals</w:t>
            </w:r>
          </w:p>
        </w:tc>
        <w:tc>
          <w:tcPr>
            <w:tcW w:w="2268" w:type="dxa"/>
            <w:vAlign w:val="center"/>
          </w:tcPr>
          <w:p w14:paraId="5320040C" w14:textId="069F8207" w:rsidR="00337DF9" w:rsidRPr="000176CC" w:rsidRDefault="00337DF9" w:rsidP="000D37F4">
            <w:pPr>
              <w:pStyle w:val="ExhibitText"/>
              <w:jc w:val="center"/>
              <w:rPr>
                <w:rFonts w:eastAsia="Calibri"/>
                <w:lang w:val="en-GB"/>
              </w:rPr>
            </w:pPr>
            <w:r w:rsidRPr="000176CC">
              <w:rPr>
                <w:rFonts w:eastAsia="Calibri"/>
                <w:lang w:val="en-GB"/>
              </w:rPr>
              <w:t>12.36</w:t>
            </w:r>
          </w:p>
        </w:tc>
      </w:tr>
      <w:tr w:rsidR="00F6370B" w:rsidRPr="000176CC" w14:paraId="08D12B27" w14:textId="77777777" w:rsidTr="00D66356">
        <w:trPr>
          <w:jc w:val="center"/>
        </w:trPr>
        <w:tc>
          <w:tcPr>
            <w:tcW w:w="2228" w:type="dxa"/>
            <w:vAlign w:val="center"/>
          </w:tcPr>
          <w:p w14:paraId="011EB150" w14:textId="77777777" w:rsidR="00337DF9" w:rsidRPr="000176CC" w:rsidRDefault="00337DF9" w:rsidP="00E902F2">
            <w:pPr>
              <w:pStyle w:val="ExhibitText"/>
              <w:jc w:val="left"/>
              <w:rPr>
                <w:rFonts w:eastAsia="Calibri"/>
                <w:lang w:val="en-GB"/>
              </w:rPr>
            </w:pPr>
            <w:r w:rsidRPr="000176CC">
              <w:rPr>
                <w:rFonts w:eastAsia="Calibri"/>
                <w:lang w:val="en-GB"/>
              </w:rPr>
              <w:t>Confectionery</w:t>
            </w:r>
          </w:p>
        </w:tc>
        <w:tc>
          <w:tcPr>
            <w:tcW w:w="4571" w:type="dxa"/>
          </w:tcPr>
          <w:p w14:paraId="1184FC91" w14:textId="784A0E1C" w:rsidR="00337DF9" w:rsidRPr="000176CC" w:rsidRDefault="00337DF9" w:rsidP="00D66356">
            <w:pPr>
              <w:pStyle w:val="ExhibitText"/>
              <w:jc w:val="left"/>
              <w:rPr>
                <w:rFonts w:eastAsia="Calibri"/>
                <w:lang w:val="en-GB"/>
              </w:rPr>
            </w:pPr>
            <w:r w:rsidRPr="000176CC">
              <w:rPr>
                <w:rFonts w:eastAsia="Calibri"/>
                <w:lang w:val="en-GB"/>
              </w:rPr>
              <w:t>Chocolate, gum</w:t>
            </w:r>
            <w:r w:rsidR="000C649A">
              <w:rPr>
                <w:rFonts w:eastAsia="Calibri"/>
                <w:lang w:val="en-GB"/>
              </w:rPr>
              <w:t>,</w:t>
            </w:r>
            <w:r w:rsidRPr="000176CC">
              <w:rPr>
                <w:rFonts w:eastAsia="Calibri"/>
                <w:lang w:val="en-GB"/>
              </w:rPr>
              <w:t xml:space="preserve"> and sugar confectionery products</w:t>
            </w:r>
          </w:p>
        </w:tc>
        <w:tc>
          <w:tcPr>
            <w:tcW w:w="2268" w:type="dxa"/>
            <w:vAlign w:val="center"/>
          </w:tcPr>
          <w:p w14:paraId="35DA0A7D" w14:textId="304C0243" w:rsidR="00337DF9" w:rsidRPr="000176CC" w:rsidRDefault="00337DF9" w:rsidP="000D37F4">
            <w:pPr>
              <w:pStyle w:val="ExhibitText"/>
              <w:jc w:val="center"/>
              <w:rPr>
                <w:rFonts w:eastAsia="Calibri"/>
                <w:lang w:val="en-GB"/>
              </w:rPr>
            </w:pPr>
            <w:r w:rsidRPr="000176CC">
              <w:rPr>
                <w:rFonts w:eastAsia="Calibri"/>
                <w:lang w:val="en-GB"/>
              </w:rPr>
              <w:t>16.63</w:t>
            </w:r>
          </w:p>
        </w:tc>
      </w:tr>
      <w:tr w:rsidR="00F6370B" w:rsidRPr="000176CC" w14:paraId="183F23C2" w14:textId="77777777" w:rsidTr="00D66356">
        <w:trPr>
          <w:jc w:val="center"/>
        </w:trPr>
        <w:tc>
          <w:tcPr>
            <w:tcW w:w="2228" w:type="dxa"/>
            <w:vAlign w:val="center"/>
          </w:tcPr>
          <w:p w14:paraId="5B7128C5" w14:textId="6EFF9543" w:rsidR="00337DF9" w:rsidRPr="000176CC" w:rsidRDefault="00337DF9" w:rsidP="00E902F2">
            <w:pPr>
              <w:pStyle w:val="ExhibitText"/>
              <w:jc w:val="left"/>
              <w:rPr>
                <w:rFonts w:eastAsia="Calibri"/>
                <w:lang w:val="en-GB"/>
              </w:rPr>
            </w:pPr>
            <w:r w:rsidRPr="000176CC">
              <w:rPr>
                <w:rFonts w:eastAsia="Calibri"/>
                <w:lang w:val="en-GB"/>
              </w:rPr>
              <w:t xml:space="preserve">Organic </w:t>
            </w:r>
            <w:r w:rsidR="00893612">
              <w:rPr>
                <w:rFonts w:eastAsia="Calibri"/>
                <w:lang w:val="en-GB"/>
              </w:rPr>
              <w:t>food</w:t>
            </w:r>
          </w:p>
        </w:tc>
        <w:tc>
          <w:tcPr>
            <w:tcW w:w="4571" w:type="dxa"/>
          </w:tcPr>
          <w:p w14:paraId="1F35F0D9" w14:textId="77777777" w:rsidR="00337DF9" w:rsidRPr="000176CC" w:rsidRDefault="00337DF9" w:rsidP="00D66356">
            <w:pPr>
              <w:pStyle w:val="ExhibitText"/>
              <w:jc w:val="left"/>
              <w:rPr>
                <w:rFonts w:eastAsia="Calibri"/>
                <w:lang w:val="en-GB"/>
              </w:rPr>
            </w:pPr>
            <w:r w:rsidRPr="000176CC">
              <w:rPr>
                <w:rFonts w:eastAsia="Calibri"/>
                <w:lang w:val="en-GB"/>
              </w:rPr>
              <w:t>Organic packaged food and beverages</w:t>
            </w:r>
          </w:p>
        </w:tc>
        <w:tc>
          <w:tcPr>
            <w:tcW w:w="2268" w:type="dxa"/>
            <w:vAlign w:val="center"/>
          </w:tcPr>
          <w:p w14:paraId="73658228" w14:textId="5E0E0BC5" w:rsidR="00337DF9" w:rsidRPr="000176CC" w:rsidRDefault="00337DF9" w:rsidP="000D37F4">
            <w:pPr>
              <w:pStyle w:val="ExhibitText"/>
              <w:jc w:val="center"/>
              <w:rPr>
                <w:rFonts w:eastAsia="Calibri"/>
                <w:lang w:val="en-GB"/>
              </w:rPr>
            </w:pPr>
            <w:r w:rsidRPr="000176CC">
              <w:rPr>
                <w:rFonts w:eastAsia="Calibri"/>
                <w:lang w:val="en-GB"/>
              </w:rPr>
              <w:t>10</w:t>
            </w:r>
          </w:p>
        </w:tc>
      </w:tr>
      <w:tr w:rsidR="00F6370B" w:rsidRPr="000176CC" w14:paraId="34A60524" w14:textId="77777777" w:rsidTr="00D66356">
        <w:trPr>
          <w:jc w:val="center"/>
        </w:trPr>
        <w:tc>
          <w:tcPr>
            <w:tcW w:w="2228" w:type="dxa"/>
            <w:vAlign w:val="center"/>
          </w:tcPr>
          <w:p w14:paraId="494B7A41" w14:textId="5BE67C13" w:rsidR="00337DF9" w:rsidRPr="000176CC" w:rsidRDefault="00337DF9" w:rsidP="00E902F2">
            <w:pPr>
              <w:pStyle w:val="ExhibitText"/>
              <w:jc w:val="left"/>
              <w:rPr>
                <w:rFonts w:eastAsia="Calibri"/>
                <w:lang w:val="en-GB"/>
              </w:rPr>
            </w:pPr>
            <w:r w:rsidRPr="000176CC">
              <w:rPr>
                <w:rFonts w:eastAsia="Calibri"/>
                <w:lang w:val="en-GB"/>
              </w:rPr>
              <w:t xml:space="preserve">Dairy </w:t>
            </w:r>
          </w:p>
        </w:tc>
        <w:tc>
          <w:tcPr>
            <w:tcW w:w="4571" w:type="dxa"/>
          </w:tcPr>
          <w:p w14:paraId="6F9DF2F7" w14:textId="2FD53A3D" w:rsidR="00337DF9" w:rsidRPr="000176CC" w:rsidRDefault="00337DF9" w:rsidP="00D66356">
            <w:pPr>
              <w:pStyle w:val="ExhibitText"/>
              <w:jc w:val="left"/>
              <w:rPr>
                <w:rFonts w:eastAsia="Calibri"/>
                <w:lang w:val="en-GB"/>
              </w:rPr>
            </w:pPr>
            <w:r w:rsidRPr="000176CC">
              <w:rPr>
                <w:rFonts w:eastAsia="Calibri"/>
                <w:lang w:val="en-GB"/>
              </w:rPr>
              <w:t>Milk, butter</w:t>
            </w:r>
            <w:r w:rsidR="000C649A">
              <w:rPr>
                <w:rFonts w:eastAsia="Calibri"/>
                <w:lang w:val="en-GB"/>
              </w:rPr>
              <w:t>,</w:t>
            </w:r>
            <w:r w:rsidRPr="000176CC">
              <w:rPr>
                <w:rFonts w:eastAsia="Calibri"/>
                <w:lang w:val="en-GB"/>
              </w:rPr>
              <w:t xml:space="preserve"> and spreadable fats</w:t>
            </w:r>
            <w:r w:rsidR="000C649A">
              <w:rPr>
                <w:rFonts w:eastAsia="Calibri"/>
                <w:lang w:val="en-GB"/>
              </w:rPr>
              <w:t>;</w:t>
            </w:r>
            <w:r w:rsidRPr="000176CC">
              <w:rPr>
                <w:rFonts w:eastAsia="Calibri"/>
                <w:lang w:val="en-GB"/>
              </w:rPr>
              <w:t xml:space="preserve"> drinkable </w:t>
            </w:r>
            <w:proofErr w:type="spellStart"/>
            <w:r w:rsidR="000C649A">
              <w:rPr>
                <w:rFonts w:eastAsia="Calibri"/>
                <w:lang w:val="en-GB"/>
              </w:rPr>
              <w:t>yogourt</w:t>
            </w:r>
            <w:proofErr w:type="spellEnd"/>
            <w:r w:rsidRPr="000176CC">
              <w:rPr>
                <w:rFonts w:eastAsia="Calibri"/>
                <w:lang w:val="en-GB"/>
              </w:rPr>
              <w:t xml:space="preserve">, </w:t>
            </w:r>
            <w:r w:rsidR="000C649A">
              <w:rPr>
                <w:rFonts w:eastAsia="Calibri"/>
                <w:lang w:val="en-GB"/>
              </w:rPr>
              <w:t>cheese</w:t>
            </w:r>
            <w:r w:rsidRPr="000176CC">
              <w:rPr>
                <w:rFonts w:eastAsia="Calibri"/>
                <w:lang w:val="en-GB"/>
              </w:rPr>
              <w:t xml:space="preserve">, </w:t>
            </w:r>
            <w:r w:rsidR="000C649A">
              <w:rPr>
                <w:rFonts w:eastAsia="Calibri"/>
                <w:lang w:val="en-GB"/>
              </w:rPr>
              <w:t>dairy-</w:t>
            </w:r>
            <w:r w:rsidRPr="000176CC">
              <w:rPr>
                <w:rFonts w:eastAsia="Calibri"/>
                <w:lang w:val="en-GB"/>
              </w:rPr>
              <w:t xml:space="preserve"> and </w:t>
            </w:r>
            <w:r w:rsidR="000C649A">
              <w:rPr>
                <w:rFonts w:eastAsia="Calibri"/>
                <w:lang w:val="en-GB"/>
              </w:rPr>
              <w:t>soy-based</w:t>
            </w:r>
            <w:r w:rsidRPr="000176CC">
              <w:rPr>
                <w:rFonts w:eastAsia="Calibri"/>
                <w:lang w:val="en-GB"/>
              </w:rPr>
              <w:t xml:space="preserve"> desserts</w:t>
            </w:r>
          </w:p>
        </w:tc>
        <w:tc>
          <w:tcPr>
            <w:tcW w:w="2268" w:type="dxa"/>
            <w:vAlign w:val="center"/>
          </w:tcPr>
          <w:p w14:paraId="197EE864" w14:textId="2227FD92" w:rsidR="00337DF9" w:rsidRPr="000176CC" w:rsidRDefault="00337DF9" w:rsidP="000D37F4">
            <w:pPr>
              <w:pStyle w:val="ExhibitText"/>
              <w:jc w:val="center"/>
              <w:rPr>
                <w:rFonts w:eastAsia="Calibri"/>
                <w:lang w:val="en-GB"/>
              </w:rPr>
            </w:pPr>
            <w:r w:rsidRPr="000176CC">
              <w:rPr>
                <w:rFonts w:eastAsia="Calibri"/>
                <w:lang w:val="en-GB"/>
              </w:rPr>
              <w:t>8.80</w:t>
            </w:r>
          </w:p>
        </w:tc>
      </w:tr>
      <w:tr w:rsidR="00F6370B" w:rsidRPr="000176CC" w14:paraId="2F1D3F8F" w14:textId="77777777" w:rsidTr="00D66356">
        <w:trPr>
          <w:jc w:val="center"/>
        </w:trPr>
        <w:tc>
          <w:tcPr>
            <w:tcW w:w="2228" w:type="dxa"/>
            <w:vAlign w:val="center"/>
          </w:tcPr>
          <w:p w14:paraId="6020147C" w14:textId="77777777" w:rsidR="00337DF9" w:rsidRPr="000176CC" w:rsidRDefault="00337DF9" w:rsidP="00E902F2">
            <w:pPr>
              <w:pStyle w:val="ExhibitText"/>
              <w:jc w:val="left"/>
              <w:rPr>
                <w:rFonts w:eastAsia="Calibri"/>
                <w:lang w:val="en-GB"/>
              </w:rPr>
            </w:pPr>
            <w:r w:rsidRPr="000176CC">
              <w:rPr>
                <w:rFonts w:eastAsia="Calibri"/>
                <w:lang w:val="en-GB"/>
              </w:rPr>
              <w:t>Bakery</w:t>
            </w:r>
          </w:p>
        </w:tc>
        <w:tc>
          <w:tcPr>
            <w:tcW w:w="4571" w:type="dxa"/>
          </w:tcPr>
          <w:p w14:paraId="49BED427" w14:textId="2E19CF50" w:rsidR="00337DF9" w:rsidRPr="000176CC" w:rsidRDefault="00337DF9" w:rsidP="00D66356">
            <w:pPr>
              <w:pStyle w:val="ExhibitText"/>
              <w:jc w:val="left"/>
              <w:rPr>
                <w:rFonts w:eastAsia="Calibri"/>
                <w:lang w:val="en-GB"/>
              </w:rPr>
            </w:pPr>
            <w:r w:rsidRPr="000176CC">
              <w:rPr>
                <w:rFonts w:eastAsia="Calibri"/>
                <w:lang w:val="en-GB"/>
              </w:rPr>
              <w:t xml:space="preserve">Breads and rolls, cakes, pastries and sweet pies including frozen cakes, </w:t>
            </w:r>
            <w:r w:rsidR="003E251E">
              <w:rPr>
                <w:rFonts w:eastAsia="Calibri"/>
                <w:lang w:val="en-GB"/>
              </w:rPr>
              <w:t xml:space="preserve">sweet </w:t>
            </w:r>
            <w:r w:rsidRPr="000176CC">
              <w:rPr>
                <w:rFonts w:eastAsia="Calibri"/>
                <w:lang w:val="en-GB"/>
              </w:rPr>
              <w:t xml:space="preserve">pies, </w:t>
            </w:r>
            <w:r w:rsidR="000C649A">
              <w:rPr>
                <w:rFonts w:eastAsia="Calibri"/>
                <w:lang w:val="en-GB"/>
              </w:rPr>
              <w:t xml:space="preserve">and </w:t>
            </w:r>
            <w:r w:rsidRPr="000176CC">
              <w:rPr>
                <w:rFonts w:eastAsia="Calibri"/>
                <w:lang w:val="en-GB"/>
              </w:rPr>
              <w:t>biscuits</w:t>
            </w:r>
          </w:p>
        </w:tc>
        <w:tc>
          <w:tcPr>
            <w:tcW w:w="2268" w:type="dxa"/>
            <w:vAlign w:val="center"/>
          </w:tcPr>
          <w:p w14:paraId="38DDC6B7" w14:textId="336F5BC6" w:rsidR="00337DF9" w:rsidRPr="000176CC" w:rsidRDefault="00337DF9" w:rsidP="000D37F4">
            <w:pPr>
              <w:pStyle w:val="ExhibitText"/>
              <w:jc w:val="center"/>
              <w:rPr>
                <w:rFonts w:eastAsia="Calibri"/>
                <w:lang w:val="en-GB"/>
              </w:rPr>
            </w:pPr>
            <w:r w:rsidRPr="000176CC">
              <w:rPr>
                <w:rFonts w:eastAsia="Calibri"/>
                <w:lang w:val="en-GB"/>
              </w:rPr>
              <w:t>10.98</w:t>
            </w:r>
          </w:p>
        </w:tc>
      </w:tr>
    </w:tbl>
    <w:p w14:paraId="4650DAF3" w14:textId="77777777" w:rsidR="00F6370B" w:rsidRPr="000176CC" w:rsidRDefault="00F6370B" w:rsidP="00F6370B">
      <w:pPr>
        <w:pStyle w:val="Footnote"/>
        <w:rPr>
          <w:rFonts w:eastAsia="Calibri"/>
          <w:lang w:val="en-GB"/>
        </w:rPr>
      </w:pPr>
    </w:p>
    <w:p w14:paraId="2C2E8227" w14:textId="3D788DBA" w:rsidR="00893612" w:rsidRDefault="00893612" w:rsidP="00F6370B">
      <w:pPr>
        <w:pStyle w:val="Footnote"/>
        <w:rPr>
          <w:rFonts w:eastAsia="Calibri"/>
          <w:lang w:val="en-GB"/>
        </w:rPr>
      </w:pPr>
      <w:r>
        <w:rPr>
          <w:rFonts w:eastAsia="Calibri"/>
          <w:lang w:val="en-GB"/>
        </w:rPr>
        <w:t>Note: CAGR = compound annual growth rate</w:t>
      </w:r>
      <w:r w:rsidR="00B67AB0">
        <w:rPr>
          <w:rFonts w:eastAsia="Calibri"/>
          <w:lang w:val="en-GB"/>
        </w:rPr>
        <w:t xml:space="preserve">; RTD = </w:t>
      </w:r>
      <w:r w:rsidR="004918E3">
        <w:rPr>
          <w:rFonts w:eastAsia="Calibri"/>
          <w:lang w:val="en-GB"/>
        </w:rPr>
        <w:t>ready-to-drin</w:t>
      </w:r>
      <w:r w:rsidR="00AB6414">
        <w:rPr>
          <w:rFonts w:eastAsia="Calibri"/>
          <w:lang w:val="en-GB"/>
        </w:rPr>
        <w:t>k</w:t>
      </w:r>
    </w:p>
    <w:p w14:paraId="101C2C11" w14:textId="42ED49CC" w:rsidR="00337DF9" w:rsidRPr="000176CC" w:rsidRDefault="00337DF9" w:rsidP="00F6370B">
      <w:pPr>
        <w:pStyle w:val="Footnote"/>
        <w:rPr>
          <w:rFonts w:eastAsia="Calibri"/>
          <w:lang w:val="en-GB"/>
        </w:rPr>
      </w:pPr>
      <w:r w:rsidRPr="000176CC">
        <w:rPr>
          <w:rFonts w:eastAsia="Calibri"/>
          <w:lang w:val="en-GB"/>
        </w:rPr>
        <w:t xml:space="preserve">Source: Compiled from </w:t>
      </w:r>
      <w:r w:rsidR="00AB6414">
        <w:rPr>
          <w:rFonts w:eastAsia="Calibri"/>
          <w:lang w:val="en-GB"/>
        </w:rPr>
        <w:t xml:space="preserve">Ministry of Food Processing Industries, Government of India, </w:t>
      </w:r>
      <w:r w:rsidR="00AB6414" w:rsidRPr="00D66356">
        <w:rPr>
          <w:rFonts w:eastAsia="Calibri"/>
          <w:i/>
          <w:lang w:val="en-GB"/>
        </w:rPr>
        <w:t>High-Growth Segments of Indian Food and Beverage Industry</w:t>
      </w:r>
      <w:r w:rsidR="00AB6414" w:rsidRPr="00AB6414" w:rsidDel="00AB6414">
        <w:rPr>
          <w:rFonts w:eastAsia="Calibri"/>
          <w:lang w:val="en-GB"/>
        </w:rPr>
        <w:t xml:space="preserve"> </w:t>
      </w:r>
      <w:r w:rsidR="00AB6414">
        <w:rPr>
          <w:rFonts w:eastAsia="Calibri"/>
          <w:lang w:val="en-GB"/>
        </w:rPr>
        <w:t>(Kolkata</w:t>
      </w:r>
      <w:r w:rsidR="003376A9">
        <w:rPr>
          <w:rFonts w:eastAsia="Calibri"/>
          <w:lang w:val="en-GB"/>
        </w:rPr>
        <w:t xml:space="preserve">, India: </w:t>
      </w:r>
      <w:r w:rsidR="00AB6414" w:rsidRPr="00AB6414">
        <w:rPr>
          <w:rFonts w:eastAsia="Calibri"/>
          <w:lang w:val="en-GB"/>
        </w:rPr>
        <w:t xml:space="preserve">Ernst &amp; Young LLP </w:t>
      </w:r>
      <w:r w:rsidR="00E62389">
        <w:rPr>
          <w:rFonts w:eastAsia="Calibri"/>
          <w:lang w:val="en-GB"/>
        </w:rPr>
        <w:t>[</w:t>
      </w:r>
      <w:r w:rsidR="00AB6414" w:rsidRPr="00AB6414">
        <w:rPr>
          <w:rFonts w:eastAsia="Calibri"/>
          <w:lang w:val="en-GB"/>
        </w:rPr>
        <w:t>EY</w:t>
      </w:r>
      <w:r w:rsidR="00E62389">
        <w:rPr>
          <w:rFonts w:eastAsia="Calibri"/>
          <w:lang w:val="en-GB"/>
        </w:rPr>
        <w:t>]</w:t>
      </w:r>
      <w:r w:rsidR="00AB6414" w:rsidRPr="00AB6414">
        <w:rPr>
          <w:rFonts w:eastAsia="Calibri"/>
          <w:lang w:val="en-GB"/>
        </w:rPr>
        <w:t xml:space="preserve"> and Confederation of Indian Industry</w:t>
      </w:r>
      <w:r w:rsidR="00AB6414">
        <w:rPr>
          <w:rFonts w:eastAsia="Calibri"/>
          <w:lang w:val="en-GB"/>
        </w:rPr>
        <w:t xml:space="preserve">, 2017), </w:t>
      </w:r>
      <w:r w:rsidRPr="000176CC">
        <w:rPr>
          <w:rFonts w:eastAsia="Calibri"/>
          <w:lang w:val="en-GB"/>
        </w:rPr>
        <w:t>accessed December 17, 2018, https://foodprocessingindia.co.in/pdf/high-growth.pdf.</w:t>
      </w:r>
    </w:p>
    <w:p w14:paraId="23D336DC" w14:textId="2D3B3676" w:rsidR="00337DF9" w:rsidRPr="000176CC" w:rsidRDefault="00337DF9" w:rsidP="000B0007">
      <w:pPr>
        <w:pStyle w:val="BodyTextMain"/>
        <w:rPr>
          <w:rFonts w:eastAsia="Calibri"/>
          <w:lang w:val="en-GB"/>
        </w:rPr>
      </w:pPr>
    </w:p>
    <w:p w14:paraId="53A511BA" w14:textId="6887510E" w:rsidR="000B0007" w:rsidRPr="000176CC" w:rsidRDefault="000B0007" w:rsidP="000B0007">
      <w:pPr>
        <w:pStyle w:val="BodyTextMain"/>
        <w:rPr>
          <w:rFonts w:eastAsia="Calibri"/>
          <w:lang w:val="en-GB"/>
        </w:rPr>
      </w:pPr>
    </w:p>
    <w:p w14:paraId="78EC4F9D" w14:textId="043DE820" w:rsidR="00337DF9" w:rsidRPr="000176CC" w:rsidRDefault="00AC1016" w:rsidP="00F6370B">
      <w:pPr>
        <w:pStyle w:val="ExhibitHeading"/>
        <w:rPr>
          <w:rFonts w:eastAsia="Calibri"/>
          <w:lang w:val="en-GB"/>
        </w:rPr>
      </w:pPr>
      <w:r w:rsidRPr="000176CC">
        <w:rPr>
          <w:rFonts w:ascii="Calibri" w:eastAsia="Calibri" w:hAnsi="Calibri" w:cs="Mangal"/>
          <w:noProof/>
        </w:rPr>
        <w:drawing>
          <wp:anchor distT="0" distB="0" distL="114300" distR="114300" simplePos="0" relativeHeight="251661312" behindDoc="0" locked="0" layoutInCell="1" allowOverlap="1" wp14:anchorId="3E1FF1C2" wp14:editId="2E4CD5C6">
            <wp:simplePos x="0" y="0"/>
            <wp:positionH relativeFrom="page">
              <wp:align>center</wp:align>
            </wp:positionH>
            <wp:positionV relativeFrom="paragraph">
              <wp:posOffset>238417</wp:posOffset>
            </wp:positionV>
            <wp:extent cx="4873752" cy="2514600"/>
            <wp:effectExtent l="0" t="0" r="3175"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337DF9" w:rsidRPr="000176CC">
        <w:rPr>
          <w:rFonts w:eastAsia="Calibri"/>
          <w:lang w:val="en-GB"/>
        </w:rPr>
        <w:t xml:space="preserve">Exhibit 4: Food and grocery </w:t>
      </w:r>
      <w:r w:rsidR="004452D9">
        <w:rPr>
          <w:rFonts w:eastAsia="Calibri"/>
          <w:lang w:val="en-GB"/>
        </w:rPr>
        <w:t xml:space="preserve">Categories </w:t>
      </w:r>
      <w:r w:rsidR="00337DF9" w:rsidRPr="000176CC">
        <w:rPr>
          <w:rFonts w:eastAsia="Calibri"/>
          <w:lang w:val="en-GB"/>
        </w:rPr>
        <w:t>in India</w:t>
      </w:r>
      <w:r w:rsidR="00985D63">
        <w:rPr>
          <w:rFonts w:eastAsia="Calibri"/>
          <w:lang w:val="en-GB"/>
        </w:rPr>
        <w:t>,</w:t>
      </w:r>
      <w:r w:rsidR="00337DF9" w:rsidRPr="000176CC">
        <w:rPr>
          <w:rFonts w:eastAsia="Calibri"/>
          <w:lang w:val="en-GB"/>
        </w:rPr>
        <w:t xml:space="preserve"> 2016</w:t>
      </w:r>
    </w:p>
    <w:p w14:paraId="584F4B53" w14:textId="584C5AA2" w:rsidR="000B0007" w:rsidRPr="000176CC" w:rsidRDefault="000B0007" w:rsidP="000B0007">
      <w:pPr>
        <w:pStyle w:val="BodyTextMain"/>
        <w:rPr>
          <w:rFonts w:eastAsia="Calibri"/>
          <w:lang w:val="en-GB"/>
        </w:rPr>
      </w:pPr>
    </w:p>
    <w:p w14:paraId="0C4BC88A" w14:textId="548504A5" w:rsidR="00AC1016" w:rsidRDefault="00337DF9" w:rsidP="000B0007">
      <w:pPr>
        <w:pStyle w:val="Footnote"/>
        <w:rPr>
          <w:rFonts w:eastAsia="Calibri"/>
          <w:lang w:val="en-GB"/>
        </w:rPr>
      </w:pPr>
      <w:r w:rsidRPr="000176CC">
        <w:rPr>
          <w:rFonts w:eastAsia="Calibri"/>
          <w:lang w:val="en-GB"/>
        </w:rPr>
        <w:t xml:space="preserve">Source: Jurgen </w:t>
      </w:r>
      <w:proofErr w:type="spellStart"/>
      <w:r w:rsidRPr="000176CC">
        <w:rPr>
          <w:rFonts w:eastAsia="Calibri"/>
          <w:lang w:val="en-GB"/>
        </w:rPr>
        <w:t>Maerschand</w:t>
      </w:r>
      <w:proofErr w:type="spellEnd"/>
      <w:r w:rsidRPr="000176CC">
        <w:rPr>
          <w:rFonts w:eastAsia="Calibri"/>
          <w:lang w:val="en-GB"/>
        </w:rPr>
        <w:t xml:space="preserve"> and Maxime </w:t>
      </w:r>
      <w:proofErr w:type="spellStart"/>
      <w:r w:rsidRPr="000176CC">
        <w:rPr>
          <w:rFonts w:eastAsia="Calibri"/>
          <w:lang w:val="en-GB"/>
        </w:rPr>
        <w:t>Willaert</w:t>
      </w:r>
      <w:proofErr w:type="spellEnd"/>
      <w:r w:rsidRPr="00D66356">
        <w:rPr>
          <w:rFonts w:eastAsia="Calibri"/>
          <w:i/>
          <w:lang w:val="en-GB"/>
        </w:rPr>
        <w:t xml:space="preserve">, </w:t>
      </w:r>
      <w:r w:rsidR="004452D9" w:rsidRPr="00D66356">
        <w:rPr>
          <w:rFonts w:eastAsia="Calibri"/>
          <w:i/>
          <w:lang w:val="en-GB"/>
        </w:rPr>
        <w:t xml:space="preserve">Growing Opportunities in the Indian Food </w:t>
      </w:r>
      <w:r w:rsidR="004452D9">
        <w:rPr>
          <w:rFonts w:eastAsia="Calibri"/>
          <w:i/>
          <w:lang w:val="en-GB"/>
        </w:rPr>
        <w:t>Market</w:t>
      </w:r>
      <w:r w:rsidR="004452D9">
        <w:rPr>
          <w:rFonts w:eastAsia="Calibri"/>
          <w:lang w:val="en-GB"/>
        </w:rPr>
        <w:t xml:space="preserve"> (Mumbai, India: </w:t>
      </w:r>
      <w:r w:rsidR="004452D9" w:rsidRPr="004452D9">
        <w:rPr>
          <w:rFonts w:eastAsia="Calibri"/>
          <w:lang w:val="en-GB"/>
        </w:rPr>
        <w:t>Flanders Investment</w:t>
      </w:r>
      <w:r w:rsidR="00AC1016">
        <w:rPr>
          <w:rFonts w:eastAsia="Calibri"/>
          <w:lang w:val="en-GB"/>
        </w:rPr>
        <w:t> &amp; </w:t>
      </w:r>
      <w:r w:rsidR="004452D9" w:rsidRPr="004452D9">
        <w:rPr>
          <w:rFonts w:eastAsia="Calibri"/>
          <w:lang w:val="en-GB"/>
        </w:rPr>
        <w:t>Trade</w:t>
      </w:r>
      <w:r w:rsidR="004452D9">
        <w:rPr>
          <w:rFonts w:eastAsia="Calibri"/>
          <w:lang w:val="en-GB"/>
        </w:rPr>
        <w:t>,</w:t>
      </w:r>
      <w:r w:rsidR="00AC1016">
        <w:rPr>
          <w:rFonts w:eastAsia="Calibri"/>
          <w:lang w:val="en-GB"/>
        </w:rPr>
        <w:t> </w:t>
      </w:r>
      <w:r w:rsidRPr="000176CC">
        <w:rPr>
          <w:rFonts w:eastAsia="Calibri"/>
          <w:lang w:val="en-GB"/>
        </w:rPr>
        <w:t>2018</w:t>
      </w:r>
      <w:r w:rsidR="004452D9">
        <w:rPr>
          <w:rFonts w:eastAsia="Calibri"/>
          <w:lang w:val="en-GB"/>
        </w:rPr>
        <w:t>)</w:t>
      </w:r>
      <w:r w:rsidR="00AC1016">
        <w:rPr>
          <w:rFonts w:eastAsia="Calibri"/>
          <w:lang w:val="en-GB"/>
        </w:rPr>
        <w:t>, </w:t>
      </w:r>
      <w:r w:rsidRPr="000176CC">
        <w:rPr>
          <w:rFonts w:eastAsia="Calibri"/>
          <w:lang w:val="en-GB"/>
        </w:rPr>
        <w:t>accessed</w:t>
      </w:r>
      <w:r w:rsidR="00AC1016">
        <w:rPr>
          <w:rFonts w:eastAsia="Calibri"/>
          <w:lang w:val="en-GB"/>
        </w:rPr>
        <w:t> December 26, </w:t>
      </w:r>
      <w:r w:rsidRPr="000176CC">
        <w:rPr>
          <w:rFonts w:eastAsia="Calibri"/>
          <w:lang w:val="en-GB"/>
        </w:rPr>
        <w:t xml:space="preserve">2018, </w:t>
      </w:r>
      <w:r w:rsidR="00AC1016" w:rsidRPr="00AC1016">
        <w:rPr>
          <w:rFonts w:eastAsia="Calibri"/>
          <w:lang w:val="en-GB"/>
        </w:rPr>
        <w:t>www.flandersinvestmentandtrade.com/export/sites/trade/files/</w:t>
      </w:r>
    </w:p>
    <w:p w14:paraId="7F9B5A4A" w14:textId="52590F87" w:rsidR="00F6370B" w:rsidRDefault="00F6370B" w:rsidP="000B0007">
      <w:pPr>
        <w:pStyle w:val="Footnote"/>
        <w:rPr>
          <w:rFonts w:eastAsia="Calibri"/>
          <w:lang w:val="en-GB"/>
        </w:rPr>
      </w:pPr>
      <w:r w:rsidRPr="000176CC">
        <w:rPr>
          <w:rFonts w:eastAsia="Calibri"/>
          <w:lang w:val="en-GB"/>
        </w:rPr>
        <w:t>market_studies/20180515GrowingOpportunitiesInTheIndianFoodMarket.pdf</w:t>
      </w:r>
      <w:r w:rsidR="00337DF9" w:rsidRPr="000176CC">
        <w:rPr>
          <w:rFonts w:eastAsia="Calibri"/>
          <w:lang w:val="en-GB"/>
        </w:rPr>
        <w:t>.</w:t>
      </w:r>
    </w:p>
    <w:p w14:paraId="62844CF4" w14:textId="77777777" w:rsidR="00AC1016" w:rsidRDefault="00AC1016" w:rsidP="000B0007">
      <w:pPr>
        <w:pStyle w:val="Footnote"/>
        <w:rPr>
          <w:rFonts w:eastAsia="Calibri"/>
          <w:lang w:val="en-GB"/>
        </w:rPr>
      </w:pPr>
    </w:p>
    <w:p w14:paraId="54B1D948" w14:textId="77777777" w:rsidR="00AC1016" w:rsidRPr="000176CC" w:rsidRDefault="00AC1016" w:rsidP="000B0007">
      <w:pPr>
        <w:pStyle w:val="Footnote"/>
        <w:rPr>
          <w:rFonts w:eastAsia="Calibri"/>
          <w:lang w:val="en-GB"/>
        </w:rPr>
      </w:pPr>
    </w:p>
    <w:p w14:paraId="24F53B4B" w14:textId="17724871" w:rsidR="00337DF9" w:rsidRPr="000176CC" w:rsidRDefault="00337DF9" w:rsidP="00F6370B">
      <w:pPr>
        <w:pStyle w:val="ExhibitHeading"/>
        <w:rPr>
          <w:rFonts w:eastAsia="Calibri"/>
          <w:lang w:val="en-GB"/>
        </w:rPr>
      </w:pPr>
      <w:r w:rsidRPr="000176CC">
        <w:rPr>
          <w:rFonts w:eastAsia="Calibri"/>
          <w:lang w:val="en-GB"/>
        </w:rPr>
        <w:lastRenderedPageBreak/>
        <w:t>Exhibit 5:</w:t>
      </w:r>
      <w:r w:rsidR="000176CC">
        <w:rPr>
          <w:rFonts w:eastAsia="Calibri"/>
          <w:lang w:val="en-GB"/>
        </w:rPr>
        <w:t xml:space="preserve"> </w:t>
      </w:r>
      <w:r w:rsidRPr="000176CC">
        <w:rPr>
          <w:rFonts w:eastAsia="Calibri"/>
          <w:lang w:val="en-GB"/>
        </w:rPr>
        <w:t xml:space="preserve">Market share of </w:t>
      </w:r>
      <w:r w:rsidR="004452D9">
        <w:rPr>
          <w:rFonts w:eastAsia="Calibri"/>
          <w:lang w:val="en-GB"/>
        </w:rPr>
        <w:t xml:space="preserve">select </w:t>
      </w:r>
      <w:r w:rsidRPr="000176CC">
        <w:rPr>
          <w:rFonts w:eastAsia="Calibri"/>
          <w:lang w:val="en-GB"/>
        </w:rPr>
        <w:t>salty snack</w:t>
      </w:r>
      <w:r w:rsidR="00E62389">
        <w:rPr>
          <w:rFonts w:eastAsia="Calibri"/>
          <w:lang w:val="en-GB"/>
        </w:rPr>
        <w:t>s</w:t>
      </w:r>
      <w:r w:rsidRPr="000176CC">
        <w:rPr>
          <w:rFonts w:eastAsia="Calibri"/>
          <w:lang w:val="en-GB"/>
        </w:rPr>
        <w:t xml:space="preserve"> companies in India</w:t>
      </w:r>
      <w:r w:rsidR="004452D9">
        <w:rPr>
          <w:rFonts w:eastAsia="Calibri"/>
          <w:lang w:val="en-GB"/>
        </w:rPr>
        <w:t xml:space="preserve">, </w:t>
      </w:r>
      <w:r w:rsidRPr="000176CC">
        <w:rPr>
          <w:rFonts w:eastAsia="Calibri"/>
          <w:lang w:val="en-GB"/>
        </w:rPr>
        <w:t>2016</w:t>
      </w:r>
    </w:p>
    <w:p w14:paraId="06CCAD5E" w14:textId="77777777" w:rsidR="00F6370B" w:rsidRPr="000176CC" w:rsidRDefault="00F6370B" w:rsidP="00F6370B">
      <w:pPr>
        <w:pStyle w:val="ExhibitHeading"/>
        <w:rPr>
          <w:rFonts w:eastAsia="Calibri"/>
          <w:lang w:val="en-GB"/>
        </w:rPr>
      </w:pPr>
    </w:p>
    <w:tbl>
      <w:tblPr>
        <w:tblStyle w:val="TableGrid"/>
        <w:tblW w:w="0" w:type="auto"/>
        <w:jc w:val="center"/>
        <w:tblLook w:val="04A0" w:firstRow="1" w:lastRow="0" w:firstColumn="1" w:lastColumn="0" w:noHBand="0" w:noVBand="1"/>
      </w:tblPr>
      <w:tblGrid>
        <w:gridCol w:w="2986"/>
        <w:gridCol w:w="1267"/>
      </w:tblGrid>
      <w:tr w:rsidR="00F6370B" w:rsidRPr="000176CC" w14:paraId="4EE2378B" w14:textId="77777777" w:rsidTr="00D66356">
        <w:trPr>
          <w:jc w:val="center"/>
        </w:trPr>
        <w:tc>
          <w:tcPr>
            <w:tcW w:w="2986" w:type="dxa"/>
          </w:tcPr>
          <w:p w14:paraId="6EF0827C" w14:textId="77777777" w:rsidR="00337DF9" w:rsidRPr="00D66356" w:rsidRDefault="00337DF9" w:rsidP="00F6370B">
            <w:pPr>
              <w:pStyle w:val="ExhibitText"/>
              <w:rPr>
                <w:rFonts w:eastAsia="Calibri"/>
                <w:b/>
                <w:lang w:val="en-GB"/>
              </w:rPr>
            </w:pPr>
            <w:r w:rsidRPr="00D66356">
              <w:rPr>
                <w:rFonts w:eastAsia="Calibri"/>
                <w:b/>
                <w:lang w:val="en-GB"/>
              </w:rPr>
              <w:t>Company</w:t>
            </w:r>
          </w:p>
        </w:tc>
        <w:tc>
          <w:tcPr>
            <w:tcW w:w="1267" w:type="dxa"/>
          </w:tcPr>
          <w:p w14:paraId="1BCAD1E0" w14:textId="16C8C474" w:rsidR="00337DF9" w:rsidRPr="00D66356" w:rsidRDefault="00337DF9" w:rsidP="00D66356">
            <w:pPr>
              <w:pStyle w:val="ExhibitText"/>
              <w:jc w:val="center"/>
              <w:rPr>
                <w:rFonts w:eastAsia="Calibri"/>
                <w:b/>
                <w:lang w:val="en-GB"/>
              </w:rPr>
            </w:pPr>
            <w:r w:rsidRPr="00D66356">
              <w:rPr>
                <w:rFonts w:eastAsia="Calibri"/>
                <w:b/>
                <w:lang w:val="en-GB"/>
              </w:rPr>
              <w:t>Share</w:t>
            </w:r>
            <w:r w:rsidR="00A35F78">
              <w:rPr>
                <w:rFonts w:eastAsia="Calibri"/>
                <w:b/>
                <w:lang w:val="en-GB"/>
              </w:rPr>
              <w:t xml:space="preserve"> (%)</w:t>
            </w:r>
          </w:p>
        </w:tc>
      </w:tr>
      <w:tr w:rsidR="00F6370B" w:rsidRPr="000176CC" w14:paraId="60E05444" w14:textId="77777777" w:rsidTr="00D66356">
        <w:trPr>
          <w:jc w:val="center"/>
        </w:trPr>
        <w:tc>
          <w:tcPr>
            <w:tcW w:w="2986" w:type="dxa"/>
          </w:tcPr>
          <w:p w14:paraId="5779C00A" w14:textId="77777777" w:rsidR="00337DF9" w:rsidRPr="000176CC" w:rsidRDefault="00337DF9" w:rsidP="00F6370B">
            <w:pPr>
              <w:pStyle w:val="ExhibitText"/>
              <w:rPr>
                <w:rFonts w:eastAsia="Calibri"/>
                <w:lang w:val="en-GB"/>
              </w:rPr>
            </w:pPr>
            <w:r w:rsidRPr="000176CC">
              <w:rPr>
                <w:rFonts w:eastAsia="Calibri"/>
                <w:lang w:val="en-GB"/>
              </w:rPr>
              <w:t>PepsiCo India</w:t>
            </w:r>
          </w:p>
        </w:tc>
        <w:tc>
          <w:tcPr>
            <w:tcW w:w="1267" w:type="dxa"/>
          </w:tcPr>
          <w:p w14:paraId="74C912BA" w14:textId="1651C5C5" w:rsidR="00337DF9" w:rsidRPr="000176CC" w:rsidRDefault="00337DF9" w:rsidP="00D66356">
            <w:pPr>
              <w:pStyle w:val="ExhibitText"/>
              <w:jc w:val="right"/>
              <w:rPr>
                <w:rFonts w:eastAsia="Calibri"/>
                <w:lang w:val="en-GB"/>
              </w:rPr>
            </w:pPr>
            <w:r w:rsidRPr="000176CC">
              <w:rPr>
                <w:rFonts w:eastAsia="Calibri"/>
                <w:lang w:val="en-GB"/>
              </w:rPr>
              <w:t>49.86</w:t>
            </w:r>
          </w:p>
        </w:tc>
      </w:tr>
      <w:tr w:rsidR="00F6370B" w:rsidRPr="000176CC" w14:paraId="50D61246" w14:textId="77777777" w:rsidTr="00D66356">
        <w:trPr>
          <w:jc w:val="center"/>
        </w:trPr>
        <w:tc>
          <w:tcPr>
            <w:tcW w:w="2986" w:type="dxa"/>
          </w:tcPr>
          <w:p w14:paraId="190DA7B9" w14:textId="067183F0" w:rsidR="00337DF9" w:rsidRPr="000176CC" w:rsidRDefault="00337DF9" w:rsidP="00F6370B">
            <w:pPr>
              <w:pStyle w:val="ExhibitText"/>
              <w:rPr>
                <w:rFonts w:eastAsia="Calibri"/>
                <w:lang w:val="en-GB"/>
              </w:rPr>
            </w:pPr>
            <w:r w:rsidRPr="000176CC">
              <w:rPr>
                <w:rFonts w:eastAsia="Calibri"/>
                <w:lang w:val="en-GB"/>
              </w:rPr>
              <w:t>ITC</w:t>
            </w:r>
            <w:r w:rsidR="00A35F78">
              <w:rPr>
                <w:rFonts w:eastAsia="Calibri"/>
                <w:lang w:val="en-GB"/>
              </w:rPr>
              <w:t xml:space="preserve"> Limited</w:t>
            </w:r>
          </w:p>
        </w:tc>
        <w:tc>
          <w:tcPr>
            <w:tcW w:w="1267" w:type="dxa"/>
          </w:tcPr>
          <w:p w14:paraId="3BE810B7" w14:textId="5A1CE6ED" w:rsidR="00337DF9" w:rsidRPr="000176CC" w:rsidRDefault="00337DF9" w:rsidP="00D66356">
            <w:pPr>
              <w:pStyle w:val="ExhibitText"/>
              <w:jc w:val="right"/>
              <w:rPr>
                <w:rFonts w:eastAsia="Calibri"/>
                <w:lang w:val="en-GB"/>
              </w:rPr>
            </w:pPr>
            <w:r w:rsidRPr="000176CC">
              <w:rPr>
                <w:rFonts w:eastAsia="Calibri"/>
                <w:lang w:val="en-GB"/>
              </w:rPr>
              <w:t>10.8</w:t>
            </w:r>
          </w:p>
        </w:tc>
      </w:tr>
      <w:tr w:rsidR="00F6370B" w:rsidRPr="000176CC" w14:paraId="3748D041" w14:textId="77777777" w:rsidTr="00D66356">
        <w:trPr>
          <w:jc w:val="center"/>
        </w:trPr>
        <w:tc>
          <w:tcPr>
            <w:tcW w:w="2986" w:type="dxa"/>
          </w:tcPr>
          <w:p w14:paraId="3F87E072" w14:textId="77777777" w:rsidR="00337DF9" w:rsidRPr="000176CC" w:rsidRDefault="00337DF9" w:rsidP="00F6370B">
            <w:pPr>
              <w:pStyle w:val="ExhibitText"/>
              <w:rPr>
                <w:rFonts w:eastAsia="Calibri"/>
                <w:lang w:val="en-GB"/>
              </w:rPr>
            </w:pPr>
            <w:r w:rsidRPr="000176CC">
              <w:rPr>
                <w:rFonts w:eastAsia="Calibri"/>
                <w:lang w:val="en-GB"/>
              </w:rPr>
              <w:t>Balaji Wafers</w:t>
            </w:r>
          </w:p>
        </w:tc>
        <w:tc>
          <w:tcPr>
            <w:tcW w:w="1267" w:type="dxa"/>
          </w:tcPr>
          <w:p w14:paraId="5ABA4729" w14:textId="21D3F7D1" w:rsidR="00337DF9" w:rsidRPr="000176CC" w:rsidRDefault="00337DF9" w:rsidP="00D66356">
            <w:pPr>
              <w:pStyle w:val="ExhibitText"/>
              <w:jc w:val="right"/>
              <w:rPr>
                <w:rFonts w:eastAsia="Calibri"/>
                <w:lang w:val="en-GB"/>
              </w:rPr>
            </w:pPr>
            <w:r w:rsidRPr="000176CC">
              <w:rPr>
                <w:rFonts w:eastAsia="Calibri"/>
                <w:lang w:val="en-GB"/>
              </w:rPr>
              <w:t>9.17</w:t>
            </w:r>
          </w:p>
        </w:tc>
      </w:tr>
      <w:tr w:rsidR="00F6370B" w:rsidRPr="000176CC" w14:paraId="7D174DE9" w14:textId="77777777" w:rsidTr="00D66356">
        <w:trPr>
          <w:jc w:val="center"/>
        </w:trPr>
        <w:tc>
          <w:tcPr>
            <w:tcW w:w="2986" w:type="dxa"/>
          </w:tcPr>
          <w:p w14:paraId="7F6A17B7" w14:textId="3C4FB40F" w:rsidR="00337DF9" w:rsidRPr="000176CC" w:rsidRDefault="00337DF9" w:rsidP="00F6370B">
            <w:pPr>
              <w:pStyle w:val="ExhibitText"/>
              <w:rPr>
                <w:rFonts w:eastAsia="Calibri"/>
                <w:lang w:val="en-GB"/>
              </w:rPr>
            </w:pPr>
            <w:r w:rsidRPr="000176CC">
              <w:rPr>
                <w:rFonts w:eastAsia="Calibri"/>
                <w:lang w:val="en-GB"/>
              </w:rPr>
              <w:t>Parle Products</w:t>
            </w:r>
            <w:r w:rsidR="00A35F78">
              <w:rPr>
                <w:rFonts w:eastAsia="Calibri"/>
                <w:lang w:val="en-GB"/>
              </w:rPr>
              <w:t xml:space="preserve"> Private Limited</w:t>
            </w:r>
          </w:p>
        </w:tc>
        <w:tc>
          <w:tcPr>
            <w:tcW w:w="1267" w:type="dxa"/>
          </w:tcPr>
          <w:p w14:paraId="241CB9F9" w14:textId="5BD6C353" w:rsidR="00337DF9" w:rsidRPr="000176CC" w:rsidRDefault="00337DF9" w:rsidP="00D66356">
            <w:pPr>
              <w:pStyle w:val="ExhibitText"/>
              <w:jc w:val="right"/>
              <w:rPr>
                <w:rFonts w:eastAsia="Calibri"/>
                <w:lang w:val="en-GB"/>
              </w:rPr>
            </w:pPr>
            <w:r w:rsidRPr="000176CC">
              <w:rPr>
                <w:rFonts w:eastAsia="Calibri"/>
                <w:lang w:val="en-GB"/>
              </w:rPr>
              <w:t>5.24</w:t>
            </w:r>
          </w:p>
        </w:tc>
      </w:tr>
      <w:tr w:rsidR="00F6370B" w:rsidRPr="000176CC" w14:paraId="289688CA" w14:textId="77777777" w:rsidTr="00D66356">
        <w:trPr>
          <w:jc w:val="center"/>
        </w:trPr>
        <w:tc>
          <w:tcPr>
            <w:tcW w:w="2986" w:type="dxa"/>
          </w:tcPr>
          <w:p w14:paraId="0214D64A" w14:textId="59101C0B" w:rsidR="00337DF9" w:rsidRPr="000176CC" w:rsidRDefault="00A35F78" w:rsidP="00F6370B">
            <w:pPr>
              <w:pStyle w:val="ExhibitText"/>
              <w:rPr>
                <w:rFonts w:eastAsia="Calibri"/>
                <w:lang w:val="en-GB"/>
              </w:rPr>
            </w:pPr>
            <w:proofErr w:type="spellStart"/>
            <w:r>
              <w:rPr>
                <w:rFonts w:eastAsia="Calibri"/>
                <w:lang w:val="en-GB"/>
              </w:rPr>
              <w:t>Prataap</w:t>
            </w:r>
            <w:proofErr w:type="spellEnd"/>
            <w:r w:rsidRPr="000176CC">
              <w:rPr>
                <w:rFonts w:eastAsia="Calibri"/>
                <w:lang w:val="en-GB"/>
              </w:rPr>
              <w:t xml:space="preserve"> </w:t>
            </w:r>
            <w:r w:rsidR="00337DF9" w:rsidRPr="000176CC">
              <w:rPr>
                <w:rFonts w:eastAsia="Calibri"/>
                <w:lang w:val="en-GB"/>
              </w:rPr>
              <w:t>Snacks</w:t>
            </w:r>
            <w:r>
              <w:rPr>
                <w:rFonts w:eastAsia="Calibri"/>
                <w:lang w:val="en-GB"/>
              </w:rPr>
              <w:t xml:space="preserve"> Limited</w:t>
            </w:r>
          </w:p>
        </w:tc>
        <w:tc>
          <w:tcPr>
            <w:tcW w:w="1267" w:type="dxa"/>
          </w:tcPr>
          <w:p w14:paraId="746D850F" w14:textId="5A10CA7B" w:rsidR="00337DF9" w:rsidRPr="000176CC" w:rsidRDefault="00337DF9" w:rsidP="00D66356">
            <w:pPr>
              <w:pStyle w:val="ExhibitText"/>
              <w:jc w:val="right"/>
              <w:rPr>
                <w:rFonts w:eastAsia="Calibri"/>
                <w:lang w:val="en-GB"/>
              </w:rPr>
            </w:pPr>
            <w:r w:rsidRPr="000176CC">
              <w:rPr>
                <w:rFonts w:eastAsia="Calibri"/>
                <w:lang w:val="en-GB"/>
              </w:rPr>
              <w:t>4.28</w:t>
            </w:r>
          </w:p>
        </w:tc>
      </w:tr>
    </w:tbl>
    <w:p w14:paraId="75239DD3" w14:textId="77777777" w:rsidR="00F6370B" w:rsidRPr="000176CC" w:rsidRDefault="00F6370B" w:rsidP="00F6370B">
      <w:pPr>
        <w:pStyle w:val="Footnote"/>
        <w:rPr>
          <w:rFonts w:eastAsia="Calibri"/>
          <w:lang w:val="en-GB"/>
        </w:rPr>
      </w:pPr>
    </w:p>
    <w:p w14:paraId="320A6D00" w14:textId="5134AD85" w:rsidR="00337DF9" w:rsidRPr="000176CC" w:rsidRDefault="00337DF9" w:rsidP="00F6370B">
      <w:pPr>
        <w:pStyle w:val="Footnote"/>
        <w:rPr>
          <w:rFonts w:eastAsia="Calibri"/>
          <w:lang w:val="en-GB"/>
        </w:rPr>
      </w:pPr>
      <w:r w:rsidRPr="000176CC">
        <w:rPr>
          <w:rFonts w:eastAsia="Calibri"/>
          <w:lang w:val="en-GB"/>
        </w:rPr>
        <w:t>Source: Compiled from “</w:t>
      </w:r>
      <w:r w:rsidR="008B7E9A" w:rsidRPr="008B7E9A">
        <w:rPr>
          <w:rFonts w:eastAsia="Calibri"/>
          <w:lang w:val="en-GB"/>
        </w:rPr>
        <w:t>Market Share of Salty Snack Companies in India in 2016, by Select Company</w:t>
      </w:r>
      <w:r w:rsidRPr="000176CC">
        <w:rPr>
          <w:rFonts w:eastAsia="Calibri"/>
          <w:lang w:val="en-GB"/>
        </w:rPr>
        <w:t xml:space="preserve">,” Statista, accessed December 26, 2018, </w:t>
      </w:r>
      <w:r w:rsidR="00C758DD" w:rsidRPr="000176CC">
        <w:rPr>
          <w:rFonts w:eastAsia="Calibri"/>
          <w:lang w:val="en-GB"/>
        </w:rPr>
        <w:t>www.</w:t>
      </w:r>
      <w:r w:rsidRPr="000176CC">
        <w:rPr>
          <w:rFonts w:eastAsia="Calibri"/>
          <w:lang w:val="en-GB"/>
        </w:rPr>
        <w:t>statista.com/statistics/725855/salty-snacks-market-share-by-key-company-india/.</w:t>
      </w:r>
    </w:p>
    <w:p w14:paraId="550454A4" w14:textId="1FB4BF27" w:rsidR="00337DF9" w:rsidRPr="00AC1016" w:rsidRDefault="00337DF9" w:rsidP="00AC1016">
      <w:pPr>
        <w:pStyle w:val="BodyTextMain"/>
        <w:rPr>
          <w:rFonts w:eastAsia="Calibri"/>
        </w:rPr>
      </w:pPr>
    </w:p>
    <w:p w14:paraId="386DD6CD" w14:textId="77777777" w:rsidR="000B0007" w:rsidRPr="00AC1016" w:rsidRDefault="000B0007" w:rsidP="00AC1016">
      <w:pPr>
        <w:pStyle w:val="BodyTextMain"/>
        <w:rPr>
          <w:rFonts w:eastAsia="Calibri"/>
        </w:rPr>
      </w:pPr>
    </w:p>
    <w:p w14:paraId="223007E6" w14:textId="41F73598" w:rsidR="00337DF9" w:rsidRDefault="00337DF9" w:rsidP="00F6370B">
      <w:pPr>
        <w:pStyle w:val="ExhibitHeading"/>
        <w:rPr>
          <w:rFonts w:eastAsia="Calibri"/>
          <w:lang w:val="en-GB"/>
        </w:rPr>
      </w:pPr>
      <w:r w:rsidRPr="000176CC">
        <w:rPr>
          <w:rFonts w:eastAsia="Calibri"/>
          <w:lang w:val="en-GB"/>
        </w:rPr>
        <w:t>Exhibit 6: Market Share of Biscuit Manufacturers in India in 2018 (% Sales)</w:t>
      </w:r>
    </w:p>
    <w:p w14:paraId="62C38D1C" w14:textId="77777777" w:rsidR="00AC1016" w:rsidRPr="000176CC" w:rsidRDefault="00AC1016" w:rsidP="00F6370B">
      <w:pPr>
        <w:pStyle w:val="ExhibitHeading"/>
        <w:rPr>
          <w:rFonts w:eastAsia="Calibri"/>
          <w:lang w:val="en-GB"/>
        </w:rPr>
      </w:pPr>
    </w:p>
    <w:p w14:paraId="27ABC0BF" w14:textId="03095054" w:rsidR="00337DF9" w:rsidRPr="000176CC" w:rsidRDefault="00DB5388" w:rsidP="00AC1016">
      <w:pPr>
        <w:pStyle w:val="BodyTextMain"/>
        <w:rPr>
          <w:rFonts w:eastAsia="Calibri"/>
          <w:lang w:val="en-GB"/>
        </w:rPr>
      </w:pPr>
      <w:r>
        <w:rPr>
          <w:noProof/>
        </w:rPr>
        <w:drawing>
          <wp:anchor distT="0" distB="0" distL="114300" distR="114300" simplePos="0" relativeHeight="251664384" behindDoc="0" locked="0" layoutInCell="1" allowOverlap="1" wp14:anchorId="58D3DB32" wp14:editId="446CDF05">
            <wp:simplePos x="0" y="0"/>
            <wp:positionH relativeFrom="column">
              <wp:align>center</wp:align>
            </wp:positionH>
            <wp:positionV relativeFrom="paragraph">
              <wp:posOffset>974</wp:posOffset>
            </wp:positionV>
            <wp:extent cx="4956048" cy="2624328"/>
            <wp:effectExtent l="0" t="0" r="16510" b="508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30E3017" w14:textId="0D0DE9B7" w:rsidR="00337DF9" w:rsidRPr="000176CC" w:rsidRDefault="00337DF9" w:rsidP="00F6370B">
      <w:pPr>
        <w:pStyle w:val="Footnote"/>
        <w:rPr>
          <w:rFonts w:eastAsia="Calibri"/>
          <w:lang w:val="en-GB"/>
        </w:rPr>
      </w:pPr>
      <w:r w:rsidRPr="000176CC">
        <w:rPr>
          <w:rFonts w:eastAsia="Calibri"/>
          <w:lang w:val="en-GB"/>
        </w:rPr>
        <w:t>Source: Shruti Venkatesh, “</w:t>
      </w:r>
      <w:r w:rsidR="0008682C" w:rsidRPr="0008682C">
        <w:rPr>
          <w:rFonts w:eastAsia="Calibri"/>
          <w:lang w:val="en-GB"/>
        </w:rPr>
        <w:t>Cookies and Beyond: How Parle Products Has Ditched Its Mass Brand Image by Scaling Up Its Premium Offerings</w:t>
      </w:r>
      <w:r w:rsidRPr="000176CC">
        <w:rPr>
          <w:rFonts w:eastAsia="Calibri"/>
          <w:lang w:val="en-GB"/>
        </w:rPr>
        <w:t xml:space="preserve">,” </w:t>
      </w:r>
      <w:r w:rsidRPr="000176CC">
        <w:rPr>
          <w:rFonts w:eastAsia="Calibri"/>
          <w:i/>
          <w:iCs/>
          <w:lang w:val="en-GB"/>
        </w:rPr>
        <w:t>Outlook Business</w:t>
      </w:r>
      <w:r w:rsidRPr="000176CC">
        <w:rPr>
          <w:rFonts w:eastAsia="Calibri"/>
          <w:lang w:val="en-GB"/>
        </w:rPr>
        <w:t xml:space="preserve">, June 8, 2018, accessed March 27, 2019, </w:t>
      </w:r>
      <w:r w:rsidR="000B0007" w:rsidRPr="000176CC">
        <w:rPr>
          <w:rFonts w:eastAsia="Calibri"/>
          <w:lang w:val="en-GB"/>
        </w:rPr>
        <w:t>www.outlookbusiness.com/strategy/feature/cookies-and-beyond-4397</w:t>
      </w:r>
      <w:r w:rsidRPr="000176CC">
        <w:rPr>
          <w:rFonts w:eastAsia="Calibri"/>
          <w:lang w:val="en-GB"/>
        </w:rPr>
        <w:t>.</w:t>
      </w:r>
    </w:p>
    <w:p w14:paraId="7EA5E3A2" w14:textId="77777777" w:rsidR="000B0007" w:rsidRPr="000176CC" w:rsidRDefault="000B0007" w:rsidP="00F6370B">
      <w:pPr>
        <w:pStyle w:val="Footnote"/>
        <w:rPr>
          <w:rFonts w:eastAsia="Calibri"/>
          <w:lang w:val="en-GB"/>
        </w:rPr>
      </w:pPr>
    </w:p>
    <w:p w14:paraId="5F10B380" w14:textId="77777777" w:rsidR="000B0007" w:rsidRPr="000176CC" w:rsidRDefault="000B0007" w:rsidP="00F6370B">
      <w:pPr>
        <w:pStyle w:val="Footnote"/>
        <w:rPr>
          <w:rFonts w:eastAsia="Calibri"/>
          <w:lang w:val="en-GB"/>
        </w:rPr>
      </w:pPr>
    </w:p>
    <w:p w14:paraId="52578785" w14:textId="258A4ECE" w:rsidR="00337DF9" w:rsidRPr="000176CC" w:rsidRDefault="00337DF9" w:rsidP="00F6370B">
      <w:pPr>
        <w:pStyle w:val="ExhibitHeading"/>
        <w:rPr>
          <w:rFonts w:eastAsia="Calibri"/>
          <w:lang w:val="en-GB"/>
        </w:rPr>
      </w:pPr>
      <w:r w:rsidRPr="000176CC">
        <w:rPr>
          <w:rFonts w:eastAsia="Calibri"/>
          <w:lang w:val="en-GB"/>
        </w:rPr>
        <w:t>Exhibit 7: Factors enabling fast growth in food and beverage industry in India</w:t>
      </w:r>
    </w:p>
    <w:p w14:paraId="0AB91193" w14:textId="5AAD27C0" w:rsidR="00F6370B" w:rsidRPr="000176CC" w:rsidRDefault="00F6370B" w:rsidP="000B0007">
      <w:pPr>
        <w:pStyle w:val="BodyTextMain"/>
        <w:rPr>
          <w:rFonts w:eastAsia="Calibri"/>
          <w:lang w:val="en-GB"/>
        </w:rPr>
      </w:pPr>
    </w:p>
    <w:p w14:paraId="529987FF" w14:textId="3FDACB0A" w:rsidR="00337DF9" w:rsidRPr="000176CC" w:rsidRDefault="000B0007" w:rsidP="000B0007">
      <w:pPr>
        <w:pStyle w:val="BodyTextMain"/>
        <w:rPr>
          <w:rFonts w:eastAsia="Calibri"/>
          <w:b/>
          <w:bCs/>
          <w:sz w:val="24"/>
          <w:szCs w:val="24"/>
          <w:lang w:val="en-GB"/>
        </w:rPr>
      </w:pPr>
      <w:r w:rsidRPr="000176CC">
        <w:rPr>
          <w:rFonts w:eastAsia="Calibri"/>
          <w:b/>
          <w:noProof/>
        </w:rPr>
        <mc:AlternateContent>
          <mc:Choice Requires="wps">
            <w:drawing>
              <wp:anchor distT="0" distB="0" distL="114300" distR="114300" simplePos="0" relativeHeight="251659264" behindDoc="0" locked="0" layoutInCell="1" allowOverlap="1" wp14:anchorId="448335CB" wp14:editId="5FFCE9BE">
                <wp:simplePos x="0" y="0"/>
                <wp:positionH relativeFrom="page">
                  <wp:align>center</wp:align>
                </wp:positionH>
                <wp:positionV relativeFrom="paragraph">
                  <wp:posOffset>12369</wp:posOffset>
                </wp:positionV>
                <wp:extent cx="5065776" cy="1464415"/>
                <wp:effectExtent l="0" t="0" r="20955" b="21590"/>
                <wp:wrapNone/>
                <wp:docPr id="2" name="Text Box 2"/>
                <wp:cNvGraphicFramePr/>
                <a:graphic xmlns:a="http://schemas.openxmlformats.org/drawingml/2006/main">
                  <a:graphicData uri="http://schemas.microsoft.com/office/word/2010/wordprocessingShape">
                    <wps:wsp>
                      <wps:cNvSpPr txBox="1"/>
                      <wps:spPr>
                        <a:xfrm>
                          <a:off x="0" y="0"/>
                          <a:ext cx="5065776" cy="1464415"/>
                        </a:xfrm>
                        <a:prstGeom prst="rect">
                          <a:avLst/>
                        </a:prstGeom>
                        <a:solidFill>
                          <a:sysClr val="window" lastClr="FFFFFF"/>
                        </a:solidFill>
                        <a:ln w="6350">
                          <a:solidFill>
                            <a:prstClr val="black"/>
                          </a:solidFill>
                        </a:ln>
                        <a:effectLst/>
                      </wps:spPr>
                      <wps:txbx>
                        <w:txbxContent>
                          <w:p w14:paraId="37B0D086" w14:textId="6A94A09C" w:rsidR="008852C3" w:rsidRPr="00015636" w:rsidRDefault="008852C3" w:rsidP="000B0007">
                            <w:pPr>
                              <w:pStyle w:val="ExhibitText"/>
                              <w:numPr>
                                <w:ilvl w:val="0"/>
                                <w:numId w:val="15"/>
                              </w:numPr>
                              <w:jc w:val="left"/>
                            </w:pPr>
                            <w:r>
                              <w:t>An expanding</w:t>
                            </w:r>
                            <w:r w:rsidRPr="0008682C">
                              <w:t xml:space="preserve"> young </w:t>
                            </w:r>
                            <w:r>
                              <w:t>adult population</w:t>
                            </w:r>
                            <w:r w:rsidRPr="0008682C">
                              <w:t xml:space="preserve"> in India </w:t>
                            </w:r>
                          </w:p>
                          <w:p w14:paraId="153C6978" w14:textId="62E27722" w:rsidR="008852C3" w:rsidRPr="00015636" w:rsidRDefault="008852C3" w:rsidP="000B0007">
                            <w:pPr>
                              <w:pStyle w:val="ExhibitText"/>
                              <w:numPr>
                                <w:ilvl w:val="0"/>
                                <w:numId w:val="15"/>
                              </w:numPr>
                              <w:jc w:val="left"/>
                            </w:pPr>
                            <w:r>
                              <w:t>An increase in</w:t>
                            </w:r>
                            <w:r w:rsidRPr="00015636">
                              <w:t xml:space="preserve"> disposable income</w:t>
                            </w:r>
                          </w:p>
                          <w:p w14:paraId="49A6CA54" w14:textId="250133DC" w:rsidR="008852C3" w:rsidRPr="00015636" w:rsidRDefault="008852C3" w:rsidP="000B0007">
                            <w:pPr>
                              <w:pStyle w:val="ExhibitText"/>
                              <w:numPr>
                                <w:ilvl w:val="0"/>
                                <w:numId w:val="15"/>
                              </w:numPr>
                              <w:jc w:val="left"/>
                            </w:pPr>
                            <w:r w:rsidRPr="00015636">
                              <w:t xml:space="preserve">Changing </w:t>
                            </w:r>
                            <w:r>
                              <w:t>lifestyles</w:t>
                            </w:r>
                            <w:r w:rsidRPr="00015636">
                              <w:t xml:space="preserve"> due to rapid urbanization</w:t>
                            </w:r>
                          </w:p>
                          <w:p w14:paraId="1EACD907" w14:textId="2B6C479B" w:rsidR="008852C3" w:rsidRPr="00015636" w:rsidRDefault="008852C3" w:rsidP="000B0007">
                            <w:pPr>
                              <w:pStyle w:val="ExhibitText"/>
                              <w:numPr>
                                <w:ilvl w:val="0"/>
                                <w:numId w:val="15"/>
                              </w:numPr>
                              <w:jc w:val="left"/>
                            </w:pPr>
                            <w:r w:rsidRPr="00015636">
                              <w:t xml:space="preserve">Changing dietary habits in favour of indigenous </w:t>
                            </w:r>
                            <w:r>
                              <w:t>superfoods</w:t>
                            </w:r>
                            <w:r w:rsidRPr="00015636">
                              <w:t xml:space="preserve"> and native grains</w:t>
                            </w:r>
                          </w:p>
                          <w:p w14:paraId="680E9338" w14:textId="7403CA8A" w:rsidR="008852C3" w:rsidRPr="00015636" w:rsidRDefault="008852C3" w:rsidP="000B0007">
                            <w:pPr>
                              <w:pStyle w:val="ExhibitText"/>
                              <w:numPr>
                                <w:ilvl w:val="0"/>
                                <w:numId w:val="15"/>
                              </w:numPr>
                              <w:jc w:val="left"/>
                            </w:pPr>
                            <w:r w:rsidRPr="00015636">
                              <w:t xml:space="preserve">Increasing national and international travel </w:t>
                            </w:r>
                            <w:r>
                              <w:t>by Indians</w:t>
                            </w:r>
                          </w:p>
                          <w:p w14:paraId="1232B598" w14:textId="77777777" w:rsidR="008852C3" w:rsidRPr="00015636" w:rsidRDefault="008852C3" w:rsidP="000B0007">
                            <w:pPr>
                              <w:pStyle w:val="ExhibitText"/>
                              <w:numPr>
                                <w:ilvl w:val="0"/>
                                <w:numId w:val="15"/>
                              </w:numPr>
                              <w:jc w:val="left"/>
                            </w:pPr>
                            <w:r w:rsidRPr="00015636">
                              <w:t>Increasing awareness propelled through advertisement</w:t>
                            </w:r>
                          </w:p>
                          <w:p w14:paraId="3E6D516D" w14:textId="2DE645F3" w:rsidR="008852C3" w:rsidRPr="00AC1016" w:rsidRDefault="008852C3" w:rsidP="000B0007">
                            <w:pPr>
                              <w:pStyle w:val="ExhibitText"/>
                              <w:numPr>
                                <w:ilvl w:val="0"/>
                                <w:numId w:val="15"/>
                              </w:numPr>
                              <w:jc w:val="left"/>
                            </w:pPr>
                            <w:r w:rsidRPr="00AC1016">
                              <w:t xml:space="preserve">An improvement in </w:t>
                            </w:r>
                            <w:r w:rsidR="003E251E" w:rsidRPr="00AC1016">
                              <w:t xml:space="preserve">food </w:t>
                            </w:r>
                            <w:r w:rsidRPr="00AC1016">
                              <w:t xml:space="preserve">quality and </w:t>
                            </w:r>
                            <w:r w:rsidR="003E251E" w:rsidRPr="00AC1016">
                              <w:t xml:space="preserve">the </w:t>
                            </w:r>
                            <w:r w:rsidRPr="00AC1016">
                              <w:t>incorporation of health benefits</w:t>
                            </w:r>
                          </w:p>
                          <w:p w14:paraId="02D987D6" w14:textId="0E540FDB" w:rsidR="008852C3" w:rsidRPr="00015636" w:rsidRDefault="008852C3" w:rsidP="000B0007">
                            <w:pPr>
                              <w:pStyle w:val="ExhibitText"/>
                              <w:numPr>
                                <w:ilvl w:val="0"/>
                                <w:numId w:val="15"/>
                              </w:numPr>
                              <w:jc w:val="left"/>
                            </w:pPr>
                            <w:r w:rsidRPr="00015636">
                              <w:t xml:space="preserve">Increasing use of confectioneries, </w:t>
                            </w:r>
                            <w:r>
                              <w:t>baked goods</w:t>
                            </w:r>
                            <w:r w:rsidRPr="00015636">
                              <w:t>, snacks, beverages, etc., during festivities and celebrations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335CB" id="_x0000_s1027" type="#_x0000_t202" style="position:absolute;left:0;text-align:left;margin-left:0;margin-top:.95pt;width:398.9pt;height:115.3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" fillcolor="window" strokeweight=".5pt">
                <v:textbox>
                  <w:txbxContent>
                    <w:p w14:paraId="37B0D086" w14:textId="6A94A09C" w:rsidR="008852C3" w:rsidRPr="00015636" w:rsidRDefault="008852C3" w:rsidP="000B0007">
                      <w:pPr>
                        <w:pStyle w:val="ExhibitText"/>
                        <w:numPr>
                          <w:ilvl w:val="0"/>
                          <w:numId w:val="15"/>
                        </w:numPr>
                        <w:jc w:val="left"/>
                      </w:pPr>
                      <w:r>
                        <w:t>An expanding</w:t>
                      </w:r>
                      <w:r w:rsidRPr="0008682C">
                        <w:t xml:space="preserve"> young </w:t>
                      </w:r>
                      <w:r>
                        <w:t>adult population</w:t>
                      </w:r>
                      <w:r w:rsidRPr="0008682C">
                        <w:t xml:space="preserve"> in India </w:t>
                      </w:r>
                    </w:p>
                    <w:p w14:paraId="153C6978" w14:textId="62E27722" w:rsidR="008852C3" w:rsidRPr="00015636" w:rsidRDefault="008852C3" w:rsidP="000B0007">
                      <w:pPr>
                        <w:pStyle w:val="ExhibitText"/>
                        <w:numPr>
                          <w:ilvl w:val="0"/>
                          <w:numId w:val="15"/>
                        </w:numPr>
                        <w:jc w:val="left"/>
                      </w:pPr>
                      <w:r>
                        <w:t>An increase in</w:t>
                      </w:r>
                      <w:r w:rsidRPr="00015636">
                        <w:t xml:space="preserve"> disposable income</w:t>
                      </w:r>
                    </w:p>
                    <w:p w14:paraId="49A6CA54" w14:textId="250133DC" w:rsidR="008852C3" w:rsidRPr="00015636" w:rsidRDefault="008852C3" w:rsidP="000B0007">
                      <w:pPr>
                        <w:pStyle w:val="ExhibitText"/>
                        <w:numPr>
                          <w:ilvl w:val="0"/>
                          <w:numId w:val="15"/>
                        </w:numPr>
                        <w:jc w:val="left"/>
                      </w:pPr>
                      <w:r w:rsidRPr="00015636">
                        <w:t xml:space="preserve">Changing </w:t>
                      </w:r>
                      <w:r>
                        <w:t>lifestyles</w:t>
                      </w:r>
                      <w:r w:rsidRPr="00015636">
                        <w:t xml:space="preserve"> due to rapid urbanization</w:t>
                      </w:r>
                    </w:p>
                    <w:p w14:paraId="1EACD907" w14:textId="2B6C479B" w:rsidR="008852C3" w:rsidRPr="00015636" w:rsidRDefault="008852C3" w:rsidP="000B0007">
                      <w:pPr>
                        <w:pStyle w:val="ExhibitText"/>
                        <w:numPr>
                          <w:ilvl w:val="0"/>
                          <w:numId w:val="15"/>
                        </w:numPr>
                        <w:jc w:val="left"/>
                      </w:pPr>
                      <w:r w:rsidRPr="00015636">
                        <w:t xml:space="preserve">Changing dietary habits in favour of indigenous </w:t>
                      </w:r>
                      <w:r>
                        <w:t>superfoods</w:t>
                      </w:r>
                      <w:r w:rsidRPr="00015636">
                        <w:t xml:space="preserve"> and native grains</w:t>
                      </w:r>
                    </w:p>
                    <w:p w14:paraId="680E9338" w14:textId="7403CA8A" w:rsidR="008852C3" w:rsidRPr="00015636" w:rsidRDefault="008852C3" w:rsidP="000B0007">
                      <w:pPr>
                        <w:pStyle w:val="ExhibitText"/>
                        <w:numPr>
                          <w:ilvl w:val="0"/>
                          <w:numId w:val="15"/>
                        </w:numPr>
                        <w:jc w:val="left"/>
                      </w:pPr>
                      <w:r w:rsidRPr="00015636">
                        <w:t xml:space="preserve">Increasing national and international travel </w:t>
                      </w:r>
                      <w:r>
                        <w:t>by Indians</w:t>
                      </w:r>
                    </w:p>
                    <w:p w14:paraId="1232B598" w14:textId="77777777" w:rsidR="008852C3" w:rsidRPr="00015636" w:rsidRDefault="008852C3" w:rsidP="000B0007">
                      <w:pPr>
                        <w:pStyle w:val="ExhibitText"/>
                        <w:numPr>
                          <w:ilvl w:val="0"/>
                          <w:numId w:val="15"/>
                        </w:numPr>
                        <w:jc w:val="left"/>
                      </w:pPr>
                      <w:r w:rsidRPr="00015636">
                        <w:t>Increasing awareness propelled through advertisement</w:t>
                      </w:r>
                    </w:p>
                    <w:p w14:paraId="3E6D516D" w14:textId="2DE645F3" w:rsidR="008852C3" w:rsidRPr="00AC1016" w:rsidRDefault="008852C3" w:rsidP="000B0007">
                      <w:pPr>
                        <w:pStyle w:val="ExhibitText"/>
                        <w:numPr>
                          <w:ilvl w:val="0"/>
                          <w:numId w:val="15"/>
                        </w:numPr>
                        <w:jc w:val="left"/>
                      </w:pPr>
                      <w:r w:rsidRPr="00AC1016">
                        <w:t xml:space="preserve">An improvement in </w:t>
                      </w:r>
                      <w:r w:rsidR="003E251E" w:rsidRPr="00AC1016">
                        <w:t xml:space="preserve">food </w:t>
                      </w:r>
                      <w:r w:rsidRPr="00AC1016">
                        <w:t xml:space="preserve">quality and </w:t>
                      </w:r>
                      <w:r w:rsidR="003E251E" w:rsidRPr="00AC1016">
                        <w:t xml:space="preserve">the </w:t>
                      </w:r>
                      <w:r w:rsidRPr="00AC1016">
                        <w:t>incorporation of health benefits</w:t>
                      </w:r>
                    </w:p>
                    <w:p w14:paraId="02D987D6" w14:textId="0E540FDB" w:rsidR="008852C3" w:rsidRPr="00015636" w:rsidRDefault="008852C3" w:rsidP="000B0007">
                      <w:pPr>
                        <w:pStyle w:val="ExhibitText"/>
                        <w:numPr>
                          <w:ilvl w:val="0"/>
                          <w:numId w:val="15"/>
                        </w:numPr>
                        <w:jc w:val="left"/>
                      </w:pPr>
                      <w:r w:rsidRPr="00015636">
                        <w:t xml:space="preserve">Increasing use of confectioneries, </w:t>
                      </w:r>
                      <w:r>
                        <w:t>baked goods</w:t>
                      </w:r>
                      <w:r w:rsidRPr="00015636">
                        <w:t>, snacks, beverages, etc., during festivities and celebrations</w:t>
                      </w:r>
                    </w:p>
                  </w:txbxContent>
                </v:textbox>
                <w10:wrap anchorx="page"/>
              </v:shape>
            </w:pict>
          </mc:Fallback>
        </mc:AlternateContent>
      </w:r>
    </w:p>
    <w:p w14:paraId="67033254" w14:textId="77777777" w:rsidR="00337DF9" w:rsidRPr="000176CC" w:rsidRDefault="00337DF9" w:rsidP="000B0007">
      <w:pPr>
        <w:pStyle w:val="BodyTextMain"/>
        <w:rPr>
          <w:rFonts w:eastAsia="Calibri"/>
          <w:b/>
          <w:bCs/>
          <w:sz w:val="24"/>
          <w:szCs w:val="24"/>
          <w:lang w:val="en-GB"/>
        </w:rPr>
      </w:pPr>
    </w:p>
    <w:p w14:paraId="00AEB88E" w14:textId="77777777" w:rsidR="00337DF9" w:rsidRPr="000176CC" w:rsidRDefault="00337DF9" w:rsidP="000B0007">
      <w:pPr>
        <w:pStyle w:val="BodyTextMain"/>
        <w:rPr>
          <w:rFonts w:eastAsia="Calibri"/>
          <w:b/>
          <w:bCs/>
          <w:sz w:val="24"/>
          <w:szCs w:val="24"/>
          <w:lang w:val="en-GB"/>
        </w:rPr>
      </w:pPr>
    </w:p>
    <w:p w14:paraId="49EAD29D" w14:textId="77777777" w:rsidR="00337DF9" w:rsidRPr="000176CC" w:rsidRDefault="00337DF9" w:rsidP="000B0007">
      <w:pPr>
        <w:pStyle w:val="BodyTextMain"/>
        <w:rPr>
          <w:rFonts w:eastAsia="Calibri"/>
          <w:b/>
          <w:bCs/>
          <w:sz w:val="24"/>
          <w:szCs w:val="24"/>
          <w:lang w:val="en-GB"/>
        </w:rPr>
      </w:pPr>
    </w:p>
    <w:p w14:paraId="509E9F43" w14:textId="77777777" w:rsidR="00337DF9" w:rsidRPr="000176CC" w:rsidRDefault="00337DF9" w:rsidP="000B0007">
      <w:pPr>
        <w:pStyle w:val="BodyTextMain"/>
        <w:rPr>
          <w:rFonts w:eastAsia="Calibri"/>
          <w:b/>
          <w:bCs/>
          <w:sz w:val="24"/>
          <w:szCs w:val="24"/>
          <w:lang w:val="en-GB"/>
        </w:rPr>
      </w:pPr>
    </w:p>
    <w:p w14:paraId="7050A48E" w14:textId="77777777" w:rsidR="00337DF9" w:rsidRPr="000176CC" w:rsidRDefault="00337DF9" w:rsidP="000B0007">
      <w:pPr>
        <w:pStyle w:val="BodyTextMain"/>
        <w:rPr>
          <w:rFonts w:eastAsia="Calibri"/>
          <w:b/>
          <w:bCs/>
          <w:sz w:val="24"/>
          <w:szCs w:val="24"/>
          <w:lang w:val="en-GB"/>
        </w:rPr>
      </w:pPr>
    </w:p>
    <w:p w14:paraId="5EB8153B" w14:textId="77777777" w:rsidR="000B0007" w:rsidRPr="000176CC" w:rsidRDefault="000B0007" w:rsidP="000B0007">
      <w:pPr>
        <w:pStyle w:val="BodyTextMain"/>
        <w:rPr>
          <w:rFonts w:eastAsia="Calibri"/>
          <w:b/>
          <w:bCs/>
          <w:sz w:val="24"/>
          <w:szCs w:val="24"/>
          <w:lang w:val="en-GB"/>
        </w:rPr>
      </w:pPr>
    </w:p>
    <w:p w14:paraId="57136754" w14:textId="77777777" w:rsidR="000B0007" w:rsidRPr="000176CC" w:rsidRDefault="000B0007" w:rsidP="000B0007">
      <w:pPr>
        <w:pStyle w:val="BodyTextMain"/>
        <w:rPr>
          <w:rFonts w:eastAsia="Calibri"/>
          <w:b/>
          <w:bCs/>
          <w:sz w:val="24"/>
          <w:szCs w:val="24"/>
          <w:lang w:val="en-GB"/>
        </w:rPr>
      </w:pPr>
    </w:p>
    <w:p w14:paraId="1E6FD4C3" w14:textId="77777777" w:rsidR="000B0007" w:rsidRPr="000176CC" w:rsidRDefault="000B0007" w:rsidP="000B0007">
      <w:pPr>
        <w:pStyle w:val="BodyTextMain"/>
        <w:rPr>
          <w:rFonts w:eastAsia="Calibri"/>
          <w:b/>
          <w:bCs/>
          <w:sz w:val="24"/>
          <w:szCs w:val="24"/>
          <w:lang w:val="en-GB"/>
        </w:rPr>
      </w:pPr>
    </w:p>
    <w:p w14:paraId="09C1A581" w14:textId="3DF560B1" w:rsidR="00F6370B" w:rsidRPr="000176CC" w:rsidRDefault="00337DF9" w:rsidP="00F6370B">
      <w:pPr>
        <w:pStyle w:val="Footnote"/>
        <w:rPr>
          <w:rFonts w:eastAsia="Calibri"/>
          <w:lang w:val="en-GB"/>
        </w:rPr>
      </w:pPr>
      <w:r w:rsidRPr="000176CC">
        <w:rPr>
          <w:rFonts w:eastAsia="Calibri"/>
          <w:bCs/>
          <w:lang w:val="en-GB"/>
        </w:rPr>
        <w:t xml:space="preserve">Source: </w:t>
      </w:r>
      <w:r w:rsidRPr="000176CC">
        <w:rPr>
          <w:rFonts w:eastAsia="Calibri"/>
          <w:lang w:val="en-GB"/>
        </w:rPr>
        <w:t xml:space="preserve">Compiled from </w:t>
      </w:r>
      <w:r w:rsidR="0008682C">
        <w:rPr>
          <w:rFonts w:eastAsia="Calibri"/>
          <w:lang w:val="en-GB"/>
        </w:rPr>
        <w:t xml:space="preserve">Ministry of Food Processing Industries, Government of India, </w:t>
      </w:r>
      <w:r w:rsidR="0008682C" w:rsidRPr="00537D0D">
        <w:rPr>
          <w:rFonts w:eastAsia="Calibri"/>
          <w:i/>
          <w:lang w:val="en-GB"/>
        </w:rPr>
        <w:t>High-Growth Segments of Indian Food and Beverage Industry</w:t>
      </w:r>
      <w:r w:rsidR="0008682C" w:rsidRPr="00AB6414" w:rsidDel="00AB6414">
        <w:rPr>
          <w:rFonts w:eastAsia="Calibri"/>
          <w:lang w:val="en-GB"/>
        </w:rPr>
        <w:t xml:space="preserve"> </w:t>
      </w:r>
      <w:r w:rsidR="0008682C">
        <w:rPr>
          <w:rFonts w:eastAsia="Calibri"/>
          <w:lang w:val="en-GB"/>
        </w:rPr>
        <w:t xml:space="preserve">(Kolkata, India: </w:t>
      </w:r>
      <w:r w:rsidR="0008682C" w:rsidRPr="00AB6414">
        <w:rPr>
          <w:rFonts w:eastAsia="Calibri"/>
          <w:lang w:val="en-GB"/>
        </w:rPr>
        <w:t xml:space="preserve">Ernst &amp; Young LLP </w:t>
      </w:r>
      <w:r w:rsidR="00E62389">
        <w:rPr>
          <w:rFonts w:eastAsia="Calibri"/>
          <w:lang w:val="en-GB"/>
        </w:rPr>
        <w:t>[</w:t>
      </w:r>
      <w:r w:rsidR="0008682C" w:rsidRPr="00AB6414">
        <w:rPr>
          <w:rFonts w:eastAsia="Calibri"/>
          <w:lang w:val="en-GB"/>
        </w:rPr>
        <w:t>EY</w:t>
      </w:r>
      <w:r w:rsidR="00E62389">
        <w:rPr>
          <w:rFonts w:eastAsia="Calibri"/>
          <w:lang w:val="en-GB"/>
        </w:rPr>
        <w:t>]</w:t>
      </w:r>
      <w:r w:rsidR="0008682C" w:rsidRPr="00AB6414">
        <w:rPr>
          <w:rFonts w:eastAsia="Calibri"/>
          <w:lang w:val="en-GB"/>
        </w:rPr>
        <w:t xml:space="preserve"> and Confederation of Indian Industry</w:t>
      </w:r>
      <w:r w:rsidR="0008682C">
        <w:rPr>
          <w:rFonts w:eastAsia="Calibri"/>
          <w:lang w:val="en-GB"/>
        </w:rPr>
        <w:t xml:space="preserve">, 2017), </w:t>
      </w:r>
      <w:r w:rsidR="0008682C" w:rsidRPr="000176CC">
        <w:rPr>
          <w:rFonts w:eastAsia="Calibri"/>
          <w:lang w:val="en-GB"/>
        </w:rPr>
        <w:t>accessed December 17, 2018, https://foodprocessingindia.co.in/pdf/high-growth.pdf.</w:t>
      </w:r>
      <w:r w:rsidR="0008682C" w:rsidRPr="000176CC" w:rsidDel="0008682C">
        <w:rPr>
          <w:rFonts w:eastAsia="Calibri"/>
          <w:lang w:val="en-GB"/>
        </w:rPr>
        <w:t xml:space="preserve"> </w:t>
      </w:r>
    </w:p>
    <w:p w14:paraId="3C8EF6DE" w14:textId="77777777" w:rsidR="00F6370B" w:rsidRPr="000176CC" w:rsidRDefault="00F6370B" w:rsidP="00F6370B">
      <w:pPr>
        <w:pStyle w:val="Footnote"/>
        <w:rPr>
          <w:rFonts w:eastAsia="Calibri"/>
          <w:lang w:val="en-GB"/>
        </w:rPr>
      </w:pPr>
    </w:p>
    <w:p w14:paraId="7F61AD10" w14:textId="098B3D86" w:rsidR="00337DF9" w:rsidRPr="000176CC" w:rsidRDefault="00337DF9" w:rsidP="00F6370B">
      <w:pPr>
        <w:pStyle w:val="ExhibitHeading"/>
        <w:rPr>
          <w:rFonts w:eastAsia="Calibri"/>
          <w:lang w:val="en-GB"/>
        </w:rPr>
      </w:pPr>
      <w:r w:rsidRPr="000176CC">
        <w:rPr>
          <w:rFonts w:eastAsia="Calibri"/>
          <w:lang w:val="en-GB"/>
        </w:rPr>
        <w:lastRenderedPageBreak/>
        <w:t>Exhibit 8: Expected demographic profile in India</w:t>
      </w:r>
      <w:r w:rsidR="00BB2914">
        <w:rPr>
          <w:rFonts w:eastAsia="Calibri"/>
          <w:lang w:val="en-GB"/>
        </w:rPr>
        <w:t xml:space="preserve">, </w:t>
      </w:r>
      <w:r w:rsidRPr="000176CC">
        <w:rPr>
          <w:rFonts w:eastAsia="Calibri"/>
          <w:lang w:val="en-GB"/>
        </w:rPr>
        <w:t>2018</w:t>
      </w:r>
    </w:p>
    <w:p w14:paraId="310B1956" w14:textId="77777777" w:rsidR="00F6370B" w:rsidRPr="000176CC" w:rsidRDefault="00F6370B" w:rsidP="00F6370B">
      <w:pPr>
        <w:pStyle w:val="ExhibitHeading"/>
        <w:rPr>
          <w:rFonts w:eastAsia="Calibri"/>
          <w:lang w:val="en-GB"/>
        </w:rPr>
      </w:pPr>
    </w:p>
    <w:tbl>
      <w:tblPr>
        <w:tblStyle w:val="TableGrid"/>
        <w:tblW w:w="0" w:type="auto"/>
        <w:jc w:val="center"/>
        <w:tblLook w:val="04A0" w:firstRow="1" w:lastRow="0" w:firstColumn="1" w:lastColumn="0" w:noHBand="0" w:noVBand="1"/>
      </w:tblPr>
      <w:tblGrid>
        <w:gridCol w:w="1525"/>
        <w:gridCol w:w="1731"/>
      </w:tblGrid>
      <w:tr w:rsidR="00F6370B" w:rsidRPr="000176CC" w14:paraId="7534ED74" w14:textId="77777777" w:rsidTr="00D66356">
        <w:trPr>
          <w:jc w:val="center"/>
        </w:trPr>
        <w:tc>
          <w:tcPr>
            <w:tcW w:w="1525" w:type="dxa"/>
            <w:vAlign w:val="center"/>
          </w:tcPr>
          <w:p w14:paraId="61394DB3" w14:textId="77777777" w:rsidR="00337DF9" w:rsidRPr="00D66356" w:rsidRDefault="00337DF9" w:rsidP="00F6370B">
            <w:pPr>
              <w:pStyle w:val="ExhibitText"/>
              <w:rPr>
                <w:rFonts w:eastAsia="Calibri"/>
                <w:b/>
                <w:lang w:val="en-GB"/>
              </w:rPr>
            </w:pPr>
            <w:r w:rsidRPr="00D66356">
              <w:rPr>
                <w:rFonts w:eastAsia="Calibri"/>
                <w:b/>
                <w:lang w:val="en-GB"/>
              </w:rPr>
              <w:t>Age Group</w:t>
            </w:r>
          </w:p>
        </w:tc>
        <w:tc>
          <w:tcPr>
            <w:tcW w:w="1731" w:type="dxa"/>
            <w:vAlign w:val="center"/>
          </w:tcPr>
          <w:p w14:paraId="6E66B4D9" w14:textId="3DC3F248" w:rsidR="00337DF9" w:rsidRPr="00D66356" w:rsidRDefault="00337DF9" w:rsidP="00F6370B">
            <w:pPr>
              <w:pStyle w:val="ExhibitText"/>
              <w:jc w:val="center"/>
              <w:rPr>
                <w:rFonts w:eastAsia="Calibri"/>
                <w:b/>
                <w:lang w:val="en-GB"/>
              </w:rPr>
            </w:pPr>
            <w:r w:rsidRPr="00D66356">
              <w:rPr>
                <w:rFonts w:eastAsia="Calibri"/>
                <w:b/>
                <w:lang w:val="en-GB"/>
              </w:rPr>
              <w:t>Population (%)</w:t>
            </w:r>
          </w:p>
        </w:tc>
      </w:tr>
      <w:tr w:rsidR="00F6370B" w:rsidRPr="000176CC" w14:paraId="13D60065" w14:textId="77777777" w:rsidTr="00D66356">
        <w:trPr>
          <w:jc w:val="center"/>
        </w:trPr>
        <w:tc>
          <w:tcPr>
            <w:tcW w:w="1525" w:type="dxa"/>
            <w:vAlign w:val="center"/>
          </w:tcPr>
          <w:p w14:paraId="0A866877" w14:textId="21327B44" w:rsidR="00337DF9" w:rsidRPr="000176CC" w:rsidRDefault="00337DF9" w:rsidP="000D37F4">
            <w:pPr>
              <w:pStyle w:val="ExhibitText"/>
              <w:jc w:val="center"/>
              <w:rPr>
                <w:rFonts w:eastAsia="Calibri"/>
                <w:lang w:val="en-GB"/>
              </w:rPr>
            </w:pPr>
            <w:r w:rsidRPr="000176CC">
              <w:rPr>
                <w:rFonts w:eastAsia="Calibri"/>
                <w:lang w:val="en-GB"/>
              </w:rPr>
              <w:t>0</w:t>
            </w:r>
            <w:r w:rsidR="00BB2914">
              <w:rPr>
                <w:rFonts w:eastAsia="Calibri"/>
                <w:lang w:val="en-GB"/>
              </w:rPr>
              <w:t>–</w:t>
            </w:r>
            <w:r w:rsidRPr="000176CC">
              <w:rPr>
                <w:rFonts w:eastAsia="Calibri"/>
                <w:lang w:val="en-GB"/>
              </w:rPr>
              <w:t>14</w:t>
            </w:r>
          </w:p>
        </w:tc>
        <w:tc>
          <w:tcPr>
            <w:tcW w:w="1731" w:type="dxa"/>
            <w:vAlign w:val="center"/>
          </w:tcPr>
          <w:p w14:paraId="6162514E" w14:textId="77777777" w:rsidR="00337DF9" w:rsidRPr="000176CC" w:rsidRDefault="00337DF9" w:rsidP="000D37F4">
            <w:pPr>
              <w:pStyle w:val="ExhibitText"/>
              <w:jc w:val="center"/>
              <w:rPr>
                <w:rFonts w:eastAsia="Calibri"/>
                <w:lang w:val="en-GB"/>
              </w:rPr>
            </w:pPr>
            <w:r w:rsidRPr="000176CC">
              <w:rPr>
                <w:rFonts w:eastAsia="Calibri"/>
                <w:lang w:val="en-GB"/>
              </w:rPr>
              <w:t>26.98</w:t>
            </w:r>
          </w:p>
        </w:tc>
      </w:tr>
      <w:tr w:rsidR="00F6370B" w:rsidRPr="000176CC" w14:paraId="4E37C06B" w14:textId="77777777" w:rsidTr="00D66356">
        <w:trPr>
          <w:jc w:val="center"/>
        </w:trPr>
        <w:tc>
          <w:tcPr>
            <w:tcW w:w="1525" w:type="dxa"/>
            <w:vAlign w:val="center"/>
          </w:tcPr>
          <w:p w14:paraId="13D9DB1E" w14:textId="28AFA1A4" w:rsidR="00337DF9" w:rsidRPr="000176CC" w:rsidRDefault="00337DF9" w:rsidP="000D37F4">
            <w:pPr>
              <w:pStyle w:val="ExhibitText"/>
              <w:jc w:val="center"/>
              <w:rPr>
                <w:rFonts w:eastAsia="Calibri"/>
                <w:lang w:val="en-GB"/>
              </w:rPr>
            </w:pPr>
            <w:r w:rsidRPr="000176CC">
              <w:rPr>
                <w:rFonts w:eastAsia="Calibri"/>
                <w:lang w:val="en-GB"/>
              </w:rPr>
              <w:t>15</w:t>
            </w:r>
            <w:r w:rsidR="00BB2914">
              <w:rPr>
                <w:rFonts w:eastAsia="Calibri"/>
                <w:lang w:val="en-GB"/>
              </w:rPr>
              <w:t>–</w:t>
            </w:r>
            <w:r w:rsidRPr="000176CC">
              <w:rPr>
                <w:rFonts w:eastAsia="Calibri"/>
                <w:lang w:val="en-GB"/>
              </w:rPr>
              <w:t>24</w:t>
            </w:r>
          </w:p>
        </w:tc>
        <w:tc>
          <w:tcPr>
            <w:tcW w:w="1731" w:type="dxa"/>
            <w:vAlign w:val="center"/>
          </w:tcPr>
          <w:p w14:paraId="27B7B8C2" w14:textId="77777777" w:rsidR="00337DF9" w:rsidRPr="000176CC" w:rsidRDefault="00337DF9" w:rsidP="000D37F4">
            <w:pPr>
              <w:pStyle w:val="ExhibitText"/>
              <w:jc w:val="center"/>
              <w:rPr>
                <w:rFonts w:eastAsia="Calibri"/>
                <w:lang w:val="en-GB"/>
              </w:rPr>
            </w:pPr>
            <w:r w:rsidRPr="000176CC">
              <w:rPr>
                <w:rFonts w:eastAsia="Calibri"/>
                <w:lang w:val="en-GB"/>
              </w:rPr>
              <w:t>17.79</w:t>
            </w:r>
          </w:p>
        </w:tc>
      </w:tr>
      <w:tr w:rsidR="00F6370B" w:rsidRPr="000176CC" w14:paraId="5DE60EA3" w14:textId="77777777" w:rsidTr="00D66356">
        <w:trPr>
          <w:jc w:val="center"/>
        </w:trPr>
        <w:tc>
          <w:tcPr>
            <w:tcW w:w="1525" w:type="dxa"/>
            <w:vAlign w:val="center"/>
          </w:tcPr>
          <w:p w14:paraId="4BDDAFD2" w14:textId="74D8E46C" w:rsidR="00337DF9" w:rsidRPr="000176CC" w:rsidRDefault="00337DF9" w:rsidP="000D37F4">
            <w:pPr>
              <w:pStyle w:val="ExhibitText"/>
              <w:jc w:val="center"/>
              <w:rPr>
                <w:rFonts w:eastAsia="Calibri"/>
                <w:lang w:val="en-GB"/>
              </w:rPr>
            </w:pPr>
            <w:r w:rsidRPr="000176CC">
              <w:rPr>
                <w:rFonts w:eastAsia="Calibri"/>
                <w:lang w:val="en-GB"/>
              </w:rPr>
              <w:t>25</w:t>
            </w:r>
            <w:r w:rsidR="00BB2914">
              <w:rPr>
                <w:rFonts w:eastAsia="Calibri"/>
                <w:lang w:val="en-GB"/>
              </w:rPr>
              <w:t>–</w:t>
            </w:r>
            <w:r w:rsidRPr="000176CC">
              <w:rPr>
                <w:rFonts w:eastAsia="Calibri"/>
                <w:lang w:val="en-GB"/>
              </w:rPr>
              <w:t>54</w:t>
            </w:r>
          </w:p>
        </w:tc>
        <w:tc>
          <w:tcPr>
            <w:tcW w:w="1731" w:type="dxa"/>
            <w:vAlign w:val="center"/>
          </w:tcPr>
          <w:p w14:paraId="12AEFB29" w14:textId="77777777" w:rsidR="00337DF9" w:rsidRPr="000176CC" w:rsidRDefault="00337DF9" w:rsidP="000D37F4">
            <w:pPr>
              <w:pStyle w:val="ExhibitText"/>
              <w:jc w:val="center"/>
              <w:rPr>
                <w:rFonts w:eastAsia="Calibri"/>
                <w:lang w:val="en-GB"/>
              </w:rPr>
            </w:pPr>
            <w:r w:rsidRPr="000176CC">
              <w:rPr>
                <w:rFonts w:eastAsia="Calibri"/>
                <w:lang w:val="en-GB"/>
              </w:rPr>
              <w:t>41.24</w:t>
            </w:r>
          </w:p>
        </w:tc>
      </w:tr>
      <w:tr w:rsidR="00F6370B" w:rsidRPr="000176CC" w14:paraId="28A4FC20" w14:textId="77777777" w:rsidTr="00D66356">
        <w:trPr>
          <w:jc w:val="center"/>
        </w:trPr>
        <w:tc>
          <w:tcPr>
            <w:tcW w:w="1525" w:type="dxa"/>
            <w:vAlign w:val="center"/>
          </w:tcPr>
          <w:p w14:paraId="5DCC6CA3" w14:textId="3FBFE6E4" w:rsidR="00337DF9" w:rsidRPr="000176CC" w:rsidRDefault="00337DF9" w:rsidP="000D37F4">
            <w:pPr>
              <w:pStyle w:val="ExhibitText"/>
              <w:jc w:val="center"/>
              <w:rPr>
                <w:rFonts w:eastAsia="Calibri"/>
                <w:lang w:val="en-GB"/>
              </w:rPr>
            </w:pPr>
            <w:r w:rsidRPr="000176CC">
              <w:rPr>
                <w:rFonts w:eastAsia="Calibri"/>
                <w:lang w:val="en-GB"/>
              </w:rPr>
              <w:t>55</w:t>
            </w:r>
            <w:r w:rsidR="00BB2914">
              <w:rPr>
                <w:rFonts w:eastAsia="Calibri"/>
                <w:lang w:val="en-GB"/>
              </w:rPr>
              <w:t>–</w:t>
            </w:r>
            <w:r w:rsidRPr="000176CC">
              <w:rPr>
                <w:rFonts w:eastAsia="Calibri"/>
                <w:lang w:val="en-GB"/>
              </w:rPr>
              <w:t>64</w:t>
            </w:r>
          </w:p>
        </w:tc>
        <w:tc>
          <w:tcPr>
            <w:tcW w:w="1731" w:type="dxa"/>
            <w:vAlign w:val="center"/>
          </w:tcPr>
          <w:p w14:paraId="067098DD" w14:textId="63738A1C" w:rsidR="00337DF9" w:rsidRPr="000176CC" w:rsidRDefault="00337DF9" w:rsidP="000D37F4">
            <w:pPr>
              <w:pStyle w:val="ExhibitText"/>
              <w:jc w:val="center"/>
              <w:rPr>
                <w:rFonts w:eastAsia="Calibri"/>
                <w:lang w:val="en-GB"/>
              </w:rPr>
            </w:pPr>
            <w:r w:rsidRPr="000176CC">
              <w:rPr>
                <w:rFonts w:eastAsia="Calibri"/>
                <w:lang w:val="en-GB"/>
              </w:rPr>
              <w:t>7.6</w:t>
            </w:r>
            <w:r w:rsidR="00AC1016">
              <w:rPr>
                <w:rFonts w:eastAsia="Calibri"/>
                <w:lang w:val="en-GB"/>
              </w:rPr>
              <w:t>0</w:t>
            </w:r>
          </w:p>
        </w:tc>
      </w:tr>
      <w:tr w:rsidR="00F6370B" w:rsidRPr="000176CC" w14:paraId="687EBF81" w14:textId="77777777" w:rsidTr="00D66356">
        <w:trPr>
          <w:jc w:val="center"/>
        </w:trPr>
        <w:tc>
          <w:tcPr>
            <w:tcW w:w="1525" w:type="dxa"/>
            <w:vAlign w:val="center"/>
          </w:tcPr>
          <w:p w14:paraId="5C69270C" w14:textId="77777777" w:rsidR="00337DF9" w:rsidRPr="000176CC" w:rsidRDefault="00337DF9" w:rsidP="000D37F4">
            <w:pPr>
              <w:pStyle w:val="ExhibitText"/>
              <w:jc w:val="center"/>
              <w:rPr>
                <w:rFonts w:eastAsia="Calibri"/>
                <w:lang w:val="en-GB"/>
              </w:rPr>
            </w:pPr>
            <w:r w:rsidRPr="000176CC">
              <w:rPr>
                <w:rFonts w:eastAsia="Calibri"/>
                <w:lang w:val="en-GB"/>
              </w:rPr>
              <w:t>65+</w:t>
            </w:r>
          </w:p>
        </w:tc>
        <w:tc>
          <w:tcPr>
            <w:tcW w:w="1731" w:type="dxa"/>
            <w:vAlign w:val="center"/>
          </w:tcPr>
          <w:p w14:paraId="490BE5E1" w14:textId="77777777" w:rsidR="00337DF9" w:rsidRPr="000176CC" w:rsidRDefault="00337DF9" w:rsidP="000D37F4">
            <w:pPr>
              <w:pStyle w:val="ExhibitText"/>
              <w:jc w:val="center"/>
              <w:rPr>
                <w:rFonts w:eastAsia="Calibri"/>
                <w:lang w:val="en-GB"/>
              </w:rPr>
            </w:pPr>
            <w:r w:rsidRPr="000176CC">
              <w:rPr>
                <w:rFonts w:eastAsia="Calibri"/>
                <w:lang w:val="en-GB"/>
              </w:rPr>
              <w:t>6.39</w:t>
            </w:r>
          </w:p>
        </w:tc>
      </w:tr>
    </w:tbl>
    <w:p w14:paraId="00D4250E" w14:textId="77777777" w:rsidR="00F6370B" w:rsidRPr="000176CC" w:rsidRDefault="00F6370B" w:rsidP="00F6370B">
      <w:pPr>
        <w:pStyle w:val="Footnote"/>
        <w:rPr>
          <w:rFonts w:eastAsia="Calibri"/>
          <w:lang w:val="en-GB"/>
        </w:rPr>
      </w:pPr>
    </w:p>
    <w:p w14:paraId="0EF3C233" w14:textId="346B4936" w:rsidR="000B0007" w:rsidRPr="000176CC" w:rsidRDefault="00337DF9" w:rsidP="00EE6773">
      <w:pPr>
        <w:pStyle w:val="Footnote"/>
        <w:rPr>
          <w:rFonts w:eastAsia="Calibri"/>
          <w:lang w:val="en-GB"/>
        </w:rPr>
      </w:pPr>
      <w:r w:rsidRPr="000176CC">
        <w:rPr>
          <w:rFonts w:eastAsia="Calibri"/>
          <w:lang w:val="en-GB"/>
        </w:rPr>
        <w:t xml:space="preserve">Source: Compiled from </w:t>
      </w:r>
      <w:r w:rsidR="00BB2914">
        <w:rPr>
          <w:rFonts w:eastAsia="Calibri"/>
          <w:lang w:val="en-GB"/>
        </w:rPr>
        <w:t>“</w:t>
      </w:r>
      <w:r w:rsidR="00BB7EA3">
        <w:rPr>
          <w:rFonts w:eastAsia="Calibri"/>
          <w:lang w:val="en-GB"/>
        </w:rPr>
        <w:t xml:space="preserve">South Asia: </w:t>
      </w:r>
      <w:r w:rsidR="00BB2914">
        <w:rPr>
          <w:rFonts w:eastAsia="Calibri"/>
          <w:lang w:val="en-GB"/>
        </w:rPr>
        <w:t xml:space="preserve">India,” </w:t>
      </w:r>
      <w:r w:rsidR="00BB7EA3">
        <w:rPr>
          <w:rFonts w:eastAsia="Calibri"/>
          <w:lang w:val="en-GB"/>
        </w:rPr>
        <w:t xml:space="preserve">Central Intelligence agency, The World Factbook, </w:t>
      </w:r>
      <w:r w:rsidR="00BB2914">
        <w:rPr>
          <w:rFonts w:eastAsia="Calibri"/>
          <w:lang w:val="en-GB"/>
        </w:rPr>
        <w:t xml:space="preserve">last </w:t>
      </w:r>
      <w:r w:rsidR="00BB7EA3">
        <w:rPr>
          <w:rFonts w:eastAsia="Calibri"/>
          <w:lang w:val="en-GB"/>
        </w:rPr>
        <w:t>updated July 1</w:t>
      </w:r>
      <w:r w:rsidR="00BB2914">
        <w:rPr>
          <w:rFonts w:eastAsia="Calibri"/>
          <w:lang w:val="en-GB"/>
        </w:rPr>
        <w:t>, 2019,</w:t>
      </w:r>
      <w:r w:rsidRPr="000176CC">
        <w:rPr>
          <w:rFonts w:eastAsia="Calibri"/>
          <w:lang w:val="en-GB"/>
        </w:rPr>
        <w:t xml:space="preserve"> </w:t>
      </w:r>
      <w:r w:rsidR="00BB7EA3">
        <w:rPr>
          <w:rFonts w:eastAsia="Calibri"/>
          <w:lang w:val="en-GB"/>
        </w:rPr>
        <w:t xml:space="preserve">accessed July 4, 2019, </w:t>
      </w:r>
      <w:r w:rsidR="00EE6773" w:rsidRPr="00EE6773">
        <w:rPr>
          <w:rFonts w:eastAsia="Calibri"/>
          <w:lang w:val="en-GB"/>
        </w:rPr>
        <w:t>www.cia.gov/library/publications/</w:t>
      </w:r>
      <w:r w:rsidR="00BB7EA3">
        <w:rPr>
          <w:rFonts w:eastAsia="Calibri"/>
          <w:lang w:val="en-GB"/>
        </w:rPr>
        <w:t>resources/</w:t>
      </w:r>
      <w:r w:rsidR="00EE6773" w:rsidRPr="00EE6773">
        <w:rPr>
          <w:rFonts w:eastAsia="Calibri"/>
          <w:lang w:val="en-GB"/>
        </w:rPr>
        <w:t>the-world-factbook/geos/in.html</w:t>
      </w:r>
      <w:r w:rsidR="00EE6773">
        <w:rPr>
          <w:rFonts w:eastAsia="Calibri"/>
          <w:lang w:val="en-GB"/>
        </w:rPr>
        <w:t>.</w:t>
      </w:r>
      <w:r w:rsidR="00EE6773" w:rsidRPr="00EE6773" w:rsidDel="00EE6773">
        <w:rPr>
          <w:rFonts w:eastAsia="Calibri"/>
          <w:lang w:val="en-GB"/>
        </w:rPr>
        <w:t xml:space="preserve"> </w:t>
      </w:r>
      <w:r w:rsidR="000B0007" w:rsidRPr="000176CC">
        <w:rPr>
          <w:rFonts w:eastAsia="Calibri"/>
          <w:lang w:val="en-GB"/>
        </w:rPr>
        <w:br w:type="page"/>
      </w:r>
    </w:p>
    <w:p w14:paraId="5889DA94" w14:textId="77777777" w:rsidR="00721268" w:rsidRDefault="00721268" w:rsidP="00F6370B">
      <w:pPr>
        <w:pStyle w:val="Casehead1"/>
        <w:rPr>
          <w:lang w:val="en-GB"/>
        </w:rPr>
        <w:sectPr w:rsidR="00721268" w:rsidSect="00D65552">
          <w:headerReference w:type="default" r:id="rId12"/>
          <w:endnotePr>
            <w:numFmt w:val="decimal"/>
          </w:endnotePr>
          <w:pgSz w:w="12240" w:h="15840" w:code="1"/>
          <w:pgMar w:top="1080" w:right="1440" w:bottom="1440" w:left="1440" w:header="1080" w:footer="720" w:gutter="0"/>
          <w:cols w:space="720"/>
          <w:titlePg/>
          <w:docGrid w:linePitch="360"/>
        </w:sectPr>
      </w:pPr>
    </w:p>
    <w:p w14:paraId="3CC14FEA" w14:textId="1CF0AF82" w:rsidR="00337DF9" w:rsidRPr="000176CC" w:rsidRDefault="00F6370B" w:rsidP="00F6370B">
      <w:pPr>
        <w:pStyle w:val="Casehead1"/>
        <w:rPr>
          <w:lang w:val="en-GB"/>
        </w:rPr>
      </w:pPr>
      <w:r w:rsidRPr="000176CC">
        <w:rPr>
          <w:lang w:val="en-GB"/>
        </w:rPr>
        <w:lastRenderedPageBreak/>
        <w:t>ENDNOTES</w:t>
      </w:r>
    </w:p>
    <w:sectPr w:rsidR="00337DF9" w:rsidRPr="000176CC" w:rsidSect="00D65552">
      <w:headerReference w:type="first" r:id="rId13"/>
      <w:endnotePr>
        <w:numFmt w:val="decimal"/>
      </w:endnotePr>
      <w:pgSz w:w="12240" w:h="15840" w:code="1"/>
      <w:pgMar w:top="1080" w:right="1440" w:bottom="1296"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3AEEC" w14:textId="77777777" w:rsidR="00C54AAC" w:rsidRDefault="00C54AAC" w:rsidP="00D75295">
      <w:r>
        <w:separator/>
      </w:r>
    </w:p>
  </w:endnote>
  <w:endnote w:type="continuationSeparator" w:id="0">
    <w:p w14:paraId="57155A38" w14:textId="77777777" w:rsidR="00C54AAC" w:rsidRDefault="00C54AAC" w:rsidP="00D75295">
      <w:r>
        <w:continuationSeparator/>
      </w:r>
    </w:p>
  </w:endnote>
  <w:endnote w:id="1">
    <w:p w14:paraId="32FAC4EB" w14:textId="753F233F" w:rsidR="000D37F4" w:rsidRPr="00721268" w:rsidRDefault="000D37F4">
      <w:pPr>
        <w:pStyle w:val="EndnoteText"/>
        <w:rPr>
          <w:rFonts w:ascii="Arial" w:hAnsi="Arial" w:cs="Arial"/>
          <w:sz w:val="17"/>
          <w:szCs w:val="17"/>
          <w:lang w:val="en-CA"/>
        </w:rPr>
      </w:pPr>
      <w:r w:rsidRPr="00721268">
        <w:rPr>
          <w:rStyle w:val="EndnoteReference"/>
          <w:rFonts w:ascii="Arial" w:hAnsi="Arial" w:cs="Arial"/>
          <w:sz w:val="17"/>
          <w:szCs w:val="17"/>
        </w:rPr>
        <w:endnoteRef/>
      </w:r>
      <w:r w:rsidRPr="00721268">
        <w:rPr>
          <w:rFonts w:ascii="Arial" w:hAnsi="Arial" w:cs="Arial"/>
          <w:sz w:val="17"/>
          <w:szCs w:val="17"/>
        </w:rPr>
        <w:t xml:space="preserve"> This case has been written on the basis of published sources only. Consequently, the interpretation and perspectives presented in this case are not necessarily those of </w:t>
      </w:r>
      <w:proofErr w:type="spellStart"/>
      <w:r w:rsidRPr="00721268">
        <w:rPr>
          <w:rFonts w:ascii="Arial" w:hAnsi="Arial" w:cs="Arial"/>
          <w:sz w:val="17"/>
          <w:szCs w:val="17"/>
          <w:lang w:val="en-CA"/>
        </w:rPr>
        <w:t>Parle</w:t>
      </w:r>
      <w:proofErr w:type="spellEnd"/>
      <w:r w:rsidRPr="00721268">
        <w:rPr>
          <w:rFonts w:ascii="Arial" w:hAnsi="Arial" w:cs="Arial"/>
          <w:sz w:val="17"/>
          <w:szCs w:val="17"/>
          <w:lang w:val="en-CA"/>
        </w:rPr>
        <w:t xml:space="preserve"> Products Private Limited </w:t>
      </w:r>
      <w:r w:rsidRPr="00721268">
        <w:rPr>
          <w:rFonts w:ascii="Arial" w:hAnsi="Arial" w:cs="Arial"/>
          <w:sz w:val="17"/>
          <w:szCs w:val="17"/>
        </w:rPr>
        <w:t>or any of its employees.</w:t>
      </w:r>
    </w:p>
  </w:endnote>
  <w:endnote w:id="2">
    <w:p w14:paraId="17FA6B4B" w14:textId="1DF30EF1"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w:t>
      </w:r>
      <w:proofErr w:type="spellStart"/>
      <w:r w:rsidRPr="00721268">
        <w:rPr>
          <w:lang w:val="en-GB"/>
        </w:rPr>
        <w:t>Viveat</w:t>
      </w:r>
      <w:proofErr w:type="spellEnd"/>
      <w:r w:rsidRPr="00721268">
        <w:rPr>
          <w:lang w:val="en-GB"/>
        </w:rPr>
        <w:t xml:space="preserve"> Susan Pinto,</w:t>
      </w:r>
      <w:r w:rsidR="00EF5499" w:rsidRPr="00721268">
        <w:rPr>
          <w:lang w:val="en-GB"/>
        </w:rPr>
        <w:t xml:space="preserve"> “</w:t>
      </w:r>
      <w:r w:rsidRPr="00721268">
        <w:rPr>
          <w:lang w:val="en-GB"/>
        </w:rPr>
        <w:t xml:space="preserve">Price of Glucose Biscuits to Rise after GST,” </w:t>
      </w:r>
      <w:r w:rsidRPr="00721268">
        <w:rPr>
          <w:i/>
          <w:iCs/>
          <w:lang w:val="en-GB"/>
        </w:rPr>
        <w:t>Business Standard</w:t>
      </w:r>
      <w:r w:rsidRPr="00721268">
        <w:rPr>
          <w:lang w:val="en-GB"/>
        </w:rPr>
        <w:t>, June 3, 2017, accessed November 26,</w:t>
      </w:r>
      <w:r w:rsidR="007A1B29" w:rsidRPr="00721268">
        <w:rPr>
          <w:lang w:val="en-GB"/>
        </w:rPr>
        <w:t> </w:t>
      </w:r>
      <w:r w:rsidRPr="00721268">
        <w:rPr>
          <w:lang w:val="en-GB"/>
        </w:rPr>
        <w:t>2018,</w:t>
      </w:r>
      <w:r w:rsidR="007A1B29" w:rsidRPr="00721268">
        <w:rPr>
          <w:lang w:val="en-GB"/>
        </w:rPr>
        <w:t> </w:t>
      </w:r>
      <w:r w:rsidRPr="00721268">
        <w:rPr>
          <w:spacing w:val="-4"/>
          <w:lang w:val="en-GB"/>
        </w:rPr>
        <w:t>www.business-standard.com/article/economy-policy/price-of-glucose-biscuits-to-rise-after-gst-117060300906_1.html.</w:t>
      </w:r>
    </w:p>
  </w:endnote>
  <w:endnote w:id="3">
    <w:p w14:paraId="5CF20781" w14:textId="29E1D09C"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In India, a “biscuit” was a small, flat, dry (but sweet) cake, raised with baking powder or soda.</w:t>
      </w:r>
    </w:p>
  </w:endnote>
  <w:endnote w:id="4">
    <w:p w14:paraId="4382FCBC" w14:textId="2F739ECF" w:rsidR="008852C3" w:rsidRPr="00721268" w:rsidRDefault="008852C3">
      <w:pPr>
        <w:pStyle w:val="EndnoteText"/>
        <w:rPr>
          <w:rFonts w:ascii="Arial" w:hAnsi="Arial" w:cs="Arial"/>
          <w:sz w:val="17"/>
          <w:szCs w:val="17"/>
          <w:lang w:val="en-CA"/>
        </w:rPr>
      </w:pPr>
      <w:r w:rsidRPr="00721268">
        <w:rPr>
          <w:rStyle w:val="EndnoteReference"/>
          <w:rFonts w:ascii="Arial" w:hAnsi="Arial" w:cs="Arial"/>
          <w:sz w:val="17"/>
          <w:szCs w:val="17"/>
        </w:rPr>
        <w:endnoteRef/>
      </w:r>
      <w:r w:rsidRPr="00721268">
        <w:rPr>
          <w:rFonts w:ascii="Arial" w:hAnsi="Arial" w:cs="Arial"/>
          <w:sz w:val="17"/>
          <w:szCs w:val="17"/>
        </w:rPr>
        <w:t xml:space="preserve"> </w:t>
      </w:r>
      <w:bookmarkStart w:id="0" w:name="_Hlk10623659"/>
      <w:r w:rsidRPr="00721268">
        <w:rPr>
          <w:rFonts w:ascii="Arial" w:hAnsi="Arial" w:cs="Arial"/>
          <w:sz w:val="17"/>
          <w:szCs w:val="17"/>
          <w:lang w:val="en-CA"/>
        </w:rPr>
        <w:t xml:space="preserve">₹ = INR = Indian rupee; ₹49.8527 </w:t>
      </w:r>
      <w:r w:rsidR="000D37F4" w:rsidRPr="00721268">
        <w:rPr>
          <w:rFonts w:ascii="Arial" w:hAnsi="Arial" w:cs="Arial"/>
          <w:sz w:val="17"/>
          <w:szCs w:val="17"/>
          <w:lang w:val="en-CA"/>
        </w:rPr>
        <w:t xml:space="preserve">= </w:t>
      </w:r>
      <w:r w:rsidR="000D37F4" w:rsidRPr="00721268">
        <w:rPr>
          <w:rFonts w:ascii="Arial" w:hAnsi="Arial" w:cs="Arial"/>
          <w:sz w:val="17"/>
          <w:szCs w:val="17"/>
          <w:lang w:val="en-CA"/>
        </w:rPr>
        <w:t xml:space="preserve">US$1 </w:t>
      </w:r>
      <w:r w:rsidRPr="00721268">
        <w:rPr>
          <w:rFonts w:ascii="Arial" w:hAnsi="Arial" w:cs="Arial"/>
          <w:sz w:val="17"/>
          <w:szCs w:val="17"/>
          <w:lang w:val="en-CA"/>
        </w:rPr>
        <w:t>on July 1, 2017</w:t>
      </w:r>
      <w:r w:rsidR="00CA04F7" w:rsidRPr="00721268">
        <w:rPr>
          <w:rFonts w:ascii="Arial" w:hAnsi="Arial" w:cs="Arial"/>
          <w:sz w:val="17"/>
          <w:szCs w:val="17"/>
          <w:lang w:val="en-CA"/>
        </w:rPr>
        <w:t>; all currency amounts are in ₹ unless otherwise specified</w:t>
      </w:r>
      <w:r w:rsidRPr="00721268">
        <w:rPr>
          <w:rFonts w:ascii="Arial" w:hAnsi="Arial" w:cs="Arial"/>
          <w:sz w:val="17"/>
          <w:szCs w:val="17"/>
          <w:lang w:val="en-CA"/>
        </w:rPr>
        <w:t xml:space="preserve">.  </w:t>
      </w:r>
      <w:bookmarkEnd w:id="0"/>
    </w:p>
  </w:endnote>
  <w:endnote w:id="5">
    <w:p w14:paraId="7CF2E11A" w14:textId="720D3FBA"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w:t>
      </w:r>
      <w:r w:rsidR="00E025CD" w:rsidRPr="00721268">
        <w:rPr>
          <w:lang w:val="en-GB"/>
        </w:rPr>
        <w:t>Pinto</w:t>
      </w:r>
      <w:r w:rsidRPr="00721268">
        <w:rPr>
          <w:lang w:val="en-GB"/>
        </w:rPr>
        <w:t>, op. cit</w:t>
      </w:r>
      <w:r w:rsidR="00EF5499" w:rsidRPr="00721268">
        <w:rPr>
          <w:lang w:val="en-GB"/>
        </w:rPr>
        <w:t>.</w:t>
      </w:r>
    </w:p>
  </w:endnote>
  <w:endnote w:id="6">
    <w:p w14:paraId="0CB29FE1" w14:textId="6090F54E"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Sangeetha G., “Mass Market Biscuits Turn Lighter, Premiums Heavier after GST,” </w:t>
      </w:r>
      <w:r w:rsidRPr="00721268">
        <w:rPr>
          <w:i/>
          <w:lang w:val="en-GB"/>
        </w:rPr>
        <w:t>Financial Chronical</w:t>
      </w:r>
      <w:r w:rsidRPr="00721268">
        <w:rPr>
          <w:lang w:val="en-GB"/>
        </w:rPr>
        <w:t>, accessed December 2018, www.mydigitalfc.com/brand/mass-market-biscuits-turn-lighter-premiums-heavier-after-gst.</w:t>
      </w:r>
    </w:p>
  </w:endnote>
  <w:endnote w:id="7">
    <w:p w14:paraId="1182D8D3" w14:textId="0E835070" w:rsidR="007A1B29" w:rsidRPr="00721268" w:rsidRDefault="008852C3" w:rsidP="006F2668">
      <w:pPr>
        <w:pStyle w:val="Footnote"/>
        <w:rPr>
          <w:lang w:val="en-GB"/>
        </w:rPr>
      </w:pPr>
      <w:r w:rsidRPr="00721268">
        <w:rPr>
          <w:rStyle w:val="EndnoteReference"/>
          <w:lang w:val="en-GB"/>
        </w:rPr>
        <w:endnoteRef/>
      </w:r>
      <w:r w:rsidRPr="00721268">
        <w:rPr>
          <w:lang w:val="en-GB"/>
        </w:rPr>
        <w:t xml:space="preserve"> Meenakshi Verma </w:t>
      </w:r>
      <w:proofErr w:type="spellStart"/>
      <w:r w:rsidRPr="00721268">
        <w:rPr>
          <w:lang w:val="en-GB"/>
        </w:rPr>
        <w:t>Ambwani</w:t>
      </w:r>
      <w:proofErr w:type="spellEnd"/>
      <w:r w:rsidRPr="00721268">
        <w:rPr>
          <w:lang w:val="en-GB"/>
        </w:rPr>
        <w:t xml:space="preserve">, “Biscuits Industry Baffled by Uniform 18% GST Rate,” </w:t>
      </w:r>
      <w:r w:rsidRPr="00721268">
        <w:rPr>
          <w:i/>
          <w:iCs/>
          <w:lang w:val="en-GB"/>
        </w:rPr>
        <w:t>The Hindu Business Line</w:t>
      </w:r>
      <w:r w:rsidRPr="00721268">
        <w:rPr>
          <w:lang w:val="en-GB"/>
        </w:rPr>
        <w:t>, January 5, 2017,</w:t>
      </w:r>
      <w:r w:rsidR="007A1B29" w:rsidRPr="00721268">
        <w:rPr>
          <w:lang w:val="en-GB"/>
        </w:rPr>
        <w:t> </w:t>
      </w:r>
      <w:r w:rsidRPr="00721268">
        <w:rPr>
          <w:lang w:val="en-GB"/>
        </w:rPr>
        <w:t>accessed</w:t>
      </w:r>
      <w:r w:rsidR="007A1B29" w:rsidRPr="00721268">
        <w:rPr>
          <w:lang w:val="en-GB"/>
        </w:rPr>
        <w:t> </w:t>
      </w:r>
      <w:r w:rsidRPr="00721268">
        <w:rPr>
          <w:lang w:val="en-GB"/>
        </w:rPr>
        <w:t>March</w:t>
      </w:r>
      <w:r w:rsidR="007A1B29" w:rsidRPr="00721268">
        <w:rPr>
          <w:lang w:val="en-GB"/>
        </w:rPr>
        <w:t> </w:t>
      </w:r>
      <w:r w:rsidRPr="00721268">
        <w:rPr>
          <w:lang w:val="en-GB"/>
        </w:rPr>
        <w:t>27,</w:t>
      </w:r>
      <w:r w:rsidR="007A1B29" w:rsidRPr="00721268">
        <w:rPr>
          <w:lang w:val="en-GB"/>
        </w:rPr>
        <w:t> </w:t>
      </w:r>
      <w:r w:rsidRPr="00721268">
        <w:rPr>
          <w:lang w:val="en-GB"/>
        </w:rPr>
        <w:t>2019,</w:t>
      </w:r>
      <w:r w:rsidR="007A1B29" w:rsidRPr="00721268">
        <w:rPr>
          <w:lang w:val="en-GB"/>
        </w:rPr>
        <w:t> www.thehindubusinessline.com/economy/biscuits-industry-baffled-by-uniform-18-gst-rate/</w:t>
      </w:r>
    </w:p>
    <w:p w14:paraId="3BAC30E9" w14:textId="67610ED4" w:rsidR="008852C3" w:rsidRPr="00721268" w:rsidRDefault="008852C3" w:rsidP="006F2668">
      <w:pPr>
        <w:pStyle w:val="Footnote"/>
        <w:rPr>
          <w:lang w:val="en-GB"/>
        </w:rPr>
      </w:pPr>
      <w:r w:rsidRPr="00721268">
        <w:rPr>
          <w:lang w:val="en-GB"/>
        </w:rPr>
        <w:t>article9720708.ece.</w:t>
      </w:r>
    </w:p>
  </w:endnote>
  <w:endnote w:id="8">
    <w:p w14:paraId="57DD40FF" w14:textId="516DE070"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Pinto, op. cit.</w:t>
      </w:r>
    </w:p>
  </w:endnote>
  <w:endnote w:id="9">
    <w:p w14:paraId="5E13551F" w14:textId="6E848D08"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Deepti Govind, “</w:t>
      </w:r>
      <w:proofErr w:type="spellStart"/>
      <w:r w:rsidRPr="00721268">
        <w:rPr>
          <w:lang w:val="en-GB"/>
        </w:rPr>
        <w:t>Parle</w:t>
      </w:r>
      <w:proofErr w:type="spellEnd"/>
      <w:r w:rsidRPr="00721268">
        <w:rPr>
          <w:lang w:val="en-GB"/>
        </w:rPr>
        <w:t xml:space="preserve"> to Hike Prices, Reduce Quantity of Biscuits in Some Packs as GST Bites,” </w:t>
      </w:r>
      <w:proofErr w:type="spellStart"/>
      <w:r w:rsidRPr="00721268">
        <w:rPr>
          <w:i/>
          <w:iCs/>
          <w:lang w:val="en-GB"/>
        </w:rPr>
        <w:t>Livemint</w:t>
      </w:r>
      <w:proofErr w:type="spellEnd"/>
      <w:r w:rsidRPr="00721268">
        <w:rPr>
          <w:lang w:val="en-GB"/>
        </w:rPr>
        <w:t>, February 26, 2018, accessed December 11, 2018, www.livemint.com/Companies/XVXVzEZEmwQpejddUUBHlM/Parle-to-hike-prices-reduce-quantity-of-biscuits-in-some-pa.html.</w:t>
      </w:r>
    </w:p>
  </w:endnote>
  <w:endnote w:id="10">
    <w:p w14:paraId="740A4EE9" w14:textId="51AD5C17" w:rsidR="007209C4" w:rsidRPr="00721268" w:rsidRDefault="007209C4">
      <w:pPr>
        <w:pStyle w:val="EndnoteText"/>
        <w:rPr>
          <w:rFonts w:ascii="Arial" w:hAnsi="Arial" w:cs="Arial"/>
          <w:sz w:val="17"/>
          <w:szCs w:val="17"/>
          <w:lang w:val="en-US"/>
        </w:rPr>
      </w:pPr>
      <w:r w:rsidRPr="00721268">
        <w:rPr>
          <w:rStyle w:val="EndnoteReference"/>
          <w:rFonts w:ascii="Arial" w:hAnsi="Arial" w:cs="Arial"/>
          <w:sz w:val="17"/>
          <w:szCs w:val="17"/>
        </w:rPr>
        <w:endnoteRef/>
      </w:r>
      <w:r w:rsidR="00EF5499" w:rsidRPr="00721268">
        <w:rPr>
          <w:rFonts w:ascii="Arial" w:hAnsi="Arial" w:cs="Arial"/>
          <w:sz w:val="17"/>
          <w:szCs w:val="17"/>
          <w:lang w:val="en-US"/>
        </w:rPr>
        <w:t xml:space="preserve"> </w:t>
      </w:r>
      <w:r w:rsidRPr="00721268">
        <w:rPr>
          <w:rFonts w:ascii="Arial" w:hAnsi="Arial" w:cs="Arial"/>
          <w:spacing w:val="-4"/>
          <w:sz w:val="17"/>
          <w:szCs w:val="17"/>
          <w:lang w:val="en-US"/>
        </w:rPr>
        <w:t xml:space="preserve">“Competition to Britannia,” </w:t>
      </w:r>
      <w:r w:rsidRPr="00721268">
        <w:rPr>
          <w:rFonts w:ascii="Arial" w:hAnsi="Arial" w:cs="Arial"/>
          <w:i/>
          <w:iCs/>
          <w:spacing w:val="-4"/>
          <w:sz w:val="17"/>
          <w:szCs w:val="17"/>
          <w:lang w:val="en-US"/>
        </w:rPr>
        <w:t>Britannia Marketing Blog</w:t>
      </w:r>
      <w:r w:rsidRPr="00721268">
        <w:rPr>
          <w:rFonts w:ascii="Arial" w:hAnsi="Arial" w:cs="Arial"/>
          <w:spacing w:val="-4"/>
          <w:sz w:val="17"/>
          <w:szCs w:val="17"/>
          <w:lang w:val="en-US"/>
        </w:rPr>
        <w:t xml:space="preserve">, September 4, 2015, accessed June 7, 2019, </w:t>
      </w:r>
      <w:r w:rsidRPr="00721268">
        <w:rPr>
          <w:rFonts w:ascii="Arial" w:hAnsi="Arial" w:cs="Arial"/>
          <w:spacing w:val="-4"/>
          <w:sz w:val="17"/>
          <w:szCs w:val="17"/>
        </w:rPr>
        <w:t>https://marketingbritannia.wordpress.com/2015/09/04/competition-to-britannia/</w:t>
      </w:r>
      <w:r w:rsidR="002B360B" w:rsidRPr="00721268">
        <w:rPr>
          <w:rFonts w:ascii="Arial" w:hAnsi="Arial" w:cs="Arial"/>
          <w:spacing w:val="-4"/>
          <w:sz w:val="17"/>
          <w:szCs w:val="17"/>
          <w:lang w:val="en-US"/>
        </w:rPr>
        <w:t>.</w:t>
      </w:r>
    </w:p>
  </w:endnote>
  <w:endnote w:id="11">
    <w:p w14:paraId="0A125792" w14:textId="6AEDB1DA" w:rsidR="00EF5499" w:rsidRPr="00721268" w:rsidRDefault="008852C3" w:rsidP="006F2668">
      <w:pPr>
        <w:pStyle w:val="Footnote"/>
        <w:rPr>
          <w:lang w:val="en-GB"/>
        </w:rPr>
      </w:pPr>
      <w:r w:rsidRPr="00721268">
        <w:rPr>
          <w:rStyle w:val="EndnoteReference"/>
          <w:lang w:val="en-GB"/>
        </w:rPr>
        <w:endnoteRef/>
      </w:r>
      <w:r w:rsidRPr="00721268">
        <w:rPr>
          <w:lang w:val="en-GB"/>
        </w:rPr>
        <w:t xml:space="preserve"> Pawan K. Aggarwal, </w:t>
      </w:r>
      <w:r w:rsidRPr="00721268">
        <w:rPr>
          <w:i/>
          <w:lang w:val="en-GB"/>
        </w:rPr>
        <w:t xml:space="preserve">Modified Value Added Tax (MODVAT): Structure and Resource Mobilisation </w:t>
      </w:r>
      <w:r w:rsidRPr="00721268">
        <w:rPr>
          <w:lang w:val="en-GB"/>
        </w:rPr>
        <w:t xml:space="preserve">(New Delhi, India: </w:t>
      </w:r>
      <w:r w:rsidR="00EF5499" w:rsidRPr="00721268">
        <w:rPr>
          <w:lang w:val="en-GB"/>
        </w:rPr>
        <w:t>National Institute of Public Finance and </w:t>
      </w:r>
      <w:r w:rsidRPr="00721268">
        <w:rPr>
          <w:lang w:val="en-GB"/>
        </w:rPr>
        <w:t>Policy,</w:t>
      </w:r>
      <w:r w:rsidR="00EF5499" w:rsidRPr="00721268">
        <w:rPr>
          <w:lang w:val="en-GB"/>
        </w:rPr>
        <w:t> </w:t>
      </w:r>
      <w:r w:rsidRPr="00721268">
        <w:rPr>
          <w:lang w:val="en-GB"/>
        </w:rPr>
        <w:t>1996),</w:t>
      </w:r>
      <w:r w:rsidR="00EF5499" w:rsidRPr="00721268">
        <w:rPr>
          <w:lang w:val="en-GB"/>
        </w:rPr>
        <w:t> accessed March 28, </w:t>
      </w:r>
      <w:r w:rsidRPr="00721268">
        <w:rPr>
          <w:lang w:val="en-GB"/>
        </w:rPr>
        <w:t xml:space="preserve">2019, </w:t>
      </w:r>
      <w:r w:rsidR="00EF5499" w:rsidRPr="00721268">
        <w:rPr>
          <w:lang w:val="en-GB"/>
        </w:rPr>
        <w:t>https://nipfp.org.in/media/medialibrary/2014/11/</w:t>
      </w:r>
    </w:p>
    <w:p w14:paraId="26B561FA" w14:textId="7CB62FF6" w:rsidR="008852C3" w:rsidRPr="00721268" w:rsidRDefault="008852C3" w:rsidP="006F2668">
      <w:pPr>
        <w:pStyle w:val="Footnote"/>
        <w:rPr>
          <w:lang w:val="en-GB"/>
        </w:rPr>
      </w:pPr>
      <w:r w:rsidRPr="00721268">
        <w:rPr>
          <w:lang w:val="en-GB"/>
        </w:rPr>
        <w:t xml:space="preserve">MODIFIED_VALUE_ADDED_TAX_MODVAT_STRUCTURE_AND_RESOURCE_MOBILISATION.pdf. </w:t>
      </w:r>
    </w:p>
  </w:endnote>
  <w:endnote w:id="12">
    <w:p w14:paraId="177C73E3" w14:textId="6FAC7449"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Mahesh C. Purohit and Vishnu Kanta Purohit, </w:t>
      </w:r>
      <w:r w:rsidRPr="00721268">
        <w:rPr>
          <w:i/>
          <w:lang w:val="en-GB"/>
        </w:rPr>
        <w:t>Goods and Services Tax in India: Estimating Revenue Implications of the Proposed GST</w:t>
      </w:r>
      <w:r w:rsidRPr="00721268">
        <w:rPr>
          <w:lang w:val="en-GB"/>
        </w:rPr>
        <w:t xml:space="preserve"> (New Delhi, India: Foundation for Public Economics and Policy Research, 2010), accessed March 28, 2019, https://fincomindia.nic.in/writereaddata/html_en_files/oldcommission_html/fincom13/discussion/report24.pdf. </w:t>
      </w:r>
    </w:p>
  </w:endnote>
  <w:endnote w:id="13">
    <w:p w14:paraId="1C768A8F" w14:textId="25008FB0" w:rsidR="008852C3" w:rsidRPr="00721268" w:rsidRDefault="008852C3" w:rsidP="006F2668">
      <w:pPr>
        <w:pStyle w:val="Footnote"/>
        <w:rPr>
          <w:lang w:val="en-GB"/>
        </w:rPr>
      </w:pPr>
      <w:r w:rsidRPr="00721268">
        <w:rPr>
          <w:rStyle w:val="EndnoteReference"/>
          <w:lang w:val="en-GB"/>
        </w:rPr>
        <w:endnoteRef/>
      </w:r>
      <w:r w:rsidR="00EF5499" w:rsidRPr="00721268">
        <w:rPr>
          <w:lang w:val="en-GB"/>
        </w:rPr>
        <w:t xml:space="preserve"> </w:t>
      </w:r>
      <w:r w:rsidRPr="00721268">
        <w:rPr>
          <w:lang w:val="en-GB"/>
        </w:rPr>
        <w:t>Tax had a cascading impact on prices and inflation when it was levied on a good or a service at each stage of the production process up to the point of being sold to the final consumer. In this process of levying the tax, the tax was imposed not only on the value of the output but also on the tax that had been paid at the earlier tax stages. Thus, there was a tax on tax, known as double taxation, which caused an increase in price.</w:t>
      </w:r>
    </w:p>
  </w:endnote>
  <w:endnote w:id="14">
    <w:p w14:paraId="32BFCED2" w14:textId="599D2895" w:rsidR="007A1B29" w:rsidRPr="00721268" w:rsidRDefault="008852C3" w:rsidP="006F2668">
      <w:pPr>
        <w:pStyle w:val="Footnote"/>
        <w:rPr>
          <w:lang w:val="en-GB"/>
        </w:rPr>
      </w:pPr>
      <w:r w:rsidRPr="00721268">
        <w:rPr>
          <w:rStyle w:val="EndnoteReference"/>
          <w:lang w:val="en-GB"/>
        </w:rPr>
        <w:endnoteRef/>
      </w:r>
      <w:r w:rsidRPr="00721268">
        <w:rPr>
          <w:lang w:val="en-GB"/>
        </w:rPr>
        <w:t xml:space="preserve"> Kumar A. N., Shah Deo, and Prerna Kittu Singh, “Goods and Service Tax (GST): India’s New Journey towards Indirect Taxation,”</w:t>
      </w:r>
      <w:r w:rsidR="007A1B29" w:rsidRPr="00721268">
        <w:rPr>
          <w:lang w:val="en-GB"/>
        </w:rPr>
        <w:t> </w:t>
      </w:r>
      <w:r w:rsidRPr="00721268">
        <w:rPr>
          <w:i/>
          <w:iCs/>
          <w:lang w:val="en-GB"/>
        </w:rPr>
        <w:t>International</w:t>
      </w:r>
      <w:r w:rsidR="007A1B29" w:rsidRPr="00721268">
        <w:rPr>
          <w:i/>
          <w:iCs/>
          <w:lang w:val="en-GB"/>
        </w:rPr>
        <w:t> </w:t>
      </w:r>
      <w:r w:rsidRPr="00721268">
        <w:rPr>
          <w:i/>
          <w:iCs/>
          <w:lang w:val="en-GB"/>
        </w:rPr>
        <w:t>Journal</w:t>
      </w:r>
      <w:r w:rsidR="007A1B29" w:rsidRPr="00721268">
        <w:rPr>
          <w:i/>
          <w:iCs/>
          <w:lang w:val="en-GB"/>
        </w:rPr>
        <w:t> </w:t>
      </w:r>
      <w:r w:rsidRPr="00721268">
        <w:rPr>
          <w:i/>
          <w:iCs/>
          <w:lang w:val="en-GB"/>
        </w:rPr>
        <w:t>of</w:t>
      </w:r>
      <w:r w:rsidR="007A1B29" w:rsidRPr="00721268">
        <w:rPr>
          <w:i/>
          <w:iCs/>
          <w:lang w:val="en-GB"/>
        </w:rPr>
        <w:t> </w:t>
      </w:r>
      <w:r w:rsidRPr="00721268">
        <w:rPr>
          <w:i/>
          <w:iCs/>
          <w:lang w:val="en-GB"/>
        </w:rPr>
        <w:t>Science</w:t>
      </w:r>
      <w:r w:rsidR="007A1B29" w:rsidRPr="00721268">
        <w:rPr>
          <w:i/>
          <w:iCs/>
          <w:lang w:val="en-GB"/>
        </w:rPr>
        <w:t> </w:t>
      </w:r>
      <w:r w:rsidRPr="00721268">
        <w:rPr>
          <w:i/>
          <w:iCs/>
          <w:lang w:val="en-GB"/>
        </w:rPr>
        <w:t>and</w:t>
      </w:r>
      <w:r w:rsidR="007A1B29" w:rsidRPr="00721268">
        <w:rPr>
          <w:i/>
          <w:iCs/>
          <w:lang w:val="en-GB"/>
        </w:rPr>
        <w:t> </w:t>
      </w:r>
      <w:r w:rsidRPr="00721268">
        <w:rPr>
          <w:i/>
          <w:iCs/>
          <w:lang w:val="en-GB"/>
        </w:rPr>
        <w:t>Research</w:t>
      </w:r>
      <w:r w:rsidRPr="00721268">
        <w:rPr>
          <w:lang w:val="en-GB"/>
        </w:rPr>
        <w:t>,</w:t>
      </w:r>
      <w:r w:rsidR="007A1B29" w:rsidRPr="00721268">
        <w:rPr>
          <w:lang w:val="en-GB"/>
        </w:rPr>
        <w:t> </w:t>
      </w:r>
      <w:r w:rsidRPr="00721268">
        <w:rPr>
          <w:lang w:val="en-GB"/>
        </w:rPr>
        <w:t>6,</w:t>
      </w:r>
      <w:r w:rsidR="007A1B29" w:rsidRPr="00721268">
        <w:rPr>
          <w:lang w:val="en-GB"/>
        </w:rPr>
        <w:t> </w:t>
      </w:r>
      <w:r w:rsidRPr="00721268">
        <w:rPr>
          <w:lang w:val="en-GB"/>
        </w:rPr>
        <w:t>no.</w:t>
      </w:r>
      <w:r w:rsidR="007A1B29" w:rsidRPr="00721268">
        <w:rPr>
          <w:lang w:val="en-GB"/>
        </w:rPr>
        <w:t> </w:t>
      </w:r>
      <w:r w:rsidRPr="00721268">
        <w:rPr>
          <w:lang w:val="en-GB"/>
        </w:rPr>
        <w:t>7</w:t>
      </w:r>
      <w:r w:rsidR="007A1B29" w:rsidRPr="00721268">
        <w:rPr>
          <w:lang w:val="en-GB"/>
        </w:rPr>
        <w:t> </w:t>
      </w:r>
      <w:r w:rsidRPr="00721268">
        <w:rPr>
          <w:lang w:val="en-GB"/>
        </w:rPr>
        <w:t>(July</w:t>
      </w:r>
      <w:r w:rsidR="007A1B29" w:rsidRPr="00721268">
        <w:rPr>
          <w:lang w:val="en-GB"/>
        </w:rPr>
        <w:t> </w:t>
      </w:r>
      <w:r w:rsidRPr="00721268">
        <w:rPr>
          <w:lang w:val="en-GB"/>
        </w:rPr>
        <w:t>2017):</w:t>
      </w:r>
      <w:r w:rsidR="00EF5499" w:rsidRPr="00721268">
        <w:rPr>
          <w:lang w:val="en-GB"/>
        </w:rPr>
        <w:t> </w:t>
      </w:r>
      <w:r w:rsidRPr="00721268">
        <w:rPr>
          <w:lang w:val="en-GB"/>
        </w:rPr>
        <w:t>1,</w:t>
      </w:r>
      <w:r w:rsidR="00EF5499" w:rsidRPr="00721268">
        <w:rPr>
          <w:lang w:val="en-GB"/>
        </w:rPr>
        <w:t> </w:t>
      </w:r>
      <w:r w:rsidRPr="00721268">
        <w:rPr>
          <w:lang w:val="en-GB"/>
        </w:rPr>
        <w:t>accessed</w:t>
      </w:r>
      <w:r w:rsidR="007A1B29" w:rsidRPr="00721268">
        <w:rPr>
          <w:lang w:val="en-GB"/>
        </w:rPr>
        <w:t> </w:t>
      </w:r>
      <w:r w:rsidRPr="00721268">
        <w:rPr>
          <w:lang w:val="en-GB"/>
        </w:rPr>
        <w:t>January</w:t>
      </w:r>
      <w:r w:rsidR="007A1B29" w:rsidRPr="00721268">
        <w:rPr>
          <w:lang w:val="en-GB"/>
        </w:rPr>
        <w:t> </w:t>
      </w:r>
      <w:r w:rsidRPr="00721268">
        <w:rPr>
          <w:lang w:val="en-GB"/>
        </w:rPr>
        <w:t>7,</w:t>
      </w:r>
      <w:r w:rsidR="007A1B29" w:rsidRPr="00721268">
        <w:rPr>
          <w:lang w:val="en-GB"/>
        </w:rPr>
        <w:t> </w:t>
      </w:r>
      <w:r w:rsidRPr="00721268">
        <w:rPr>
          <w:lang w:val="en-GB"/>
        </w:rPr>
        <w:t xml:space="preserve">2019, </w:t>
      </w:r>
      <w:r w:rsidR="007A1B29" w:rsidRPr="00721268">
        <w:rPr>
          <w:lang w:val="en-GB"/>
        </w:rPr>
        <w:t>www.ijsr.net/</w:t>
      </w:r>
    </w:p>
    <w:p w14:paraId="0AAE412E" w14:textId="767CF494" w:rsidR="008852C3" w:rsidRPr="00721268" w:rsidRDefault="008852C3" w:rsidP="006F2668">
      <w:pPr>
        <w:pStyle w:val="Footnote"/>
        <w:rPr>
          <w:lang w:val="en-GB"/>
        </w:rPr>
      </w:pPr>
      <w:r w:rsidRPr="00721268">
        <w:rPr>
          <w:lang w:val="en-GB"/>
        </w:rPr>
        <w:t xml:space="preserve">archive/v6i7/ART20175366.pdf. </w:t>
      </w:r>
    </w:p>
  </w:endnote>
  <w:endnote w:id="15">
    <w:p w14:paraId="5A074226" w14:textId="7DABB898"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w:t>
      </w:r>
      <w:r w:rsidRPr="00721268">
        <w:rPr>
          <w:spacing w:val="2"/>
          <w:lang w:val="en-GB"/>
        </w:rPr>
        <w:t xml:space="preserve">“GST Rate Slabs Simplified,” Kotak Mahindra Bank, accessed March 28, 2019, </w:t>
      </w:r>
      <w:r w:rsidR="000D37F4" w:rsidRPr="00721268">
        <w:rPr>
          <w:spacing w:val="2"/>
          <w:lang w:val="en-GB"/>
        </w:rPr>
        <w:t>www.</w:t>
      </w:r>
      <w:r w:rsidRPr="00721268">
        <w:rPr>
          <w:spacing w:val="2"/>
          <w:lang w:val="en-GB"/>
        </w:rPr>
        <w:t>kotak.com/en/stories-in-focus/gst-rate-slabs.html</w:t>
      </w:r>
      <w:r w:rsidR="00721268" w:rsidRPr="00721268">
        <w:rPr>
          <w:spacing w:val="2"/>
          <w:lang w:val="en-GB"/>
        </w:rPr>
        <w:t>.</w:t>
      </w:r>
    </w:p>
  </w:endnote>
  <w:endnote w:id="16">
    <w:p w14:paraId="63818DBC" w14:textId="317334C6"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17">
    <w:p w14:paraId="7C274EA5" w14:textId="4F49B06A"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18">
    <w:p w14:paraId="0B00F89F" w14:textId="5D0D318F"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Shana Bhat and Rohit Bhat, “A Study on the Problems of Goods and Services Tax on Hotel Industry in Mysore District,” </w:t>
      </w:r>
      <w:r w:rsidRPr="00721268">
        <w:rPr>
          <w:i/>
          <w:iCs/>
          <w:lang w:val="en-GB"/>
        </w:rPr>
        <w:t>IOSR Journal of Business and Management</w:t>
      </w:r>
      <w:r w:rsidRPr="00721268">
        <w:rPr>
          <w:lang w:val="en-GB"/>
        </w:rPr>
        <w:t xml:space="preserve">: 49–52, accessed January 7, 2018, </w:t>
      </w:r>
      <w:r w:rsidRPr="00721268">
        <w:rPr>
          <w:rStyle w:val="Hyperlink"/>
          <w:color w:val="auto"/>
          <w:u w:val="none"/>
          <w:lang w:val="en-GB"/>
        </w:rPr>
        <w:t>www.iosrjournals.org/iosr-jbm/papers/Conf.18010-2018/Volume%202/13.%2049-52.pdf</w:t>
      </w:r>
      <w:r w:rsidRPr="00721268">
        <w:rPr>
          <w:lang w:val="en-GB"/>
        </w:rPr>
        <w:t xml:space="preserve">. </w:t>
      </w:r>
    </w:p>
  </w:endnote>
  <w:endnote w:id="19">
    <w:p w14:paraId="3F4E95CC" w14:textId="5FA18CC6" w:rsidR="008852C3" w:rsidRPr="00721268" w:rsidRDefault="008852C3" w:rsidP="006F2668">
      <w:pPr>
        <w:pStyle w:val="Footnote"/>
        <w:rPr>
          <w:spacing w:val="2"/>
          <w:lang w:val="en-GB"/>
        </w:rPr>
      </w:pPr>
      <w:r w:rsidRPr="00721268">
        <w:rPr>
          <w:rStyle w:val="EndnoteReference"/>
          <w:spacing w:val="2"/>
          <w:lang w:val="en-GB"/>
        </w:rPr>
        <w:endnoteRef/>
      </w:r>
      <w:r w:rsidRPr="00721268">
        <w:rPr>
          <w:spacing w:val="2"/>
          <w:lang w:val="en-GB"/>
        </w:rPr>
        <w:t xml:space="preserve"> PTI, “</w:t>
      </w:r>
      <w:proofErr w:type="spellStart"/>
      <w:r w:rsidRPr="00721268">
        <w:rPr>
          <w:spacing w:val="2"/>
          <w:lang w:val="en-GB"/>
        </w:rPr>
        <w:t>Parle</w:t>
      </w:r>
      <w:proofErr w:type="spellEnd"/>
      <w:r w:rsidRPr="00721268">
        <w:rPr>
          <w:spacing w:val="2"/>
          <w:lang w:val="en-GB"/>
        </w:rPr>
        <w:t xml:space="preserve"> Planning to Hike Price of Glucose, Marie Biscuits,” </w:t>
      </w:r>
      <w:r w:rsidRPr="00721268">
        <w:rPr>
          <w:i/>
          <w:iCs/>
          <w:spacing w:val="2"/>
          <w:lang w:val="en-GB"/>
        </w:rPr>
        <w:t>The Times of India</w:t>
      </w:r>
      <w:r w:rsidRPr="00721268">
        <w:rPr>
          <w:spacing w:val="2"/>
          <w:lang w:val="en-GB"/>
        </w:rPr>
        <w:t>, December 17, 2017, accessed December</w:t>
      </w:r>
      <w:r w:rsidR="00721268">
        <w:rPr>
          <w:spacing w:val="2"/>
          <w:lang w:val="en-GB"/>
        </w:rPr>
        <w:t> </w:t>
      </w:r>
      <w:r w:rsidRPr="00721268">
        <w:rPr>
          <w:spacing w:val="2"/>
          <w:lang w:val="en-GB"/>
        </w:rPr>
        <w:t>24,</w:t>
      </w:r>
      <w:r w:rsidR="007A1B29" w:rsidRPr="00721268">
        <w:rPr>
          <w:spacing w:val="2"/>
          <w:lang w:val="en-GB"/>
        </w:rPr>
        <w:t> </w:t>
      </w:r>
      <w:r w:rsidRPr="00721268">
        <w:rPr>
          <w:spacing w:val="2"/>
          <w:lang w:val="en-GB"/>
        </w:rPr>
        <w:t>2018,</w:t>
      </w:r>
      <w:r w:rsidR="00C65C9C" w:rsidRPr="00721268">
        <w:rPr>
          <w:spacing w:val="2"/>
          <w:lang w:val="en-GB"/>
        </w:rPr>
        <w:t> </w:t>
      </w:r>
      <w:r w:rsidR="007A1B29" w:rsidRPr="00721268">
        <w:rPr>
          <w:rStyle w:val="Hyperlink"/>
          <w:color w:val="auto"/>
          <w:spacing w:val="2"/>
          <w:u w:val="none"/>
          <w:lang w:val="en-GB"/>
        </w:rPr>
        <w:t>https://timesofindia.indiatimes.com/business/india-business/parle-planning-to-hike-prices-of-glucose-marie-biscuits/</w:t>
      </w:r>
      <w:r w:rsidRPr="00721268">
        <w:rPr>
          <w:rStyle w:val="Hyperlink"/>
          <w:color w:val="auto"/>
          <w:spacing w:val="2"/>
          <w:u w:val="none"/>
          <w:lang w:val="en-GB"/>
        </w:rPr>
        <w:t>articleshow/62103619.cms</w:t>
      </w:r>
      <w:r w:rsidRPr="00721268">
        <w:rPr>
          <w:spacing w:val="2"/>
          <w:lang w:val="en-GB"/>
        </w:rPr>
        <w:t xml:space="preserve">. </w:t>
      </w:r>
    </w:p>
  </w:endnote>
  <w:endnote w:id="20">
    <w:p w14:paraId="55DA4F1C" w14:textId="12E45CFC" w:rsidR="008852C3" w:rsidRPr="00721268" w:rsidRDefault="008852C3" w:rsidP="00503FCB">
      <w:pPr>
        <w:pStyle w:val="Footnote"/>
        <w:rPr>
          <w:lang w:val="en-GB"/>
        </w:rPr>
      </w:pPr>
      <w:r w:rsidRPr="00721268">
        <w:rPr>
          <w:rStyle w:val="EndnoteReference"/>
          <w:lang w:val="en-GB"/>
        </w:rPr>
        <w:endnoteRef/>
      </w:r>
      <w:r w:rsidRPr="00721268">
        <w:rPr>
          <w:lang w:val="en-GB"/>
        </w:rPr>
        <w:t xml:space="preserve"> </w:t>
      </w:r>
      <w:proofErr w:type="spellStart"/>
      <w:r w:rsidRPr="00721268">
        <w:rPr>
          <w:lang w:val="en-GB"/>
        </w:rPr>
        <w:t>Gurman</w:t>
      </w:r>
      <w:proofErr w:type="spellEnd"/>
      <w:r w:rsidRPr="00721268">
        <w:rPr>
          <w:lang w:val="en-GB"/>
        </w:rPr>
        <w:t xml:space="preserve"> Bhatia, “Find out the GST Rate for </w:t>
      </w:r>
      <w:r w:rsidR="00CA04F7" w:rsidRPr="00721268">
        <w:rPr>
          <w:lang w:val="en-GB"/>
        </w:rPr>
        <w:t>o</w:t>
      </w:r>
      <w:r w:rsidRPr="00721268">
        <w:rPr>
          <w:lang w:val="en-GB"/>
        </w:rPr>
        <w:t xml:space="preserve">ver 1,800 Goods and Services,” </w:t>
      </w:r>
      <w:r w:rsidRPr="00721268">
        <w:rPr>
          <w:i/>
          <w:iCs/>
          <w:lang w:val="en-GB"/>
        </w:rPr>
        <w:t>Hindustan Times</w:t>
      </w:r>
      <w:r w:rsidRPr="00721268">
        <w:rPr>
          <w:lang w:val="en-GB"/>
        </w:rPr>
        <w:t>, November 14, 2017, accessed December 24, 2018, www.hindustantimes.com/interactives/gst-rate-complete-list/.</w:t>
      </w:r>
    </w:p>
  </w:endnote>
  <w:endnote w:id="21">
    <w:p w14:paraId="31E6C7A7" w14:textId="0607DBE0" w:rsidR="008852C3" w:rsidRPr="00721268" w:rsidRDefault="008852C3" w:rsidP="006F2668">
      <w:pPr>
        <w:pStyle w:val="Footnote"/>
        <w:rPr>
          <w:lang w:val="en-GB"/>
        </w:rPr>
      </w:pPr>
      <w:r w:rsidRPr="00721268">
        <w:rPr>
          <w:rStyle w:val="EndnoteReference"/>
          <w:lang w:val="en-GB"/>
        </w:rPr>
        <w:endnoteRef/>
      </w:r>
      <w:r w:rsidR="007A1B29" w:rsidRPr="00721268">
        <w:rPr>
          <w:lang w:val="en-GB"/>
        </w:rPr>
        <w:t> </w:t>
      </w:r>
      <w:r w:rsidRPr="00721268">
        <w:rPr>
          <w:lang w:val="en-GB"/>
        </w:rPr>
        <w:t>Pulses</w:t>
      </w:r>
      <w:r w:rsidR="007A1B29" w:rsidRPr="00721268">
        <w:rPr>
          <w:lang w:val="en-GB"/>
        </w:rPr>
        <w:t> </w:t>
      </w:r>
      <w:r w:rsidRPr="00721268">
        <w:rPr>
          <w:lang w:val="en-GB"/>
        </w:rPr>
        <w:t>were</w:t>
      </w:r>
      <w:r w:rsidR="007A1B29" w:rsidRPr="00721268">
        <w:rPr>
          <w:lang w:val="en-GB"/>
        </w:rPr>
        <w:t> </w:t>
      </w:r>
      <w:r w:rsidRPr="00721268">
        <w:rPr>
          <w:lang w:val="en-GB"/>
        </w:rPr>
        <w:t>the</w:t>
      </w:r>
      <w:r w:rsidR="007A1B29" w:rsidRPr="00721268">
        <w:rPr>
          <w:lang w:val="en-GB"/>
        </w:rPr>
        <w:t> </w:t>
      </w:r>
      <w:r w:rsidRPr="00721268">
        <w:rPr>
          <w:lang w:val="en-GB"/>
        </w:rPr>
        <w:t>dried</w:t>
      </w:r>
      <w:r w:rsidR="007A1B29" w:rsidRPr="00721268">
        <w:rPr>
          <w:lang w:val="en-GB"/>
        </w:rPr>
        <w:t> </w:t>
      </w:r>
      <w:r w:rsidRPr="00721268">
        <w:rPr>
          <w:lang w:val="en-GB"/>
        </w:rPr>
        <w:t>edible</w:t>
      </w:r>
      <w:r w:rsidR="007A1B29" w:rsidRPr="00721268">
        <w:rPr>
          <w:lang w:val="en-GB"/>
        </w:rPr>
        <w:t> </w:t>
      </w:r>
      <w:r w:rsidRPr="00721268">
        <w:rPr>
          <w:lang w:val="en-GB"/>
        </w:rPr>
        <w:t>seeds</w:t>
      </w:r>
      <w:r w:rsidR="007A1B29" w:rsidRPr="00721268">
        <w:rPr>
          <w:lang w:val="en-GB"/>
        </w:rPr>
        <w:t> </w:t>
      </w:r>
      <w:r w:rsidRPr="00721268">
        <w:rPr>
          <w:lang w:val="en-GB"/>
        </w:rPr>
        <w:t>of</w:t>
      </w:r>
      <w:r w:rsidR="007A1B29" w:rsidRPr="00721268">
        <w:rPr>
          <w:lang w:val="en-GB"/>
        </w:rPr>
        <w:t> </w:t>
      </w:r>
      <w:r w:rsidRPr="00721268">
        <w:rPr>
          <w:lang w:val="en-GB"/>
        </w:rPr>
        <w:t>plants</w:t>
      </w:r>
      <w:r w:rsidR="007A1B29" w:rsidRPr="00721268">
        <w:rPr>
          <w:lang w:val="en-GB"/>
        </w:rPr>
        <w:t> </w:t>
      </w:r>
      <w:r w:rsidRPr="00721268">
        <w:rPr>
          <w:lang w:val="en-GB"/>
        </w:rPr>
        <w:t>in</w:t>
      </w:r>
      <w:r w:rsidR="007A1B29" w:rsidRPr="00721268">
        <w:rPr>
          <w:lang w:val="en-GB"/>
        </w:rPr>
        <w:t> </w:t>
      </w:r>
      <w:r w:rsidRPr="00721268">
        <w:rPr>
          <w:lang w:val="en-GB"/>
        </w:rPr>
        <w:t>the</w:t>
      </w:r>
      <w:r w:rsidR="007A1B29" w:rsidRPr="00721268">
        <w:rPr>
          <w:lang w:val="en-GB"/>
        </w:rPr>
        <w:t> </w:t>
      </w:r>
      <w:r w:rsidRPr="00721268">
        <w:rPr>
          <w:lang w:val="en-GB"/>
        </w:rPr>
        <w:t>legume</w:t>
      </w:r>
      <w:r w:rsidR="007A1B29" w:rsidRPr="00721268">
        <w:rPr>
          <w:lang w:val="en-GB"/>
        </w:rPr>
        <w:t> </w:t>
      </w:r>
      <w:r w:rsidRPr="00721268">
        <w:rPr>
          <w:lang w:val="en-GB"/>
        </w:rPr>
        <w:t>family.</w:t>
      </w:r>
      <w:r w:rsidR="007A1B29" w:rsidRPr="00721268">
        <w:rPr>
          <w:lang w:val="en-GB"/>
        </w:rPr>
        <w:t> </w:t>
      </w:r>
      <w:r w:rsidRPr="00721268">
        <w:rPr>
          <w:lang w:val="en-GB"/>
        </w:rPr>
        <w:t>The</w:t>
      </w:r>
      <w:r w:rsidR="007A1B29" w:rsidRPr="00721268">
        <w:rPr>
          <w:lang w:val="en-GB"/>
        </w:rPr>
        <w:t> </w:t>
      </w:r>
      <w:r w:rsidRPr="00721268">
        <w:rPr>
          <w:lang w:val="en-GB"/>
        </w:rPr>
        <w:t>most</w:t>
      </w:r>
      <w:r w:rsidR="007A1B29" w:rsidRPr="00721268">
        <w:rPr>
          <w:lang w:val="en-GB"/>
        </w:rPr>
        <w:t> </w:t>
      </w:r>
      <w:r w:rsidRPr="00721268">
        <w:rPr>
          <w:lang w:val="en-GB"/>
        </w:rPr>
        <w:t>common</w:t>
      </w:r>
      <w:r w:rsidR="007A1B29" w:rsidRPr="00721268">
        <w:rPr>
          <w:lang w:val="en-GB"/>
        </w:rPr>
        <w:t> </w:t>
      </w:r>
      <w:r w:rsidRPr="00721268">
        <w:rPr>
          <w:lang w:val="en-GB"/>
        </w:rPr>
        <w:t>pulses</w:t>
      </w:r>
      <w:r w:rsidR="007A1B29" w:rsidRPr="00721268">
        <w:rPr>
          <w:lang w:val="en-GB"/>
        </w:rPr>
        <w:t> </w:t>
      </w:r>
      <w:r w:rsidRPr="00721268">
        <w:rPr>
          <w:lang w:val="en-GB"/>
        </w:rPr>
        <w:t>were</w:t>
      </w:r>
      <w:r w:rsidR="007A1B29" w:rsidRPr="00721268">
        <w:rPr>
          <w:lang w:val="en-GB"/>
        </w:rPr>
        <w:t> </w:t>
      </w:r>
      <w:r w:rsidRPr="00721268">
        <w:rPr>
          <w:lang w:val="en-GB"/>
        </w:rPr>
        <w:t>peas,</w:t>
      </w:r>
      <w:r w:rsidR="007A1B29" w:rsidRPr="00721268">
        <w:rPr>
          <w:lang w:val="en-GB"/>
        </w:rPr>
        <w:t> </w:t>
      </w:r>
      <w:r w:rsidRPr="00721268">
        <w:rPr>
          <w:lang w:val="en-GB"/>
        </w:rPr>
        <w:t>beans,</w:t>
      </w:r>
      <w:r w:rsidR="007A1B29" w:rsidRPr="00721268">
        <w:rPr>
          <w:lang w:val="en-GB"/>
        </w:rPr>
        <w:t> </w:t>
      </w:r>
      <w:r w:rsidRPr="00721268">
        <w:rPr>
          <w:lang w:val="en-GB"/>
        </w:rPr>
        <w:t>lentils,</w:t>
      </w:r>
      <w:r w:rsidR="007A1B29" w:rsidRPr="00721268">
        <w:rPr>
          <w:lang w:val="en-GB"/>
        </w:rPr>
        <w:t> </w:t>
      </w:r>
      <w:r w:rsidRPr="00721268">
        <w:rPr>
          <w:lang w:val="en-GB"/>
        </w:rPr>
        <w:t>and chickpeas.</w:t>
      </w:r>
    </w:p>
  </w:endnote>
  <w:endnote w:id="22">
    <w:p w14:paraId="4EFA7E8B" w14:textId="75A0071F"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Prachi Srivastava, “The </w:t>
      </w:r>
      <w:proofErr w:type="spellStart"/>
      <w:r w:rsidRPr="00721268">
        <w:rPr>
          <w:lang w:val="en-GB"/>
        </w:rPr>
        <w:t>Parle</w:t>
      </w:r>
      <w:proofErr w:type="spellEnd"/>
      <w:r w:rsidRPr="00721268">
        <w:rPr>
          <w:lang w:val="en-GB"/>
        </w:rPr>
        <w:t xml:space="preserve"> Story: From a Humble Beginning to an Inspirational Success,” </w:t>
      </w:r>
      <w:r w:rsidRPr="00721268">
        <w:rPr>
          <w:iCs/>
          <w:lang w:val="en-GB"/>
        </w:rPr>
        <w:t>Ad Age India</w:t>
      </w:r>
      <w:r w:rsidRPr="00721268">
        <w:rPr>
          <w:lang w:val="en-GB"/>
        </w:rPr>
        <w:t xml:space="preserve">, July 24, 2017, accessed December 18, 2018, www.adageindia.in/marketing/cmo-strategy/the-parle-story-from-a-humble-beginning-to-an-inspirational-success/articleshow/59682801.cms. </w:t>
      </w:r>
    </w:p>
  </w:endnote>
  <w:endnote w:id="23">
    <w:p w14:paraId="7AD5863D" w14:textId="32658B2D"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24">
    <w:p w14:paraId="6C8BDA01" w14:textId="173E1D36"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“Biscuits,” </w:t>
      </w:r>
      <w:proofErr w:type="spellStart"/>
      <w:r w:rsidRPr="00721268">
        <w:rPr>
          <w:lang w:val="en-GB"/>
        </w:rPr>
        <w:t>Parle</w:t>
      </w:r>
      <w:proofErr w:type="spellEnd"/>
      <w:r w:rsidRPr="00721268">
        <w:rPr>
          <w:lang w:val="en-GB"/>
        </w:rPr>
        <w:t xml:space="preserve"> Products </w:t>
      </w:r>
      <w:proofErr w:type="spellStart"/>
      <w:r w:rsidRPr="00721268">
        <w:rPr>
          <w:lang w:val="en-GB"/>
        </w:rPr>
        <w:t>Pvt.</w:t>
      </w:r>
      <w:proofErr w:type="spellEnd"/>
      <w:r w:rsidRPr="00721268">
        <w:rPr>
          <w:lang w:val="en-GB"/>
        </w:rPr>
        <w:t xml:space="preserve"> Ltd., accessed December 24, 2018, </w:t>
      </w:r>
      <w:r w:rsidRPr="00721268">
        <w:rPr>
          <w:rStyle w:val="Hyperlink"/>
          <w:color w:val="auto"/>
          <w:u w:val="none"/>
          <w:lang w:val="en-GB"/>
        </w:rPr>
        <w:t>www.parleproducts.com/biscuits</w:t>
      </w:r>
      <w:r w:rsidRPr="00721268">
        <w:rPr>
          <w:lang w:val="en-GB"/>
        </w:rPr>
        <w:t>.</w:t>
      </w:r>
    </w:p>
  </w:endnote>
  <w:endnote w:id="25">
    <w:p w14:paraId="4C373E57" w14:textId="58A83FD9"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w:t>
      </w:r>
      <w:proofErr w:type="spellStart"/>
      <w:r w:rsidRPr="00721268">
        <w:rPr>
          <w:lang w:val="en-GB"/>
        </w:rPr>
        <w:t>Ajita</w:t>
      </w:r>
      <w:proofErr w:type="spellEnd"/>
      <w:r w:rsidRPr="00721268">
        <w:rPr>
          <w:lang w:val="en-GB"/>
        </w:rPr>
        <w:t xml:space="preserve"> Shashidhar, “</w:t>
      </w:r>
      <w:proofErr w:type="spellStart"/>
      <w:r w:rsidRPr="00721268">
        <w:rPr>
          <w:lang w:val="en-GB"/>
        </w:rPr>
        <w:t>Parle</w:t>
      </w:r>
      <w:proofErr w:type="spellEnd"/>
      <w:r w:rsidRPr="00721268">
        <w:rPr>
          <w:lang w:val="en-GB"/>
        </w:rPr>
        <w:t xml:space="preserve"> Plans Big Overseas Push,” </w:t>
      </w:r>
      <w:r w:rsidRPr="00721268">
        <w:rPr>
          <w:i/>
          <w:iCs/>
          <w:lang w:val="en-GB"/>
        </w:rPr>
        <w:t>Business Today</w:t>
      </w:r>
      <w:r w:rsidRPr="00721268">
        <w:rPr>
          <w:lang w:val="en-GB"/>
        </w:rPr>
        <w:t xml:space="preserve">, April 23, 2013, accessed January 4, 2018, </w:t>
      </w:r>
      <w:r w:rsidRPr="00721268">
        <w:rPr>
          <w:rStyle w:val="Hyperlink"/>
          <w:color w:val="auto"/>
          <w:u w:val="none"/>
          <w:lang w:val="en-GB"/>
        </w:rPr>
        <w:t>www.businesstoday.in/opinion/interviews/parle-ajay-chauhan-and-arup-chauhan-on-future-endeavour/story/194344.html</w:t>
      </w:r>
      <w:r w:rsidRPr="00721268">
        <w:rPr>
          <w:lang w:val="en-GB"/>
        </w:rPr>
        <w:t xml:space="preserve">. </w:t>
      </w:r>
    </w:p>
  </w:endnote>
  <w:endnote w:id="26">
    <w:p w14:paraId="7E5F71AF" w14:textId="5A1C22A8"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Ad Age India Bureau, “</w:t>
      </w:r>
      <w:proofErr w:type="spellStart"/>
      <w:r w:rsidRPr="00721268">
        <w:rPr>
          <w:lang w:val="en-GB"/>
        </w:rPr>
        <w:t>Parle</w:t>
      </w:r>
      <w:proofErr w:type="spellEnd"/>
      <w:r w:rsidRPr="00721268">
        <w:rPr>
          <w:lang w:val="en-GB"/>
        </w:rPr>
        <w:t xml:space="preserve"> Aims to Increase its Market Share to 25% in Premium Biscuit Category,” Ad Age India, May 7, 2017, accessed December 5, 2018, www.adageindia.in/marketing/news/parle-aims-to-increase-its-market-share-to-25-in-premium-biscuit-category/articleshow/58564497.cms. </w:t>
      </w:r>
    </w:p>
  </w:endnote>
  <w:endnote w:id="27">
    <w:p w14:paraId="47E7015B" w14:textId="142ED398"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Soumya Gupta, “80 Years on, </w:t>
      </w:r>
      <w:proofErr w:type="spellStart"/>
      <w:r w:rsidRPr="00721268">
        <w:rPr>
          <w:lang w:val="en-GB"/>
        </w:rPr>
        <w:t>Parle</w:t>
      </w:r>
      <w:proofErr w:type="spellEnd"/>
      <w:r w:rsidRPr="00721268">
        <w:rPr>
          <w:lang w:val="en-GB"/>
        </w:rPr>
        <w:t xml:space="preserve">-G Continues to Dominate Biscuit Market,” </w:t>
      </w:r>
      <w:proofErr w:type="spellStart"/>
      <w:r w:rsidRPr="00721268">
        <w:rPr>
          <w:i/>
          <w:lang w:val="en-GB"/>
        </w:rPr>
        <w:t>Livemint</w:t>
      </w:r>
      <w:proofErr w:type="spellEnd"/>
      <w:r w:rsidRPr="00721268">
        <w:rPr>
          <w:lang w:val="en-GB"/>
        </w:rPr>
        <w:t>, December 19, 2017, accessed November</w:t>
      </w:r>
      <w:r w:rsidR="007A1B29" w:rsidRPr="00721268">
        <w:rPr>
          <w:lang w:val="en-GB"/>
        </w:rPr>
        <w:t> </w:t>
      </w:r>
      <w:r w:rsidRPr="00721268">
        <w:rPr>
          <w:lang w:val="en-GB"/>
        </w:rPr>
        <w:t>27,</w:t>
      </w:r>
      <w:r w:rsidR="007A1B29" w:rsidRPr="00721268">
        <w:rPr>
          <w:lang w:val="en-GB"/>
        </w:rPr>
        <w:t> </w:t>
      </w:r>
      <w:r w:rsidRPr="00721268">
        <w:rPr>
          <w:lang w:val="en-GB"/>
        </w:rPr>
        <w:t>2018,</w:t>
      </w:r>
      <w:r w:rsidR="007A1B29" w:rsidRPr="00721268">
        <w:rPr>
          <w:lang w:val="en-GB"/>
        </w:rPr>
        <w:t> </w:t>
      </w:r>
      <w:r w:rsidRPr="00721268">
        <w:rPr>
          <w:rStyle w:val="Hyperlink"/>
          <w:color w:val="auto"/>
          <w:u w:val="none"/>
          <w:lang w:val="en-GB"/>
        </w:rPr>
        <w:t>www.livemint.com/Companies/TdvnbHiNpTKA4KnTVeM2yM/80-years-on-ParleG-continues-to-dominate-biscuit-market.html</w:t>
      </w:r>
      <w:r w:rsidRPr="00721268">
        <w:rPr>
          <w:lang w:val="en-GB"/>
        </w:rPr>
        <w:t xml:space="preserve">.  </w:t>
      </w:r>
    </w:p>
  </w:endnote>
  <w:endnote w:id="28">
    <w:p w14:paraId="042BD123" w14:textId="7C98FEC2"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 </w:t>
      </w:r>
    </w:p>
  </w:endnote>
  <w:endnote w:id="29">
    <w:p w14:paraId="2002CD5C" w14:textId="14724846"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 </w:t>
      </w:r>
    </w:p>
  </w:endnote>
  <w:endnote w:id="30">
    <w:p w14:paraId="3535470D" w14:textId="58EF1EC2" w:rsidR="008852C3" w:rsidRPr="00721268" w:rsidRDefault="008852C3" w:rsidP="000922F1">
      <w:pPr>
        <w:pStyle w:val="Footnote"/>
        <w:rPr>
          <w:lang w:val="en-GB"/>
        </w:rPr>
      </w:pPr>
      <w:r w:rsidRPr="00721268">
        <w:rPr>
          <w:rStyle w:val="EndnoteReference"/>
          <w:lang w:val="en-GB"/>
        </w:rPr>
        <w:endnoteRef/>
      </w:r>
      <w:r w:rsidRPr="00721268">
        <w:rPr>
          <w:lang w:val="en-GB"/>
        </w:rPr>
        <w:t xml:space="preserve"> “Glucose Biscuits </w:t>
      </w:r>
      <w:proofErr w:type="spellStart"/>
      <w:r w:rsidRPr="00721268">
        <w:rPr>
          <w:lang w:val="en-GB"/>
        </w:rPr>
        <w:t>Parle</w:t>
      </w:r>
      <w:proofErr w:type="spellEnd"/>
      <w:r w:rsidRPr="00721268">
        <w:rPr>
          <w:lang w:val="en-GB"/>
        </w:rPr>
        <w:t xml:space="preserve"> G </w:t>
      </w:r>
      <w:proofErr w:type="spellStart"/>
      <w:r w:rsidRPr="00721268">
        <w:rPr>
          <w:lang w:val="en-GB"/>
        </w:rPr>
        <w:t>Parle</w:t>
      </w:r>
      <w:proofErr w:type="spellEnd"/>
      <w:r w:rsidRPr="00721268">
        <w:rPr>
          <w:lang w:val="en-GB"/>
        </w:rPr>
        <w:t xml:space="preserve">-G Biscuits,” </w:t>
      </w:r>
      <w:proofErr w:type="spellStart"/>
      <w:r w:rsidRPr="00721268">
        <w:rPr>
          <w:i/>
          <w:iCs/>
          <w:lang w:val="en-GB"/>
        </w:rPr>
        <w:t>Indiamart</w:t>
      </w:r>
      <w:proofErr w:type="spellEnd"/>
      <w:r w:rsidRPr="00721268">
        <w:rPr>
          <w:lang w:val="en-GB"/>
        </w:rPr>
        <w:t>, accessed December 24, 2018, www.indiamart.com/proddetail/parle-g-biscuits-6763719533.html.</w:t>
      </w:r>
    </w:p>
  </w:endnote>
  <w:endnote w:id="31">
    <w:p w14:paraId="0BF5855F" w14:textId="711A2B6C"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w:t>
      </w:r>
      <w:r w:rsidRPr="00721268">
        <w:rPr>
          <w:rFonts w:eastAsia="Calibri"/>
          <w:lang w:val="en-GB"/>
        </w:rPr>
        <w:t xml:space="preserve">Shruti Venkatesh, “Cookies and Beyond: How </w:t>
      </w:r>
      <w:proofErr w:type="spellStart"/>
      <w:r w:rsidRPr="00721268">
        <w:rPr>
          <w:rFonts w:eastAsia="Calibri"/>
          <w:lang w:val="en-GB"/>
        </w:rPr>
        <w:t>Parle</w:t>
      </w:r>
      <w:proofErr w:type="spellEnd"/>
      <w:r w:rsidRPr="00721268">
        <w:rPr>
          <w:rFonts w:eastAsia="Calibri"/>
          <w:lang w:val="en-GB"/>
        </w:rPr>
        <w:t xml:space="preserve"> Products Has Ditched Its Mass Brand Image by Scaling Up Its Premium Offerings,” </w:t>
      </w:r>
      <w:r w:rsidRPr="00721268">
        <w:rPr>
          <w:rFonts w:eastAsia="Calibri"/>
          <w:i/>
          <w:iCs/>
          <w:lang w:val="en-GB"/>
        </w:rPr>
        <w:t>Outlook Business</w:t>
      </w:r>
      <w:r w:rsidRPr="00721268">
        <w:rPr>
          <w:rFonts w:eastAsia="Calibri"/>
          <w:lang w:val="en-GB"/>
        </w:rPr>
        <w:t>, June 8, 2018, accessed March 27, 2019, www.outlookbusiness.com/strategy/feature/cookies-and-beyond-4397.</w:t>
      </w:r>
    </w:p>
  </w:endnote>
  <w:endnote w:id="32">
    <w:p w14:paraId="650A4F4C" w14:textId="08AA0D71"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r w:rsidR="00EF5499" w:rsidRPr="00721268">
        <w:rPr>
          <w:lang w:val="en-GB"/>
        </w:rPr>
        <w:t>.</w:t>
      </w:r>
    </w:p>
  </w:endnote>
  <w:endnote w:id="33">
    <w:p w14:paraId="579102E1" w14:textId="7ED24ABD"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34">
    <w:p w14:paraId="71285DA2" w14:textId="568DB91C"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Amit </w:t>
      </w:r>
      <w:proofErr w:type="spellStart"/>
      <w:r w:rsidRPr="00721268">
        <w:rPr>
          <w:lang w:val="en-GB"/>
        </w:rPr>
        <w:t>Bapna</w:t>
      </w:r>
      <w:proofErr w:type="spellEnd"/>
      <w:r w:rsidRPr="00721268">
        <w:rPr>
          <w:lang w:val="en-GB"/>
        </w:rPr>
        <w:t>, “</w:t>
      </w:r>
      <w:proofErr w:type="spellStart"/>
      <w:r w:rsidRPr="00721268">
        <w:rPr>
          <w:lang w:val="en-GB"/>
        </w:rPr>
        <w:t>Parle</w:t>
      </w:r>
      <w:proofErr w:type="spellEnd"/>
      <w:r w:rsidRPr="00721268">
        <w:rPr>
          <w:lang w:val="en-GB"/>
        </w:rPr>
        <w:t xml:space="preserve"> Goes Premium,” </w:t>
      </w:r>
      <w:r w:rsidRPr="00721268">
        <w:rPr>
          <w:i/>
          <w:iCs/>
          <w:lang w:val="en-GB"/>
        </w:rPr>
        <w:t xml:space="preserve">ET </w:t>
      </w:r>
      <w:proofErr w:type="spellStart"/>
      <w:r w:rsidRPr="00721268">
        <w:rPr>
          <w:i/>
          <w:iCs/>
          <w:lang w:val="en-GB"/>
        </w:rPr>
        <w:t>BrandEquity</w:t>
      </w:r>
      <w:proofErr w:type="spellEnd"/>
      <w:r w:rsidRPr="00721268">
        <w:rPr>
          <w:lang w:val="en-GB"/>
        </w:rPr>
        <w:t>, August 22, 2018, accessed December 5, 2018, https://brandequity.economictimes.indiatimes.com/news/business-of-brands/parle-goes-premium/65495701.</w:t>
      </w:r>
    </w:p>
  </w:endnote>
  <w:endnote w:id="35">
    <w:p w14:paraId="349CFF45" w14:textId="056C40DA"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Ad Age India Bureau, op. cit.</w:t>
      </w:r>
    </w:p>
  </w:endnote>
  <w:endnote w:id="36">
    <w:p w14:paraId="05F9D7CE" w14:textId="16DEA50A"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Press Trust of India, </w:t>
      </w:r>
      <w:proofErr w:type="spellStart"/>
      <w:r w:rsidRPr="00721268">
        <w:rPr>
          <w:lang w:val="en-GB"/>
        </w:rPr>
        <w:t>Parle</w:t>
      </w:r>
      <w:proofErr w:type="spellEnd"/>
      <w:r w:rsidRPr="00721268">
        <w:rPr>
          <w:lang w:val="en-GB"/>
        </w:rPr>
        <w:t xml:space="preserve"> Eyes 50% Market Share of Super Premium Biscuits,” </w:t>
      </w:r>
      <w:r w:rsidRPr="00721268">
        <w:rPr>
          <w:i/>
          <w:lang w:val="en-GB"/>
        </w:rPr>
        <w:t>Business Standard</w:t>
      </w:r>
      <w:r w:rsidRPr="00721268">
        <w:rPr>
          <w:lang w:val="en-GB"/>
        </w:rPr>
        <w:t>, April 30, 2018, accessed March 28,</w:t>
      </w:r>
      <w:r w:rsidR="007A1B29" w:rsidRPr="00721268">
        <w:rPr>
          <w:lang w:val="en-GB"/>
        </w:rPr>
        <w:t> </w:t>
      </w:r>
      <w:r w:rsidRPr="00721268">
        <w:rPr>
          <w:lang w:val="en-GB"/>
        </w:rPr>
        <w:t>2019,</w:t>
      </w:r>
      <w:r w:rsidR="007A1B29" w:rsidRPr="00721268">
        <w:rPr>
          <w:lang w:val="en-GB"/>
        </w:rPr>
        <w:t> </w:t>
      </w:r>
      <w:r w:rsidRPr="00721268">
        <w:rPr>
          <w:lang w:val="en-GB"/>
        </w:rPr>
        <w:t>www.business-standard.com/article/pti-stories/parle-eyes-50-market-share-of-super-premium-biscuits-118043000740_1.html.</w:t>
      </w:r>
    </w:p>
  </w:endnote>
  <w:endnote w:id="37">
    <w:p w14:paraId="5CD8B63A" w14:textId="25AD6D83"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38">
    <w:p w14:paraId="6C7B8C61" w14:textId="024ED5C7" w:rsidR="008852C3" w:rsidRPr="00721268" w:rsidRDefault="008852C3" w:rsidP="00DF6F78">
      <w:pPr>
        <w:pStyle w:val="Footnote"/>
        <w:rPr>
          <w:lang w:val="en-GB"/>
        </w:rPr>
      </w:pPr>
      <w:r w:rsidRPr="00721268">
        <w:rPr>
          <w:rStyle w:val="EndnoteReference"/>
          <w:lang w:val="en-GB"/>
        </w:rPr>
        <w:endnoteRef/>
      </w:r>
      <w:r w:rsidRPr="00721268">
        <w:rPr>
          <w:lang w:val="en-GB"/>
        </w:rPr>
        <w:t xml:space="preserve"> </w:t>
      </w:r>
      <w:r w:rsidRPr="00721268">
        <w:rPr>
          <w:rFonts w:eastAsia="Calibri"/>
          <w:lang w:val="en-GB"/>
        </w:rPr>
        <w:t xml:space="preserve">Ministry of Food Processing Industries, Government of India, </w:t>
      </w:r>
      <w:r w:rsidRPr="00721268">
        <w:rPr>
          <w:rFonts w:eastAsia="Calibri"/>
          <w:i/>
          <w:lang w:val="en-GB"/>
        </w:rPr>
        <w:t>High-Growth Segments of Indian Food and Beverage Industry</w:t>
      </w:r>
      <w:r w:rsidRPr="00721268" w:rsidDel="00AB6414">
        <w:rPr>
          <w:rFonts w:eastAsia="Calibri"/>
          <w:lang w:val="en-GB"/>
        </w:rPr>
        <w:t xml:space="preserve"> </w:t>
      </w:r>
      <w:r w:rsidRPr="00721268">
        <w:rPr>
          <w:rFonts w:eastAsia="Calibri"/>
          <w:lang w:val="en-GB"/>
        </w:rPr>
        <w:t>(Kolkata, India: Ernst &amp; Young LLP [EY] and Confederation of Indian Industry, 2017), accessed December 17, 2018, https://foodprocessingindia.co.in/pdf/high-growth.pdf.</w:t>
      </w:r>
    </w:p>
  </w:endnote>
  <w:endnote w:id="39">
    <w:p w14:paraId="5553E9AD" w14:textId="74F83491"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 </w:t>
      </w:r>
    </w:p>
  </w:endnote>
  <w:endnote w:id="40">
    <w:p w14:paraId="0F38664C" w14:textId="71058F97"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41">
    <w:p w14:paraId="01B92564" w14:textId="7D6289DD"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Srivastava, op. cit. </w:t>
      </w:r>
    </w:p>
  </w:endnote>
  <w:endnote w:id="42">
    <w:p w14:paraId="36DC0E26" w14:textId="3C557E78"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r w:rsidR="00EF5499" w:rsidRPr="00721268">
        <w:rPr>
          <w:lang w:val="en-GB"/>
        </w:rPr>
        <w:t>.</w:t>
      </w:r>
    </w:p>
  </w:endnote>
  <w:endnote w:id="43">
    <w:p w14:paraId="331790B7" w14:textId="16C987A7"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Karuna Sharma, “How Mass Market Biscuit Maker </w:t>
      </w:r>
      <w:proofErr w:type="spellStart"/>
      <w:r w:rsidRPr="00721268">
        <w:rPr>
          <w:lang w:val="en-GB"/>
        </w:rPr>
        <w:t>Parle</w:t>
      </w:r>
      <w:proofErr w:type="spellEnd"/>
      <w:r w:rsidRPr="00721268">
        <w:rPr>
          <w:lang w:val="en-GB"/>
        </w:rPr>
        <w:t xml:space="preserve"> Became a Leader in Luxury Chocolate Segment with Friberg</w:t>
      </w:r>
      <w:r w:rsidRPr="00721268">
        <w:rPr>
          <w:i/>
          <w:lang w:val="en-GB"/>
        </w:rPr>
        <w:t xml:space="preserve">,” </w:t>
      </w:r>
      <w:r w:rsidRPr="00721268">
        <w:rPr>
          <w:iCs/>
          <w:lang w:val="en-GB"/>
        </w:rPr>
        <w:t>Best Media Info</w:t>
      </w:r>
      <w:r w:rsidRPr="00721268">
        <w:rPr>
          <w:lang w:val="en-GB"/>
        </w:rPr>
        <w:t>, October 17, 2018, accessed December 25, 2018, http://bestmediainfo.com/2018/10/how-mass-market-biscuit-maker-parle-became-a-leader-in-luxury-chocolate-segment-with-friberg/.</w:t>
      </w:r>
    </w:p>
  </w:endnote>
  <w:endnote w:id="44">
    <w:p w14:paraId="2A177CD8" w14:textId="0D8D66C5"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“Gum in India,” </w:t>
      </w:r>
      <w:r w:rsidRPr="00721268">
        <w:rPr>
          <w:iCs/>
          <w:lang w:val="en-GB"/>
        </w:rPr>
        <w:t>Euromonitor International</w:t>
      </w:r>
      <w:r w:rsidRPr="00721268">
        <w:rPr>
          <w:lang w:val="en-GB"/>
        </w:rPr>
        <w:t xml:space="preserve">, August 2017, accessed December 18, 2018, www.euromonitor.com/gum-in-india/report. </w:t>
      </w:r>
    </w:p>
  </w:endnote>
  <w:endnote w:id="45">
    <w:p w14:paraId="621D456E" w14:textId="4C65D674"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Manu Balachandran, “</w:t>
      </w:r>
      <w:proofErr w:type="spellStart"/>
      <w:r w:rsidRPr="00721268">
        <w:rPr>
          <w:lang w:val="en-GB"/>
        </w:rPr>
        <w:t>Parle</w:t>
      </w:r>
      <w:proofErr w:type="spellEnd"/>
      <w:r w:rsidRPr="00721268">
        <w:rPr>
          <w:lang w:val="en-GB"/>
        </w:rPr>
        <w:t xml:space="preserve">-G Makers Have Found a Sweet Way to Tackle the GST Pinch – by Turning Back to Toffees,” Scroll.in, August 24, 2017, accessed November 2017, </w:t>
      </w:r>
      <w:r w:rsidRPr="00721268">
        <w:rPr>
          <w:rStyle w:val="Hyperlink"/>
          <w:color w:val="auto"/>
          <w:u w:val="none"/>
          <w:lang w:val="en-GB"/>
        </w:rPr>
        <w:t>https://scroll.in/article/848223/parle-g-makers-have-found-a-sweet-way-to-tackle-the-gst-pinch-by-turning-back-to-toffees</w:t>
      </w:r>
      <w:r w:rsidRPr="00721268">
        <w:rPr>
          <w:lang w:val="en-GB"/>
        </w:rPr>
        <w:t>.</w:t>
      </w:r>
    </w:p>
  </w:endnote>
  <w:endnote w:id="46">
    <w:p w14:paraId="17FD7A6F" w14:textId="36E18614"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Srivastava, op. cit.</w:t>
      </w:r>
    </w:p>
  </w:endnote>
  <w:endnote w:id="47">
    <w:p w14:paraId="724EB642" w14:textId="28CBCEE0" w:rsidR="008852C3" w:rsidRPr="00721268" w:rsidRDefault="008852C3" w:rsidP="00E055EC">
      <w:pPr>
        <w:pStyle w:val="Footnote"/>
        <w:rPr>
          <w:rFonts w:eastAsia="Calibri"/>
          <w:lang w:val="en-GB"/>
        </w:rPr>
      </w:pPr>
      <w:r w:rsidRPr="00721268">
        <w:rPr>
          <w:rStyle w:val="EndnoteReference"/>
          <w:lang w:val="en-GB"/>
        </w:rPr>
        <w:endnoteRef/>
      </w:r>
      <w:r w:rsidRPr="00721268">
        <w:rPr>
          <w:lang w:val="en-GB"/>
        </w:rPr>
        <w:t xml:space="preserve"> </w:t>
      </w:r>
      <w:r w:rsidRPr="00721268">
        <w:rPr>
          <w:rFonts w:eastAsia="Calibri"/>
          <w:lang w:val="en-GB"/>
        </w:rPr>
        <w:t>“Market Share of Salty Snack Companies in India in 2016, by Select Company,” Statista, accessed December 26, 2018, www.statista.com/statistics/725855/salty-snacks-market-share-by-key-company-india/.</w:t>
      </w:r>
    </w:p>
  </w:endnote>
  <w:endnote w:id="48">
    <w:p w14:paraId="50B2FC2F" w14:textId="5B25A730"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Venkatesh, op. cit.</w:t>
      </w:r>
    </w:p>
  </w:endnote>
  <w:endnote w:id="49">
    <w:p w14:paraId="7D817ACD" w14:textId="4E8BB2FB"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50">
    <w:p w14:paraId="6B51019B" w14:textId="605E1927"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Srivastava, op. cit.</w:t>
      </w:r>
    </w:p>
  </w:endnote>
  <w:endnote w:id="51">
    <w:p w14:paraId="1DB79052" w14:textId="14F7E26F"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52">
    <w:p w14:paraId="26285AC1" w14:textId="04B67A12"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53">
    <w:p w14:paraId="31B8E40C" w14:textId="70CFE333" w:rsidR="00721268" w:rsidRPr="00721268" w:rsidRDefault="008852C3" w:rsidP="006F2668">
      <w:pPr>
        <w:pStyle w:val="Footnote"/>
        <w:rPr>
          <w:lang w:val="en-GB"/>
        </w:rPr>
      </w:pPr>
      <w:r w:rsidRPr="00721268">
        <w:rPr>
          <w:rStyle w:val="EndnoteReference"/>
          <w:lang w:val="en-GB"/>
        </w:rPr>
        <w:endnoteRef/>
      </w:r>
      <w:r w:rsidR="00721268">
        <w:rPr>
          <w:lang w:val="en-GB"/>
        </w:rPr>
        <w:t> </w:t>
      </w:r>
      <w:r w:rsidRPr="00721268">
        <w:rPr>
          <w:lang w:val="en-GB"/>
        </w:rPr>
        <w:t>Sangeeta</w:t>
      </w:r>
      <w:r w:rsidR="00721268" w:rsidRPr="00721268">
        <w:rPr>
          <w:lang w:val="en-GB"/>
        </w:rPr>
        <w:t> </w:t>
      </w:r>
      <w:proofErr w:type="spellStart"/>
      <w:r w:rsidRPr="00721268">
        <w:rPr>
          <w:lang w:val="en-GB"/>
        </w:rPr>
        <w:t>Tanwar</w:t>
      </w:r>
      <w:proofErr w:type="spellEnd"/>
      <w:r w:rsidRPr="00721268">
        <w:rPr>
          <w:lang w:val="en-GB"/>
        </w:rPr>
        <w:t>,</w:t>
      </w:r>
      <w:r w:rsidR="00721268" w:rsidRPr="00721268">
        <w:rPr>
          <w:lang w:val="en-GB"/>
        </w:rPr>
        <w:t> </w:t>
      </w:r>
      <w:r w:rsidRPr="00721268">
        <w:rPr>
          <w:lang w:val="en-GB"/>
        </w:rPr>
        <w:t>“How</w:t>
      </w:r>
      <w:r w:rsidR="00721268" w:rsidRPr="00721268">
        <w:rPr>
          <w:lang w:val="en-GB"/>
        </w:rPr>
        <w:t> </w:t>
      </w:r>
      <w:proofErr w:type="spellStart"/>
      <w:r w:rsidRPr="00721268">
        <w:rPr>
          <w:lang w:val="en-GB"/>
        </w:rPr>
        <w:t>Parle</w:t>
      </w:r>
      <w:proofErr w:type="spellEnd"/>
      <w:r w:rsidR="00721268" w:rsidRPr="00721268">
        <w:rPr>
          <w:lang w:val="en-GB"/>
        </w:rPr>
        <w:t> </w:t>
      </w:r>
      <w:r w:rsidRPr="00721268">
        <w:rPr>
          <w:lang w:val="en-GB"/>
        </w:rPr>
        <w:t>Markets</w:t>
      </w:r>
      <w:r w:rsidR="00721268" w:rsidRPr="00721268">
        <w:rPr>
          <w:lang w:val="en-GB"/>
        </w:rPr>
        <w:t> </w:t>
      </w:r>
      <w:r w:rsidRPr="00721268">
        <w:rPr>
          <w:lang w:val="en-GB"/>
        </w:rPr>
        <w:t>Dal,”</w:t>
      </w:r>
      <w:r w:rsidR="00721268" w:rsidRPr="00721268">
        <w:rPr>
          <w:lang w:val="en-GB"/>
        </w:rPr>
        <w:t> </w:t>
      </w:r>
      <w:r w:rsidRPr="00721268">
        <w:rPr>
          <w:iCs/>
          <w:lang w:val="en-GB"/>
        </w:rPr>
        <w:t>Rediff.com</w:t>
      </w:r>
      <w:r w:rsidRPr="00721268">
        <w:rPr>
          <w:lang w:val="en-GB"/>
        </w:rPr>
        <w:t>,</w:t>
      </w:r>
      <w:r w:rsidR="00721268" w:rsidRPr="00721268">
        <w:rPr>
          <w:lang w:val="en-GB"/>
        </w:rPr>
        <w:t> </w:t>
      </w:r>
      <w:r w:rsidRPr="00721268">
        <w:rPr>
          <w:lang w:val="en-GB"/>
        </w:rPr>
        <w:t>August</w:t>
      </w:r>
      <w:r w:rsidR="00721268" w:rsidRPr="00721268">
        <w:rPr>
          <w:lang w:val="en-GB"/>
        </w:rPr>
        <w:t> </w:t>
      </w:r>
      <w:r w:rsidRPr="00721268">
        <w:rPr>
          <w:lang w:val="en-GB"/>
        </w:rPr>
        <w:t>16,</w:t>
      </w:r>
      <w:r w:rsidR="00721268" w:rsidRPr="00721268">
        <w:rPr>
          <w:lang w:val="en-GB"/>
        </w:rPr>
        <w:t> </w:t>
      </w:r>
      <w:r w:rsidRPr="00721268">
        <w:rPr>
          <w:lang w:val="en-GB"/>
        </w:rPr>
        <w:t>2017,</w:t>
      </w:r>
      <w:r w:rsidR="00721268" w:rsidRPr="00721268">
        <w:rPr>
          <w:lang w:val="en-GB"/>
        </w:rPr>
        <w:t> </w:t>
      </w:r>
      <w:r w:rsidRPr="00721268">
        <w:rPr>
          <w:lang w:val="en-GB"/>
        </w:rPr>
        <w:t>accessed</w:t>
      </w:r>
      <w:r w:rsidR="00721268" w:rsidRPr="00721268">
        <w:rPr>
          <w:lang w:val="en-GB"/>
        </w:rPr>
        <w:t> </w:t>
      </w:r>
      <w:r w:rsidRPr="00721268">
        <w:rPr>
          <w:lang w:val="en-GB"/>
        </w:rPr>
        <w:t>December</w:t>
      </w:r>
      <w:r w:rsidR="00721268" w:rsidRPr="00721268">
        <w:rPr>
          <w:lang w:val="en-GB"/>
        </w:rPr>
        <w:t> </w:t>
      </w:r>
      <w:r w:rsidRPr="00721268">
        <w:rPr>
          <w:lang w:val="en-GB"/>
        </w:rPr>
        <w:t>25,</w:t>
      </w:r>
      <w:r w:rsidR="00721268" w:rsidRPr="00721268">
        <w:rPr>
          <w:lang w:val="en-GB"/>
        </w:rPr>
        <w:t> </w:t>
      </w:r>
      <w:r w:rsidRPr="00721268">
        <w:rPr>
          <w:lang w:val="en-GB"/>
        </w:rPr>
        <w:t xml:space="preserve">2018, </w:t>
      </w:r>
      <w:r w:rsidR="00721268" w:rsidRPr="00721268">
        <w:rPr>
          <w:lang w:val="en-GB"/>
        </w:rPr>
        <w:t>www.rediff.com/</w:t>
      </w:r>
    </w:p>
    <w:p w14:paraId="752E6418" w14:textId="175BA440" w:rsidR="008852C3" w:rsidRPr="00721268" w:rsidRDefault="008852C3" w:rsidP="006F2668">
      <w:pPr>
        <w:pStyle w:val="Footnote"/>
        <w:rPr>
          <w:lang w:val="en-GB"/>
        </w:rPr>
      </w:pPr>
      <w:r w:rsidRPr="00721268">
        <w:rPr>
          <w:lang w:val="en-GB"/>
        </w:rPr>
        <w:t>business/report/</w:t>
      </w:r>
      <w:proofErr w:type="spellStart"/>
      <w:r w:rsidRPr="00721268">
        <w:rPr>
          <w:lang w:val="en-GB"/>
        </w:rPr>
        <w:t>parle</w:t>
      </w:r>
      <w:proofErr w:type="spellEnd"/>
      <w:r w:rsidRPr="00721268">
        <w:rPr>
          <w:lang w:val="en-GB"/>
        </w:rPr>
        <w:t>-dal-fry-anyone-/20170816.htm.</w:t>
      </w:r>
    </w:p>
  </w:endnote>
  <w:endnote w:id="54">
    <w:p w14:paraId="0FC2DF96" w14:textId="6775AB6D"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55">
    <w:p w14:paraId="42084280" w14:textId="283E58DA"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56">
    <w:p w14:paraId="51EC0D81" w14:textId="69EF1A62"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Press Trust of India, “</w:t>
      </w:r>
      <w:proofErr w:type="spellStart"/>
      <w:r w:rsidRPr="00721268">
        <w:rPr>
          <w:lang w:val="en-GB"/>
        </w:rPr>
        <w:t>Parle</w:t>
      </w:r>
      <w:proofErr w:type="spellEnd"/>
      <w:r w:rsidRPr="00721268">
        <w:rPr>
          <w:lang w:val="en-GB"/>
        </w:rPr>
        <w:t xml:space="preserve"> Products Enters Pulses Category,” </w:t>
      </w:r>
      <w:r w:rsidRPr="00721268">
        <w:rPr>
          <w:i/>
          <w:iCs/>
          <w:lang w:val="en-GB"/>
        </w:rPr>
        <w:t>Business Standard</w:t>
      </w:r>
      <w:r w:rsidRPr="00721268">
        <w:rPr>
          <w:lang w:val="en-GB"/>
        </w:rPr>
        <w:t>, June 5, 2017, accessed December 19, 2018, www.business-standard.com/article/pti-stories/parle-products-enters-pulses-category-117060500899_1.html.</w:t>
      </w:r>
    </w:p>
  </w:endnote>
  <w:endnote w:id="57">
    <w:p w14:paraId="563991B7" w14:textId="62BF7255" w:rsidR="00EF5499" w:rsidRPr="00721268" w:rsidRDefault="008852C3" w:rsidP="006F2668">
      <w:pPr>
        <w:pStyle w:val="Footnote"/>
        <w:rPr>
          <w:rFonts w:eastAsia="Calibri"/>
          <w:lang w:val="en-GB"/>
        </w:rPr>
      </w:pPr>
      <w:r w:rsidRPr="00721268">
        <w:rPr>
          <w:rStyle w:val="EndnoteReference"/>
          <w:lang w:val="en-GB"/>
        </w:rPr>
        <w:endnoteRef/>
      </w:r>
      <w:r w:rsidRPr="00721268">
        <w:rPr>
          <w:lang w:val="en-GB"/>
        </w:rPr>
        <w:t xml:space="preserve"> </w:t>
      </w:r>
      <w:r w:rsidRPr="00721268">
        <w:rPr>
          <w:rFonts w:eastAsia="Calibri"/>
          <w:lang w:val="en-GB"/>
        </w:rPr>
        <w:t xml:space="preserve">Jurgen </w:t>
      </w:r>
      <w:proofErr w:type="spellStart"/>
      <w:r w:rsidRPr="00721268">
        <w:rPr>
          <w:rFonts w:eastAsia="Calibri"/>
          <w:lang w:val="en-GB"/>
        </w:rPr>
        <w:t>Maerschand</w:t>
      </w:r>
      <w:proofErr w:type="spellEnd"/>
      <w:r w:rsidRPr="00721268">
        <w:rPr>
          <w:rFonts w:eastAsia="Calibri"/>
          <w:lang w:val="en-GB"/>
        </w:rPr>
        <w:t xml:space="preserve"> and Maxime </w:t>
      </w:r>
      <w:proofErr w:type="spellStart"/>
      <w:r w:rsidRPr="00721268">
        <w:rPr>
          <w:rFonts w:eastAsia="Calibri"/>
          <w:lang w:val="en-GB"/>
        </w:rPr>
        <w:t>Willaert</w:t>
      </w:r>
      <w:proofErr w:type="spellEnd"/>
      <w:r w:rsidRPr="00721268">
        <w:rPr>
          <w:rFonts w:eastAsia="Calibri"/>
          <w:i/>
          <w:lang w:val="en-GB"/>
        </w:rPr>
        <w:t>, Growing Opportunities in the Indian Food Market</w:t>
      </w:r>
      <w:r w:rsidRPr="00721268">
        <w:rPr>
          <w:rFonts w:eastAsia="Calibri"/>
          <w:lang w:val="en-GB"/>
        </w:rPr>
        <w:t xml:space="preserve"> (Mumbai, India: Flanders Investment</w:t>
      </w:r>
      <w:r w:rsidR="00EF5499" w:rsidRPr="00721268">
        <w:rPr>
          <w:rFonts w:eastAsia="Calibri"/>
          <w:lang w:val="en-GB"/>
        </w:rPr>
        <w:t> &amp; </w:t>
      </w:r>
      <w:r w:rsidRPr="00721268">
        <w:rPr>
          <w:rFonts w:eastAsia="Calibri"/>
          <w:lang w:val="en-GB"/>
        </w:rPr>
        <w:t>Trade,</w:t>
      </w:r>
      <w:r w:rsidR="00EF5499" w:rsidRPr="00721268">
        <w:rPr>
          <w:rFonts w:eastAsia="Calibri"/>
          <w:lang w:val="en-GB"/>
        </w:rPr>
        <w:t> </w:t>
      </w:r>
      <w:r w:rsidRPr="00721268">
        <w:rPr>
          <w:rFonts w:eastAsia="Calibri"/>
          <w:lang w:val="en-GB"/>
        </w:rPr>
        <w:t>2018),</w:t>
      </w:r>
      <w:r w:rsidR="00EF5499" w:rsidRPr="00721268">
        <w:rPr>
          <w:rFonts w:eastAsia="Calibri"/>
          <w:lang w:val="en-GB"/>
        </w:rPr>
        <w:t> accessed December </w:t>
      </w:r>
      <w:r w:rsidRPr="00721268">
        <w:rPr>
          <w:rFonts w:eastAsia="Calibri"/>
          <w:lang w:val="en-GB"/>
        </w:rPr>
        <w:t>26,</w:t>
      </w:r>
      <w:r w:rsidR="00EF5499" w:rsidRPr="00721268">
        <w:rPr>
          <w:rFonts w:eastAsia="Calibri"/>
          <w:lang w:val="en-GB"/>
        </w:rPr>
        <w:t> </w:t>
      </w:r>
      <w:r w:rsidRPr="00721268">
        <w:rPr>
          <w:rFonts w:eastAsia="Calibri"/>
          <w:lang w:val="en-GB"/>
        </w:rPr>
        <w:t xml:space="preserve">2018, </w:t>
      </w:r>
      <w:r w:rsidR="00EF5499" w:rsidRPr="00721268">
        <w:rPr>
          <w:rFonts w:eastAsia="Calibri"/>
          <w:lang w:val="en-GB"/>
        </w:rPr>
        <w:t>www.flandersinvestmentandtrade.com/export/sites/trade/files/</w:t>
      </w:r>
    </w:p>
    <w:p w14:paraId="67CEE201" w14:textId="7998102A" w:rsidR="008852C3" w:rsidRPr="00721268" w:rsidRDefault="008852C3" w:rsidP="006F2668">
      <w:pPr>
        <w:pStyle w:val="Footnote"/>
        <w:rPr>
          <w:lang w:val="en-GB"/>
        </w:rPr>
      </w:pPr>
      <w:r w:rsidRPr="00721268">
        <w:rPr>
          <w:rFonts w:eastAsia="Calibri"/>
          <w:lang w:val="en-GB"/>
        </w:rPr>
        <w:t>market_studies/20180515GrowingOpportunitiesInTheIndianFoodMarket.pdf.</w:t>
      </w:r>
    </w:p>
  </w:endnote>
  <w:endnote w:id="58">
    <w:p w14:paraId="06C13FE5" w14:textId="7D6BCFF8"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w:t>
      </w:r>
      <w:r w:rsidRPr="00D65552">
        <w:rPr>
          <w:spacing w:val="2"/>
          <w:lang w:val="en-GB"/>
        </w:rPr>
        <w:t xml:space="preserve">Kunti </w:t>
      </w:r>
      <w:proofErr w:type="spellStart"/>
      <w:r w:rsidRPr="00D65552">
        <w:rPr>
          <w:spacing w:val="2"/>
          <w:lang w:val="en-GB"/>
        </w:rPr>
        <w:t>Kachave</w:t>
      </w:r>
      <w:proofErr w:type="spellEnd"/>
      <w:r w:rsidRPr="00D65552">
        <w:rPr>
          <w:spacing w:val="2"/>
          <w:lang w:val="en-GB"/>
        </w:rPr>
        <w:t xml:space="preserve">, “Indian Biscuit Market Projected to Reach $7.25 Billion Next Four Years,” </w:t>
      </w:r>
      <w:r w:rsidRPr="00D65552">
        <w:rPr>
          <w:i/>
          <w:iCs/>
          <w:spacing w:val="2"/>
          <w:lang w:val="en-GB"/>
        </w:rPr>
        <w:t>Food Beverage News</w:t>
      </w:r>
      <w:r w:rsidRPr="00D65552">
        <w:rPr>
          <w:spacing w:val="2"/>
          <w:lang w:val="en-GB"/>
        </w:rPr>
        <w:t xml:space="preserve">, May 2, 2018, accessed March 27, 2019, </w:t>
      </w:r>
      <w:r w:rsidRPr="00D65552">
        <w:rPr>
          <w:spacing w:val="2"/>
        </w:rPr>
        <w:t>www.fnbnews.com/Bakery-Biscuits/indian-biscuit-market-projected-to-reach-725-billionin-next-four-years-42107</w:t>
      </w:r>
      <w:r w:rsidRPr="00D65552">
        <w:rPr>
          <w:spacing w:val="2"/>
          <w:lang w:val="en-GB"/>
        </w:rPr>
        <w:t>.</w:t>
      </w:r>
    </w:p>
  </w:endnote>
  <w:endnote w:id="59">
    <w:p w14:paraId="3EBCED83" w14:textId="7F564233"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w:t>
      </w:r>
      <w:proofErr w:type="spellStart"/>
      <w:r w:rsidRPr="00721268">
        <w:rPr>
          <w:lang w:val="en-GB"/>
        </w:rPr>
        <w:t>Purvita</w:t>
      </w:r>
      <w:proofErr w:type="spellEnd"/>
      <w:r w:rsidRPr="00721268">
        <w:rPr>
          <w:lang w:val="en-GB"/>
        </w:rPr>
        <w:t xml:space="preserve"> </w:t>
      </w:r>
      <w:proofErr w:type="spellStart"/>
      <w:r w:rsidRPr="00721268">
        <w:rPr>
          <w:lang w:val="en-GB"/>
        </w:rPr>
        <w:t>Chateerjee</w:t>
      </w:r>
      <w:proofErr w:type="spellEnd"/>
      <w:r w:rsidRPr="00721268">
        <w:rPr>
          <w:lang w:val="en-GB"/>
        </w:rPr>
        <w:t xml:space="preserve">, “Biscuit-Makers Want Tax Exemption Cap to Be Raised,” </w:t>
      </w:r>
      <w:r w:rsidRPr="00721268">
        <w:rPr>
          <w:i/>
          <w:iCs/>
          <w:lang w:val="en-GB"/>
        </w:rPr>
        <w:t>The Hindu Business Line</w:t>
      </w:r>
      <w:r w:rsidRPr="00721268">
        <w:rPr>
          <w:lang w:val="en-GB"/>
        </w:rPr>
        <w:t>, February 25, 2015, accessed March 27, 2019, www.thehindubusinessline.com/economy/budget/biscuitmakers-want-tax-exemption-cap-to-be-raised/article6933574.ece.</w:t>
      </w:r>
    </w:p>
  </w:endnote>
  <w:endnote w:id="60">
    <w:p w14:paraId="70F092B4" w14:textId="5DCFE425"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Nirmal John, “The Biscuit </w:t>
      </w:r>
      <w:r w:rsidR="00CA04F7" w:rsidRPr="00721268">
        <w:rPr>
          <w:lang w:val="en-GB"/>
        </w:rPr>
        <w:t>t</w:t>
      </w:r>
      <w:r w:rsidRPr="00721268">
        <w:rPr>
          <w:lang w:val="en-GB"/>
        </w:rPr>
        <w:t xml:space="preserve">hat Made </w:t>
      </w:r>
      <w:proofErr w:type="spellStart"/>
      <w:r w:rsidRPr="00721268">
        <w:rPr>
          <w:lang w:val="en-GB"/>
        </w:rPr>
        <w:t>Parle</w:t>
      </w:r>
      <w:proofErr w:type="spellEnd"/>
      <w:r w:rsidRPr="00721268">
        <w:rPr>
          <w:lang w:val="en-GB"/>
        </w:rPr>
        <w:t xml:space="preserve">,” </w:t>
      </w:r>
      <w:r w:rsidRPr="00721268">
        <w:rPr>
          <w:i/>
          <w:iCs/>
          <w:lang w:val="en-GB"/>
        </w:rPr>
        <w:t>Fortune India</w:t>
      </w:r>
      <w:r w:rsidRPr="00721268">
        <w:rPr>
          <w:lang w:val="en-GB"/>
        </w:rPr>
        <w:t>, October 5, 2012, accessed March 27, 2019, www.fortuneindia.com/enterprise/the-biscuit-that-made-parle/100794.</w:t>
      </w:r>
    </w:p>
  </w:endnote>
  <w:endnote w:id="61">
    <w:p w14:paraId="5838F49B" w14:textId="0B704CEA"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“Indian Biscuits Market </w:t>
      </w:r>
      <w:r w:rsidR="00CA04F7" w:rsidRPr="00721268">
        <w:rPr>
          <w:lang w:val="en-GB"/>
        </w:rPr>
        <w:t>I</w:t>
      </w:r>
      <w:r w:rsidRPr="00721268">
        <w:rPr>
          <w:lang w:val="en-GB"/>
        </w:rPr>
        <w:t xml:space="preserve">s Forecast to Record Twofold Revenues by 2023 – 6Wresearch,” </w:t>
      </w:r>
      <w:r w:rsidRPr="00721268">
        <w:rPr>
          <w:iCs/>
          <w:lang w:val="en-GB"/>
        </w:rPr>
        <w:t>6Wresearch</w:t>
      </w:r>
      <w:r w:rsidRPr="00721268">
        <w:rPr>
          <w:lang w:val="en-GB"/>
        </w:rPr>
        <w:t>, November 17, 2017, accessed November 30, 2018, www.6wresearch.com/press-releases/india-biscuits-market-share-trends-forecasts-size-growth-opportunity-players-media-news-cagr-insights.html.</w:t>
      </w:r>
    </w:p>
  </w:endnote>
  <w:endnote w:id="62">
    <w:p w14:paraId="1C0CC9D5" w14:textId="2C16586D"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63">
    <w:p w14:paraId="31A7BCF5" w14:textId="704B26D6"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64">
    <w:p w14:paraId="0B08CEE9" w14:textId="0E1DC666"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Govind, op. cit.</w:t>
      </w:r>
    </w:p>
  </w:endnote>
  <w:endnote w:id="65">
    <w:p w14:paraId="6BF67431" w14:textId="2750E4D6"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66">
    <w:p w14:paraId="34DF4316" w14:textId="7706B7FF"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Miranda R. Goode and Ramasastry Chandrasekhar, </w:t>
      </w:r>
      <w:r w:rsidRPr="00721268">
        <w:rPr>
          <w:i/>
          <w:iCs/>
          <w:lang w:val="en-GB"/>
        </w:rPr>
        <w:t>Parle-G</w:t>
      </w:r>
      <w:r w:rsidRPr="00721268">
        <w:rPr>
          <w:lang w:val="en-GB"/>
        </w:rPr>
        <w:t xml:space="preserve"> (London, ON: Ivey Publishing, 2010). Available from Ivey Publishing, product no. 9B10A022. </w:t>
      </w:r>
    </w:p>
  </w:endnote>
  <w:endnote w:id="67">
    <w:p w14:paraId="68D47ACD" w14:textId="5813A9F7" w:rsidR="008852C3" w:rsidRPr="00721268" w:rsidRDefault="008852C3" w:rsidP="006F2668">
      <w:pPr>
        <w:pStyle w:val="Footnote"/>
        <w:rPr>
          <w:lang w:val="en-GB"/>
        </w:rPr>
      </w:pPr>
      <w:r w:rsidRPr="00721268">
        <w:rPr>
          <w:rStyle w:val="EndnoteReference"/>
          <w:lang w:val="en-GB"/>
        </w:rPr>
        <w:endnoteRef/>
      </w:r>
      <w:r w:rsidRPr="00721268">
        <w:rPr>
          <w:lang w:val="en-GB"/>
        </w:rPr>
        <w:t xml:space="preserve"> Ibid.</w:t>
      </w:r>
    </w:p>
  </w:endnote>
  <w:endnote w:id="68">
    <w:p w14:paraId="374F301A" w14:textId="2CF8E71B" w:rsidR="002550C5" w:rsidRPr="00721268" w:rsidRDefault="008852C3" w:rsidP="006F2668">
      <w:pPr>
        <w:pStyle w:val="Footnote"/>
        <w:rPr>
          <w:lang w:val="en-GB"/>
        </w:rPr>
      </w:pPr>
      <w:r w:rsidRPr="00721268">
        <w:rPr>
          <w:rStyle w:val="EndnoteReference"/>
          <w:lang w:val="en-GB"/>
        </w:rPr>
        <w:endnoteRef/>
      </w:r>
      <w:r w:rsidRPr="00721268">
        <w:rPr>
          <w:lang w:val="en-GB"/>
        </w:rPr>
        <w:t xml:space="preserve"> </w:t>
      </w:r>
      <w:r w:rsidRPr="00721268">
        <w:rPr>
          <w:rFonts w:eastAsia="Calibri"/>
          <w:lang w:val="en-GB"/>
        </w:rPr>
        <w:t xml:space="preserve">Shruti Venkatesh, “Cookies and Beyond: How </w:t>
      </w:r>
      <w:proofErr w:type="spellStart"/>
      <w:r w:rsidRPr="00721268">
        <w:rPr>
          <w:rFonts w:eastAsia="Calibri"/>
          <w:lang w:val="en-GB"/>
        </w:rPr>
        <w:t>Parle</w:t>
      </w:r>
      <w:proofErr w:type="spellEnd"/>
      <w:r w:rsidRPr="00721268">
        <w:rPr>
          <w:rFonts w:eastAsia="Calibri"/>
          <w:lang w:val="en-GB"/>
        </w:rPr>
        <w:t xml:space="preserve"> Products Has Ditched Its Mass Brand Image by Scaling Up Its Premium Offerings,” </w:t>
      </w:r>
      <w:r w:rsidRPr="00721268">
        <w:rPr>
          <w:rFonts w:eastAsia="Calibri"/>
          <w:i/>
          <w:iCs/>
          <w:lang w:val="en-GB"/>
        </w:rPr>
        <w:t>Outlook Business</w:t>
      </w:r>
      <w:r w:rsidRPr="00721268">
        <w:rPr>
          <w:rFonts w:eastAsia="Calibri"/>
          <w:lang w:val="en-GB"/>
        </w:rPr>
        <w:t xml:space="preserve">, June 8, 2018, accessed March 27, 2019, </w:t>
      </w:r>
      <w:r w:rsidR="00E346DC" w:rsidRPr="00721268">
        <w:rPr>
          <w:rFonts w:eastAsia="Calibri"/>
          <w:lang w:val="en-GB"/>
        </w:rPr>
        <w:t>www.outlookbusiness.com/strategy/feature/cookies-and-beyond-4397</w:t>
      </w:r>
      <w:r w:rsidRPr="00721268">
        <w:rPr>
          <w:rFonts w:eastAsia="Calibri"/>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85C63" w14:textId="77777777" w:rsidR="00C54AAC" w:rsidRDefault="00C54AAC" w:rsidP="00D75295">
      <w:r>
        <w:separator/>
      </w:r>
    </w:p>
  </w:footnote>
  <w:footnote w:type="continuationSeparator" w:id="0">
    <w:p w14:paraId="2648FE2A" w14:textId="77777777" w:rsidR="00C54AAC" w:rsidRDefault="00C54AAC"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339ED9E" w:rsidR="008852C3" w:rsidRPr="00C92CC4" w:rsidRDefault="008852C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30278">
      <w:rPr>
        <w:rFonts w:ascii="Arial" w:hAnsi="Arial"/>
        <w:b/>
        <w:noProof/>
      </w:rPr>
      <w:t>12</w:t>
    </w:r>
    <w:r>
      <w:rPr>
        <w:rFonts w:ascii="Arial" w:hAnsi="Arial"/>
        <w:b/>
      </w:rPr>
      <w:fldChar w:fldCharType="end"/>
    </w:r>
    <w:r>
      <w:rPr>
        <w:rFonts w:ascii="Arial" w:hAnsi="Arial"/>
        <w:b/>
      </w:rPr>
      <w:tab/>
    </w:r>
    <w:r w:rsidR="00814609">
      <w:rPr>
        <w:rFonts w:ascii="Arial" w:hAnsi="Arial"/>
        <w:b/>
      </w:rPr>
      <w:t>9B19M</w:t>
    </w:r>
    <w:r w:rsidR="003A5CD7">
      <w:rPr>
        <w:rFonts w:ascii="Arial" w:hAnsi="Arial"/>
        <w:b/>
      </w:rPr>
      <w:t>064</w:t>
    </w:r>
  </w:p>
  <w:p w14:paraId="2B53C0A0" w14:textId="77777777" w:rsidR="008852C3" w:rsidRDefault="008852C3" w:rsidP="00D13667">
    <w:pPr>
      <w:pStyle w:val="Header"/>
      <w:tabs>
        <w:tab w:val="clear" w:pos="4680"/>
      </w:tabs>
      <w:rPr>
        <w:sz w:val="18"/>
        <w:szCs w:val="18"/>
      </w:rPr>
    </w:pPr>
  </w:p>
  <w:p w14:paraId="47119730" w14:textId="77777777" w:rsidR="008852C3" w:rsidRPr="00C92CC4" w:rsidRDefault="008852C3"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7C033" w14:textId="77777777" w:rsidR="00D65552" w:rsidRPr="00C92CC4" w:rsidRDefault="00D65552" w:rsidP="00D65552">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rPr>
      <w:t>12</w:t>
    </w:r>
    <w:r>
      <w:rPr>
        <w:rFonts w:ascii="Arial" w:hAnsi="Arial"/>
        <w:b/>
      </w:rPr>
      <w:fldChar w:fldCharType="end"/>
    </w:r>
    <w:r>
      <w:rPr>
        <w:rFonts w:ascii="Arial" w:hAnsi="Arial"/>
        <w:b/>
      </w:rPr>
      <w:tab/>
      <w:t>9B19M064</w:t>
    </w:r>
  </w:p>
  <w:p w14:paraId="24151263" w14:textId="77777777" w:rsidR="00D65552" w:rsidRDefault="00D65552" w:rsidP="00D65552">
    <w:pPr>
      <w:pStyle w:val="Header"/>
      <w:tabs>
        <w:tab w:val="clear" w:pos="4680"/>
      </w:tabs>
      <w:rPr>
        <w:sz w:val="18"/>
        <w:szCs w:val="18"/>
      </w:rPr>
    </w:pPr>
  </w:p>
  <w:p w14:paraId="14D64B66" w14:textId="77777777" w:rsidR="00D65552" w:rsidRPr="00D65552" w:rsidRDefault="00D65552" w:rsidP="00D65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2A51"/>
    <w:multiLevelType w:val="hybridMultilevel"/>
    <w:tmpl w:val="1D74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66B5F"/>
    <w:multiLevelType w:val="hybridMultilevel"/>
    <w:tmpl w:val="F192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7D6B5B"/>
    <w:multiLevelType w:val="hybridMultilevel"/>
    <w:tmpl w:val="B976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2"/>
  </w:num>
  <w:num w:numId="5">
    <w:abstractNumId w:val="5"/>
  </w:num>
  <w:num w:numId="6">
    <w:abstractNumId w:val="10"/>
  </w:num>
  <w:num w:numId="7">
    <w:abstractNumId w:val="1"/>
  </w:num>
  <w:num w:numId="8">
    <w:abstractNumId w:val="14"/>
  </w:num>
  <w:num w:numId="9">
    <w:abstractNumId w:val="11"/>
  </w:num>
  <w:num w:numId="10">
    <w:abstractNumId w:val="2"/>
  </w:num>
  <w:num w:numId="11">
    <w:abstractNumId w:val="8"/>
  </w:num>
  <w:num w:numId="12">
    <w:abstractNumId w:val="9"/>
  </w:num>
  <w:num w:numId="13">
    <w:abstractNumId w:val="0"/>
  </w:num>
  <w:num w:numId="14">
    <w:abstractNumId w:val="3"/>
  </w:num>
  <w:num w:numId="1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5E1F"/>
    <w:rsid w:val="00016759"/>
    <w:rsid w:val="000176CC"/>
    <w:rsid w:val="000216CE"/>
    <w:rsid w:val="00024ED4"/>
    <w:rsid w:val="00025DC7"/>
    <w:rsid w:val="0002621F"/>
    <w:rsid w:val="000301A5"/>
    <w:rsid w:val="00035F09"/>
    <w:rsid w:val="00041AB7"/>
    <w:rsid w:val="00044ECC"/>
    <w:rsid w:val="00052DA8"/>
    <w:rsid w:val="000531D3"/>
    <w:rsid w:val="0005646B"/>
    <w:rsid w:val="000615D1"/>
    <w:rsid w:val="000617CD"/>
    <w:rsid w:val="00067A9A"/>
    <w:rsid w:val="0008102D"/>
    <w:rsid w:val="0008682C"/>
    <w:rsid w:val="00086B26"/>
    <w:rsid w:val="000903F6"/>
    <w:rsid w:val="000922F1"/>
    <w:rsid w:val="00094C0E"/>
    <w:rsid w:val="000A146D"/>
    <w:rsid w:val="000B0007"/>
    <w:rsid w:val="000C649A"/>
    <w:rsid w:val="000D2A2F"/>
    <w:rsid w:val="000D30B5"/>
    <w:rsid w:val="000D37F4"/>
    <w:rsid w:val="000D3BBF"/>
    <w:rsid w:val="000D7091"/>
    <w:rsid w:val="000F0C22"/>
    <w:rsid w:val="000F180D"/>
    <w:rsid w:val="000F688C"/>
    <w:rsid w:val="000F6B09"/>
    <w:rsid w:val="000F6FDC"/>
    <w:rsid w:val="000F7B97"/>
    <w:rsid w:val="00104567"/>
    <w:rsid w:val="00104916"/>
    <w:rsid w:val="00104AA7"/>
    <w:rsid w:val="00112A41"/>
    <w:rsid w:val="0012732D"/>
    <w:rsid w:val="00136FBA"/>
    <w:rsid w:val="00143F25"/>
    <w:rsid w:val="00150BE8"/>
    <w:rsid w:val="00152682"/>
    <w:rsid w:val="0015339B"/>
    <w:rsid w:val="00154FC9"/>
    <w:rsid w:val="00160ADB"/>
    <w:rsid w:val="00175408"/>
    <w:rsid w:val="00181E4D"/>
    <w:rsid w:val="00182586"/>
    <w:rsid w:val="001901C0"/>
    <w:rsid w:val="0019241A"/>
    <w:rsid w:val="00192A18"/>
    <w:rsid w:val="00192BBB"/>
    <w:rsid w:val="001A22D1"/>
    <w:rsid w:val="001A752D"/>
    <w:rsid w:val="001A757E"/>
    <w:rsid w:val="001B3377"/>
    <w:rsid w:val="001B5032"/>
    <w:rsid w:val="001C7777"/>
    <w:rsid w:val="001D344B"/>
    <w:rsid w:val="001D7772"/>
    <w:rsid w:val="001E364F"/>
    <w:rsid w:val="001F0C01"/>
    <w:rsid w:val="001F4222"/>
    <w:rsid w:val="001F691D"/>
    <w:rsid w:val="00203AA1"/>
    <w:rsid w:val="00213E98"/>
    <w:rsid w:val="00230150"/>
    <w:rsid w:val="0023081A"/>
    <w:rsid w:val="00230B9B"/>
    <w:rsid w:val="00232857"/>
    <w:rsid w:val="00232FF5"/>
    <w:rsid w:val="00233111"/>
    <w:rsid w:val="00247D42"/>
    <w:rsid w:val="002550C5"/>
    <w:rsid w:val="00261276"/>
    <w:rsid w:val="00265FA8"/>
    <w:rsid w:val="002747C8"/>
    <w:rsid w:val="00287132"/>
    <w:rsid w:val="002928B4"/>
    <w:rsid w:val="002937B7"/>
    <w:rsid w:val="002B360B"/>
    <w:rsid w:val="002B40FF"/>
    <w:rsid w:val="002C4E29"/>
    <w:rsid w:val="002C575F"/>
    <w:rsid w:val="002D3BF9"/>
    <w:rsid w:val="002F0EA0"/>
    <w:rsid w:val="002F2CBA"/>
    <w:rsid w:val="002F460C"/>
    <w:rsid w:val="002F48D6"/>
    <w:rsid w:val="00311DD1"/>
    <w:rsid w:val="00317391"/>
    <w:rsid w:val="00322679"/>
    <w:rsid w:val="00326216"/>
    <w:rsid w:val="00335A74"/>
    <w:rsid w:val="00336580"/>
    <w:rsid w:val="003376A9"/>
    <w:rsid w:val="00337DF9"/>
    <w:rsid w:val="00354899"/>
    <w:rsid w:val="00354B69"/>
    <w:rsid w:val="00355FD6"/>
    <w:rsid w:val="00364A5C"/>
    <w:rsid w:val="003725E0"/>
    <w:rsid w:val="00373FB1"/>
    <w:rsid w:val="00387F4A"/>
    <w:rsid w:val="00396C76"/>
    <w:rsid w:val="003A552D"/>
    <w:rsid w:val="003A5CD7"/>
    <w:rsid w:val="003B30D8"/>
    <w:rsid w:val="003B4948"/>
    <w:rsid w:val="003B7361"/>
    <w:rsid w:val="003B7D6C"/>
    <w:rsid w:val="003B7EF2"/>
    <w:rsid w:val="003C3FA4"/>
    <w:rsid w:val="003D0BA1"/>
    <w:rsid w:val="003E251E"/>
    <w:rsid w:val="003F2B0C"/>
    <w:rsid w:val="003F473B"/>
    <w:rsid w:val="00407B67"/>
    <w:rsid w:val="00410087"/>
    <w:rsid w:val="004105B2"/>
    <w:rsid w:val="0041145A"/>
    <w:rsid w:val="00412900"/>
    <w:rsid w:val="0041488F"/>
    <w:rsid w:val="004221E4"/>
    <w:rsid w:val="00422637"/>
    <w:rsid w:val="004273F8"/>
    <w:rsid w:val="004355A3"/>
    <w:rsid w:val="004452D9"/>
    <w:rsid w:val="0044542D"/>
    <w:rsid w:val="00446546"/>
    <w:rsid w:val="00452769"/>
    <w:rsid w:val="00454FA7"/>
    <w:rsid w:val="0045532B"/>
    <w:rsid w:val="00455FB5"/>
    <w:rsid w:val="00464071"/>
    <w:rsid w:val="00465348"/>
    <w:rsid w:val="00467257"/>
    <w:rsid w:val="00485E1F"/>
    <w:rsid w:val="004918E3"/>
    <w:rsid w:val="004979A5"/>
    <w:rsid w:val="004A25E0"/>
    <w:rsid w:val="004A3859"/>
    <w:rsid w:val="004A5EAE"/>
    <w:rsid w:val="004B1CCB"/>
    <w:rsid w:val="004B632F"/>
    <w:rsid w:val="004D122E"/>
    <w:rsid w:val="004D3FB1"/>
    <w:rsid w:val="004D6F21"/>
    <w:rsid w:val="004D73A5"/>
    <w:rsid w:val="00503FCB"/>
    <w:rsid w:val="00504433"/>
    <w:rsid w:val="00511720"/>
    <w:rsid w:val="00515EC6"/>
    <w:rsid w:val="005160F1"/>
    <w:rsid w:val="00524F2F"/>
    <w:rsid w:val="00527E5C"/>
    <w:rsid w:val="00532CF5"/>
    <w:rsid w:val="00544620"/>
    <w:rsid w:val="005528CB"/>
    <w:rsid w:val="00564AF8"/>
    <w:rsid w:val="00566771"/>
    <w:rsid w:val="00575B81"/>
    <w:rsid w:val="00576044"/>
    <w:rsid w:val="00576CF6"/>
    <w:rsid w:val="00576E13"/>
    <w:rsid w:val="00581E2E"/>
    <w:rsid w:val="00584F15"/>
    <w:rsid w:val="0059514B"/>
    <w:rsid w:val="005A1B0F"/>
    <w:rsid w:val="005A6574"/>
    <w:rsid w:val="005B4CE6"/>
    <w:rsid w:val="005B5EFE"/>
    <w:rsid w:val="005C1389"/>
    <w:rsid w:val="005C278F"/>
    <w:rsid w:val="005D04A1"/>
    <w:rsid w:val="005D67C4"/>
    <w:rsid w:val="006139B6"/>
    <w:rsid w:val="006163F7"/>
    <w:rsid w:val="00627C63"/>
    <w:rsid w:val="0063350B"/>
    <w:rsid w:val="00652606"/>
    <w:rsid w:val="0066076A"/>
    <w:rsid w:val="006902A4"/>
    <w:rsid w:val="006946EE"/>
    <w:rsid w:val="0069553F"/>
    <w:rsid w:val="006A58A9"/>
    <w:rsid w:val="006A606D"/>
    <w:rsid w:val="006C0371"/>
    <w:rsid w:val="006C08B6"/>
    <w:rsid w:val="006C0B1A"/>
    <w:rsid w:val="006C6065"/>
    <w:rsid w:val="006C7F9F"/>
    <w:rsid w:val="006D34C1"/>
    <w:rsid w:val="006E1E59"/>
    <w:rsid w:val="006E2F6D"/>
    <w:rsid w:val="006E58F6"/>
    <w:rsid w:val="006E77E1"/>
    <w:rsid w:val="006F131D"/>
    <w:rsid w:val="006F2668"/>
    <w:rsid w:val="006F3595"/>
    <w:rsid w:val="00703A1F"/>
    <w:rsid w:val="00711642"/>
    <w:rsid w:val="007209C4"/>
    <w:rsid w:val="00721268"/>
    <w:rsid w:val="00732D4C"/>
    <w:rsid w:val="0073408E"/>
    <w:rsid w:val="007507C6"/>
    <w:rsid w:val="00751E0B"/>
    <w:rsid w:val="00752BCD"/>
    <w:rsid w:val="007579CB"/>
    <w:rsid w:val="007608CA"/>
    <w:rsid w:val="00766DA1"/>
    <w:rsid w:val="0077367D"/>
    <w:rsid w:val="0077518B"/>
    <w:rsid w:val="0077749A"/>
    <w:rsid w:val="0077770F"/>
    <w:rsid w:val="00780D94"/>
    <w:rsid w:val="00784D4C"/>
    <w:rsid w:val="007866A6"/>
    <w:rsid w:val="00794FB2"/>
    <w:rsid w:val="007A130D"/>
    <w:rsid w:val="007A1B29"/>
    <w:rsid w:val="007B2627"/>
    <w:rsid w:val="007D1A2D"/>
    <w:rsid w:val="007D32E6"/>
    <w:rsid w:val="007D4102"/>
    <w:rsid w:val="007E539F"/>
    <w:rsid w:val="007E54A7"/>
    <w:rsid w:val="007F43B7"/>
    <w:rsid w:val="007F4535"/>
    <w:rsid w:val="007F7069"/>
    <w:rsid w:val="00811D69"/>
    <w:rsid w:val="00814609"/>
    <w:rsid w:val="00821FFC"/>
    <w:rsid w:val="008271CA"/>
    <w:rsid w:val="00834D3A"/>
    <w:rsid w:val="008467D5"/>
    <w:rsid w:val="008852C3"/>
    <w:rsid w:val="008867D4"/>
    <w:rsid w:val="00893612"/>
    <w:rsid w:val="008A4DC4"/>
    <w:rsid w:val="008B438C"/>
    <w:rsid w:val="008B7E9A"/>
    <w:rsid w:val="008C77AB"/>
    <w:rsid w:val="008D06CA"/>
    <w:rsid w:val="008D3A46"/>
    <w:rsid w:val="008D53C3"/>
    <w:rsid w:val="008F2385"/>
    <w:rsid w:val="00906137"/>
    <w:rsid w:val="009067A4"/>
    <w:rsid w:val="00930885"/>
    <w:rsid w:val="00933D68"/>
    <w:rsid w:val="009340DB"/>
    <w:rsid w:val="00934EFA"/>
    <w:rsid w:val="0094618C"/>
    <w:rsid w:val="009502B7"/>
    <w:rsid w:val="0095684B"/>
    <w:rsid w:val="009714D9"/>
    <w:rsid w:val="00971D86"/>
    <w:rsid w:val="00972498"/>
    <w:rsid w:val="0097481F"/>
    <w:rsid w:val="00974CC6"/>
    <w:rsid w:val="00976AD4"/>
    <w:rsid w:val="0098376E"/>
    <w:rsid w:val="00984AC5"/>
    <w:rsid w:val="00985D63"/>
    <w:rsid w:val="00994335"/>
    <w:rsid w:val="00995547"/>
    <w:rsid w:val="009A1894"/>
    <w:rsid w:val="009A312F"/>
    <w:rsid w:val="009A5348"/>
    <w:rsid w:val="009B0AB7"/>
    <w:rsid w:val="009C76D5"/>
    <w:rsid w:val="009F7AA4"/>
    <w:rsid w:val="00A07CEF"/>
    <w:rsid w:val="00A10AD7"/>
    <w:rsid w:val="00A2708B"/>
    <w:rsid w:val="00A30278"/>
    <w:rsid w:val="00A323B0"/>
    <w:rsid w:val="00A35F78"/>
    <w:rsid w:val="00A559DB"/>
    <w:rsid w:val="00A569EA"/>
    <w:rsid w:val="00A6333E"/>
    <w:rsid w:val="00A65FE5"/>
    <w:rsid w:val="00A676A0"/>
    <w:rsid w:val="00A86E15"/>
    <w:rsid w:val="00AB5ED1"/>
    <w:rsid w:val="00AB6414"/>
    <w:rsid w:val="00AB65CB"/>
    <w:rsid w:val="00AB70F6"/>
    <w:rsid w:val="00AC1016"/>
    <w:rsid w:val="00AC7C59"/>
    <w:rsid w:val="00AE105B"/>
    <w:rsid w:val="00AE4AF1"/>
    <w:rsid w:val="00AF35FC"/>
    <w:rsid w:val="00AF5556"/>
    <w:rsid w:val="00B03639"/>
    <w:rsid w:val="00B05C1B"/>
    <w:rsid w:val="00B0652A"/>
    <w:rsid w:val="00B2355A"/>
    <w:rsid w:val="00B23DEA"/>
    <w:rsid w:val="00B40937"/>
    <w:rsid w:val="00B423EF"/>
    <w:rsid w:val="00B43D91"/>
    <w:rsid w:val="00B453DE"/>
    <w:rsid w:val="00B53A94"/>
    <w:rsid w:val="00B565B6"/>
    <w:rsid w:val="00B621C5"/>
    <w:rsid w:val="00B62497"/>
    <w:rsid w:val="00B66D1A"/>
    <w:rsid w:val="00B67AB0"/>
    <w:rsid w:val="00B72597"/>
    <w:rsid w:val="00B87DC0"/>
    <w:rsid w:val="00B901F9"/>
    <w:rsid w:val="00B93F25"/>
    <w:rsid w:val="00B94E4B"/>
    <w:rsid w:val="00BA3429"/>
    <w:rsid w:val="00BA4D47"/>
    <w:rsid w:val="00BB2914"/>
    <w:rsid w:val="00BB5694"/>
    <w:rsid w:val="00BB7EA3"/>
    <w:rsid w:val="00BC4375"/>
    <w:rsid w:val="00BC4D98"/>
    <w:rsid w:val="00BC7CA2"/>
    <w:rsid w:val="00BD6EFB"/>
    <w:rsid w:val="00BE3DF5"/>
    <w:rsid w:val="00BF5EAB"/>
    <w:rsid w:val="00C02410"/>
    <w:rsid w:val="00C069FB"/>
    <w:rsid w:val="00C11926"/>
    <w:rsid w:val="00C1584D"/>
    <w:rsid w:val="00C15BE2"/>
    <w:rsid w:val="00C24F07"/>
    <w:rsid w:val="00C3447F"/>
    <w:rsid w:val="00C4003A"/>
    <w:rsid w:val="00C4056E"/>
    <w:rsid w:val="00C44714"/>
    <w:rsid w:val="00C526A1"/>
    <w:rsid w:val="00C54AAC"/>
    <w:rsid w:val="00C61EA6"/>
    <w:rsid w:val="00C627C8"/>
    <w:rsid w:val="00C63B9D"/>
    <w:rsid w:val="00C65C9C"/>
    <w:rsid w:val="00C67102"/>
    <w:rsid w:val="00C70EF4"/>
    <w:rsid w:val="00C758DD"/>
    <w:rsid w:val="00C81491"/>
    <w:rsid w:val="00C81676"/>
    <w:rsid w:val="00C85C5D"/>
    <w:rsid w:val="00C92CC4"/>
    <w:rsid w:val="00CA04F7"/>
    <w:rsid w:val="00CA0AFB"/>
    <w:rsid w:val="00CA1E76"/>
    <w:rsid w:val="00CA2CE1"/>
    <w:rsid w:val="00CA3976"/>
    <w:rsid w:val="00CA50E3"/>
    <w:rsid w:val="00CA757B"/>
    <w:rsid w:val="00CB3A00"/>
    <w:rsid w:val="00CC1787"/>
    <w:rsid w:val="00CC182C"/>
    <w:rsid w:val="00CC5A99"/>
    <w:rsid w:val="00CD0824"/>
    <w:rsid w:val="00CD2908"/>
    <w:rsid w:val="00CE0DB2"/>
    <w:rsid w:val="00CF64BA"/>
    <w:rsid w:val="00D0265C"/>
    <w:rsid w:val="00D03A82"/>
    <w:rsid w:val="00D13667"/>
    <w:rsid w:val="00D15344"/>
    <w:rsid w:val="00D23F57"/>
    <w:rsid w:val="00D31BEC"/>
    <w:rsid w:val="00D46DBB"/>
    <w:rsid w:val="00D471CB"/>
    <w:rsid w:val="00D61481"/>
    <w:rsid w:val="00D63150"/>
    <w:rsid w:val="00D636BA"/>
    <w:rsid w:val="00D63BAC"/>
    <w:rsid w:val="00D64A32"/>
    <w:rsid w:val="00D64EFC"/>
    <w:rsid w:val="00D65552"/>
    <w:rsid w:val="00D66356"/>
    <w:rsid w:val="00D75295"/>
    <w:rsid w:val="00D76CE9"/>
    <w:rsid w:val="00D8230A"/>
    <w:rsid w:val="00D95949"/>
    <w:rsid w:val="00D97F12"/>
    <w:rsid w:val="00DA6095"/>
    <w:rsid w:val="00DB2286"/>
    <w:rsid w:val="00DB42E7"/>
    <w:rsid w:val="00DB4FD7"/>
    <w:rsid w:val="00DB5388"/>
    <w:rsid w:val="00DC09D8"/>
    <w:rsid w:val="00DE01A6"/>
    <w:rsid w:val="00DE7A98"/>
    <w:rsid w:val="00DF1A6A"/>
    <w:rsid w:val="00DF26E6"/>
    <w:rsid w:val="00DF32C2"/>
    <w:rsid w:val="00DF4815"/>
    <w:rsid w:val="00DF6F78"/>
    <w:rsid w:val="00E025CD"/>
    <w:rsid w:val="00E055EC"/>
    <w:rsid w:val="00E06C0C"/>
    <w:rsid w:val="00E0759F"/>
    <w:rsid w:val="00E16564"/>
    <w:rsid w:val="00E202B5"/>
    <w:rsid w:val="00E2160E"/>
    <w:rsid w:val="00E22813"/>
    <w:rsid w:val="00E22E06"/>
    <w:rsid w:val="00E346DC"/>
    <w:rsid w:val="00E44163"/>
    <w:rsid w:val="00E471A7"/>
    <w:rsid w:val="00E5292F"/>
    <w:rsid w:val="00E62389"/>
    <w:rsid w:val="00E635CF"/>
    <w:rsid w:val="00E649DE"/>
    <w:rsid w:val="00E7194B"/>
    <w:rsid w:val="00E76D2E"/>
    <w:rsid w:val="00E82EFE"/>
    <w:rsid w:val="00E8661E"/>
    <w:rsid w:val="00E902F2"/>
    <w:rsid w:val="00EA44D8"/>
    <w:rsid w:val="00EA4C2C"/>
    <w:rsid w:val="00EB1E3B"/>
    <w:rsid w:val="00EB5831"/>
    <w:rsid w:val="00EC6AFC"/>
    <w:rsid w:val="00EC6E0A"/>
    <w:rsid w:val="00ED4E18"/>
    <w:rsid w:val="00ED5FFA"/>
    <w:rsid w:val="00ED7922"/>
    <w:rsid w:val="00EE02C4"/>
    <w:rsid w:val="00EE1F37"/>
    <w:rsid w:val="00EE237A"/>
    <w:rsid w:val="00EE6773"/>
    <w:rsid w:val="00EF5499"/>
    <w:rsid w:val="00F0159C"/>
    <w:rsid w:val="00F0589C"/>
    <w:rsid w:val="00F105B7"/>
    <w:rsid w:val="00F11747"/>
    <w:rsid w:val="00F13220"/>
    <w:rsid w:val="00F17A21"/>
    <w:rsid w:val="00F20935"/>
    <w:rsid w:val="00F26560"/>
    <w:rsid w:val="00F301E1"/>
    <w:rsid w:val="00F34D47"/>
    <w:rsid w:val="00F36FC2"/>
    <w:rsid w:val="00F37B27"/>
    <w:rsid w:val="00F46556"/>
    <w:rsid w:val="00F50E91"/>
    <w:rsid w:val="00F56799"/>
    <w:rsid w:val="00F57D29"/>
    <w:rsid w:val="00F60786"/>
    <w:rsid w:val="00F6370B"/>
    <w:rsid w:val="00F70F86"/>
    <w:rsid w:val="00F91BC7"/>
    <w:rsid w:val="00F96201"/>
    <w:rsid w:val="00FA1BBC"/>
    <w:rsid w:val="00FB2A79"/>
    <w:rsid w:val="00FC6958"/>
    <w:rsid w:val="00FD097B"/>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7A1B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business-standard.com/topic/gst"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Dr.%20Veena%20Pailwar\Desktop\PArle-G\Food%20Market%20Composition.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Dr.%20Veena%20Pailwar\Desktop\veena-imt%20%205%20April%2019\PArle-G\Market%20share%20biscuit%20mark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0057629260646742"/>
          <c:y val="0.27306477153382785"/>
          <c:w val="0.60145293849733084"/>
          <c:h val="0.63811371885356072"/>
        </c:manualLayout>
      </c:layout>
      <c:pieChart>
        <c:varyColors val="1"/>
        <c:ser>
          <c:idx val="0"/>
          <c:order val="0"/>
          <c:tx>
            <c:strRef>
              <c:f>Sheet1!$H$2</c:f>
              <c:strCache>
                <c:ptCount val="1"/>
                <c:pt idx="0">
                  <c:v>2016</c:v>
                </c:pt>
              </c:strCache>
            </c:strRef>
          </c:tx>
          <c:dPt>
            <c:idx val="0"/>
            <c:bubble3D val="0"/>
            <c:spPr>
              <a:solidFill>
                <a:schemeClr val="dk1">
                  <a:tint val="885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238-46C1-A62A-E6B5D5FD3D16}"/>
              </c:ext>
            </c:extLst>
          </c:dPt>
          <c:dPt>
            <c:idx val="1"/>
            <c:bubble3D val="0"/>
            <c:spPr>
              <a:solidFill>
                <a:schemeClr val="dk1">
                  <a:tint val="55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238-46C1-A62A-E6B5D5FD3D16}"/>
              </c:ext>
            </c:extLst>
          </c:dPt>
          <c:dPt>
            <c:idx val="2"/>
            <c:bubble3D val="0"/>
            <c:spPr>
              <a:solidFill>
                <a:schemeClr val="dk1">
                  <a:tint val="75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238-46C1-A62A-E6B5D5FD3D16}"/>
              </c:ext>
            </c:extLst>
          </c:dPt>
          <c:dPt>
            <c:idx val="3"/>
            <c:bubble3D val="0"/>
            <c:spPr>
              <a:solidFill>
                <a:schemeClr val="dk1">
                  <a:tint val="985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9238-46C1-A62A-E6B5D5FD3D16}"/>
              </c:ext>
            </c:extLst>
          </c:dPt>
          <c:dPt>
            <c:idx val="4"/>
            <c:bubble3D val="0"/>
            <c:spPr>
              <a:solidFill>
                <a:schemeClr val="dk1">
                  <a:tint val="3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9238-46C1-A62A-E6B5D5FD3D16}"/>
              </c:ext>
            </c:extLst>
          </c:dPt>
          <c:dPt>
            <c:idx val="5"/>
            <c:bubble3D val="0"/>
            <c:spPr>
              <a:solidFill>
                <a:schemeClr val="dk1">
                  <a:tint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9238-46C1-A62A-E6B5D5FD3D16}"/>
              </c:ext>
            </c:extLst>
          </c:dPt>
          <c:dPt>
            <c:idx val="6"/>
            <c:bubble3D val="0"/>
            <c:spPr>
              <a:solidFill>
                <a:schemeClr val="dk1">
                  <a:tint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9238-46C1-A62A-E6B5D5FD3D16}"/>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9238-46C1-A62A-E6B5D5FD3D16}"/>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9238-46C1-A62A-E6B5D5FD3D16}"/>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9238-46C1-A62A-E6B5D5FD3D16}"/>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9238-46C1-A62A-E6B5D5FD3D16}"/>
                </c:ext>
              </c:extLst>
            </c:dLbl>
            <c:dLbl>
              <c:idx val="4"/>
              <c:layout>
                <c:manualLayout>
                  <c:x val="2.3452768729641693E-2"/>
                  <c:y val="0"/>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fld id="{52E979E0-8F84-4F90-8B08-785876E8B207}" type="CATEGORYNAME">
                      <a:rPr lang="en-US">
                        <a:solidFill>
                          <a:sysClr val="windowText" lastClr="000000"/>
                        </a:solidFill>
                      </a:rPr>
                      <a:pPr>
                        <a:defRPr>
                          <a:solidFill>
                            <a:sysClr val="windowText" lastClr="000000"/>
                          </a:solidFill>
                        </a:defRPr>
                      </a:pPr>
                      <a:t>[CATEGORY NAME]</a:t>
                    </a:fld>
                    <a:r>
                      <a:rPr lang="en-US" baseline="0">
                        <a:solidFill>
                          <a:sysClr val="windowText" lastClr="000000"/>
                        </a:solidFill>
                      </a:rPr>
                      <a:t>
</a:t>
                    </a:r>
                    <a:fld id="{49E64515-DF4C-4ED3-BFCA-61CAE21DE89E}" type="PERCENTAGE">
                      <a:rPr lang="en-US" baseline="0">
                        <a:solidFill>
                          <a:sysClr val="windowText" lastClr="000000"/>
                        </a:solidFill>
                      </a:rPr>
                      <a:pPr>
                        <a:defRPr>
                          <a:solidFill>
                            <a:sysClr val="windowText" lastClr="000000"/>
                          </a:solidFill>
                        </a:defRPr>
                      </a:pPr>
                      <a:t>[PERCENTAGE]</a:t>
                    </a:fld>
                    <a:endParaRPr lang="en-US" baseline="0">
                      <a:solidFill>
                        <a:sysClr val="windowText" lastClr="000000"/>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9238-46C1-A62A-E6B5D5FD3D16}"/>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9238-46C1-A62A-E6B5D5FD3D16}"/>
                </c:ext>
              </c:extLst>
            </c:dLbl>
            <c:dLbl>
              <c:idx val="6"/>
              <c:layout>
                <c:manualLayout>
                  <c:x val="4.6905537459283338E-2"/>
                  <c:y val="1.472392638036809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9238-46C1-A62A-E6B5D5FD3D16}"/>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Sheet1!$G$3:$G$9</c:f>
              <c:strCache>
                <c:ptCount val="7"/>
                <c:pt idx="0">
                  <c:v>Beverages</c:v>
                </c:pt>
                <c:pt idx="1">
                  <c:v>Perishable</c:v>
                </c:pt>
                <c:pt idx="2">
                  <c:v>Fresh Produce</c:v>
                </c:pt>
                <c:pt idx="3">
                  <c:v>Spices</c:v>
                </c:pt>
                <c:pt idx="4">
                  <c:v>Dairy</c:v>
                </c:pt>
                <c:pt idx="5">
                  <c:v>Dry Food Grocery</c:v>
                </c:pt>
                <c:pt idx="6">
                  <c:v>Other Processed Food</c:v>
                </c:pt>
              </c:strCache>
            </c:strRef>
          </c:cat>
          <c:val>
            <c:numRef>
              <c:f>Sheet1!$H$3:$H$9</c:f>
              <c:numCache>
                <c:formatCode>0%</c:formatCode>
                <c:ptCount val="7"/>
                <c:pt idx="0">
                  <c:v>0.08</c:v>
                </c:pt>
                <c:pt idx="1">
                  <c:v>0.09</c:v>
                </c:pt>
                <c:pt idx="2">
                  <c:v>0.17</c:v>
                </c:pt>
                <c:pt idx="3">
                  <c:v>0.06</c:v>
                </c:pt>
                <c:pt idx="4">
                  <c:v>0.16</c:v>
                </c:pt>
                <c:pt idx="5">
                  <c:v>0.35</c:v>
                </c:pt>
                <c:pt idx="6">
                  <c:v>0.09</c:v>
                </c:pt>
              </c:numCache>
            </c:numRef>
          </c:val>
          <c:extLst>
            <c:ext xmlns:c16="http://schemas.microsoft.com/office/drawing/2014/chart" uri="{C3380CC4-5D6E-409C-BE32-E72D297353CC}">
              <c16:uniqueId val="{0000000E-9238-46C1-A62A-E6B5D5FD3D16}"/>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Sheet1!$B$3</c:f>
              <c:strCache>
                <c:ptCount val="1"/>
                <c:pt idx="0">
                  <c:v>Market Share (% Sales)</c:v>
                </c:pt>
              </c:strCache>
            </c:strRef>
          </c:tx>
          <c:dPt>
            <c:idx val="0"/>
            <c:bubble3D val="0"/>
            <c:spPr>
              <a:solidFill>
                <a:schemeClr val="dk1">
                  <a:tint val="885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B756-4E29-AD90-0FF297C148A9}"/>
              </c:ext>
            </c:extLst>
          </c:dPt>
          <c:dPt>
            <c:idx val="1"/>
            <c:bubble3D val="0"/>
            <c:spPr>
              <a:solidFill>
                <a:schemeClr val="dk1">
                  <a:tint val="55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B756-4E29-AD90-0FF297C148A9}"/>
              </c:ext>
            </c:extLst>
          </c:dPt>
          <c:dPt>
            <c:idx val="2"/>
            <c:bubble3D val="0"/>
            <c:spPr>
              <a:solidFill>
                <a:schemeClr val="dk1">
                  <a:tint val="75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B756-4E29-AD90-0FF297C148A9}"/>
              </c:ext>
            </c:extLst>
          </c:dPt>
          <c:dPt>
            <c:idx val="3"/>
            <c:bubble3D val="0"/>
            <c:spPr>
              <a:solidFill>
                <a:schemeClr val="dk1">
                  <a:tint val="985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B756-4E29-AD90-0FF297C148A9}"/>
              </c:ext>
            </c:extLst>
          </c:dPt>
          <c:dPt>
            <c:idx val="4"/>
            <c:bubble3D val="0"/>
            <c:spPr>
              <a:solidFill>
                <a:schemeClr val="dk1">
                  <a:tint val="3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B756-4E29-AD90-0FF297C148A9}"/>
              </c:ext>
            </c:extLst>
          </c:dPt>
          <c:dPt>
            <c:idx val="5"/>
            <c:bubble3D val="0"/>
            <c:spPr>
              <a:solidFill>
                <a:schemeClr val="dk1">
                  <a:tint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B756-4E29-AD90-0FF297C148A9}"/>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88500"/>
                        </a:schemeClr>
                      </a:solidFill>
                      <a:latin typeface="+mn-lt"/>
                      <a:ea typeface="+mn-ea"/>
                      <a:cs typeface="+mn-cs"/>
                    </a:defRPr>
                  </a:pPr>
                  <a:endParaRPr lang="en-US"/>
                </a:p>
              </c:txPr>
              <c:dLblPos val="outEnd"/>
              <c:showLegendKey val="1"/>
              <c:showVal val="1"/>
              <c:showCatName val="1"/>
              <c:showSerName val="0"/>
              <c:showPercent val="0"/>
              <c:showBubbleSize val="0"/>
              <c:extLst>
                <c:ext xmlns:c16="http://schemas.microsoft.com/office/drawing/2014/chart" uri="{C3380CC4-5D6E-409C-BE32-E72D297353CC}">
                  <c16:uniqueId val="{00000001-B756-4E29-AD90-0FF297C148A9}"/>
                </c:ext>
              </c:extLst>
            </c:dLbl>
            <c:dLbl>
              <c:idx val="1"/>
              <c:layout>
                <c:manualLayout>
                  <c:x val="0.1"/>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55000"/>
                        </a:schemeClr>
                      </a:solidFill>
                      <a:latin typeface="+mn-lt"/>
                      <a:ea typeface="+mn-ea"/>
                      <a:cs typeface="+mn-cs"/>
                    </a:defRPr>
                  </a:pPr>
                  <a:endParaRPr lang="en-US"/>
                </a:p>
              </c:txPr>
              <c:dLblPos val="bestFi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756-4E29-AD90-0FF297C148A9}"/>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75000"/>
                        </a:schemeClr>
                      </a:solidFill>
                      <a:latin typeface="+mn-lt"/>
                      <a:ea typeface="+mn-ea"/>
                      <a:cs typeface="+mn-cs"/>
                    </a:defRPr>
                  </a:pPr>
                  <a:endParaRPr lang="en-US"/>
                </a:p>
              </c:txPr>
              <c:dLblPos val="outEnd"/>
              <c:showLegendKey val="1"/>
              <c:showVal val="1"/>
              <c:showCatName val="1"/>
              <c:showSerName val="0"/>
              <c:showPercent val="0"/>
              <c:showBubbleSize val="0"/>
              <c:extLst>
                <c:ext xmlns:c16="http://schemas.microsoft.com/office/drawing/2014/chart" uri="{C3380CC4-5D6E-409C-BE32-E72D297353CC}">
                  <c16:uniqueId val="{00000005-B756-4E29-AD90-0FF297C148A9}"/>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98500"/>
                        </a:schemeClr>
                      </a:solidFill>
                      <a:latin typeface="+mn-lt"/>
                      <a:ea typeface="+mn-ea"/>
                      <a:cs typeface="+mn-cs"/>
                    </a:defRPr>
                  </a:pPr>
                  <a:endParaRPr lang="en-US"/>
                </a:p>
              </c:txPr>
              <c:dLblPos val="outEnd"/>
              <c:showLegendKey val="1"/>
              <c:showVal val="1"/>
              <c:showCatName val="1"/>
              <c:showSerName val="0"/>
              <c:showPercent val="0"/>
              <c:showBubbleSize val="0"/>
              <c:extLst>
                <c:ext xmlns:c16="http://schemas.microsoft.com/office/drawing/2014/chart" uri="{C3380CC4-5D6E-409C-BE32-E72D297353CC}">
                  <c16:uniqueId val="{00000007-B756-4E29-AD90-0FF297C148A9}"/>
                </c:ext>
              </c:extLst>
            </c:dLbl>
            <c:dLbl>
              <c:idx val="4"/>
              <c:layout>
                <c:manualLayout>
                  <c:x val="-5.1282051282051282E-3"/>
                  <c:y val="-6.172839506172846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30000"/>
                        </a:schemeClr>
                      </a:solidFill>
                      <a:latin typeface="+mn-lt"/>
                      <a:ea typeface="+mn-ea"/>
                      <a:cs typeface="+mn-cs"/>
                    </a:defRPr>
                  </a:pPr>
                  <a:endParaRPr lang="en-US"/>
                </a:p>
              </c:txPr>
              <c:dLblPos val="bestFi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756-4E29-AD90-0FF297C148A9}"/>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60000"/>
                        </a:schemeClr>
                      </a:solidFill>
                      <a:latin typeface="+mn-lt"/>
                      <a:ea typeface="+mn-ea"/>
                      <a:cs typeface="+mn-cs"/>
                    </a:defRPr>
                  </a:pPr>
                  <a:endParaRPr lang="en-US"/>
                </a:p>
              </c:txPr>
              <c:dLblPos val="outEnd"/>
              <c:showLegendKey val="1"/>
              <c:showVal val="1"/>
              <c:showCatName val="1"/>
              <c:showSerName val="0"/>
              <c:showPercent val="0"/>
              <c:showBubbleSize val="0"/>
              <c:extLst>
                <c:ext xmlns:c16="http://schemas.microsoft.com/office/drawing/2014/chart" uri="{C3380CC4-5D6E-409C-BE32-E72D297353CC}">
                  <c16:uniqueId val="{0000000B-B756-4E29-AD90-0FF297C148A9}"/>
                </c:ext>
              </c:extLst>
            </c:dLbl>
            <c:spPr>
              <a:noFill/>
              <a:ln>
                <a:noFill/>
              </a:ln>
              <a:effectLst/>
            </c:spPr>
            <c:dLblPos val="outEnd"/>
            <c:showLegendKey val="1"/>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Sheet1!$A$4:$A$9</c:f>
              <c:strCache>
                <c:ptCount val="6"/>
                <c:pt idx="0">
                  <c:v>Parle Products Pvt. Ltd.</c:v>
                </c:pt>
                <c:pt idx="1">
                  <c:v>Britannia Industries Ltd.</c:v>
                </c:pt>
                <c:pt idx="2">
                  <c:v>ITC Limited</c:v>
                </c:pt>
                <c:pt idx="3">
                  <c:v>Surya Foods and Agro Limited</c:v>
                </c:pt>
                <c:pt idx="4">
                  <c:v>Anmol Biscuits Ltd.</c:v>
                </c:pt>
                <c:pt idx="5">
                  <c:v>Others</c:v>
                </c:pt>
              </c:strCache>
            </c:strRef>
          </c:cat>
          <c:val>
            <c:numRef>
              <c:f>Sheet1!$B$4:$B$9</c:f>
              <c:numCache>
                <c:formatCode>General</c:formatCode>
                <c:ptCount val="6"/>
                <c:pt idx="0">
                  <c:v>34</c:v>
                </c:pt>
                <c:pt idx="1">
                  <c:v>27</c:v>
                </c:pt>
                <c:pt idx="2">
                  <c:v>8</c:v>
                </c:pt>
                <c:pt idx="3">
                  <c:v>4</c:v>
                </c:pt>
                <c:pt idx="4">
                  <c:v>2</c:v>
                </c:pt>
                <c:pt idx="5">
                  <c:v>25</c:v>
                </c:pt>
              </c:numCache>
            </c:numRef>
          </c:val>
          <c:extLst>
            <c:ext xmlns:c16="http://schemas.microsoft.com/office/drawing/2014/chart" uri="{C3380CC4-5D6E-409C-BE32-E72D297353CC}">
              <c16:uniqueId val="{0000000C-B756-4E29-AD90-0FF297C148A9}"/>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E9806-71FC-43C8-AE12-FBFF30B4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4048</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Veena Pailwar</dc:creator>
  <cp:keywords/>
  <cp:lastModifiedBy>Bojmelgrin, Alex</cp:lastModifiedBy>
  <cp:revision>3</cp:revision>
  <cp:lastPrinted>2019-07-12T13:42:00Z</cp:lastPrinted>
  <dcterms:created xsi:type="dcterms:W3CDTF">2019-07-12T13:08:00Z</dcterms:created>
  <dcterms:modified xsi:type="dcterms:W3CDTF">2019-07-12T13:44:00Z</dcterms:modified>
</cp:coreProperties>
</file>