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633"/>
      </w:tblGrid>
      <w:tr w:rsidR="001B7F6F" w:rsidRPr="008106F2" w14:paraId="575B7FB4" w14:textId="77777777" w:rsidTr="001B7F6F">
        <w:tc>
          <w:tcPr>
            <w:tcW w:w="4680" w:type="dxa"/>
          </w:tcPr>
          <w:p w14:paraId="0B8F2D1E" w14:textId="77777777" w:rsidR="001B7F6F" w:rsidRPr="008106F2" w:rsidRDefault="001B7F6F" w:rsidP="001B7F6F">
            <w:pPr>
              <w:tabs>
                <w:tab w:val="left" w:pos="-1440"/>
                <w:tab w:val="left" w:pos="-720"/>
                <w:tab w:val="left" w:pos="1"/>
              </w:tabs>
              <w:jc w:val="both"/>
              <w:rPr>
                <w:rFonts w:ascii="Arial" w:hAnsi="Arial"/>
                <w:b/>
                <w:sz w:val="24"/>
              </w:rPr>
            </w:pPr>
            <w:r w:rsidRPr="008106F2">
              <w:rPr>
                <w:rFonts w:ascii="Arial" w:hAnsi="Arial"/>
                <w:b/>
                <w:noProof/>
                <w:sz w:val="24"/>
                <w:lang w:val="en-CA" w:eastAsia="en-CA"/>
              </w:rPr>
              <w:drawing>
                <wp:inline distT="0" distB="0" distL="0" distR="0" wp14:anchorId="202CA38A" wp14:editId="6B8AAB6A">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0EC28456" w14:textId="77777777" w:rsidR="001B7F6F" w:rsidRPr="008106F2" w:rsidRDefault="001B7F6F" w:rsidP="001B7F6F">
            <w:pPr>
              <w:tabs>
                <w:tab w:val="left" w:pos="-1440"/>
                <w:tab w:val="left" w:pos="-720"/>
                <w:tab w:val="left" w:pos="1"/>
              </w:tabs>
              <w:jc w:val="right"/>
              <w:rPr>
                <w:rFonts w:ascii="Arial" w:hAnsi="Arial"/>
                <w:b/>
                <w:sz w:val="24"/>
              </w:rPr>
            </w:pPr>
            <w:r w:rsidRPr="008106F2">
              <w:rPr>
                <w:rFonts w:ascii="Arial" w:hAnsi="Arial"/>
                <w:b/>
                <w:noProof/>
                <w:sz w:val="24"/>
                <w:lang w:val="en-CA" w:eastAsia="en-CA"/>
              </w:rPr>
              <w:drawing>
                <wp:inline distT="0" distB="0" distL="0" distR="0" wp14:anchorId="41DEE9E2" wp14:editId="1FBF5DFE">
                  <wp:extent cx="2348179"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UBeedie-2lines.eps"/>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348179" cy="548640"/>
                          </a:xfrm>
                          <a:prstGeom prst="rect">
                            <a:avLst/>
                          </a:prstGeom>
                        </pic:spPr>
                      </pic:pic>
                    </a:graphicData>
                  </a:graphic>
                </wp:inline>
              </w:drawing>
            </w:r>
          </w:p>
        </w:tc>
      </w:tr>
    </w:tbl>
    <w:p w14:paraId="6C3EF986" w14:textId="77777777" w:rsidR="001B7F6F" w:rsidRPr="008106F2" w:rsidRDefault="001B7F6F" w:rsidP="001B7F6F">
      <w:pPr>
        <w:pBdr>
          <w:bottom w:val="single" w:sz="18" w:space="1" w:color="auto"/>
        </w:pBdr>
        <w:tabs>
          <w:tab w:val="left" w:pos="-1440"/>
          <w:tab w:val="left" w:pos="-720"/>
          <w:tab w:val="left" w:pos="1"/>
        </w:tabs>
        <w:jc w:val="both"/>
        <w:rPr>
          <w:rFonts w:ascii="Arial" w:hAnsi="Arial"/>
          <w:b/>
          <w:sz w:val="2"/>
          <w:szCs w:val="2"/>
        </w:rPr>
      </w:pPr>
    </w:p>
    <w:p w14:paraId="46F7816A" w14:textId="16A3C047" w:rsidR="001B7F6F" w:rsidRPr="008106F2" w:rsidRDefault="00B52DA9" w:rsidP="001B7F6F">
      <w:pPr>
        <w:jc w:val="right"/>
        <w:rPr>
          <w:rFonts w:ascii="Arial" w:hAnsi="Arial"/>
          <w:b/>
          <w:caps/>
          <w:sz w:val="24"/>
        </w:rPr>
      </w:pPr>
      <w:r>
        <w:rPr>
          <w:rFonts w:ascii="Arial" w:hAnsi="Arial"/>
          <w:b/>
          <w:caps/>
          <w:sz w:val="24"/>
        </w:rPr>
        <w:t>9B19M071</w:t>
      </w:r>
    </w:p>
    <w:p w14:paraId="61BBD9A0" w14:textId="1C855AF2" w:rsidR="00C02410" w:rsidRPr="00827BEA" w:rsidRDefault="00C02410" w:rsidP="00C02410">
      <w:pPr>
        <w:pStyle w:val="ProductNumber"/>
        <w:rPr>
          <w:lang w:val="en-GB"/>
        </w:rPr>
      </w:pPr>
    </w:p>
    <w:p w14:paraId="4E057522" w14:textId="7A113CB1" w:rsidR="00D75295" w:rsidRPr="00827BEA" w:rsidRDefault="00D75295" w:rsidP="00D75295">
      <w:pPr>
        <w:jc w:val="right"/>
        <w:rPr>
          <w:rFonts w:ascii="Arial" w:hAnsi="Arial"/>
          <w:b/>
          <w:lang w:val="en-GB"/>
        </w:rPr>
      </w:pPr>
    </w:p>
    <w:p w14:paraId="02524312" w14:textId="77777777" w:rsidR="001901C0" w:rsidRPr="00827BEA" w:rsidRDefault="001901C0" w:rsidP="00D75295">
      <w:pPr>
        <w:jc w:val="right"/>
        <w:rPr>
          <w:rFonts w:ascii="Arial" w:hAnsi="Arial"/>
          <w:b/>
          <w:lang w:val="en-GB"/>
        </w:rPr>
      </w:pPr>
    </w:p>
    <w:p w14:paraId="2F03D26A" w14:textId="7B430D54" w:rsidR="00013360" w:rsidRPr="00827BEA" w:rsidRDefault="001016A0" w:rsidP="00013360">
      <w:pPr>
        <w:pStyle w:val="CaseTitle"/>
        <w:spacing w:after="0" w:line="240" w:lineRule="auto"/>
        <w:rPr>
          <w:sz w:val="20"/>
          <w:szCs w:val="20"/>
          <w:lang w:val="en-GB"/>
        </w:rPr>
      </w:pPr>
      <w:r w:rsidRPr="00827BEA">
        <w:rPr>
          <w:lang w:val="en-GB"/>
        </w:rPr>
        <w:t>China Gold International in Canada: What’s Next?</w:t>
      </w:r>
    </w:p>
    <w:p w14:paraId="40ABF6FD" w14:textId="77777777" w:rsidR="00CA3976" w:rsidRPr="00827BEA" w:rsidRDefault="00CA3976" w:rsidP="00013360">
      <w:pPr>
        <w:pStyle w:val="CaseTitle"/>
        <w:spacing w:after="0" w:line="240" w:lineRule="auto"/>
        <w:rPr>
          <w:sz w:val="20"/>
          <w:szCs w:val="20"/>
          <w:lang w:val="en-GB"/>
        </w:rPr>
      </w:pPr>
    </w:p>
    <w:p w14:paraId="202F1085" w14:textId="77777777" w:rsidR="00013360" w:rsidRPr="00827BEA" w:rsidRDefault="00013360" w:rsidP="00013360">
      <w:pPr>
        <w:pStyle w:val="CaseTitle"/>
        <w:spacing w:after="0" w:line="240" w:lineRule="auto"/>
        <w:rPr>
          <w:sz w:val="20"/>
          <w:szCs w:val="20"/>
          <w:lang w:val="en-GB"/>
        </w:rPr>
      </w:pPr>
    </w:p>
    <w:p w14:paraId="58B0C73F" w14:textId="73859A1D" w:rsidR="00086B26" w:rsidRPr="00827BEA" w:rsidRDefault="001016A0" w:rsidP="00086B26">
      <w:pPr>
        <w:pStyle w:val="StyleCopyrightStatementAfter0ptBottomSinglesolidline1"/>
        <w:rPr>
          <w:lang w:val="en-GB"/>
        </w:rPr>
      </w:pPr>
      <w:r w:rsidRPr="00827BEA">
        <w:rPr>
          <w:lang w:val="en-GB"/>
        </w:rPr>
        <w:t>Jing Li and Natalie Bin Zhao</w:t>
      </w:r>
      <w:r w:rsidR="00ED7922" w:rsidRPr="00827BEA">
        <w:rPr>
          <w:rFonts w:cs="Arial"/>
          <w:szCs w:val="16"/>
          <w:lang w:val="en-GB"/>
        </w:rPr>
        <w:t xml:space="preserve"> </w:t>
      </w:r>
      <w:r w:rsidR="00086B26" w:rsidRPr="00827BEA">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045FCE7" w14:textId="77777777" w:rsidR="001016A0" w:rsidRPr="00827BEA" w:rsidRDefault="001016A0" w:rsidP="00A323B0">
      <w:pPr>
        <w:pStyle w:val="StyleStyleCopyrightStatementAfter0ptBottomSinglesolid"/>
        <w:rPr>
          <w:rFonts w:cs="Arial"/>
          <w:iCs w:val="0"/>
          <w:color w:val="auto"/>
          <w:szCs w:val="16"/>
          <w:lang w:val="en-GB"/>
        </w:rPr>
      </w:pPr>
    </w:p>
    <w:p w14:paraId="41A8EFB7" w14:textId="21DB02E5" w:rsidR="001B7F6F" w:rsidRDefault="004137D3" w:rsidP="001B7F6F">
      <w:pPr>
        <w:jc w:val="both"/>
        <w:rPr>
          <w:rFonts w:ascii="Arial" w:hAnsi="Arial" w:cs="Arial"/>
          <w:i/>
          <w:iCs/>
          <w:sz w:val="16"/>
          <w:szCs w:val="16"/>
          <w:lang w:val="en-CA"/>
        </w:rPr>
      </w:pPr>
      <w:r w:rsidRPr="004137D3">
        <w:rPr>
          <w:rFonts w:ascii="Arial" w:hAnsi="Arial" w:cs="Arial"/>
          <w:i/>
          <w:iCs/>
          <w:sz w:val="16"/>
          <w:szCs w:val="16"/>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p>
    <w:p w14:paraId="090106F7" w14:textId="77777777" w:rsidR="001B7F6F" w:rsidRDefault="001B7F6F" w:rsidP="001B7F6F">
      <w:pPr>
        <w:pStyle w:val="StyleCopyrightStatementAfter0ptBottomSinglesolidline1"/>
        <w:pBdr>
          <w:top w:val="none" w:sz="0" w:space="0" w:color="auto"/>
        </w:pBdr>
      </w:pPr>
    </w:p>
    <w:p w14:paraId="3922E14F" w14:textId="545783A8" w:rsidR="00751E0B" w:rsidRPr="00827BEA" w:rsidRDefault="001B7F6F" w:rsidP="001B7F6F">
      <w:pPr>
        <w:pStyle w:val="StyleStyleCopyrightStatementAfter0ptBottomSinglesolid"/>
        <w:rPr>
          <w:rFonts w:cs="Arial"/>
          <w:szCs w:val="16"/>
          <w:lang w:val="en-GB"/>
        </w:rPr>
      </w:pPr>
      <w:r>
        <w:t>Copyright © 2019, Ivey School of Business Foundation</w:t>
      </w:r>
      <w:r>
        <w:tab/>
        <w:t>Version: 2019-07-1</w:t>
      </w:r>
      <w:r w:rsidR="004137D3">
        <w:t>9</w:t>
      </w:r>
    </w:p>
    <w:p w14:paraId="0A2A54E4" w14:textId="77777777" w:rsidR="00751E0B" w:rsidRPr="00827BEA" w:rsidRDefault="00751E0B" w:rsidP="00751E0B">
      <w:pPr>
        <w:pStyle w:val="StyleCopyrightStatementAfter0ptBottomSinglesolidline1"/>
        <w:rPr>
          <w:rFonts w:ascii="Times New Roman" w:hAnsi="Times New Roman"/>
          <w:i w:val="0"/>
          <w:sz w:val="20"/>
          <w:lang w:val="en-GB"/>
        </w:rPr>
      </w:pPr>
    </w:p>
    <w:p w14:paraId="2C183161" w14:textId="77777777" w:rsidR="00B87DC0" w:rsidRPr="00827BEA" w:rsidRDefault="00B87DC0" w:rsidP="002B40FF">
      <w:pPr>
        <w:pStyle w:val="Casehead1"/>
        <w:rPr>
          <w:rFonts w:ascii="Times New Roman" w:hAnsi="Times New Roman" w:cs="Times New Roman"/>
          <w:b w:val="0"/>
          <w:lang w:val="en-GB"/>
        </w:rPr>
      </w:pPr>
    </w:p>
    <w:p w14:paraId="4F30AA24" w14:textId="664174FE" w:rsidR="005D293D" w:rsidRPr="00827BEA" w:rsidRDefault="001016A0" w:rsidP="00B87840">
      <w:pPr>
        <w:pStyle w:val="BodyTextMain"/>
        <w:rPr>
          <w:lang w:val="en-GB"/>
        </w:rPr>
      </w:pPr>
      <w:r w:rsidRPr="00827BEA">
        <w:rPr>
          <w:lang w:val="en-GB"/>
        </w:rPr>
        <w:t xml:space="preserve">On November 1, 2017, Jerry Xie sat </w:t>
      </w:r>
      <w:r w:rsidR="00E96F1D" w:rsidRPr="00827BEA">
        <w:rPr>
          <w:lang w:val="en-GB"/>
        </w:rPr>
        <w:t xml:space="preserve">at his desk </w:t>
      </w:r>
      <w:r w:rsidRPr="00827BEA">
        <w:rPr>
          <w:lang w:val="en-GB"/>
        </w:rPr>
        <w:t xml:space="preserve">in his sixth-floor office in One Bentall Centre in Vancouver, </w:t>
      </w:r>
      <w:r w:rsidR="00B54CDF" w:rsidRPr="00827BEA">
        <w:rPr>
          <w:lang w:val="en-GB"/>
        </w:rPr>
        <w:t xml:space="preserve">British Columbia, </w:t>
      </w:r>
      <w:r w:rsidRPr="00827BEA">
        <w:rPr>
          <w:lang w:val="en-GB"/>
        </w:rPr>
        <w:t xml:space="preserve">Canada, just blocks from the waterfront, </w:t>
      </w:r>
      <w:r w:rsidR="00E96F1D" w:rsidRPr="00827BEA">
        <w:rPr>
          <w:lang w:val="en-GB"/>
        </w:rPr>
        <w:t xml:space="preserve">and </w:t>
      </w:r>
      <w:r w:rsidRPr="00827BEA">
        <w:rPr>
          <w:lang w:val="en-GB"/>
        </w:rPr>
        <w:t>ponder</w:t>
      </w:r>
      <w:r w:rsidR="00E96F1D" w:rsidRPr="00827BEA">
        <w:rPr>
          <w:lang w:val="en-GB"/>
        </w:rPr>
        <w:t>ed</w:t>
      </w:r>
      <w:r w:rsidRPr="00827BEA">
        <w:rPr>
          <w:lang w:val="en-GB"/>
        </w:rPr>
        <w:t xml:space="preserve"> the future development of China Gold International Resources Corp. Ltd</w:t>
      </w:r>
      <w:r w:rsidR="00827BEA">
        <w:rPr>
          <w:lang w:val="en-GB"/>
        </w:rPr>
        <w:t>.</w:t>
      </w:r>
      <w:r w:rsidRPr="00827BEA">
        <w:rPr>
          <w:lang w:val="en-GB"/>
        </w:rPr>
        <w:t xml:space="preserve"> (CGI). Xie was executive vice</w:t>
      </w:r>
      <w:r w:rsidR="002C4DF8" w:rsidRPr="00827BEA">
        <w:rPr>
          <w:lang w:val="en-GB"/>
        </w:rPr>
        <w:t>-</w:t>
      </w:r>
      <w:r w:rsidRPr="00827BEA">
        <w:rPr>
          <w:lang w:val="en-GB"/>
        </w:rPr>
        <w:t xml:space="preserve">president and corporate secretary of CGI, the only overseas-listed subsidiary of China National Gold Group (CNG), a Chinese state-owned gold company. He was expected to report his plan to Xin Song, the chairman of the board of both CNG and CGI, in a meeting to be held in Beijing, China, in a week’s time. CGI was perceived as the international flagship company of CNG and was listed in both Canada and Hong Kong, yet it had two mines in China and none in Canada. The parent firm needed Xie’s help to answer a question from the global capital market: should CGI be kept in operation in Canada? </w:t>
      </w:r>
    </w:p>
    <w:p w14:paraId="199EC7CF" w14:textId="77777777" w:rsidR="005D293D" w:rsidRPr="00827BEA" w:rsidRDefault="005D293D" w:rsidP="00B87840">
      <w:pPr>
        <w:pStyle w:val="BodyTextMain"/>
        <w:rPr>
          <w:lang w:val="en-GB"/>
        </w:rPr>
      </w:pPr>
    </w:p>
    <w:p w14:paraId="7B641248" w14:textId="31CD5FF5" w:rsidR="005D293D" w:rsidRPr="00827BEA" w:rsidRDefault="001016A0" w:rsidP="00B87840">
      <w:pPr>
        <w:pStyle w:val="BodyTextMain"/>
        <w:rPr>
          <w:lang w:val="en-GB"/>
        </w:rPr>
      </w:pPr>
      <w:r w:rsidRPr="00827BEA">
        <w:rPr>
          <w:lang w:val="en-GB"/>
        </w:rPr>
        <w:t xml:space="preserve">Meanwhile, Xie </w:t>
      </w:r>
      <w:r w:rsidR="005C2680" w:rsidRPr="00827BEA">
        <w:rPr>
          <w:lang w:val="en-GB"/>
        </w:rPr>
        <w:t xml:space="preserve">also </w:t>
      </w:r>
      <w:r w:rsidRPr="00827BEA">
        <w:rPr>
          <w:lang w:val="en-GB"/>
        </w:rPr>
        <w:t xml:space="preserve">felt pressure to address in this report concerns from the </w:t>
      </w:r>
      <w:r w:rsidR="005C2680" w:rsidRPr="00827BEA">
        <w:rPr>
          <w:lang w:val="en-GB"/>
        </w:rPr>
        <w:t xml:space="preserve">company’s </w:t>
      </w:r>
      <w:r w:rsidRPr="00827BEA">
        <w:rPr>
          <w:lang w:val="en-GB"/>
        </w:rPr>
        <w:t xml:space="preserve">stakeholders in North America. He sensed the discomfort and suspicion the Canadian and American stakeholders </w:t>
      </w:r>
      <w:r w:rsidR="002C4DF8" w:rsidRPr="00827BEA">
        <w:rPr>
          <w:lang w:val="en-GB"/>
        </w:rPr>
        <w:t xml:space="preserve">felt </w:t>
      </w:r>
      <w:r w:rsidRPr="00827BEA">
        <w:rPr>
          <w:lang w:val="en-GB"/>
        </w:rPr>
        <w:t xml:space="preserve">toward CGI </w:t>
      </w:r>
      <w:r w:rsidR="002C4DF8" w:rsidRPr="00827BEA">
        <w:rPr>
          <w:lang w:val="en-GB"/>
        </w:rPr>
        <w:t>because it was</w:t>
      </w:r>
      <w:r w:rsidRPr="00827BEA">
        <w:rPr>
          <w:lang w:val="en-GB"/>
        </w:rPr>
        <w:t xml:space="preserve"> a subsidiary of a Chinese state-owned company</w:t>
      </w:r>
      <w:r w:rsidR="002C4DF8" w:rsidRPr="00827BEA">
        <w:rPr>
          <w:lang w:val="en-GB"/>
        </w:rPr>
        <w:t>. T</w:t>
      </w:r>
      <w:r w:rsidRPr="00827BEA">
        <w:rPr>
          <w:lang w:val="en-GB"/>
        </w:rPr>
        <w:t xml:space="preserve">his led to another important question Xie must answer: </w:t>
      </w:r>
      <w:r w:rsidR="002C4DF8" w:rsidRPr="00827BEA">
        <w:rPr>
          <w:lang w:val="en-GB"/>
        </w:rPr>
        <w:t>h</w:t>
      </w:r>
      <w:r w:rsidRPr="00827BEA">
        <w:rPr>
          <w:lang w:val="en-GB"/>
        </w:rPr>
        <w:t xml:space="preserve">ow could CGI deal with concerns that North American stakeholders commonly had over foreign state-owned companies, especially those from China? </w:t>
      </w:r>
    </w:p>
    <w:p w14:paraId="2CC7D176" w14:textId="77777777" w:rsidR="005D293D" w:rsidRPr="00827BEA" w:rsidRDefault="005D293D" w:rsidP="00B87840">
      <w:pPr>
        <w:pStyle w:val="BodyTextMain"/>
        <w:rPr>
          <w:lang w:val="en-GB"/>
        </w:rPr>
      </w:pPr>
    </w:p>
    <w:p w14:paraId="6C763601" w14:textId="3AC53824" w:rsidR="00654641" w:rsidRPr="00827BEA" w:rsidRDefault="00907A76" w:rsidP="00B87840">
      <w:pPr>
        <w:pStyle w:val="BodyTextMain"/>
        <w:rPr>
          <w:lang w:val="en-GB"/>
        </w:rPr>
      </w:pPr>
      <w:r w:rsidRPr="00827BEA">
        <w:rPr>
          <w:lang w:val="en-GB"/>
        </w:rPr>
        <w:t>Xie</w:t>
      </w:r>
      <w:r w:rsidR="001016A0" w:rsidRPr="00827BEA">
        <w:rPr>
          <w:lang w:val="en-GB"/>
        </w:rPr>
        <w:t xml:space="preserve"> knew he had to be careful about what he was going to state in the report</w:t>
      </w:r>
      <w:r w:rsidRPr="00827BEA">
        <w:rPr>
          <w:lang w:val="en-GB"/>
        </w:rPr>
        <w:t xml:space="preserve"> because t</w:t>
      </w:r>
      <w:r w:rsidR="001016A0" w:rsidRPr="00827BEA">
        <w:rPr>
          <w:lang w:val="en-GB"/>
        </w:rPr>
        <w:t xml:space="preserve">hings could go </w:t>
      </w:r>
      <w:r w:rsidR="004325D2" w:rsidRPr="00827BEA">
        <w:rPr>
          <w:lang w:val="en-GB"/>
        </w:rPr>
        <w:t xml:space="preserve">badly </w:t>
      </w:r>
      <w:r w:rsidR="00827BEA">
        <w:rPr>
          <w:lang w:val="en-GB"/>
        </w:rPr>
        <w:t>both</w:t>
      </w:r>
      <w:r w:rsidR="00827BEA" w:rsidRPr="00827BEA">
        <w:rPr>
          <w:lang w:val="en-GB"/>
        </w:rPr>
        <w:t xml:space="preserve"> </w:t>
      </w:r>
      <w:r w:rsidR="00CC6E45" w:rsidRPr="00827BEA">
        <w:rPr>
          <w:lang w:val="en-GB"/>
        </w:rPr>
        <w:t>financially and politically</w:t>
      </w:r>
      <w:r w:rsidRPr="00827BEA">
        <w:rPr>
          <w:lang w:val="en-GB"/>
        </w:rPr>
        <w:t>. He</w:t>
      </w:r>
      <w:r w:rsidR="001016A0" w:rsidRPr="00827BEA">
        <w:rPr>
          <w:lang w:val="en-GB"/>
        </w:rPr>
        <w:t xml:space="preserve"> still vividly recalled the tremendous stress he faced </w:t>
      </w:r>
      <w:r w:rsidR="004137D3">
        <w:rPr>
          <w:lang w:val="en-GB"/>
        </w:rPr>
        <w:t>having to deal</w:t>
      </w:r>
      <w:r w:rsidR="001016A0" w:rsidRPr="00827BEA">
        <w:rPr>
          <w:lang w:val="en-GB"/>
        </w:rPr>
        <w:t xml:space="preserve"> with communication challenges between the parent</w:t>
      </w:r>
      <w:r w:rsidRPr="00827BEA">
        <w:rPr>
          <w:lang w:val="en-GB"/>
        </w:rPr>
        <w:t xml:space="preserve"> company</w:t>
      </w:r>
      <w:r w:rsidR="001016A0" w:rsidRPr="00827BEA">
        <w:rPr>
          <w:lang w:val="en-GB"/>
        </w:rPr>
        <w:t xml:space="preserve"> and CGI when he joined the company in March 2009, not long after CGI was acquired by CNG. </w:t>
      </w:r>
    </w:p>
    <w:p w14:paraId="16733785" w14:textId="77777777" w:rsidR="00654641" w:rsidRPr="00827BEA" w:rsidRDefault="00654641" w:rsidP="00B87840">
      <w:pPr>
        <w:pStyle w:val="BodyTextMain"/>
        <w:rPr>
          <w:lang w:val="en-GB"/>
        </w:rPr>
      </w:pPr>
    </w:p>
    <w:p w14:paraId="7E241199" w14:textId="6584208A" w:rsidR="001016A0" w:rsidRPr="00827BEA" w:rsidRDefault="001016A0" w:rsidP="00B87840">
      <w:pPr>
        <w:pStyle w:val="BodyTextMain"/>
        <w:rPr>
          <w:rFonts w:eastAsia="Yu Gothic Light"/>
          <w:spacing w:val="-2"/>
          <w:lang w:val="en-GB"/>
        </w:rPr>
      </w:pPr>
      <w:r w:rsidRPr="00827BEA">
        <w:rPr>
          <w:spacing w:val="-2"/>
          <w:lang w:val="en-GB"/>
        </w:rPr>
        <w:t>The clock was ticking</w:t>
      </w:r>
      <w:r w:rsidR="00A81EA9">
        <w:rPr>
          <w:spacing w:val="-2"/>
          <w:lang w:val="en-GB"/>
        </w:rPr>
        <w:t>,</w:t>
      </w:r>
      <w:r w:rsidRPr="00827BEA">
        <w:rPr>
          <w:spacing w:val="-2"/>
          <w:lang w:val="en-GB"/>
        </w:rPr>
        <w:t xml:space="preserve"> and it was already </w:t>
      </w:r>
      <w:r w:rsidR="00A81EA9">
        <w:rPr>
          <w:spacing w:val="-2"/>
          <w:lang w:val="en-GB"/>
        </w:rPr>
        <w:t>5:00</w:t>
      </w:r>
      <w:r w:rsidRPr="00827BEA">
        <w:rPr>
          <w:spacing w:val="-2"/>
          <w:lang w:val="en-GB"/>
        </w:rPr>
        <w:t xml:space="preserve"> p.m. The office had emptied, and the sun had set. Xie </w:t>
      </w:r>
      <w:r w:rsidR="00907A76" w:rsidRPr="00827BEA">
        <w:rPr>
          <w:spacing w:val="-2"/>
          <w:lang w:val="en-GB"/>
        </w:rPr>
        <w:t>opened</w:t>
      </w:r>
      <w:r w:rsidRPr="00827BEA">
        <w:rPr>
          <w:spacing w:val="-2"/>
          <w:lang w:val="en-GB"/>
        </w:rPr>
        <w:t xml:space="preserve"> his laptop and started typing notes for the upcoming meeting, hoping he could avoid yet another late night. </w:t>
      </w:r>
      <w:bookmarkStart w:id="0" w:name="_Toc499666644"/>
    </w:p>
    <w:p w14:paraId="53C3AA56" w14:textId="77777777" w:rsidR="001016A0" w:rsidRPr="00827BEA" w:rsidRDefault="001016A0" w:rsidP="001016A0">
      <w:pPr>
        <w:pStyle w:val="BodyTextMain"/>
        <w:rPr>
          <w:rFonts w:eastAsia="Yu Gothic Light"/>
          <w:shd w:val="clear" w:color="auto" w:fill="FFFFFF"/>
          <w:lang w:val="en-GB"/>
        </w:rPr>
      </w:pPr>
    </w:p>
    <w:p w14:paraId="69EEBB57" w14:textId="77777777" w:rsidR="001016A0" w:rsidRPr="00827BEA" w:rsidRDefault="001016A0" w:rsidP="001016A0">
      <w:pPr>
        <w:pStyle w:val="BodyTextMain"/>
        <w:rPr>
          <w:rFonts w:eastAsia="Yu Gothic Light"/>
          <w:shd w:val="clear" w:color="auto" w:fill="FFFFFF"/>
          <w:lang w:val="en-GB"/>
        </w:rPr>
      </w:pPr>
    </w:p>
    <w:p w14:paraId="48C42460" w14:textId="52F1A175" w:rsidR="001016A0" w:rsidRPr="00827BEA" w:rsidRDefault="001016A0" w:rsidP="001016A0">
      <w:pPr>
        <w:pStyle w:val="Casehead1"/>
        <w:rPr>
          <w:rFonts w:eastAsia="Yu Gothic Light"/>
          <w:lang w:val="en-GB"/>
        </w:rPr>
      </w:pPr>
      <w:r w:rsidRPr="00827BEA">
        <w:rPr>
          <w:rFonts w:eastAsia="Yu Gothic Light"/>
          <w:lang w:val="en-GB"/>
        </w:rPr>
        <w:t>China Gold International Resources Corp. Ltd.</w:t>
      </w:r>
      <w:bookmarkEnd w:id="0"/>
    </w:p>
    <w:p w14:paraId="24F92D9D" w14:textId="77777777" w:rsidR="001016A0" w:rsidRPr="00827BEA" w:rsidRDefault="001016A0" w:rsidP="001016A0">
      <w:pPr>
        <w:pStyle w:val="Casehead1"/>
        <w:rPr>
          <w:rFonts w:eastAsia="Yu Gothic Light"/>
          <w:lang w:val="en-GB"/>
        </w:rPr>
      </w:pPr>
    </w:p>
    <w:p w14:paraId="27B45237" w14:textId="13A8C87F" w:rsidR="007C6E0B" w:rsidRPr="00827BEA" w:rsidRDefault="001016A0" w:rsidP="001016A0">
      <w:pPr>
        <w:pStyle w:val="BodyTextMain"/>
        <w:rPr>
          <w:rFonts w:eastAsia="Yu Mincho"/>
          <w:shd w:val="clear" w:color="auto" w:fill="FFFFFF"/>
          <w:lang w:val="en-GB"/>
        </w:rPr>
      </w:pPr>
      <w:r w:rsidRPr="00827BEA">
        <w:rPr>
          <w:rFonts w:eastAsia="Yu Mincho"/>
          <w:shd w:val="clear" w:color="auto" w:fill="FFFFFF"/>
          <w:lang w:val="en-GB"/>
        </w:rPr>
        <w:t>CGI was an integrated mineral</w:t>
      </w:r>
      <w:r w:rsidR="00BF3E20" w:rsidRPr="00827BEA">
        <w:rPr>
          <w:rFonts w:eastAsia="Yu Mincho"/>
          <w:shd w:val="clear" w:color="auto" w:fill="FFFFFF"/>
          <w:lang w:val="en-GB"/>
        </w:rPr>
        <w:t>-</w:t>
      </w:r>
      <w:r w:rsidRPr="00827BEA">
        <w:rPr>
          <w:rFonts w:eastAsia="Yu Mincho"/>
          <w:shd w:val="clear" w:color="auto" w:fill="FFFFFF"/>
          <w:lang w:val="en-GB"/>
        </w:rPr>
        <w:t>development company headquartered in Vancouver, British Columbia, Canada, and listed on both</w:t>
      </w:r>
      <w:r w:rsidR="00BF3E20" w:rsidRPr="00827BEA">
        <w:rPr>
          <w:rFonts w:eastAsia="Yu Mincho"/>
          <w:shd w:val="clear" w:color="auto" w:fill="FFFFFF"/>
          <w:lang w:val="en-GB"/>
        </w:rPr>
        <w:t xml:space="preserve"> the</w:t>
      </w:r>
      <w:r w:rsidRPr="00827BEA">
        <w:rPr>
          <w:rFonts w:eastAsia="Yu Mincho"/>
          <w:shd w:val="clear" w:color="auto" w:fill="FFFFFF"/>
          <w:lang w:val="en-GB"/>
        </w:rPr>
        <w:t xml:space="preserve"> Toronto Stock Exchange (TSE) and</w:t>
      </w:r>
      <w:r w:rsidR="00BF3E20" w:rsidRPr="00827BEA">
        <w:rPr>
          <w:rFonts w:eastAsia="Yu Mincho"/>
          <w:shd w:val="clear" w:color="auto" w:fill="FFFFFF"/>
          <w:lang w:val="en-GB"/>
        </w:rPr>
        <w:t xml:space="preserve"> the</w:t>
      </w:r>
      <w:r w:rsidRPr="00827BEA">
        <w:rPr>
          <w:rFonts w:eastAsia="Yu Mincho"/>
          <w:shd w:val="clear" w:color="auto" w:fill="FFFFFF"/>
          <w:lang w:val="en-GB"/>
        </w:rPr>
        <w:t xml:space="preserve"> Hong Kong Stock Exchange (HKSE), with CNG as the ultimate controlling shareholder (</w:t>
      </w:r>
      <w:r w:rsidR="00B54CDF" w:rsidRPr="00827BEA">
        <w:rPr>
          <w:rFonts w:eastAsia="Yu Mincho"/>
          <w:shd w:val="clear" w:color="auto" w:fill="FFFFFF"/>
          <w:lang w:val="en-GB"/>
        </w:rPr>
        <w:t xml:space="preserve">see </w:t>
      </w:r>
      <w:r w:rsidRPr="00827BEA">
        <w:rPr>
          <w:rFonts w:eastAsia="Yu Mincho"/>
          <w:shd w:val="clear" w:color="auto" w:fill="FFFFFF"/>
          <w:lang w:val="en-GB"/>
        </w:rPr>
        <w:t xml:space="preserve">Exhibit 1). CGI aimed to become a leading gold and by-product </w:t>
      </w:r>
      <w:r w:rsidR="00B4401F">
        <w:rPr>
          <w:rFonts w:eastAsia="Yu Mincho"/>
          <w:shd w:val="clear" w:color="auto" w:fill="FFFFFF"/>
          <w:lang w:val="en-GB"/>
        </w:rPr>
        <w:t>non-ferrous</w:t>
      </w:r>
      <w:r w:rsidR="00B4401F" w:rsidRPr="00827BEA">
        <w:rPr>
          <w:rFonts w:eastAsia="Yu Mincho"/>
          <w:shd w:val="clear" w:color="auto" w:fill="FFFFFF"/>
          <w:lang w:val="en-GB"/>
        </w:rPr>
        <w:t xml:space="preserve"> </w:t>
      </w:r>
      <w:r w:rsidRPr="00827BEA">
        <w:rPr>
          <w:rFonts w:eastAsia="Yu Mincho"/>
          <w:shd w:val="clear" w:color="auto" w:fill="FFFFFF"/>
          <w:lang w:val="en-GB"/>
        </w:rPr>
        <w:t>mining company.</w:t>
      </w:r>
      <w:r w:rsidR="007C6E0B" w:rsidRPr="00827BEA">
        <w:rPr>
          <w:rFonts w:eastAsia="Yu Mincho"/>
          <w:shd w:val="clear" w:color="auto" w:fill="FFFFFF"/>
          <w:lang w:val="en-GB"/>
        </w:rPr>
        <w:t xml:space="preserve"> The company’s principal properties were the </w:t>
      </w:r>
      <w:bookmarkStart w:id="1" w:name="_Hlk13666781"/>
      <w:r w:rsidR="007C6E0B" w:rsidRPr="00827BEA">
        <w:rPr>
          <w:rFonts w:eastAsia="Yu Mincho"/>
          <w:shd w:val="clear" w:color="auto" w:fill="FFFFFF"/>
          <w:lang w:val="en-GB"/>
        </w:rPr>
        <w:t xml:space="preserve">Chang </w:t>
      </w:r>
      <w:r w:rsidR="007C6E0B" w:rsidRPr="00827BEA">
        <w:rPr>
          <w:rFonts w:eastAsia="Yu Mincho"/>
          <w:shd w:val="clear" w:color="auto" w:fill="FFFFFF"/>
          <w:lang w:val="en-GB"/>
        </w:rPr>
        <w:lastRenderedPageBreak/>
        <w:t>Shan Hao Gold Mine</w:t>
      </w:r>
      <w:bookmarkEnd w:id="1"/>
      <w:r w:rsidR="007C6E0B" w:rsidRPr="00827BEA">
        <w:rPr>
          <w:rFonts w:eastAsia="Yu Mincho"/>
          <w:shd w:val="clear" w:color="auto" w:fill="FFFFFF"/>
          <w:lang w:val="en-GB"/>
        </w:rPr>
        <w:t xml:space="preserve"> (CSH Mine), located in Inner Mongolia, China, and the </w:t>
      </w:r>
      <w:bookmarkStart w:id="2" w:name="_Hlk13666741"/>
      <w:r w:rsidR="007C6E0B" w:rsidRPr="00827BEA">
        <w:rPr>
          <w:rFonts w:eastAsia="Yu Mincho"/>
          <w:shd w:val="clear" w:color="auto" w:fill="FFFFFF"/>
          <w:lang w:val="en-GB"/>
        </w:rPr>
        <w:t>Jiama Copper-Gold Polymetallic Mine</w:t>
      </w:r>
      <w:bookmarkEnd w:id="2"/>
      <w:r w:rsidR="007C6E0B" w:rsidRPr="00827BEA">
        <w:rPr>
          <w:rFonts w:eastAsia="Yu Mincho"/>
          <w:shd w:val="clear" w:color="auto" w:fill="FFFFFF"/>
          <w:lang w:val="en-GB"/>
        </w:rPr>
        <w:t xml:space="preserve"> (Jiama Mine), located in Tibet, China. </w:t>
      </w:r>
    </w:p>
    <w:p w14:paraId="08BB6D65" w14:textId="77777777" w:rsidR="005D293D" w:rsidRPr="00827BEA" w:rsidRDefault="005D293D" w:rsidP="001016A0">
      <w:pPr>
        <w:pStyle w:val="BodyTextMain"/>
        <w:rPr>
          <w:rFonts w:eastAsia="Calibri"/>
          <w:shd w:val="clear" w:color="auto" w:fill="FFFFFF"/>
          <w:lang w:val="en-GB" w:eastAsia="en-CA" w:bidi="en-CA"/>
        </w:rPr>
      </w:pPr>
    </w:p>
    <w:p w14:paraId="4BC2CB91" w14:textId="528FAFD2" w:rsidR="007C6E0B" w:rsidRPr="00F542FC" w:rsidRDefault="007C6E0B" w:rsidP="001016A0">
      <w:pPr>
        <w:pStyle w:val="BodyTextMain"/>
        <w:rPr>
          <w:rFonts w:eastAsia="Calibri"/>
          <w:spacing w:val="-2"/>
          <w:lang w:val="en-GB" w:eastAsia="en-CA" w:bidi="en-CA"/>
        </w:rPr>
      </w:pPr>
      <w:r w:rsidRPr="00F542FC">
        <w:rPr>
          <w:rFonts w:eastAsia="Calibri"/>
          <w:spacing w:val="-2"/>
          <w:shd w:val="clear" w:color="auto" w:fill="FFFFFF"/>
          <w:lang w:val="en-GB" w:eastAsia="en-CA" w:bidi="en-CA"/>
        </w:rPr>
        <w:t>CGI held 96.5</w:t>
      </w:r>
      <w:r w:rsidR="003437F0" w:rsidRPr="00F542FC">
        <w:rPr>
          <w:rFonts w:eastAsia="Calibri"/>
          <w:spacing w:val="-2"/>
          <w:shd w:val="clear" w:color="auto" w:fill="FFFFFF"/>
          <w:lang w:val="en-GB" w:eastAsia="en-CA" w:bidi="en-CA"/>
        </w:rPr>
        <w:t xml:space="preserve"> per cent</w:t>
      </w:r>
      <w:r w:rsidRPr="00F542FC">
        <w:rPr>
          <w:rFonts w:eastAsia="Calibri"/>
          <w:spacing w:val="-2"/>
          <w:shd w:val="clear" w:color="auto" w:fill="FFFFFF"/>
          <w:lang w:val="en-GB" w:eastAsia="en-CA" w:bidi="en-CA"/>
        </w:rPr>
        <w:t xml:space="preserve"> interest in the CSH Mine. Phase </w:t>
      </w:r>
      <w:r w:rsidR="00B4401F" w:rsidRPr="00F542FC">
        <w:rPr>
          <w:rFonts w:eastAsia="Calibri"/>
          <w:spacing w:val="-2"/>
          <w:shd w:val="clear" w:color="auto" w:fill="FFFFFF"/>
          <w:lang w:val="en-GB" w:eastAsia="en-CA" w:bidi="en-CA"/>
        </w:rPr>
        <w:t xml:space="preserve">1 </w:t>
      </w:r>
      <w:r w:rsidRPr="00F542FC">
        <w:rPr>
          <w:rFonts w:eastAsia="Calibri"/>
          <w:spacing w:val="-2"/>
          <w:shd w:val="clear" w:color="auto" w:fill="FFFFFF"/>
          <w:lang w:val="en-GB" w:eastAsia="en-CA" w:bidi="en-CA"/>
        </w:rPr>
        <w:t xml:space="preserve">of the CSH Mine commenced production in July 2007, and Phase </w:t>
      </w:r>
      <w:r w:rsidR="00B4401F" w:rsidRPr="00F542FC">
        <w:rPr>
          <w:rFonts w:eastAsia="Calibri"/>
          <w:spacing w:val="-2"/>
          <w:shd w:val="clear" w:color="auto" w:fill="FFFFFF"/>
          <w:lang w:val="en-GB" w:eastAsia="en-CA" w:bidi="en-CA"/>
        </w:rPr>
        <w:t>2</w:t>
      </w:r>
      <w:r w:rsidRPr="00F542FC">
        <w:rPr>
          <w:rFonts w:eastAsia="Calibri"/>
          <w:spacing w:val="-2"/>
          <w:shd w:val="clear" w:color="auto" w:fill="FFFFFF"/>
          <w:lang w:val="en-GB" w:eastAsia="en-CA" w:bidi="en-CA"/>
        </w:rPr>
        <w:t xml:space="preserve"> construction was completed in August 2013. The CSH Mine was one of China’s largest gold mines, placing CGI in a leadership position in China. This gold mine was the cornerstone of CGI’s growth strategy. CSH Mine produced a large, bulk-tonnage, low-grade gold deposit and reached a processing capacity of 60,000 tons per day in 2014. Gold production from the CSH Mine remained consistent: 46,621 ounces in </w:t>
      </w:r>
      <w:r w:rsidR="00EC27BD" w:rsidRPr="00F542FC">
        <w:rPr>
          <w:rFonts w:eastAsia="Calibri"/>
          <w:spacing w:val="-2"/>
          <w:shd w:val="clear" w:color="auto" w:fill="FFFFFF"/>
          <w:lang w:val="en-GB" w:eastAsia="en-CA" w:bidi="en-CA"/>
        </w:rPr>
        <w:t>the third quarter of</w:t>
      </w:r>
      <w:r w:rsidRPr="00F542FC">
        <w:rPr>
          <w:rFonts w:eastAsia="Calibri"/>
          <w:spacing w:val="-2"/>
          <w:shd w:val="clear" w:color="auto" w:fill="FFFFFF"/>
          <w:lang w:val="en-GB" w:eastAsia="en-CA" w:bidi="en-CA"/>
        </w:rPr>
        <w:t xml:space="preserve"> 2017, compared to 46,654 ounces for the same period in 2016.</w:t>
      </w:r>
    </w:p>
    <w:p w14:paraId="400836DF" w14:textId="77777777" w:rsidR="006E6224" w:rsidRPr="000042CA" w:rsidRDefault="006E6224" w:rsidP="000042CA">
      <w:pPr>
        <w:pStyle w:val="BodyTextMain"/>
        <w:rPr>
          <w:rFonts w:eastAsia="Yu Mincho"/>
        </w:rPr>
      </w:pPr>
      <w:bookmarkStart w:id="3" w:name="_GoBack"/>
    </w:p>
    <w:p w14:paraId="0B084D60" w14:textId="695A21E3" w:rsidR="007C6E0B" w:rsidRPr="000042CA" w:rsidRDefault="007C6E0B" w:rsidP="000042CA">
      <w:pPr>
        <w:pStyle w:val="BodyTextMain"/>
        <w:rPr>
          <w:rFonts w:eastAsia="Yu Mincho"/>
        </w:rPr>
      </w:pPr>
      <w:r w:rsidRPr="000042CA">
        <w:rPr>
          <w:rFonts w:eastAsia="Yu Mincho"/>
        </w:rPr>
        <w:t>In December 2010, CGI completed the acquisition of Skyland</w:t>
      </w:r>
      <w:r w:rsidR="00C55238" w:rsidRPr="000042CA">
        <w:rPr>
          <w:rFonts w:eastAsia="Yu Mincho"/>
        </w:rPr>
        <w:t xml:space="preserve"> Mining Limited</w:t>
      </w:r>
      <w:r w:rsidR="00EC27BD" w:rsidRPr="000042CA">
        <w:rPr>
          <w:rFonts w:eastAsia="Yu Mincho"/>
        </w:rPr>
        <w:t xml:space="preserve"> (Skyland)</w:t>
      </w:r>
      <w:r w:rsidRPr="000042CA">
        <w:rPr>
          <w:rFonts w:eastAsia="Yu Mincho"/>
        </w:rPr>
        <w:t>, which had the chief asset of 100</w:t>
      </w:r>
      <w:r w:rsidR="003437F0" w:rsidRPr="000042CA">
        <w:rPr>
          <w:rFonts w:eastAsia="Yu Mincho"/>
        </w:rPr>
        <w:t xml:space="preserve"> per cent</w:t>
      </w:r>
      <w:r w:rsidRPr="000042CA">
        <w:rPr>
          <w:rFonts w:eastAsia="Yu Mincho"/>
        </w:rPr>
        <w:t xml:space="preserve"> interest in the Jiama property hosting a large-scale copper-gold polymetallic deposit. The acquisition of Skyland was CNG’s first significant step toward its goal of making CGI its flagship company abroad. Phase </w:t>
      </w:r>
      <w:r w:rsidR="00EC27BD" w:rsidRPr="000042CA">
        <w:rPr>
          <w:rFonts w:eastAsia="Yu Mincho"/>
        </w:rPr>
        <w:t>1</w:t>
      </w:r>
      <w:r w:rsidRPr="000042CA">
        <w:rPr>
          <w:rFonts w:eastAsia="Yu Mincho"/>
        </w:rPr>
        <w:t xml:space="preserve"> of the Jiama Mine commenced production in September 2010, with copper production reaching 40.4 million pounds in 2016 (the sixth straight year of increased production) and Phase </w:t>
      </w:r>
      <w:r w:rsidR="00EC27BD" w:rsidRPr="000042CA">
        <w:rPr>
          <w:rFonts w:eastAsia="Yu Mincho"/>
        </w:rPr>
        <w:t>2</w:t>
      </w:r>
      <w:r w:rsidRPr="000042CA">
        <w:rPr>
          <w:rFonts w:eastAsia="Yu Mincho"/>
        </w:rPr>
        <w:t xml:space="preserve"> under commission.</w:t>
      </w:r>
    </w:p>
    <w:p w14:paraId="162DDA76" w14:textId="77777777" w:rsidR="006E6224" w:rsidRPr="000042CA" w:rsidRDefault="006E6224" w:rsidP="000042CA">
      <w:pPr>
        <w:pStyle w:val="BodyTextMain"/>
        <w:rPr>
          <w:rFonts w:eastAsia="Calibri"/>
        </w:rPr>
      </w:pPr>
    </w:p>
    <w:bookmarkEnd w:id="3"/>
    <w:p w14:paraId="588D0B3A" w14:textId="4A44376D" w:rsidR="007C6E0B" w:rsidRPr="00827BEA" w:rsidRDefault="007C6E0B" w:rsidP="00746D88">
      <w:pPr>
        <w:pStyle w:val="BodyTextMain"/>
        <w:rPr>
          <w:rFonts w:eastAsia="Calibri"/>
          <w:lang w:val="en-GB"/>
        </w:rPr>
      </w:pPr>
      <w:r w:rsidRPr="00827BEA">
        <w:rPr>
          <w:rFonts w:eastAsia="Calibri"/>
          <w:lang w:val="en-GB"/>
        </w:rPr>
        <w:t>On January 30, 2017, CGI reached a market capitalization of C</w:t>
      </w:r>
      <w:r w:rsidR="004325D2" w:rsidRPr="00827BEA">
        <w:rPr>
          <w:rFonts w:eastAsia="Calibri"/>
          <w:lang w:val="en-GB"/>
        </w:rPr>
        <w:t>A</w:t>
      </w:r>
      <w:r w:rsidRPr="00827BEA">
        <w:rPr>
          <w:rFonts w:eastAsia="Calibri"/>
          <w:lang w:val="en-GB"/>
        </w:rPr>
        <w:t>$1.08 billion and was included as a component of the S&amp;P/TSX SmallCap Index</w:t>
      </w:r>
      <w:r w:rsidR="000D02BD" w:rsidRPr="00827BEA">
        <w:rPr>
          <w:rFonts w:eastAsia="Calibri"/>
          <w:lang w:val="en-GB"/>
        </w:rPr>
        <w:t>.</w:t>
      </w:r>
      <w:r w:rsidRPr="00827BEA">
        <w:rPr>
          <w:rFonts w:eastAsia="Calibri"/>
          <w:lang w:val="en-GB"/>
        </w:rPr>
        <w:t xml:space="preserve"> CGI’s stock index identifier was CGG</w:t>
      </w:r>
      <w:r w:rsidR="000D02BD" w:rsidRPr="00827BEA">
        <w:rPr>
          <w:rFonts w:eastAsia="Calibri"/>
          <w:lang w:val="en-GB"/>
        </w:rPr>
        <w:t>.</w:t>
      </w:r>
      <w:r w:rsidRPr="00827BEA">
        <w:rPr>
          <w:rFonts w:eastAsia="Calibri"/>
          <w:lang w:val="en-GB"/>
        </w:rPr>
        <w:t xml:space="preserve"> In August 2017, Standard </w:t>
      </w:r>
      <w:r w:rsidR="00EC27BD">
        <w:rPr>
          <w:rFonts w:eastAsia="Calibri"/>
          <w:lang w:val="en-GB"/>
        </w:rPr>
        <w:t>&amp;</w:t>
      </w:r>
      <w:r w:rsidRPr="00827BEA">
        <w:rPr>
          <w:rFonts w:eastAsia="Calibri"/>
          <w:lang w:val="en-GB"/>
        </w:rPr>
        <w:t xml:space="preserve"> Poor’s </w:t>
      </w:r>
      <w:r w:rsidR="00EC27BD">
        <w:rPr>
          <w:rFonts w:eastAsia="Calibri"/>
          <w:lang w:val="en-GB"/>
        </w:rPr>
        <w:t xml:space="preserve">Financial Services LLC </w:t>
      </w:r>
      <w:r w:rsidRPr="00827BEA">
        <w:rPr>
          <w:rFonts w:eastAsia="Calibri"/>
          <w:lang w:val="en-GB"/>
        </w:rPr>
        <w:t>upgraded the rating outlook on CGI from negative to stable and reaffirmed the company’s BBB long-term corporate credit rating.</w:t>
      </w:r>
      <w:r w:rsidRPr="00827BEA">
        <w:rPr>
          <w:rFonts w:eastAsia="Calibri"/>
          <w:vertAlign w:val="superscript"/>
          <w:lang w:val="en-GB"/>
        </w:rPr>
        <w:footnoteReference w:id="1"/>
      </w:r>
      <w:r w:rsidRPr="00827BEA">
        <w:rPr>
          <w:rFonts w:eastAsia="Calibri"/>
          <w:vertAlign w:val="superscript"/>
          <w:lang w:val="en-GB"/>
        </w:rPr>
        <w:t xml:space="preserve"> </w:t>
      </w:r>
      <w:r w:rsidRPr="00827BEA">
        <w:rPr>
          <w:rFonts w:eastAsia="Calibri"/>
          <w:lang w:val="en-GB"/>
        </w:rPr>
        <w:t>The company was perceived as a healthy, fast-growing firm because of its senior management team’s long-term commitment and the strategic role it played for its controlling shareholder, CNG</w:t>
      </w:r>
      <w:r w:rsidR="004325D2" w:rsidRPr="00827BEA">
        <w:rPr>
          <w:rFonts w:eastAsia="Calibri"/>
          <w:lang w:val="en-GB"/>
        </w:rPr>
        <w:t>.</w:t>
      </w:r>
      <w:r w:rsidRPr="00827BEA">
        <w:rPr>
          <w:rFonts w:eastAsia="Calibri"/>
          <w:lang w:val="en-GB"/>
        </w:rPr>
        <w:t xml:space="preserve"> </w:t>
      </w:r>
    </w:p>
    <w:p w14:paraId="379E0E52" w14:textId="77777777" w:rsidR="007C6E0B" w:rsidRPr="00827BEA" w:rsidRDefault="007C6E0B" w:rsidP="00746D88">
      <w:pPr>
        <w:pStyle w:val="BodyTextMain"/>
        <w:rPr>
          <w:rFonts w:eastAsia="Calibri"/>
          <w:lang w:val="en-GB"/>
        </w:rPr>
      </w:pPr>
    </w:p>
    <w:p w14:paraId="4598398E" w14:textId="77777777" w:rsidR="007C6E0B" w:rsidRPr="00827BEA" w:rsidRDefault="007C6E0B" w:rsidP="00746D88">
      <w:pPr>
        <w:pStyle w:val="BodyTextMain"/>
        <w:rPr>
          <w:rFonts w:eastAsia="Calibri"/>
          <w:lang w:val="en-GB"/>
        </w:rPr>
      </w:pPr>
    </w:p>
    <w:p w14:paraId="35F4A87B" w14:textId="77777777" w:rsidR="007C6E0B" w:rsidRPr="00827BEA" w:rsidRDefault="007C6E0B" w:rsidP="00B87840">
      <w:pPr>
        <w:pStyle w:val="Casehead1"/>
        <w:rPr>
          <w:rFonts w:eastAsia="Yu Gothic Light"/>
          <w:lang w:val="en-GB"/>
        </w:rPr>
      </w:pPr>
      <w:r w:rsidRPr="00827BEA">
        <w:rPr>
          <w:rFonts w:eastAsia="Yu Gothic Light"/>
          <w:lang w:val="en-GB"/>
        </w:rPr>
        <w:t>China National Gold Group (CNG)</w:t>
      </w:r>
    </w:p>
    <w:p w14:paraId="47BFC84E" w14:textId="77777777" w:rsidR="00B87840" w:rsidRPr="00827BEA" w:rsidRDefault="00B87840" w:rsidP="00B87840">
      <w:pPr>
        <w:pStyle w:val="Casehead1"/>
        <w:rPr>
          <w:rFonts w:eastAsia="Yu Gothic Light"/>
          <w:lang w:val="en-GB"/>
        </w:rPr>
      </w:pPr>
    </w:p>
    <w:p w14:paraId="05F04C8E" w14:textId="08CE876C" w:rsidR="007C6E0B" w:rsidRPr="00827BEA" w:rsidRDefault="007C6E0B" w:rsidP="00746D88">
      <w:pPr>
        <w:pStyle w:val="BodyTextMain"/>
        <w:rPr>
          <w:rFonts w:eastAsia="Yu Mincho"/>
          <w:lang w:val="en-GB"/>
        </w:rPr>
      </w:pPr>
      <w:r w:rsidRPr="00827BEA">
        <w:rPr>
          <w:rFonts w:eastAsia="Yu Mincho"/>
          <w:lang w:val="en-GB"/>
        </w:rPr>
        <w:t>CNG was established in 2003 based on the China Gold General Corporation founded in 1979. CNG was the only central, state-owned entity in China’s gold industry under the supervision of the State-</w:t>
      </w:r>
      <w:r w:rsidR="003C65F6" w:rsidRPr="00827BEA">
        <w:rPr>
          <w:rFonts w:eastAsia="Yu Mincho"/>
          <w:lang w:val="en-GB"/>
        </w:rPr>
        <w:t>O</w:t>
      </w:r>
      <w:r w:rsidRPr="00827BEA">
        <w:rPr>
          <w:rFonts w:eastAsia="Yu Mincho"/>
          <w:lang w:val="en-GB"/>
        </w:rPr>
        <w:t xml:space="preserve">wned Assets Supervision </w:t>
      </w:r>
      <w:r w:rsidR="00AB0515">
        <w:rPr>
          <w:rFonts w:eastAsia="Yu Mincho"/>
          <w:lang w:val="en-GB"/>
        </w:rPr>
        <w:t xml:space="preserve">and </w:t>
      </w:r>
      <w:r w:rsidRPr="00827BEA">
        <w:rPr>
          <w:rFonts w:eastAsia="Yu Mincho"/>
          <w:lang w:val="en-GB"/>
        </w:rPr>
        <w:t xml:space="preserve">Administration Commission (SASAC) of the State Council. CNG was the chairman member of </w:t>
      </w:r>
      <w:r w:rsidR="003C65F6" w:rsidRPr="00827BEA">
        <w:rPr>
          <w:rFonts w:eastAsia="Yu Mincho"/>
          <w:lang w:val="en-GB"/>
        </w:rPr>
        <w:t xml:space="preserve">the </w:t>
      </w:r>
      <w:r w:rsidRPr="00827BEA">
        <w:rPr>
          <w:rFonts w:eastAsia="Yu Mincho"/>
          <w:lang w:val="en-GB"/>
        </w:rPr>
        <w:t>China Gold Association and was the only Chinese member of World Gold Council, a prestigious organization consisting of the world’s largest and most forward-thinking mining companies</w:t>
      </w:r>
      <w:r w:rsidR="00CB6DD4" w:rsidRPr="00827BEA">
        <w:rPr>
          <w:rFonts w:eastAsia="Yu Mincho"/>
          <w:lang w:val="en-GB"/>
        </w:rPr>
        <w:t>. Its</w:t>
      </w:r>
      <w:r w:rsidRPr="00827BEA">
        <w:rPr>
          <w:rFonts w:eastAsia="Yu Mincho"/>
          <w:lang w:val="en-GB"/>
        </w:rPr>
        <w:t xml:space="preserve"> goal</w:t>
      </w:r>
      <w:r w:rsidR="00CB6DD4" w:rsidRPr="00827BEA">
        <w:rPr>
          <w:rFonts w:eastAsia="Yu Mincho"/>
          <w:lang w:val="en-GB"/>
        </w:rPr>
        <w:t xml:space="preserve"> was</w:t>
      </w:r>
      <w:r w:rsidRPr="00827BEA">
        <w:rPr>
          <w:rFonts w:eastAsia="Yu Mincho"/>
          <w:lang w:val="en-GB"/>
        </w:rPr>
        <w:t xml:space="preserve"> to provide industry leadership and claim global authority on the gold market. </w:t>
      </w:r>
    </w:p>
    <w:p w14:paraId="7822A559" w14:textId="77777777" w:rsidR="006E6224" w:rsidRPr="00827BEA" w:rsidRDefault="006E6224" w:rsidP="00746D88">
      <w:pPr>
        <w:pStyle w:val="BodyTextMain"/>
        <w:rPr>
          <w:rFonts w:eastAsia="Yu Mincho"/>
          <w:lang w:val="en-GB"/>
        </w:rPr>
      </w:pPr>
    </w:p>
    <w:p w14:paraId="6EB59D34" w14:textId="4364EBB1" w:rsidR="007C6E0B" w:rsidRPr="00827BEA" w:rsidRDefault="007C6E0B" w:rsidP="00746D88">
      <w:pPr>
        <w:pStyle w:val="BodyTextMain"/>
        <w:rPr>
          <w:rFonts w:eastAsia="Yu Mincho"/>
          <w:lang w:val="en-GB"/>
        </w:rPr>
      </w:pPr>
      <w:r w:rsidRPr="00827BEA">
        <w:rPr>
          <w:rFonts w:eastAsia="Yu Mincho"/>
          <w:lang w:val="en-GB"/>
        </w:rPr>
        <w:t>CNG was a comprehensive company that integrated full</w:t>
      </w:r>
      <w:r w:rsidR="00CB6DD4" w:rsidRPr="00827BEA">
        <w:rPr>
          <w:rFonts w:eastAsia="Yu Mincho"/>
          <w:lang w:val="en-GB"/>
        </w:rPr>
        <w:t xml:space="preserve"> </w:t>
      </w:r>
      <w:r w:rsidR="00C350DA">
        <w:rPr>
          <w:rFonts w:eastAsia="Yu Mincho"/>
          <w:lang w:val="en-GB"/>
        </w:rPr>
        <w:t>value chain</w:t>
      </w:r>
      <w:r w:rsidRPr="00827BEA">
        <w:rPr>
          <w:rFonts w:eastAsia="Yu Mincho"/>
          <w:lang w:val="en-GB"/>
        </w:rPr>
        <w:t xml:space="preserve"> activities </w:t>
      </w:r>
      <w:r w:rsidR="00C350DA">
        <w:rPr>
          <w:rFonts w:eastAsia="Yu Mincho"/>
          <w:lang w:val="en-GB"/>
        </w:rPr>
        <w:t>including</w:t>
      </w:r>
      <w:r w:rsidRPr="00827BEA">
        <w:rPr>
          <w:rFonts w:eastAsia="Yu Mincho"/>
          <w:lang w:val="en-GB"/>
        </w:rPr>
        <w:t xml:space="preserve"> technological research</w:t>
      </w:r>
      <w:r w:rsidR="00C350DA">
        <w:rPr>
          <w:rFonts w:eastAsia="Yu Mincho"/>
          <w:lang w:val="en-GB"/>
        </w:rPr>
        <w:t>,</w:t>
      </w:r>
      <w:r w:rsidRPr="00827BEA">
        <w:rPr>
          <w:rFonts w:eastAsia="Yu Mincho"/>
          <w:lang w:val="en-GB"/>
        </w:rPr>
        <w:t xml:space="preserve"> engineering design</w:t>
      </w:r>
      <w:r w:rsidR="00C350DA">
        <w:rPr>
          <w:rFonts w:eastAsia="Yu Mincho"/>
          <w:lang w:val="en-GB"/>
        </w:rPr>
        <w:t xml:space="preserve">; </w:t>
      </w:r>
      <w:r w:rsidRPr="00827BEA">
        <w:rPr>
          <w:rFonts w:eastAsia="Yu Mincho"/>
          <w:lang w:val="en-GB"/>
        </w:rPr>
        <w:t>mine exploration, extraction, and production</w:t>
      </w:r>
      <w:r w:rsidR="00C350DA">
        <w:rPr>
          <w:rFonts w:eastAsia="Yu Mincho"/>
          <w:lang w:val="en-GB"/>
        </w:rPr>
        <w:t>;</w:t>
      </w:r>
      <w:r w:rsidRPr="00827BEA">
        <w:rPr>
          <w:rFonts w:eastAsia="Yu Mincho"/>
          <w:lang w:val="en-GB"/>
        </w:rPr>
        <w:t xml:space="preserve"> processing and refining</w:t>
      </w:r>
      <w:r w:rsidR="00C350DA">
        <w:rPr>
          <w:rFonts w:eastAsia="Yu Mincho"/>
          <w:lang w:val="en-GB"/>
        </w:rPr>
        <w:t>;</w:t>
      </w:r>
      <w:r w:rsidRPr="00827BEA">
        <w:rPr>
          <w:rFonts w:eastAsia="Yu Mincho"/>
          <w:lang w:val="en-GB"/>
        </w:rPr>
        <w:t xml:space="preserve"> </w:t>
      </w:r>
      <w:r w:rsidR="00C350DA">
        <w:rPr>
          <w:rFonts w:eastAsia="Yu Mincho"/>
          <w:lang w:val="en-GB"/>
        </w:rPr>
        <w:t>and the</w:t>
      </w:r>
      <w:r w:rsidRPr="00827BEA">
        <w:rPr>
          <w:rFonts w:eastAsia="Yu Mincho"/>
          <w:lang w:val="en-GB"/>
        </w:rPr>
        <w:t xml:space="preserve"> trade of </w:t>
      </w:r>
      <w:r w:rsidR="00C350DA">
        <w:rPr>
          <w:rFonts w:eastAsia="Yu Mincho"/>
          <w:lang w:val="en-GB"/>
        </w:rPr>
        <w:t>non-ferrous</w:t>
      </w:r>
      <w:r w:rsidR="00C350DA" w:rsidRPr="00827BEA">
        <w:rPr>
          <w:rFonts w:eastAsia="Yu Mincho"/>
          <w:lang w:val="en-GB"/>
        </w:rPr>
        <w:t xml:space="preserve"> </w:t>
      </w:r>
      <w:r w:rsidRPr="00827BEA">
        <w:rPr>
          <w:rFonts w:eastAsia="Yu Mincho"/>
          <w:lang w:val="en-GB"/>
        </w:rPr>
        <w:t xml:space="preserve">metals including gold, silver, copper, and molybdenum. </w:t>
      </w:r>
      <w:r w:rsidR="004E36E7" w:rsidRPr="00827BEA">
        <w:rPr>
          <w:rFonts w:eastAsia="Yu Mincho"/>
          <w:lang w:val="en-GB"/>
        </w:rPr>
        <w:t>CNG had</w:t>
      </w:r>
      <w:r w:rsidR="001516EC" w:rsidRPr="00827BEA">
        <w:rPr>
          <w:rFonts w:eastAsia="Yu Mincho"/>
          <w:lang w:val="en-GB"/>
        </w:rPr>
        <w:t xml:space="preserve"> seven main business se</w:t>
      </w:r>
      <w:r w:rsidR="004E36E7" w:rsidRPr="00827BEA">
        <w:rPr>
          <w:rFonts w:eastAsia="Yu Mincho"/>
          <w:lang w:val="en-GB"/>
        </w:rPr>
        <w:t>ctors</w:t>
      </w:r>
      <w:r w:rsidR="001516EC" w:rsidRPr="00827BEA">
        <w:rPr>
          <w:rFonts w:eastAsia="Yu Mincho"/>
          <w:lang w:val="en-GB"/>
        </w:rPr>
        <w:t xml:space="preserve">: </w:t>
      </w:r>
      <w:r w:rsidR="004137D3">
        <w:rPr>
          <w:rFonts w:eastAsia="Yu Mincho"/>
          <w:shd w:val="clear" w:color="auto" w:fill="FFFFFF"/>
          <w:lang w:val="en-CA"/>
        </w:rPr>
        <w:t>g</w:t>
      </w:r>
      <w:r w:rsidR="004137D3" w:rsidRPr="001016A0">
        <w:rPr>
          <w:rFonts w:eastAsia="Yu Mincho"/>
          <w:shd w:val="clear" w:color="auto" w:fill="FFFFFF"/>
          <w:lang w:val="en-CA"/>
        </w:rPr>
        <w:t xml:space="preserve">old, </w:t>
      </w:r>
      <w:r w:rsidR="004137D3">
        <w:rPr>
          <w:rFonts w:eastAsia="Yu Mincho"/>
          <w:shd w:val="clear" w:color="auto" w:fill="FFFFFF"/>
          <w:lang w:val="en-CA"/>
        </w:rPr>
        <w:t>international business, j</w:t>
      </w:r>
      <w:r w:rsidR="004137D3" w:rsidRPr="001016A0">
        <w:rPr>
          <w:rFonts w:eastAsia="Yu Mincho"/>
          <w:shd w:val="clear" w:color="auto" w:fill="FFFFFF"/>
          <w:lang w:val="en-CA"/>
        </w:rPr>
        <w:t xml:space="preserve">ewelry, </w:t>
      </w:r>
      <w:r w:rsidR="004137D3">
        <w:rPr>
          <w:rFonts w:eastAsia="Yu Mincho"/>
          <w:shd w:val="clear" w:color="auto" w:fill="FFFFFF"/>
          <w:lang w:val="en-CA"/>
        </w:rPr>
        <w:t>c</w:t>
      </w:r>
      <w:r w:rsidR="004137D3" w:rsidRPr="001016A0">
        <w:rPr>
          <w:rFonts w:eastAsia="Yu Mincho"/>
          <w:shd w:val="clear" w:color="auto" w:fill="FFFFFF"/>
          <w:lang w:val="en-CA"/>
        </w:rPr>
        <w:t xml:space="preserve">onstruction, </w:t>
      </w:r>
      <w:r w:rsidR="004137D3">
        <w:rPr>
          <w:rFonts w:eastAsia="Yu Mincho"/>
          <w:shd w:val="clear" w:color="auto" w:fill="FFFFFF"/>
          <w:lang w:val="en-CA"/>
        </w:rPr>
        <w:t>r</w:t>
      </w:r>
      <w:r w:rsidR="004137D3" w:rsidRPr="001016A0">
        <w:rPr>
          <w:rFonts w:eastAsia="Yu Mincho"/>
          <w:shd w:val="clear" w:color="auto" w:fill="FFFFFF"/>
          <w:lang w:val="en-CA"/>
        </w:rPr>
        <w:t xml:space="preserve">esources, </w:t>
      </w:r>
      <w:r w:rsidR="004137D3">
        <w:rPr>
          <w:rFonts w:eastAsia="Yu Mincho"/>
          <w:shd w:val="clear" w:color="auto" w:fill="FFFFFF"/>
          <w:lang w:val="en-CA"/>
        </w:rPr>
        <w:t>i</w:t>
      </w:r>
      <w:r w:rsidR="004137D3" w:rsidRPr="001016A0">
        <w:rPr>
          <w:rFonts w:eastAsia="Yu Mincho"/>
          <w:shd w:val="clear" w:color="auto" w:fill="FFFFFF"/>
          <w:lang w:val="en-CA"/>
        </w:rPr>
        <w:t xml:space="preserve">rradiation, and </w:t>
      </w:r>
      <w:r w:rsidR="004137D3">
        <w:rPr>
          <w:rFonts w:eastAsia="Yu Mincho"/>
          <w:shd w:val="clear" w:color="auto" w:fill="FFFFFF"/>
          <w:lang w:val="en-CA"/>
        </w:rPr>
        <w:t>t</w:t>
      </w:r>
      <w:r w:rsidR="004137D3" w:rsidRPr="001016A0">
        <w:rPr>
          <w:rFonts w:eastAsia="Yu Mincho"/>
          <w:shd w:val="clear" w:color="auto" w:fill="FFFFFF"/>
          <w:lang w:val="en-CA"/>
        </w:rPr>
        <w:t>rade.</w:t>
      </w:r>
      <w:r w:rsidRPr="00827BEA">
        <w:rPr>
          <w:rFonts w:eastAsia="Yu Mincho"/>
          <w:lang w:val="en-GB"/>
        </w:rPr>
        <w:t xml:space="preserve"> </w:t>
      </w:r>
      <w:r w:rsidR="001A743A" w:rsidRPr="00827BEA">
        <w:rPr>
          <w:rFonts w:eastAsia="Yu Mincho"/>
          <w:lang w:val="en-GB"/>
        </w:rPr>
        <w:t>CNG ha</w:t>
      </w:r>
      <w:r w:rsidR="00ED3B98" w:rsidRPr="00827BEA">
        <w:rPr>
          <w:rFonts w:eastAsia="Yu Mincho"/>
          <w:lang w:val="en-GB"/>
        </w:rPr>
        <w:t>d</w:t>
      </w:r>
      <w:r w:rsidR="001A743A" w:rsidRPr="00827BEA">
        <w:rPr>
          <w:rFonts w:eastAsia="Yu Mincho"/>
          <w:lang w:val="en-GB"/>
        </w:rPr>
        <w:t xml:space="preserve"> 57 subsidiaries, among which t</w:t>
      </w:r>
      <w:r w:rsidRPr="00827BEA">
        <w:rPr>
          <w:rFonts w:eastAsia="Yu Mincho"/>
          <w:lang w:val="en-GB"/>
        </w:rPr>
        <w:t xml:space="preserve">wo were publicly listed: CGI and Zhongjin Gold </w:t>
      </w:r>
      <w:r w:rsidR="001A743A" w:rsidRPr="00827BEA">
        <w:rPr>
          <w:rFonts w:eastAsia="Yu Mincho"/>
          <w:lang w:val="en-GB"/>
        </w:rPr>
        <w:t>Corp</w:t>
      </w:r>
      <w:r w:rsidR="00C350DA">
        <w:rPr>
          <w:rFonts w:eastAsia="Yu Mincho"/>
          <w:lang w:val="en-GB"/>
        </w:rPr>
        <w:t>.</w:t>
      </w:r>
      <w:r w:rsidR="001A743A" w:rsidRPr="00827BEA">
        <w:rPr>
          <w:rFonts w:eastAsia="Yu Mincho"/>
          <w:lang w:val="en-GB"/>
        </w:rPr>
        <w:t xml:space="preserve"> Ltd</w:t>
      </w:r>
      <w:r w:rsidR="00C350DA">
        <w:rPr>
          <w:rFonts w:eastAsia="Yu Mincho"/>
          <w:lang w:val="en-GB"/>
        </w:rPr>
        <w:t>.</w:t>
      </w:r>
      <w:r w:rsidR="001A743A" w:rsidRPr="00827BEA">
        <w:rPr>
          <w:rFonts w:eastAsia="Yu Mincho"/>
          <w:lang w:val="en-GB"/>
        </w:rPr>
        <w:t xml:space="preserve"> </w:t>
      </w:r>
      <w:r w:rsidRPr="00827BEA">
        <w:rPr>
          <w:rFonts w:eastAsia="Yu Mincho"/>
          <w:lang w:val="en-GB"/>
        </w:rPr>
        <w:t xml:space="preserve">(the latter </w:t>
      </w:r>
      <w:r w:rsidR="00C350DA">
        <w:rPr>
          <w:rFonts w:eastAsia="Yu Mincho"/>
          <w:lang w:val="en-GB"/>
        </w:rPr>
        <w:t xml:space="preserve">was </w:t>
      </w:r>
      <w:r w:rsidRPr="00827BEA">
        <w:rPr>
          <w:rFonts w:eastAsia="Yu Mincho"/>
          <w:lang w:val="en-GB"/>
        </w:rPr>
        <w:t>also a domestically listed subsidiary). The revenue of CNG had been increasing since 2012</w:t>
      </w:r>
      <w:r w:rsidR="00C350DA">
        <w:rPr>
          <w:rFonts w:eastAsia="Yu Mincho"/>
          <w:lang w:val="en-GB"/>
        </w:rPr>
        <w:t>,</w:t>
      </w:r>
      <w:r w:rsidRPr="00827BEA">
        <w:rPr>
          <w:rFonts w:eastAsia="Yu Mincho"/>
          <w:lang w:val="en-GB"/>
        </w:rPr>
        <w:t xml:space="preserve"> but the company started to experience losses in 2014 (</w:t>
      </w:r>
      <w:r w:rsidR="00CB6DD4" w:rsidRPr="00827BEA">
        <w:rPr>
          <w:rFonts w:eastAsia="Yu Mincho"/>
          <w:lang w:val="en-GB"/>
        </w:rPr>
        <w:t xml:space="preserve">see </w:t>
      </w:r>
      <w:r w:rsidRPr="00827BEA">
        <w:rPr>
          <w:rFonts w:eastAsia="Yu Mincho"/>
          <w:lang w:val="en-GB"/>
        </w:rPr>
        <w:t xml:space="preserve">Exhibit 2). </w:t>
      </w:r>
      <w:r w:rsidRPr="00827BEA">
        <w:rPr>
          <w:rFonts w:eastAsia="Yu Gothic Light"/>
          <w:lang w:val="en-GB"/>
        </w:rPr>
        <w:t>T</w:t>
      </w:r>
      <w:r w:rsidRPr="00827BEA">
        <w:rPr>
          <w:rFonts w:eastAsia="Yu Mincho"/>
          <w:lang w:val="en-GB"/>
        </w:rPr>
        <w:t>he princip</w:t>
      </w:r>
      <w:r w:rsidR="00402621" w:rsidRPr="00827BEA">
        <w:rPr>
          <w:rFonts w:eastAsia="Yu Mincho"/>
          <w:lang w:val="en-GB"/>
        </w:rPr>
        <w:t>al</w:t>
      </w:r>
      <w:r w:rsidRPr="00827BEA">
        <w:rPr>
          <w:rFonts w:eastAsia="Yu Mincho"/>
          <w:lang w:val="en-GB"/>
        </w:rPr>
        <w:t xml:space="preserve"> </w:t>
      </w:r>
      <w:r w:rsidR="00402621" w:rsidRPr="00827BEA">
        <w:rPr>
          <w:rFonts w:eastAsia="Yu Mincho"/>
          <w:lang w:val="en-GB"/>
        </w:rPr>
        <w:t xml:space="preserve">goal </w:t>
      </w:r>
      <w:r w:rsidRPr="00827BEA">
        <w:rPr>
          <w:rFonts w:eastAsia="Yu Mincho"/>
          <w:lang w:val="en-GB"/>
        </w:rPr>
        <w:t>of CNG was to fully explore, develop, and utilize gold resources using advanced science and technology while being</w:t>
      </w:r>
      <w:r w:rsidR="00402621" w:rsidRPr="00827BEA">
        <w:rPr>
          <w:rFonts w:eastAsia="Yu Mincho"/>
          <w:lang w:val="en-GB"/>
        </w:rPr>
        <w:t xml:space="preserve"> strongly</w:t>
      </w:r>
      <w:r w:rsidRPr="00827BEA">
        <w:rPr>
          <w:rFonts w:eastAsia="Yu Mincho"/>
          <w:lang w:val="en-GB"/>
        </w:rPr>
        <w:t xml:space="preserve"> committed to responsible and sustainable mining. </w:t>
      </w:r>
    </w:p>
    <w:p w14:paraId="23742F68" w14:textId="77777777" w:rsidR="00B87840" w:rsidRPr="00827BEA" w:rsidRDefault="00B87840" w:rsidP="00B87840">
      <w:pPr>
        <w:pStyle w:val="BodyTextMain"/>
        <w:rPr>
          <w:rFonts w:eastAsia="Yu Mincho"/>
          <w:shd w:val="clear" w:color="auto" w:fill="FFFFFF"/>
          <w:lang w:val="en-GB"/>
        </w:rPr>
      </w:pPr>
    </w:p>
    <w:p w14:paraId="7BBED68F" w14:textId="77777777" w:rsidR="004325D2" w:rsidRPr="00827BEA" w:rsidRDefault="004325D2" w:rsidP="00B87840">
      <w:pPr>
        <w:pStyle w:val="BodyTextMain"/>
        <w:rPr>
          <w:rFonts w:eastAsia="Yu Mincho"/>
          <w:shd w:val="clear" w:color="auto" w:fill="FFFFFF"/>
          <w:lang w:val="en-GB"/>
        </w:rPr>
      </w:pPr>
    </w:p>
    <w:p w14:paraId="485CC7E1" w14:textId="77777777" w:rsidR="007C6E0B" w:rsidRPr="00827BEA" w:rsidRDefault="007C6E0B" w:rsidP="008106F2">
      <w:pPr>
        <w:pStyle w:val="Casehead1"/>
        <w:keepNext/>
        <w:rPr>
          <w:rFonts w:eastAsia="Yu Mincho"/>
          <w:i/>
          <w:lang w:val="en-GB"/>
        </w:rPr>
      </w:pPr>
      <w:r w:rsidRPr="00827BEA">
        <w:rPr>
          <w:rFonts w:eastAsia="Yu Mincho"/>
          <w:lang w:val="en-GB"/>
        </w:rPr>
        <w:lastRenderedPageBreak/>
        <w:t>CNG’s Acquisition of CGI</w:t>
      </w:r>
    </w:p>
    <w:p w14:paraId="5E97E339" w14:textId="77777777" w:rsidR="006E6224" w:rsidRPr="00827BEA" w:rsidRDefault="006E6224" w:rsidP="008106F2">
      <w:pPr>
        <w:pStyle w:val="BodyTextMain"/>
        <w:keepNext/>
        <w:rPr>
          <w:rFonts w:eastAsia="Yu Mincho"/>
          <w:shd w:val="clear" w:color="auto" w:fill="FFFFFF"/>
          <w:lang w:val="en-GB"/>
        </w:rPr>
      </w:pPr>
    </w:p>
    <w:p w14:paraId="523FF5DA" w14:textId="161E558C" w:rsidR="00524734" w:rsidRPr="00827BEA" w:rsidRDefault="007C6E0B" w:rsidP="008106F2">
      <w:pPr>
        <w:pStyle w:val="BodyTextMain"/>
        <w:keepNext/>
        <w:rPr>
          <w:rFonts w:eastAsia="Yu Mincho"/>
          <w:shd w:val="clear" w:color="auto" w:fill="FFFFFF"/>
          <w:lang w:val="en-GB"/>
        </w:rPr>
      </w:pPr>
      <w:r w:rsidRPr="00827BEA">
        <w:rPr>
          <w:rFonts w:eastAsia="Yu Mincho"/>
          <w:shd w:val="clear" w:color="auto" w:fill="FFFFFF"/>
          <w:lang w:val="en-GB"/>
        </w:rPr>
        <w:t>In April 2008, CNG purchased C</w:t>
      </w:r>
      <w:r w:rsidR="004325D2" w:rsidRPr="00827BEA">
        <w:rPr>
          <w:rFonts w:eastAsia="Yu Mincho"/>
          <w:shd w:val="clear" w:color="auto" w:fill="FFFFFF"/>
          <w:lang w:val="en-GB"/>
        </w:rPr>
        <w:t>A</w:t>
      </w:r>
      <w:r w:rsidRPr="00827BEA">
        <w:rPr>
          <w:rFonts w:eastAsia="Yu Mincho"/>
          <w:shd w:val="clear" w:color="auto" w:fill="FFFFFF"/>
          <w:lang w:val="en-GB"/>
        </w:rPr>
        <w:t xml:space="preserve">$218 million worth of securities in Jinshan Gold Mines (Jinshan), a Canadian company listed on the TSE. Jinshan was formerly named Pacific Minerals and incorporated in 2000. The change of the name in 2004 to Jinshan, meaning “gold mountain” in Chinese, reflected the company’s focus on gold exploration, development, and production in China. On that November evening in his Vancouver office, Xie remembered having read published statements by Jinshan’s president concerning the acquisition by CNG: </w:t>
      </w:r>
    </w:p>
    <w:p w14:paraId="524E65E0" w14:textId="77777777" w:rsidR="00524734" w:rsidRPr="00827BEA" w:rsidRDefault="00524734" w:rsidP="00B87840">
      <w:pPr>
        <w:pStyle w:val="BodyTextMain"/>
        <w:rPr>
          <w:rFonts w:eastAsia="Yu Mincho"/>
          <w:shd w:val="clear" w:color="auto" w:fill="FFFFFF"/>
          <w:lang w:val="en-GB"/>
        </w:rPr>
      </w:pPr>
    </w:p>
    <w:p w14:paraId="2A6CE379" w14:textId="4BB0F9D0" w:rsidR="007C6E0B" w:rsidRPr="00827BEA" w:rsidRDefault="007C6E0B" w:rsidP="00524734">
      <w:pPr>
        <w:pStyle w:val="BodyTextMain"/>
        <w:ind w:left="720"/>
        <w:rPr>
          <w:rFonts w:eastAsia="Yu Mincho"/>
          <w:shd w:val="clear" w:color="auto" w:fill="FFFFFF"/>
          <w:lang w:val="en-GB"/>
        </w:rPr>
      </w:pPr>
      <w:r w:rsidRPr="00827BEA">
        <w:rPr>
          <w:rFonts w:eastAsia="Yu Mincho"/>
          <w:lang w:val="en-GB"/>
        </w:rPr>
        <w:t>We successfully entered China five years ago with the objective of becoming a significant player in the Chinese gold mining industry. This seminal relationship with China Gold validates our progress and significantly expands our platform for growth in the global gold mining industry.</w:t>
      </w:r>
      <w:r w:rsidRPr="00827BEA">
        <w:rPr>
          <w:rFonts w:eastAsia="Yu Mincho"/>
          <w:shd w:val="clear" w:color="auto" w:fill="FFFFFF"/>
          <w:vertAlign w:val="superscript"/>
          <w:lang w:val="en-GB"/>
        </w:rPr>
        <w:footnoteReference w:id="2"/>
      </w:r>
    </w:p>
    <w:p w14:paraId="2E51B900" w14:textId="77777777" w:rsidR="00B87840" w:rsidRPr="00827BEA" w:rsidRDefault="00B87840" w:rsidP="00B87840">
      <w:pPr>
        <w:pStyle w:val="BodyTextMain"/>
        <w:rPr>
          <w:rFonts w:eastAsia="Yu Mincho"/>
          <w:shd w:val="clear" w:color="auto" w:fill="FFFFFF"/>
          <w:lang w:val="en-GB"/>
        </w:rPr>
      </w:pPr>
    </w:p>
    <w:p w14:paraId="2E5F5F8A" w14:textId="5F6C9094" w:rsidR="007C6E0B" w:rsidRPr="00827BEA" w:rsidRDefault="007C6E0B" w:rsidP="00746D88">
      <w:pPr>
        <w:pStyle w:val="BodyTextMain"/>
        <w:rPr>
          <w:rFonts w:eastAsia="Calibri"/>
          <w:lang w:val="en-GB"/>
        </w:rPr>
      </w:pPr>
      <w:r w:rsidRPr="00827BEA">
        <w:rPr>
          <w:rFonts w:eastAsia="Calibri"/>
          <w:lang w:val="en-GB"/>
        </w:rPr>
        <w:t>According to Xin Song, the vice</w:t>
      </w:r>
      <w:r w:rsidR="00CF66A3" w:rsidRPr="00827BEA">
        <w:rPr>
          <w:rFonts w:eastAsia="Calibri"/>
          <w:lang w:val="en-GB"/>
        </w:rPr>
        <w:t>-</w:t>
      </w:r>
      <w:r w:rsidRPr="00827BEA">
        <w:rPr>
          <w:rFonts w:eastAsia="Calibri"/>
          <w:lang w:val="en-GB"/>
        </w:rPr>
        <w:t>president of CNG when acquisition occurred, CNG was interested in Jinshan for the following reasons:</w:t>
      </w:r>
    </w:p>
    <w:p w14:paraId="749F694F" w14:textId="77777777" w:rsidR="00AF07F4" w:rsidRPr="00827BEA" w:rsidRDefault="00AF07F4" w:rsidP="00B87840">
      <w:pPr>
        <w:pStyle w:val="BodyTextMain"/>
        <w:rPr>
          <w:rFonts w:eastAsia="Calibri"/>
          <w:shd w:val="clear" w:color="auto" w:fill="FFFFFF"/>
          <w:lang w:val="en-GB" w:eastAsia="zh-CN" w:bidi="en-CA"/>
        </w:rPr>
      </w:pPr>
    </w:p>
    <w:p w14:paraId="1BE10F05" w14:textId="77777777" w:rsidR="007C6E0B" w:rsidRPr="00F542FC" w:rsidRDefault="007C6E0B" w:rsidP="00746D88">
      <w:pPr>
        <w:pStyle w:val="BodyTextMain"/>
        <w:ind w:left="720"/>
        <w:rPr>
          <w:rFonts w:eastAsia="Calibri"/>
          <w:spacing w:val="-2"/>
          <w:lang w:val="en-GB"/>
        </w:rPr>
      </w:pPr>
      <w:r w:rsidRPr="00F542FC">
        <w:rPr>
          <w:rFonts w:eastAsia="Calibri"/>
          <w:spacing w:val="-2"/>
          <w:lang w:val="en-GB"/>
        </w:rPr>
        <w:t xml:space="preserve">First, in terms of resources development, China has limited domestic recourses, so it is necessary to look abroad for more resources and to do business overseas with international companies. Canada, with a comparatively advanced mining sector, is home to a large number of mining companies and, particularly, listed mining companies. It has a relatively higher concentration of mining rights, information in the trading market, and information about prospecting companies and large-scale mining companies. It also hosts a global mining conference every year. An important reason we have set our eyes on Canada is largely due to its advanced capital market for the mining industry. </w:t>
      </w:r>
    </w:p>
    <w:p w14:paraId="22980319" w14:textId="77777777" w:rsidR="00AF07F4" w:rsidRPr="00827BEA" w:rsidRDefault="00AF07F4" w:rsidP="00AF07F4">
      <w:pPr>
        <w:pStyle w:val="BodyTextMain"/>
        <w:ind w:left="720"/>
        <w:rPr>
          <w:rFonts w:eastAsia="Calibri"/>
          <w:shd w:val="clear" w:color="auto" w:fill="FFFFFF"/>
          <w:lang w:val="en-GB" w:eastAsia="zh-CN" w:bidi="en-CA"/>
        </w:rPr>
      </w:pPr>
    </w:p>
    <w:p w14:paraId="2409FD26" w14:textId="4FC280FE" w:rsidR="007C6E0B" w:rsidRPr="00827BEA" w:rsidRDefault="007C6E0B" w:rsidP="00746D88">
      <w:pPr>
        <w:pStyle w:val="BodyTextMain"/>
        <w:rPr>
          <w:rFonts w:eastAsia="Calibri"/>
          <w:lang w:val="en-GB"/>
        </w:rPr>
      </w:pPr>
      <w:r w:rsidRPr="00827BEA">
        <w:rPr>
          <w:rFonts w:eastAsia="Calibri"/>
          <w:lang w:val="en-GB"/>
        </w:rPr>
        <w:t>In fact, Canada was the leading global centre for mining finance. The TSX and TSX Venture Exchange (TSX-V) listed 57</w:t>
      </w:r>
      <w:r w:rsidR="003437F0" w:rsidRPr="00827BEA">
        <w:rPr>
          <w:rFonts w:eastAsia="Calibri"/>
          <w:lang w:val="en-GB"/>
        </w:rPr>
        <w:t xml:space="preserve"> per cent</w:t>
      </w:r>
      <w:r w:rsidRPr="00827BEA">
        <w:rPr>
          <w:rFonts w:eastAsia="Calibri"/>
          <w:lang w:val="en-GB"/>
        </w:rPr>
        <w:t xml:space="preserve"> of the world’s publicly traded mining companies</w:t>
      </w:r>
      <w:r w:rsidRPr="00827BEA">
        <w:rPr>
          <w:rFonts w:eastAsia="Calibri"/>
          <w:vertAlign w:val="superscript"/>
          <w:lang w:val="en-GB"/>
        </w:rPr>
        <w:footnoteReference w:id="3"/>
      </w:r>
      <w:r w:rsidRPr="00827BEA">
        <w:rPr>
          <w:rFonts w:eastAsia="Calibri"/>
          <w:lang w:val="en-GB"/>
        </w:rPr>
        <w:t xml:space="preserve"> (</w:t>
      </w:r>
      <w:r w:rsidR="004137D3">
        <w:rPr>
          <w:rFonts w:eastAsia="Calibri"/>
          <w:lang w:val="en-GB"/>
        </w:rPr>
        <w:t>s</w:t>
      </w:r>
      <w:r w:rsidRPr="00827BEA">
        <w:rPr>
          <w:rFonts w:eastAsia="Calibri"/>
          <w:lang w:val="en-GB"/>
        </w:rPr>
        <w:t xml:space="preserve">ee Exhibit 3 for more information on Canada and the world mining market.) </w:t>
      </w:r>
    </w:p>
    <w:p w14:paraId="10330FD1" w14:textId="77777777" w:rsidR="00B87840" w:rsidRPr="00827BEA" w:rsidRDefault="00B87840" w:rsidP="00746D88">
      <w:pPr>
        <w:pStyle w:val="BodyTextMain"/>
        <w:rPr>
          <w:rFonts w:eastAsia="Calibri"/>
          <w:lang w:val="en-GB"/>
        </w:rPr>
      </w:pPr>
    </w:p>
    <w:p w14:paraId="2E41557A" w14:textId="583334AE" w:rsidR="007C6E0B" w:rsidRPr="00827BEA" w:rsidRDefault="007C6E0B" w:rsidP="00746D88">
      <w:pPr>
        <w:pStyle w:val="BodyTextMain"/>
        <w:rPr>
          <w:rFonts w:eastAsia="Yu Mincho"/>
          <w:lang w:val="en-GB"/>
        </w:rPr>
      </w:pPr>
      <w:r w:rsidRPr="00827BEA">
        <w:rPr>
          <w:rFonts w:eastAsia="Yu Mincho"/>
          <w:lang w:val="en-GB"/>
        </w:rPr>
        <w:t>Xie took on his new position in the corporation</w:t>
      </w:r>
      <w:r w:rsidR="007B1EAC">
        <w:rPr>
          <w:rFonts w:eastAsia="Yu Mincho"/>
          <w:lang w:val="en-GB"/>
        </w:rPr>
        <w:t xml:space="preserve"> in 2009</w:t>
      </w:r>
      <w:r w:rsidRPr="00827BEA">
        <w:rPr>
          <w:rFonts w:eastAsia="Yu Mincho"/>
          <w:lang w:val="en-GB"/>
        </w:rPr>
        <w:t>,</w:t>
      </w:r>
      <w:r w:rsidR="007B1EAC">
        <w:rPr>
          <w:rFonts w:eastAsia="Yu Mincho"/>
          <w:lang w:val="en-GB"/>
        </w:rPr>
        <w:t xml:space="preserve"> and in December of that year,</w:t>
      </w:r>
      <w:r w:rsidRPr="00827BEA">
        <w:rPr>
          <w:rFonts w:eastAsia="Yu Mincho"/>
          <w:lang w:val="en-GB"/>
        </w:rPr>
        <w:t xml:space="preserve"> Jinshan proposed to change its name to C</w:t>
      </w:r>
      <w:r w:rsidR="00402621" w:rsidRPr="00827BEA">
        <w:rPr>
          <w:rFonts w:eastAsia="Yu Mincho"/>
          <w:lang w:val="en-GB"/>
        </w:rPr>
        <w:t xml:space="preserve">hina </w:t>
      </w:r>
      <w:r w:rsidRPr="00827BEA">
        <w:rPr>
          <w:rFonts w:eastAsia="Yu Mincho"/>
          <w:lang w:val="en-GB"/>
        </w:rPr>
        <w:t>G</w:t>
      </w:r>
      <w:r w:rsidR="00402621" w:rsidRPr="00827BEA">
        <w:rPr>
          <w:rFonts w:eastAsia="Yu Mincho"/>
          <w:lang w:val="en-GB"/>
        </w:rPr>
        <w:t xml:space="preserve">old </w:t>
      </w:r>
      <w:r w:rsidRPr="00827BEA">
        <w:rPr>
          <w:rFonts w:eastAsia="Yu Mincho"/>
          <w:lang w:val="en-GB"/>
        </w:rPr>
        <w:t>I</w:t>
      </w:r>
      <w:r w:rsidR="00402621" w:rsidRPr="00827BEA">
        <w:rPr>
          <w:rFonts w:eastAsia="Yu Mincho"/>
          <w:lang w:val="en-GB"/>
        </w:rPr>
        <w:t>nternational</w:t>
      </w:r>
      <w:r w:rsidRPr="00827BEA">
        <w:rPr>
          <w:rFonts w:eastAsia="Yu Mincho"/>
          <w:lang w:val="en-GB"/>
        </w:rPr>
        <w:t xml:space="preserve">. CNG approved the name change in July 2010 and wanted to use the new name to reflect the parent company’s full commitment to the subsidiary in developing and managing it as a vehicle for CNG to enter the international market. </w:t>
      </w:r>
    </w:p>
    <w:p w14:paraId="04D99070" w14:textId="77777777" w:rsidR="00B87840" w:rsidRPr="00827BEA" w:rsidRDefault="00B87840" w:rsidP="00746D88">
      <w:pPr>
        <w:pStyle w:val="BodyTextMain"/>
        <w:rPr>
          <w:rFonts w:eastAsia="Yu Mincho"/>
          <w:lang w:val="en-GB"/>
        </w:rPr>
      </w:pPr>
    </w:p>
    <w:p w14:paraId="2986DD06" w14:textId="77777777" w:rsidR="00B87840" w:rsidRPr="00827BEA" w:rsidRDefault="00B87840" w:rsidP="00746D88">
      <w:pPr>
        <w:pStyle w:val="BodyTextMain"/>
        <w:rPr>
          <w:rFonts w:eastAsia="Yu Mincho"/>
          <w:lang w:val="en-GB"/>
        </w:rPr>
      </w:pPr>
    </w:p>
    <w:p w14:paraId="1B78E56A" w14:textId="77777777" w:rsidR="007C6E0B" w:rsidRPr="004137D3" w:rsidRDefault="007C6E0B" w:rsidP="004137D3">
      <w:pPr>
        <w:pStyle w:val="Casehead1"/>
        <w:rPr>
          <w:rFonts w:eastAsia="Yu Gothic Light"/>
        </w:rPr>
      </w:pPr>
      <w:bookmarkStart w:id="4" w:name="_Toc499666646"/>
      <w:r w:rsidRPr="004137D3">
        <w:rPr>
          <w:rFonts w:eastAsia="Yu Gothic Light"/>
        </w:rPr>
        <w:t>Post-Acquisition Management Issues</w:t>
      </w:r>
      <w:bookmarkEnd w:id="4"/>
    </w:p>
    <w:p w14:paraId="1A00860C" w14:textId="77777777" w:rsidR="00B87840" w:rsidRPr="00827BEA" w:rsidRDefault="00B87840" w:rsidP="003805CD">
      <w:pPr>
        <w:pStyle w:val="BodyTextMain"/>
        <w:rPr>
          <w:rFonts w:eastAsia="Yu Gothic Light"/>
          <w:shd w:val="clear" w:color="auto" w:fill="FFFFFF"/>
          <w:lang w:val="en-GB"/>
        </w:rPr>
      </w:pPr>
    </w:p>
    <w:p w14:paraId="21232D03" w14:textId="0B65919B" w:rsidR="00B87840" w:rsidRPr="00827BEA" w:rsidRDefault="007C6E0B" w:rsidP="00B87840">
      <w:pPr>
        <w:pStyle w:val="BodyTextMain"/>
        <w:rPr>
          <w:rFonts w:eastAsia="Yu Mincho"/>
          <w:lang w:val="en-GB" w:eastAsia="zh-CN"/>
        </w:rPr>
      </w:pPr>
      <w:r w:rsidRPr="00827BEA">
        <w:rPr>
          <w:rFonts w:eastAsia="Yu Mincho"/>
          <w:lang w:val="en-GB" w:eastAsia="zh-CN"/>
        </w:rPr>
        <w:t>Although both sides expected synergies from this acquisition, in the two years following the acquisition</w:t>
      </w:r>
      <w:r w:rsidR="007B1EAC">
        <w:rPr>
          <w:rFonts w:eastAsia="Yu Mincho"/>
          <w:lang w:val="en-GB" w:eastAsia="zh-CN"/>
        </w:rPr>
        <w:t>,</w:t>
      </w:r>
      <w:r w:rsidRPr="00827BEA">
        <w:rPr>
          <w:rFonts w:eastAsia="Yu Mincho"/>
          <w:lang w:val="en-GB" w:eastAsia="zh-CN"/>
        </w:rPr>
        <w:t xml:space="preserve"> Jinshan experienced significant chaos, impaired morale and performance, and high turnover among the top management team and board members (Exhibit 4 shows the financial performance of CGI from 2008 to 2016). All top management team members of Jinshan and four of the five independent directors of the board left the company within two years of the acquisition</w:t>
      </w:r>
      <w:r w:rsidR="00184F90" w:rsidRPr="00827BEA">
        <w:rPr>
          <w:rFonts w:eastAsia="Yu Mincho"/>
          <w:lang w:val="en-GB" w:eastAsia="zh-CN"/>
        </w:rPr>
        <w:t xml:space="preserve"> by CNG</w:t>
      </w:r>
      <w:r w:rsidRPr="00827BEA">
        <w:rPr>
          <w:rFonts w:eastAsia="Yu Mincho"/>
          <w:lang w:val="en-GB" w:eastAsia="zh-CN"/>
        </w:rPr>
        <w:t>.</w:t>
      </w:r>
    </w:p>
    <w:p w14:paraId="0805E0EA" w14:textId="0A515E9F" w:rsidR="007C6E0B" w:rsidRPr="00827BEA" w:rsidRDefault="007C6E0B" w:rsidP="00B87840">
      <w:pPr>
        <w:pStyle w:val="BodyTextMain"/>
        <w:rPr>
          <w:rFonts w:eastAsia="Yu Mincho"/>
          <w:lang w:val="en-GB" w:eastAsia="zh-CN"/>
        </w:rPr>
      </w:pPr>
    </w:p>
    <w:p w14:paraId="6EA7A84A" w14:textId="77777777" w:rsidR="008106F2" w:rsidRPr="00827BEA" w:rsidRDefault="008106F2" w:rsidP="00B87840">
      <w:pPr>
        <w:pStyle w:val="BodyTextMain"/>
        <w:rPr>
          <w:rFonts w:eastAsia="Yu Mincho"/>
          <w:lang w:val="en-GB" w:eastAsia="zh-CN"/>
        </w:rPr>
      </w:pPr>
    </w:p>
    <w:p w14:paraId="64921678" w14:textId="1A55870C" w:rsidR="007C6E0B" w:rsidRPr="00827BEA" w:rsidRDefault="007C6E0B" w:rsidP="006E6224">
      <w:pPr>
        <w:pStyle w:val="Casehead2"/>
        <w:keepNext/>
        <w:rPr>
          <w:rFonts w:eastAsia="Yu Mincho"/>
          <w:lang w:val="en-GB" w:eastAsia="zh-CN"/>
        </w:rPr>
      </w:pPr>
      <w:r w:rsidRPr="00827BEA">
        <w:rPr>
          <w:rFonts w:eastAsia="Yu Mincho"/>
          <w:lang w:val="en-GB" w:eastAsia="zh-CN"/>
        </w:rPr>
        <w:lastRenderedPageBreak/>
        <w:t xml:space="preserve">Departure of </w:t>
      </w:r>
      <w:r w:rsidR="00AF07F4" w:rsidRPr="00827BEA">
        <w:rPr>
          <w:rFonts w:eastAsia="Yu Mincho"/>
          <w:lang w:val="en-GB" w:eastAsia="zh-CN"/>
        </w:rPr>
        <w:t>E</w:t>
      </w:r>
      <w:r w:rsidRPr="00827BEA">
        <w:rPr>
          <w:rFonts w:eastAsia="Yu Mincho"/>
          <w:lang w:val="en-GB" w:eastAsia="zh-CN"/>
        </w:rPr>
        <w:t xml:space="preserve">xecutives and </w:t>
      </w:r>
      <w:r w:rsidR="00AF07F4" w:rsidRPr="00827BEA">
        <w:rPr>
          <w:rFonts w:eastAsia="Yu Mincho"/>
          <w:lang w:val="en-GB" w:eastAsia="zh-CN"/>
        </w:rPr>
        <w:t>B</w:t>
      </w:r>
      <w:r w:rsidRPr="00827BEA">
        <w:rPr>
          <w:rFonts w:eastAsia="Yu Mincho"/>
          <w:lang w:val="en-GB" w:eastAsia="zh-CN"/>
        </w:rPr>
        <w:t xml:space="preserve">oard </w:t>
      </w:r>
      <w:r w:rsidR="00AF07F4" w:rsidRPr="00827BEA">
        <w:rPr>
          <w:rFonts w:eastAsia="Yu Mincho"/>
          <w:lang w:val="en-GB" w:eastAsia="zh-CN"/>
        </w:rPr>
        <w:t>M</w:t>
      </w:r>
      <w:r w:rsidRPr="00827BEA">
        <w:rPr>
          <w:rFonts w:eastAsia="Yu Mincho"/>
          <w:lang w:val="en-GB" w:eastAsia="zh-CN"/>
        </w:rPr>
        <w:t>embers of Jinshan</w:t>
      </w:r>
    </w:p>
    <w:p w14:paraId="0C09D341" w14:textId="77777777" w:rsidR="00AF07F4" w:rsidRPr="00827BEA" w:rsidRDefault="00AF07F4" w:rsidP="003805CD">
      <w:pPr>
        <w:pStyle w:val="BodyTextMain"/>
        <w:keepNext/>
        <w:rPr>
          <w:rFonts w:eastAsia="Yu Mincho"/>
          <w:lang w:val="en-GB" w:eastAsia="zh-CN"/>
        </w:rPr>
      </w:pPr>
    </w:p>
    <w:p w14:paraId="5374F2E7" w14:textId="62F36CCF" w:rsidR="007C6E0B" w:rsidRPr="00827BEA" w:rsidRDefault="007C6E0B" w:rsidP="003805CD">
      <w:pPr>
        <w:pStyle w:val="BodyTextMain"/>
        <w:keepNext/>
        <w:rPr>
          <w:rFonts w:eastAsia="SimSun"/>
          <w:lang w:val="en-GB" w:eastAsia="zh-CN"/>
        </w:rPr>
      </w:pPr>
      <w:r w:rsidRPr="00827BEA">
        <w:rPr>
          <w:rFonts w:eastAsia="SimSun"/>
          <w:lang w:val="en-GB" w:eastAsia="zh-CN"/>
        </w:rPr>
        <w:t>Xie was surprised by the high turnover among the top executives and board members. In fact, after the acquisition, CNG tried to keep the original management team of Jinshan and asked them to continue their service as a way of acquiring local management expertise. However, it soon became apparent that there were significant tensions and disagreements between the chairman of the Jinshan board appointed by CNG and the top executives of Jinshan. Xie agreed with Song’s opinion:</w:t>
      </w:r>
    </w:p>
    <w:p w14:paraId="5E2AA67B" w14:textId="77777777" w:rsidR="00AF07F4" w:rsidRPr="00827BEA" w:rsidRDefault="00AF07F4" w:rsidP="00AF07F4">
      <w:pPr>
        <w:pStyle w:val="BodyTextMain"/>
        <w:rPr>
          <w:rFonts w:eastAsia="SimSun"/>
          <w:lang w:val="en-GB" w:eastAsia="zh-CN"/>
        </w:rPr>
      </w:pPr>
    </w:p>
    <w:p w14:paraId="489764AE" w14:textId="3D146406" w:rsidR="007C6E0B" w:rsidRPr="004137D3" w:rsidRDefault="007C6E0B" w:rsidP="00AF07F4">
      <w:pPr>
        <w:pStyle w:val="BodyTextMain"/>
        <w:ind w:left="720"/>
        <w:rPr>
          <w:rFonts w:eastAsia="SimSun"/>
          <w:spacing w:val="-2"/>
          <w:lang w:val="en-GB" w:eastAsia="zh-CN"/>
        </w:rPr>
      </w:pPr>
      <w:r w:rsidRPr="004137D3">
        <w:rPr>
          <w:rFonts w:eastAsia="SimSun"/>
          <w:spacing w:val="-2"/>
          <w:lang w:val="en-GB" w:eastAsia="zh-CN"/>
        </w:rPr>
        <w:t>The biggest challenge is the integration of the culture of the controlling shareholders of the Chinese company and the culture of the management team of the Canadian company. To illustrate with an example</w:t>
      </w:r>
      <w:r w:rsidR="004137D3" w:rsidRPr="004137D3">
        <w:rPr>
          <w:rFonts w:eastAsia="SimSun"/>
          <w:spacing w:val="-2"/>
          <w:lang w:val="en-GB" w:eastAsia="zh-CN"/>
        </w:rPr>
        <w:t>—i</w:t>
      </w:r>
      <w:r w:rsidRPr="004137D3">
        <w:rPr>
          <w:rFonts w:eastAsia="SimSun"/>
          <w:spacing w:val="-2"/>
          <w:lang w:val="en-GB" w:eastAsia="zh-CN"/>
        </w:rPr>
        <w:t xml:space="preserve">mportant proposals and agenda items are usually well communicated before a board meeting is convened in China, but the Canadian management believes that is the responsibility of the CEO and they only need to be notified one or two days before the meeting, which is very different from the expectations of the board chairman and the controlling shareholders. The Canadian management believes a lot of things can be delegated to specific teams without the involvement of the chairman. In Western countries including </w:t>
      </w:r>
      <w:r w:rsidR="004137D3" w:rsidRPr="004137D3">
        <w:rPr>
          <w:rFonts w:eastAsia="SimSun"/>
          <w:spacing w:val="-2"/>
          <w:lang w:val="en-GB" w:eastAsia="zh-CN"/>
        </w:rPr>
        <w:t xml:space="preserve">those in </w:t>
      </w:r>
      <w:r w:rsidRPr="004137D3">
        <w:rPr>
          <w:rFonts w:eastAsia="SimSun"/>
          <w:spacing w:val="-2"/>
          <w:lang w:val="en-GB" w:eastAsia="zh-CN"/>
        </w:rPr>
        <w:t>North America, the corporate CEO is the leading person in the company’s day-to-day operations, whereas in China the board chairman has a lot of authority and a big say, including in the company’s daily operations. That’s because the chairman is the legal representative of a company, according to Chinese laws. Therefore, many legal responsibilities fall on the legal representative who has to manage lots of matters.</w:t>
      </w:r>
    </w:p>
    <w:p w14:paraId="2541B5B2" w14:textId="77777777" w:rsidR="00AF07F4" w:rsidRPr="00827BEA" w:rsidRDefault="00AF07F4" w:rsidP="00AF07F4">
      <w:pPr>
        <w:pStyle w:val="BodyTextMain"/>
        <w:ind w:left="720"/>
        <w:rPr>
          <w:rFonts w:eastAsia="SimSun"/>
          <w:lang w:val="en-GB" w:eastAsia="zh-CN"/>
        </w:rPr>
      </w:pPr>
    </w:p>
    <w:p w14:paraId="72FE3C1A" w14:textId="2FA22262" w:rsidR="007C6E0B" w:rsidRPr="00827BEA" w:rsidRDefault="007C6E0B" w:rsidP="00AF07F4">
      <w:pPr>
        <w:pStyle w:val="BodyTextMain"/>
        <w:rPr>
          <w:rFonts w:eastAsia="SimSun"/>
          <w:lang w:val="en-GB" w:eastAsia="zh-CN"/>
        </w:rPr>
      </w:pPr>
      <w:r w:rsidRPr="00827BEA">
        <w:rPr>
          <w:rFonts w:eastAsia="SimSun"/>
          <w:lang w:val="en-GB" w:eastAsia="zh-CN"/>
        </w:rPr>
        <w:t xml:space="preserve">What further frustrated the local management team was that </w:t>
      </w:r>
      <w:r w:rsidR="00184F90" w:rsidRPr="00827BEA">
        <w:rPr>
          <w:rFonts w:eastAsia="SimSun"/>
          <w:lang w:val="en-GB" w:eastAsia="zh-CN"/>
        </w:rPr>
        <w:t xml:space="preserve">their </w:t>
      </w:r>
      <w:r w:rsidRPr="00827BEA">
        <w:rPr>
          <w:rFonts w:eastAsia="SimSun"/>
          <w:lang w:val="en-GB" w:eastAsia="zh-CN"/>
        </w:rPr>
        <w:t>decision-making speed had been significantly slowed down. They were used to making decisions through email correspondence. However, as Song commented, “In China, it is common practice to address issues through meetings. Internal emails can’t be used as a basis for decision</w:t>
      </w:r>
      <w:r w:rsidR="00D60099" w:rsidRPr="00827BEA">
        <w:rPr>
          <w:rFonts w:eastAsia="SimSun"/>
          <w:lang w:val="en-GB" w:eastAsia="zh-CN"/>
        </w:rPr>
        <w:t>-</w:t>
      </w:r>
      <w:r w:rsidRPr="00827BEA">
        <w:rPr>
          <w:rFonts w:eastAsia="SimSun"/>
          <w:lang w:val="en-GB" w:eastAsia="zh-CN"/>
        </w:rPr>
        <w:t xml:space="preserve">making. There must be meetings and meeting minutes.” </w:t>
      </w:r>
    </w:p>
    <w:p w14:paraId="7A108A55" w14:textId="77777777" w:rsidR="00B87840" w:rsidRPr="00827BEA" w:rsidRDefault="00B87840" w:rsidP="00AF07F4">
      <w:pPr>
        <w:pStyle w:val="BodyTextMain"/>
        <w:rPr>
          <w:rFonts w:eastAsia="SimSun"/>
          <w:lang w:val="en-GB" w:eastAsia="zh-CN"/>
        </w:rPr>
      </w:pPr>
    </w:p>
    <w:p w14:paraId="1E54A9EF" w14:textId="19B869CD" w:rsidR="007C6E0B" w:rsidRPr="00827BEA" w:rsidRDefault="007C6E0B" w:rsidP="00AF07F4">
      <w:pPr>
        <w:pStyle w:val="BodyTextMain"/>
        <w:rPr>
          <w:rFonts w:eastAsia="Yu Mincho"/>
          <w:lang w:val="en-GB" w:eastAsia="zh-CN"/>
        </w:rPr>
      </w:pPr>
      <w:r w:rsidRPr="00827BEA">
        <w:rPr>
          <w:rFonts w:eastAsia="Yu Mincho"/>
          <w:lang w:val="en-GB" w:eastAsia="zh-CN"/>
        </w:rPr>
        <w:t xml:space="preserve">Even when the Jinshan board reached an agreement on an important decision, the decision was still not final because CNG needed to communicate with other internal stakeholders such as the </w:t>
      </w:r>
      <w:r w:rsidR="006A30E7">
        <w:rPr>
          <w:rFonts w:eastAsia="Yu Mincho"/>
          <w:lang w:val="en-GB" w:eastAsia="zh-CN"/>
        </w:rPr>
        <w:t>c</w:t>
      </w:r>
      <w:r w:rsidRPr="00827BEA">
        <w:rPr>
          <w:rFonts w:eastAsia="Yu Mincho"/>
          <w:lang w:val="en-GB" w:eastAsia="zh-CN"/>
        </w:rPr>
        <w:t xml:space="preserve">ommunist </w:t>
      </w:r>
      <w:r w:rsidR="006A30E7">
        <w:rPr>
          <w:rFonts w:eastAsia="Yu Mincho"/>
          <w:lang w:val="en-GB" w:eastAsia="zh-CN"/>
        </w:rPr>
        <w:t>p</w:t>
      </w:r>
      <w:r w:rsidRPr="00827BEA">
        <w:rPr>
          <w:rFonts w:eastAsia="Yu Mincho"/>
          <w:lang w:val="en-GB" w:eastAsia="zh-CN"/>
        </w:rPr>
        <w:t xml:space="preserve">arty </w:t>
      </w:r>
      <w:r w:rsidR="006A30E7">
        <w:rPr>
          <w:rFonts w:eastAsia="Yu Mincho"/>
          <w:lang w:val="en-GB" w:eastAsia="zh-CN"/>
        </w:rPr>
        <w:t>organization</w:t>
      </w:r>
      <w:r w:rsidRPr="00827BEA">
        <w:rPr>
          <w:rFonts w:eastAsia="Yu Mincho"/>
          <w:lang w:val="en-GB" w:eastAsia="zh-CN"/>
        </w:rPr>
        <w:t xml:space="preserve"> and </w:t>
      </w:r>
      <w:r w:rsidR="00A07AF4">
        <w:rPr>
          <w:rFonts w:eastAsia="Yu Mincho"/>
          <w:lang w:val="en-GB" w:eastAsia="zh-CN"/>
        </w:rPr>
        <w:t xml:space="preserve">external stakeholders including </w:t>
      </w:r>
      <w:r w:rsidRPr="00827BEA">
        <w:rPr>
          <w:rFonts w:eastAsia="Yu Mincho"/>
          <w:lang w:val="en-GB" w:eastAsia="zh-CN"/>
        </w:rPr>
        <w:t xml:space="preserve">its supervisory administration (i.e., SASAC). </w:t>
      </w:r>
      <w:r w:rsidR="00FF4F05">
        <w:rPr>
          <w:rFonts w:eastAsia="Yu Mincho"/>
          <w:lang w:val="en-GB" w:eastAsia="zh-CN"/>
        </w:rPr>
        <w:t>The</w:t>
      </w:r>
      <w:r w:rsidR="006A30E7">
        <w:rPr>
          <w:rFonts w:eastAsia="Yu Mincho"/>
          <w:lang w:val="en-GB" w:eastAsia="zh-CN"/>
        </w:rPr>
        <w:t xml:space="preserve"> involvement of party organizations in a company’s governance </w:t>
      </w:r>
      <w:r w:rsidR="00FF4F05">
        <w:rPr>
          <w:rFonts w:eastAsia="Yu Mincho"/>
          <w:lang w:val="en-GB" w:eastAsia="zh-CN"/>
        </w:rPr>
        <w:t xml:space="preserve">was to </w:t>
      </w:r>
      <w:r w:rsidR="005F3B98">
        <w:t>strengthen the</w:t>
      </w:r>
      <w:r w:rsidR="00596FB1">
        <w:t xml:space="preserve"> communist</w:t>
      </w:r>
      <w:r w:rsidR="005F3B98">
        <w:t xml:space="preserve"> party’s leadership role in the corporate sector and help combat corruption.</w:t>
      </w:r>
      <w:r w:rsidR="005F3B98">
        <w:rPr>
          <w:rStyle w:val="FootnoteReference"/>
        </w:rPr>
        <w:footnoteReference w:id="4"/>
      </w:r>
      <w:r w:rsidR="005F3B98">
        <w:t xml:space="preserve"> </w:t>
      </w:r>
      <w:r w:rsidRPr="00827BEA">
        <w:rPr>
          <w:rFonts w:eastAsia="Yu Mincho"/>
          <w:lang w:val="en-GB" w:eastAsia="zh-CN"/>
        </w:rPr>
        <w:t xml:space="preserve">Xie struggled with the same </w:t>
      </w:r>
      <w:r w:rsidR="007B1EAC">
        <w:rPr>
          <w:rFonts w:eastAsia="Yu Mincho"/>
          <w:lang w:val="en-GB" w:eastAsia="zh-CN"/>
        </w:rPr>
        <w:t>intercultural</w:t>
      </w:r>
      <w:r w:rsidRPr="00827BEA">
        <w:rPr>
          <w:rFonts w:eastAsia="Yu Mincho"/>
          <w:lang w:val="en-GB" w:eastAsia="zh-CN"/>
        </w:rPr>
        <w:t xml:space="preserve"> board issues that affected Ian He, chair of several CGI board committees, who said: </w:t>
      </w:r>
    </w:p>
    <w:p w14:paraId="64043D53" w14:textId="77777777" w:rsidR="006E6224" w:rsidRPr="00827BEA" w:rsidRDefault="006E6224" w:rsidP="00AF07F4">
      <w:pPr>
        <w:pStyle w:val="BodyTextMain"/>
        <w:rPr>
          <w:rFonts w:eastAsia="Yu Mincho"/>
          <w:lang w:val="en-GB" w:eastAsia="zh-CN"/>
        </w:rPr>
      </w:pPr>
    </w:p>
    <w:p w14:paraId="3107EC4C" w14:textId="77777777" w:rsidR="007C6E0B" w:rsidRPr="00827BEA" w:rsidRDefault="007C6E0B" w:rsidP="00D60099">
      <w:pPr>
        <w:pStyle w:val="BodyTextMain"/>
        <w:ind w:left="720"/>
        <w:rPr>
          <w:rFonts w:eastAsia="Yu Mincho"/>
          <w:lang w:val="en-GB" w:eastAsia="zh-CN"/>
        </w:rPr>
      </w:pPr>
      <w:r w:rsidRPr="00827BEA">
        <w:rPr>
          <w:rFonts w:eastAsia="Yu Mincho"/>
          <w:lang w:val="en-GB" w:eastAsia="zh-CN"/>
        </w:rPr>
        <w:t xml:space="preserve">In Western companies, the board is the final decision-making body where most decisions are made except for extremely important issues that have to be approved at the shareholders meeting. In China, however, the board is not the final decision-making entity. For example, when you report a proposal to the board chairman, it won’t necessarily be approved immediately because the chairman doesn’t have the final say. </w:t>
      </w:r>
    </w:p>
    <w:p w14:paraId="6E5716B8" w14:textId="77777777" w:rsidR="00D60099" w:rsidRPr="00827BEA" w:rsidRDefault="00D60099" w:rsidP="00D60099">
      <w:pPr>
        <w:pStyle w:val="BodyTextMain"/>
        <w:ind w:left="720"/>
        <w:rPr>
          <w:rFonts w:eastAsia="Yu Mincho"/>
          <w:lang w:val="en-GB" w:eastAsia="zh-CN"/>
        </w:rPr>
      </w:pPr>
    </w:p>
    <w:p w14:paraId="1800FB79" w14:textId="7A0DD3A1" w:rsidR="007C6E0B" w:rsidRPr="00827BEA" w:rsidRDefault="007C6E0B" w:rsidP="00AF07F4">
      <w:pPr>
        <w:pStyle w:val="BodyTextMain"/>
        <w:rPr>
          <w:rFonts w:eastAsia="Yu Mincho"/>
          <w:lang w:val="en-GB" w:eastAsia="zh-CN"/>
        </w:rPr>
      </w:pPr>
      <w:r w:rsidRPr="00827BEA">
        <w:rPr>
          <w:rFonts w:eastAsia="Yu Mincho"/>
          <w:lang w:val="en-GB" w:eastAsia="zh-CN"/>
        </w:rPr>
        <w:t xml:space="preserve">Song also reflected on the differences between the two parties in the leadership style and decision-making procedures: </w:t>
      </w:r>
    </w:p>
    <w:p w14:paraId="20DABC9A" w14:textId="77777777" w:rsidR="00AF07F4" w:rsidRPr="00827BEA" w:rsidRDefault="00AF07F4" w:rsidP="00AF07F4">
      <w:pPr>
        <w:pStyle w:val="BodyTextMain"/>
        <w:rPr>
          <w:rFonts w:eastAsia="Yu Mincho"/>
          <w:lang w:val="en-GB" w:eastAsia="zh-CN"/>
        </w:rPr>
      </w:pPr>
    </w:p>
    <w:p w14:paraId="78BC1EF4" w14:textId="5074D200" w:rsidR="007C6E0B" w:rsidRPr="001B7F6F" w:rsidRDefault="007C6E0B" w:rsidP="00AF07F4">
      <w:pPr>
        <w:pStyle w:val="BodyTextMain"/>
        <w:ind w:left="720"/>
        <w:rPr>
          <w:rFonts w:eastAsia="Yu Mincho"/>
          <w:lang w:val="en-GB" w:eastAsia="zh-CN"/>
        </w:rPr>
      </w:pPr>
      <w:r w:rsidRPr="001B7F6F">
        <w:rPr>
          <w:rFonts w:eastAsia="Yu Mincho"/>
          <w:lang w:val="en-GB" w:eastAsia="zh-CN"/>
        </w:rPr>
        <w:t>In North American companies, it is the CEO who calls the shots. The CEO alone has the final say. By contrast, decision</w:t>
      </w:r>
      <w:r w:rsidR="00D60099" w:rsidRPr="001B7F6F">
        <w:rPr>
          <w:rFonts w:eastAsia="Yu Mincho"/>
          <w:lang w:val="en-GB" w:eastAsia="zh-CN"/>
        </w:rPr>
        <w:t>-</w:t>
      </w:r>
      <w:r w:rsidRPr="001B7F6F">
        <w:rPr>
          <w:rFonts w:eastAsia="Yu Mincho"/>
          <w:lang w:val="en-GB" w:eastAsia="zh-CN"/>
        </w:rPr>
        <w:t xml:space="preserve">making in Chinese state-owned companies follows a democratic and collective process for the purpose of preventing dominance by any single individual. Decisions are made by the leadership team that consists of seven to nine members. For regular and simple issues, </w:t>
      </w:r>
      <w:r w:rsidRPr="001B7F6F">
        <w:rPr>
          <w:rFonts w:eastAsia="Yu Mincho"/>
          <w:lang w:val="en-GB" w:eastAsia="zh-CN"/>
        </w:rPr>
        <w:lastRenderedPageBreak/>
        <w:t>majority votes are needed to pass a decision. For issues of material significance, a vote yielding two-thirds majority is required. Companies have specific policies in this regard. In summary, decisions are made by a collective group rather than by one person in Chinese companies, yet decision</w:t>
      </w:r>
      <w:r w:rsidR="00D60099" w:rsidRPr="001B7F6F">
        <w:rPr>
          <w:rFonts w:eastAsia="Yu Mincho"/>
          <w:lang w:val="en-GB" w:eastAsia="zh-CN"/>
        </w:rPr>
        <w:t>-</w:t>
      </w:r>
      <w:r w:rsidRPr="001B7F6F">
        <w:rPr>
          <w:rFonts w:eastAsia="Yu Mincho"/>
          <w:lang w:val="en-GB" w:eastAsia="zh-CN"/>
        </w:rPr>
        <w:t>making in foreign companies relies more heavily on one single person, and there are fewer members in the leadership team.</w:t>
      </w:r>
    </w:p>
    <w:p w14:paraId="17D46D66" w14:textId="77777777" w:rsidR="00A07AF4" w:rsidRPr="001B7F6F" w:rsidRDefault="00A07AF4" w:rsidP="00AF07F4">
      <w:pPr>
        <w:pStyle w:val="BodyTextMain"/>
        <w:ind w:left="720"/>
        <w:rPr>
          <w:rFonts w:eastAsiaTheme="minorEastAsia"/>
          <w:spacing w:val="-2"/>
          <w:lang w:val="en-GB" w:eastAsia="zh-CN"/>
        </w:rPr>
      </w:pPr>
    </w:p>
    <w:p w14:paraId="63FC7A36" w14:textId="77777777" w:rsidR="007C6E0B" w:rsidRPr="00827BEA" w:rsidRDefault="007C6E0B" w:rsidP="00AF07F4">
      <w:pPr>
        <w:pStyle w:val="BodyTextMain"/>
        <w:rPr>
          <w:rFonts w:eastAsia="Yu Mincho"/>
          <w:lang w:val="en-GB" w:eastAsia="zh-CN"/>
        </w:rPr>
      </w:pPr>
      <w:r w:rsidRPr="00827BEA">
        <w:rPr>
          <w:rFonts w:eastAsia="Yu Mincho"/>
          <w:lang w:val="en-GB" w:eastAsia="zh-CN"/>
        </w:rPr>
        <w:t xml:space="preserve">From a Chinese background himself, Xie knew that cultural differences undoubtedly also contributed to the management chaos. As Ian He had observed: </w:t>
      </w:r>
    </w:p>
    <w:p w14:paraId="11B1856D" w14:textId="77777777" w:rsidR="006E6224" w:rsidRPr="00827BEA" w:rsidRDefault="006E6224" w:rsidP="00AF07F4">
      <w:pPr>
        <w:pStyle w:val="BodyTextMain"/>
        <w:rPr>
          <w:rFonts w:eastAsia="Yu Mincho"/>
          <w:lang w:val="en-GB" w:eastAsia="zh-CN"/>
        </w:rPr>
      </w:pPr>
    </w:p>
    <w:p w14:paraId="67E96852" w14:textId="647B46BC" w:rsidR="007C6E0B" w:rsidRPr="004137D3" w:rsidRDefault="007C6E0B" w:rsidP="00D60099">
      <w:pPr>
        <w:pStyle w:val="BodyTextMain"/>
        <w:ind w:left="720"/>
        <w:rPr>
          <w:rFonts w:eastAsia="Yu Mincho"/>
          <w:spacing w:val="-2"/>
          <w:lang w:val="en-GB" w:eastAsia="zh-CN"/>
        </w:rPr>
      </w:pPr>
      <w:r w:rsidRPr="004137D3">
        <w:rPr>
          <w:rFonts w:eastAsia="Yu Mincho"/>
          <w:spacing w:val="-2"/>
          <w:lang w:val="en-GB" w:eastAsia="zh-CN"/>
        </w:rPr>
        <w:t>The Chinese culture emphasizes the spirit of sacrifice [for the collective], and individual interests need to yield to collective interests. The spirit of sacrifice is something Western companies rarely talk about. Since this mantra is so important in the Chinese culture, it is manifested in corporate culture, especially in the culture of state-owned enterprises</w:t>
      </w:r>
      <w:r w:rsidR="000C4CCB" w:rsidRPr="004137D3">
        <w:rPr>
          <w:rFonts w:eastAsia="Yu Mincho"/>
          <w:spacing w:val="-2"/>
          <w:lang w:val="en-GB" w:eastAsia="zh-CN"/>
        </w:rPr>
        <w:t xml:space="preserve"> [SEOs]</w:t>
      </w:r>
      <w:r w:rsidRPr="004137D3">
        <w:rPr>
          <w:rFonts w:eastAsia="Yu Mincho"/>
          <w:spacing w:val="-2"/>
          <w:lang w:val="en-GB" w:eastAsia="zh-CN"/>
        </w:rPr>
        <w:t xml:space="preserve">. Senior executives, also as Party members, need to think beyond their individual interests and think more about their social responsibilities. </w:t>
      </w:r>
    </w:p>
    <w:p w14:paraId="62586C21" w14:textId="77777777" w:rsidR="006E6224" w:rsidRPr="00827BEA" w:rsidRDefault="006E6224" w:rsidP="00AF07F4">
      <w:pPr>
        <w:pStyle w:val="BodyTextMain"/>
        <w:rPr>
          <w:rFonts w:eastAsia="Yu Mincho"/>
          <w:lang w:val="en-GB" w:eastAsia="zh-CN"/>
        </w:rPr>
      </w:pPr>
    </w:p>
    <w:p w14:paraId="0053F18D" w14:textId="351262AE" w:rsidR="007C6E0B" w:rsidRPr="00827BEA" w:rsidRDefault="007C6E0B" w:rsidP="00AF07F4">
      <w:pPr>
        <w:pStyle w:val="BodyTextMain"/>
        <w:rPr>
          <w:rFonts w:eastAsia="Yu Mincho"/>
          <w:lang w:val="en-GB" w:eastAsia="zh-CN"/>
        </w:rPr>
      </w:pPr>
      <w:r w:rsidRPr="00827BEA">
        <w:rPr>
          <w:rFonts w:eastAsia="Yu Mincho"/>
          <w:lang w:val="en-GB" w:eastAsia="zh-CN"/>
        </w:rPr>
        <w:t xml:space="preserve">Xie also recognized challenges in </w:t>
      </w:r>
      <w:r w:rsidR="00AC34FA">
        <w:rPr>
          <w:rFonts w:eastAsia="Yu Mincho"/>
          <w:lang w:val="en-GB" w:eastAsia="zh-CN"/>
        </w:rPr>
        <w:t>intercultural</w:t>
      </w:r>
      <w:r w:rsidRPr="00827BEA">
        <w:rPr>
          <w:rFonts w:eastAsia="Yu Mincho"/>
          <w:lang w:val="en-GB" w:eastAsia="zh-CN"/>
        </w:rPr>
        <w:t xml:space="preserve"> business dealings: </w:t>
      </w:r>
    </w:p>
    <w:p w14:paraId="02823092" w14:textId="77777777" w:rsidR="00AF07F4" w:rsidRPr="00827BEA" w:rsidRDefault="00AF07F4" w:rsidP="00AF07F4">
      <w:pPr>
        <w:pStyle w:val="BodyTextMain"/>
        <w:rPr>
          <w:rFonts w:eastAsia="Yu Mincho"/>
          <w:lang w:val="en-GB" w:eastAsia="zh-CN"/>
        </w:rPr>
      </w:pPr>
    </w:p>
    <w:p w14:paraId="2F6666F2" w14:textId="30C347A3" w:rsidR="007C6E0B" w:rsidRPr="00827BEA" w:rsidRDefault="007C6E0B" w:rsidP="00AF07F4">
      <w:pPr>
        <w:pStyle w:val="BodyTextMain"/>
        <w:ind w:left="720"/>
        <w:rPr>
          <w:rFonts w:eastAsia="Yu Mincho"/>
          <w:lang w:val="en-GB" w:eastAsia="zh-CN"/>
        </w:rPr>
      </w:pPr>
      <w:r w:rsidRPr="00827BEA">
        <w:rPr>
          <w:rFonts w:eastAsia="Yu Mincho"/>
          <w:lang w:val="en-GB" w:eastAsia="zh-CN"/>
        </w:rPr>
        <w:t>Chinese leaders deliberately talk in a very implicit or subtle way. For example, if a leader doesn’t agree with something you’ve proposed, he won’t reject it directly to your face but instead would probably say something like, “Let’s talk about it in a few days.” Then the foreign guy would actually start counting days and ask about it again in a few days. With more cases like this over time, the foreign management team started to feel differently about the Chinese leaders, and misunderstanding and distrust naturally developed as a result.</w:t>
      </w:r>
    </w:p>
    <w:p w14:paraId="578E1599" w14:textId="77777777" w:rsidR="00AF07F4" w:rsidRPr="00827BEA" w:rsidRDefault="00AF07F4" w:rsidP="00AF07F4">
      <w:pPr>
        <w:pStyle w:val="BodyTextMain"/>
        <w:ind w:left="720"/>
        <w:rPr>
          <w:rFonts w:eastAsia="Yu Mincho"/>
          <w:lang w:val="en-GB" w:eastAsia="zh-CN"/>
        </w:rPr>
      </w:pPr>
    </w:p>
    <w:p w14:paraId="068818A7" w14:textId="79438CC3" w:rsidR="007C6E0B" w:rsidRPr="00827BEA" w:rsidRDefault="007C6E0B" w:rsidP="00AF07F4">
      <w:pPr>
        <w:pStyle w:val="BodyTextMain"/>
        <w:rPr>
          <w:rFonts w:eastAsia="Yu Mincho"/>
          <w:lang w:val="en-GB" w:eastAsia="zh-CN"/>
        </w:rPr>
      </w:pPr>
      <w:r w:rsidRPr="00827BEA">
        <w:rPr>
          <w:rFonts w:eastAsia="Yu Mincho"/>
          <w:lang w:val="en-GB" w:eastAsia="zh-CN"/>
        </w:rPr>
        <w:t xml:space="preserve">What also complicated the </w:t>
      </w:r>
      <w:r w:rsidR="00017E76">
        <w:rPr>
          <w:rFonts w:eastAsia="Yu Mincho"/>
          <w:lang w:val="en-GB" w:eastAsia="zh-CN"/>
        </w:rPr>
        <w:t>postacquisition</w:t>
      </w:r>
      <w:r w:rsidRPr="00827BEA">
        <w:rPr>
          <w:rFonts w:eastAsia="Yu Mincho"/>
          <w:lang w:val="en-GB" w:eastAsia="zh-CN"/>
        </w:rPr>
        <w:t xml:space="preserve"> situation was the transition of Jinshan from an exploration-oriented to a production-oriented company. As Ian He commented: </w:t>
      </w:r>
    </w:p>
    <w:p w14:paraId="00DF7025" w14:textId="77777777" w:rsidR="00AF07F4" w:rsidRPr="00827BEA" w:rsidRDefault="00AF07F4" w:rsidP="00AF07F4">
      <w:pPr>
        <w:pStyle w:val="BodyTextMain"/>
        <w:rPr>
          <w:rFonts w:eastAsia="Yu Mincho"/>
          <w:lang w:val="en-GB" w:eastAsia="zh-CN"/>
        </w:rPr>
      </w:pPr>
    </w:p>
    <w:p w14:paraId="2E266C27" w14:textId="5BB058B5" w:rsidR="007C6E0B" w:rsidRPr="00827BEA" w:rsidRDefault="007C6E0B" w:rsidP="00AF07F4">
      <w:pPr>
        <w:pStyle w:val="BodyTextMain"/>
        <w:ind w:left="720"/>
        <w:rPr>
          <w:rFonts w:eastAsia="Yu Mincho"/>
          <w:lang w:val="en-GB" w:eastAsia="zh-CN"/>
        </w:rPr>
      </w:pPr>
      <w:r w:rsidRPr="00827BEA">
        <w:rPr>
          <w:rFonts w:eastAsia="Yu Mincho"/>
          <w:lang w:val="en-GB" w:eastAsia="zh-CN"/>
        </w:rPr>
        <w:t>An exploration-oriented company aims to find mineral resources without worrying about generating profits or cutting costs, and managing such a company is fairly simple. In contrast, a production-oriented company focuses on mining production with the main goal of generating profits. The Jinshan CEO was responsible for and good at mining prospecting and exploration-type operations, so he was not quite familiar or comfortable with mining production.</w:t>
      </w:r>
    </w:p>
    <w:p w14:paraId="1747F288" w14:textId="77777777" w:rsidR="00AF07F4" w:rsidRPr="00827BEA" w:rsidRDefault="00AF07F4" w:rsidP="00AF07F4">
      <w:pPr>
        <w:pStyle w:val="BodyTextMain"/>
        <w:ind w:left="720"/>
        <w:rPr>
          <w:rFonts w:eastAsia="Yu Mincho"/>
          <w:lang w:val="en-GB" w:eastAsia="zh-CN"/>
        </w:rPr>
      </w:pPr>
    </w:p>
    <w:p w14:paraId="130FD176" w14:textId="77777777" w:rsidR="007C6E0B" w:rsidRPr="00827BEA" w:rsidRDefault="007C6E0B" w:rsidP="00AF07F4">
      <w:pPr>
        <w:pStyle w:val="BodyTextMain"/>
        <w:rPr>
          <w:rFonts w:eastAsia="Yu Mincho"/>
          <w:lang w:val="en-GB" w:eastAsia="zh-CN"/>
        </w:rPr>
      </w:pPr>
      <w:r w:rsidRPr="00827BEA">
        <w:rPr>
          <w:rFonts w:eastAsia="Yu Mincho"/>
          <w:lang w:val="en-GB" w:eastAsia="zh-CN"/>
        </w:rPr>
        <w:t xml:space="preserve">Meanwhile, in 2008, gold prices experienced fluctuations, with a price hike followed by a dip, and Jinshan was suffering from massive losses and was in need of large amounts of capital to sustain and complete the second-step construction. Ian He further recalled: </w:t>
      </w:r>
    </w:p>
    <w:p w14:paraId="3E30143D" w14:textId="77777777" w:rsidR="00AF07F4" w:rsidRPr="00827BEA" w:rsidRDefault="00AF07F4" w:rsidP="00AF07F4">
      <w:pPr>
        <w:pStyle w:val="BodyTextMain"/>
        <w:rPr>
          <w:rFonts w:eastAsia="Yu Mincho"/>
          <w:lang w:val="en-GB" w:eastAsia="zh-CN"/>
        </w:rPr>
      </w:pPr>
    </w:p>
    <w:p w14:paraId="71B26928" w14:textId="13395022" w:rsidR="00AF07F4" w:rsidRPr="005C0362" w:rsidRDefault="007C6E0B" w:rsidP="00AF07F4">
      <w:pPr>
        <w:pStyle w:val="BodyTextMain"/>
        <w:ind w:left="720"/>
        <w:rPr>
          <w:rFonts w:eastAsia="Yu Mincho"/>
          <w:spacing w:val="-2"/>
          <w:lang w:val="en-GB" w:eastAsia="zh-CN"/>
        </w:rPr>
      </w:pPr>
      <w:r w:rsidRPr="005C0362">
        <w:rPr>
          <w:rFonts w:eastAsia="Yu Mincho"/>
          <w:spacing w:val="-2"/>
          <w:lang w:val="en-GB" w:eastAsia="zh-CN"/>
        </w:rPr>
        <w:t xml:space="preserve">An additional investment of </w:t>
      </w:r>
      <w:r w:rsidR="00DC10E3" w:rsidRPr="005C0362">
        <w:rPr>
          <w:rFonts w:eastAsia="Yu Mincho"/>
          <w:spacing w:val="-2"/>
          <w:lang w:val="en-GB" w:eastAsia="zh-CN"/>
        </w:rPr>
        <w:t>¥</w:t>
      </w:r>
      <w:r w:rsidRPr="005C0362">
        <w:rPr>
          <w:rFonts w:eastAsia="Yu Mincho"/>
          <w:spacing w:val="-2"/>
          <w:lang w:val="en-GB" w:eastAsia="zh-CN"/>
        </w:rPr>
        <w:t>600 million</w:t>
      </w:r>
      <w:r w:rsidR="00DC10E3" w:rsidRPr="005C0362">
        <w:rPr>
          <w:rStyle w:val="FootnoteReference"/>
          <w:rFonts w:eastAsia="Yu Mincho"/>
          <w:spacing w:val="-2"/>
          <w:lang w:val="en-GB" w:eastAsia="zh-CN"/>
        </w:rPr>
        <w:footnoteReference w:id="5"/>
      </w:r>
      <w:r w:rsidRPr="005C0362">
        <w:rPr>
          <w:rFonts w:eastAsia="Yu Mincho"/>
          <w:spacing w:val="-2"/>
          <w:lang w:val="en-GB" w:eastAsia="zh-CN"/>
        </w:rPr>
        <w:t xml:space="preserve"> was needed, but the company had neither that amount of money nor the capacity to raise money because its stock price had plummeted from C</w:t>
      </w:r>
      <w:r w:rsidR="004325D2" w:rsidRPr="005C0362">
        <w:rPr>
          <w:rFonts w:eastAsia="Yu Mincho"/>
          <w:spacing w:val="-2"/>
          <w:lang w:val="en-GB" w:eastAsia="zh-CN"/>
        </w:rPr>
        <w:t>A</w:t>
      </w:r>
      <w:r w:rsidRPr="005C0362">
        <w:rPr>
          <w:rFonts w:eastAsia="Yu Mincho"/>
          <w:spacing w:val="-2"/>
          <w:lang w:val="en-GB" w:eastAsia="zh-CN"/>
        </w:rPr>
        <w:t>$3.11 to C</w:t>
      </w:r>
      <w:r w:rsidR="004325D2" w:rsidRPr="005C0362">
        <w:rPr>
          <w:rFonts w:eastAsia="Yu Mincho"/>
          <w:spacing w:val="-2"/>
          <w:lang w:val="en-GB" w:eastAsia="zh-CN"/>
        </w:rPr>
        <w:t>A</w:t>
      </w:r>
      <w:r w:rsidRPr="005C0362">
        <w:rPr>
          <w:rFonts w:eastAsia="Yu Mincho"/>
          <w:spacing w:val="-2"/>
          <w:lang w:val="en-GB" w:eastAsia="zh-CN"/>
        </w:rPr>
        <w:t>$0.47. In that kind of dire circumstance, salary cut was a necessary evil, though it affected the interests of many people. Furthermore, after the CNG acquisition, senior executives felt their power curtailed due to organizational restructuring (as part of the focus switching from exploration to production), with less flexibility and less decision-making authority. All these things came together like a perfect storm and gave people the impression that everything was due to the acquisition deal, but, as a matter of fact, it was because of all these negative factors as mentioned above.</w:t>
      </w:r>
    </w:p>
    <w:p w14:paraId="6870406F" w14:textId="77777777" w:rsidR="00AF07F4" w:rsidRPr="00827BEA" w:rsidRDefault="00AF07F4" w:rsidP="00AF07F4">
      <w:pPr>
        <w:pStyle w:val="BodyTextMain"/>
        <w:ind w:left="720"/>
        <w:rPr>
          <w:rFonts w:eastAsia="Yu Mincho"/>
          <w:lang w:val="en-GB" w:eastAsia="zh-CN"/>
        </w:rPr>
      </w:pPr>
    </w:p>
    <w:p w14:paraId="0EC04E1B" w14:textId="64790FCD" w:rsidR="007C6E0B" w:rsidRPr="00827BEA" w:rsidRDefault="007C6E0B" w:rsidP="00F542FC">
      <w:pPr>
        <w:pStyle w:val="Casehead2"/>
        <w:keepNext/>
        <w:rPr>
          <w:rFonts w:eastAsia="Yu Mincho"/>
          <w:shd w:val="clear" w:color="auto" w:fill="FFFFFF"/>
          <w:lang w:val="en-GB" w:eastAsia="zh-CN"/>
        </w:rPr>
      </w:pPr>
      <w:r w:rsidRPr="00827BEA">
        <w:rPr>
          <w:rFonts w:eastAsia="Yu Mincho"/>
          <w:shd w:val="clear" w:color="auto" w:fill="FFFFFF"/>
          <w:lang w:val="en-GB" w:eastAsia="zh-CN"/>
        </w:rPr>
        <w:lastRenderedPageBreak/>
        <w:t>Hiring of Jerry Xie</w:t>
      </w:r>
    </w:p>
    <w:p w14:paraId="04B9FA19" w14:textId="77777777" w:rsidR="00804C3C" w:rsidRPr="00827BEA" w:rsidRDefault="00804C3C" w:rsidP="00F542FC">
      <w:pPr>
        <w:pStyle w:val="BodyTextMain"/>
        <w:keepNext/>
        <w:rPr>
          <w:rFonts w:eastAsia="Yu Mincho"/>
          <w:shd w:val="clear" w:color="auto" w:fill="FFFFFF"/>
          <w:lang w:val="en-GB" w:eastAsia="zh-CN"/>
        </w:rPr>
      </w:pPr>
    </w:p>
    <w:p w14:paraId="02811464" w14:textId="4F612EB6" w:rsidR="007C6E0B" w:rsidRPr="00827BEA" w:rsidRDefault="007C6E0B" w:rsidP="00F542FC">
      <w:pPr>
        <w:pStyle w:val="BodyTextMain"/>
        <w:keepNext/>
        <w:rPr>
          <w:rFonts w:eastAsia="Yu Mincho"/>
          <w:lang w:val="en-GB" w:eastAsia="zh-CN"/>
        </w:rPr>
      </w:pPr>
      <w:r w:rsidRPr="00827BEA">
        <w:rPr>
          <w:rFonts w:eastAsia="Yu Mincho"/>
          <w:lang w:val="en-GB" w:eastAsia="zh-CN"/>
        </w:rPr>
        <w:t xml:space="preserve">Xie tipped back in his office chair and recalled coming to CNG upon the departure of the former CEO of Jinshan in 2008 (see Exhibit 5 for Xie’s </w:t>
      </w:r>
      <w:r w:rsidR="004D1AC5" w:rsidRPr="004D1AC5">
        <w:rPr>
          <w:rFonts w:eastAsia="Yu Mincho"/>
          <w:lang w:val="en-GB" w:eastAsia="zh-CN"/>
        </w:rPr>
        <w:t>curriculum vitae</w:t>
      </w:r>
      <w:r w:rsidRPr="00827BEA">
        <w:rPr>
          <w:rFonts w:eastAsia="Yu Mincho"/>
          <w:lang w:val="en-GB" w:eastAsia="zh-CN"/>
        </w:rPr>
        <w:t xml:space="preserve">). He had been hired to assist in handling all the resulting turmoil and challenges in CGI. Having accepted the offer without much hesitation, he </w:t>
      </w:r>
      <w:r w:rsidR="008E0FEB" w:rsidRPr="00827BEA">
        <w:rPr>
          <w:rFonts w:eastAsia="Yu Mincho"/>
          <w:lang w:val="en-GB" w:eastAsia="zh-CN"/>
        </w:rPr>
        <w:t xml:space="preserve">now </w:t>
      </w:r>
      <w:r w:rsidR="001A67D4">
        <w:rPr>
          <w:rFonts w:eastAsia="Yu Mincho"/>
          <w:lang w:val="en-GB" w:eastAsia="zh-CN"/>
        </w:rPr>
        <w:t>contemplated</w:t>
      </w:r>
      <w:r w:rsidR="001A67D4" w:rsidRPr="00827BEA">
        <w:rPr>
          <w:rFonts w:eastAsia="Yu Mincho"/>
          <w:lang w:val="en-GB" w:eastAsia="zh-CN"/>
        </w:rPr>
        <w:t xml:space="preserve"> </w:t>
      </w:r>
      <w:r w:rsidRPr="00827BEA">
        <w:rPr>
          <w:rFonts w:eastAsia="Yu Mincho"/>
          <w:lang w:val="en-GB" w:eastAsia="zh-CN"/>
        </w:rPr>
        <w:t>his two main reasons for taking the job.</w:t>
      </w:r>
    </w:p>
    <w:p w14:paraId="48B697A6" w14:textId="77777777" w:rsidR="00F542FC" w:rsidRDefault="00F542FC" w:rsidP="00804C3C">
      <w:pPr>
        <w:pStyle w:val="BodyTextMain"/>
        <w:rPr>
          <w:rFonts w:eastAsia="Yu Mincho"/>
          <w:lang w:val="en-GB" w:eastAsia="zh-CN"/>
        </w:rPr>
      </w:pPr>
    </w:p>
    <w:p w14:paraId="2CF7E4BF" w14:textId="61A9C34F" w:rsidR="007C6E0B" w:rsidRPr="00827BEA" w:rsidRDefault="001A67D4" w:rsidP="00804C3C">
      <w:pPr>
        <w:pStyle w:val="BodyTextMain"/>
        <w:rPr>
          <w:rFonts w:eastAsia="Yu Mincho"/>
          <w:lang w:val="en-GB" w:eastAsia="zh-CN"/>
        </w:rPr>
      </w:pPr>
      <w:r>
        <w:rPr>
          <w:rFonts w:eastAsia="Yu Mincho"/>
          <w:lang w:val="en-GB" w:eastAsia="zh-CN"/>
        </w:rPr>
        <w:t>People</w:t>
      </w:r>
      <w:r w:rsidR="007C6E0B" w:rsidRPr="00827BEA">
        <w:rPr>
          <w:rFonts w:eastAsia="Yu Mincho"/>
          <w:lang w:val="en-GB" w:eastAsia="zh-CN"/>
        </w:rPr>
        <w:t xml:space="preserve"> like himself</w:t>
      </w:r>
      <w:r>
        <w:rPr>
          <w:rFonts w:eastAsia="Yu Mincho"/>
          <w:lang w:val="en-GB" w:eastAsia="zh-CN"/>
        </w:rPr>
        <w:t>, he thought,</w:t>
      </w:r>
      <w:r w:rsidR="007C6E0B" w:rsidRPr="00827BEA">
        <w:rPr>
          <w:rFonts w:eastAsia="Yu Mincho"/>
          <w:lang w:val="en-GB" w:eastAsia="zh-CN"/>
        </w:rPr>
        <w:t xml:space="preserve"> who had gone overseas and worked in North America for some time</w:t>
      </w:r>
      <w:r>
        <w:rPr>
          <w:rFonts w:eastAsia="Yu Mincho"/>
          <w:lang w:val="en-GB" w:eastAsia="zh-CN"/>
        </w:rPr>
        <w:t>,</w:t>
      </w:r>
      <w:r w:rsidR="007C6E0B" w:rsidRPr="00827BEA">
        <w:rPr>
          <w:rFonts w:eastAsia="Yu Mincho"/>
          <w:lang w:val="en-GB" w:eastAsia="zh-CN"/>
        </w:rPr>
        <w:t xml:space="preserve"> usually developed a genuine wish to help Chinese companies go global. Working at local Canadian companies, like-minded individuals would get together to talk about the issue</w:t>
      </w:r>
      <w:r w:rsidR="003203CE" w:rsidRPr="00827BEA">
        <w:rPr>
          <w:rFonts w:eastAsia="Yu Mincho"/>
          <w:lang w:val="en-GB" w:eastAsia="zh-CN"/>
        </w:rPr>
        <w:t>.</w:t>
      </w:r>
      <w:r w:rsidR="007C6E0B" w:rsidRPr="00827BEA">
        <w:rPr>
          <w:rFonts w:eastAsia="Yu Mincho"/>
          <w:lang w:val="en-GB" w:eastAsia="zh-CN"/>
        </w:rPr>
        <w:t xml:space="preserve"> </w:t>
      </w:r>
      <w:r w:rsidR="003203CE" w:rsidRPr="00827BEA">
        <w:rPr>
          <w:rFonts w:eastAsia="Yu Mincho"/>
          <w:lang w:val="en-GB" w:eastAsia="zh-CN"/>
        </w:rPr>
        <w:t xml:space="preserve">They were </w:t>
      </w:r>
      <w:r w:rsidR="007C6E0B" w:rsidRPr="00827BEA">
        <w:rPr>
          <w:rFonts w:eastAsia="Yu Mincho"/>
          <w:lang w:val="en-GB" w:eastAsia="zh-CN"/>
        </w:rPr>
        <w:t xml:space="preserve">hoping for an opportunity to contribute to Chinese companies’ global ventures, and Xie shared this enthusiasm. Besides, he thought, this platform and this opportunity were very attractive to him. Although the company he was working for previously had been large, the scope of his work </w:t>
      </w:r>
      <w:r>
        <w:rPr>
          <w:rFonts w:eastAsia="Yu Mincho"/>
          <w:lang w:val="en-GB" w:eastAsia="zh-CN"/>
        </w:rPr>
        <w:t>had been</w:t>
      </w:r>
      <w:r w:rsidRPr="00827BEA">
        <w:rPr>
          <w:rFonts w:eastAsia="Yu Mincho"/>
          <w:lang w:val="en-GB" w:eastAsia="zh-CN"/>
        </w:rPr>
        <w:t xml:space="preserve"> </w:t>
      </w:r>
      <w:r w:rsidR="007C6E0B" w:rsidRPr="00827BEA">
        <w:rPr>
          <w:rFonts w:eastAsia="Yu Mincho"/>
          <w:lang w:val="en-GB" w:eastAsia="zh-CN"/>
        </w:rPr>
        <w:t xml:space="preserve">quite narrow. Xie had experienced a glass ceiling on that corporate ladder. CGI, as the only overseas-listed platform of CNG, had been an alluring opportunity for him. He nodded to himself as he remembered his eagerness to work with the company; it had nothing to do with salary but was more about accomplishing greater goals. Personally, he liked to challenge himself and </w:t>
      </w:r>
      <w:r w:rsidR="00E46BF6" w:rsidRPr="00827BEA">
        <w:rPr>
          <w:rFonts w:eastAsia="Yu Mincho"/>
          <w:lang w:val="en-GB" w:eastAsia="zh-CN"/>
        </w:rPr>
        <w:t xml:space="preserve">wanted </w:t>
      </w:r>
      <w:r w:rsidR="007C6E0B" w:rsidRPr="00827BEA">
        <w:rPr>
          <w:rFonts w:eastAsia="Yu Mincho"/>
          <w:lang w:val="en-GB" w:eastAsia="zh-CN"/>
        </w:rPr>
        <w:t xml:space="preserve">to showcase his skills and capabilities on this </w:t>
      </w:r>
      <w:r w:rsidR="00E46BF6" w:rsidRPr="00827BEA">
        <w:rPr>
          <w:rFonts w:eastAsia="Yu Mincho"/>
          <w:lang w:val="en-GB" w:eastAsia="zh-CN"/>
        </w:rPr>
        <w:t>larger</w:t>
      </w:r>
      <w:r w:rsidR="007C6E0B" w:rsidRPr="00827BEA">
        <w:rPr>
          <w:rFonts w:eastAsia="Yu Mincho"/>
          <w:lang w:val="en-GB" w:eastAsia="zh-CN"/>
        </w:rPr>
        <w:t xml:space="preserve"> platform. </w:t>
      </w:r>
    </w:p>
    <w:p w14:paraId="599DAA38" w14:textId="77777777" w:rsidR="00804C3C" w:rsidRPr="00827BEA" w:rsidRDefault="00804C3C" w:rsidP="00804C3C">
      <w:pPr>
        <w:pStyle w:val="BodyTextMain"/>
        <w:rPr>
          <w:rFonts w:eastAsia="Yu Mincho"/>
          <w:lang w:val="en-GB" w:eastAsia="zh-CN"/>
        </w:rPr>
      </w:pPr>
    </w:p>
    <w:p w14:paraId="3D0F3181" w14:textId="40D0814C" w:rsidR="007C6E0B" w:rsidRPr="00827BEA" w:rsidRDefault="007C6E0B" w:rsidP="00804C3C">
      <w:pPr>
        <w:pStyle w:val="BodyTextMain"/>
        <w:rPr>
          <w:rFonts w:eastAsia="Yu Mincho"/>
          <w:spacing w:val="-2"/>
          <w:lang w:val="en-GB" w:eastAsia="zh-CN"/>
        </w:rPr>
      </w:pPr>
      <w:r w:rsidRPr="00827BEA">
        <w:rPr>
          <w:rFonts w:eastAsia="Yu Mincho"/>
          <w:spacing w:val="-2"/>
          <w:lang w:val="en-GB" w:eastAsia="zh-CN"/>
        </w:rPr>
        <w:t xml:space="preserve">Xie had formally started at CGI in March 2009. His job </w:t>
      </w:r>
      <w:r w:rsidR="00E46BF6" w:rsidRPr="00827BEA">
        <w:rPr>
          <w:rFonts w:eastAsia="Yu Mincho"/>
          <w:spacing w:val="-2"/>
          <w:lang w:val="en-GB" w:eastAsia="zh-CN"/>
        </w:rPr>
        <w:t xml:space="preserve">was </w:t>
      </w:r>
      <w:r w:rsidRPr="00827BEA">
        <w:rPr>
          <w:rFonts w:eastAsia="Yu Mincho"/>
          <w:spacing w:val="-2"/>
          <w:lang w:val="en-GB" w:eastAsia="zh-CN"/>
        </w:rPr>
        <w:t xml:space="preserve">composed of five parts. His first and most fundamental responsibility was managing the local team. Second, as </w:t>
      </w:r>
      <w:r w:rsidR="001A67D4">
        <w:rPr>
          <w:rFonts w:eastAsia="Yu Mincho"/>
          <w:spacing w:val="-2"/>
          <w:lang w:val="en-GB" w:eastAsia="zh-CN"/>
        </w:rPr>
        <w:t>vice-president</w:t>
      </w:r>
      <w:r w:rsidRPr="00827BEA">
        <w:rPr>
          <w:rFonts w:eastAsia="Yu Mincho"/>
          <w:spacing w:val="-2"/>
          <w:lang w:val="en-GB" w:eastAsia="zh-CN"/>
        </w:rPr>
        <w:t xml:space="preserve"> and board secretary he was also responsible for legal compliance </w:t>
      </w:r>
      <w:r w:rsidR="00E46BF6" w:rsidRPr="00827BEA">
        <w:rPr>
          <w:rFonts w:eastAsia="Yu Mincho"/>
          <w:spacing w:val="-2"/>
          <w:lang w:val="en-GB" w:eastAsia="zh-CN"/>
        </w:rPr>
        <w:t>i</w:t>
      </w:r>
      <w:r w:rsidRPr="00827BEA">
        <w:rPr>
          <w:rFonts w:eastAsia="Yu Mincho"/>
          <w:spacing w:val="-2"/>
          <w:lang w:val="en-GB" w:eastAsia="zh-CN"/>
        </w:rPr>
        <w:t xml:space="preserve">n both </w:t>
      </w:r>
      <w:r w:rsidR="00E46BF6" w:rsidRPr="00827BEA">
        <w:rPr>
          <w:rFonts w:eastAsia="Yu Mincho"/>
          <w:spacing w:val="-2"/>
          <w:lang w:val="en-GB" w:eastAsia="zh-CN"/>
        </w:rPr>
        <w:t xml:space="preserve">the Chinese and Canadian </w:t>
      </w:r>
      <w:r w:rsidRPr="00827BEA">
        <w:rPr>
          <w:rFonts w:eastAsia="Yu Mincho"/>
          <w:spacing w:val="-2"/>
          <w:lang w:val="en-GB" w:eastAsia="zh-CN"/>
        </w:rPr>
        <w:t>markets. For any abnormal stock price and trading volume fluctuations, he was the first person to be contacted and was the only channel to communicate with external lawyers. His third responsibility was business development. Fourth was scouting for resources of various types and locations</w:t>
      </w:r>
      <w:r w:rsidR="00E14C01" w:rsidRPr="00827BEA">
        <w:rPr>
          <w:spacing w:val="-2"/>
          <w:lang w:val="en-GB" w:eastAsia="zh-CN"/>
        </w:rPr>
        <w:t>—</w:t>
      </w:r>
      <w:r w:rsidRPr="00827BEA">
        <w:rPr>
          <w:rFonts w:eastAsia="Yu Mincho"/>
          <w:spacing w:val="-2"/>
          <w:lang w:val="en-GB" w:eastAsia="zh-CN"/>
        </w:rPr>
        <w:t>CGI had its own database and also worked with external experts in a continuous search for resources. His fifth area of responsibility was public relations and government relations, including charity activities, and he and his colleagues worked with professional PR partners.</w:t>
      </w:r>
    </w:p>
    <w:p w14:paraId="10981F0E" w14:textId="77777777" w:rsidR="00804C3C" w:rsidRPr="00827BEA" w:rsidRDefault="00804C3C" w:rsidP="00804C3C">
      <w:pPr>
        <w:pStyle w:val="BodyTextMain"/>
        <w:rPr>
          <w:rFonts w:eastAsia="Yu Mincho"/>
          <w:lang w:val="en-GB" w:eastAsia="zh-CN"/>
        </w:rPr>
      </w:pPr>
    </w:p>
    <w:p w14:paraId="0AEB0299" w14:textId="371894A7" w:rsidR="007C6E0B" w:rsidRPr="00827BEA" w:rsidRDefault="007C6E0B" w:rsidP="00746D88">
      <w:pPr>
        <w:pStyle w:val="BodyTextMain"/>
        <w:rPr>
          <w:rFonts w:eastAsia="Yu Mincho"/>
          <w:lang w:val="en-GB"/>
        </w:rPr>
      </w:pPr>
      <w:r w:rsidRPr="00827BEA">
        <w:rPr>
          <w:rFonts w:eastAsia="Yu Mincho"/>
          <w:lang w:val="en-GB"/>
        </w:rPr>
        <w:t xml:space="preserve">The first thing Xie did after joining CGI was to put together the top management team and the board with the help of CNG. For example, he brought in two independent directors: John King Burns and Gregory Hall. Xin Song served as the CEO of CGI from 2009 to 2014 and later became the chairman of the board of both CNG and CGI. Bing Liu, who subsequently served as CEO of CGI, stayed in Beijing. Xie and his team were responsible for disclosure of </w:t>
      </w:r>
      <w:r w:rsidR="00821DFE">
        <w:rPr>
          <w:rFonts w:eastAsia="Yu Mincho"/>
          <w:lang w:val="en-GB"/>
        </w:rPr>
        <w:t>stock market</w:t>
      </w:r>
      <w:r w:rsidRPr="00827BEA">
        <w:rPr>
          <w:rFonts w:eastAsia="Yu Mincho"/>
          <w:lang w:val="en-GB"/>
        </w:rPr>
        <w:t xml:space="preserve"> information as well as the associated financial and daily operations at the Canadian head office. More importantly, they engaged in active and constant two-way communication with the parent firm to explain the differences in business practices and the laws, rules, and regulations between the two countries</w:t>
      </w:r>
      <w:r w:rsidR="008E0FEB" w:rsidRPr="00827BEA">
        <w:rPr>
          <w:rFonts w:eastAsia="Yu Mincho"/>
          <w:lang w:val="en-GB"/>
        </w:rPr>
        <w:t>; they</w:t>
      </w:r>
      <w:r w:rsidRPr="00827BEA">
        <w:rPr>
          <w:rFonts w:eastAsia="Yu Mincho"/>
          <w:lang w:val="en-GB"/>
        </w:rPr>
        <w:t xml:space="preserve"> also proposed solutions to address the</w:t>
      </w:r>
      <w:r w:rsidR="00BA4E13" w:rsidRPr="00827BEA">
        <w:rPr>
          <w:rFonts w:eastAsia="Yu Mincho"/>
          <w:lang w:val="en-GB"/>
        </w:rPr>
        <w:t>se</w:t>
      </w:r>
      <w:r w:rsidRPr="00827BEA">
        <w:rPr>
          <w:rFonts w:eastAsia="Yu Mincho"/>
          <w:lang w:val="en-GB"/>
        </w:rPr>
        <w:t xml:space="preserve"> differences. The Canadian management team and </w:t>
      </w:r>
      <w:r w:rsidR="00BA4E13" w:rsidRPr="00827BEA">
        <w:rPr>
          <w:rFonts w:eastAsia="Yu Mincho"/>
          <w:lang w:val="en-GB"/>
        </w:rPr>
        <w:t xml:space="preserve">the </w:t>
      </w:r>
      <w:r w:rsidRPr="00827BEA">
        <w:rPr>
          <w:rFonts w:eastAsia="Yu Mincho"/>
          <w:lang w:val="en-GB"/>
        </w:rPr>
        <w:t xml:space="preserve">board membership gradually stabilized after January 2010, and they brought their professional knowledge and profound understanding of the Canadian and world mining markets to CGI and CNG. For example, Derrick Zhang, </w:t>
      </w:r>
      <w:r w:rsidR="005573CA" w:rsidRPr="00827BEA">
        <w:rPr>
          <w:rFonts w:eastAsia="Yu Mincho"/>
          <w:lang w:val="en-GB"/>
        </w:rPr>
        <w:t>c</w:t>
      </w:r>
      <w:r w:rsidRPr="00827BEA">
        <w:rPr>
          <w:rFonts w:eastAsia="Yu Mincho"/>
          <w:lang w:val="en-GB"/>
        </w:rPr>
        <w:t xml:space="preserve">hief </w:t>
      </w:r>
      <w:r w:rsidR="005573CA" w:rsidRPr="00827BEA">
        <w:rPr>
          <w:rFonts w:eastAsia="Yu Mincho"/>
          <w:lang w:val="en-GB"/>
        </w:rPr>
        <w:t>f</w:t>
      </w:r>
      <w:r w:rsidRPr="00827BEA">
        <w:rPr>
          <w:rFonts w:eastAsia="Yu Mincho"/>
          <w:lang w:val="en-GB"/>
        </w:rPr>
        <w:t xml:space="preserve">inancial </w:t>
      </w:r>
      <w:r w:rsidR="005573CA" w:rsidRPr="00827BEA">
        <w:rPr>
          <w:rFonts w:eastAsia="Yu Mincho"/>
          <w:lang w:val="en-GB"/>
        </w:rPr>
        <w:t>o</w:t>
      </w:r>
      <w:r w:rsidRPr="00827BEA">
        <w:rPr>
          <w:rFonts w:eastAsia="Yu Mincho"/>
          <w:lang w:val="en-GB"/>
        </w:rPr>
        <w:t>fficer of CGI, with over 20</w:t>
      </w:r>
      <w:r w:rsidR="00BA4E13" w:rsidRPr="00827BEA">
        <w:rPr>
          <w:rFonts w:eastAsia="Yu Mincho"/>
          <w:lang w:val="en-GB"/>
        </w:rPr>
        <w:t xml:space="preserve"> </w:t>
      </w:r>
      <w:r w:rsidRPr="00827BEA">
        <w:rPr>
          <w:rFonts w:eastAsia="Yu Mincho"/>
          <w:lang w:val="en-GB"/>
        </w:rPr>
        <w:t>year</w:t>
      </w:r>
      <w:r w:rsidR="00E46BF6" w:rsidRPr="00827BEA">
        <w:rPr>
          <w:rFonts w:eastAsia="Yu Mincho"/>
          <w:lang w:val="en-GB"/>
        </w:rPr>
        <w:t>s of</w:t>
      </w:r>
      <w:r w:rsidRPr="00827BEA">
        <w:rPr>
          <w:rFonts w:eastAsia="Yu Mincho"/>
          <w:lang w:val="en-GB"/>
        </w:rPr>
        <w:t xml:space="preserve"> experience in financial reporting for public companies in both North America and Asia, substantially improved the accounting standards of the two mines that CGI had in China. Songlin Zhang, </w:t>
      </w:r>
      <w:r w:rsidR="005573CA" w:rsidRPr="00827BEA">
        <w:rPr>
          <w:rFonts w:eastAsia="Yu Mincho"/>
          <w:lang w:val="en-GB"/>
        </w:rPr>
        <w:t>c</w:t>
      </w:r>
      <w:r w:rsidRPr="00827BEA">
        <w:rPr>
          <w:rFonts w:eastAsia="Yu Mincho"/>
          <w:lang w:val="en-GB"/>
        </w:rPr>
        <w:t xml:space="preserve">hief </w:t>
      </w:r>
      <w:r w:rsidR="005573CA" w:rsidRPr="00827BEA">
        <w:rPr>
          <w:rFonts w:eastAsia="Yu Mincho"/>
          <w:lang w:val="en-GB"/>
        </w:rPr>
        <w:t>e</w:t>
      </w:r>
      <w:r w:rsidRPr="00827BEA">
        <w:rPr>
          <w:rFonts w:eastAsia="Yu Mincho"/>
          <w:lang w:val="en-GB"/>
        </w:rPr>
        <w:t xml:space="preserve">ngineer and </w:t>
      </w:r>
      <w:r w:rsidR="005573CA" w:rsidRPr="00827BEA">
        <w:rPr>
          <w:rFonts w:eastAsia="Yu Mincho"/>
          <w:lang w:val="en-GB"/>
        </w:rPr>
        <w:t>v</w:t>
      </w:r>
      <w:r w:rsidRPr="00827BEA">
        <w:rPr>
          <w:rFonts w:eastAsia="Yu Mincho"/>
          <w:lang w:val="en-GB"/>
        </w:rPr>
        <w:t>ice</w:t>
      </w:r>
      <w:r w:rsidR="00A64B8A" w:rsidRPr="00827BEA">
        <w:rPr>
          <w:rFonts w:eastAsia="Yu Mincho"/>
          <w:lang w:val="en-GB"/>
        </w:rPr>
        <w:t>-</w:t>
      </w:r>
      <w:r w:rsidR="005573CA" w:rsidRPr="00827BEA">
        <w:rPr>
          <w:rFonts w:eastAsia="Yu Mincho"/>
          <w:lang w:val="en-GB"/>
        </w:rPr>
        <w:t>pr</w:t>
      </w:r>
      <w:r w:rsidRPr="00827BEA">
        <w:rPr>
          <w:rFonts w:eastAsia="Yu Mincho"/>
          <w:lang w:val="en-GB"/>
        </w:rPr>
        <w:t>esident of CGI, with over 20</w:t>
      </w:r>
      <w:r w:rsidR="00BA4E13" w:rsidRPr="00827BEA">
        <w:rPr>
          <w:rFonts w:eastAsia="Yu Mincho"/>
          <w:lang w:val="en-GB"/>
        </w:rPr>
        <w:t xml:space="preserve"> </w:t>
      </w:r>
      <w:r w:rsidRPr="00827BEA">
        <w:rPr>
          <w:rFonts w:eastAsia="Yu Mincho"/>
          <w:lang w:val="en-GB"/>
        </w:rPr>
        <w:t>year</w:t>
      </w:r>
      <w:r w:rsidR="00E46BF6" w:rsidRPr="00827BEA">
        <w:rPr>
          <w:rFonts w:eastAsia="Yu Mincho"/>
          <w:lang w:val="en-GB"/>
        </w:rPr>
        <w:t>s</w:t>
      </w:r>
      <w:r w:rsidRPr="00827BEA">
        <w:rPr>
          <w:rFonts w:eastAsia="Yu Mincho"/>
          <w:lang w:val="en-GB"/>
        </w:rPr>
        <w:t xml:space="preserve"> </w:t>
      </w:r>
      <w:r w:rsidR="00E46BF6" w:rsidRPr="00827BEA">
        <w:rPr>
          <w:rFonts w:eastAsia="Yu Mincho"/>
          <w:lang w:val="en-GB"/>
        </w:rPr>
        <w:t xml:space="preserve">of </w:t>
      </w:r>
      <w:r w:rsidRPr="00827BEA">
        <w:rPr>
          <w:rFonts w:eastAsia="Yu Mincho"/>
          <w:lang w:val="en-GB"/>
        </w:rPr>
        <w:t xml:space="preserve">experience in the mining industry in both North America and China, helped ensure the quality of mine project evaluation, reserve and resource estimation, and mine economic analysis for both CGI and CNG. </w:t>
      </w:r>
    </w:p>
    <w:p w14:paraId="36EC2777" w14:textId="77777777" w:rsidR="00804C3C" w:rsidRPr="00827BEA" w:rsidRDefault="00804C3C" w:rsidP="00804C3C">
      <w:pPr>
        <w:pStyle w:val="BodyTextMain"/>
        <w:rPr>
          <w:rFonts w:eastAsia="Yu Mincho"/>
          <w:shd w:val="clear" w:color="auto" w:fill="FFFFFF"/>
          <w:lang w:val="en-GB" w:eastAsia="zh-CN"/>
        </w:rPr>
      </w:pPr>
    </w:p>
    <w:p w14:paraId="74CF6E29" w14:textId="25B378AC" w:rsidR="007C6E0B" w:rsidRPr="00827BEA" w:rsidRDefault="007C6E0B" w:rsidP="00746D88">
      <w:pPr>
        <w:pStyle w:val="BodyTextMain"/>
        <w:rPr>
          <w:rFonts w:eastAsia="Yu Mincho"/>
          <w:lang w:val="en-GB"/>
        </w:rPr>
      </w:pPr>
      <w:r w:rsidRPr="00827BEA">
        <w:rPr>
          <w:rFonts w:eastAsia="Yu Mincho"/>
          <w:lang w:val="en-GB"/>
        </w:rPr>
        <w:t>Before Xie turned back to his laptop in his office that November evening, he nodded to himself in satisfaction. The trusting and productive relationship between CNG and CGI was the result of effort</w:t>
      </w:r>
      <w:r w:rsidR="00FE70CE" w:rsidRPr="00827BEA">
        <w:rPr>
          <w:rFonts w:eastAsia="Yu Mincho"/>
          <w:lang w:val="en-GB"/>
        </w:rPr>
        <w:t>s made</w:t>
      </w:r>
      <w:r w:rsidRPr="00827BEA">
        <w:rPr>
          <w:rFonts w:eastAsia="Yu Mincho"/>
          <w:lang w:val="en-GB"/>
        </w:rPr>
        <w:t xml:space="preserve"> </w:t>
      </w:r>
      <w:r w:rsidR="00FE70CE" w:rsidRPr="00827BEA">
        <w:rPr>
          <w:rFonts w:eastAsia="Yu Mincho"/>
          <w:lang w:val="en-GB"/>
        </w:rPr>
        <w:t>by</w:t>
      </w:r>
      <w:r w:rsidRPr="00827BEA">
        <w:rPr>
          <w:rFonts w:eastAsia="Yu Mincho"/>
          <w:lang w:val="en-GB"/>
        </w:rPr>
        <w:t xml:space="preserve"> both sides. The trust Song and Liu had put into him and his team played a key role in their business. Xie still felt touched whenever he recalled Song’s highly positive comments acknowledging Xie and his team’s work during a board meeting in 2009. Xie admitted that he could not have survived the tremendous pressure </w:t>
      </w:r>
      <w:r w:rsidRPr="00827BEA">
        <w:rPr>
          <w:rFonts w:eastAsia="Yu Mincho"/>
          <w:lang w:val="en-GB"/>
        </w:rPr>
        <w:lastRenderedPageBreak/>
        <w:t xml:space="preserve">he faced at that time without the strong support of Song and his team. It was a rare practice among Chinese </w:t>
      </w:r>
      <w:r w:rsidR="000C4CCB">
        <w:rPr>
          <w:rFonts w:eastAsia="Yu Mincho"/>
          <w:lang w:val="en-GB"/>
        </w:rPr>
        <w:t>SEOs</w:t>
      </w:r>
      <w:r w:rsidRPr="00827BEA">
        <w:rPr>
          <w:rFonts w:eastAsia="Yu Mincho"/>
          <w:lang w:val="en-GB"/>
        </w:rPr>
        <w:t xml:space="preserve"> to use local professionals and not send expatriates to monitor all the work. Of course, such trust had to be built gradually and had become stronger over time as the company became more and more confident in the capabilities of Xie and his team. </w:t>
      </w:r>
    </w:p>
    <w:p w14:paraId="1CB2CFBB" w14:textId="77777777" w:rsidR="00804C3C" w:rsidRPr="00827BEA" w:rsidRDefault="00804C3C" w:rsidP="00804C3C">
      <w:pPr>
        <w:pStyle w:val="BodyTextMain"/>
        <w:rPr>
          <w:rFonts w:eastAsia="Yu Mincho"/>
          <w:shd w:val="clear" w:color="auto" w:fill="FFFFFF"/>
          <w:lang w:val="en-GB" w:eastAsia="zh-CN"/>
        </w:rPr>
      </w:pPr>
    </w:p>
    <w:p w14:paraId="12D80810" w14:textId="77777777" w:rsidR="00804C3C" w:rsidRPr="00827BEA" w:rsidRDefault="00804C3C" w:rsidP="00804C3C">
      <w:pPr>
        <w:pStyle w:val="BodyTextMain"/>
        <w:rPr>
          <w:rFonts w:eastAsia="Yu Mincho"/>
          <w:shd w:val="clear" w:color="auto" w:fill="FFFFFF"/>
          <w:lang w:val="en-GB" w:eastAsia="zh-CN"/>
        </w:rPr>
      </w:pPr>
    </w:p>
    <w:p w14:paraId="54C21F24" w14:textId="085E3170" w:rsidR="007C6E0B" w:rsidRPr="00827BEA" w:rsidRDefault="007C6E0B" w:rsidP="003805CD">
      <w:pPr>
        <w:pStyle w:val="Casehead1"/>
        <w:keepNext/>
        <w:rPr>
          <w:lang w:val="en-GB" w:eastAsia="zh-CN"/>
        </w:rPr>
      </w:pPr>
      <w:r w:rsidRPr="00827BEA">
        <w:rPr>
          <w:rFonts w:eastAsia="Yu Mincho"/>
          <w:lang w:val="en-GB" w:eastAsia="zh-CN"/>
        </w:rPr>
        <w:t xml:space="preserve">CGI’s Financial and </w:t>
      </w:r>
      <w:r w:rsidR="00CA2F75">
        <w:rPr>
          <w:rFonts w:eastAsia="Yu Mincho"/>
          <w:lang w:val="en-GB" w:eastAsia="zh-CN"/>
        </w:rPr>
        <w:t>environmental</w:t>
      </w:r>
      <w:r w:rsidRPr="00827BEA">
        <w:rPr>
          <w:rFonts w:eastAsia="Yu Mincho"/>
          <w:lang w:val="en-GB" w:eastAsia="zh-CN"/>
        </w:rPr>
        <w:t xml:space="preserve">, </w:t>
      </w:r>
      <w:r w:rsidR="00CA2F75">
        <w:rPr>
          <w:rFonts w:eastAsia="Yu Mincho"/>
          <w:lang w:val="en-GB" w:eastAsia="zh-CN"/>
        </w:rPr>
        <w:t>social</w:t>
      </w:r>
      <w:r w:rsidRPr="00827BEA">
        <w:rPr>
          <w:rFonts w:eastAsia="Yu Mincho"/>
          <w:lang w:val="en-GB" w:eastAsia="zh-CN"/>
        </w:rPr>
        <w:t>, and Governance Performance</w:t>
      </w:r>
    </w:p>
    <w:p w14:paraId="35AA1A09" w14:textId="77777777" w:rsidR="00D01155" w:rsidRPr="00827BEA" w:rsidRDefault="00D01155" w:rsidP="003805CD">
      <w:pPr>
        <w:pStyle w:val="BodyTextMain"/>
        <w:keepNext/>
        <w:rPr>
          <w:rFonts w:eastAsia="Yu Mincho"/>
          <w:lang w:val="en-GB" w:eastAsia="zh-CN"/>
        </w:rPr>
      </w:pPr>
    </w:p>
    <w:p w14:paraId="363198D9" w14:textId="77777777" w:rsidR="007C6E0B" w:rsidRPr="00827BEA" w:rsidRDefault="007C6E0B" w:rsidP="003805CD">
      <w:pPr>
        <w:pStyle w:val="BodyTextMain"/>
        <w:keepNext/>
        <w:rPr>
          <w:rFonts w:eastAsia="Yu Mincho"/>
          <w:lang w:val="en-GB" w:eastAsia="zh-CN"/>
        </w:rPr>
      </w:pPr>
      <w:r w:rsidRPr="00827BEA">
        <w:rPr>
          <w:rFonts w:eastAsia="Yu Mincho"/>
          <w:lang w:val="en-GB" w:eastAsia="zh-CN"/>
        </w:rPr>
        <w:t xml:space="preserve">CNG played a key role in turning CGI’s performance around after the acquisition. Ian He recalled: </w:t>
      </w:r>
    </w:p>
    <w:p w14:paraId="3045F3BD" w14:textId="77777777" w:rsidR="00804C3C" w:rsidRPr="00827BEA" w:rsidRDefault="00804C3C" w:rsidP="003805CD">
      <w:pPr>
        <w:pStyle w:val="BodyTextMain"/>
        <w:keepNext/>
        <w:ind w:left="720"/>
        <w:rPr>
          <w:rFonts w:eastAsia="Yu Mincho"/>
          <w:lang w:val="en-GB" w:eastAsia="zh-CN"/>
        </w:rPr>
      </w:pPr>
    </w:p>
    <w:p w14:paraId="27C17E79" w14:textId="5367F934" w:rsidR="007C6E0B" w:rsidRPr="00827BEA" w:rsidRDefault="007C6E0B" w:rsidP="00804C3C">
      <w:pPr>
        <w:pStyle w:val="BodyTextMain"/>
        <w:ind w:left="720"/>
        <w:rPr>
          <w:rFonts w:eastAsia="Yu Mincho"/>
          <w:lang w:val="en-GB" w:eastAsia="zh-CN"/>
        </w:rPr>
      </w:pPr>
      <w:r w:rsidRPr="00827BEA">
        <w:rPr>
          <w:rFonts w:eastAsia="Yu Mincho"/>
          <w:lang w:val="en-GB" w:eastAsia="zh-CN"/>
        </w:rPr>
        <w:t xml:space="preserve">As a large shareholder, CNG provided </w:t>
      </w:r>
      <w:r w:rsidR="00E46BF6" w:rsidRPr="00827BEA">
        <w:rPr>
          <w:rFonts w:eastAsia="Yu Mincho"/>
          <w:lang w:val="en-GB" w:eastAsia="zh-CN"/>
        </w:rPr>
        <w:t xml:space="preserve">a </w:t>
      </w:r>
      <w:r w:rsidRPr="00827BEA">
        <w:rPr>
          <w:rFonts w:eastAsia="Yu Mincho"/>
          <w:lang w:val="en-GB" w:eastAsia="zh-CN"/>
        </w:rPr>
        <w:t xml:space="preserve">guarantee and helped us secure </w:t>
      </w:r>
      <w:r w:rsidR="006C39F9">
        <w:rPr>
          <w:rFonts w:eastAsia="Yu Mincho"/>
          <w:lang w:val="en-GB" w:eastAsia="zh-CN"/>
        </w:rPr>
        <w:t>¥</w:t>
      </w:r>
      <w:r w:rsidRPr="00827BEA">
        <w:rPr>
          <w:rFonts w:eastAsia="Yu Mincho"/>
          <w:lang w:val="en-GB" w:eastAsia="zh-CN"/>
        </w:rPr>
        <w:t>600 million</w:t>
      </w:r>
      <w:r w:rsidR="00E46BF6" w:rsidRPr="00827BEA">
        <w:rPr>
          <w:rFonts w:eastAsia="Yu Mincho"/>
          <w:lang w:val="en-GB" w:eastAsia="zh-CN"/>
        </w:rPr>
        <w:t xml:space="preserve"> in</w:t>
      </w:r>
      <w:r w:rsidRPr="00827BEA">
        <w:rPr>
          <w:rFonts w:eastAsia="Yu Mincho"/>
          <w:lang w:val="en-GB" w:eastAsia="zh-CN"/>
        </w:rPr>
        <w:t xml:space="preserve"> loans from Chinese banks to set our construction in motion. We were grateful for the strong support of CNG. They also sent several expert teams to monitor and guide production operations onsite. To cut costs, all the original contracts regarding site selection, procurement, and mining services had to be renegotiated. Despite our disadvantageous position as a foreign-listed company in these negotiations, with the assistance of CNG we were able to reduce costs from raw materials procurement to mining services. In addition, CNG also improved our production process, which contributed to greater productivity and efficiency. Thanks to these improvements, our company achieved turnaround from significant losses to profits in 2010. </w:t>
      </w:r>
    </w:p>
    <w:p w14:paraId="0A30FEA9" w14:textId="77777777" w:rsidR="00804C3C" w:rsidRPr="00827BEA" w:rsidRDefault="00804C3C" w:rsidP="00804C3C">
      <w:pPr>
        <w:pStyle w:val="BodyTextMain"/>
        <w:ind w:left="720"/>
        <w:rPr>
          <w:rFonts w:eastAsia="Yu Mincho"/>
          <w:lang w:val="en-GB" w:eastAsia="zh-CN"/>
        </w:rPr>
      </w:pPr>
    </w:p>
    <w:p w14:paraId="451D9FEE" w14:textId="0925BC1F" w:rsidR="007C6E0B" w:rsidRPr="00827BEA" w:rsidRDefault="007C6E0B" w:rsidP="00746D88">
      <w:pPr>
        <w:pStyle w:val="BodyTextMain"/>
        <w:rPr>
          <w:rFonts w:eastAsia="Yu Mincho"/>
          <w:lang w:val="en-GB"/>
        </w:rPr>
      </w:pPr>
      <w:r w:rsidRPr="00827BEA">
        <w:rPr>
          <w:rFonts w:eastAsia="Yu Mincho"/>
          <w:lang w:val="en-GB"/>
        </w:rPr>
        <w:t xml:space="preserve">Since 2008, CGI had won </w:t>
      </w:r>
      <w:r w:rsidR="00FE70CE" w:rsidRPr="00827BEA">
        <w:rPr>
          <w:rFonts w:eastAsia="Yu Mincho"/>
          <w:lang w:val="en-GB"/>
        </w:rPr>
        <w:t>over 100</w:t>
      </w:r>
      <w:r w:rsidRPr="00827BEA">
        <w:rPr>
          <w:rFonts w:eastAsia="Yu Mincho"/>
          <w:lang w:val="en-GB"/>
        </w:rPr>
        <w:t xml:space="preserve"> awards, hono</w:t>
      </w:r>
      <w:r w:rsidR="00C51BA4" w:rsidRPr="00827BEA">
        <w:rPr>
          <w:rFonts w:eastAsia="Yu Mincho"/>
          <w:lang w:val="en-GB"/>
        </w:rPr>
        <w:t>u</w:t>
      </w:r>
      <w:r w:rsidRPr="00827BEA">
        <w:rPr>
          <w:rFonts w:eastAsia="Yu Mincho"/>
          <w:lang w:val="en-GB"/>
        </w:rPr>
        <w:t xml:space="preserve">rs, and recognitions issued by many Chinese and Canadian government and non-government organizations. Although losses had </w:t>
      </w:r>
      <w:r w:rsidR="00DD0F50">
        <w:rPr>
          <w:rFonts w:eastAsia="Yu Mincho"/>
          <w:lang w:val="en-GB"/>
        </w:rPr>
        <w:t>occurred</w:t>
      </w:r>
      <w:r w:rsidRPr="00827BEA">
        <w:rPr>
          <w:rFonts w:eastAsia="Yu Mincho"/>
          <w:lang w:val="en-GB"/>
        </w:rPr>
        <w:t xml:space="preserve"> during the preceding two years</w:t>
      </w:r>
      <w:r w:rsidR="00FE70CE" w:rsidRPr="00827BEA">
        <w:rPr>
          <w:rFonts w:eastAsia="Yu Mincho"/>
          <w:lang w:val="en-GB"/>
        </w:rPr>
        <w:t>,</w:t>
      </w:r>
      <w:r w:rsidRPr="00827BEA">
        <w:rPr>
          <w:rFonts w:eastAsia="Yu Mincho"/>
          <w:lang w:val="en-GB"/>
        </w:rPr>
        <w:t xml:space="preserve"> due largely to depreciation of </w:t>
      </w:r>
      <w:r w:rsidR="00C51BA4" w:rsidRPr="00827BEA">
        <w:rPr>
          <w:rFonts w:eastAsia="Yu Mincho"/>
          <w:lang w:val="en-GB"/>
        </w:rPr>
        <w:t>the yuan</w:t>
      </w:r>
      <w:r w:rsidRPr="00827BEA">
        <w:rPr>
          <w:rFonts w:eastAsia="Yu Mincho"/>
          <w:lang w:val="en-GB"/>
        </w:rPr>
        <w:t>, the overall revenues had been increasing since 2012 because of the good performance of the two mines (</w:t>
      </w:r>
      <w:r w:rsidR="00A64B8A" w:rsidRPr="00827BEA">
        <w:rPr>
          <w:rFonts w:eastAsia="Yu Mincho"/>
          <w:lang w:val="en-GB"/>
        </w:rPr>
        <w:t xml:space="preserve">see </w:t>
      </w:r>
      <w:r w:rsidRPr="00827BEA">
        <w:rPr>
          <w:rFonts w:eastAsia="Yu Mincho"/>
          <w:lang w:val="en-GB"/>
        </w:rPr>
        <w:t>Exhibit 4). CGI could not be this successful without the strong support from CNG</w:t>
      </w:r>
      <w:r w:rsidR="00FE70CE" w:rsidRPr="00827BEA">
        <w:rPr>
          <w:rFonts w:eastAsia="Yu Mincho"/>
          <w:lang w:val="en-GB"/>
        </w:rPr>
        <w:t>. This support</w:t>
      </w:r>
      <w:r w:rsidRPr="00827BEA">
        <w:rPr>
          <w:rFonts w:eastAsia="Yu Mincho"/>
          <w:lang w:val="en-GB"/>
        </w:rPr>
        <w:t xml:space="preserve"> enabled CGI to gain </w:t>
      </w:r>
      <w:r w:rsidR="00FE70CE" w:rsidRPr="00827BEA">
        <w:rPr>
          <w:rFonts w:eastAsia="Yu Mincho"/>
          <w:lang w:val="en-GB"/>
        </w:rPr>
        <w:t xml:space="preserve">further </w:t>
      </w:r>
      <w:r w:rsidRPr="00827BEA">
        <w:rPr>
          <w:rFonts w:eastAsia="Yu Mincho"/>
          <w:lang w:val="en-GB"/>
        </w:rPr>
        <w:t>government support from China, participate in group procurement, enjoy preferential rights to acquisition targets</w:t>
      </w:r>
      <w:r w:rsidR="00FE70CE" w:rsidRPr="00827BEA">
        <w:rPr>
          <w:rFonts w:eastAsia="Yu Mincho"/>
          <w:lang w:val="en-GB"/>
        </w:rPr>
        <w:t>,</w:t>
      </w:r>
      <w:r w:rsidRPr="00827BEA">
        <w:rPr>
          <w:rFonts w:eastAsia="Yu Mincho"/>
          <w:lang w:val="en-GB"/>
        </w:rPr>
        <w:t xml:space="preserve"> </w:t>
      </w:r>
      <w:r w:rsidR="00FE70CE" w:rsidRPr="00827BEA">
        <w:rPr>
          <w:rFonts w:eastAsia="Yu Mincho"/>
          <w:lang w:val="en-GB"/>
        </w:rPr>
        <w:t>and</w:t>
      </w:r>
      <w:r w:rsidRPr="00827BEA">
        <w:rPr>
          <w:rFonts w:eastAsia="Yu Mincho"/>
          <w:lang w:val="en-GB"/>
        </w:rPr>
        <w:t xml:space="preserve"> </w:t>
      </w:r>
      <w:r w:rsidR="00FE70CE" w:rsidRPr="00827BEA">
        <w:rPr>
          <w:rFonts w:eastAsia="Yu Mincho"/>
          <w:lang w:val="en-GB"/>
        </w:rPr>
        <w:t xml:space="preserve">gain access to </w:t>
      </w:r>
      <w:r w:rsidRPr="00827BEA">
        <w:rPr>
          <w:rFonts w:eastAsia="Yu Mincho"/>
          <w:lang w:val="en-GB"/>
        </w:rPr>
        <w:t xml:space="preserve">technical and operating expertise in China. </w:t>
      </w:r>
    </w:p>
    <w:p w14:paraId="14A63EA3" w14:textId="77777777" w:rsidR="00804C3C" w:rsidRPr="00827BEA" w:rsidRDefault="00804C3C" w:rsidP="00746D88">
      <w:pPr>
        <w:pStyle w:val="BodyTextMain"/>
        <w:rPr>
          <w:rFonts w:eastAsia="Yu Mincho"/>
          <w:lang w:val="en-GB"/>
        </w:rPr>
      </w:pPr>
    </w:p>
    <w:p w14:paraId="1C8D3B3D" w14:textId="6AEB30E6" w:rsidR="007C6E0B" w:rsidRPr="00827BEA" w:rsidRDefault="007C6E0B" w:rsidP="00746D88">
      <w:pPr>
        <w:pStyle w:val="BodyTextMain"/>
        <w:rPr>
          <w:rFonts w:eastAsia="Yu Mincho"/>
          <w:lang w:val="en-GB"/>
        </w:rPr>
      </w:pPr>
      <w:r w:rsidRPr="00827BEA">
        <w:rPr>
          <w:rFonts w:eastAsia="Yu Mincho"/>
          <w:lang w:val="en-GB"/>
        </w:rPr>
        <w:t xml:space="preserve">Xie was proud of CGI’s high </w:t>
      </w:r>
      <w:r w:rsidR="00EC5590">
        <w:rPr>
          <w:rFonts w:eastAsia="Yu Mincho"/>
          <w:lang w:val="en-GB"/>
        </w:rPr>
        <w:t>environmental, social, and governance (</w:t>
      </w:r>
      <w:r w:rsidRPr="00827BEA">
        <w:rPr>
          <w:rFonts w:eastAsia="Yu Mincho"/>
          <w:lang w:val="en-GB"/>
        </w:rPr>
        <w:t>ESG</w:t>
      </w:r>
      <w:r w:rsidR="00EC5590">
        <w:rPr>
          <w:rFonts w:eastAsia="Yu Mincho"/>
          <w:lang w:val="en-GB"/>
        </w:rPr>
        <w:t>)</w:t>
      </w:r>
      <w:r w:rsidRPr="00827BEA">
        <w:rPr>
          <w:rFonts w:eastAsia="Yu Mincho"/>
          <w:lang w:val="en-GB"/>
        </w:rPr>
        <w:t xml:space="preserve"> standards. Committed to safe, clean, conservation-oriented, and harmonious development, CGI insisted on pursuing company growth that contributed to environmental protection. For example, CGI had played an active leader</w:t>
      </w:r>
      <w:r w:rsidR="00FE70CE" w:rsidRPr="00827BEA">
        <w:rPr>
          <w:rFonts w:eastAsia="Yu Mincho"/>
          <w:lang w:val="en-GB"/>
        </w:rPr>
        <w:t>ship</w:t>
      </w:r>
      <w:r w:rsidRPr="00827BEA">
        <w:rPr>
          <w:rFonts w:eastAsia="Yu Mincho"/>
          <w:lang w:val="en-GB"/>
        </w:rPr>
        <w:t xml:space="preserve"> role </w:t>
      </w:r>
      <w:r w:rsidR="00654641" w:rsidRPr="00827BEA">
        <w:rPr>
          <w:rFonts w:eastAsia="Yu Mincho"/>
          <w:lang w:val="en-GB"/>
        </w:rPr>
        <w:t xml:space="preserve">since 2012 </w:t>
      </w:r>
      <w:r w:rsidRPr="00827BEA">
        <w:rPr>
          <w:rFonts w:eastAsia="Yu Mincho"/>
          <w:lang w:val="en-GB"/>
        </w:rPr>
        <w:t xml:space="preserve">by founding and organizing fundraising gala events in the Chinese business community in Canada for the Canadian Cancer Society; Xie recalled reading </w:t>
      </w:r>
      <w:r w:rsidR="003C2346" w:rsidRPr="00827BEA">
        <w:rPr>
          <w:rFonts w:eastAsia="Yu Mincho"/>
          <w:lang w:val="en-GB"/>
        </w:rPr>
        <w:t xml:space="preserve">about </w:t>
      </w:r>
      <w:r w:rsidRPr="00827BEA">
        <w:rPr>
          <w:rFonts w:eastAsia="Yu Mincho"/>
          <w:lang w:val="en-GB"/>
        </w:rPr>
        <w:t>that in the Vancouver Sun.</w:t>
      </w:r>
      <w:r w:rsidRPr="00827BEA">
        <w:rPr>
          <w:rFonts w:eastAsia="Yu Mincho"/>
          <w:vertAlign w:val="superscript"/>
          <w:lang w:val="en-GB"/>
        </w:rPr>
        <w:footnoteReference w:id="6"/>
      </w:r>
      <w:r w:rsidRPr="00827BEA">
        <w:rPr>
          <w:rFonts w:eastAsia="Yu Mincho"/>
          <w:lang w:val="en-GB"/>
        </w:rPr>
        <w:t xml:space="preserve"> In 2017, CGI continued this initiative by sponsoring Vancouver General Hospital and </w:t>
      </w:r>
      <w:r w:rsidR="003C2346" w:rsidRPr="00827BEA">
        <w:rPr>
          <w:rFonts w:eastAsia="Yu Mincho"/>
          <w:lang w:val="en-GB"/>
        </w:rPr>
        <w:t xml:space="preserve">the </w:t>
      </w:r>
      <w:r w:rsidRPr="00827BEA">
        <w:rPr>
          <w:rFonts w:eastAsia="Yu Mincho"/>
          <w:lang w:val="en-GB"/>
        </w:rPr>
        <w:t xml:space="preserve">University of British Columbia (UBC) Hospital Foundation. CGI </w:t>
      </w:r>
      <w:r w:rsidR="003C2346" w:rsidRPr="00827BEA">
        <w:rPr>
          <w:rFonts w:eastAsia="Yu Mincho"/>
          <w:lang w:val="en-GB"/>
        </w:rPr>
        <w:t xml:space="preserve">also </w:t>
      </w:r>
      <w:r w:rsidRPr="00827BEA">
        <w:rPr>
          <w:rFonts w:eastAsia="Yu Mincho"/>
          <w:lang w:val="en-GB"/>
        </w:rPr>
        <w:t xml:space="preserve">extended the scope of its initiatives to include environmental protection during mining operations by supporting two ongoing </w:t>
      </w:r>
      <w:r w:rsidR="003C2346" w:rsidRPr="00827BEA">
        <w:rPr>
          <w:rFonts w:eastAsia="Yu Mincho"/>
          <w:lang w:val="en-GB"/>
        </w:rPr>
        <w:t xml:space="preserve">UBC </w:t>
      </w:r>
      <w:r w:rsidRPr="00827BEA">
        <w:rPr>
          <w:rFonts w:eastAsia="Yu Mincho"/>
          <w:lang w:val="en-GB"/>
        </w:rPr>
        <w:t xml:space="preserve">research projects that shared a common focus on minimizing the negative impacts of mining. Xie </w:t>
      </w:r>
      <w:r w:rsidR="00AE692D">
        <w:rPr>
          <w:rFonts w:eastAsia="Yu Mincho"/>
          <w:lang w:val="en-GB"/>
        </w:rPr>
        <w:t>read through</w:t>
      </w:r>
      <w:r w:rsidRPr="00827BEA">
        <w:rPr>
          <w:rFonts w:eastAsia="Yu Mincho"/>
          <w:lang w:val="en-GB"/>
        </w:rPr>
        <w:t xml:space="preserve"> CGI’s 2016 ESG report to refresh his memory about what Song had written: </w:t>
      </w:r>
    </w:p>
    <w:p w14:paraId="48BDB141" w14:textId="77777777" w:rsidR="00804C3C" w:rsidRPr="00827BEA" w:rsidRDefault="00804C3C" w:rsidP="00804C3C">
      <w:pPr>
        <w:pStyle w:val="BodyTextMain"/>
        <w:rPr>
          <w:rFonts w:eastAsia="Yu Mincho"/>
          <w:shd w:val="clear" w:color="auto" w:fill="FFFFFF"/>
          <w:lang w:val="en-GB"/>
        </w:rPr>
      </w:pPr>
    </w:p>
    <w:p w14:paraId="71265B77" w14:textId="66661E84" w:rsidR="007C6E0B" w:rsidRPr="00827BEA" w:rsidRDefault="007C6E0B" w:rsidP="00746D88">
      <w:pPr>
        <w:pStyle w:val="BodyTextMain"/>
        <w:ind w:left="720"/>
        <w:rPr>
          <w:rFonts w:eastAsia="Yu Mincho"/>
          <w:lang w:val="en-GB"/>
        </w:rPr>
      </w:pPr>
      <w:r w:rsidRPr="00827BEA">
        <w:rPr>
          <w:rFonts w:eastAsia="Yu Mincho"/>
          <w:lang w:val="en-GB"/>
        </w:rPr>
        <w:t>The company places significant emphasis on its environmental protection, employment and human rights practices. As a multi-cultural organization, our employees, including management, are from all over the world, including China, Canada, the United States, and Ghana . . . At present, approximately 21</w:t>
      </w:r>
      <w:r w:rsidR="003437F0" w:rsidRPr="00827BEA">
        <w:rPr>
          <w:rFonts w:eastAsia="Yu Mincho"/>
          <w:lang w:val="en-GB"/>
        </w:rPr>
        <w:t xml:space="preserve"> per cent</w:t>
      </w:r>
      <w:r w:rsidRPr="00827BEA">
        <w:rPr>
          <w:rFonts w:eastAsia="Yu Mincho"/>
          <w:lang w:val="en-GB"/>
        </w:rPr>
        <w:t xml:space="preserve"> of the company’s employees are ethnic minorities. About 31.4</w:t>
      </w:r>
      <w:r w:rsidR="003437F0" w:rsidRPr="00827BEA">
        <w:rPr>
          <w:rFonts w:eastAsia="Yu Mincho"/>
          <w:lang w:val="en-GB"/>
        </w:rPr>
        <w:t xml:space="preserve"> per cent</w:t>
      </w:r>
      <w:r w:rsidRPr="00827BEA">
        <w:rPr>
          <w:rFonts w:eastAsia="Yu Mincho"/>
          <w:lang w:val="en-GB"/>
        </w:rPr>
        <w:t xml:space="preserve"> of the company’s employees at its Jiama Mine Operation are local Tibetans. This represents approximately six times as much as the ratio of Canadian mining companies . . . About 19</w:t>
      </w:r>
      <w:r w:rsidR="003437F0" w:rsidRPr="00827BEA">
        <w:rPr>
          <w:rFonts w:eastAsia="Yu Mincho"/>
          <w:lang w:val="en-GB"/>
        </w:rPr>
        <w:t xml:space="preserve"> per cent</w:t>
      </w:r>
      <w:r w:rsidRPr="00827BEA">
        <w:rPr>
          <w:rFonts w:eastAsia="Yu Mincho"/>
          <w:lang w:val="en-GB"/>
        </w:rPr>
        <w:t xml:space="preserve"> of our employees are women, a high proportion for a mining company. Although facing the </w:t>
      </w:r>
      <w:r w:rsidRPr="00827BEA">
        <w:rPr>
          <w:rFonts w:eastAsia="Yu Mincho"/>
          <w:lang w:val="en-GB"/>
        </w:rPr>
        <w:lastRenderedPageBreak/>
        <w:t>pressure of reducing costs sharply this year, we continue to participate in public welfare and charity activities organized in Chang Shan Hao Gold Mine, Jiama Mine, and Canada.</w:t>
      </w:r>
      <w:r w:rsidR="00354428" w:rsidRPr="00827BEA">
        <w:rPr>
          <w:rStyle w:val="FootnoteReference"/>
          <w:rFonts w:eastAsia="Yu Mincho"/>
          <w:lang w:val="en-GB"/>
        </w:rPr>
        <w:footnoteReference w:id="7"/>
      </w:r>
      <w:r w:rsidRPr="00827BEA">
        <w:rPr>
          <w:rFonts w:eastAsia="Yu Mincho"/>
          <w:vertAlign w:val="superscript"/>
          <w:lang w:val="en-GB"/>
        </w:rPr>
        <w:t xml:space="preserve"> </w:t>
      </w:r>
    </w:p>
    <w:p w14:paraId="06A46D6F" w14:textId="77777777" w:rsidR="00804C3C" w:rsidRPr="00827BEA" w:rsidRDefault="00804C3C" w:rsidP="00804C3C">
      <w:pPr>
        <w:pStyle w:val="BodyTextMain"/>
        <w:rPr>
          <w:lang w:val="en-GB" w:eastAsia="zh-CN"/>
        </w:rPr>
      </w:pPr>
    </w:p>
    <w:p w14:paraId="678FC8EF" w14:textId="77777777" w:rsidR="007C6E0B" w:rsidRPr="00827BEA" w:rsidRDefault="007C6E0B" w:rsidP="00804C3C">
      <w:pPr>
        <w:pStyle w:val="BodyTextMain"/>
        <w:rPr>
          <w:lang w:val="en-GB" w:eastAsia="zh-CN"/>
        </w:rPr>
      </w:pPr>
      <w:r w:rsidRPr="00827BEA">
        <w:rPr>
          <w:lang w:val="en-GB" w:eastAsia="zh-CN"/>
        </w:rPr>
        <w:t xml:space="preserve">CGI’s board consisted of four independent directors and five non-independent directors. The four independent directors formed four committees focusing on the following: audit; nominating and corporate governance; compensation and benefits; and health, safety, and environment. As the chairman of these committees, Ian He commented: </w:t>
      </w:r>
    </w:p>
    <w:p w14:paraId="4C4C87AF" w14:textId="77777777" w:rsidR="00A7033A" w:rsidRPr="00827BEA" w:rsidRDefault="00A7033A" w:rsidP="00804C3C">
      <w:pPr>
        <w:pStyle w:val="BodyTextMain"/>
        <w:ind w:left="720"/>
        <w:rPr>
          <w:rFonts w:eastAsia="Yu Mincho"/>
          <w:lang w:val="en-GB" w:eastAsia="zh-CN"/>
        </w:rPr>
      </w:pPr>
    </w:p>
    <w:p w14:paraId="121C5776" w14:textId="635DE822" w:rsidR="007C6E0B" w:rsidRPr="00827BEA" w:rsidRDefault="007C6E0B" w:rsidP="00804C3C">
      <w:pPr>
        <w:pStyle w:val="BodyTextMain"/>
        <w:ind w:left="720"/>
        <w:rPr>
          <w:rFonts w:eastAsia="Yu Mincho"/>
          <w:lang w:val="en-GB" w:eastAsia="zh-CN"/>
        </w:rPr>
      </w:pPr>
      <w:r w:rsidRPr="00827BEA">
        <w:rPr>
          <w:rFonts w:eastAsia="Yu Mincho"/>
          <w:lang w:val="en-GB" w:eastAsia="zh-CN"/>
        </w:rPr>
        <w:t>Our audit committee is more involved in the company’s supervision than its counterparts in China. The whistleblower mechanism is maintained and expanded. Each quarter, the audit committee would ask</w:t>
      </w:r>
      <w:r w:rsidR="000C4CCB">
        <w:rPr>
          <w:rFonts w:eastAsia="Yu Mincho"/>
          <w:lang w:val="en-GB" w:eastAsia="zh-CN"/>
        </w:rPr>
        <w:t xml:space="preserve"> [the]</w:t>
      </w:r>
      <w:r w:rsidRPr="00827BEA">
        <w:rPr>
          <w:rFonts w:eastAsia="Yu Mincho"/>
          <w:lang w:val="en-GB" w:eastAsia="zh-CN"/>
        </w:rPr>
        <w:t xml:space="preserve"> CFO </w:t>
      </w:r>
      <w:r w:rsidR="000C4CCB">
        <w:rPr>
          <w:rFonts w:eastAsia="Yu Mincho"/>
          <w:lang w:val="en-GB" w:eastAsia="zh-CN"/>
        </w:rPr>
        <w:t xml:space="preserve">[chief financial officer] </w:t>
      </w:r>
      <w:r w:rsidRPr="00827BEA">
        <w:rPr>
          <w:rFonts w:eastAsia="Yu Mincho"/>
          <w:lang w:val="en-GB" w:eastAsia="zh-CN"/>
        </w:rPr>
        <w:t>if there are any cases of whistleblowing. This mechanism and the related employee training are emphasized at every board meeting, something that doesn’t happen in China. Other subsidiaries of CNG now also follow this mechanism. The monthly and quarterly safety and environment reports also follow the Western model and are adopted by our two mining companies. Back in China, oftentimes safety and environmental issues remain merely as slogans, but in our two mining companies they are summarized using texts and graphs on paper, which takes time and effort to formulate. The independent directors would compile a list of issues brought up by the audit committee or other committees and report at the board meeting. At the following board meeting, the CGI management team would provide updates on these issues and discuss follow-up and implementation measures. Gradually, this process has become an interactive mechanism and a virtual cycle.</w:t>
      </w:r>
    </w:p>
    <w:p w14:paraId="3E713B3B" w14:textId="77777777" w:rsidR="00804C3C" w:rsidRPr="00827BEA" w:rsidRDefault="00804C3C" w:rsidP="00804C3C">
      <w:pPr>
        <w:pStyle w:val="BodyTextMain"/>
        <w:rPr>
          <w:rFonts w:eastAsia="Yu Mincho"/>
          <w:lang w:val="en-GB" w:eastAsia="zh-CN"/>
        </w:rPr>
      </w:pPr>
    </w:p>
    <w:p w14:paraId="64540D27" w14:textId="2937D703" w:rsidR="007C6E0B" w:rsidRPr="00827BEA" w:rsidRDefault="007C6E0B" w:rsidP="00804C3C">
      <w:pPr>
        <w:pStyle w:val="BodyTextMain"/>
        <w:rPr>
          <w:rFonts w:eastAsia="Yu Mincho"/>
          <w:lang w:val="en-GB" w:eastAsia="zh-CN"/>
        </w:rPr>
      </w:pPr>
      <w:r w:rsidRPr="00827BEA">
        <w:rPr>
          <w:rFonts w:eastAsia="Yu Mincho"/>
          <w:lang w:val="en-GB" w:eastAsia="zh-CN"/>
        </w:rPr>
        <w:t xml:space="preserve">Song also commented on the role of independent directors: </w:t>
      </w:r>
    </w:p>
    <w:p w14:paraId="6111B715" w14:textId="77777777" w:rsidR="00804C3C" w:rsidRPr="00827BEA" w:rsidRDefault="00804C3C" w:rsidP="00804C3C">
      <w:pPr>
        <w:pStyle w:val="BodyTextMain"/>
        <w:rPr>
          <w:rFonts w:eastAsia="Yu Mincho"/>
          <w:lang w:val="en-GB" w:eastAsia="zh-CN"/>
        </w:rPr>
      </w:pPr>
    </w:p>
    <w:p w14:paraId="07896F5B" w14:textId="44F47F4A" w:rsidR="007C6E0B" w:rsidRPr="00827BEA" w:rsidRDefault="007C6E0B" w:rsidP="00804C3C">
      <w:pPr>
        <w:pStyle w:val="BodyTextMain"/>
        <w:ind w:left="720"/>
        <w:rPr>
          <w:rFonts w:eastAsia="Yu Mincho"/>
          <w:lang w:val="en-GB" w:eastAsia="zh-CN"/>
        </w:rPr>
      </w:pPr>
      <w:r w:rsidRPr="00827BEA">
        <w:rPr>
          <w:rFonts w:eastAsia="Yu Mincho"/>
          <w:lang w:val="en-GB" w:eastAsia="zh-CN"/>
        </w:rPr>
        <w:t xml:space="preserve">I greatly respect and rely on the judgment of independent directors. Their opinions and suggestions often end up as things that I ask the CGI management team to implement. Each meeting is used as an opportunity to follow up on these matters and get updates on the implementation progress. Thus, the independent directors are </w:t>
      </w:r>
      <w:r w:rsidR="008F653E" w:rsidRPr="00827BEA">
        <w:rPr>
          <w:rFonts w:eastAsia="Yu Mincho"/>
          <w:lang w:val="en-GB" w:eastAsia="zh-CN"/>
        </w:rPr>
        <w:t>respected,</w:t>
      </w:r>
      <w:r w:rsidRPr="00827BEA">
        <w:rPr>
          <w:rFonts w:eastAsia="Yu Mincho"/>
          <w:lang w:val="en-GB" w:eastAsia="zh-CN"/>
        </w:rPr>
        <w:t xml:space="preserve"> and their voices are heard. What’s more, their opinions are usually very professional. As a result, a high level of trust is gradually built in the process.</w:t>
      </w:r>
    </w:p>
    <w:p w14:paraId="18FA1CAE" w14:textId="77777777" w:rsidR="00804C3C" w:rsidRPr="00827BEA" w:rsidRDefault="00804C3C" w:rsidP="00804C3C">
      <w:pPr>
        <w:pStyle w:val="BodyTextMain"/>
        <w:ind w:left="720"/>
        <w:rPr>
          <w:rFonts w:eastAsia="Yu Mincho"/>
          <w:lang w:val="en-GB" w:eastAsia="zh-CN"/>
        </w:rPr>
      </w:pPr>
    </w:p>
    <w:p w14:paraId="4E2AF54F" w14:textId="77777777" w:rsidR="00804C3C" w:rsidRPr="00827BEA" w:rsidRDefault="00804C3C" w:rsidP="00804C3C">
      <w:pPr>
        <w:pStyle w:val="BodyTextMain"/>
        <w:ind w:left="720"/>
        <w:rPr>
          <w:rFonts w:eastAsia="Yu Mincho"/>
          <w:lang w:val="en-GB" w:eastAsia="zh-CN"/>
        </w:rPr>
      </w:pPr>
    </w:p>
    <w:p w14:paraId="3E81B5E6" w14:textId="0545D44F" w:rsidR="007C6E0B" w:rsidRPr="00827BEA" w:rsidRDefault="007C6E0B" w:rsidP="00804C3C">
      <w:pPr>
        <w:pStyle w:val="Casehead1"/>
        <w:rPr>
          <w:lang w:val="en-GB"/>
        </w:rPr>
      </w:pPr>
      <w:r w:rsidRPr="00827BEA">
        <w:rPr>
          <w:lang w:val="en-GB"/>
        </w:rPr>
        <w:t xml:space="preserve">China’s </w:t>
      </w:r>
      <w:r w:rsidR="000C4CCB">
        <w:rPr>
          <w:lang w:val="en-GB"/>
        </w:rPr>
        <w:t>SEO</w:t>
      </w:r>
      <w:r w:rsidR="000C4CCB">
        <w:rPr>
          <w:caps w:val="0"/>
          <w:lang w:val="en-GB"/>
        </w:rPr>
        <w:t>s</w:t>
      </w:r>
      <w:r w:rsidRPr="00827BEA">
        <w:rPr>
          <w:lang w:val="en-GB"/>
        </w:rPr>
        <w:t>: Reform and Globalization</w:t>
      </w:r>
    </w:p>
    <w:p w14:paraId="4F06B260" w14:textId="77777777" w:rsidR="00804C3C" w:rsidRPr="00827BEA" w:rsidRDefault="00804C3C" w:rsidP="003805CD">
      <w:pPr>
        <w:pStyle w:val="BodyTextMain"/>
        <w:rPr>
          <w:lang w:val="en-GB"/>
        </w:rPr>
      </w:pPr>
    </w:p>
    <w:p w14:paraId="112C091B" w14:textId="7102A547" w:rsidR="007C6E0B" w:rsidRPr="00827BEA" w:rsidRDefault="007C6E0B" w:rsidP="00804C3C">
      <w:pPr>
        <w:pStyle w:val="BodyTextMain"/>
        <w:rPr>
          <w:rFonts w:eastAsia="Yu Mincho"/>
          <w:lang w:val="en-GB"/>
        </w:rPr>
      </w:pPr>
      <w:r w:rsidRPr="00827BEA">
        <w:rPr>
          <w:rFonts w:eastAsia="Yu Mincho"/>
          <w:lang w:val="en-GB"/>
        </w:rPr>
        <w:t>SOEs were enterprises under significant state control through full, majority</w:t>
      </w:r>
      <w:r w:rsidR="0058644C" w:rsidRPr="00827BEA">
        <w:rPr>
          <w:rFonts w:eastAsia="Yu Mincho"/>
          <w:lang w:val="en-GB"/>
        </w:rPr>
        <w:t>,</w:t>
      </w:r>
      <w:r w:rsidRPr="00827BEA">
        <w:rPr>
          <w:rFonts w:eastAsia="Yu Mincho"/>
          <w:lang w:val="en-GB"/>
        </w:rPr>
        <w:t xml:space="preserve"> or significant minority ownership.</w:t>
      </w:r>
      <w:r w:rsidRPr="00827BEA">
        <w:rPr>
          <w:rFonts w:eastAsia="Yu Mincho"/>
          <w:vertAlign w:val="superscript"/>
          <w:lang w:val="en-GB"/>
        </w:rPr>
        <w:footnoteReference w:id="8"/>
      </w:r>
      <w:r w:rsidRPr="00827BEA">
        <w:rPr>
          <w:rFonts w:eastAsia="Yu Mincho"/>
          <w:lang w:val="en-GB"/>
        </w:rPr>
        <w:t xml:space="preserve"> In China, SOEs (controlled by the central or local governments) were important drivers for economic growth and accounted for </w:t>
      </w:r>
      <w:r w:rsidRPr="00827BEA">
        <w:rPr>
          <w:rFonts w:eastAsia="Yu Mincho"/>
          <w:lang w:val="en-GB" w:eastAsia="zh-CN"/>
        </w:rPr>
        <w:t>61.7</w:t>
      </w:r>
      <w:r w:rsidR="003437F0" w:rsidRPr="00827BEA">
        <w:rPr>
          <w:rFonts w:eastAsia="Yu Mincho"/>
          <w:lang w:val="en-GB" w:eastAsia="zh-CN"/>
        </w:rPr>
        <w:t xml:space="preserve"> per cent</w:t>
      </w:r>
      <w:r w:rsidRPr="00827BEA">
        <w:rPr>
          <w:rFonts w:eastAsia="Yu Mincho"/>
          <w:lang w:val="en-GB"/>
        </w:rPr>
        <w:t xml:space="preserve"> of </w:t>
      </w:r>
      <w:r w:rsidR="009A7220">
        <w:rPr>
          <w:rFonts w:eastAsia="Yu Mincho"/>
          <w:lang w:val="en-GB"/>
        </w:rPr>
        <w:t>gross domestic product</w:t>
      </w:r>
      <w:r w:rsidRPr="00827BEA">
        <w:rPr>
          <w:rFonts w:eastAsia="Yu Mincho"/>
          <w:lang w:val="en-GB" w:eastAsia="zh-CN"/>
        </w:rPr>
        <w:t xml:space="preserve"> in</w:t>
      </w:r>
      <w:r w:rsidRPr="00827BEA">
        <w:rPr>
          <w:rFonts w:eastAsia="Yu Mincho"/>
          <w:lang w:val="en-GB"/>
        </w:rPr>
        <w:t xml:space="preserve"> 2016. Although there were only 98 central SOEs in 2017, 50 were </w:t>
      </w:r>
      <w:r w:rsidR="009A7220">
        <w:rPr>
          <w:rFonts w:eastAsia="Yu Mincho"/>
          <w:lang w:val="en-GB"/>
        </w:rPr>
        <w:t>on</w:t>
      </w:r>
      <w:r w:rsidRPr="00827BEA">
        <w:rPr>
          <w:rFonts w:eastAsia="Yu Mincho"/>
          <w:lang w:val="en-GB"/>
        </w:rPr>
        <w:t xml:space="preserve"> the Fortune Global 500 list</w:t>
      </w:r>
      <w:r w:rsidR="009A7220">
        <w:rPr>
          <w:rFonts w:eastAsia="Yu Mincho"/>
          <w:lang w:val="en-GB"/>
        </w:rPr>
        <w:t>,</w:t>
      </w:r>
      <w:r w:rsidRPr="00827BEA">
        <w:rPr>
          <w:rFonts w:eastAsia="Yu Mincho"/>
          <w:lang w:val="en-GB"/>
        </w:rPr>
        <w:t xml:space="preserve"> and their assets nearly doubled from 2011 to 2016, reaching </w:t>
      </w:r>
      <w:r w:rsidR="006C39F9">
        <w:rPr>
          <w:rFonts w:eastAsia="Yu Mincho"/>
          <w:lang w:val="en-GB" w:eastAsia="zh-CN"/>
        </w:rPr>
        <w:t>¥</w:t>
      </w:r>
      <w:r w:rsidRPr="00827BEA">
        <w:rPr>
          <w:rFonts w:eastAsia="Yu Mincho"/>
          <w:lang w:val="en-GB" w:eastAsia="zh-CN"/>
        </w:rPr>
        <w:t>53,000 billion (about US$7,982.9 billion) in 2016 (</w:t>
      </w:r>
      <w:r w:rsidR="000D69EB" w:rsidRPr="00827BEA">
        <w:rPr>
          <w:rFonts w:eastAsia="Yu Mincho"/>
          <w:lang w:val="en-GB" w:eastAsia="zh-CN"/>
        </w:rPr>
        <w:t xml:space="preserve">see </w:t>
      </w:r>
      <w:r w:rsidRPr="00827BEA">
        <w:rPr>
          <w:rFonts w:eastAsia="Yu Mincho"/>
          <w:lang w:val="en-GB" w:eastAsia="zh-CN"/>
        </w:rPr>
        <w:t>Exhibit 6). Central SOEs were concentrated in a few industries considered to be strategically critical, including national security, natural resource</w:t>
      </w:r>
      <w:r w:rsidR="000D69EB" w:rsidRPr="00827BEA">
        <w:rPr>
          <w:rFonts w:eastAsia="Yu Mincho"/>
          <w:lang w:val="en-GB" w:eastAsia="zh-CN"/>
        </w:rPr>
        <w:t>s</w:t>
      </w:r>
      <w:r w:rsidRPr="00827BEA">
        <w:rPr>
          <w:rFonts w:eastAsia="Yu Mincho"/>
          <w:lang w:val="en-GB" w:eastAsia="zh-CN"/>
        </w:rPr>
        <w:t xml:space="preserve">, and infrastructure. They </w:t>
      </w:r>
      <w:r w:rsidRPr="00827BEA">
        <w:rPr>
          <w:rFonts w:eastAsia="Yu Mincho"/>
          <w:lang w:val="en-GB"/>
        </w:rPr>
        <w:t>received most support from the government and were called “the eldest son [of the country].”</w:t>
      </w:r>
      <w:r w:rsidRPr="00827BEA">
        <w:rPr>
          <w:rFonts w:eastAsia="Yu Mincho"/>
          <w:vertAlign w:val="superscript"/>
          <w:lang w:val="en-GB"/>
        </w:rPr>
        <w:footnoteReference w:id="9"/>
      </w:r>
      <w:r w:rsidRPr="00827BEA">
        <w:rPr>
          <w:rFonts w:eastAsia="Yu Mincho"/>
          <w:lang w:val="en-GB"/>
        </w:rPr>
        <w:t xml:space="preserve"> </w:t>
      </w:r>
      <w:r w:rsidRPr="00827BEA">
        <w:rPr>
          <w:rFonts w:eastAsia="Yu Mincho"/>
          <w:lang w:val="en-GB" w:eastAsia="zh-CN"/>
        </w:rPr>
        <w:t xml:space="preserve">Chinese SOEs had evolved through three phases of reform led by the three </w:t>
      </w:r>
      <w:r w:rsidRPr="00827BEA">
        <w:rPr>
          <w:rFonts w:eastAsia="Yu Mincho"/>
          <w:lang w:val="en-GB" w:eastAsia="zh-CN"/>
        </w:rPr>
        <w:lastRenderedPageBreak/>
        <w:t xml:space="preserve">generations of leaders from 1992 to 2017, with the goal </w:t>
      </w:r>
      <w:r w:rsidR="00F158BE" w:rsidRPr="00827BEA">
        <w:rPr>
          <w:rFonts w:eastAsia="Yu Mincho"/>
          <w:lang w:val="en-GB" w:eastAsia="zh-CN"/>
        </w:rPr>
        <w:t>of</w:t>
      </w:r>
      <w:r w:rsidRPr="00827BEA">
        <w:rPr>
          <w:rFonts w:eastAsia="Yu Mincho"/>
          <w:lang w:val="en-GB" w:eastAsia="zh-CN"/>
        </w:rPr>
        <w:t xml:space="preserve"> improv</w:t>
      </w:r>
      <w:r w:rsidR="00F158BE" w:rsidRPr="00827BEA">
        <w:rPr>
          <w:rFonts w:eastAsia="Yu Mincho"/>
          <w:lang w:val="en-GB" w:eastAsia="zh-CN"/>
        </w:rPr>
        <w:t>ing</w:t>
      </w:r>
      <w:r w:rsidRPr="00827BEA">
        <w:rPr>
          <w:rFonts w:eastAsia="Yu Mincho"/>
          <w:lang w:val="en-GB" w:eastAsia="zh-CN"/>
        </w:rPr>
        <w:t xml:space="preserve"> </w:t>
      </w:r>
      <w:r w:rsidRPr="00827BEA">
        <w:rPr>
          <w:rFonts w:eastAsia="Yu Mincho"/>
          <w:lang w:val="en-GB"/>
        </w:rPr>
        <w:t>SOEs’ governance, transparency, efficiency, and profitability</w:t>
      </w:r>
      <w:r w:rsidRPr="00827BEA">
        <w:rPr>
          <w:rFonts w:eastAsia="Yu Mincho"/>
          <w:lang w:val="en-GB" w:eastAsia="zh-CN"/>
        </w:rPr>
        <w:t xml:space="preserve"> (</w:t>
      </w:r>
      <w:r w:rsidR="000D69EB" w:rsidRPr="00827BEA">
        <w:rPr>
          <w:rFonts w:eastAsia="Yu Mincho"/>
          <w:lang w:val="en-GB" w:eastAsia="zh-CN"/>
        </w:rPr>
        <w:t xml:space="preserve">see </w:t>
      </w:r>
      <w:r w:rsidRPr="00827BEA">
        <w:rPr>
          <w:rFonts w:eastAsia="Yu Mincho"/>
          <w:lang w:val="en-GB" w:eastAsia="zh-CN"/>
        </w:rPr>
        <w:t>Exhibit 7).</w:t>
      </w:r>
      <w:r w:rsidRPr="00827BEA">
        <w:rPr>
          <w:rFonts w:eastAsia="Yu Mincho"/>
          <w:vertAlign w:val="superscript"/>
          <w:lang w:val="en-GB" w:eastAsia="zh-CN"/>
        </w:rPr>
        <w:footnoteReference w:id="10"/>
      </w:r>
      <w:r w:rsidRPr="00827BEA">
        <w:rPr>
          <w:rFonts w:eastAsia="Yu Mincho"/>
          <w:lang w:val="en-GB" w:eastAsia="zh-CN"/>
        </w:rPr>
        <w:t xml:space="preserve"> </w:t>
      </w:r>
    </w:p>
    <w:p w14:paraId="5925955F" w14:textId="77777777" w:rsidR="00804C3C" w:rsidRPr="00827BEA" w:rsidRDefault="00804C3C" w:rsidP="00804C3C">
      <w:pPr>
        <w:pStyle w:val="BodyTextMain"/>
        <w:rPr>
          <w:rFonts w:eastAsia="Yu Mincho"/>
          <w:lang w:val="en-GB"/>
        </w:rPr>
      </w:pPr>
    </w:p>
    <w:p w14:paraId="61660E66" w14:textId="423F1FD8" w:rsidR="007C6E0B" w:rsidRPr="00827BEA" w:rsidRDefault="007C6E0B" w:rsidP="00804C3C">
      <w:pPr>
        <w:pStyle w:val="BodyTextMain"/>
        <w:rPr>
          <w:rFonts w:eastAsia="Yu Mincho"/>
          <w:lang w:val="en-GB"/>
        </w:rPr>
      </w:pPr>
      <w:r w:rsidRPr="00827BEA">
        <w:rPr>
          <w:rFonts w:eastAsia="Yu Mincho"/>
          <w:lang w:val="en-GB"/>
        </w:rPr>
        <w:t xml:space="preserve">China proposed its “go global” policy in 2001 to encourage Chinese firms to invest overseas. </w:t>
      </w:r>
      <w:r w:rsidR="009A7220">
        <w:rPr>
          <w:rFonts w:eastAsia="Yu Mincho"/>
          <w:lang w:val="en-GB"/>
        </w:rPr>
        <w:t xml:space="preserve">The </w:t>
      </w:r>
      <w:r w:rsidR="000D69EB" w:rsidRPr="00827BEA">
        <w:rPr>
          <w:rFonts w:eastAsia="Yu Mincho"/>
          <w:lang w:val="en-GB"/>
        </w:rPr>
        <w:t>United Nations Conference on Trade and Deve</w:t>
      </w:r>
      <w:r w:rsidR="005F0C26" w:rsidRPr="00827BEA">
        <w:rPr>
          <w:rFonts w:eastAsia="Yu Mincho"/>
          <w:lang w:val="en-GB"/>
        </w:rPr>
        <w:t>lopment</w:t>
      </w:r>
      <w:r w:rsidRPr="00827BEA">
        <w:rPr>
          <w:rFonts w:eastAsia="Yu Mincho"/>
          <w:lang w:val="en-GB"/>
        </w:rPr>
        <w:t xml:space="preserve"> data </w:t>
      </w:r>
      <w:r w:rsidR="009A7220">
        <w:rPr>
          <w:rFonts w:eastAsia="Yu Mincho"/>
          <w:lang w:val="en-GB"/>
        </w:rPr>
        <w:t>showed</w:t>
      </w:r>
      <w:r w:rsidRPr="00827BEA">
        <w:rPr>
          <w:rFonts w:eastAsia="Yu Mincho"/>
          <w:lang w:val="en-GB"/>
        </w:rPr>
        <w:t xml:space="preserve"> that China’s outward foreign direct investment (OFDI) flows increased from US$2.1 billion in 1996 to US$183.1 billion in 2016, and China became the </w:t>
      </w:r>
      <w:r w:rsidR="009A7220">
        <w:rPr>
          <w:rFonts w:eastAsia="Yu Mincho"/>
          <w:lang w:val="en-GB"/>
        </w:rPr>
        <w:t>second-largest</w:t>
      </w:r>
      <w:r w:rsidRPr="00827BEA">
        <w:rPr>
          <w:rFonts w:eastAsia="Yu Mincho"/>
          <w:lang w:val="en-GB"/>
        </w:rPr>
        <w:t xml:space="preserve"> OFDI source country in 2016. By 2016, a total of 9,112 Chinese SOEs had invested US$731.5 billion in 185 countries and regions.</w:t>
      </w:r>
      <w:r w:rsidRPr="00827BEA">
        <w:rPr>
          <w:rFonts w:eastAsia="Yu Mincho"/>
          <w:vertAlign w:val="superscript"/>
          <w:lang w:val="en-GB"/>
        </w:rPr>
        <w:footnoteReference w:id="11"/>
      </w:r>
      <w:r w:rsidRPr="00827BEA">
        <w:rPr>
          <w:rFonts w:eastAsia="Yu Mincho"/>
          <w:lang w:val="en-GB"/>
        </w:rPr>
        <w:t xml:space="preserve"> </w:t>
      </w:r>
      <w:r w:rsidRPr="00827BEA">
        <w:rPr>
          <w:rFonts w:eastAsia="Yu Mincho"/>
          <w:lang w:val="en-GB" w:eastAsia="zh-CN"/>
        </w:rPr>
        <w:t xml:space="preserve">This “go global” trend was slightly hindered by the </w:t>
      </w:r>
      <w:r w:rsidR="009A7220">
        <w:rPr>
          <w:rFonts w:eastAsia="Yu Mincho"/>
          <w:lang w:val="en-GB" w:eastAsia="zh-CN"/>
        </w:rPr>
        <w:t xml:space="preserve">25 per cent </w:t>
      </w:r>
      <w:r w:rsidRPr="00827BEA">
        <w:rPr>
          <w:rFonts w:eastAsia="Yu Mincho"/>
          <w:lang w:val="en-GB" w:eastAsia="zh-CN"/>
        </w:rPr>
        <w:t>decline</w:t>
      </w:r>
      <w:r w:rsidR="00290660" w:rsidRPr="00827BEA">
        <w:rPr>
          <w:rFonts w:eastAsia="Yu Mincho"/>
          <w:lang w:val="en-GB" w:eastAsia="zh-CN"/>
        </w:rPr>
        <w:t xml:space="preserve"> </w:t>
      </w:r>
      <w:r w:rsidRPr="00827BEA">
        <w:rPr>
          <w:rFonts w:eastAsia="Yu Mincho"/>
          <w:lang w:val="en-GB" w:eastAsia="zh-CN"/>
        </w:rPr>
        <w:t xml:space="preserve">in China’s foreign exchange reserves in 2016. To stabilize the value of </w:t>
      </w:r>
      <w:r w:rsidR="006C39F9">
        <w:rPr>
          <w:rFonts w:eastAsia="Yu Mincho"/>
          <w:lang w:val="en-GB" w:eastAsia="zh-CN"/>
        </w:rPr>
        <w:t>the yuan</w:t>
      </w:r>
      <w:r w:rsidRPr="00827BEA">
        <w:rPr>
          <w:rFonts w:eastAsia="Yu Mincho"/>
          <w:lang w:val="en-GB" w:eastAsia="zh-CN"/>
        </w:rPr>
        <w:t xml:space="preserve"> and avoid systemic financial risks, </w:t>
      </w:r>
      <w:r w:rsidRPr="00827BEA">
        <w:rPr>
          <w:rFonts w:eastAsia="Yu Mincho"/>
          <w:lang w:val="en-GB"/>
        </w:rPr>
        <w:t xml:space="preserve">China’s </w:t>
      </w:r>
      <w:r w:rsidR="00BE310B" w:rsidRPr="00827BEA">
        <w:rPr>
          <w:rFonts w:eastAsia="Yu Mincho"/>
          <w:lang w:val="en-GB"/>
        </w:rPr>
        <w:t>f</w:t>
      </w:r>
      <w:r w:rsidRPr="00827BEA">
        <w:rPr>
          <w:rFonts w:eastAsia="Yu Mincho"/>
          <w:lang w:val="en-GB"/>
        </w:rPr>
        <w:t xml:space="preserve">inance </w:t>
      </w:r>
      <w:r w:rsidR="00BE310B" w:rsidRPr="00827BEA">
        <w:rPr>
          <w:rFonts w:eastAsia="Yu Mincho"/>
          <w:lang w:val="en-GB"/>
        </w:rPr>
        <w:t>m</w:t>
      </w:r>
      <w:r w:rsidRPr="00827BEA">
        <w:rPr>
          <w:rFonts w:eastAsia="Yu Mincho"/>
          <w:lang w:val="en-GB"/>
        </w:rPr>
        <w:t>inistry issued new regulatory rules</w:t>
      </w:r>
      <w:r w:rsidR="00290660" w:rsidRPr="00827BEA">
        <w:rPr>
          <w:rFonts w:eastAsia="Yu Mincho"/>
          <w:lang w:val="en-GB"/>
        </w:rPr>
        <w:t xml:space="preserve"> in January 2017</w:t>
      </w:r>
      <w:r w:rsidR="005F0C26" w:rsidRPr="00827BEA">
        <w:rPr>
          <w:rFonts w:eastAsia="Yu Mincho"/>
          <w:lang w:val="en-GB"/>
        </w:rPr>
        <w:t>.</w:t>
      </w:r>
      <w:r w:rsidR="00290660" w:rsidRPr="00827BEA">
        <w:rPr>
          <w:rFonts w:eastAsia="Yu Mincho"/>
          <w:lang w:val="en-GB"/>
        </w:rPr>
        <w:t xml:space="preserve"> The</w:t>
      </w:r>
      <w:r w:rsidR="005F0C26" w:rsidRPr="00827BEA">
        <w:rPr>
          <w:rFonts w:eastAsia="Yu Mincho"/>
          <w:lang w:val="en-GB"/>
        </w:rPr>
        <w:t>se</w:t>
      </w:r>
      <w:r w:rsidR="00290660" w:rsidRPr="00827BEA">
        <w:rPr>
          <w:rFonts w:eastAsia="Yu Mincho"/>
          <w:lang w:val="en-GB"/>
        </w:rPr>
        <w:t xml:space="preserve"> rules</w:t>
      </w:r>
      <w:r w:rsidRPr="00827BEA">
        <w:rPr>
          <w:rFonts w:eastAsia="Yu Mincho"/>
          <w:lang w:val="en-GB"/>
        </w:rPr>
        <w:t xml:space="preserve"> required SOEs to provide more comprehensive appraisal and risk analysis for overseas investments.</w:t>
      </w:r>
      <w:r w:rsidRPr="00827BEA">
        <w:rPr>
          <w:rFonts w:eastAsia="Yu Mincho"/>
          <w:vertAlign w:val="superscript"/>
          <w:lang w:val="en-GB"/>
        </w:rPr>
        <w:footnoteReference w:id="12"/>
      </w:r>
      <w:r w:rsidRPr="00827BEA">
        <w:rPr>
          <w:rFonts w:eastAsia="Yu Mincho"/>
          <w:lang w:val="en-GB"/>
        </w:rPr>
        <w:t xml:space="preserve"> The dismal track records of large SOEs in the global market, especially in the natural resource</w:t>
      </w:r>
      <w:r w:rsidR="000D69EB" w:rsidRPr="00827BEA">
        <w:rPr>
          <w:rFonts w:eastAsia="Yu Mincho"/>
          <w:lang w:val="en-GB"/>
        </w:rPr>
        <w:t>s</w:t>
      </w:r>
      <w:r w:rsidRPr="00827BEA">
        <w:rPr>
          <w:rFonts w:eastAsia="Yu Mincho"/>
          <w:lang w:val="en-GB"/>
        </w:rPr>
        <w:t xml:space="preserve"> sector, also worried the Chinese government, leading to new rules set by </w:t>
      </w:r>
      <w:r w:rsidR="009A7220">
        <w:rPr>
          <w:rFonts w:eastAsia="Yu Mincho"/>
          <w:lang w:val="en-GB"/>
        </w:rPr>
        <w:t xml:space="preserve">the </w:t>
      </w:r>
      <w:r w:rsidRPr="00827BEA">
        <w:rPr>
          <w:rFonts w:eastAsia="Yu Mincho"/>
          <w:lang w:val="en-GB"/>
        </w:rPr>
        <w:t xml:space="preserve">SASAC that required strong risk control over cross-border acquisitions and </w:t>
      </w:r>
      <w:r w:rsidR="00D208F3">
        <w:rPr>
          <w:rFonts w:eastAsia="Yu Mincho"/>
          <w:lang w:val="en-GB"/>
        </w:rPr>
        <w:t>holding</w:t>
      </w:r>
      <w:r w:rsidRPr="00827BEA">
        <w:rPr>
          <w:rFonts w:eastAsia="Yu Mincho"/>
          <w:lang w:val="en-GB"/>
        </w:rPr>
        <w:t xml:space="preserve"> individuals in SOEs responsible for major decisions for a lifetime. SASAC set the ceiling for SOE top executives to be compensated at six to eight times an average SOE employee’s compensation</w:t>
      </w:r>
      <w:r w:rsidR="00BE310B" w:rsidRPr="00827BEA">
        <w:rPr>
          <w:rFonts w:eastAsia="Yu Mincho"/>
          <w:lang w:val="en-GB"/>
        </w:rPr>
        <w:t>.</w:t>
      </w:r>
      <w:r w:rsidRPr="00827BEA">
        <w:rPr>
          <w:rFonts w:eastAsia="Yu Mincho"/>
          <w:lang w:val="en-GB"/>
        </w:rPr>
        <w:t xml:space="preserve"> </w:t>
      </w:r>
      <w:r w:rsidR="000D69EB" w:rsidRPr="00827BEA">
        <w:rPr>
          <w:rFonts w:eastAsia="Yu Mincho"/>
          <w:lang w:val="en-GB"/>
        </w:rPr>
        <w:t>This</w:t>
      </w:r>
      <w:r w:rsidRPr="00827BEA">
        <w:rPr>
          <w:rFonts w:eastAsia="Yu Mincho"/>
          <w:lang w:val="en-GB"/>
        </w:rPr>
        <w:t xml:space="preserve"> ceiling applied to expatriates but not to professionals hired overseas</w:t>
      </w:r>
      <w:r w:rsidR="00BE310B" w:rsidRPr="00827BEA">
        <w:rPr>
          <w:rFonts w:eastAsia="Yu Mincho"/>
          <w:lang w:val="en-GB"/>
        </w:rPr>
        <w:t>.</w:t>
      </w:r>
    </w:p>
    <w:p w14:paraId="7BF82549" w14:textId="77777777" w:rsidR="00804C3C" w:rsidRPr="00827BEA" w:rsidRDefault="00804C3C" w:rsidP="00804C3C">
      <w:pPr>
        <w:pStyle w:val="BodyTextMain"/>
        <w:rPr>
          <w:rFonts w:eastAsia="Yu Mincho"/>
          <w:lang w:val="en-GB"/>
        </w:rPr>
      </w:pPr>
    </w:p>
    <w:p w14:paraId="79BB6D42" w14:textId="77777777" w:rsidR="00804C3C" w:rsidRPr="00827BEA" w:rsidRDefault="00804C3C" w:rsidP="00804C3C">
      <w:pPr>
        <w:pStyle w:val="BodyTextMain"/>
        <w:rPr>
          <w:rFonts w:eastAsia="Yu Mincho"/>
          <w:lang w:val="en-GB"/>
        </w:rPr>
      </w:pPr>
    </w:p>
    <w:p w14:paraId="234344BC" w14:textId="77777777" w:rsidR="007C6E0B" w:rsidRPr="00827BEA" w:rsidRDefault="007C6E0B" w:rsidP="00804C3C">
      <w:pPr>
        <w:pStyle w:val="Casehead1"/>
        <w:rPr>
          <w:rFonts w:eastAsia="Yu Gothic Light"/>
          <w:lang w:val="en-GB" w:eastAsia="zh-CN"/>
        </w:rPr>
      </w:pPr>
      <w:r w:rsidRPr="00827BEA">
        <w:rPr>
          <w:rFonts w:eastAsia="Yu Gothic Light"/>
          <w:lang w:val="en-GB" w:eastAsia="zh-CN"/>
        </w:rPr>
        <w:t>CGI’s Future Challenges</w:t>
      </w:r>
    </w:p>
    <w:p w14:paraId="27C8B071" w14:textId="77777777" w:rsidR="00804C3C" w:rsidRPr="00827BEA" w:rsidRDefault="00804C3C" w:rsidP="003805CD">
      <w:pPr>
        <w:pStyle w:val="BodyTextMain"/>
        <w:rPr>
          <w:rFonts w:eastAsia="Yu Gothic Light"/>
          <w:lang w:val="en-GB" w:eastAsia="zh-CN"/>
        </w:rPr>
      </w:pPr>
    </w:p>
    <w:p w14:paraId="66B0A66D" w14:textId="768356AA" w:rsidR="007C6E0B" w:rsidRPr="00827BEA" w:rsidRDefault="007C6E0B" w:rsidP="00804C3C">
      <w:pPr>
        <w:pStyle w:val="BodyTextMain"/>
        <w:rPr>
          <w:rFonts w:eastAsia="Yu Mincho"/>
          <w:lang w:val="en-GB" w:eastAsia="zh-CN"/>
        </w:rPr>
      </w:pPr>
      <w:r w:rsidRPr="00827BEA">
        <w:rPr>
          <w:rFonts w:eastAsia="Yu Mincho"/>
          <w:lang w:val="en-GB" w:eastAsia="zh-CN"/>
        </w:rPr>
        <w:t>CNG’s globalization initiative had never stopped</w:t>
      </w:r>
      <w:r w:rsidR="009730C7">
        <w:rPr>
          <w:rFonts w:eastAsia="Yu Mincho"/>
          <w:lang w:val="en-GB" w:eastAsia="zh-CN"/>
        </w:rPr>
        <w:t>,</w:t>
      </w:r>
      <w:r w:rsidR="00BE310B" w:rsidRPr="00827BEA">
        <w:rPr>
          <w:rFonts w:eastAsia="Yu Mincho"/>
          <w:lang w:val="en-GB" w:eastAsia="zh-CN"/>
        </w:rPr>
        <w:t xml:space="preserve"> but its</w:t>
      </w:r>
      <w:r w:rsidRPr="00827BEA">
        <w:rPr>
          <w:rFonts w:eastAsia="Yu Mincho"/>
          <w:lang w:val="en-GB" w:eastAsia="zh-CN"/>
        </w:rPr>
        <w:t xml:space="preserve"> global expansion had been cautious and slow. In fact, overseas revenue accounted for only a very small percentage of CNG’s total revenues and profits. Maintaining a subsidiary listed in both Canada and Hong Kong was costly because of non-trivial fees related to issues such as filings and investor relations. After nine years of operations, CGI’s businesses were still concentrated in China. With the more stringent scrutin</w:t>
      </w:r>
      <w:r w:rsidR="00BE310B" w:rsidRPr="00827BEA">
        <w:rPr>
          <w:rFonts w:eastAsia="Yu Mincho"/>
          <w:lang w:val="en-GB" w:eastAsia="zh-CN"/>
        </w:rPr>
        <w:t>y</w:t>
      </w:r>
      <w:r w:rsidRPr="00827BEA">
        <w:rPr>
          <w:rFonts w:eastAsia="Yu Mincho"/>
          <w:lang w:val="en-GB" w:eastAsia="zh-CN"/>
        </w:rPr>
        <w:t xml:space="preserve"> by the Chinese government over SOEs’ international investments, the very existence of CGI as an international platform for CNG’s globalization had become questionable to stakeholders in the global capital market. </w:t>
      </w:r>
    </w:p>
    <w:p w14:paraId="4910868F" w14:textId="77777777" w:rsidR="00804C3C" w:rsidRPr="00827BEA" w:rsidRDefault="00804C3C" w:rsidP="00804C3C">
      <w:pPr>
        <w:pStyle w:val="BodyTextMain"/>
        <w:rPr>
          <w:rFonts w:eastAsia="Yu Mincho"/>
          <w:lang w:val="en-GB"/>
        </w:rPr>
      </w:pPr>
    </w:p>
    <w:p w14:paraId="21EDA467" w14:textId="27C3661F" w:rsidR="001016A0" w:rsidRPr="00827BEA" w:rsidRDefault="007C6E0B" w:rsidP="00804C3C">
      <w:pPr>
        <w:pStyle w:val="BodyTextMain"/>
        <w:rPr>
          <w:rFonts w:eastAsia="Yu Mincho"/>
          <w:lang w:val="en-GB"/>
        </w:rPr>
      </w:pPr>
      <w:r w:rsidRPr="00827BEA">
        <w:rPr>
          <w:rFonts w:eastAsia="Yu Mincho"/>
          <w:lang w:val="en-GB"/>
        </w:rPr>
        <w:t xml:space="preserve">In North America, CGI faced substantial challenges. As a subsidiary of a state-owned Chinese company, CGI constantly faced inquiries and challenges from its stakeholders. </w:t>
      </w:r>
      <w:r w:rsidRPr="00827BEA">
        <w:rPr>
          <w:rFonts w:eastAsia="Yu Mincho"/>
          <w:lang w:val="en-GB" w:eastAsia="zh-CN"/>
        </w:rPr>
        <w:t>CGI was not alone in this kind of situation. The fact that the Chinese g</w:t>
      </w:r>
      <w:r w:rsidRPr="00827BEA">
        <w:rPr>
          <w:rFonts w:eastAsia="Yu Mincho"/>
          <w:lang w:val="en-GB"/>
        </w:rPr>
        <w:t>overnment was the shareholder of SOEs triggered suspicions and concerns in host countries when SOEs conducted outbound investment.</w:t>
      </w:r>
      <w:r w:rsidRPr="00827BEA">
        <w:rPr>
          <w:rFonts w:eastAsia="Yu Mincho"/>
          <w:vertAlign w:val="superscript"/>
          <w:lang w:val="en-GB"/>
        </w:rPr>
        <w:footnoteReference w:id="13"/>
      </w:r>
      <w:r w:rsidRPr="00827BEA">
        <w:rPr>
          <w:rFonts w:eastAsia="Yu Mincho"/>
          <w:lang w:val="en-GB"/>
        </w:rPr>
        <w:t xml:space="preserve"> </w:t>
      </w:r>
      <w:r w:rsidR="001016A0" w:rsidRPr="00827BEA">
        <w:rPr>
          <w:rFonts w:eastAsia="Yu Mincho"/>
          <w:lang w:val="en-GB"/>
        </w:rPr>
        <w:t xml:space="preserve">The strong negative reactions of the public and many politicians were well illustrated when China’s state-owned oil company </w:t>
      </w:r>
      <w:r w:rsidR="008D093F" w:rsidRPr="00827BEA">
        <w:rPr>
          <w:rFonts w:eastAsia="Yu Mincho"/>
          <w:lang w:val="en-GB"/>
        </w:rPr>
        <w:t xml:space="preserve">China National Offshore Oil Corporation </w:t>
      </w:r>
      <w:r w:rsidR="001016A0" w:rsidRPr="00827BEA">
        <w:rPr>
          <w:rFonts w:eastAsia="Yu Mincho"/>
          <w:lang w:val="en-GB"/>
        </w:rPr>
        <w:t xml:space="preserve">acquired Canada’s energy company Nexen in 2012. </w:t>
      </w:r>
      <w:r w:rsidR="001620DD" w:rsidRPr="00827BEA">
        <w:rPr>
          <w:rFonts w:eastAsia="Yu Mincho"/>
          <w:lang w:val="en-GB"/>
        </w:rPr>
        <w:t>R</w:t>
      </w:r>
      <w:r w:rsidR="001016A0" w:rsidRPr="00827BEA">
        <w:rPr>
          <w:rFonts w:eastAsia="Yu Mincho"/>
          <w:lang w:val="en-GB"/>
        </w:rPr>
        <w:t xml:space="preserve">esistance and opposition </w:t>
      </w:r>
      <w:r w:rsidR="001620DD" w:rsidRPr="00827BEA">
        <w:rPr>
          <w:rFonts w:eastAsia="Yu Mincho"/>
          <w:lang w:val="en-GB"/>
        </w:rPr>
        <w:t>arose</w:t>
      </w:r>
      <w:r w:rsidR="001016A0" w:rsidRPr="00827BEA">
        <w:rPr>
          <w:rFonts w:eastAsia="Yu Mincho"/>
          <w:lang w:val="en-GB"/>
        </w:rPr>
        <w:t xml:space="preserve"> mainly from the concerns that foreign SOEs might have non-commercial purposes in their acquisitions</w:t>
      </w:r>
      <w:r w:rsidR="001620DD" w:rsidRPr="00827BEA">
        <w:rPr>
          <w:rFonts w:eastAsia="Yu Mincho"/>
          <w:lang w:val="en-GB"/>
        </w:rPr>
        <w:t xml:space="preserve"> </w:t>
      </w:r>
      <w:r w:rsidR="001016A0" w:rsidRPr="00827BEA">
        <w:rPr>
          <w:rFonts w:eastAsia="Yu Mincho"/>
          <w:lang w:val="en-GB"/>
        </w:rPr>
        <w:t>and might threaten national security of the host country, and the</w:t>
      </w:r>
      <w:r w:rsidR="001620DD" w:rsidRPr="00827BEA">
        <w:rPr>
          <w:rFonts w:eastAsia="Yu Mincho"/>
          <w:lang w:val="en-GB"/>
        </w:rPr>
        <w:t xml:space="preserve"> SOEs</w:t>
      </w:r>
      <w:r w:rsidR="001016A0" w:rsidRPr="00827BEA">
        <w:rPr>
          <w:rFonts w:eastAsia="Yu Mincho"/>
          <w:lang w:val="en-GB"/>
        </w:rPr>
        <w:t xml:space="preserve"> typically lacked transparency and efficiency.</w:t>
      </w:r>
      <w:r w:rsidR="008661DB" w:rsidRPr="00827BEA">
        <w:rPr>
          <w:rStyle w:val="FootnoteReference"/>
          <w:rFonts w:eastAsia="Yu Mincho"/>
          <w:lang w:val="en-GB"/>
        </w:rPr>
        <w:footnoteReference w:id="14"/>
      </w:r>
      <w:r w:rsidR="001016A0" w:rsidRPr="00827BEA">
        <w:rPr>
          <w:rFonts w:eastAsia="Yu Mincho"/>
          <w:lang w:val="en-GB"/>
        </w:rPr>
        <w:t xml:space="preserve"> </w:t>
      </w:r>
    </w:p>
    <w:p w14:paraId="1A06EFA6" w14:textId="77777777" w:rsidR="00804C3C" w:rsidRPr="00827BEA" w:rsidRDefault="00804C3C" w:rsidP="00804C3C">
      <w:pPr>
        <w:pStyle w:val="BodyTextMain"/>
        <w:rPr>
          <w:lang w:val="en-GB" w:eastAsia="zh-CN"/>
        </w:rPr>
      </w:pPr>
    </w:p>
    <w:p w14:paraId="34C8C01C" w14:textId="010120A2" w:rsidR="001016A0" w:rsidRPr="00827BEA" w:rsidRDefault="001016A0" w:rsidP="00804C3C">
      <w:pPr>
        <w:pStyle w:val="BodyTextMain"/>
        <w:rPr>
          <w:lang w:val="en-GB" w:eastAsia="zh-CN"/>
        </w:rPr>
      </w:pPr>
      <w:r w:rsidRPr="00827BEA">
        <w:rPr>
          <w:lang w:val="en-GB" w:eastAsia="zh-CN"/>
        </w:rPr>
        <w:lastRenderedPageBreak/>
        <w:t>Xie recalled voicing the frustration he encountered at a company party in Vancouver. The reception</w:t>
      </w:r>
      <w:r w:rsidR="00202C76" w:rsidRPr="00827BEA">
        <w:rPr>
          <w:lang w:val="en-GB" w:eastAsia="zh-CN"/>
        </w:rPr>
        <w:t xml:space="preserve"> that</w:t>
      </w:r>
      <w:r w:rsidRPr="00827BEA">
        <w:rPr>
          <w:lang w:val="en-GB" w:eastAsia="zh-CN"/>
        </w:rPr>
        <w:t xml:space="preserve"> CGI hosted had been very successful and </w:t>
      </w:r>
      <w:r w:rsidR="00202C76" w:rsidRPr="00827BEA">
        <w:rPr>
          <w:lang w:val="en-GB" w:eastAsia="zh-CN"/>
        </w:rPr>
        <w:t xml:space="preserve">had </w:t>
      </w:r>
      <w:r w:rsidRPr="00827BEA">
        <w:rPr>
          <w:lang w:val="en-GB" w:eastAsia="zh-CN"/>
        </w:rPr>
        <w:t xml:space="preserve">attracted many people. When someone said </w:t>
      </w:r>
      <w:r w:rsidR="00ED1FBB">
        <w:rPr>
          <w:lang w:val="en-GB" w:eastAsia="zh-CN"/>
        </w:rPr>
        <w:t xml:space="preserve">that </w:t>
      </w:r>
      <w:r w:rsidRPr="00827BEA">
        <w:rPr>
          <w:lang w:val="en-GB" w:eastAsia="zh-CN"/>
        </w:rPr>
        <w:t xml:space="preserve">the reception was sponsored by the Chinese government, Xie quipped, “I only wish I were a Chinese government representative. That would be awesome!” Everyone at the party laughed, but Xie had actually wondered how the CGI reception could be perceived as a Chinese government reception. Even now it puzzled him. It was one example of the many different kinds of pressure from the market faced by the company and was an important reason, in Xie’s estimation, for </w:t>
      </w:r>
      <w:r w:rsidR="00E47145" w:rsidRPr="00827BEA">
        <w:rPr>
          <w:lang w:val="en-GB" w:eastAsia="zh-CN"/>
        </w:rPr>
        <w:t xml:space="preserve">CGI </w:t>
      </w:r>
      <w:r w:rsidRPr="00827BEA">
        <w:rPr>
          <w:lang w:val="en-GB" w:eastAsia="zh-CN"/>
        </w:rPr>
        <w:t>being undervalued.</w:t>
      </w:r>
    </w:p>
    <w:p w14:paraId="172462AA" w14:textId="77777777" w:rsidR="00804C3C" w:rsidRPr="00827BEA" w:rsidRDefault="00804C3C" w:rsidP="00804C3C">
      <w:pPr>
        <w:pStyle w:val="BodyTextMain"/>
        <w:rPr>
          <w:lang w:val="en-GB" w:eastAsia="zh-CN"/>
        </w:rPr>
      </w:pPr>
    </w:p>
    <w:p w14:paraId="147ED0F6" w14:textId="32BA877E" w:rsidR="001016A0" w:rsidRPr="00827BEA" w:rsidRDefault="001016A0" w:rsidP="00804C3C">
      <w:pPr>
        <w:pStyle w:val="BodyTextMain"/>
        <w:rPr>
          <w:spacing w:val="-2"/>
          <w:lang w:val="en-GB" w:eastAsia="zh-CN"/>
        </w:rPr>
      </w:pPr>
      <w:r w:rsidRPr="00827BEA">
        <w:rPr>
          <w:spacing w:val="-2"/>
          <w:lang w:val="en-GB" w:eastAsia="zh-CN"/>
        </w:rPr>
        <w:t>Xie also sympathized with the concerns of North American stakeholders and emphasized the differen</w:t>
      </w:r>
      <w:r w:rsidR="00E14C01" w:rsidRPr="00827BEA">
        <w:rPr>
          <w:spacing w:val="-2"/>
          <w:lang w:val="en-GB" w:eastAsia="zh-CN"/>
        </w:rPr>
        <w:t>t nature</w:t>
      </w:r>
      <w:r w:rsidRPr="00827BEA">
        <w:rPr>
          <w:spacing w:val="-2"/>
          <w:lang w:val="en-GB" w:eastAsia="zh-CN"/>
        </w:rPr>
        <w:t xml:space="preserve"> of Chinese SOEs. That is, CNG—though </w:t>
      </w:r>
      <w:r w:rsidR="009A7220">
        <w:rPr>
          <w:spacing w:val="-2"/>
          <w:lang w:val="en-GB" w:eastAsia="zh-CN"/>
        </w:rPr>
        <w:t>an SEO</w:t>
      </w:r>
      <w:r w:rsidRPr="00827BEA">
        <w:rPr>
          <w:spacing w:val="-2"/>
          <w:lang w:val="en-GB" w:eastAsia="zh-CN"/>
        </w:rPr>
        <w:t xml:space="preserve">—would not infringe upon the interests of its shareholders. North American companies were sometimes a bit nervous, based on their prior experiences in dealing with </w:t>
      </w:r>
      <w:r w:rsidR="00546DB0" w:rsidRPr="00827BEA">
        <w:rPr>
          <w:spacing w:val="-2"/>
          <w:lang w:val="en-GB" w:eastAsia="zh-CN"/>
        </w:rPr>
        <w:t xml:space="preserve">companies in </w:t>
      </w:r>
      <w:r w:rsidRPr="00827BEA">
        <w:rPr>
          <w:spacing w:val="-2"/>
          <w:lang w:val="en-GB" w:eastAsia="zh-CN"/>
        </w:rPr>
        <w:t>Mongolia, South America, and Central Asia that might ask for a sharp share increase from 25</w:t>
      </w:r>
      <w:r w:rsidR="003437F0" w:rsidRPr="00827BEA">
        <w:rPr>
          <w:spacing w:val="-2"/>
          <w:lang w:val="en-GB" w:eastAsia="zh-CN"/>
        </w:rPr>
        <w:t xml:space="preserve"> per cent</w:t>
      </w:r>
      <w:r w:rsidRPr="00827BEA">
        <w:rPr>
          <w:spacing w:val="-2"/>
          <w:lang w:val="en-GB" w:eastAsia="zh-CN"/>
        </w:rPr>
        <w:t xml:space="preserve"> to 40</w:t>
      </w:r>
      <w:r w:rsidR="003437F0" w:rsidRPr="00827BEA">
        <w:rPr>
          <w:spacing w:val="-2"/>
          <w:lang w:val="en-GB" w:eastAsia="zh-CN"/>
        </w:rPr>
        <w:t xml:space="preserve"> per cent </w:t>
      </w:r>
      <w:r w:rsidRPr="00827BEA">
        <w:rPr>
          <w:spacing w:val="-2"/>
          <w:lang w:val="en-GB" w:eastAsia="zh-CN"/>
        </w:rPr>
        <w:t>overnight. Xie knew that North American companies feared this kind of uncertainty, so it took substantial explanation</w:t>
      </w:r>
      <w:r w:rsidR="00546DB0" w:rsidRPr="00827BEA">
        <w:rPr>
          <w:spacing w:val="-2"/>
          <w:lang w:val="en-GB" w:eastAsia="zh-CN"/>
        </w:rPr>
        <w:t xml:space="preserve"> on his part</w:t>
      </w:r>
      <w:r w:rsidRPr="00827BEA">
        <w:rPr>
          <w:spacing w:val="-2"/>
          <w:lang w:val="en-GB" w:eastAsia="zh-CN"/>
        </w:rPr>
        <w:t xml:space="preserve"> to successfully alleviate their concerns.</w:t>
      </w:r>
      <w:r w:rsidR="00827BEA">
        <w:rPr>
          <w:spacing w:val="-2"/>
          <w:lang w:val="en-GB" w:eastAsia="zh-CN"/>
        </w:rPr>
        <w:t xml:space="preserve"> </w:t>
      </w:r>
    </w:p>
    <w:p w14:paraId="2EFE23F6" w14:textId="77777777" w:rsidR="00A7033A" w:rsidRPr="00827BEA" w:rsidRDefault="00A7033A" w:rsidP="00804C3C">
      <w:pPr>
        <w:pStyle w:val="BodyTextMain"/>
        <w:rPr>
          <w:rFonts w:eastAsia="Yu Mincho"/>
          <w:spacing w:val="-2"/>
          <w:lang w:val="en-GB" w:eastAsia="zh-CN"/>
        </w:rPr>
      </w:pPr>
    </w:p>
    <w:p w14:paraId="60231839" w14:textId="2D23F04D" w:rsidR="001016A0" w:rsidRPr="00827BEA" w:rsidRDefault="001016A0" w:rsidP="00804C3C">
      <w:pPr>
        <w:pStyle w:val="BodyTextMain"/>
        <w:rPr>
          <w:rFonts w:eastAsia="Yu Mincho"/>
          <w:lang w:val="en-GB" w:eastAsia="zh-CN"/>
        </w:rPr>
      </w:pPr>
      <w:r w:rsidRPr="00827BEA">
        <w:rPr>
          <w:rFonts w:eastAsia="Yu Mincho"/>
          <w:lang w:val="en-GB" w:eastAsia="zh-CN"/>
        </w:rPr>
        <w:t>John King Burns, one of the independent directors Xie had brought on board, also acknowledged this kind of challenge in his reflection on the development of CGI. Burns was aware of the issues commonly faced by SOEs in their global investments, but he also saw that SOEs could be</w:t>
      </w:r>
      <w:r w:rsidR="000F497C" w:rsidRPr="00827BEA">
        <w:rPr>
          <w:rFonts w:eastAsia="Yu Mincho"/>
          <w:lang w:val="en-GB" w:eastAsia="zh-CN"/>
        </w:rPr>
        <w:t>come</w:t>
      </w:r>
      <w:r w:rsidRPr="00827BEA">
        <w:rPr>
          <w:rFonts w:eastAsia="Yu Mincho"/>
          <w:lang w:val="en-GB" w:eastAsia="zh-CN"/>
        </w:rPr>
        <w:t xml:space="preserve"> more effective</w:t>
      </w:r>
      <w:r w:rsidR="001F09C4" w:rsidRPr="00827BEA">
        <w:rPr>
          <w:rFonts w:eastAsia="Yu Mincho"/>
          <w:lang w:val="en-GB" w:eastAsia="zh-CN"/>
        </w:rPr>
        <w:t>—</w:t>
      </w:r>
      <w:r w:rsidR="00E14C01" w:rsidRPr="00827BEA">
        <w:rPr>
          <w:rFonts w:eastAsia="Yu Mincho"/>
          <w:lang w:val="en-GB" w:eastAsia="zh-CN"/>
        </w:rPr>
        <w:t xml:space="preserve">and </w:t>
      </w:r>
      <w:r w:rsidRPr="00827BEA">
        <w:rPr>
          <w:rFonts w:eastAsia="Yu Mincho"/>
          <w:lang w:val="en-GB" w:eastAsia="zh-CN"/>
        </w:rPr>
        <w:t>become more progressive and globally competitive</w:t>
      </w:r>
      <w:r w:rsidR="001F09C4" w:rsidRPr="00827BEA">
        <w:rPr>
          <w:rFonts w:eastAsia="Yu Mincho"/>
          <w:lang w:val="en-GB" w:eastAsia="zh-CN"/>
        </w:rPr>
        <w:t>—</w:t>
      </w:r>
      <w:r w:rsidRPr="00827BEA">
        <w:rPr>
          <w:rFonts w:eastAsia="Yu Mincho"/>
          <w:lang w:val="en-GB" w:eastAsia="zh-CN"/>
        </w:rPr>
        <w:t>because they were very powerful. If they would focus their strengths in the right direction, they could become good global citizens in their industries. Burns’s vision was to influence others so that CGI would become a leading company in the world</w:t>
      </w:r>
      <w:r w:rsidR="001F09C4" w:rsidRPr="00827BEA">
        <w:rPr>
          <w:rFonts w:eastAsia="Yu Mincho"/>
          <w:lang w:val="en-GB" w:eastAsia="zh-CN"/>
        </w:rPr>
        <w:t>, which was</w:t>
      </w:r>
      <w:r w:rsidR="00A64B8A" w:rsidRPr="00827BEA">
        <w:rPr>
          <w:rFonts w:eastAsia="Yu Mincho"/>
          <w:lang w:val="en-GB" w:eastAsia="zh-CN"/>
        </w:rPr>
        <w:t xml:space="preserve"> </w:t>
      </w:r>
      <w:r w:rsidRPr="00827BEA">
        <w:rPr>
          <w:rFonts w:eastAsia="Yu Mincho"/>
          <w:lang w:val="en-GB" w:eastAsia="zh-CN"/>
        </w:rPr>
        <w:t xml:space="preserve">his purpose for joining the board in the first place. He agreed with Xie that SOEs being accepted by the local stakeholders was pivotal in China’s international relationships and that the company’s </w:t>
      </w:r>
      <w:r w:rsidR="00E53661" w:rsidRPr="00827BEA">
        <w:rPr>
          <w:rFonts w:eastAsia="Yu Mincho"/>
          <w:lang w:val="en-GB" w:eastAsia="zh-CN"/>
        </w:rPr>
        <w:t>behaviour</w:t>
      </w:r>
      <w:r w:rsidRPr="00827BEA">
        <w:rPr>
          <w:rFonts w:eastAsia="Yu Mincho"/>
          <w:lang w:val="en-GB" w:eastAsia="zh-CN"/>
        </w:rPr>
        <w:t xml:space="preserve"> as an ambassador to the world was important on</w:t>
      </w:r>
      <w:r w:rsidR="00491771" w:rsidRPr="00827BEA">
        <w:rPr>
          <w:rFonts w:eastAsia="Yu Mincho"/>
          <w:lang w:val="en-GB" w:eastAsia="zh-CN"/>
        </w:rPr>
        <w:t xml:space="preserve"> both</w:t>
      </w:r>
      <w:r w:rsidRPr="00827BEA">
        <w:rPr>
          <w:rFonts w:eastAsia="Yu Mincho"/>
          <w:lang w:val="en-GB" w:eastAsia="zh-CN"/>
        </w:rPr>
        <w:t xml:space="preserve"> geopolitical </w:t>
      </w:r>
      <w:r w:rsidR="00491771" w:rsidRPr="00827BEA">
        <w:rPr>
          <w:rFonts w:eastAsia="Yu Mincho"/>
          <w:lang w:val="en-GB" w:eastAsia="zh-CN"/>
        </w:rPr>
        <w:t>and</w:t>
      </w:r>
      <w:r w:rsidRPr="00827BEA">
        <w:rPr>
          <w:rFonts w:eastAsia="Yu Mincho"/>
          <w:lang w:val="en-GB" w:eastAsia="zh-CN"/>
        </w:rPr>
        <w:t xml:space="preserve"> economic level</w:t>
      </w:r>
      <w:r w:rsidR="00491771" w:rsidRPr="00827BEA">
        <w:rPr>
          <w:rFonts w:eastAsia="Yu Mincho"/>
          <w:lang w:val="en-GB" w:eastAsia="zh-CN"/>
        </w:rPr>
        <w:t>s</w:t>
      </w:r>
      <w:r w:rsidRPr="00827BEA">
        <w:rPr>
          <w:rFonts w:eastAsia="Yu Mincho"/>
          <w:lang w:val="en-GB" w:eastAsia="zh-CN"/>
        </w:rPr>
        <w:t>.</w:t>
      </w:r>
    </w:p>
    <w:p w14:paraId="476227EB" w14:textId="77777777" w:rsidR="00804C3C" w:rsidRPr="00827BEA" w:rsidRDefault="00804C3C" w:rsidP="00804C3C">
      <w:pPr>
        <w:pStyle w:val="BodyTextMain"/>
        <w:rPr>
          <w:rFonts w:eastAsia="Yu Mincho"/>
          <w:lang w:val="en-GB" w:eastAsia="zh-CN"/>
        </w:rPr>
      </w:pPr>
    </w:p>
    <w:p w14:paraId="3D653F03" w14:textId="02BA1435" w:rsidR="001016A0" w:rsidRPr="00827BEA" w:rsidRDefault="001016A0" w:rsidP="00804C3C">
      <w:pPr>
        <w:pStyle w:val="BodyTextMain"/>
        <w:rPr>
          <w:rFonts w:eastAsia="Yu Mincho"/>
          <w:lang w:val="en-GB" w:eastAsia="zh-CN"/>
        </w:rPr>
      </w:pPr>
      <w:r w:rsidRPr="00827BEA">
        <w:rPr>
          <w:rFonts w:eastAsia="Yu Mincho"/>
          <w:lang w:val="en-GB" w:eastAsia="zh-CN"/>
        </w:rPr>
        <w:t xml:space="preserve">Besides addressing questions and challenges around CGI, CNG also faced tremendous challenges in its future globalization efforts. As Song indicated: </w:t>
      </w:r>
    </w:p>
    <w:p w14:paraId="1BA2425B" w14:textId="77777777" w:rsidR="00804C3C" w:rsidRPr="00827BEA" w:rsidRDefault="00804C3C" w:rsidP="00804C3C">
      <w:pPr>
        <w:pStyle w:val="BodyTextMain"/>
        <w:rPr>
          <w:rFonts w:eastAsia="Yu Mincho"/>
          <w:lang w:val="en-GB" w:eastAsia="zh-CN"/>
        </w:rPr>
      </w:pPr>
    </w:p>
    <w:p w14:paraId="702F3D0A" w14:textId="77777777" w:rsidR="001016A0" w:rsidRPr="00827BEA" w:rsidRDefault="001016A0" w:rsidP="00804C3C">
      <w:pPr>
        <w:pStyle w:val="BodyTextMain"/>
        <w:ind w:left="720"/>
        <w:rPr>
          <w:rFonts w:eastAsia="Yu Mincho"/>
          <w:lang w:val="en-GB" w:eastAsia="zh-CN"/>
        </w:rPr>
      </w:pPr>
      <w:r w:rsidRPr="00827BEA">
        <w:rPr>
          <w:rFonts w:eastAsia="Yu Mincho"/>
          <w:lang w:val="en-GB" w:eastAsia="zh-CN"/>
        </w:rPr>
        <w:t xml:space="preserve">One challenge in developing overseas is to comply with the laws and rules and regulations of the host country. Certain behaviors or actions can’t be replicated in the host country. One must adapt to local laws and requirements. Another challenge is the integration of the Chinese management model and global management model. The way of doing business internationally sometimes differs from the way of doing business domestically. Above all, the foremost important issue is the attraction and retention of global talent . . . </w:t>
      </w:r>
      <w:r w:rsidRPr="00827BEA">
        <w:rPr>
          <w:rFonts w:eastAsia="Yu Mincho"/>
          <w:lang w:val="en-GB"/>
        </w:rPr>
        <w:t>Cross-cultural management talent is a rare find. So is multidisciplinary talent. Some have strong technical expertise but lack foreign language proficiency. Some are proficient in foreign languages but lack technical knowledge. Some are familiar with the business dealings in China but know little about how it works overseas. Some are well versed in foreign businesses but are not good at communicating with the home base in China . . . CGI did help in this regard. We hired a couple of excellent top executives through CGI.</w:t>
      </w:r>
      <w:r w:rsidRPr="00827BEA">
        <w:rPr>
          <w:rFonts w:eastAsia="Yu Mincho"/>
          <w:lang w:val="en-GB" w:eastAsia="zh-CN"/>
        </w:rPr>
        <w:t xml:space="preserve"> </w:t>
      </w:r>
    </w:p>
    <w:p w14:paraId="3AD86AAF" w14:textId="77777777" w:rsidR="00804C3C" w:rsidRPr="00827BEA" w:rsidRDefault="00804C3C" w:rsidP="00804C3C">
      <w:pPr>
        <w:pStyle w:val="BodyTextMain"/>
        <w:ind w:left="720"/>
        <w:rPr>
          <w:rFonts w:eastAsia="Yu Mincho"/>
          <w:lang w:val="en-GB" w:eastAsia="zh-CN"/>
        </w:rPr>
      </w:pPr>
    </w:p>
    <w:p w14:paraId="5F459880" w14:textId="02E612BD" w:rsidR="001016A0" w:rsidRPr="00827BEA" w:rsidRDefault="001016A0" w:rsidP="00804C3C">
      <w:pPr>
        <w:pStyle w:val="BodyTextMain"/>
        <w:rPr>
          <w:rFonts w:eastAsia="Yu Mincho"/>
          <w:color w:val="333333"/>
          <w:shd w:val="clear" w:color="auto" w:fill="FFFFFF"/>
          <w:lang w:val="en-GB" w:eastAsia="zh-CN"/>
        </w:rPr>
      </w:pPr>
      <w:r w:rsidRPr="00827BEA">
        <w:rPr>
          <w:lang w:val="en-GB" w:eastAsia="zh-CN"/>
        </w:rPr>
        <w:t>On this foggy November night, with time ticking away, Xie was well aware of all the issues and challenges his colleagues and he had discussed. This would be the focal subject at the upcoming meeting with Song. He also knew that the top management team at CNG relied heavily on him for information and advice regarding the best strategy for moving forward. Whatever Xie was going to suggest in his report, he had to take into consideration the long-term best interests and strategic goals of both CNG and CGI. Although CNG must comply with and was greatly affected by government policies, rules, and regulations in China, CGI must address concerns of local stakeholders in North America while striving for maximum shareholder value. Xie turned back to his laptop with renewed resolve.</w:t>
      </w:r>
    </w:p>
    <w:p w14:paraId="2AA360A4" w14:textId="77777777" w:rsidR="001016A0" w:rsidRPr="00827BEA" w:rsidRDefault="001016A0" w:rsidP="001016A0">
      <w:pPr>
        <w:pStyle w:val="Casehead1"/>
        <w:rPr>
          <w:rFonts w:ascii="Times New Roman" w:hAnsi="Times New Roman" w:cs="Times New Roman"/>
          <w:b w:val="0"/>
          <w:lang w:val="en-GB"/>
        </w:rPr>
      </w:pPr>
    </w:p>
    <w:p w14:paraId="324E7755" w14:textId="0744C356" w:rsidR="004145E5" w:rsidRPr="00827BEA" w:rsidRDefault="004145E5">
      <w:pPr>
        <w:spacing w:after="200" w:line="276" w:lineRule="auto"/>
        <w:rPr>
          <w:caps/>
          <w:lang w:val="en-GB"/>
        </w:rPr>
      </w:pPr>
      <w:r w:rsidRPr="00827BEA">
        <w:rPr>
          <w:b/>
          <w:lang w:val="en-GB"/>
        </w:rPr>
        <w:br w:type="page"/>
      </w:r>
    </w:p>
    <w:p w14:paraId="226195E1" w14:textId="6A670B2B" w:rsidR="004145E5" w:rsidRPr="00827BEA" w:rsidRDefault="004145E5" w:rsidP="004145E5">
      <w:pPr>
        <w:pStyle w:val="ExhibitHeading"/>
        <w:rPr>
          <w:rFonts w:eastAsia="Yu Mincho"/>
          <w:shd w:val="clear" w:color="auto" w:fill="FFFFFF"/>
          <w:lang w:val="en-GB" w:eastAsia="zh-CN"/>
        </w:rPr>
      </w:pPr>
      <w:r w:rsidRPr="00827BEA">
        <w:rPr>
          <w:rFonts w:eastAsia="Yu Mincho"/>
          <w:shd w:val="clear" w:color="auto" w:fill="FFFFFF"/>
          <w:lang w:val="en-GB" w:eastAsia="zh-CN"/>
        </w:rPr>
        <w:lastRenderedPageBreak/>
        <w:t>Exhibit 1: Major Shareholders of China Gold International Resources Corp. Ltd. (</w:t>
      </w:r>
      <w:r w:rsidR="003437F0" w:rsidRPr="00827BEA">
        <w:rPr>
          <w:rFonts w:eastAsia="Yu Mincho"/>
          <w:shd w:val="clear" w:color="auto" w:fill="FFFFFF"/>
          <w:lang w:val="en-GB" w:eastAsia="zh-CN"/>
        </w:rPr>
        <w:t>%</w:t>
      </w:r>
      <w:r w:rsidRPr="00827BEA">
        <w:rPr>
          <w:rFonts w:eastAsia="Yu Mincho"/>
          <w:shd w:val="clear" w:color="auto" w:fill="FFFFFF"/>
          <w:lang w:val="en-GB" w:eastAsia="zh-CN"/>
        </w:rPr>
        <w:t>)</w:t>
      </w:r>
    </w:p>
    <w:p w14:paraId="6BA9E597" w14:textId="77777777" w:rsidR="004145E5" w:rsidRPr="00827BEA" w:rsidRDefault="004145E5" w:rsidP="004145E5">
      <w:pPr>
        <w:pStyle w:val="ExhibitHeading"/>
        <w:rPr>
          <w:rFonts w:eastAsia="Yu Mincho"/>
          <w:shd w:val="clear" w:color="auto" w:fill="FFFFFF"/>
          <w:lang w:val="en-GB" w:eastAsia="zh-CN"/>
        </w:rPr>
      </w:pPr>
    </w:p>
    <w:tbl>
      <w:tblPr>
        <w:tblStyle w:val="TableGrid"/>
        <w:tblW w:w="0" w:type="auto"/>
        <w:jc w:val="center"/>
        <w:tblLook w:val="04A0" w:firstRow="1" w:lastRow="0" w:firstColumn="1" w:lastColumn="0" w:noHBand="0" w:noVBand="1"/>
      </w:tblPr>
      <w:tblGrid>
        <w:gridCol w:w="3823"/>
        <w:gridCol w:w="850"/>
      </w:tblGrid>
      <w:tr w:rsidR="006E6224" w:rsidRPr="00827BEA" w14:paraId="1CE2345E" w14:textId="77777777" w:rsidTr="0009352F">
        <w:trPr>
          <w:jc w:val="center"/>
        </w:trPr>
        <w:tc>
          <w:tcPr>
            <w:tcW w:w="3823" w:type="dxa"/>
          </w:tcPr>
          <w:p w14:paraId="4EF05CFE" w14:textId="6AC5759A" w:rsidR="006E6224" w:rsidRPr="00827BEA" w:rsidRDefault="006E6224" w:rsidP="003805CD">
            <w:pPr>
              <w:pStyle w:val="ExhibitText"/>
              <w:rPr>
                <w:rFonts w:eastAsia="Yu Mincho"/>
                <w:color w:val="333333"/>
                <w:sz w:val="22"/>
                <w:szCs w:val="22"/>
                <w:shd w:val="clear" w:color="auto" w:fill="FFFFFF"/>
                <w:lang w:val="en-GB"/>
              </w:rPr>
            </w:pPr>
            <w:r w:rsidRPr="00827BEA">
              <w:rPr>
                <w:lang w:val="en-GB"/>
              </w:rPr>
              <w:t>China National Gold Group Corporation</w:t>
            </w:r>
          </w:p>
        </w:tc>
        <w:tc>
          <w:tcPr>
            <w:tcW w:w="850" w:type="dxa"/>
          </w:tcPr>
          <w:p w14:paraId="762C4F11" w14:textId="0E2467C3" w:rsidR="006E6224" w:rsidRPr="00827BEA" w:rsidRDefault="006E6224" w:rsidP="0009352F">
            <w:pPr>
              <w:pStyle w:val="ExhibitText"/>
              <w:jc w:val="right"/>
              <w:rPr>
                <w:rFonts w:eastAsia="Yu Mincho"/>
                <w:color w:val="333333"/>
                <w:sz w:val="22"/>
                <w:szCs w:val="22"/>
                <w:shd w:val="clear" w:color="auto" w:fill="FFFFFF"/>
                <w:lang w:val="en-GB"/>
              </w:rPr>
            </w:pPr>
            <w:r w:rsidRPr="00827BEA">
              <w:rPr>
                <w:lang w:val="en-GB"/>
              </w:rPr>
              <w:t>39.33</w:t>
            </w:r>
          </w:p>
        </w:tc>
      </w:tr>
      <w:tr w:rsidR="006E6224" w:rsidRPr="00827BEA" w14:paraId="0C3D32B1" w14:textId="77777777" w:rsidTr="0009352F">
        <w:trPr>
          <w:jc w:val="center"/>
        </w:trPr>
        <w:tc>
          <w:tcPr>
            <w:tcW w:w="3823" w:type="dxa"/>
          </w:tcPr>
          <w:p w14:paraId="2CFFB0EC" w14:textId="36200C20" w:rsidR="006E6224" w:rsidRPr="00827BEA" w:rsidRDefault="006E6224" w:rsidP="003805CD">
            <w:pPr>
              <w:pStyle w:val="ExhibitText"/>
              <w:rPr>
                <w:rFonts w:eastAsia="Yu Mincho"/>
                <w:color w:val="333333"/>
                <w:sz w:val="22"/>
                <w:szCs w:val="22"/>
                <w:shd w:val="clear" w:color="auto" w:fill="FFFFFF"/>
                <w:lang w:val="en-GB"/>
              </w:rPr>
            </w:pPr>
            <w:r w:rsidRPr="00827BEA">
              <w:rPr>
                <w:lang w:val="en-GB"/>
              </w:rPr>
              <w:t>Van Eck Associates Corporation</w:t>
            </w:r>
          </w:p>
        </w:tc>
        <w:tc>
          <w:tcPr>
            <w:tcW w:w="850" w:type="dxa"/>
          </w:tcPr>
          <w:p w14:paraId="68331F1B" w14:textId="25AD4FF9" w:rsidR="006E6224" w:rsidRPr="00827BEA" w:rsidRDefault="006E6224" w:rsidP="0009352F">
            <w:pPr>
              <w:pStyle w:val="ExhibitText"/>
              <w:jc w:val="right"/>
              <w:rPr>
                <w:rFonts w:eastAsia="Yu Mincho"/>
                <w:color w:val="333333"/>
                <w:sz w:val="22"/>
                <w:szCs w:val="22"/>
                <w:shd w:val="clear" w:color="auto" w:fill="FFFFFF"/>
                <w:lang w:val="en-GB"/>
              </w:rPr>
            </w:pPr>
            <w:r w:rsidRPr="00827BEA">
              <w:rPr>
                <w:lang w:val="en-GB"/>
              </w:rPr>
              <w:t>3.85</w:t>
            </w:r>
          </w:p>
        </w:tc>
      </w:tr>
      <w:tr w:rsidR="006E6224" w:rsidRPr="00827BEA" w14:paraId="5DE4B203" w14:textId="77777777" w:rsidTr="0009352F">
        <w:trPr>
          <w:jc w:val="center"/>
        </w:trPr>
        <w:tc>
          <w:tcPr>
            <w:tcW w:w="3823" w:type="dxa"/>
          </w:tcPr>
          <w:p w14:paraId="22CE68A6" w14:textId="2B476130" w:rsidR="006E6224" w:rsidRPr="00827BEA" w:rsidRDefault="006E6224" w:rsidP="003805CD">
            <w:pPr>
              <w:pStyle w:val="ExhibitText"/>
              <w:rPr>
                <w:rFonts w:eastAsia="Yu Mincho"/>
                <w:color w:val="333333"/>
                <w:sz w:val="22"/>
                <w:szCs w:val="22"/>
                <w:shd w:val="clear" w:color="auto" w:fill="FFFFFF"/>
                <w:lang w:val="en-GB"/>
              </w:rPr>
            </w:pPr>
            <w:r w:rsidRPr="00827BEA">
              <w:rPr>
                <w:lang w:val="en-GB"/>
              </w:rPr>
              <w:t>Dimensional Fund Advisors</w:t>
            </w:r>
          </w:p>
        </w:tc>
        <w:tc>
          <w:tcPr>
            <w:tcW w:w="850" w:type="dxa"/>
          </w:tcPr>
          <w:p w14:paraId="6391728F" w14:textId="04E1DCC7" w:rsidR="006E6224" w:rsidRPr="00827BEA" w:rsidRDefault="006E6224" w:rsidP="0009352F">
            <w:pPr>
              <w:pStyle w:val="ExhibitText"/>
              <w:jc w:val="right"/>
              <w:rPr>
                <w:rFonts w:eastAsia="Yu Mincho"/>
                <w:color w:val="333333"/>
                <w:sz w:val="22"/>
                <w:szCs w:val="22"/>
                <w:shd w:val="clear" w:color="auto" w:fill="FFFFFF"/>
                <w:lang w:val="en-GB"/>
              </w:rPr>
            </w:pPr>
            <w:r w:rsidRPr="00827BEA">
              <w:rPr>
                <w:lang w:val="en-GB"/>
              </w:rPr>
              <w:t>1.86</w:t>
            </w:r>
          </w:p>
        </w:tc>
      </w:tr>
      <w:tr w:rsidR="006E6224" w:rsidRPr="00827BEA" w14:paraId="61ED7527" w14:textId="77777777" w:rsidTr="0009352F">
        <w:trPr>
          <w:jc w:val="center"/>
        </w:trPr>
        <w:tc>
          <w:tcPr>
            <w:tcW w:w="3823" w:type="dxa"/>
          </w:tcPr>
          <w:p w14:paraId="298E03AB" w14:textId="1F300827" w:rsidR="006E6224" w:rsidRPr="00827BEA" w:rsidRDefault="006E6224" w:rsidP="003805CD">
            <w:pPr>
              <w:pStyle w:val="ExhibitText"/>
              <w:rPr>
                <w:rFonts w:eastAsia="Yu Mincho"/>
                <w:color w:val="333333"/>
                <w:sz w:val="22"/>
                <w:szCs w:val="22"/>
                <w:shd w:val="clear" w:color="auto" w:fill="FFFFFF"/>
                <w:lang w:val="en-GB"/>
              </w:rPr>
            </w:pPr>
            <w:r w:rsidRPr="00827BEA">
              <w:rPr>
                <w:lang w:val="en-GB"/>
              </w:rPr>
              <w:t>Vanguard</w:t>
            </w:r>
            <w:r w:rsidR="00F315EF">
              <w:rPr>
                <w:lang w:val="en-GB"/>
              </w:rPr>
              <w:t xml:space="preserve"> Group Inc.</w:t>
            </w:r>
          </w:p>
        </w:tc>
        <w:tc>
          <w:tcPr>
            <w:tcW w:w="850" w:type="dxa"/>
          </w:tcPr>
          <w:p w14:paraId="482F8426" w14:textId="67DF5F2F" w:rsidR="006E6224" w:rsidRPr="00827BEA" w:rsidRDefault="006E6224" w:rsidP="0009352F">
            <w:pPr>
              <w:pStyle w:val="ExhibitText"/>
              <w:jc w:val="right"/>
              <w:rPr>
                <w:rFonts w:eastAsia="Yu Mincho"/>
                <w:color w:val="333333"/>
                <w:sz w:val="22"/>
                <w:szCs w:val="22"/>
                <w:shd w:val="clear" w:color="auto" w:fill="FFFFFF"/>
                <w:lang w:val="en-GB"/>
              </w:rPr>
            </w:pPr>
            <w:r w:rsidRPr="00827BEA">
              <w:rPr>
                <w:lang w:val="en-GB"/>
              </w:rPr>
              <w:t>1.15</w:t>
            </w:r>
          </w:p>
        </w:tc>
      </w:tr>
      <w:tr w:rsidR="006E6224" w:rsidRPr="00827BEA" w14:paraId="6ECCC582" w14:textId="77777777" w:rsidTr="0009352F">
        <w:trPr>
          <w:jc w:val="center"/>
        </w:trPr>
        <w:tc>
          <w:tcPr>
            <w:tcW w:w="3823" w:type="dxa"/>
          </w:tcPr>
          <w:p w14:paraId="6DB440B7" w14:textId="64A76329" w:rsidR="006E6224" w:rsidRPr="00827BEA" w:rsidRDefault="00F315EF" w:rsidP="003805CD">
            <w:pPr>
              <w:pStyle w:val="ExhibitText"/>
              <w:rPr>
                <w:rFonts w:eastAsia="Yu Mincho"/>
                <w:color w:val="333333"/>
                <w:sz w:val="22"/>
                <w:szCs w:val="22"/>
                <w:shd w:val="clear" w:color="auto" w:fill="FFFFFF"/>
                <w:lang w:val="en-GB"/>
              </w:rPr>
            </w:pPr>
            <w:r>
              <w:rPr>
                <w:lang w:val="en-GB"/>
              </w:rPr>
              <w:t>BlackRock Inc.</w:t>
            </w:r>
          </w:p>
        </w:tc>
        <w:tc>
          <w:tcPr>
            <w:tcW w:w="850" w:type="dxa"/>
          </w:tcPr>
          <w:p w14:paraId="3723ADBC" w14:textId="7F53844F" w:rsidR="006E6224" w:rsidRPr="00827BEA" w:rsidRDefault="006E6224" w:rsidP="0009352F">
            <w:pPr>
              <w:pStyle w:val="ExhibitText"/>
              <w:jc w:val="right"/>
              <w:rPr>
                <w:rFonts w:eastAsia="Yu Mincho"/>
                <w:color w:val="333333"/>
                <w:sz w:val="22"/>
                <w:szCs w:val="22"/>
                <w:shd w:val="clear" w:color="auto" w:fill="FFFFFF"/>
                <w:lang w:val="en-GB"/>
              </w:rPr>
            </w:pPr>
            <w:r w:rsidRPr="00827BEA">
              <w:rPr>
                <w:lang w:val="en-GB"/>
              </w:rPr>
              <w:t>0.93</w:t>
            </w:r>
          </w:p>
        </w:tc>
      </w:tr>
    </w:tbl>
    <w:p w14:paraId="6EC0BA03" w14:textId="77777777" w:rsidR="004145E5" w:rsidRPr="00827BEA" w:rsidRDefault="004145E5" w:rsidP="004145E5">
      <w:pPr>
        <w:rPr>
          <w:rFonts w:eastAsia="Yu Mincho"/>
          <w:color w:val="333333"/>
          <w:sz w:val="22"/>
          <w:szCs w:val="22"/>
          <w:shd w:val="clear" w:color="auto" w:fill="FFFFFF"/>
          <w:lang w:val="en-GB"/>
        </w:rPr>
      </w:pPr>
    </w:p>
    <w:p w14:paraId="502E43E5" w14:textId="698AA761" w:rsidR="004145E5" w:rsidRPr="00827BEA" w:rsidRDefault="004145E5" w:rsidP="004145E5">
      <w:pPr>
        <w:pStyle w:val="Footnote"/>
        <w:rPr>
          <w:rFonts w:eastAsia="Yu Mincho"/>
          <w:shd w:val="clear" w:color="auto" w:fill="FFFFFF"/>
          <w:lang w:val="en-GB"/>
        </w:rPr>
      </w:pPr>
      <w:r w:rsidRPr="00827BEA">
        <w:rPr>
          <w:rFonts w:eastAsia="Yu Mincho"/>
          <w:shd w:val="clear" w:color="auto" w:fill="FFFFFF"/>
          <w:lang w:val="en-GB"/>
        </w:rPr>
        <w:t xml:space="preserve">Source: </w:t>
      </w:r>
      <w:r w:rsidR="00D310EE" w:rsidRPr="00827BEA">
        <w:rPr>
          <w:rFonts w:eastAsia="Yu Mincho"/>
          <w:shd w:val="clear" w:color="auto" w:fill="FFFFFF"/>
          <w:lang w:val="en-GB"/>
        </w:rPr>
        <w:t>Company files.</w:t>
      </w:r>
    </w:p>
    <w:p w14:paraId="3E5D632A" w14:textId="77777777" w:rsidR="004145E5" w:rsidRPr="00827BEA" w:rsidRDefault="004145E5" w:rsidP="004145E5">
      <w:pPr>
        <w:pStyle w:val="Footnote"/>
        <w:rPr>
          <w:rFonts w:eastAsia="Yu Mincho"/>
          <w:shd w:val="clear" w:color="auto" w:fill="FFFFFF"/>
          <w:lang w:val="en-GB"/>
        </w:rPr>
      </w:pPr>
    </w:p>
    <w:p w14:paraId="1FB212CF" w14:textId="77777777" w:rsidR="004145E5" w:rsidRPr="00827BEA" w:rsidRDefault="004145E5" w:rsidP="004145E5">
      <w:pPr>
        <w:pStyle w:val="Footnote"/>
        <w:rPr>
          <w:rFonts w:ascii="Calibri Light" w:eastAsia="Yu Mincho" w:hAnsi="Calibri Light"/>
          <w:color w:val="333333"/>
          <w:sz w:val="22"/>
          <w:szCs w:val="22"/>
          <w:shd w:val="clear" w:color="auto" w:fill="FFFFFF"/>
          <w:lang w:val="en-GB"/>
        </w:rPr>
      </w:pPr>
    </w:p>
    <w:p w14:paraId="153F545D" w14:textId="77777777" w:rsidR="004145E5" w:rsidRPr="00827BEA" w:rsidRDefault="004145E5" w:rsidP="004145E5">
      <w:pPr>
        <w:pStyle w:val="ExhibitHeading"/>
        <w:rPr>
          <w:rFonts w:eastAsia="Yu Mincho"/>
          <w:lang w:val="en-GB"/>
        </w:rPr>
      </w:pPr>
      <w:r w:rsidRPr="00827BEA">
        <w:rPr>
          <w:rFonts w:eastAsia="Yu Mincho"/>
          <w:lang w:val="en-GB"/>
        </w:rPr>
        <w:t>Exhibit 2: Financial Summary of China National Gold Group, 2012–2016 (US$1,000)</w:t>
      </w:r>
    </w:p>
    <w:p w14:paraId="6320D9EE" w14:textId="77777777" w:rsidR="004145E5" w:rsidRPr="00827BEA" w:rsidRDefault="004145E5" w:rsidP="004145E5">
      <w:pPr>
        <w:pStyle w:val="ExhibitHeading"/>
        <w:rPr>
          <w:rFonts w:eastAsia="Yu Mincho"/>
          <w:lang w:val="en-GB"/>
        </w:rPr>
      </w:pPr>
    </w:p>
    <w:tbl>
      <w:tblPr>
        <w:tblStyle w:val="TableGrid1"/>
        <w:tblW w:w="9350" w:type="dxa"/>
        <w:tblLayout w:type="fixed"/>
        <w:tblLook w:val="04A0" w:firstRow="1" w:lastRow="0" w:firstColumn="1" w:lastColumn="0" w:noHBand="0" w:noVBand="1"/>
      </w:tblPr>
      <w:tblGrid>
        <w:gridCol w:w="3505"/>
        <w:gridCol w:w="1170"/>
        <w:gridCol w:w="1170"/>
        <w:gridCol w:w="1170"/>
        <w:gridCol w:w="1170"/>
        <w:gridCol w:w="1165"/>
      </w:tblGrid>
      <w:tr w:rsidR="004145E5" w:rsidRPr="00F542FC" w14:paraId="04D5357D" w14:textId="77777777" w:rsidTr="00F542FC">
        <w:trPr>
          <w:trHeight w:val="223"/>
        </w:trPr>
        <w:tc>
          <w:tcPr>
            <w:tcW w:w="3505" w:type="dxa"/>
            <w:noWrap/>
            <w:hideMark/>
          </w:tcPr>
          <w:p w14:paraId="39943A85" w14:textId="77777777" w:rsidR="004145E5" w:rsidRPr="00F542FC" w:rsidRDefault="004145E5" w:rsidP="004145E5">
            <w:pPr>
              <w:pStyle w:val="ExhibitText"/>
              <w:rPr>
                <w:b/>
                <w:sz w:val="18"/>
                <w:szCs w:val="18"/>
                <w:lang w:val="en-GB"/>
              </w:rPr>
            </w:pPr>
            <w:r w:rsidRPr="00F542FC">
              <w:rPr>
                <w:b/>
                <w:sz w:val="18"/>
                <w:szCs w:val="18"/>
                <w:lang w:val="en-GB"/>
              </w:rPr>
              <w:t> </w:t>
            </w:r>
          </w:p>
        </w:tc>
        <w:tc>
          <w:tcPr>
            <w:tcW w:w="1170" w:type="dxa"/>
            <w:noWrap/>
            <w:vAlign w:val="center"/>
            <w:hideMark/>
          </w:tcPr>
          <w:p w14:paraId="0695C5C7" w14:textId="77777777" w:rsidR="004145E5" w:rsidRPr="00F542FC" w:rsidRDefault="004145E5" w:rsidP="0009352F">
            <w:pPr>
              <w:pStyle w:val="ExhibitText"/>
              <w:jc w:val="center"/>
              <w:rPr>
                <w:b/>
                <w:sz w:val="18"/>
                <w:szCs w:val="18"/>
                <w:lang w:val="en-GB"/>
              </w:rPr>
            </w:pPr>
            <w:r w:rsidRPr="00F542FC">
              <w:rPr>
                <w:b/>
                <w:sz w:val="18"/>
                <w:szCs w:val="18"/>
                <w:lang w:val="en-GB"/>
              </w:rPr>
              <w:t>2016</w:t>
            </w:r>
          </w:p>
        </w:tc>
        <w:tc>
          <w:tcPr>
            <w:tcW w:w="1170" w:type="dxa"/>
            <w:noWrap/>
            <w:vAlign w:val="center"/>
            <w:hideMark/>
          </w:tcPr>
          <w:p w14:paraId="3AD12561" w14:textId="77777777" w:rsidR="004145E5" w:rsidRPr="00F542FC" w:rsidRDefault="004145E5" w:rsidP="0009352F">
            <w:pPr>
              <w:pStyle w:val="ExhibitText"/>
              <w:jc w:val="center"/>
              <w:rPr>
                <w:b/>
                <w:sz w:val="18"/>
                <w:szCs w:val="18"/>
                <w:lang w:val="en-GB"/>
              </w:rPr>
            </w:pPr>
            <w:r w:rsidRPr="00F542FC">
              <w:rPr>
                <w:b/>
                <w:sz w:val="18"/>
                <w:szCs w:val="18"/>
                <w:lang w:val="en-GB"/>
              </w:rPr>
              <w:t>2015</w:t>
            </w:r>
          </w:p>
        </w:tc>
        <w:tc>
          <w:tcPr>
            <w:tcW w:w="1170" w:type="dxa"/>
            <w:noWrap/>
            <w:vAlign w:val="center"/>
            <w:hideMark/>
          </w:tcPr>
          <w:p w14:paraId="0493DC06" w14:textId="77777777" w:rsidR="004145E5" w:rsidRPr="00F542FC" w:rsidRDefault="004145E5" w:rsidP="0009352F">
            <w:pPr>
              <w:pStyle w:val="ExhibitText"/>
              <w:jc w:val="center"/>
              <w:rPr>
                <w:b/>
                <w:sz w:val="18"/>
                <w:szCs w:val="18"/>
                <w:lang w:val="en-GB"/>
              </w:rPr>
            </w:pPr>
            <w:r w:rsidRPr="00F542FC">
              <w:rPr>
                <w:b/>
                <w:sz w:val="18"/>
                <w:szCs w:val="18"/>
                <w:lang w:val="en-GB"/>
              </w:rPr>
              <w:t>2014</w:t>
            </w:r>
          </w:p>
        </w:tc>
        <w:tc>
          <w:tcPr>
            <w:tcW w:w="1170" w:type="dxa"/>
            <w:noWrap/>
            <w:vAlign w:val="center"/>
            <w:hideMark/>
          </w:tcPr>
          <w:p w14:paraId="376C873B" w14:textId="77777777" w:rsidR="004145E5" w:rsidRPr="00F542FC" w:rsidRDefault="004145E5" w:rsidP="0009352F">
            <w:pPr>
              <w:pStyle w:val="ExhibitText"/>
              <w:jc w:val="center"/>
              <w:rPr>
                <w:b/>
                <w:sz w:val="18"/>
                <w:szCs w:val="18"/>
                <w:lang w:val="en-GB"/>
              </w:rPr>
            </w:pPr>
            <w:r w:rsidRPr="00F542FC">
              <w:rPr>
                <w:b/>
                <w:sz w:val="18"/>
                <w:szCs w:val="18"/>
                <w:lang w:val="en-GB"/>
              </w:rPr>
              <w:t>2013</w:t>
            </w:r>
          </w:p>
        </w:tc>
        <w:tc>
          <w:tcPr>
            <w:tcW w:w="1165" w:type="dxa"/>
            <w:noWrap/>
            <w:vAlign w:val="center"/>
            <w:hideMark/>
          </w:tcPr>
          <w:p w14:paraId="598CACFC" w14:textId="77777777" w:rsidR="004145E5" w:rsidRPr="00F542FC" w:rsidRDefault="004145E5" w:rsidP="0009352F">
            <w:pPr>
              <w:pStyle w:val="ExhibitText"/>
              <w:jc w:val="center"/>
              <w:rPr>
                <w:b/>
                <w:sz w:val="18"/>
                <w:szCs w:val="18"/>
                <w:lang w:val="en-GB"/>
              </w:rPr>
            </w:pPr>
            <w:r w:rsidRPr="00F542FC">
              <w:rPr>
                <w:b/>
                <w:sz w:val="18"/>
                <w:szCs w:val="18"/>
                <w:lang w:val="en-GB"/>
              </w:rPr>
              <w:t>2012</w:t>
            </w:r>
          </w:p>
        </w:tc>
      </w:tr>
      <w:tr w:rsidR="004145E5" w:rsidRPr="00F542FC" w14:paraId="773B4BF0" w14:textId="77777777" w:rsidTr="00F542FC">
        <w:trPr>
          <w:trHeight w:val="223"/>
        </w:trPr>
        <w:tc>
          <w:tcPr>
            <w:tcW w:w="3505" w:type="dxa"/>
            <w:noWrap/>
          </w:tcPr>
          <w:p w14:paraId="0271AC25" w14:textId="77777777" w:rsidR="004145E5" w:rsidRPr="00F542FC" w:rsidRDefault="004145E5" w:rsidP="004145E5">
            <w:pPr>
              <w:pStyle w:val="ExhibitText"/>
              <w:jc w:val="left"/>
              <w:rPr>
                <w:sz w:val="18"/>
                <w:szCs w:val="18"/>
                <w:lang w:val="en-GB"/>
              </w:rPr>
            </w:pPr>
            <w:r w:rsidRPr="00F542FC">
              <w:rPr>
                <w:sz w:val="18"/>
                <w:szCs w:val="18"/>
                <w:lang w:val="en-GB"/>
              </w:rPr>
              <w:t>Income statement</w:t>
            </w:r>
          </w:p>
        </w:tc>
        <w:tc>
          <w:tcPr>
            <w:tcW w:w="1170" w:type="dxa"/>
            <w:noWrap/>
          </w:tcPr>
          <w:p w14:paraId="5DE5AF9A" w14:textId="77777777" w:rsidR="004145E5" w:rsidRPr="00F542FC" w:rsidRDefault="004145E5" w:rsidP="004145E5">
            <w:pPr>
              <w:pStyle w:val="ExhibitText"/>
              <w:jc w:val="right"/>
              <w:rPr>
                <w:sz w:val="18"/>
                <w:szCs w:val="18"/>
                <w:lang w:val="en-GB"/>
              </w:rPr>
            </w:pPr>
          </w:p>
        </w:tc>
        <w:tc>
          <w:tcPr>
            <w:tcW w:w="1170" w:type="dxa"/>
            <w:noWrap/>
          </w:tcPr>
          <w:p w14:paraId="4F8E8E93" w14:textId="77777777" w:rsidR="004145E5" w:rsidRPr="00F542FC" w:rsidRDefault="004145E5" w:rsidP="004145E5">
            <w:pPr>
              <w:pStyle w:val="ExhibitText"/>
              <w:jc w:val="right"/>
              <w:rPr>
                <w:sz w:val="18"/>
                <w:szCs w:val="18"/>
                <w:lang w:val="en-GB"/>
              </w:rPr>
            </w:pPr>
          </w:p>
        </w:tc>
        <w:tc>
          <w:tcPr>
            <w:tcW w:w="1170" w:type="dxa"/>
            <w:noWrap/>
          </w:tcPr>
          <w:p w14:paraId="2B006FE6" w14:textId="77777777" w:rsidR="004145E5" w:rsidRPr="00F542FC" w:rsidRDefault="004145E5" w:rsidP="004145E5">
            <w:pPr>
              <w:pStyle w:val="ExhibitText"/>
              <w:jc w:val="right"/>
              <w:rPr>
                <w:sz w:val="18"/>
                <w:szCs w:val="18"/>
                <w:lang w:val="en-GB"/>
              </w:rPr>
            </w:pPr>
          </w:p>
        </w:tc>
        <w:tc>
          <w:tcPr>
            <w:tcW w:w="1170" w:type="dxa"/>
            <w:noWrap/>
          </w:tcPr>
          <w:p w14:paraId="4AD1A3DE" w14:textId="77777777" w:rsidR="004145E5" w:rsidRPr="00F542FC" w:rsidRDefault="004145E5" w:rsidP="004145E5">
            <w:pPr>
              <w:pStyle w:val="ExhibitText"/>
              <w:jc w:val="right"/>
              <w:rPr>
                <w:sz w:val="18"/>
                <w:szCs w:val="18"/>
                <w:lang w:val="en-GB"/>
              </w:rPr>
            </w:pPr>
          </w:p>
        </w:tc>
        <w:tc>
          <w:tcPr>
            <w:tcW w:w="1165" w:type="dxa"/>
            <w:noWrap/>
          </w:tcPr>
          <w:p w14:paraId="67886944" w14:textId="77777777" w:rsidR="004145E5" w:rsidRPr="00F542FC" w:rsidRDefault="004145E5" w:rsidP="004145E5">
            <w:pPr>
              <w:pStyle w:val="ExhibitText"/>
              <w:jc w:val="right"/>
              <w:rPr>
                <w:sz w:val="18"/>
                <w:szCs w:val="18"/>
                <w:lang w:val="en-GB"/>
              </w:rPr>
            </w:pPr>
          </w:p>
        </w:tc>
      </w:tr>
      <w:tr w:rsidR="004145E5" w:rsidRPr="00F542FC" w14:paraId="44D8A776" w14:textId="77777777" w:rsidTr="00F542FC">
        <w:trPr>
          <w:trHeight w:val="223"/>
        </w:trPr>
        <w:tc>
          <w:tcPr>
            <w:tcW w:w="3505" w:type="dxa"/>
            <w:noWrap/>
            <w:hideMark/>
          </w:tcPr>
          <w:p w14:paraId="38DD2827" w14:textId="77777777" w:rsidR="004145E5" w:rsidRPr="00F542FC" w:rsidRDefault="004145E5" w:rsidP="004145E5">
            <w:pPr>
              <w:pStyle w:val="ExhibitText"/>
              <w:jc w:val="left"/>
              <w:rPr>
                <w:sz w:val="18"/>
                <w:szCs w:val="18"/>
                <w:lang w:val="en-GB"/>
              </w:rPr>
            </w:pPr>
            <w:r w:rsidRPr="00F542FC">
              <w:rPr>
                <w:sz w:val="18"/>
                <w:szCs w:val="18"/>
                <w:lang w:val="en-GB"/>
              </w:rPr>
              <w:t>Revenues</w:t>
            </w:r>
          </w:p>
        </w:tc>
        <w:tc>
          <w:tcPr>
            <w:tcW w:w="1170" w:type="dxa"/>
            <w:noWrap/>
            <w:hideMark/>
          </w:tcPr>
          <w:p w14:paraId="175A44A6" w14:textId="77777777" w:rsidR="004145E5" w:rsidRPr="00F542FC" w:rsidRDefault="004145E5" w:rsidP="004145E5">
            <w:pPr>
              <w:pStyle w:val="ExhibitText"/>
              <w:jc w:val="right"/>
              <w:rPr>
                <w:sz w:val="18"/>
                <w:szCs w:val="18"/>
                <w:lang w:val="en-GB"/>
              </w:rPr>
            </w:pPr>
            <w:r w:rsidRPr="00F542FC">
              <w:rPr>
                <w:sz w:val="18"/>
                <w:szCs w:val="18"/>
                <w:lang w:val="en-GB"/>
              </w:rPr>
              <w:t>16,138,223</w:t>
            </w:r>
          </w:p>
        </w:tc>
        <w:tc>
          <w:tcPr>
            <w:tcW w:w="1170" w:type="dxa"/>
            <w:noWrap/>
            <w:hideMark/>
          </w:tcPr>
          <w:p w14:paraId="7D085E08" w14:textId="77777777" w:rsidR="004145E5" w:rsidRPr="00F542FC" w:rsidRDefault="004145E5" w:rsidP="004145E5">
            <w:pPr>
              <w:pStyle w:val="ExhibitText"/>
              <w:jc w:val="right"/>
              <w:rPr>
                <w:sz w:val="18"/>
                <w:szCs w:val="18"/>
                <w:lang w:val="en-GB"/>
              </w:rPr>
            </w:pPr>
            <w:r w:rsidRPr="00F542FC">
              <w:rPr>
                <w:sz w:val="18"/>
                <w:szCs w:val="18"/>
                <w:lang w:val="en-GB"/>
              </w:rPr>
              <w:t>17,540,186</w:t>
            </w:r>
          </w:p>
        </w:tc>
        <w:tc>
          <w:tcPr>
            <w:tcW w:w="1170" w:type="dxa"/>
            <w:noWrap/>
            <w:hideMark/>
          </w:tcPr>
          <w:p w14:paraId="450C4EEB" w14:textId="77777777" w:rsidR="004145E5" w:rsidRPr="00F542FC" w:rsidRDefault="004145E5" w:rsidP="004145E5">
            <w:pPr>
              <w:pStyle w:val="ExhibitText"/>
              <w:jc w:val="right"/>
              <w:rPr>
                <w:sz w:val="18"/>
                <w:szCs w:val="18"/>
                <w:lang w:val="en-GB"/>
              </w:rPr>
            </w:pPr>
            <w:r w:rsidRPr="00F542FC">
              <w:rPr>
                <w:sz w:val="18"/>
                <w:szCs w:val="18"/>
                <w:lang w:val="en-GB"/>
              </w:rPr>
              <w:t>19,602,845</w:t>
            </w:r>
          </w:p>
        </w:tc>
        <w:tc>
          <w:tcPr>
            <w:tcW w:w="1170" w:type="dxa"/>
            <w:noWrap/>
            <w:hideMark/>
          </w:tcPr>
          <w:p w14:paraId="043C6A83" w14:textId="77777777" w:rsidR="004145E5" w:rsidRPr="00F542FC" w:rsidRDefault="004145E5" w:rsidP="004145E5">
            <w:pPr>
              <w:pStyle w:val="ExhibitText"/>
              <w:jc w:val="right"/>
              <w:rPr>
                <w:sz w:val="18"/>
                <w:szCs w:val="18"/>
                <w:lang w:val="en-GB"/>
              </w:rPr>
            </w:pPr>
            <w:r w:rsidRPr="00F542FC">
              <w:rPr>
                <w:sz w:val="18"/>
                <w:szCs w:val="18"/>
                <w:lang w:val="en-GB"/>
              </w:rPr>
              <w:t>18,033,752</w:t>
            </w:r>
          </w:p>
        </w:tc>
        <w:tc>
          <w:tcPr>
            <w:tcW w:w="1165" w:type="dxa"/>
            <w:noWrap/>
            <w:hideMark/>
          </w:tcPr>
          <w:p w14:paraId="1CCECE9A" w14:textId="77777777" w:rsidR="004145E5" w:rsidRPr="00F542FC" w:rsidRDefault="004145E5" w:rsidP="004145E5">
            <w:pPr>
              <w:pStyle w:val="ExhibitText"/>
              <w:jc w:val="right"/>
              <w:rPr>
                <w:sz w:val="18"/>
                <w:szCs w:val="18"/>
                <w:lang w:val="en-GB"/>
              </w:rPr>
            </w:pPr>
            <w:r w:rsidRPr="00F542FC">
              <w:rPr>
                <w:sz w:val="18"/>
                <w:szCs w:val="18"/>
                <w:lang w:val="en-GB"/>
              </w:rPr>
              <w:t>15,871,347</w:t>
            </w:r>
          </w:p>
        </w:tc>
      </w:tr>
      <w:tr w:rsidR="004145E5" w:rsidRPr="00F542FC" w14:paraId="12C738CD" w14:textId="77777777" w:rsidTr="00F542FC">
        <w:trPr>
          <w:trHeight w:val="223"/>
        </w:trPr>
        <w:tc>
          <w:tcPr>
            <w:tcW w:w="3505" w:type="dxa"/>
            <w:hideMark/>
          </w:tcPr>
          <w:p w14:paraId="469D3894" w14:textId="79D022CB" w:rsidR="004145E5" w:rsidRPr="00F542FC" w:rsidRDefault="004145E5" w:rsidP="004145E5">
            <w:pPr>
              <w:pStyle w:val="ExhibitText"/>
              <w:jc w:val="left"/>
              <w:rPr>
                <w:sz w:val="18"/>
                <w:szCs w:val="18"/>
                <w:lang w:val="en-GB"/>
              </w:rPr>
            </w:pPr>
            <w:r w:rsidRPr="00F542FC">
              <w:rPr>
                <w:sz w:val="18"/>
                <w:szCs w:val="18"/>
                <w:lang w:val="en-GB"/>
              </w:rPr>
              <w:t xml:space="preserve">(Loss) </w:t>
            </w:r>
            <w:r w:rsidR="001E5CF2" w:rsidRPr="00F542FC">
              <w:rPr>
                <w:sz w:val="18"/>
                <w:szCs w:val="18"/>
                <w:lang w:val="en-GB"/>
              </w:rPr>
              <w:t>P</w:t>
            </w:r>
            <w:r w:rsidRPr="00F542FC">
              <w:rPr>
                <w:sz w:val="18"/>
                <w:szCs w:val="18"/>
                <w:lang w:val="en-GB"/>
              </w:rPr>
              <w:t xml:space="preserve">rofit attributable to owners of the </w:t>
            </w:r>
            <w:r w:rsidR="005B27DC" w:rsidRPr="00F542FC">
              <w:rPr>
                <w:sz w:val="18"/>
                <w:szCs w:val="18"/>
                <w:lang w:val="en-GB"/>
              </w:rPr>
              <w:t>company</w:t>
            </w:r>
          </w:p>
        </w:tc>
        <w:tc>
          <w:tcPr>
            <w:tcW w:w="1170" w:type="dxa"/>
            <w:noWrap/>
            <w:hideMark/>
          </w:tcPr>
          <w:p w14:paraId="18905006" w14:textId="2303EE9F" w:rsidR="004145E5" w:rsidRPr="00F542FC" w:rsidRDefault="005B27DC" w:rsidP="004145E5">
            <w:pPr>
              <w:pStyle w:val="ExhibitText"/>
              <w:jc w:val="right"/>
              <w:rPr>
                <w:sz w:val="18"/>
                <w:szCs w:val="18"/>
                <w:lang w:val="en-GB"/>
              </w:rPr>
            </w:pPr>
            <w:r w:rsidRPr="00F542FC">
              <w:rPr>
                <w:sz w:val="18"/>
                <w:szCs w:val="18"/>
                <w:lang w:val="en-GB"/>
              </w:rPr>
              <w:t>−</w:t>
            </w:r>
            <w:r w:rsidR="004145E5" w:rsidRPr="00F542FC">
              <w:rPr>
                <w:sz w:val="18"/>
                <w:szCs w:val="18"/>
                <w:lang w:val="en-GB"/>
              </w:rPr>
              <w:t>67,669</w:t>
            </w:r>
          </w:p>
        </w:tc>
        <w:tc>
          <w:tcPr>
            <w:tcW w:w="1170" w:type="dxa"/>
            <w:noWrap/>
            <w:hideMark/>
          </w:tcPr>
          <w:p w14:paraId="735AA9E1" w14:textId="2AA6312F" w:rsidR="004145E5" w:rsidRPr="00F542FC" w:rsidRDefault="005B27DC" w:rsidP="004145E5">
            <w:pPr>
              <w:pStyle w:val="ExhibitText"/>
              <w:jc w:val="right"/>
              <w:rPr>
                <w:sz w:val="18"/>
                <w:szCs w:val="18"/>
                <w:lang w:val="en-GB"/>
              </w:rPr>
            </w:pPr>
            <w:r w:rsidRPr="00F542FC">
              <w:rPr>
                <w:sz w:val="18"/>
                <w:szCs w:val="18"/>
                <w:lang w:val="en-GB"/>
              </w:rPr>
              <w:t>−</w:t>
            </w:r>
            <w:r w:rsidR="004145E5" w:rsidRPr="00F542FC">
              <w:rPr>
                <w:sz w:val="18"/>
                <w:szCs w:val="18"/>
                <w:lang w:val="en-GB"/>
              </w:rPr>
              <w:t>26,366</w:t>
            </w:r>
          </w:p>
        </w:tc>
        <w:tc>
          <w:tcPr>
            <w:tcW w:w="1170" w:type="dxa"/>
            <w:noWrap/>
            <w:hideMark/>
          </w:tcPr>
          <w:p w14:paraId="78340350" w14:textId="3C17481D" w:rsidR="004145E5" w:rsidRPr="00F542FC" w:rsidRDefault="005B27DC" w:rsidP="004145E5">
            <w:pPr>
              <w:pStyle w:val="ExhibitText"/>
              <w:jc w:val="right"/>
              <w:rPr>
                <w:sz w:val="18"/>
                <w:szCs w:val="18"/>
                <w:lang w:val="en-GB"/>
              </w:rPr>
            </w:pPr>
            <w:r w:rsidRPr="00F542FC">
              <w:rPr>
                <w:sz w:val="18"/>
                <w:szCs w:val="18"/>
                <w:lang w:val="en-GB"/>
              </w:rPr>
              <w:t>−</w:t>
            </w:r>
            <w:r w:rsidR="004145E5" w:rsidRPr="00F542FC">
              <w:rPr>
                <w:sz w:val="18"/>
                <w:szCs w:val="18"/>
                <w:lang w:val="en-GB"/>
              </w:rPr>
              <w:t>88,691</w:t>
            </w:r>
          </w:p>
        </w:tc>
        <w:tc>
          <w:tcPr>
            <w:tcW w:w="1170" w:type="dxa"/>
            <w:noWrap/>
            <w:hideMark/>
          </w:tcPr>
          <w:p w14:paraId="7E700786" w14:textId="77777777" w:rsidR="004145E5" w:rsidRPr="00F542FC" w:rsidRDefault="004145E5" w:rsidP="004145E5">
            <w:pPr>
              <w:pStyle w:val="ExhibitText"/>
              <w:jc w:val="right"/>
              <w:rPr>
                <w:sz w:val="18"/>
                <w:szCs w:val="18"/>
                <w:lang w:val="en-GB"/>
              </w:rPr>
            </w:pPr>
            <w:r w:rsidRPr="00F542FC">
              <w:rPr>
                <w:sz w:val="18"/>
                <w:szCs w:val="18"/>
                <w:lang w:val="en-GB"/>
              </w:rPr>
              <w:t>105,670</w:t>
            </w:r>
          </w:p>
        </w:tc>
        <w:tc>
          <w:tcPr>
            <w:tcW w:w="1165" w:type="dxa"/>
            <w:noWrap/>
            <w:hideMark/>
          </w:tcPr>
          <w:p w14:paraId="2ADD9C70" w14:textId="77777777" w:rsidR="004145E5" w:rsidRPr="00F542FC" w:rsidRDefault="004145E5" w:rsidP="004145E5">
            <w:pPr>
              <w:pStyle w:val="ExhibitText"/>
              <w:jc w:val="right"/>
              <w:rPr>
                <w:sz w:val="18"/>
                <w:szCs w:val="18"/>
                <w:lang w:val="en-GB"/>
              </w:rPr>
            </w:pPr>
            <w:r w:rsidRPr="00F542FC">
              <w:rPr>
                <w:sz w:val="18"/>
                <w:szCs w:val="18"/>
                <w:lang w:val="en-GB"/>
              </w:rPr>
              <w:t>218,180</w:t>
            </w:r>
          </w:p>
        </w:tc>
      </w:tr>
      <w:tr w:rsidR="004145E5" w:rsidRPr="00F542FC" w14:paraId="46E43B26" w14:textId="77777777" w:rsidTr="00F542FC">
        <w:trPr>
          <w:trHeight w:val="223"/>
        </w:trPr>
        <w:tc>
          <w:tcPr>
            <w:tcW w:w="3505" w:type="dxa"/>
            <w:noWrap/>
          </w:tcPr>
          <w:p w14:paraId="7FDAC837" w14:textId="77777777" w:rsidR="004145E5" w:rsidRPr="00F542FC" w:rsidRDefault="004145E5" w:rsidP="004145E5">
            <w:pPr>
              <w:pStyle w:val="ExhibitText"/>
              <w:jc w:val="left"/>
              <w:rPr>
                <w:sz w:val="18"/>
                <w:szCs w:val="18"/>
                <w:lang w:val="en-GB"/>
              </w:rPr>
            </w:pPr>
            <w:r w:rsidRPr="00F542FC">
              <w:rPr>
                <w:sz w:val="18"/>
                <w:szCs w:val="18"/>
                <w:lang w:val="en-GB"/>
              </w:rPr>
              <w:t>Balance sheet</w:t>
            </w:r>
          </w:p>
        </w:tc>
        <w:tc>
          <w:tcPr>
            <w:tcW w:w="1170" w:type="dxa"/>
            <w:noWrap/>
          </w:tcPr>
          <w:p w14:paraId="073FEB95" w14:textId="77777777" w:rsidR="004145E5" w:rsidRPr="00F542FC" w:rsidRDefault="004145E5" w:rsidP="004145E5">
            <w:pPr>
              <w:pStyle w:val="ExhibitText"/>
              <w:jc w:val="right"/>
              <w:rPr>
                <w:sz w:val="18"/>
                <w:szCs w:val="18"/>
                <w:lang w:val="en-GB"/>
              </w:rPr>
            </w:pPr>
          </w:p>
        </w:tc>
        <w:tc>
          <w:tcPr>
            <w:tcW w:w="1170" w:type="dxa"/>
            <w:noWrap/>
          </w:tcPr>
          <w:p w14:paraId="3A3D6183" w14:textId="77777777" w:rsidR="004145E5" w:rsidRPr="00F542FC" w:rsidRDefault="004145E5" w:rsidP="004145E5">
            <w:pPr>
              <w:pStyle w:val="ExhibitText"/>
              <w:jc w:val="right"/>
              <w:rPr>
                <w:sz w:val="18"/>
                <w:szCs w:val="18"/>
                <w:lang w:val="en-GB"/>
              </w:rPr>
            </w:pPr>
          </w:p>
        </w:tc>
        <w:tc>
          <w:tcPr>
            <w:tcW w:w="1170" w:type="dxa"/>
            <w:noWrap/>
          </w:tcPr>
          <w:p w14:paraId="5FD2A2C6" w14:textId="77777777" w:rsidR="004145E5" w:rsidRPr="00F542FC" w:rsidRDefault="004145E5" w:rsidP="004145E5">
            <w:pPr>
              <w:pStyle w:val="ExhibitText"/>
              <w:jc w:val="right"/>
              <w:rPr>
                <w:sz w:val="18"/>
                <w:szCs w:val="18"/>
                <w:lang w:val="en-GB"/>
              </w:rPr>
            </w:pPr>
          </w:p>
        </w:tc>
        <w:tc>
          <w:tcPr>
            <w:tcW w:w="1170" w:type="dxa"/>
            <w:noWrap/>
          </w:tcPr>
          <w:p w14:paraId="2EBB6B02" w14:textId="77777777" w:rsidR="004145E5" w:rsidRPr="00F542FC" w:rsidRDefault="004145E5" w:rsidP="004145E5">
            <w:pPr>
              <w:pStyle w:val="ExhibitText"/>
              <w:jc w:val="right"/>
              <w:rPr>
                <w:sz w:val="18"/>
                <w:szCs w:val="18"/>
                <w:lang w:val="en-GB"/>
              </w:rPr>
            </w:pPr>
          </w:p>
        </w:tc>
        <w:tc>
          <w:tcPr>
            <w:tcW w:w="1165" w:type="dxa"/>
            <w:noWrap/>
          </w:tcPr>
          <w:p w14:paraId="670506D6" w14:textId="77777777" w:rsidR="004145E5" w:rsidRPr="00F542FC" w:rsidRDefault="004145E5" w:rsidP="004145E5">
            <w:pPr>
              <w:pStyle w:val="ExhibitText"/>
              <w:jc w:val="right"/>
              <w:rPr>
                <w:sz w:val="18"/>
                <w:szCs w:val="18"/>
                <w:lang w:val="en-GB"/>
              </w:rPr>
            </w:pPr>
          </w:p>
        </w:tc>
      </w:tr>
      <w:tr w:rsidR="004145E5" w:rsidRPr="00F542FC" w14:paraId="1179DF42" w14:textId="77777777" w:rsidTr="00F542FC">
        <w:trPr>
          <w:trHeight w:val="223"/>
        </w:trPr>
        <w:tc>
          <w:tcPr>
            <w:tcW w:w="3505" w:type="dxa"/>
            <w:noWrap/>
            <w:hideMark/>
          </w:tcPr>
          <w:p w14:paraId="3CBE00DD" w14:textId="77777777" w:rsidR="004145E5" w:rsidRPr="00F542FC" w:rsidRDefault="004145E5" w:rsidP="004145E5">
            <w:pPr>
              <w:pStyle w:val="ExhibitText"/>
              <w:jc w:val="left"/>
              <w:rPr>
                <w:sz w:val="18"/>
                <w:szCs w:val="18"/>
                <w:lang w:val="en-GB"/>
              </w:rPr>
            </w:pPr>
            <w:r w:rsidRPr="00F542FC">
              <w:rPr>
                <w:sz w:val="18"/>
                <w:szCs w:val="18"/>
                <w:lang w:val="en-GB"/>
              </w:rPr>
              <w:t>Total assets</w:t>
            </w:r>
          </w:p>
        </w:tc>
        <w:tc>
          <w:tcPr>
            <w:tcW w:w="1170" w:type="dxa"/>
            <w:noWrap/>
            <w:hideMark/>
          </w:tcPr>
          <w:p w14:paraId="6033F2E1" w14:textId="77777777" w:rsidR="004145E5" w:rsidRPr="00F542FC" w:rsidRDefault="004145E5" w:rsidP="004145E5">
            <w:pPr>
              <w:pStyle w:val="ExhibitText"/>
              <w:jc w:val="right"/>
              <w:rPr>
                <w:sz w:val="18"/>
                <w:szCs w:val="18"/>
                <w:lang w:val="en-GB"/>
              </w:rPr>
            </w:pPr>
            <w:r w:rsidRPr="00F542FC">
              <w:rPr>
                <w:sz w:val="18"/>
                <w:szCs w:val="18"/>
                <w:lang w:val="en-GB"/>
              </w:rPr>
              <w:t>14,859,776</w:t>
            </w:r>
          </w:p>
        </w:tc>
        <w:tc>
          <w:tcPr>
            <w:tcW w:w="1170" w:type="dxa"/>
            <w:noWrap/>
            <w:hideMark/>
          </w:tcPr>
          <w:p w14:paraId="43F97E5A" w14:textId="77777777" w:rsidR="004145E5" w:rsidRPr="00F542FC" w:rsidRDefault="004145E5" w:rsidP="004145E5">
            <w:pPr>
              <w:pStyle w:val="ExhibitText"/>
              <w:jc w:val="right"/>
              <w:rPr>
                <w:sz w:val="18"/>
                <w:szCs w:val="18"/>
                <w:lang w:val="en-GB"/>
              </w:rPr>
            </w:pPr>
            <w:r w:rsidRPr="00F542FC">
              <w:rPr>
                <w:sz w:val="18"/>
                <w:szCs w:val="18"/>
                <w:lang w:val="en-GB"/>
              </w:rPr>
              <w:t>14,848,671</w:t>
            </w:r>
          </w:p>
        </w:tc>
        <w:tc>
          <w:tcPr>
            <w:tcW w:w="1170" w:type="dxa"/>
            <w:noWrap/>
            <w:hideMark/>
          </w:tcPr>
          <w:p w14:paraId="557109A7" w14:textId="77777777" w:rsidR="004145E5" w:rsidRPr="00F542FC" w:rsidRDefault="004145E5" w:rsidP="004145E5">
            <w:pPr>
              <w:pStyle w:val="ExhibitText"/>
              <w:jc w:val="right"/>
              <w:rPr>
                <w:sz w:val="18"/>
                <w:szCs w:val="18"/>
                <w:lang w:val="en-GB"/>
              </w:rPr>
            </w:pPr>
            <w:r w:rsidRPr="00F542FC">
              <w:rPr>
                <w:sz w:val="18"/>
                <w:szCs w:val="18"/>
                <w:lang w:val="en-GB"/>
              </w:rPr>
              <w:t>14,297,300</w:t>
            </w:r>
          </w:p>
        </w:tc>
        <w:tc>
          <w:tcPr>
            <w:tcW w:w="1170" w:type="dxa"/>
            <w:noWrap/>
            <w:hideMark/>
          </w:tcPr>
          <w:p w14:paraId="6C8C2607" w14:textId="77777777" w:rsidR="004145E5" w:rsidRPr="00F542FC" w:rsidRDefault="004145E5" w:rsidP="004145E5">
            <w:pPr>
              <w:pStyle w:val="ExhibitText"/>
              <w:jc w:val="right"/>
              <w:rPr>
                <w:sz w:val="18"/>
                <w:szCs w:val="18"/>
                <w:lang w:val="en-GB"/>
              </w:rPr>
            </w:pPr>
            <w:r w:rsidRPr="00F542FC">
              <w:rPr>
                <w:sz w:val="18"/>
                <w:szCs w:val="18"/>
                <w:lang w:val="en-GB"/>
              </w:rPr>
              <w:t>12,348,036</w:t>
            </w:r>
          </w:p>
        </w:tc>
        <w:tc>
          <w:tcPr>
            <w:tcW w:w="1165" w:type="dxa"/>
            <w:noWrap/>
            <w:hideMark/>
          </w:tcPr>
          <w:p w14:paraId="579BDCFE" w14:textId="77777777" w:rsidR="004145E5" w:rsidRPr="00F542FC" w:rsidRDefault="004145E5" w:rsidP="004145E5">
            <w:pPr>
              <w:pStyle w:val="ExhibitText"/>
              <w:jc w:val="right"/>
              <w:rPr>
                <w:sz w:val="18"/>
                <w:szCs w:val="18"/>
                <w:lang w:val="en-GB"/>
              </w:rPr>
            </w:pPr>
            <w:r w:rsidRPr="00F542FC">
              <w:rPr>
                <w:sz w:val="18"/>
                <w:szCs w:val="18"/>
                <w:lang w:val="en-GB"/>
              </w:rPr>
              <w:t>10,462,124</w:t>
            </w:r>
          </w:p>
        </w:tc>
      </w:tr>
      <w:tr w:rsidR="004145E5" w:rsidRPr="00F542FC" w14:paraId="5AFA1967" w14:textId="77777777" w:rsidTr="00F542FC">
        <w:trPr>
          <w:trHeight w:val="223"/>
        </w:trPr>
        <w:tc>
          <w:tcPr>
            <w:tcW w:w="3505" w:type="dxa"/>
            <w:noWrap/>
            <w:hideMark/>
          </w:tcPr>
          <w:p w14:paraId="0B76986F" w14:textId="77777777" w:rsidR="004145E5" w:rsidRPr="00F542FC" w:rsidRDefault="004145E5" w:rsidP="004145E5">
            <w:pPr>
              <w:pStyle w:val="ExhibitText"/>
              <w:jc w:val="left"/>
              <w:rPr>
                <w:sz w:val="18"/>
                <w:szCs w:val="18"/>
                <w:lang w:val="en-GB"/>
              </w:rPr>
            </w:pPr>
            <w:r w:rsidRPr="00F542FC">
              <w:rPr>
                <w:sz w:val="18"/>
                <w:szCs w:val="18"/>
                <w:lang w:val="en-GB"/>
              </w:rPr>
              <w:t>Total liabilities</w:t>
            </w:r>
          </w:p>
        </w:tc>
        <w:tc>
          <w:tcPr>
            <w:tcW w:w="1170" w:type="dxa"/>
            <w:noWrap/>
            <w:hideMark/>
          </w:tcPr>
          <w:p w14:paraId="5FC2894D" w14:textId="77777777" w:rsidR="004145E5" w:rsidRPr="00F542FC" w:rsidRDefault="004145E5" w:rsidP="004145E5">
            <w:pPr>
              <w:pStyle w:val="ExhibitText"/>
              <w:jc w:val="right"/>
              <w:rPr>
                <w:sz w:val="18"/>
                <w:szCs w:val="18"/>
                <w:lang w:val="en-GB"/>
              </w:rPr>
            </w:pPr>
            <w:r w:rsidRPr="00F542FC">
              <w:rPr>
                <w:sz w:val="18"/>
                <w:szCs w:val="18"/>
                <w:lang w:val="en-GB"/>
              </w:rPr>
              <w:t>10,424,093</w:t>
            </w:r>
          </w:p>
        </w:tc>
        <w:tc>
          <w:tcPr>
            <w:tcW w:w="1170" w:type="dxa"/>
            <w:noWrap/>
            <w:hideMark/>
          </w:tcPr>
          <w:p w14:paraId="451A4AE7" w14:textId="77777777" w:rsidR="004145E5" w:rsidRPr="00F542FC" w:rsidRDefault="004145E5" w:rsidP="004145E5">
            <w:pPr>
              <w:pStyle w:val="ExhibitText"/>
              <w:jc w:val="right"/>
              <w:rPr>
                <w:sz w:val="18"/>
                <w:szCs w:val="18"/>
                <w:lang w:val="en-GB"/>
              </w:rPr>
            </w:pPr>
            <w:r w:rsidRPr="00F542FC">
              <w:rPr>
                <w:sz w:val="18"/>
                <w:szCs w:val="18"/>
                <w:lang w:val="en-GB"/>
              </w:rPr>
              <w:t>10,231,009</w:t>
            </w:r>
          </w:p>
        </w:tc>
        <w:tc>
          <w:tcPr>
            <w:tcW w:w="1170" w:type="dxa"/>
            <w:noWrap/>
            <w:hideMark/>
          </w:tcPr>
          <w:p w14:paraId="1CB86A65" w14:textId="77777777" w:rsidR="004145E5" w:rsidRPr="00F542FC" w:rsidRDefault="004145E5" w:rsidP="004145E5">
            <w:pPr>
              <w:pStyle w:val="ExhibitText"/>
              <w:jc w:val="right"/>
              <w:rPr>
                <w:sz w:val="18"/>
                <w:szCs w:val="18"/>
                <w:lang w:val="en-GB"/>
              </w:rPr>
            </w:pPr>
            <w:r w:rsidRPr="00F542FC">
              <w:rPr>
                <w:sz w:val="18"/>
                <w:szCs w:val="18"/>
                <w:lang w:val="en-GB"/>
              </w:rPr>
              <w:t>9,867,405</w:t>
            </w:r>
          </w:p>
        </w:tc>
        <w:tc>
          <w:tcPr>
            <w:tcW w:w="1170" w:type="dxa"/>
            <w:noWrap/>
            <w:hideMark/>
          </w:tcPr>
          <w:p w14:paraId="69D65C70" w14:textId="77777777" w:rsidR="004145E5" w:rsidRPr="00F542FC" w:rsidRDefault="004145E5" w:rsidP="004145E5">
            <w:pPr>
              <w:pStyle w:val="ExhibitText"/>
              <w:jc w:val="right"/>
              <w:rPr>
                <w:sz w:val="18"/>
                <w:szCs w:val="18"/>
                <w:lang w:val="en-GB"/>
              </w:rPr>
            </w:pPr>
            <w:r w:rsidRPr="00F542FC">
              <w:rPr>
                <w:sz w:val="18"/>
                <w:szCs w:val="18"/>
                <w:lang w:val="en-GB"/>
              </w:rPr>
              <w:t>7,883,926</w:t>
            </w:r>
          </w:p>
        </w:tc>
        <w:tc>
          <w:tcPr>
            <w:tcW w:w="1165" w:type="dxa"/>
            <w:noWrap/>
            <w:hideMark/>
          </w:tcPr>
          <w:p w14:paraId="5FA513EB" w14:textId="77777777" w:rsidR="004145E5" w:rsidRPr="00F542FC" w:rsidRDefault="004145E5" w:rsidP="004145E5">
            <w:pPr>
              <w:pStyle w:val="ExhibitText"/>
              <w:jc w:val="right"/>
              <w:rPr>
                <w:sz w:val="18"/>
                <w:szCs w:val="18"/>
                <w:lang w:val="en-GB"/>
              </w:rPr>
            </w:pPr>
            <w:r w:rsidRPr="00F542FC">
              <w:rPr>
                <w:sz w:val="18"/>
                <w:szCs w:val="18"/>
                <w:lang w:val="en-GB"/>
              </w:rPr>
              <w:t>6,337,531</w:t>
            </w:r>
          </w:p>
        </w:tc>
      </w:tr>
      <w:tr w:rsidR="004145E5" w:rsidRPr="00F542FC" w14:paraId="192A70C6" w14:textId="77777777" w:rsidTr="00F542FC">
        <w:trPr>
          <w:trHeight w:val="223"/>
        </w:trPr>
        <w:tc>
          <w:tcPr>
            <w:tcW w:w="3505" w:type="dxa"/>
            <w:noWrap/>
            <w:hideMark/>
          </w:tcPr>
          <w:p w14:paraId="47AD67FF" w14:textId="77777777" w:rsidR="004145E5" w:rsidRPr="00F542FC" w:rsidRDefault="004145E5" w:rsidP="004145E5">
            <w:pPr>
              <w:pStyle w:val="ExhibitText"/>
              <w:jc w:val="left"/>
              <w:rPr>
                <w:sz w:val="18"/>
                <w:szCs w:val="18"/>
                <w:lang w:val="en-GB"/>
              </w:rPr>
            </w:pPr>
            <w:r w:rsidRPr="00F542FC">
              <w:rPr>
                <w:sz w:val="18"/>
                <w:szCs w:val="18"/>
                <w:lang w:val="en-GB"/>
              </w:rPr>
              <w:t>Total net assets</w:t>
            </w:r>
          </w:p>
        </w:tc>
        <w:tc>
          <w:tcPr>
            <w:tcW w:w="1170" w:type="dxa"/>
            <w:noWrap/>
            <w:hideMark/>
          </w:tcPr>
          <w:p w14:paraId="627B8AD6" w14:textId="77777777" w:rsidR="004145E5" w:rsidRPr="00F542FC" w:rsidRDefault="004145E5" w:rsidP="004145E5">
            <w:pPr>
              <w:pStyle w:val="ExhibitText"/>
              <w:jc w:val="right"/>
              <w:rPr>
                <w:sz w:val="18"/>
                <w:szCs w:val="18"/>
                <w:lang w:val="en-GB"/>
              </w:rPr>
            </w:pPr>
            <w:r w:rsidRPr="00F542FC">
              <w:rPr>
                <w:sz w:val="18"/>
                <w:szCs w:val="18"/>
                <w:lang w:val="en-GB"/>
              </w:rPr>
              <w:t>4,435,683</w:t>
            </w:r>
          </w:p>
        </w:tc>
        <w:tc>
          <w:tcPr>
            <w:tcW w:w="1170" w:type="dxa"/>
            <w:noWrap/>
            <w:hideMark/>
          </w:tcPr>
          <w:p w14:paraId="388A0E7B" w14:textId="77777777" w:rsidR="004145E5" w:rsidRPr="00F542FC" w:rsidRDefault="004145E5" w:rsidP="004145E5">
            <w:pPr>
              <w:pStyle w:val="ExhibitText"/>
              <w:jc w:val="right"/>
              <w:rPr>
                <w:sz w:val="18"/>
                <w:szCs w:val="18"/>
                <w:lang w:val="en-GB"/>
              </w:rPr>
            </w:pPr>
            <w:r w:rsidRPr="00F542FC">
              <w:rPr>
                <w:sz w:val="18"/>
                <w:szCs w:val="18"/>
                <w:lang w:val="en-GB"/>
              </w:rPr>
              <w:t>4,617,662</w:t>
            </w:r>
          </w:p>
        </w:tc>
        <w:tc>
          <w:tcPr>
            <w:tcW w:w="1170" w:type="dxa"/>
            <w:noWrap/>
            <w:hideMark/>
          </w:tcPr>
          <w:p w14:paraId="235A5D40" w14:textId="77777777" w:rsidR="004145E5" w:rsidRPr="00F542FC" w:rsidRDefault="004145E5" w:rsidP="004145E5">
            <w:pPr>
              <w:pStyle w:val="ExhibitText"/>
              <w:jc w:val="right"/>
              <w:rPr>
                <w:sz w:val="18"/>
                <w:szCs w:val="18"/>
                <w:lang w:val="en-GB"/>
              </w:rPr>
            </w:pPr>
            <w:r w:rsidRPr="00F542FC">
              <w:rPr>
                <w:sz w:val="18"/>
                <w:szCs w:val="18"/>
                <w:lang w:val="en-GB"/>
              </w:rPr>
              <w:t>4,429,895</w:t>
            </w:r>
          </w:p>
        </w:tc>
        <w:tc>
          <w:tcPr>
            <w:tcW w:w="1170" w:type="dxa"/>
            <w:noWrap/>
            <w:hideMark/>
          </w:tcPr>
          <w:p w14:paraId="5CB82E8C" w14:textId="77777777" w:rsidR="004145E5" w:rsidRPr="00F542FC" w:rsidRDefault="004145E5" w:rsidP="004145E5">
            <w:pPr>
              <w:pStyle w:val="ExhibitText"/>
              <w:jc w:val="right"/>
              <w:rPr>
                <w:sz w:val="18"/>
                <w:szCs w:val="18"/>
                <w:lang w:val="en-GB"/>
              </w:rPr>
            </w:pPr>
            <w:r w:rsidRPr="00F542FC">
              <w:rPr>
                <w:sz w:val="18"/>
                <w:szCs w:val="18"/>
                <w:lang w:val="en-GB"/>
              </w:rPr>
              <w:t>4,464,110</w:t>
            </w:r>
          </w:p>
        </w:tc>
        <w:tc>
          <w:tcPr>
            <w:tcW w:w="1165" w:type="dxa"/>
            <w:noWrap/>
            <w:hideMark/>
          </w:tcPr>
          <w:p w14:paraId="20DEA9F2" w14:textId="77777777" w:rsidR="004145E5" w:rsidRPr="00F542FC" w:rsidRDefault="004145E5" w:rsidP="004145E5">
            <w:pPr>
              <w:pStyle w:val="ExhibitText"/>
              <w:jc w:val="right"/>
              <w:rPr>
                <w:sz w:val="18"/>
                <w:szCs w:val="18"/>
                <w:lang w:val="en-GB"/>
              </w:rPr>
            </w:pPr>
            <w:r w:rsidRPr="00F542FC">
              <w:rPr>
                <w:sz w:val="18"/>
                <w:szCs w:val="18"/>
                <w:lang w:val="en-GB"/>
              </w:rPr>
              <w:t>4,124,593</w:t>
            </w:r>
          </w:p>
        </w:tc>
      </w:tr>
      <w:tr w:rsidR="004145E5" w:rsidRPr="00F542FC" w14:paraId="739458B1" w14:textId="77777777" w:rsidTr="00F542FC">
        <w:trPr>
          <w:trHeight w:val="223"/>
        </w:trPr>
        <w:tc>
          <w:tcPr>
            <w:tcW w:w="3505" w:type="dxa"/>
            <w:hideMark/>
          </w:tcPr>
          <w:p w14:paraId="0C3516D4" w14:textId="6147D151" w:rsidR="004145E5" w:rsidRPr="00F542FC" w:rsidRDefault="004145E5" w:rsidP="004145E5">
            <w:pPr>
              <w:pStyle w:val="ExhibitText"/>
              <w:jc w:val="left"/>
              <w:rPr>
                <w:sz w:val="18"/>
                <w:szCs w:val="18"/>
                <w:lang w:val="en-GB"/>
              </w:rPr>
            </w:pPr>
            <w:r w:rsidRPr="00F542FC">
              <w:rPr>
                <w:sz w:val="18"/>
                <w:szCs w:val="18"/>
                <w:lang w:val="en-GB"/>
              </w:rPr>
              <w:t xml:space="preserve">Equity attributable to owners of the </w:t>
            </w:r>
            <w:r w:rsidR="005B27DC" w:rsidRPr="00F542FC">
              <w:rPr>
                <w:sz w:val="18"/>
                <w:szCs w:val="18"/>
                <w:lang w:val="en-GB"/>
              </w:rPr>
              <w:t>company</w:t>
            </w:r>
          </w:p>
        </w:tc>
        <w:tc>
          <w:tcPr>
            <w:tcW w:w="1170" w:type="dxa"/>
            <w:noWrap/>
            <w:hideMark/>
          </w:tcPr>
          <w:p w14:paraId="6BB96DA6" w14:textId="77777777" w:rsidR="004145E5" w:rsidRPr="00F542FC" w:rsidRDefault="004145E5" w:rsidP="004145E5">
            <w:pPr>
              <w:pStyle w:val="ExhibitText"/>
              <w:jc w:val="right"/>
              <w:rPr>
                <w:sz w:val="18"/>
                <w:szCs w:val="18"/>
                <w:lang w:val="en-GB"/>
              </w:rPr>
            </w:pPr>
            <w:r w:rsidRPr="00F542FC">
              <w:rPr>
                <w:sz w:val="18"/>
                <w:szCs w:val="18"/>
                <w:lang w:val="en-GB"/>
              </w:rPr>
              <w:t>2,112,118</w:t>
            </w:r>
          </w:p>
        </w:tc>
        <w:tc>
          <w:tcPr>
            <w:tcW w:w="1170" w:type="dxa"/>
            <w:noWrap/>
            <w:hideMark/>
          </w:tcPr>
          <w:p w14:paraId="43B060B5" w14:textId="77777777" w:rsidR="004145E5" w:rsidRPr="00F542FC" w:rsidRDefault="004145E5" w:rsidP="004145E5">
            <w:pPr>
              <w:pStyle w:val="ExhibitText"/>
              <w:jc w:val="right"/>
              <w:rPr>
                <w:sz w:val="18"/>
                <w:szCs w:val="18"/>
                <w:lang w:val="en-GB"/>
              </w:rPr>
            </w:pPr>
            <w:r w:rsidRPr="00F542FC">
              <w:rPr>
                <w:sz w:val="18"/>
                <w:szCs w:val="18"/>
                <w:lang w:val="en-GB"/>
              </w:rPr>
              <w:t>2,371,040</w:t>
            </w:r>
          </w:p>
        </w:tc>
        <w:tc>
          <w:tcPr>
            <w:tcW w:w="1170" w:type="dxa"/>
            <w:noWrap/>
            <w:hideMark/>
          </w:tcPr>
          <w:p w14:paraId="607ACCB4" w14:textId="77777777" w:rsidR="004145E5" w:rsidRPr="00F542FC" w:rsidRDefault="004145E5" w:rsidP="004145E5">
            <w:pPr>
              <w:pStyle w:val="ExhibitText"/>
              <w:jc w:val="right"/>
              <w:rPr>
                <w:sz w:val="18"/>
                <w:szCs w:val="18"/>
                <w:lang w:val="en-GB"/>
              </w:rPr>
            </w:pPr>
            <w:r w:rsidRPr="00F542FC">
              <w:rPr>
                <w:sz w:val="18"/>
                <w:szCs w:val="18"/>
                <w:lang w:val="en-GB"/>
              </w:rPr>
              <w:t>2,049,306</w:t>
            </w:r>
          </w:p>
        </w:tc>
        <w:tc>
          <w:tcPr>
            <w:tcW w:w="1170" w:type="dxa"/>
            <w:noWrap/>
            <w:hideMark/>
          </w:tcPr>
          <w:p w14:paraId="620C0422" w14:textId="77777777" w:rsidR="004145E5" w:rsidRPr="00F542FC" w:rsidRDefault="004145E5" w:rsidP="004145E5">
            <w:pPr>
              <w:pStyle w:val="ExhibitText"/>
              <w:jc w:val="right"/>
              <w:rPr>
                <w:sz w:val="18"/>
                <w:szCs w:val="18"/>
                <w:lang w:val="en-GB"/>
              </w:rPr>
            </w:pPr>
            <w:r w:rsidRPr="00F542FC">
              <w:rPr>
                <w:sz w:val="18"/>
                <w:szCs w:val="18"/>
                <w:lang w:val="en-GB"/>
              </w:rPr>
              <w:t>2,102,654</w:t>
            </w:r>
          </w:p>
        </w:tc>
        <w:tc>
          <w:tcPr>
            <w:tcW w:w="1165" w:type="dxa"/>
            <w:noWrap/>
            <w:hideMark/>
          </w:tcPr>
          <w:p w14:paraId="02077807" w14:textId="77777777" w:rsidR="004145E5" w:rsidRPr="00F542FC" w:rsidRDefault="004145E5" w:rsidP="004145E5">
            <w:pPr>
              <w:pStyle w:val="ExhibitText"/>
              <w:jc w:val="right"/>
              <w:rPr>
                <w:sz w:val="18"/>
                <w:szCs w:val="18"/>
                <w:lang w:val="en-GB"/>
              </w:rPr>
            </w:pPr>
            <w:r w:rsidRPr="00F542FC">
              <w:rPr>
                <w:sz w:val="18"/>
                <w:szCs w:val="18"/>
                <w:lang w:val="en-GB"/>
              </w:rPr>
              <w:t>1,981,081</w:t>
            </w:r>
          </w:p>
        </w:tc>
      </w:tr>
      <w:tr w:rsidR="004145E5" w:rsidRPr="00F542FC" w14:paraId="61F44166" w14:textId="77777777" w:rsidTr="00F542FC">
        <w:trPr>
          <w:trHeight w:val="223"/>
        </w:trPr>
        <w:tc>
          <w:tcPr>
            <w:tcW w:w="3505" w:type="dxa"/>
            <w:noWrap/>
            <w:hideMark/>
          </w:tcPr>
          <w:p w14:paraId="1D1B6854" w14:textId="77777777" w:rsidR="004145E5" w:rsidRPr="00F542FC" w:rsidRDefault="004145E5" w:rsidP="004145E5">
            <w:pPr>
              <w:pStyle w:val="ExhibitText"/>
              <w:jc w:val="left"/>
              <w:rPr>
                <w:sz w:val="18"/>
                <w:szCs w:val="18"/>
                <w:lang w:val="en-GB"/>
              </w:rPr>
            </w:pPr>
            <w:r w:rsidRPr="00F542FC">
              <w:rPr>
                <w:sz w:val="18"/>
                <w:szCs w:val="18"/>
                <w:lang w:val="en-GB"/>
              </w:rPr>
              <w:t>Non-controlling interests</w:t>
            </w:r>
          </w:p>
        </w:tc>
        <w:tc>
          <w:tcPr>
            <w:tcW w:w="1170" w:type="dxa"/>
            <w:noWrap/>
            <w:hideMark/>
          </w:tcPr>
          <w:p w14:paraId="3F7E29D2" w14:textId="77777777" w:rsidR="004145E5" w:rsidRPr="00F542FC" w:rsidRDefault="004145E5" w:rsidP="004145E5">
            <w:pPr>
              <w:pStyle w:val="ExhibitText"/>
              <w:jc w:val="right"/>
              <w:rPr>
                <w:sz w:val="18"/>
                <w:szCs w:val="18"/>
                <w:lang w:val="en-GB"/>
              </w:rPr>
            </w:pPr>
            <w:r w:rsidRPr="00F542FC">
              <w:rPr>
                <w:sz w:val="18"/>
                <w:szCs w:val="18"/>
                <w:lang w:val="en-GB"/>
              </w:rPr>
              <w:t>2,323,565</w:t>
            </w:r>
          </w:p>
        </w:tc>
        <w:tc>
          <w:tcPr>
            <w:tcW w:w="1170" w:type="dxa"/>
            <w:noWrap/>
            <w:hideMark/>
          </w:tcPr>
          <w:p w14:paraId="661725D1" w14:textId="77777777" w:rsidR="004145E5" w:rsidRPr="00F542FC" w:rsidRDefault="004145E5" w:rsidP="004145E5">
            <w:pPr>
              <w:pStyle w:val="ExhibitText"/>
              <w:jc w:val="right"/>
              <w:rPr>
                <w:sz w:val="18"/>
                <w:szCs w:val="18"/>
                <w:lang w:val="en-GB"/>
              </w:rPr>
            </w:pPr>
            <w:r w:rsidRPr="00F542FC">
              <w:rPr>
                <w:sz w:val="18"/>
                <w:szCs w:val="18"/>
                <w:lang w:val="en-GB"/>
              </w:rPr>
              <w:t>2,246,622</w:t>
            </w:r>
          </w:p>
        </w:tc>
        <w:tc>
          <w:tcPr>
            <w:tcW w:w="1170" w:type="dxa"/>
            <w:noWrap/>
            <w:hideMark/>
          </w:tcPr>
          <w:p w14:paraId="2112BC89" w14:textId="77777777" w:rsidR="004145E5" w:rsidRPr="00F542FC" w:rsidRDefault="004145E5" w:rsidP="004145E5">
            <w:pPr>
              <w:pStyle w:val="ExhibitText"/>
              <w:jc w:val="right"/>
              <w:rPr>
                <w:sz w:val="18"/>
                <w:szCs w:val="18"/>
                <w:lang w:val="en-GB"/>
              </w:rPr>
            </w:pPr>
            <w:r w:rsidRPr="00F542FC">
              <w:rPr>
                <w:sz w:val="18"/>
                <w:szCs w:val="18"/>
                <w:lang w:val="en-GB"/>
              </w:rPr>
              <w:t>2,380,589</w:t>
            </w:r>
          </w:p>
        </w:tc>
        <w:tc>
          <w:tcPr>
            <w:tcW w:w="1170" w:type="dxa"/>
            <w:noWrap/>
            <w:hideMark/>
          </w:tcPr>
          <w:p w14:paraId="66D7A60A" w14:textId="77777777" w:rsidR="004145E5" w:rsidRPr="00F542FC" w:rsidRDefault="004145E5" w:rsidP="004145E5">
            <w:pPr>
              <w:pStyle w:val="ExhibitText"/>
              <w:jc w:val="right"/>
              <w:rPr>
                <w:sz w:val="18"/>
                <w:szCs w:val="18"/>
                <w:lang w:val="en-GB"/>
              </w:rPr>
            </w:pPr>
            <w:r w:rsidRPr="00F542FC">
              <w:rPr>
                <w:sz w:val="18"/>
                <w:szCs w:val="18"/>
                <w:lang w:val="en-GB"/>
              </w:rPr>
              <w:t>2,361,456</w:t>
            </w:r>
          </w:p>
        </w:tc>
        <w:tc>
          <w:tcPr>
            <w:tcW w:w="1165" w:type="dxa"/>
            <w:noWrap/>
            <w:hideMark/>
          </w:tcPr>
          <w:p w14:paraId="7A09B867" w14:textId="77777777" w:rsidR="004145E5" w:rsidRPr="00F542FC" w:rsidRDefault="004145E5" w:rsidP="004145E5">
            <w:pPr>
              <w:pStyle w:val="ExhibitText"/>
              <w:jc w:val="right"/>
              <w:rPr>
                <w:sz w:val="18"/>
                <w:szCs w:val="18"/>
                <w:lang w:val="en-GB"/>
              </w:rPr>
            </w:pPr>
            <w:r w:rsidRPr="00F542FC">
              <w:rPr>
                <w:sz w:val="18"/>
                <w:szCs w:val="18"/>
                <w:lang w:val="en-GB"/>
              </w:rPr>
              <w:t>2,143,512</w:t>
            </w:r>
          </w:p>
        </w:tc>
      </w:tr>
      <w:tr w:rsidR="004145E5" w:rsidRPr="00F542FC" w14:paraId="463334DE" w14:textId="77777777" w:rsidTr="00F542FC">
        <w:trPr>
          <w:trHeight w:val="223"/>
        </w:trPr>
        <w:tc>
          <w:tcPr>
            <w:tcW w:w="3505" w:type="dxa"/>
            <w:noWrap/>
            <w:hideMark/>
          </w:tcPr>
          <w:p w14:paraId="727DDB2A" w14:textId="2FE32E3E" w:rsidR="004145E5" w:rsidRPr="00F542FC" w:rsidRDefault="004145E5" w:rsidP="004145E5">
            <w:pPr>
              <w:pStyle w:val="ExhibitText"/>
              <w:jc w:val="left"/>
              <w:rPr>
                <w:sz w:val="18"/>
                <w:szCs w:val="18"/>
                <w:lang w:val="en-GB"/>
              </w:rPr>
            </w:pPr>
            <w:r w:rsidRPr="00F542FC">
              <w:rPr>
                <w:sz w:val="18"/>
                <w:szCs w:val="18"/>
                <w:lang w:val="en-GB"/>
              </w:rPr>
              <w:t xml:space="preserve">Total </w:t>
            </w:r>
            <w:r w:rsidR="00AC6390" w:rsidRPr="00F542FC">
              <w:rPr>
                <w:sz w:val="18"/>
                <w:szCs w:val="18"/>
                <w:lang w:val="en-GB"/>
              </w:rPr>
              <w:t xml:space="preserve">owner’s </w:t>
            </w:r>
            <w:r w:rsidRPr="00F542FC">
              <w:rPr>
                <w:sz w:val="18"/>
                <w:szCs w:val="18"/>
                <w:lang w:val="en-GB"/>
              </w:rPr>
              <w:t>equity</w:t>
            </w:r>
          </w:p>
        </w:tc>
        <w:tc>
          <w:tcPr>
            <w:tcW w:w="1170" w:type="dxa"/>
            <w:noWrap/>
            <w:hideMark/>
          </w:tcPr>
          <w:p w14:paraId="614DD6C9" w14:textId="77777777" w:rsidR="004145E5" w:rsidRPr="00F542FC" w:rsidRDefault="004145E5" w:rsidP="004145E5">
            <w:pPr>
              <w:pStyle w:val="ExhibitText"/>
              <w:jc w:val="right"/>
              <w:rPr>
                <w:sz w:val="18"/>
                <w:szCs w:val="18"/>
                <w:lang w:val="en-GB"/>
              </w:rPr>
            </w:pPr>
            <w:r w:rsidRPr="00F542FC">
              <w:rPr>
                <w:sz w:val="18"/>
                <w:szCs w:val="18"/>
                <w:lang w:val="en-GB"/>
              </w:rPr>
              <w:t>4,435,683</w:t>
            </w:r>
          </w:p>
        </w:tc>
        <w:tc>
          <w:tcPr>
            <w:tcW w:w="1170" w:type="dxa"/>
            <w:noWrap/>
            <w:hideMark/>
          </w:tcPr>
          <w:p w14:paraId="0235D908" w14:textId="77777777" w:rsidR="004145E5" w:rsidRPr="00F542FC" w:rsidRDefault="004145E5" w:rsidP="004145E5">
            <w:pPr>
              <w:pStyle w:val="ExhibitText"/>
              <w:jc w:val="right"/>
              <w:rPr>
                <w:sz w:val="18"/>
                <w:szCs w:val="18"/>
                <w:lang w:val="en-GB"/>
              </w:rPr>
            </w:pPr>
            <w:r w:rsidRPr="00F542FC">
              <w:rPr>
                <w:sz w:val="18"/>
                <w:szCs w:val="18"/>
                <w:lang w:val="en-GB"/>
              </w:rPr>
              <w:t>4,617,662</w:t>
            </w:r>
          </w:p>
        </w:tc>
        <w:tc>
          <w:tcPr>
            <w:tcW w:w="1170" w:type="dxa"/>
            <w:noWrap/>
            <w:hideMark/>
          </w:tcPr>
          <w:p w14:paraId="66D3AC9E" w14:textId="77777777" w:rsidR="004145E5" w:rsidRPr="00F542FC" w:rsidRDefault="004145E5" w:rsidP="004145E5">
            <w:pPr>
              <w:pStyle w:val="ExhibitText"/>
              <w:jc w:val="right"/>
              <w:rPr>
                <w:sz w:val="18"/>
                <w:szCs w:val="18"/>
                <w:lang w:val="en-GB"/>
              </w:rPr>
            </w:pPr>
            <w:r w:rsidRPr="00F542FC">
              <w:rPr>
                <w:sz w:val="18"/>
                <w:szCs w:val="18"/>
                <w:lang w:val="en-GB"/>
              </w:rPr>
              <w:t>4,429,895</w:t>
            </w:r>
          </w:p>
        </w:tc>
        <w:tc>
          <w:tcPr>
            <w:tcW w:w="1170" w:type="dxa"/>
            <w:noWrap/>
            <w:hideMark/>
          </w:tcPr>
          <w:p w14:paraId="619229C0" w14:textId="77777777" w:rsidR="004145E5" w:rsidRPr="00F542FC" w:rsidRDefault="004145E5" w:rsidP="004145E5">
            <w:pPr>
              <w:pStyle w:val="ExhibitText"/>
              <w:jc w:val="right"/>
              <w:rPr>
                <w:sz w:val="18"/>
                <w:szCs w:val="18"/>
                <w:lang w:val="en-GB"/>
              </w:rPr>
            </w:pPr>
            <w:r w:rsidRPr="00F542FC">
              <w:rPr>
                <w:sz w:val="18"/>
                <w:szCs w:val="18"/>
                <w:lang w:val="en-GB"/>
              </w:rPr>
              <w:t>4,464,110</w:t>
            </w:r>
          </w:p>
        </w:tc>
        <w:tc>
          <w:tcPr>
            <w:tcW w:w="1165" w:type="dxa"/>
            <w:noWrap/>
            <w:hideMark/>
          </w:tcPr>
          <w:p w14:paraId="3F58A15D" w14:textId="77777777" w:rsidR="004145E5" w:rsidRPr="00F542FC" w:rsidRDefault="004145E5" w:rsidP="004145E5">
            <w:pPr>
              <w:pStyle w:val="ExhibitText"/>
              <w:jc w:val="right"/>
              <w:rPr>
                <w:sz w:val="18"/>
                <w:szCs w:val="18"/>
                <w:lang w:val="en-GB"/>
              </w:rPr>
            </w:pPr>
            <w:r w:rsidRPr="00F542FC">
              <w:rPr>
                <w:sz w:val="18"/>
                <w:szCs w:val="18"/>
                <w:lang w:val="en-GB"/>
              </w:rPr>
              <w:t>4,124,593</w:t>
            </w:r>
          </w:p>
        </w:tc>
      </w:tr>
    </w:tbl>
    <w:p w14:paraId="357FF873" w14:textId="77777777" w:rsidR="004145E5" w:rsidRPr="00827BEA" w:rsidRDefault="004145E5" w:rsidP="004145E5">
      <w:pPr>
        <w:pStyle w:val="Footnote"/>
        <w:rPr>
          <w:rFonts w:eastAsia="Yu Mincho"/>
          <w:shd w:val="clear" w:color="auto" w:fill="FFFFFF"/>
          <w:lang w:val="en-GB"/>
        </w:rPr>
      </w:pPr>
    </w:p>
    <w:p w14:paraId="2C3C961E" w14:textId="599884CA" w:rsidR="004145E5" w:rsidRPr="00827BEA" w:rsidRDefault="004145E5" w:rsidP="004145E5">
      <w:pPr>
        <w:pStyle w:val="Footnote"/>
        <w:rPr>
          <w:rFonts w:eastAsia="Yu Mincho"/>
          <w:shd w:val="clear" w:color="auto" w:fill="FFFFFF"/>
          <w:lang w:val="en-GB"/>
        </w:rPr>
      </w:pPr>
      <w:r w:rsidRPr="00827BEA">
        <w:rPr>
          <w:rFonts w:eastAsia="Yu Mincho"/>
          <w:shd w:val="clear" w:color="auto" w:fill="FFFFFF"/>
          <w:lang w:val="en-GB"/>
        </w:rPr>
        <w:t xml:space="preserve">Source: </w:t>
      </w:r>
      <w:r w:rsidR="00F7360A" w:rsidRPr="00827BEA">
        <w:rPr>
          <w:rFonts w:eastAsia="Yu Mincho"/>
          <w:shd w:val="clear" w:color="auto" w:fill="FFFFFF"/>
          <w:lang w:val="en-GB"/>
        </w:rPr>
        <w:t>Company files</w:t>
      </w:r>
      <w:r w:rsidRPr="00827BEA">
        <w:rPr>
          <w:rFonts w:eastAsia="Yu Mincho"/>
          <w:shd w:val="clear" w:color="auto" w:fill="FFFFFF"/>
          <w:lang w:val="en-GB"/>
        </w:rPr>
        <w:t>.</w:t>
      </w:r>
    </w:p>
    <w:p w14:paraId="5EB71D4E" w14:textId="77777777" w:rsidR="004145E5" w:rsidRPr="00827BEA" w:rsidRDefault="004145E5" w:rsidP="004145E5">
      <w:pPr>
        <w:pStyle w:val="Footnote"/>
        <w:rPr>
          <w:rFonts w:eastAsia="Yu Mincho"/>
          <w:shd w:val="clear" w:color="auto" w:fill="FFFFFF"/>
          <w:lang w:val="en-GB"/>
        </w:rPr>
      </w:pPr>
    </w:p>
    <w:p w14:paraId="31EC1221" w14:textId="77777777" w:rsidR="004145E5" w:rsidRPr="00827BEA" w:rsidRDefault="004145E5" w:rsidP="004145E5">
      <w:pPr>
        <w:pStyle w:val="Footnote"/>
        <w:rPr>
          <w:rFonts w:eastAsia="Yu Mincho"/>
          <w:shd w:val="clear" w:color="auto" w:fill="FFFFFF"/>
          <w:lang w:val="en-GB"/>
        </w:rPr>
      </w:pPr>
    </w:p>
    <w:p w14:paraId="514332D2" w14:textId="3946639D" w:rsidR="004145E5" w:rsidRPr="00827BEA" w:rsidRDefault="004145E5" w:rsidP="004145E5">
      <w:pPr>
        <w:pStyle w:val="ExhibitHeading"/>
        <w:rPr>
          <w:lang w:val="en-GB"/>
        </w:rPr>
      </w:pPr>
      <w:r w:rsidRPr="00827BEA">
        <w:rPr>
          <w:lang w:val="en-GB"/>
        </w:rPr>
        <w:t>Exhibit 3: Mining Industry—Canada and the World</w:t>
      </w:r>
      <w:r w:rsidR="00827BEA">
        <w:rPr>
          <w:lang w:val="en-GB"/>
        </w:rPr>
        <w:t xml:space="preserve"> </w:t>
      </w:r>
    </w:p>
    <w:p w14:paraId="71BC389E" w14:textId="77777777" w:rsidR="004145E5" w:rsidRPr="00827BEA" w:rsidRDefault="004145E5" w:rsidP="004145E5">
      <w:pPr>
        <w:pStyle w:val="ExhibitHeading"/>
        <w:rPr>
          <w:rFonts w:eastAsia="Yu Mincho"/>
          <w:sz w:val="17"/>
          <w:szCs w:val="17"/>
          <w:shd w:val="clear" w:color="auto" w:fill="FFFFFF"/>
          <w:lang w:val="en-GB"/>
        </w:rPr>
      </w:pPr>
    </w:p>
    <w:p w14:paraId="1A01856C" w14:textId="263B8B10" w:rsidR="004145E5" w:rsidRPr="00827BEA" w:rsidRDefault="004145E5" w:rsidP="00207176">
      <w:pPr>
        <w:pStyle w:val="ExhibitText"/>
        <w:rPr>
          <w:rFonts w:eastAsia="Yu Mincho"/>
          <w:sz w:val="18"/>
          <w:szCs w:val="18"/>
          <w:lang w:val="en-GB"/>
        </w:rPr>
      </w:pPr>
      <w:r w:rsidRPr="00827BEA">
        <w:rPr>
          <w:rFonts w:eastAsia="Yu Mincho"/>
          <w:sz w:val="18"/>
          <w:szCs w:val="18"/>
          <w:lang w:val="en-GB"/>
        </w:rPr>
        <w:t xml:space="preserve">Mining was one of Canada’s most important economic sectors and a major job provider. </w:t>
      </w:r>
      <w:r w:rsidR="00207176" w:rsidRPr="00827BEA">
        <w:rPr>
          <w:rFonts w:eastAsia="Yu Mincho"/>
          <w:sz w:val="18"/>
          <w:szCs w:val="18"/>
          <w:lang w:val="en-GB"/>
        </w:rPr>
        <w:t>In 2017, the minerals sector contributed $97 billion, or 5</w:t>
      </w:r>
      <w:r w:rsidR="005B27DC">
        <w:rPr>
          <w:rFonts w:eastAsia="Yu Mincho"/>
          <w:sz w:val="18"/>
          <w:szCs w:val="18"/>
          <w:lang w:val="en-GB"/>
        </w:rPr>
        <w:t xml:space="preserve"> per cent</w:t>
      </w:r>
      <w:r w:rsidR="00207176" w:rsidRPr="00827BEA">
        <w:rPr>
          <w:rFonts w:eastAsia="Yu Mincho"/>
          <w:sz w:val="18"/>
          <w:szCs w:val="18"/>
          <w:lang w:val="en-GB"/>
        </w:rPr>
        <w:t xml:space="preserve">, to Canada’s total nominal </w:t>
      </w:r>
      <w:r w:rsidR="005B27DC">
        <w:rPr>
          <w:rFonts w:eastAsia="Yu Mincho"/>
          <w:sz w:val="18"/>
          <w:szCs w:val="18"/>
          <w:lang w:val="en-GB"/>
        </w:rPr>
        <w:t>gross domestic product</w:t>
      </w:r>
      <w:r w:rsidR="00207176" w:rsidRPr="00827BEA">
        <w:rPr>
          <w:rFonts w:eastAsia="Yu Mincho"/>
          <w:sz w:val="18"/>
          <w:szCs w:val="18"/>
          <w:lang w:val="en-GB"/>
        </w:rPr>
        <w:t xml:space="preserve">. </w:t>
      </w:r>
      <w:r w:rsidRPr="00827BEA">
        <w:rPr>
          <w:rFonts w:eastAsia="Yu Mincho"/>
          <w:sz w:val="18"/>
          <w:szCs w:val="18"/>
          <w:lang w:val="en-GB"/>
        </w:rPr>
        <w:t xml:space="preserve">Canada had one of the largest mining supply sectors globally, with over 3,700 companies offering engineering, geotechnical, environmental, financial, and other services to </w:t>
      </w:r>
      <w:r w:rsidR="005B27DC">
        <w:rPr>
          <w:rFonts w:eastAsia="Yu Mincho"/>
          <w:sz w:val="18"/>
          <w:szCs w:val="18"/>
          <w:lang w:val="en-GB"/>
        </w:rPr>
        <w:t xml:space="preserve">the </w:t>
      </w:r>
      <w:r w:rsidRPr="00827BEA">
        <w:rPr>
          <w:rFonts w:eastAsia="Yu Mincho"/>
          <w:sz w:val="18"/>
          <w:szCs w:val="18"/>
          <w:lang w:val="en-GB"/>
        </w:rPr>
        <w:t>mining business. Canada was one of the largest mining nations in the world, producing more than 60 minerals and metals. Canada ranked in the top five countries in the global production of 1</w:t>
      </w:r>
      <w:r w:rsidR="00585CC3" w:rsidRPr="00827BEA">
        <w:rPr>
          <w:rFonts w:eastAsia="Yu Mincho"/>
          <w:sz w:val="18"/>
          <w:szCs w:val="18"/>
          <w:lang w:val="en-GB"/>
        </w:rPr>
        <w:t>6</w:t>
      </w:r>
      <w:r w:rsidRPr="00827BEA">
        <w:rPr>
          <w:rFonts w:eastAsia="Yu Mincho"/>
          <w:sz w:val="18"/>
          <w:szCs w:val="18"/>
          <w:lang w:val="en-GB"/>
        </w:rPr>
        <w:t xml:space="preserve"> major minerals and metals. </w:t>
      </w:r>
      <w:r w:rsidR="00207176" w:rsidRPr="00827BEA">
        <w:rPr>
          <w:rFonts w:eastAsia="Yu Mincho"/>
          <w:sz w:val="18"/>
          <w:szCs w:val="18"/>
          <w:lang w:val="en-GB"/>
        </w:rPr>
        <w:t>The Toronto Stock Exchange (TS</w:t>
      </w:r>
      <w:r w:rsidR="004C5A79" w:rsidRPr="00827BEA">
        <w:rPr>
          <w:rFonts w:eastAsia="Yu Mincho"/>
          <w:sz w:val="18"/>
          <w:szCs w:val="18"/>
          <w:lang w:val="en-GB"/>
        </w:rPr>
        <w:t>E</w:t>
      </w:r>
      <w:r w:rsidR="00207176" w:rsidRPr="00827BEA">
        <w:rPr>
          <w:rFonts w:eastAsia="Yu Mincho"/>
          <w:sz w:val="18"/>
          <w:szCs w:val="18"/>
          <w:lang w:val="en-GB"/>
        </w:rPr>
        <w:t>) and TS</w:t>
      </w:r>
      <w:r w:rsidR="004C5A79" w:rsidRPr="00827BEA">
        <w:rPr>
          <w:rFonts w:eastAsia="Yu Mincho"/>
          <w:sz w:val="18"/>
          <w:szCs w:val="18"/>
          <w:lang w:val="en-GB"/>
        </w:rPr>
        <w:t>E</w:t>
      </w:r>
      <w:r w:rsidR="00207176" w:rsidRPr="00827BEA">
        <w:rPr>
          <w:rFonts w:eastAsia="Yu Mincho"/>
          <w:sz w:val="18"/>
          <w:szCs w:val="18"/>
          <w:lang w:val="en-GB"/>
        </w:rPr>
        <w:t xml:space="preserve"> Venture Exchange </w:t>
      </w:r>
      <w:r w:rsidR="005B27DC">
        <w:rPr>
          <w:rFonts w:eastAsia="Yu Mincho"/>
          <w:sz w:val="18"/>
          <w:szCs w:val="18"/>
          <w:lang w:val="en-GB"/>
        </w:rPr>
        <w:t>were</w:t>
      </w:r>
      <w:r w:rsidR="005B27DC" w:rsidRPr="00827BEA">
        <w:rPr>
          <w:rFonts w:eastAsia="Yu Mincho"/>
          <w:sz w:val="18"/>
          <w:szCs w:val="18"/>
          <w:lang w:val="en-GB"/>
        </w:rPr>
        <w:t xml:space="preserve"> </w:t>
      </w:r>
      <w:r w:rsidR="00207176" w:rsidRPr="00827BEA">
        <w:rPr>
          <w:rFonts w:eastAsia="Yu Mincho"/>
          <w:sz w:val="18"/>
          <w:szCs w:val="18"/>
          <w:lang w:val="en-GB"/>
        </w:rPr>
        <w:t>the world’s number one mining and exploration listing venues.</w:t>
      </w:r>
    </w:p>
    <w:p w14:paraId="44289B96" w14:textId="77777777" w:rsidR="006E6224" w:rsidRPr="00827BEA" w:rsidRDefault="006E6224" w:rsidP="004145E5">
      <w:pPr>
        <w:pStyle w:val="ExhibitText"/>
        <w:rPr>
          <w:rFonts w:eastAsia="Yu Mincho"/>
          <w:sz w:val="18"/>
          <w:szCs w:val="18"/>
          <w:lang w:val="en-GB"/>
        </w:rPr>
      </w:pPr>
    </w:p>
    <w:p w14:paraId="47683FA0" w14:textId="3D2B4F29" w:rsidR="004145E5" w:rsidRPr="00827BEA" w:rsidRDefault="004145E5" w:rsidP="00207176">
      <w:pPr>
        <w:pStyle w:val="ExhibitText"/>
        <w:rPr>
          <w:rFonts w:eastAsia="Yu Mincho"/>
          <w:sz w:val="18"/>
          <w:szCs w:val="18"/>
          <w:shd w:val="clear" w:color="auto" w:fill="FFFFFF"/>
          <w:lang w:val="en-GB"/>
        </w:rPr>
      </w:pPr>
      <w:r w:rsidRPr="00827BEA">
        <w:rPr>
          <w:rFonts w:eastAsia="Yu Mincho"/>
          <w:sz w:val="18"/>
          <w:szCs w:val="18"/>
          <w:lang w:val="en-GB"/>
        </w:rPr>
        <w:t xml:space="preserve">Meanwhile, Canada’s political leadership intended to maintain its </w:t>
      </w:r>
      <w:r w:rsidR="005B27DC" w:rsidRPr="00827BEA">
        <w:rPr>
          <w:rFonts w:eastAsia="Yu Mincho"/>
          <w:sz w:val="18"/>
          <w:szCs w:val="18"/>
          <w:lang w:val="en-GB"/>
        </w:rPr>
        <w:t>favourable</w:t>
      </w:r>
      <w:r w:rsidRPr="00827BEA">
        <w:rPr>
          <w:rFonts w:eastAsia="Yu Mincho"/>
          <w:sz w:val="18"/>
          <w:szCs w:val="18"/>
          <w:lang w:val="en-GB"/>
        </w:rPr>
        <w:t xml:space="preserve"> tax and regulatory policies for the sector. Canada’s technological, infrastructure, and governance advantages made it an attractive investment destination. Its mining executives also took advantage of the Canada Revenue Agency’s Scientific Research and Experimental Development program, leading to significant cost savings. </w:t>
      </w:r>
    </w:p>
    <w:p w14:paraId="64E592C5" w14:textId="77777777" w:rsidR="006E6224" w:rsidRPr="00827BEA" w:rsidRDefault="006E6224" w:rsidP="00746D88">
      <w:pPr>
        <w:pStyle w:val="ExhibitText"/>
        <w:rPr>
          <w:rFonts w:eastAsia="Yu Mincho"/>
          <w:sz w:val="18"/>
          <w:szCs w:val="18"/>
          <w:lang w:val="en-GB"/>
        </w:rPr>
      </w:pPr>
    </w:p>
    <w:p w14:paraId="055DAA3B" w14:textId="4712DE5B" w:rsidR="004145E5" w:rsidRPr="00827BEA" w:rsidRDefault="004145E5" w:rsidP="00746D88">
      <w:pPr>
        <w:pStyle w:val="ExhibitText"/>
        <w:rPr>
          <w:rFonts w:eastAsia="Yu Mincho"/>
          <w:sz w:val="18"/>
          <w:szCs w:val="18"/>
          <w:lang w:val="en-GB"/>
        </w:rPr>
      </w:pPr>
      <w:r w:rsidRPr="00827BEA">
        <w:rPr>
          <w:rFonts w:eastAsia="Yu Mincho"/>
          <w:sz w:val="18"/>
          <w:szCs w:val="18"/>
          <w:lang w:val="en-GB"/>
        </w:rPr>
        <w:t xml:space="preserve">The worldwide gold and silver ore mining industry was expected to expand slowly from 2017 to 2022. </w:t>
      </w:r>
      <w:r w:rsidR="0023413C">
        <w:rPr>
          <w:rFonts w:eastAsia="Yu Mincho"/>
          <w:sz w:val="18"/>
          <w:szCs w:val="18"/>
          <w:lang w:val="en-GB"/>
        </w:rPr>
        <w:t>The price of gold</w:t>
      </w:r>
      <w:r w:rsidRPr="00827BEA">
        <w:rPr>
          <w:rFonts w:eastAsia="Yu Mincho"/>
          <w:sz w:val="18"/>
          <w:szCs w:val="18"/>
          <w:lang w:val="en-GB"/>
        </w:rPr>
        <w:t xml:space="preserve"> had been volatile</w:t>
      </w:r>
      <w:r w:rsidR="0023413C">
        <w:rPr>
          <w:rFonts w:eastAsia="Yu Mincho"/>
          <w:sz w:val="18"/>
          <w:szCs w:val="18"/>
          <w:lang w:val="en-GB"/>
        </w:rPr>
        <w:t>,</w:t>
      </w:r>
      <w:r w:rsidRPr="00827BEA">
        <w:rPr>
          <w:rFonts w:eastAsia="Yu Mincho"/>
          <w:sz w:val="18"/>
          <w:szCs w:val="18"/>
          <w:lang w:val="en-GB"/>
        </w:rPr>
        <w:t xml:space="preserve"> and thus the industry’s profitability had been severely affected. Large players had started to pursue economies of scale in </w:t>
      </w:r>
      <w:r w:rsidR="0023413C">
        <w:rPr>
          <w:rFonts w:eastAsia="Yu Mincho"/>
          <w:sz w:val="18"/>
          <w:szCs w:val="18"/>
          <w:lang w:val="en-GB"/>
        </w:rPr>
        <w:t>value chain</w:t>
      </w:r>
      <w:r w:rsidRPr="00827BEA">
        <w:rPr>
          <w:rFonts w:eastAsia="Yu Mincho"/>
          <w:sz w:val="18"/>
          <w:szCs w:val="18"/>
          <w:lang w:val="en-GB"/>
        </w:rPr>
        <w:t xml:space="preserve"> activities. </w:t>
      </w:r>
      <w:r w:rsidR="0023413C">
        <w:rPr>
          <w:rFonts w:eastAsia="Yu Mincho"/>
          <w:sz w:val="18"/>
          <w:szCs w:val="18"/>
          <w:lang w:val="en-GB"/>
        </w:rPr>
        <w:t>Mergers</w:t>
      </w:r>
      <w:r w:rsidR="0023413C" w:rsidRPr="00827BEA">
        <w:rPr>
          <w:rFonts w:eastAsia="Yu Mincho"/>
          <w:sz w:val="18"/>
          <w:szCs w:val="18"/>
          <w:lang w:val="en-GB"/>
        </w:rPr>
        <w:t xml:space="preserve"> </w:t>
      </w:r>
      <w:r w:rsidRPr="00827BEA">
        <w:rPr>
          <w:rFonts w:eastAsia="Yu Mincho"/>
          <w:sz w:val="18"/>
          <w:szCs w:val="18"/>
          <w:lang w:val="en-GB"/>
        </w:rPr>
        <w:t xml:space="preserve">and </w:t>
      </w:r>
      <w:r w:rsidR="0023413C">
        <w:rPr>
          <w:rFonts w:eastAsia="Yu Mincho"/>
          <w:sz w:val="18"/>
          <w:szCs w:val="18"/>
          <w:lang w:val="en-GB"/>
        </w:rPr>
        <w:t xml:space="preserve">acquisitions </w:t>
      </w:r>
      <w:r w:rsidRPr="00827BEA">
        <w:rPr>
          <w:rFonts w:eastAsia="Yu Mincho"/>
          <w:sz w:val="18"/>
          <w:szCs w:val="18"/>
          <w:lang w:val="en-GB"/>
        </w:rPr>
        <w:t>activities would likely continue. The timeline of project development and the mine life cycle were relatively long, as it often took decades for gold miners to move from discovery</w:t>
      </w:r>
      <w:r w:rsidR="0023413C">
        <w:rPr>
          <w:rFonts w:eastAsia="Yu Mincho"/>
          <w:sz w:val="18"/>
          <w:szCs w:val="18"/>
          <w:lang w:val="en-GB"/>
        </w:rPr>
        <w:t xml:space="preserve"> and </w:t>
      </w:r>
      <w:r w:rsidRPr="00827BEA">
        <w:rPr>
          <w:rFonts w:eastAsia="Yu Mincho"/>
          <w:sz w:val="18"/>
          <w:szCs w:val="18"/>
          <w:lang w:val="en-GB"/>
        </w:rPr>
        <w:t xml:space="preserve">exploration to production. </w:t>
      </w:r>
    </w:p>
    <w:p w14:paraId="563C8221" w14:textId="77777777" w:rsidR="006E6224" w:rsidRPr="00827BEA" w:rsidRDefault="006E6224" w:rsidP="004145E5">
      <w:pPr>
        <w:pStyle w:val="ExhibitText"/>
        <w:rPr>
          <w:rFonts w:eastAsia="Calibri"/>
          <w:sz w:val="18"/>
          <w:szCs w:val="18"/>
          <w:lang w:val="en-GB" w:eastAsia="en-CA" w:bidi="en-CA"/>
        </w:rPr>
      </w:pPr>
    </w:p>
    <w:p w14:paraId="716A6C1A" w14:textId="7F63EB98" w:rsidR="004145E5" w:rsidRPr="00827BEA" w:rsidRDefault="004145E5" w:rsidP="004145E5">
      <w:pPr>
        <w:pStyle w:val="ExhibitText"/>
        <w:rPr>
          <w:rFonts w:eastAsia="Calibri"/>
          <w:sz w:val="18"/>
          <w:szCs w:val="18"/>
          <w:lang w:val="en-GB" w:eastAsia="en-CA" w:bidi="en-CA"/>
        </w:rPr>
      </w:pPr>
      <w:r w:rsidRPr="00827BEA">
        <w:rPr>
          <w:rFonts w:eastAsia="Calibri"/>
          <w:sz w:val="18"/>
          <w:szCs w:val="18"/>
          <w:lang w:val="en-GB" w:eastAsia="en-CA" w:bidi="en-CA"/>
        </w:rPr>
        <w:t>Gold mining had operated on every continent except Antarctica. The top 10 countries in terms of gold production in 201</w:t>
      </w:r>
      <w:r w:rsidR="00567310" w:rsidRPr="00827BEA">
        <w:rPr>
          <w:rFonts w:eastAsia="Calibri"/>
          <w:sz w:val="18"/>
          <w:szCs w:val="18"/>
          <w:lang w:val="en-GB" w:eastAsia="en-CA" w:bidi="en-CA"/>
        </w:rPr>
        <w:t>8</w:t>
      </w:r>
      <w:r w:rsidRPr="00827BEA">
        <w:rPr>
          <w:rFonts w:eastAsia="Calibri"/>
          <w:sz w:val="18"/>
          <w:szCs w:val="18"/>
          <w:lang w:val="en-GB" w:eastAsia="en-CA" w:bidi="en-CA"/>
        </w:rPr>
        <w:t xml:space="preserve"> were China, Australia, Russia, the</w:t>
      </w:r>
      <w:r w:rsidR="0023413C">
        <w:rPr>
          <w:rFonts w:eastAsia="Calibri"/>
          <w:sz w:val="18"/>
          <w:szCs w:val="18"/>
          <w:lang w:val="en-GB" w:eastAsia="en-CA" w:bidi="en-CA"/>
        </w:rPr>
        <w:t xml:space="preserve"> United States</w:t>
      </w:r>
      <w:r w:rsidRPr="00827BEA">
        <w:rPr>
          <w:rFonts w:eastAsia="Calibri"/>
          <w:sz w:val="18"/>
          <w:szCs w:val="18"/>
          <w:lang w:val="en-GB" w:eastAsia="en-CA" w:bidi="en-CA"/>
        </w:rPr>
        <w:t xml:space="preserve">, </w:t>
      </w:r>
      <w:r w:rsidR="0096630D" w:rsidRPr="00827BEA">
        <w:rPr>
          <w:rFonts w:eastAsia="Calibri"/>
          <w:sz w:val="18"/>
          <w:szCs w:val="18"/>
          <w:lang w:val="en-GB" w:eastAsia="en-CA" w:bidi="en-CA"/>
        </w:rPr>
        <w:t xml:space="preserve">Canada, </w:t>
      </w:r>
      <w:r w:rsidRPr="00827BEA">
        <w:rPr>
          <w:rFonts w:eastAsia="Calibri"/>
          <w:sz w:val="18"/>
          <w:szCs w:val="18"/>
          <w:lang w:val="en-GB" w:eastAsia="en-CA" w:bidi="en-CA"/>
        </w:rPr>
        <w:t xml:space="preserve">Peru, </w:t>
      </w:r>
      <w:r w:rsidR="0096630D" w:rsidRPr="00827BEA">
        <w:rPr>
          <w:rFonts w:eastAsia="Calibri"/>
          <w:sz w:val="18"/>
          <w:szCs w:val="18"/>
          <w:lang w:val="en-GB" w:eastAsia="en-CA" w:bidi="en-CA"/>
        </w:rPr>
        <w:t xml:space="preserve">Indonesia, Ghana, </w:t>
      </w:r>
      <w:r w:rsidRPr="00827BEA">
        <w:rPr>
          <w:rFonts w:eastAsia="Calibri"/>
          <w:sz w:val="18"/>
          <w:szCs w:val="18"/>
          <w:lang w:val="en-GB" w:eastAsia="en-CA" w:bidi="en-CA"/>
        </w:rPr>
        <w:t>South Africa</w:t>
      </w:r>
      <w:r w:rsidR="0096630D" w:rsidRPr="00827BEA">
        <w:rPr>
          <w:rFonts w:eastAsia="Calibri"/>
          <w:sz w:val="18"/>
          <w:szCs w:val="18"/>
          <w:lang w:val="en-GB" w:eastAsia="en-CA" w:bidi="en-CA"/>
        </w:rPr>
        <w:t>, and Mexico.</w:t>
      </w:r>
      <w:r w:rsidRPr="00827BEA">
        <w:rPr>
          <w:rFonts w:eastAsia="Calibri"/>
          <w:sz w:val="18"/>
          <w:szCs w:val="18"/>
          <w:lang w:val="en-GB" w:eastAsia="en-CA" w:bidi="en-CA"/>
        </w:rPr>
        <w:t xml:space="preserve"> </w:t>
      </w:r>
    </w:p>
    <w:p w14:paraId="080AC83B" w14:textId="77777777" w:rsidR="005B27DC" w:rsidRDefault="005B27DC" w:rsidP="00050E63">
      <w:pPr>
        <w:pStyle w:val="Footnote"/>
        <w:rPr>
          <w:rFonts w:eastAsia="Calibri"/>
          <w:lang w:val="en-GB" w:eastAsia="en-CA" w:bidi="en-CA"/>
        </w:rPr>
      </w:pPr>
    </w:p>
    <w:p w14:paraId="497AA9C8" w14:textId="7155581B" w:rsidR="004E0802" w:rsidRDefault="004145E5" w:rsidP="00050E63">
      <w:pPr>
        <w:pStyle w:val="Footnote"/>
        <w:rPr>
          <w:lang w:val="en-GB"/>
        </w:rPr>
      </w:pPr>
      <w:r w:rsidRPr="00827BEA">
        <w:rPr>
          <w:rFonts w:eastAsia="Calibri"/>
          <w:lang w:val="en-GB" w:eastAsia="en-CA" w:bidi="en-CA"/>
        </w:rPr>
        <w:t xml:space="preserve">Source: </w:t>
      </w:r>
      <w:r w:rsidR="00585CC3" w:rsidRPr="00827BEA">
        <w:rPr>
          <w:rFonts w:eastAsia="Calibri"/>
          <w:lang w:val="en-GB" w:eastAsia="en-CA" w:bidi="en-CA"/>
        </w:rPr>
        <w:t>“Facts and Figures 2018</w:t>
      </w:r>
      <w:r w:rsidR="00050E63" w:rsidRPr="00827BEA">
        <w:rPr>
          <w:rFonts w:eastAsia="Calibri"/>
          <w:lang w:val="en-GB" w:eastAsia="en-CA" w:bidi="en-CA"/>
        </w:rPr>
        <w:t>,</w:t>
      </w:r>
      <w:r w:rsidR="00585CC3" w:rsidRPr="00827BEA">
        <w:rPr>
          <w:rFonts w:eastAsia="Calibri"/>
          <w:lang w:val="en-GB" w:eastAsia="en-CA" w:bidi="en-CA"/>
        </w:rPr>
        <w:t xml:space="preserve">” </w:t>
      </w:r>
      <w:r w:rsidR="0023413C">
        <w:rPr>
          <w:rFonts w:eastAsia="Calibri"/>
          <w:lang w:val="en-GB" w:eastAsia="en-CA" w:bidi="en-CA"/>
        </w:rPr>
        <w:t xml:space="preserve">The </w:t>
      </w:r>
      <w:r w:rsidR="0023413C" w:rsidRPr="00827BEA">
        <w:rPr>
          <w:rFonts w:eastAsia="Calibri"/>
          <w:lang w:val="en-GB" w:eastAsia="en-CA" w:bidi="en-CA"/>
        </w:rPr>
        <w:t>Mining Association of Canada</w:t>
      </w:r>
      <w:r w:rsidR="0023413C">
        <w:rPr>
          <w:rFonts w:eastAsia="Calibri"/>
          <w:lang w:val="en-GB" w:eastAsia="en-CA" w:bidi="en-CA"/>
        </w:rPr>
        <w:t>,</w:t>
      </w:r>
      <w:r w:rsidR="0023413C" w:rsidRPr="00827BEA">
        <w:rPr>
          <w:rFonts w:eastAsia="Calibri"/>
          <w:lang w:val="en-GB" w:eastAsia="en-CA" w:bidi="en-CA"/>
        </w:rPr>
        <w:t xml:space="preserve"> </w:t>
      </w:r>
      <w:r w:rsidR="000D2C1C">
        <w:rPr>
          <w:rFonts w:eastAsia="Calibri"/>
          <w:lang w:val="en-GB" w:eastAsia="en-CA" w:bidi="en-CA"/>
        </w:rPr>
        <w:t xml:space="preserve">March 25, 2019, </w:t>
      </w:r>
      <w:r w:rsidR="00050E63" w:rsidRPr="00827BEA">
        <w:rPr>
          <w:rFonts w:eastAsia="Calibri"/>
          <w:lang w:val="en-GB" w:eastAsia="en-CA" w:bidi="en-CA"/>
        </w:rPr>
        <w:t xml:space="preserve">accessed May 31, 2019, </w:t>
      </w:r>
      <w:r w:rsidR="0096630D" w:rsidRPr="00827BEA">
        <w:rPr>
          <w:lang w:val="en-GB"/>
        </w:rPr>
        <w:t>https://mining.ca/documents/facts-and-figures-2018/</w:t>
      </w:r>
      <w:r w:rsidR="00050E63" w:rsidRPr="00827BEA">
        <w:rPr>
          <w:lang w:val="en-GB"/>
        </w:rPr>
        <w:t>;</w:t>
      </w:r>
      <w:r w:rsidR="0096630D" w:rsidRPr="00827BEA">
        <w:rPr>
          <w:lang w:val="en-GB"/>
        </w:rPr>
        <w:t xml:space="preserve"> </w:t>
      </w:r>
      <w:r w:rsidR="00585CC3" w:rsidRPr="00827BEA">
        <w:rPr>
          <w:rFonts w:eastAsia="Calibri"/>
          <w:lang w:val="en-GB" w:eastAsia="en-CA" w:bidi="en-CA"/>
        </w:rPr>
        <w:t xml:space="preserve">“Gold </w:t>
      </w:r>
      <w:r w:rsidR="00050E63" w:rsidRPr="00827BEA">
        <w:rPr>
          <w:rFonts w:eastAsia="Calibri"/>
          <w:lang w:val="en-GB" w:eastAsia="en-CA" w:bidi="en-CA"/>
        </w:rPr>
        <w:t>M</w:t>
      </w:r>
      <w:r w:rsidR="00585CC3" w:rsidRPr="00827BEA">
        <w:rPr>
          <w:rFonts w:eastAsia="Calibri"/>
          <w:lang w:val="en-GB" w:eastAsia="en-CA" w:bidi="en-CA"/>
        </w:rPr>
        <w:t xml:space="preserve">ine </w:t>
      </w:r>
      <w:r w:rsidR="00050E63" w:rsidRPr="00827BEA">
        <w:rPr>
          <w:rFonts w:eastAsia="Calibri"/>
          <w:lang w:val="en-GB" w:eastAsia="en-CA" w:bidi="en-CA"/>
        </w:rPr>
        <w:t>P</w:t>
      </w:r>
      <w:r w:rsidR="00585CC3" w:rsidRPr="00827BEA">
        <w:rPr>
          <w:rFonts w:eastAsia="Calibri"/>
          <w:lang w:val="en-GB" w:eastAsia="en-CA" w:bidi="en-CA"/>
        </w:rPr>
        <w:t>roduction</w:t>
      </w:r>
      <w:r w:rsidR="00050E63" w:rsidRPr="00827BEA">
        <w:rPr>
          <w:rFonts w:eastAsia="Calibri"/>
          <w:lang w:val="en-GB" w:eastAsia="en-CA" w:bidi="en-CA"/>
        </w:rPr>
        <w:t>,</w:t>
      </w:r>
      <w:r w:rsidR="00585CC3" w:rsidRPr="00827BEA">
        <w:rPr>
          <w:rFonts w:eastAsia="Calibri"/>
          <w:lang w:val="en-GB" w:eastAsia="en-CA" w:bidi="en-CA"/>
        </w:rPr>
        <w:t xml:space="preserve">” </w:t>
      </w:r>
      <w:r w:rsidR="00050E63" w:rsidRPr="00827BEA">
        <w:rPr>
          <w:rFonts w:eastAsia="Calibri"/>
          <w:lang w:val="en-GB" w:eastAsia="en-CA" w:bidi="en-CA"/>
        </w:rPr>
        <w:t>Gold</w:t>
      </w:r>
      <w:r w:rsidR="000D2C1C">
        <w:rPr>
          <w:rFonts w:eastAsia="Calibri"/>
          <w:lang w:val="en-GB" w:eastAsia="en-CA" w:bidi="en-CA"/>
        </w:rPr>
        <w:t>hub</w:t>
      </w:r>
      <w:r w:rsidR="00050E63" w:rsidRPr="00827BEA">
        <w:rPr>
          <w:rFonts w:eastAsia="Calibri"/>
          <w:lang w:val="en-GB" w:eastAsia="en-CA" w:bidi="en-CA"/>
        </w:rPr>
        <w:t xml:space="preserve">, </w:t>
      </w:r>
      <w:r w:rsidR="000D2C1C">
        <w:rPr>
          <w:rFonts w:eastAsia="Calibri"/>
          <w:lang w:val="en-GB" w:eastAsia="en-CA" w:bidi="en-CA"/>
        </w:rPr>
        <w:t xml:space="preserve">April 4, 2019, </w:t>
      </w:r>
      <w:r w:rsidR="00050E63" w:rsidRPr="00827BEA">
        <w:rPr>
          <w:rFonts w:eastAsia="Calibri"/>
          <w:lang w:val="en-GB" w:eastAsia="en-CA" w:bidi="en-CA"/>
        </w:rPr>
        <w:t xml:space="preserve">accessed May 31, 2019, </w:t>
      </w:r>
      <w:r w:rsidR="00050E63" w:rsidRPr="00827BEA">
        <w:rPr>
          <w:lang w:val="en-GB"/>
        </w:rPr>
        <w:t>www.gold.org/goldhub/data/historical-mine-production.</w:t>
      </w:r>
    </w:p>
    <w:p w14:paraId="36DD22D5" w14:textId="3519DC93" w:rsidR="005B27DC" w:rsidRPr="00827BEA" w:rsidRDefault="005B27DC" w:rsidP="00050E63">
      <w:pPr>
        <w:pStyle w:val="Footnote"/>
        <w:rPr>
          <w:rFonts w:eastAsia="Calibri"/>
          <w:lang w:val="en-GB" w:eastAsia="en-CA" w:bidi="en-CA"/>
        </w:rPr>
        <w:sectPr w:rsidR="005B27DC" w:rsidRPr="00827BEA" w:rsidSect="00751E0B">
          <w:headerReference w:type="default" r:id="rId10"/>
          <w:pgSz w:w="12240" w:h="15840" w:code="1"/>
          <w:pgMar w:top="1080" w:right="1440" w:bottom="1440" w:left="1440" w:header="1080" w:footer="720" w:gutter="0"/>
          <w:cols w:space="720"/>
          <w:titlePg/>
          <w:docGrid w:linePitch="360"/>
        </w:sectPr>
      </w:pPr>
    </w:p>
    <w:p w14:paraId="15C575D0" w14:textId="77777777" w:rsidR="004E0802" w:rsidRPr="00827BEA" w:rsidRDefault="004E0802" w:rsidP="004E0802">
      <w:pPr>
        <w:pStyle w:val="ExhibitHeading"/>
        <w:rPr>
          <w:rFonts w:eastAsia="Yu Mincho"/>
          <w:lang w:val="en-GB"/>
        </w:rPr>
      </w:pPr>
      <w:r w:rsidRPr="00827BEA">
        <w:rPr>
          <w:rFonts w:eastAsia="Yu Mincho"/>
          <w:lang w:val="en-GB"/>
        </w:rPr>
        <w:lastRenderedPageBreak/>
        <w:t>Exhibit 4: Financial Summary of CGI, 2008–2016 (US$1,000)</w:t>
      </w:r>
    </w:p>
    <w:p w14:paraId="7D656FCA" w14:textId="77777777" w:rsidR="004E0802" w:rsidRPr="00827BEA" w:rsidRDefault="004E0802" w:rsidP="004E0802">
      <w:pPr>
        <w:pStyle w:val="ExhibitHeading"/>
        <w:rPr>
          <w:rFonts w:eastAsia="Yu Mincho"/>
          <w:lang w:val="en-GB"/>
        </w:rPr>
      </w:pPr>
    </w:p>
    <w:tbl>
      <w:tblPr>
        <w:tblStyle w:val="TableGrid1"/>
        <w:tblW w:w="12960" w:type="dxa"/>
        <w:jc w:val="center"/>
        <w:tblLook w:val="04A0" w:firstRow="1" w:lastRow="0" w:firstColumn="1" w:lastColumn="0" w:noHBand="0" w:noVBand="1"/>
      </w:tblPr>
      <w:tblGrid>
        <w:gridCol w:w="2970"/>
        <w:gridCol w:w="1260"/>
        <w:gridCol w:w="1144"/>
        <w:gridCol w:w="1106"/>
        <w:gridCol w:w="1144"/>
        <w:gridCol w:w="1106"/>
        <w:gridCol w:w="1144"/>
        <w:gridCol w:w="1106"/>
        <w:gridCol w:w="990"/>
        <w:gridCol w:w="990"/>
      </w:tblGrid>
      <w:tr w:rsidR="004E0802" w:rsidRPr="00827BEA" w14:paraId="03C02480" w14:textId="77777777" w:rsidTr="003805CD">
        <w:trPr>
          <w:jc w:val="center"/>
        </w:trPr>
        <w:tc>
          <w:tcPr>
            <w:tcW w:w="2970" w:type="dxa"/>
            <w:vAlign w:val="center"/>
          </w:tcPr>
          <w:p w14:paraId="53455AA4" w14:textId="77777777" w:rsidR="004E0802" w:rsidRPr="00827BEA" w:rsidRDefault="004E0802" w:rsidP="004E0802">
            <w:pPr>
              <w:pStyle w:val="ExhibitText"/>
              <w:jc w:val="left"/>
              <w:rPr>
                <w:rFonts w:eastAsia="Yu Mincho"/>
                <w:b/>
                <w:lang w:val="en-GB"/>
              </w:rPr>
            </w:pPr>
          </w:p>
        </w:tc>
        <w:tc>
          <w:tcPr>
            <w:tcW w:w="1260" w:type="dxa"/>
          </w:tcPr>
          <w:p w14:paraId="26B33A9E" w14:textId="77777777" w:rsidR="004E0802" w:rsidRPr="00827BEA" w:rsidRDefault="004E0802" w:rsidP="004E0802">
            <w:pPr>
              <w:pStyle w:val="ExhibitText"/>
              <w:jc w:val="center"/>
              <w:rPr>
                <w:rFonts w:eastAsia="Yu Mincho"/>
                <w:b/>
                <w:lang w:val="en-GB"/>
              </w:rPr>
            </w:pPr>
            <w:r w:rsidRPr="00827BEA">
              <w:rPr>
                <w:rFonts w:eastAsia="Yu Mincho"/>
                <w:b/>
                <w:lang w:val="en-GB"/>
              </w:rPr>
              <w:t>2016</w:t>
            </w:r>
          </w:p>
        </w:tc>
        <w:tc>
          <w:tcPr>
            <w:tcW w:w="1144" w:type="dxa"/>
          </w:tcPr>
          <w:p w14:paraId="44DC8E99" w14:textId="77777777" w:rsidR="004E0802" w:rsidRPr="00827BEA" w:rsidRDefault="004E0802" w:rsidP="004E0802">
            <w:pPr>
              <w:pStyle w:val="ExhibitText"/>
              <w:jc w:val="center"/>
              <w:rPr>
                <w:rFonts w:eastAsia="Yu Mincho"/>
                <w:b/>
                <w:lang w:val="en-GB"/>
              </w:rPr>
            </w:pPr>
            <w:r w:rsidRPr="00827BEA">
              <w:rPr>
                <w:rFonts w:eastAsia="Yu Mincho"/>
                <w:b/>
                <w:lang w:val="en-GB"/>
              </w:rPr>
              <w:t>2015</w:t>
            </w:r>
          </w:p>
        </w:tc>
        <w:tc>
          <w:tcPr>
            <w:tcW w:w="1106" w:type="dxa"/>
          </w:tcPr>
          <w:p w14:paraId="5C575D32" w14:textId="77777777" w:rsidR="004E0802" w:rsidRPr="00827BEA" w:rsidRDefault="004E0802" w:rsidP="004E0802">
            <w:pPr>
              <w:pStyle w:val="ExhibitText"/>
              <w:jc w:val="center"/>
              <w:rPr>
                <w:rFonts w:eastAsia="Yu Mincho"/>
                <w:b/>
                <w:lang w:val="en-GB"/>
              </w:rPr>
            </w:pPr>
            <w:r w:rsidRPr="00827BEA">
              <w:rPr>
                <w:rFonts w:eastAsia="Yu Mincho"/>
                <w:b/>
                <w:lang w:val="en-GB"/>
              </w:rPr>
              <w:t>2014</w:t>
            </w:r>
          </w:p>
        </w:tc>
        <w:tc>
          <w:tcPr>
            <w:tcW w:w="1144" w:type="dxa"/>
          </w:tcPr>
          <w:p w14:paraId="1E9F2A4C" w14:textId="77777777" w:rsidR="004E0802" w:rsidRPr="00827BEA" w:rsidRDefault="004E0802" w:rsidP="004E0802">
            <w:pPr>
              <w:pStyle w:val="ExhibitText"/>
              <w:jc w:val="center"/>
              <w:rPr>
                <w:rFonts w:eastAsia="Yu Mincho"/>
                <w:b/>
                <w:lang w:val="en-GB"/>
              </w:rPr>
            </w:pPr>
            <w:r w:rsidRPr="00827BEA">
              <w:rPr>
                <w:rFonts w:eastAsia="Yu Mincho"/>
                <w:b/>
                <w:lang w:val="en-GB"/>
              </w:rPr>
              <w:t>2013</w:t>
            </w:r>
          </w:p>
        </w:tc>
        <w:tc>
          <w:tcPr>
            <w:tcW w:w="1106" w:type="dxa"/>
          </w:tcPr>
          <w:p w14:paraId="5B2664FF" w14:textId="77777777" w:rsidR="004E0802" w:rsidRPr="00827BEA" w:rsidRDefault="004E0802" w:rsidP="004E0802">
            <w:pPr>
              <w:pStyle w:val="ExhibitText"/>
              <w:jc w:val="center"/>
              <w:rPr>
                <w:rFonts w:eastAsia="Yu Mincho"/>
                <w:b/>
                <w:lang w:val="en-GB"/>
              </w:rPr>
            </w:pPr>
            <w:r w:rsidRPr="00827BEA">
              <w:rPr>
                <w:rFonts w:eastAsia="Yu Mincho"/>
                <w:b/>
                <w:lang w:val="en-GB"/>
              </w:rPr>
              <w:t>2012</w:t>
            </w:r>
          </w:p>
        </w:tc>
        <w:tc>
          <w:tcPr>
            <w:tcW w:w="1144" w:type="dxa"/>
          </w:tcPr>
          <w:p w14:paraId="6AFD7E19" w14:textId="77777777" w:rsidR="004E0802" w:rsidRPr="00827BEA" w:rsidRDefault="004E0802" w:rsidP="004E0802">
            <w:pPr>
              <w:pStyle w:val="ExhibitText"/>
              <w:jc w:val="center"/>
              <w:rPr>
                <w:rFonts w:eastAsia="Yu Mincho"/>
                <w:b/>
                <w:lang w:val="en-GB"/>
              </w:rPr>
            </w:pPr>
            <w:r w:rsidRPr="00827BEA">
              <w:rPr>
                <w:rFonts w:eastAsia="Yu Mincho"/>
                <w:b/>
                <w:lang w:val="en-GB"/>
              </w:rPr>
              <w:t>2011</w:t>
            </w:r>
          </w:p>
        </w:tc>
        <w:tc>
          <w:tcPr>
            <w:tcW w:w="1106" w:type="dxa"/>
          </w:tcPr>
          <w:p w14:paraId="19DB81C4" w14:textId="77777777" w:rsidR="004E0802" w:rsidRPr="00827BEA" w:rsidRDefault="004E0802" w:rsidP="004E0802">
            <w:pPr>
              <w:pStyle w:val="ExhibitText"/>
              <w:jc w:val="center"/>
              <w:rPr>
                <w:rFonts w:eastAsia="Yu Mincho"/>
                <w:b/>
                <w:lang w:val="en-GB"/>
              </w:rPr>
            </w:pPr>
            <w:r w:rsidRPr="00827BEA">
              <w:rPr>
                <w:rFonts w:eastAsia="Yu Mincho"/>
                <w:b/>
                <w:lang w:val="en-GB"/>
              </w:rPr>
              <w:t>2010</w:t>
            </w:r>
          </w:p>
        </w:tc>
        <w:tc>
          <w:tcPr>
            <w:tcW w:w="990" w:type="dxa"/>
          </w:tcPr>
          <w:p w14:paraId="150DF946" w14:textId="77777777" w:rsidR="004E0802" w:rsidRPr="00827BEA" w:rsidRDefault="004E0802" w:rsidP="004E0802">
            <w:pPr>
              <w:pStyle w:val="ExhibitText"/>
              <w:jc w:val="center"/>
              <w:rPr>
                <w:rFonts w:eastAsia="Yu Mincho"/>
                <w:b/>
                <w:lang w:val="en-GB"/>
              </w:rPr>
            </w:pPr>
            <w:r w:rsidRPr="00827BEA">
              <w:rPr>
                <w:rFonts w:eastAsia="Yu Mincho"/>
                <w:b/>
                <w:lang w:val="en-GB"/>
              </w:rPr>
              <w:t>2009</w:t>
            </w:r>
          </w:p>
        </w:tc>
        <w:tc>
          <w:tcPr>
            <w:tcW w:w="990" w:type="dxa"/>
          </w:tcPr>
          <w:p w14:paraId="5420A754" w14:textId="77777777" w:rsidR="004E0802" w:rsidRPr="00827BEA" w:rsidRDefault="004E0802" w:rsidP="004E0802">
            <w:pPr>
              <w:pStyle w:val="ExhibitText"/>
              <w:jc w:val="center"/>
              <w:rPr>
                <w:rFonts w:eastAsia="Yu Mincho"/>
                <w:b/>
                <w:lang w:val="en-GB"/>
              </w:rPr>
            </w:pPr>
            <w:r w:rsidRPr="00827BEA">
              <w:rPr>
                <w:rFonts w:eastAsia="Yu Mincho"/>
                <w:b/>
                <w:lang w:val="en-GB"/>
              </w:rPr>
              <w:t>2008</w:t>
            </w:r>
          </w:p>
        </w:tc>
      </w:tr>
      <w:tr w:rsidR="004E0802" w:rsidRPr="00827BEA" w14:paraId="4857D2CA" w14:textId="77777777" w:rsidTr="003805CD">
        <w:trPr>
          <w:jc w:val="center"/>
        </w:trPr>
        <w:tc>
          <w:tcPr>
            <w:tcW w:w="2970" w:type="dxa"/>
            <w:vAlign w:val="center"/>
          </w:tcPr>
          <w:p w14:paraId="7D44F3F3" w14:textId="27E9070C" w:rsidR="004E0802" w:rsidRPr="00827BEA" w:rsidRDefault="004E0802" w:rsidP="004E0802">
            <w:pPr>
              <w:pStyle w:val="ExhibitText"/>
              <w:jc w:val="left"/>
              <w:rPr>
                <w:rFonts w:eastAsia="Yu Mincho"/>
                <w:b/>
                <w:lang w:val="en-GB"/>
              </w:rPr>
            </w:pPr>
            <w:r w:rsidRPr="00827BEA">
              <w:rPr>
                <w:rFonts w:eastAsia="Yu Mincho"/>
                <w:b/>
                <w:lang w:val="en-GB"/>
              </w:rPr>
              <w:t xml:space="preserve">Income </w:t>
            </w:r>
            <w:r w:rsidR="001E5CF2" w:rsidRPr="00827BEA">
              <w:rPr>
                <w:rFonts w:eastAsia="Yu Mincho"/>
                <w:b/>
                <w:lang w:val="en-GB"/>
              </w:rPr>
              <w:t>s</w:t>
            </w:r>
            <w:r w:rsidRPr="00827BEA">
              <w:rPr>
                <w:rFonts w:eastAsia="Yu Mincho"/>
                <w:b/>
                <w:lang w:val="en-GB"/>
              </w:rPr>
              <w:t>tatement</w:t>
            </w:r>
          </w:p>
        </w:tc>
        <w:tc>
          <w:tcPr>
            <w:tcW w:w="9990" w:type="dxa"/>
            <w:gridSpan w:val="9"/>
            <w:vAlign w:val="center"/>
          </w:tcPr>
          <w:p w14:paraId="04FBBB94" w14:textId="77777777" w:rsidR="004E0802" w:rsidRPr="00827BEA" w:rsidRDefault="004E0802" w:rsidP="004E0802">
            <w:pPr>
              <w:pStyle w:val="ExhibitText"/>
              <w:jc w:val="right"/>
              <w:rPr>
                <w:rFonts w:eastAsia="Yu Mincho"/>
                <w:lang w:val="en-GB"/>
              </w:rPr>
            </w:pPr>
          </w:p>
        </w:tc>
      </w:tr>
      <w:tr w:rsidR="004E0802" w:rsidRPr="00827BEA" w14:paraId="45128C8C" w14:textId="77777777" w:rsidTr="003805CD">
        <w:trPr>
          <w:jc w:val="center"/>
        </w:trPr>
        <w:tc>
          <w:tcPr>
            <w:tcW w:w="2970" w:type="dxa"/>
            <w:vAlign w:val="center"/>
          </w:tcPr>
          <w:p w14:paraId="6C3E67CC" w14:textId="77777777" w:rsidR="004E0802" w:rsidRPr="00827BEA" w:rsidRDefault="004E0802" w:rsidP="004E0802">
            <w:pPr>
              <w:pStyle w:val="ExhibitText"/>
              <w:jc w:val="left"/>
              <w:rPr>
                <w:rFonts w:eastAsia="Yu Mincho"/>
                <w:lang w:val="en-GB"/>
              </w:rPr>
            </w:pPr>
            <w:r w:rsidRPr="00827BEA">
              <w:rPr>
                <w:rFonts w:eastAsia="Yu Mincho"/>
                <w:lang w:val="en-GB"/>
              </w:rPr>
              <w:t>Revenues</w:t>
            </w:r>
          </w:p>
        </w:tc>
        <w:tc>
          <w:tcPr>
            <w:tcW w:w="1260" w:type="dxa"/>
            <w:vAlign w:val="center"/>
          </w:tcPr>
          <w:p w14:paraId="3120E3D6" w14:textId="77777777" w:rsidR="004E0802" w:rsidRPr="00827BEA" w:rsidRDefault="004E0802" w:rsidP="004E0802">
            <w:pPr>
              <w:pStyle w:val="ExhibitText"/>
              <w:jc w:val="right"/>
              <w:rPr>
                <w:rFonts w:eastAsia="Yu Mincho"/>
                <w:lang w:val="en-GB"/>
              </w:rPr>
            </w:pPr>
            <w:r w:rsidRPr="00827BEA">
              <w:rPr>
                <w:rFonts w:eastAsia="Yu Mincho"/>
                <w:lang w:val="en-GB"/>
              </w:rPr>
              <w:t>338,601</w:t>
            </w:r>
          </w:p>
        </w:tc>
        <w:tc>
          <w:tcPr>
            <w:tcW w:w="1144" w:type="dxa"/>
            <w:vAlign w:val="center"/>
          </w:tcPr>
          <w:p w14:paraId="55D163C7" w14:textId="77777777" w:rsidR="004E0802" w:rsidRPr="00827BEA" w:rsidRDefault="004E0802" w:rsidP="004E0802">
            <w:pPr>
              <w:pStyle w:val="ExhibitText"/>
              <w:jc w:val="right"/>
              <w:rPr>
                <w:rFonts w:eastAsia="Yu Mincho"/>
                <w:lang w:val="en-GB"/>
              </w:rPr>
            </w:pPr>
            <w:r w:rsidRPr="00827BEA">
              <w:rPr>
                <w:rFonts w:eastAsia="Yu Mincho"/>
                <w:lang w:val="en-GB"/>
              </w:rPr>
              <w:t>338,949</w:t>
            </w:r>
          </w:p>
        </w:tc>
        <w:tc>
          <w:tcPr>
            <w:tcW w:w="1106" w:type="dxa"/>
            <w:vAlign w:val="center"/>
          </w:tcPr>
          <w:p w14:paraId="5CEDBDBB" w14:textId="77777777" w:rsidR="004E0802" w:rsidRPr="00827BEA" w:rsidRDefault="004E0802" w:rsidP="004E0802">
            <w:pPr>
              <w:pStyle w:val="ExhibitText"/>
              <w:jc w:val="right"/>
              <w:rPr>
                <w:rFonts w:eastAsia="Yu Mincho"/>
                <w:lang w:val="en-GB"/>
              </w:rPr>
            </w:pPr>
            <w:r w:rsidRPr="00827BEA">
              <w:rPr>
                <w:rFonts w:eastAsia="Yu Mincho"/>
                <w:lang w:val="en-GB"/>
              </w:rPr>
              <w:t>277,783</w:t>
            </w:r>
          </w:p>
        </w:tc>
        <w:tc>
          <w:tcPr>
            <w:tcW w:w="1144" w:type="dxa"/>
            <w:vAlign w:val="center"/>
          </w:tcPr>
          <w:p w14:paraId="2794931D" w14:textId="77777777" w:rsidR="004E0802" w:rsidRPr="00827BEA" w:rsidRDefault="004E0802" w:rsidP="004E0802">
            <w:pPr>
              <w:pStyle w:val="ExhibitText"/>
              <w:jc w:val="right"/>
              <w:rPr>
                <w:rFonts w:eastAsia="Yu Mincho"/>
                <w:lang w:val="en-GB"/>
              </w:rPr>
            </w:pPr>
            <w:r w:rsidRPr="00827BEA">
              <w:rPr>
                <w:rFonts w:eastAsia="Yu Mincho"/>
                <w:lang w:val="en-GB"/>
              </w:rPr>
              <w:t>2,218,501</w:t>
            </w:r>
          </w:p>
        </w:tc>
        <w:tc>
          <w:tcPr>
            <w:tcW w:w="1106" w:type="dxa"/>
            <w:vAlign w:val="center"/>
          </w:tcPr>
          <w:p w14:paraId="09DC93C2" w14:textId="77777777" w:rsidR="004E0802" w:rsidRPr="00827BEA" w:rsidRDefault="004E0802" w:rsidP="004E0802">
            <w:pPr>
              <w:pStyle w:val="ExhibitText"/>
              <w:jc w:val="right"/>
              <w:rPr>
                <w:rFonts w:eastAsia="Yu Mincho"/>
                <w:lang w:val="en-GB"/>
              </w:rPr>
            </w:pPr>
            <w:r w:rsidRPr="00827BEA">
              <w:rPr>
                <w:rFonts w:eastAsia="Yu Mincho"/>
                <w:lang w:val="en-GB"/>
              </w:rPr>
              <w:t>1,806,264</w:t>
            </w:r>
          </w:p>
        </w:tc>
        <w:tc>
          <w:tcPr>
            <w:tcW w:w="1144" w:type="dxa"/>
            <w:vAlign w:val="center"/>
          </w:tcPr>
          <w:p w14:paraId="6E1D333E" w14:textId="77777777" w:rsidR="004E0802" w:rsidRPr="00827BEA" w:rsidRDefault="004E0802" w:rsidP="004E0802">
            <w:pPr>
              <w:pStyle w:val="ExhibitText"/>
              <w:jc w:val="right"/>
              <w:rPr>
                <w:rFonts w:eastAsia="Yu Mincho"/>
                <w:lang w:val="en-GB"/>
              </w:rPr>
            </w:pPr>
            <w:r w:rsidRPr="00827BEA">
              <w:rPr>
                <w:rFonts w:eastAsia="Yu Mincho"/>
                <w:lang w:val="en-GB"/>
              </w:rPr>
              <w:t>311,312</w:t>
            </w:r>
          </w:p>
        </w:tc>
        <w:tc>
          <w:tcPr>
            <w:tcW w:w="1106" w:type="dxa"/>
            <w:vAlign w:val="center"/>
          </w:tcPr>
          <w:p w14:paraId="7143D372" w14:textId="77777777" w:rsidR="004E0802" w:rsidRPr="00827BEA" w:rsidRDefault="004E0802" w:rsidP="004E0802">
            <w:pPr>
              <w:pStyle w:val="ExhibitText"/>
              <w:jc w:val="right"/>
              <w:rPr>
                <w:rFonts w:eastAsia="Yu Mincho"/>
                <w:lang w:val="en-GB"/>
              </w:rPr>
            </w:pPr>
            <w:r w:rsidRPr="00827BEA">
              <w:rPr>
                <w:rFonts w:eastAsia="Yu Mincho"/>
                <w:lang w:val="en-GB"/>
              </w:rPr>
              <w:t>133,198</w:t>
            </w:r>
          </w:p>
        </w:tc>
        <w:tc>
          <w:tcPr>
            <w:tcW w:w="990" w:type="dxa"/>
            <w:vAlign w:val="center"/>
          </w:tcPr>
          <w:p w14:paraId="5213BB6B" w14:textId="77777777" w:rsidR="004E0802" w:rsidRPr="00827BEA" w:rsidRDefault="004E0802" w:rsidP="004E0802">
            <w:pPr>
              <w:pStyle w:val="ExhibitText"/>
              <w:jc w:val="right"/>
              <w:rPr>
                <w:rFonts w:eastAsia="Yu Mincho"/>
                <w:lang w:val="en-GB"/>
              </w:rPr>
            </w:pPr>
            <w:r w:rsidRPr="00827BEA">
              <w:rPr>
                <w:rFonts w:eastAsia="Yu Mincho"/>
                <w:lang w:val="en-GB"/>
              </w:rPr>
              <w:t>81,047</w:t>
            </w:r>
          </w:p>
        </w:tc>
        <w:tc>
          <w:tcPr>
            <w:tcW w:w="990" w:type="dxa"/>
            <w:vAlign w:val="center"/>
          </w:tcPr>
          <w:p w14:paraId="5A09CD37" w14:textId="77777777" w:rsidR="004E0802" w:rsidRPr="00827BEA" w:rsidRDefault="004E0802" w:rsidP="004E0802">
            <w:pPr>
              <w:pStyle w:val="ExhibitText"/>
              <w:jc w:val="right"/>
              <w:rPr>
                <w:rFonts w:eastAsia="Yu Mincho"/>
                <w:lang w:val="en-GB"/>
              </w:rPr>
            </w:pPr>
            <w:r w:rsidRPr="00827BEA">
              <w:rPr>
                <w:rFonts w:eastAsia="Yu Mincho"/>
                <w:lang w:val="en-GB"/>
              </w:rPr>
              <w:t>29,371</w:t>
            </w:r>
          </w:p>
        </w:tc>
      </w:tr>
      <w:tr w:rsidR="004E0802" w:rsidRPr="00827BEA" w14:paraId="638ADC9E" w14:textId="77777777" w:rsidTr="003805CD">
        <w:trPr>
          <w:jc w:val="center"/>
        </w:trPr>
        <w:tc>
          <w:tcPr>
            <w:tcW w:w="2970" w:type="dxa"/>
            <w:vAlign w:val="center"/>
          </w:tcPr>
          <w:p w14:paraId="73A6C154" w14:textId="3608470F" w:rsidR="004E0802" w:rsidRPr="00827BEA" w:rsidRDefault="004E0802" w:rsidP="004E0802">
            <w:pPr>
              <w:pStyle w:val="ExhibitText"/>
              <w:jc w:val="left"/>
              <w:rPr>
                <w:rFonts w:eastAsia="Yu Mincho"/>
                <w:lang w:val="en-GB"/>
              </w:rPr>
            </w:pPr>
            <w:r w:rsidRPr="00827BEA">
              <w:rPr>
                <w:rFonts w:eastAsia="Yu Mincho"/>
                <w:lang w:val="en-GB"/>
              </w:rPr>
              <w:t xml:space="preserve">(Loss) Profit </w:t>
            </w:r>
            <w:r w:rsidR="001E5CF2" w:rsidRPr="00827BEA">
              <w:rPr>
                <w:rFonts w:eastAsia="Yu Mincho"/>
                <w:lang w:val="en-GB"/>
              </w:rPr>
              <w:t>a</w:t>
            </w:r>
            <w:r w:rsidRPr="00827BEA">
              <w:rPr>
                <w:rFonts w:eastAsia="Yu Mincho"/>
                <w:lang w:val="en-GB"/>
              </w:rPr>
              <w:t xml:space="preserve">ttributable to </w:t>
            </w:r>
            <w:r w:rsidR="001E5CF2" w:rsidRPr="00827BEA">
              <w:rPr>
                <w:rFonts w:eastAsia="Yu Mincho"/>
                <w:lang w:val="en-GB"/>
              </w:rPr>
              <w:t>o</w:t>
            </w:r>
            <w:r w:rsidRPr="00827BEA">
              <w:rPr>
                <w:rFonts w:eastAsia="Yu Mincho"/>
                <w:lang w:val="en-GB"/>
              </w:rPr>
              <w:t xml:space="preserve">wners of the </w:t>
            </w:r>
            <w:r w:rsidR="001E5CF2" w:rsidRPr="00827BEA">
              <w:rPr>
                <w:rFonts w:eastAsia="Yu Mincho"/>
                <w:lang w:val="en-GB"/>
              </w:rPr>
              <w:t>c</w:t>
            </w:r>
            <w:r w:rsidRPr="00827BEA">
              <w:rPr>
                <w:rFonts w:eastAsia="Yu Mincho"/>
                <w:lang w:val="en-GB"/>
              </w:rPr>
              <w:t xml:space="preserve">ompany </w:t>
            </w:r>
          </w:p>
        </w:tc>
        <w:tc>
          <w:tcPr>
            <w:tcW w:w="1260" w:type="dxa"/>
            <w:vAlign w:val="center"/>
          </w:tcPr>
          <w:p w14:paraId="5F53B7FD" w14:textId="2EA1C5C9" w:rsidR="004E0802" w:rsidRPr="00827BEA" w:rsidRDefault="00FA44EA" w:rsidP="004E0802">
            <w:pPr>
              <w:pStyle w:val="ExhibitText"/>
              <w:jc w:val="right"/>
              <w:rPr>
                <w:rFonts w:eastAsia="Yu Mincho"/>
                <w:lang w:val="en-GB"/>
              </w:rPr>
            </w:pPr>
            <w:r>
              <w:rPr>
                <w:rFonts w:eastAsia="Yu Mincho"/>
                <w:lang w:val="en-GB"/>
              </w:rPr>
              <w:t>−</w:t>
            </w:r>
            <w:r w:rsidR="004E0802" w:rsidRPr="00827BEA">
              <w:rPr>
                <w:rFonts w:eastAsia="Yu Mincho"/>
                <w:lang w:val="en-GB"/>
              </w:rPr>
              <w:t>13,304</w:t>
            </w:r>
          </w:p>
        </w:tc>
        <w:tc>
          <w:tcPr>
            <w:tcW w:w="1144" w:type="dxa"/>
            <w:vAlign w:val="center"/>
          </w:tcPr>
          <w:p w14:paraId="29C64425" w14:textId="227A2D0C" w:rsidR="004E0802" w:rsidRPr="00827BEA" w:rsidRDefault="00FA44EA" w:rsidP="004E0802">
            <w:pPr>
              <w:pStyle w:val="ExhibitText"/>
              <w:jc w:val="right"/>
              <w:rPr>
                <w:rFonts w:eastAsia="Yu Mincho"/>
                <w:lang w:val="en-GB"/>
              </w:rPr>
            </w:pPr>
            <w:r>
              <w:rPr>
                <w:rFonts w:eastAsia="Yu Mincho"/>
                <w:lang w:val="en-GB"/>
              </w:rPr>
              <w:t>−</w:t>
            </w:r>
            <w:r w:rsidR="004E0802" w:rsidRPr="00827BEA">
              <w:rPr>
                <w:rFonts w:eastAsia="Yu Mincho"/>
                <w:lang w:val="en-GB"/>
              </w:rPr>
              <w:t>8,188</w:t>
            </w:r>
          </w:p>
        </w:tc>
        <w:tc>
          <w:tcPr>
            <w:tcW w:w="1106" w:type="dxa"/>
            <w:vAlign w:val="center"/>
          </w:tcPr>
          <w:p w14:paraId="3631141C" w14:textId="77777777" w:rsidR="004E0802" w:rsidRPr="00827BEA" w:rsidRDefault="004E0802" w:rsidP="004E0802">
            <w:pPr>
              <w:pStyle w:val="ExhibitText"/>
              <w:jc w:val="right"/>
              <w:rPr>
                <w:rFonts w:eastAsia="Yu Mincho"/>
                <w:lang w:val="en-GB"/>
              </w:rPr>
            </w:pPr>
            <w:r w:rsidRPr="00827BEA">
              <w:rPr>
                <w:rFonts w:eastAsia="Yu Mincho"/>
                <w:lang w:val="en-GB"/>
              </w:rPr>
              <w:t>39,729</w:t>
            </w:r>
          </w:p>
        </w:tc>
        <w:tc>
          <w:tcPr>
            <w:tcW w:w="1144" w:type="dxa"/>
            <w:vAlign w:val="center"/>
          </w:tcPr>
          <w:p w14:paraId="13DD59C1" w14:textId="77777777" w:rsidR="004E0802" w:rsidRPr="00827BEA" w:rsidRDefault="004E0802" w:rsidP="004E0802">
            <w:pPr>
              <w:pStyle w:val="ExhibitText"/>
              <w:jc w:val="right"/>
              <w:rPr>
                <w:rFonts w:eastAsia="Yu Mincho"/>
                <w:lang w:val="en-GB"/>
              </w:rPr>
            </w:pPr>
            <w:r w:rsidRPr="00827BEA">
              <w:rPr>
                <w:rFonts w:eastAsia="Yu Mincho"/>
                <w:lang w:val="en-GB"/>
              </w:rPr>
              <w:t>55,032</w:t>
            </w:r>
          </w:p>
        </w:tc>
        <w:tc>
          <w:tcPr>
            <w:tcW w:w="1106" w:type="dxa"/>
            <w:vAlign w:val="center"/>
          </w:tcPr>
          <w:p w14:paraId="2DC903F3" w14:textId="77777777" w:rsidR="004E0802" w:rsidRPr="00827BEA" w:rsidRDefault="004E0802" w:rsidP="004E0802">
            <w:pPr>
              <w:pStyle w:val="ExhibitText"/>
              <w:jc w:val="right"/>
              <w:rPr>
                <w:rFonts w:eastAsia="Yu Mincho"/>
                <w:lang w:val="en-GB"/>
              </w:rPr>
            </w:pPr>
            <w:r w:rsidRPr="00827BEA">
              <w:rPr>
                <w:rFonts w:eastAsia="Yu Mincho"/>
                <w:lang w:val="en-GB"/>
              </w:rPr>
              <w:t>70,938</w:t>
            </w:r>
          </w:p>
        </w:tc>
        <w:tc>
          <w:tcPr>
            <w:tcW w:w="1144" w:type="dxa"/>
            <w:vAlign w:val="center"/>
          </w:tcPr>
          <w:p w14:paraId="13A95C05" w14:textId="77777777" w:rsidR="004E0802" w:rsidRPr="00827BEA" w:rsidRDefault="004E0802" w:rsidP="004E0802">
            <w:pPr>
              <w:pStyle w:val="ExhibitText"/>
              <w:jc w:val="right"/>
              <w:rPr>
                <w:rFonts w:eastAsia="Yu Mincho"/>
                <w:lang w:val="en-GB"/>
              </w:rPr>
            </w:pPr>
            <w:r w:rsidRPr="00827BEA">
              <w:rPr>
                <w:rFonts w:eastAsia="Yu Mincho"/>
                <w:lang w:val="en-GB"/>
              </w:rPr>
              <w:t>79,408</w:t>
            </w:r>
          </w:p>
        </w:tc>
        <w:tc>
          <w:tcPr>
            <w:tcW w:w="1106" w:type="dxa"/>
            <w:vAlign w:val="center"/>
          </w:tcPr>
          <w:p w14:paraId="633BDE04" w14:textId="77777777" w:rsidR="004E0802" w:rsidRPr="00827BEA" w:rsidRDefault="004E0802" w:rsidP="004E0802">
            <w:pPr>
              <w:pStyle w:val="ExhibitText"/>
              <w:jc w:val="right"/>
              <w:rPr>
                <w:rFonts w:eastAsia="Yu Mincho"/>
                <w:lang w:val="en-GB"/>
              </w:rPr>
            </w:pPr>
            <w:r w:rsidRPr="00827BEA">
              <w:rPr>
                <w:rFonts w:eastAsia="Yu Mincho"/>
                <w:lang w:val="en-GB"/>
              </w:rPr>
              <w:t>26,226</w:t>
            </w:r>
          </w:p>
        </w:tc>
        <w:tc>
          <w:tcPr>
            <w:tcW w:w="990" w:type="dxa"/>
            <w:vAlign w:val="center"/>
          </w:tcPr>
          <w:p w14:paraId="0AC1341F" w14:textId="03DBD69A" w:rsidR="004E0802" w:rsidRPr="00827BEA" w:rsidRDefault="00FA44EA" w:rsidP="004E0802">
            <w:pPr>
              <w:pStyle w:val="ExhibitText"/>
              <w:jc w:val="right"/>
              <w:rPr>
                <w:rFonts w:eastAsia="Yu Mincho"/>
                <w:lang w:val="en-GB"/>
              </w:rPr>
            </w:pPr>
            <w:r>
              <w:rPr>
                <w:rFonts w:eastAsia="Yu Mincho"/>
                <w:lang w:val="en-GB"/>
              </w:rPr>
              <w:t>−</w:t>
            </w:r>
            <w:r w:rsidR="004E0802" w:rsidRPr="00827BEA">
              <w:rPr>
                <w:rFonts w:eastAsia="Yu Mincho"/>
                <w:lang w:val="en-GB"/>
              </w:rPr>
              <w:t>9,347</w:t>
            </w:r>
          </w:p>
        </w:tc>
        <w:tc>
          <w:tcPr>
            <w:tcW w:w="990" w:type="dxa"/>
            <w:vAlign w:val="center"/>
          </w:tcPr>
          <w:p w14:paraId="30F9359F" w14:textId="77777777" w:rsidR="004E0802" w:rsidRPr="00827BEA" w:rsidRDefault="004E0802" w:rsidP="004E0802">
            <w:pPr>
              <w:pStyle w:val="ExhibitText"/>
              <w:jc w:val="right"/>
              <w:rPr>
                <w:rFonts w:eastAsia="Yu Mincho"/>
                <w:lang w:val="en-GB"/>
              </w:rPr>
            </w:pPr>
            <w:r w:rsidRPr="00827BEA">
              <w:rPr>
                <w:rFonts w:eastAsia="Yu Mincho"/>
                <w:lang w:val="en-GB"/>
              </w:rPr>
              <w:t>14,876</w:t>
            </w:r>
          </w:p>
        </w:tc>
      </w:tr>
      <w:tr w:rsidR="004E0802" w:rsidRPr="00827BEA" w14:paraId="3D57B8D5" w14:textId="77777777" w:rsidTr="003805CD">
        <w:trPr>
          <w:jc w:val="center"/>
        </w:trPr>
        <w:tc>
          <w:tcPr>
            <w:tcW w:w="2970" w:type="dxa"/>
            <w:vAlign w:val="center"/>
          </w:tcPr>
          <w:p w14:paraId="613E7AA7" w14:textId="769AD407" w:rsidR="004E0802" w:rsidRPr="00827BEA" w:rsidRDefault="004E0802" w:rsidP="004E0802">
            <w:pPr>
              <w:pStyle w:val="ExhibitText"/>
              <w:jc w:val="left"/>
              <w:rPr>
                <w:rFonts w:eastAsia="Yu Mincho"/>
                <w:b/>
                <w:lang w:val="en-GB"/>
              </w:rPr>
            </w:pPr>
            <w:r w:rsidRPr="00827BEA">
              <w:rPr>
                <w:rFonts w:eastAsia="Yu Mincho"/>
                <w:b/>
                <w:lang w:val="en-GB"/>
              </w:rPr>
              <w:t xml:space="preserve">Balance </w:t>
            </w:r>
            <w:r w:rsidR="001E5CF2" w:rsidRPr="00827BEA">
              <w:rPr>
                <w:rFonts w:eastAsia="Yu Mincho"/>
                <w:b/>
                <w:lang w:val="en-GB"/>
              </w:rPr>
              <w:t>s</w:t>
            </w:r>
            <w:r w:rsidRPr="00827BEA">
              <w:rPr>
                <w:rFonts w:eastAsia="Yu Mincho"/>
                <w:b/>
                <w:lang w:val="en-GB"/>
              </w:rPr>
              <w:t>heet</w:t>
            </w:r>
          </w:p>
        </w:tc>
        <w:tc>
          <w:tcPr>
            <w:tcW w:w="9990" w:type="dxa"/>
            <w:gridSpan w:val="9"/>
            <w:vAlign w:val="center"/>
          </w:tcPr>
          <w:p w14:paraId="15B434BB" w14:textId="77777777" w:rsidR="004E0802" w:rsidRPr="00827BEA" w:rsidRDefault="004E0802" w:rsidP="004E0802">
            <w:pPr>
              <w:pStyle w:val="ExhibitText"/>
              <w:jc w:val="right"/>
              <w:rPr>
                <w:rFonts w:eastAsia="Yu Mincho"/>
                <w:lang w:val="en-GB"/>
              </w:rPr>
            </w:pPr>
          </w:p>
        </w:tc>
      </w:tr>
      <w:tr w:rsidR="004E0802" w:rsidRPr="00827BEA" w14:paraId="71C490A5" w14:textId="77777777" w:rsidTr="003805CD">
        <w:trPr>
          <w:jc w:val="center"/>
        </w:trPr>
        <w:tc>
          <w:tcPr>
            <w:tcW w:w="2970" w:type="dxa"/>
            <w:vAlign w:val="center"/>
          </w:tcPr>
          <w:p w14:paraId="695AA77B" w14:textId="2CC4F89F" w:rsidR="004E0802" w:rsidRPr="00827BEA" w:rsidRDefault="004E0802" w:rsidP="004E0802">
            <w:pPr>
              <w:pStyle w:val="ExhibitText"/>
              <w:jc w:val="left"/>
              <w:rPr>
                <w:rFonts w:eastAsia="Yu Mincho"/>
                <w:lang w:val="en-GB"/>
              </w:rPr>
            </w:pPr>
            <w:r w:rsidRPr="00827BEA">
              <w:rPr>
                <w:rFonts w:eastAsia="Yu Mincho"/>
                <w:lang w:val="en-GB"/>
              </w:rPr>
              <w:t xml:space="preserve">Total </w:t>
            </w:r>
            <w:r w:rsidR="001E5CF2" w:rsidRPr="00827BEA">
              <w:rPr>
                <w:rFonts w:eastAsia="Yu Mincho"/>
                <w:lang w:val="en-GB"/>
              </w:rPr>
              <w:t>a</w:t>
            </w:r>
            <w:r w:rsidRPr="00827BEA">
              <w:rPr>
                <w:rFonts w:eastAsia="Yu Mincho"/>
                <w:lang w:val="en-GB"/>
              </w:rPr>
              <w:t>ssets</w:t>
            </w:r>
          </w:p>
        </w:tc>
        <w:tc>
          <w:tcPr>
            <w:tcW w:w="1260" w:type="dxa"/>
            <w:vAlign w:val="center"/>
          </w:tcPr>
          <w:p w14:paraId="55D80D4C" w14:textId="77777777" w:rsidR="004E0802" w:rsidRPr="00827BEA" w:rsidRDefault="004E0802" w:rsidP="004E0802">
            <w:pPr>
              <w:pStyle w:val="ExhibitText"/>
              <w:jc w:val="right"/>
              <w:rPr>
                <w:rFonts w:eastAsia="Yu Mincho"/>
                <w:lang w:val="en-GB"/>
              </w:rPr>
            </w:pPr>
            <w:r w:rsidRPr="00827BEA">
              <w:rPr>
                <w:rFonts w:eastAsia="Yu Mincho"/>
                <w:lang w:val="en-GB"/>
              </w:rPr>
              <w:t>2,966,610</w:t>
            </w:r>
          </w:p>
        </w:tc>
        <w:tc>
          <w:tcPr>
            <w:tcW w:w="1144" w:type="dxa"/>
            <w:vAlign w:val="center"/>
          </w:tcPr>
          <w:p w14:paraId="5C8300DD" w14:textId="77777777" w:rsidR="004E0802" w:rsidRPr="00827BEA" w:rsidRDefault="004E0802" w:rsidP="004E0802">
            <w:pPr>
              <w:pStyle w:val="ExhibitText"/>
              <w:jc w:val="right"/>
              <w:rPr>
                <w:rFonts w:eastAsia="Yu Mincho"/>
                <w:lang w:val="en-GB"/>
              </w:rPr>
            </w:pPr>
            <w:r w:rsidRPr="00827BEA">
              <w:rPr>
                <w:rFonts w:eastAsia="Yu Mincho"/>
                <w:lang w:val="en-GB"/>
              </w:rPr>
              <w:t>2,780,593</w:t>
            </w:r>
          </w:p>
        </w:tc>
        <w:tc>
          <w:tcPr>
            <w:tcW w:w="1106" w:type="dxa"/>
            <w:vAlign w:val="center"/>
          </w:tcPr>
          <w:p w14:paraId="28C4F97A" w14:textId="77777777" w:rsidR="004E0802" w:rsidRPr="00827BEA" w:rsidRDefault="004E0802" w:rsidP="004E0802">
            <w:pPr>
              <w:pStyle w:val="ExhibitText"/>
              <w:jc w:val="right"/>
              <w:rPr>
                <w:rFonts w:eastAsia="Yu Mincho"/>
                <w:lang w:val="en-GB"/>
              </w:rPr>
            </w:pPr>
            <w:r w:rsidRPr="00827BEA">
              <w:rPr>
                <w:rFonts w:eastAsia="Yu Mincho"/>
                <w:lang w:val="en-GB"/>
              </w:rPr>
              <w:t>3,013,494</w:t>
            </w:r>
          </w:p>
        </w:tc>
        <w:tc>
          <w:tcPr>
            <w:tcW w:w="1144" w:type="dxa"/>
            <w:vAlign w:val="center"/>
          </w:tcPr>
          <w:p w14:paraId="27A372F9" w14:textId="77777777" w:rsidR="004E0802" w:rsidRPr="00827BEA" w:rsidRDefault="004E0802" w:rsidP="004E0802">
            <w:pPr>
              <w:pStyle w:val="ExhibitText"/>
              <w:jc w:val="right"/>
              <w:rPr>
                <w:rFonts w:eastAsia="Yu Mincho"/>
                <w:lang w:val="en-GB"/>
              </w:rPr>
            </w:pPr>
            <w:r w:rsidRPr="00827BEA">
              <w:rPr>
                <w:rFonts w:eastAsia="Yu Mincho"/>
                <w:lang w:val="en-GB"/>
              </w:rPr>
              <w:t>2,218,501</w:t>
            </w:r>
          </w:p>
        </w:tc>
        <w:tc>
          <w:tcPr>
            <w:tcW w:w="1106" w:type="dxa"/>
            <w:vAlign w:val="center"/>
          </w:tcPr>
          <w:p w14:paraId="447E7008" w14:textId="77777777" w:rsidR="004E0802" w:rsidRPr="00827BEA" w:rsidRDefault="004E0802" w:rsidP="004E0802">
            <w:pPr>
              <w:pStyle w:val="ExhibitText"/>
              <w:jc w:val="right"/>
              <w:rPr>
                <w:rFonts w:eastAsia="Yu Mincho"/>
                <w:lang w:val="en-GB"/>
              </w:rPr>
            </w:pPr>
            <w:r w:rsidRPr="00827BEA">
              <w:rPr>
                <w:rFonts w:eastAsia="Yu Mincho"/>
                <w:lang w:val="en-GB"/>
              </w:rPr>
              <w:t>1,806,264</w:t>
            </w:r>
          </w:p>
        </w:tc>
        <w:tc>
          <w:tcPr>
            <w:tcW w:w="1144" w:type="dxa"/>
            <w:vAlign w:val="center"/>
          </w:tcPr>
          <w:p w14:paraId="419CB7E0" w14:textId="77777777" w:rsidR="004E0802" w:rsidRPr="00827BEA" w:rsidRDefault="004E0802" w:rsidP="004E0802">
            <w:pPr>
              <w:pStyle w:val="ExhibitText"/>
              <w:jc w:val="right"/>
              <w:rPr>
                <w:rFonts w:eastAsia="Yu Mincho"/>
                <w:lang w:val="en-GB"/>
              </w:rPr>
            </w:pPr>
            <w:r w:rsidRPr="00827BEA">
              <w:rPr>
                <w:rFonts w:eastAsia="Yu Mincho"/>
                <w:lang w:val="en-GB"/>
              </w:rPr>
              <w:t>1,744,544</w:t>
            </w:r>
          </w:p>
        </w:tc>
        <w:tc>
          <w:tcPr>
            <w:tcW w:w="1106" w:type="dxa"/>
            <w:vAlign w:val="center"/>
          </w:tcPr>
          <w:p w14:paraId="3446E577" w14:textId="77777777" w:rsidR="004E0802" w:rsidRPr="00827BEA" w:rsidRDefault="004E0802" w:rsidP="004E0802">
            <w:pPr>
              <w:pStyle w:val="ExhibitText"/>
              <w:jc w:val="right"/>
              <w:rPr>
                <w:rFonts w:eastAsia="Yu Mincho"/>
                <w:lang w:val="en-GB"/>
              </w:rPr>
            </w:pPr>
            <w:r w:rsidRPr="00827BEA">
              <w:rPr>
                <w:rFonts w:eastAsia="Yu Mincho"/>
                <w:lang w:val="en-GB"/>
              </w:rPr>
              <w:t>1,655,623</w:t>
            </w:r>
          </w:p>
        </w:tc>
        <w:tc>
          <w:tcPr>
            <w:tcW w:w="990" w:type="dxa"/>
            <w:vAlign w:val="center"/>
          </w:tcPr>
          <w:p w14:paraId="1EDDDEF3" w14:textId="77777777" w:rsidR="004E0802" w:rsidRPr="00827BEA" w:rsidRDefault="004E0802" w:rsidP="004E0802">
            <w:pPr>
              <w:pStyle w:val="ExhibitText"/>
              <w:jc w:val="right"/>
              <w:rPr>
                <w:rFonts w:eastAsia="Yu Mincho"/>
                <w:lang w:val="en-GB"/>
              </w:rPr>
            </w:pPr>
            <w:r w:rsidRPr="00827BEA">
              <w:rPr>
                <w:rFonts w:eastAsia="Yu Mincho"/>
                <w:lang w:val="en-GB"/>
              </w:rPr>
              <w:t>174,577</w:t>
            </w:r>
          </w:p>
        </w:tc>
        <w:tc>
          <w:tcPr>
            <w:tcW w:w="990" w:type="dxa"/>
            <w:vAlign w:val="center"/>
          </w:tcPr>
          <w:p w14:paraId="40BEC627" w14:textId="77777777" w:rsidR="004E0802" w:rsidRPr="00827BEA" w:rsidRDefault="004E0802" w:rsidP="004E0802">
            <w:pPr>
              <w:pStyle w:val="ExhibitText"/>
              <w:jc w:val="right"/>
              <w:rPr>
                <w:rFonts w:eastAsia="Yu Mincho"/>
                <w:lang w:val="en-GB"/>
              </w:rPr>
            </w:pPr>
            <w:r w:rsidRPr="00827BEA">
              <w:rPr>
                <w:rFonts w:eastAsia="Yu Mincho"/>
                <w:lang w:val="en-GB"/>
              </w:rPr>
              <w:t>119,311</w:t>
            </w:r>
          </w:p>
        </w:tc>
      </w:tr>
      <w:tr w:rsidR="004E0802" w:rsidRPr="00827BEA" w14:paraId="201CA7AB" w14:textId="77777777" w:rsidTr="003805CD">
        <w:trPr>
          <w:jc w:val="center"/>
        </w:trPr>
        <w:tc>
          <w:tcPr>
            <w:tcW w:w="2970" w:type="dxa"/>
            <w:vAlign w:val="center"/>
          </w:tcPr>
          <w:p w14:paraId="1CEDF8EA" w14:textId="1B82AAC7" w:rsidR="004E0802" w:rsidRPr="00827BEA" w:rsidRDefault="004E0802" w:rsidP="004E0802">
            <w:pPr>
              <w:pStyle w:val="ExhibitText"/>
              <w:jc w:val="left"/>
              <w:rPr>
                <w:rFonts w:eastAsia="Yu Mincho"/>
                <w:lang w:val="en-GB"/>
              </w:rPr>
            </w:pPr>
            <w:r w:rsidRPr="00827BEA">
              <w:rPr>
                <w:rFonts w:eastAsia="Yu Mincho"/>
                <w:lang w:val="en-GB"/>
              </w:rPr>
              <w:t xml:space="preserve">Total </w:t>
            </w:r>
            <w:r w:rsidR="001E5CF2" w:rsidRPr="00827BEA">
              <w:rPr>
                <w:rFonts w:eastAsia="Yu Mincho"/>
                <w:lang w:val="en-GB"/>
              </w:rPr>
              <w:t>l</w:t>
            </w:r>
            <w:r w:rsidRPr="00827BEA">
              <w:rPr>
                <w:rFonts w:eastAsia="Yu Mincho"/>
                <w:lang w:val="en-GB"/>
              </w:rPr>
              <w:t>iabilities</w:t>
            </w:r>
          </w:p>
        </w:tc>
        <w:tc>
          <w:tcPr>
            <w:tcW w:w="1260" w:type="dxa"/>
            <w:vAlign w:val="center"/>
          </w:tcPr>
          <w:p w14:paraId="7072DCEE" w14:textId="77777777" w:rsidR="004E0802" w:rsidRPr="00827BEA" w:rsidRDefault="004E0802" w:rsidP="004E0802">
            <w:pPr>
              <w:pStyle w:val="ExhibitText"/>
              <w:jc w:val="right"/>
              <w:rPr>
                <w:color w:val="000000"/>
                <w:lang w:val="en-GB"/>
              </w:rPr>
            </w:pPr>
            <w:r w:rsidRPr="00827BEA">
              <w:rPr>
                <w:color w:val="000000"/>
                <w:lang w:val="en-GB"/>
              </w:rPr>
              <w:t>1,546,430</w:t>
            </w:r>
          </w:p>
        </w:tc>
        <w:tc>
          <w:tcPr>
            <w:tcW w:w="1144" w:type="dxa"/>
            <w:vAlign w:val="center"/>
          </w:tcPr>
          <w:p w14:paraId="019291F2" w14:textId="77777777" w:rsidR="004E0802" w:rsidRPr="00827BEA" w:rsidRDefault="004E0802" w:rsidP="004E0802">
            <w:pPr>
              <w:pStyle w:val="ExhibitText"/>
              <w:jc w:val="right"/>
              <w:rPr>
                <w:color w:val="000000"/>
                <w:lang w:val="en-GB"/>
              </w:rPr>
            </w:pPr>
            <w:r w:rsidRPr="00827BEA">
              <w:rPr>
                <w:color w:val="000000"/>
                <w:lang w:val="en-GB"/>
              </w:rPr>
              <w:t>1,333,339</w:t>
            </w:r>
          </w:p>
        </w:tc>
        <w:tc>
          <w:tcPr>
            <w:tcW w:w="1106" w:type="dxa"/>
            <w:vAlign w:val="center"/>
          </w:tcPr>
          <w:p w14:paraId="6EF5B193" w14:textId="77777777" w:rsidR="004E0802" w:rsidRPr="00827BEA" w:rsidRDefault="004E0802" w:rsidP="004E0802">
            <w:pPr>
              <w:pStyle w:val="ExhibitText"/>
              <w:jc w:val="right"/>
              <w:rPr>
                <w:color w:val="000000"/>
                <w:lang w:val="en-GB"/>
              </w:rPr>
            </w:pPr>
            <w:r w:rsidRPr="00827BEA">
              <w:rPr>
                <w:color w:val="000000"/>
                <w:lang w:val="en-GB"/>
              </w:rPr>
              <w:t>1,548,336</w:t>
            </w:r>
          </w:p>
        </w:tc>
        <w:tc>
          <w:tcPr>
            <w:tcW w:w="1144" w:type="dxa"/>
            <w:vAlign w:val="center"/>
          </w:tcPr>
          <w:p w14:paraId="62AA4B3D" w14:textId="77777777" w:rsidR="004E0802" w:rsidRPr="00827BEA" w:rsidRDefault="004E0802" w:rsidP="004E0802">
            <w:pPr>
              <w:pStyle w:val="ExhibitText"/>
              <w:jc w:val="right"/>
              <w:rPr>
                <w:color w:val="000000"/>
                <w:lang w:val="en-GB"/>
              </w:rPr>
            </w:pPr>
            <w:r w:rsidRPr="00827BEA">
              <w:rPr>
                <w:color w:val="000000"/>
                <w:lang w:val="en-GB"/>
              </w:rPr>
              <w:t>786,976</w:t>
            </w:r>
          </w:p>
        </w:tc>
        <w:tc>
          <w:tcPr>
            <w:tcW w:w="1106" w:type="dxa"/>
            <w:vAlign w:val="center"/>
          </w:tcPr>
          <w:p w14:paraId="3A154BB0" w14:textId="77777777" w:rsidR="004E0802" w:rsidRPr="00827BEA" w:rsidRDefault="004E0802" w:rsidP="004E0802">
            <w:pPr>
              <w:pStyle w:val="ExhibitText"/>
              <w:jc w:val="right"/>
              <w:rPr>
                <w:color w:val="000000"/>
                <w:lang w:val="en-GB"/>
              </w:rPr>
            </w:pPr>
            <w:r w:rsidRPr="00827BEA">
              <w:rPr>
                <w:color w:val="000000"/>
                <w:lang w:val="en-GB"/>
              </w:rPr>
              <w:t>438,470</w:t>
            </w:r>
          </w:p>
        </w:tc>
        <w:tc>
          <w:tcPr>
            <w:tcW w:w="1144" w:type="dxa"/>
            <w:vAlign w:val="center"/>
          </w:tcPr>
          <w:p w14:paraId="5E056153" w14:textId="77777777" w:rsidR="004E0802" w:rsidRPr="00827BEA" w:rsidRDefault="004E0802" w:rsidP="004E0802">
            <w:pPr>
              <w:pStyle w:val="ExhibitText"/>
              <w:jc w:val="right"/>
              <w:rPr>
                <w:color w:val="000000"/>
                <w:lang w:val="en-GB"/>
              </w:rPr>
            </w:pPr>
            <w:r w:rsidRPr="00827BEA">
              <w:rPr>
                <w:color w:val="000000"/>
                <w:lang w:val="en-GB"/>
              </w:rPr>
              <w:t>454,012</w:t>
            </w:r>
          </w:p>
        </w:tc>
        <w:tc>
          <w:tcPr>
            <w:tcW w:w="1106" w:type="dxa"/>
            <w:vAlign w:val="center"/>
          </w:tcPr>
          <w:p w14:paraId="0F738472" w14:textId="77777777" w:rsidR="004E0802" w:rsidRPr="00827BEA" w:rsidRDefault="004E0802" w:rsidP="004E0802">
            <w:pPr>
              <w:pStyle w:val="ExhibitText"/>
              <w:jc w:val="right"/>
              <w:rPr>
                <w:color w:val="000000"/>
                <w:lang w:val="en-GB"/>
              </w:rPr>
            </w:pPr>
            <w:r w:rsidRPr="00827BEA">
              <w:rPr>
                <w:color w:val="000000"/>
                <w:lang w:val="en-GB"/>
              </w:rPr>
              <w:t>452,193</w:t>
            </w:r>
          </w:p>
        </w:tc>
        <w:tc>
          <w:tcPr>
            <w:tcW w:w="990" w:type="dxa"/>
            <w:vAlign w:val="center"/>
          </w:tcPr>
          <w:p w14:paraId="5DACD457" w14:textId="77777777" w:rsidR="004E0802" w:rsidRPr="00827BEA" w:rsidRDefault="004E0802" w:rsidP="004E0802">
            <w:pPr>
              <w:pStyle w:val="ExhibitText"/>
              <w:jc w:val="right"/>
              <w:rPr>
                <w:color w:val="000000"/>
                <w:lang w:val="en-GB"/>
              </w:rPr>
            </w:pPr>
            <w:r w:rsidRPr="00827BEA">
              <w:rPr>
                <w:color w:val="000000"/>
                <w:lang w:val="en-GB"/>
              </w:rPr>
              <w:t>136,466</w:t>
            </w:r>
          </w:p>
        </w:tc>
        <w:tc>
          <w:tcPr>
            <w:tcW w:w="990" w:type="dxa"/>
            <w:vAlign w:val="center"/>
          </w:tcPr>
          <w:p w14:paraId="4A5B0005" w14:textId="77777777" w:rsidR="004E0802" w:rsidRPr="00827BEA" w:rsidRDefault="004E0802" w:rsidP="004E0802">
            <w:pPr>
              <w:pStyle w:val="ExhibitText"/>
              <w:jc w:val="right"/>
              <w:rPr>
                <w:color w:val="000000"/>
                <w:lang w:val="en-GB"/>
              </w:rPr>
            </w:pPr>
            <w:r w:rsidRPr="00827BEA">
              <w:rPr>
                <w:color w:val="000000"/>
                <w:lang w:val="en-GB"/>
              </w:rPr>
              <w:t>80,828</w:t>
            </w:r>
          </w:p>
        </w:tc>
      </w:tr>
      <w:tr w:rsidR="004E0802" w:rsidRPr="00827BEA" w14:paraId="5E7969DE" w14:textId="77777777" w:rsidTr="003805CD">
        <w:trPr>
          <w:jc w:val="center"/>
        </w:trPr>
        <w:tc>
          <w:tcPr>
            <w:tcW w:w="2970" w:type="dxa"/>
            <w:vAlign w:val="center"/>
          </w:tcPr>
          <w:p w14:paraId="06591B86" w14:textId="34D24FEE" w:rsidR="004E0802" w:rsidRPr="00827BEA" w:rsidRDefault="004E0802" w:rsidP="004E0802">
            <w:pPr>
              <w:pStyle w:val="ExhibitText"/>
              <w:jc w:val="left"/>
              <w:rPr>
                <w:rFonts w:eastAsia="Yu Mincho"/>
                <w:lang w:val="en-GB"/>
              </w:rPr>
            </w:pPr>
            <w:r w:rsidRPr="00827BEA">
              <w:rPr>
                <w:rFonts w:eastAsia="Yu Mincho"/>
                <w:lang w:val="en-GB"/>
              </w:rPr>
              <w:t xml:space="preserve">Total </w:t>
            </w:r>
            <w:r w:rsidR="001E5CF2" w:rsidRPr="00827BEA">
              <w:rPr>
                <w:rFonts w:eastAsia="Yu Mincho"/>
                <w:lang w:val="en-GB"/>
              </w:rPr>
              <w:t>n</w:t>
            </w:r>
            <w:r w:rsidRPr="00827BEA">
              <w:rPr>
                <w:rFonts w:eastAsia="Yu Mincho"/>
                <w:lang w:val="en-GB"/>
              </w:rPr>
              <w:t xml:space="preserve">et </w:t>
            </w:r>
            <w:r w:rsidR="001E5CF2" w:rsidRPr="00827BEA">
              <w:rPr>
                <w:rFonts w:eastAsia="Yu Mincho"/>
                <w:lang w:val="en-GB"/>
              </w:rPr>
              <w:t>a</w:t>
            </w:r>
            <w:r w:rsidRPr="00827BEA">
              <w:rPr>
                <w:rFonts w:eastAsia="Yu Mincho"/>
                <w:lang w:val="en-GB"/>
              </w:rPr>
              <w:t>ssets</w:t>
            </w:r>
          </w:p>
        </w:tc>
        <w:tc>
          <w:tcPr>
            <w:tcW w:w="1260" w:type="dxa"/>
            <w:vAlign w:val="center"/>
          </w:tcPr>
          <w:p w14:paraId="23819356" w14:textId="77777777" w:rsidR="004E0802" w:rsidRPr="00827BEA" w:rsidRDefault="004E0802" w:rsidP="004E0802">
            <w:pPr>
              <w:pStyle w:val="ExhibitText"/>
              <w:jc w:val="right"/>
              <w:rPr>
                <w:color w:val="000000"/>
                <w:lang w:val="en-GB"/>
              </w:rPr>
            </w:pPr>
            <w:r w:rsidRPr="00827BEA">
              <w:rPr>
                <w:color w:val="000000"/>
                <w:lang w:val="en-GB"/>
              </w:rPr>
              <w:t>1,420,189</w:t>
            </w:r>
          </w:p>
        </w:tc>
        <w:tc>
          <w:tcPr>
            <w:tcW w:w="1144" w:type="dxa"/>
            <w:vAlign w:val="center"/>
          </w:tcPr>
          <w:p w14:paraId="3CFE11CD" w14:textId="77777777" w:rsidR="004E0802" w:rsidRPr="00827BEA" w:rsidRDefault="004E0802" w:rsidP="004E0802">
            <w:pPr>
              <w:pStyle w:val="ExhibitText"/>
              <w:jc w:val="right"/>
              <w:rPr>
                <w:color w:val="000000"/>
                <w:lang w:val="en-GB"/>
              </w:rPr>
            </w:pPr>
            <w:r w:rsidRPr="00827BEA">
              <w:rPr>
                <w:color w:val="000000"/>
                <w:lang w:val="en-GB"/>
              </w:rPr>
              <w:t>1,447,254</w:t>
            </w:r>
          </w:p>
        </w:tc>
        <w:tc>
          <w:tcPr>
            <w:tcW w:w="1106" w:type="dxa"/>
            <w:vAlign w:val="center"/>
          </w:tcPr>
          <w:p w14:paraId="79FDAADA" w14:textId="77777777" w:rsidR="004E0802" w:rsidRPr="00827BEA" w:rsidRDefault="004E0802" w:rsidP="004E0802">
            <w:pPr>
              <w:pStyle w:val="ExhibitText"/>
              <w:jc w:val="right"/>
              <w:rPr>
                <w:color w:val="000000"/>
                <w:lang w:val="en-GB"/>
              </w:rPr>
            </w:pPr>
            <w:r w:rsidRPr="00827BEA">
              <w:rPr>
                <w:color w:val="000000"/>
                <w:lang w:val="en-GB"/>
              </w:rPr>
              <w:t>1,465,158</w:t>
            </w:r>
          </w:p>
        </w:tc>
        <w:tc>
          <w:tcPr>
            <w:tcW w:w="1144" w:type="dxa"/>
            <w:vAlign w:val="center"/>
          </w:tcPr>
          <w:p w14:paraId="1390750B" w14:textId="77777777" w:rsidR="004E0802" w:rsidRPr="00827BEA" w:rsidRDefault="004E0802" w:rsidP="004E0802">
            <w:pPr>
              <w:pStyle w:val="ExhibitText"/>
              <w:jc w:val="right"/>
              <w:rPr>
                <w:color w:val="000000"/>
                <w:lang w:val="en-GB"/>
              </w:rPr>
            </w:pPr>
            <w:r w:rsidRPr="00827BEA">
              <w:rPr>
                <w:color w:val="000000"/>
                <w:lang w:val="en-GB"/>
              </w:rPr>
              <w:t>1,431,525</w:t>
            </w:r>
          </w:p>
        </w:tc>
        <w:tc>
          <w:tcPr>
            <w:tcW w:w="1106" w:type="dxa"/>
            <w:vAlign w:val="center"/>
          </w:tcPr>
          <w:p w14:paraId="27E6E69D" w14:textId="77777777" w:rsidR="004E0802" w:rsidRPr="00827BEA" w:rsidRDefault="004E0802" w:rsidP="004E0802">
            <w:pPr>
              <w:pStyle w:val="ExhibitText"/>
              <w:jc w:val="right"/>
              <w:rPr>
                <w:color w:val="000000"/>
                <w:lang w:val="en-GB"/>
              </w:rPr>
            </w:pPr>
            <w:r w:rsidRPr="00827BEA">
              <w:rPr>
                <w:color w:val="000000"/>
                <w:lang w:val="en-GB"/>
              </w:rPr>
              <w:t>1,367,794</w:t>
            </w:r>
          </w:p>
        </w:tc>
        <w:tc>
          <w:tcPr>
            <w:tcW w:w="1144" w:type="dxa"/>
            <w:vAlign w:val="center"/>
          </w:tcPr>
          <w:p w14:paraId="6029D0AD" w14:textId="77777777" w:rsidR="004E0802" w:rsidRPr="00827BEA" w:rsidRDefault="004E0802" w:rsidP="004E0802">
            <w:pPr>
              <w:pStyle w:val="ExhibitText"/>
              <w:jc w:val="right"/>
              <w:rPr>
                <w:color w:val="000000"/>
                <w:lang w:val="en-GB"/>
              </w:rPr>
            </w:pPr>
            <w:r w:rsidRPr="00827BEA">
              <w:rPr>
                <w:color w:val="000000"/>
                <w:lang w:val="en-GB"/>
              </w:rPr>
              <w:t>1,290,532</w:t>
            </w:r>
          </w:p>
        </w:tc>
        <w:tc>
          <w:tcPr>
            <w:tcW w:w="1106" w:type="dxa"/>
            <w:vAlign w:val="center"/>
          </w:tcPr>
          <w:p w14:paraId="3F376D2A" w14:textId="77777777" w:rsidR="004E0802" w:rsidRPr="00827BEA" w:rsidRDefault="004E0802" w:rsidP="004E0802">
            <w:pPr>
              <w:pStyle w:val="ExhibitText"/>
              <w:jc w:val="right"/>
              <w:rPr>
                <w:color w:val="000000"/>
                <w:lang w:val="en-GB"/>
              </w:rPr>
            </w:pPr>
            <w:r w:rsidRPr="00827BEA">
              <w:rPr>
                <w:color w:val="000000"/>
                <w:lang w:val="en-GB"/>
              </w:rPr>
              <w:t>1,203,429</w:t>
            </w:r>
          </w:p>
        </w:tc>
        <w:tc>
          <w:tcPr>
            <w:tcW w:w="990" w:type="dxa"/>
            <w:vAlign w:val="center"/>
          </w:tcPr>
          <w:p w14:paraId="4C63C8D0" w14:textId="77777777" w:rsidR="004E0802" w:rsidRPr="00827BEA" w:rsidRDefault="004E0802" w:rsidP="004E0802">
            <w:pPr>
              <w:pStyle w:val="ExhibitText"/>
              <w:jc w:val="right"/>
              <w:rPr>
                <w:color w:val="000000"/>
                <w:lang w:val="en-GB"/>
              </w:rPr>
            </w:pPr>
            <w:r w:rsidRPr="00827BEA">
              <w:rPr>
                <w:color w:val="000000"/>
                <w:lang w:val="en-GB"/>
              </w:rPr>
              <w:t>38,111</w:t>
            </w:r>
          </w:p>
        </w:tc>
        <w:tc>
          <w:tcPr>
            <w:tcW w:w="990" w:type="dxa"/>
            <w:vAlign w:val="center"/>
          </w:tcPr>
          <w:p w14:paraId="2B1BA443" w14:textId="77777777" w:rsidR="004E0802" w:rsidRPr="00827BEA" w:rsidRDefault="004E0802" w:rsidP="004E0802">
            <w:pPr>
              <w:pStyle w:val="ExhibitText"/>
              <w:jc w:val="right"/>
              <w:rPr>
                <w:color w:val="000000"/>
                <w:lang w:val="en-GB"/>
              </w:rPr>
            </w:pPr>
            <w:r w:rsidRPr="00827BEA">
              <w:rPr>
                <w:color w:val="000000"/>
                <w:lang w:val="en-GB"/>
              </w:rPr>
              <w:t>84,554</w:t>
            </w:r>
          </w:p>
        </w:tc>
      </w:tr>
      <w:tr w:rsidR="004E0802" w:rsidRPr="00827BEA" w14:paraId="29E7C8FF" w14:textId="77777777" w:rsidTr="003805CD">
        <w:tblPrEx>
          <w:tblCellMar>
            <w:left w:w="99" w:type="dxa"/>
            <w:right w:w="99" w:type="dxa"/>
          </w:tblCellMar>
          <w:tblLook w:val="0000" w:firstRow="0" w:lastRow="0" w:firstColumn="0" w:lastColumn="0" w:noHBand="0" w:noVBand="0"/>
        </w:tblPrEx>
        <w:trPr>
          <w:trHeight w:val="201"/>
          <w:jc w:val="center"/>
        </w:trPr>
        <w:tc>
          <w:tcPr>
            <w:tcW w:w="2970" w:type="dxa"/>
            <w:vAlign w:val="center"/>
          </w:tcPr>
          <w:p w14:paraId="72DF4715" w14:textId="767AD5F6" w:rsidR="004E0802" w:rsidRPr="00827BEA" w:rsidRDefault="004E0802" w:rsidP="004E0802">
            <w:pPr>
              <w:pStyle w:val="ExhibitText"/>
              <w:jc w:val="left"/>
              <w:rPr>
                <w:rFonts w:eastAsia="Yu Mincho"/>
                <w:lang w:val="en-GB"/>
              </w:rPr>
            </w:pPr>
            <w:r w:rsidRPr="00827BEA">
              <w:rPr>
                <w:rFonts w:eastAsia="Yu Mincho"/>
                <w:lang w:val="en-GB"/>
              </w:rPr>
              <w:t xml:space="preserve">Equity </w:t>
            </w:r>
            <w:r w:rsidR="001E5CF2" w:rsidRPr="00827BEA">
              <w:rPr>
                <w:rFonts w:eastAsia="Yu Mincho"/>
                <w:lang w:val="en-GB"/>
              </w:rPr>
              <w:t>c</w:t>
            </w:r>
            <w:r w:rsidRPr="00827BEA">
              <w:rPr>
                <w:rFonts w:eastAsia="Yu Mincho"/>
                <w:lang w:val="en-GB"/>
              </w:rPr>
              <w:t xml:space="preserve">ontributable to </w:t>
            </w:r>
            <w:r w:rsidR="001E5CF2" w:rsidRPr="00827BEA">
              <w:rPr>
                <w:rFonts w:eastAsia="Yu Mincho"/>
                <w:lang w:val="en-GB"/>
              </w:rPr>
              <w:t>o</w:t>
            </w:r>
            <w:r w:rsidRPr="00827BEA">
              <w:rPr>
                <w:rFonts w:eastAsia="Yu Mincho"/>
                <w:lang w:val="en-GB"/>
              </w:rPr>
              <w:t xml:space="preserve">wners of the </w:t>
            </w:r>
            <w:r w:rsidR="001E5CF2" w:rsidRPr="00827BEA">
              <w:rPr>
                <w:rFonts w:eastAsia="Yu Mincho"/>
                <w:lang w:val="en-GB"/>
              </w:rPr>
              <w:t>c</w:t>
            </w:r>
            <w:r w:rsidRPr="00827BEA">
              <w:rPr>
                <w:rFonts w:eastAsia="Yu Mincho"/>
                <w:lang w:val="en-GB"/>
              </w:rPr>
              <w:t>ompany</w:t>
            </w:r>
          </w:p>
        </w:tc>
        <w:tc>
          <w:tcPr>
            <w:tcW w:w="1260" w:type="dxa"/>
            <w:vAlign w:val="center"/>
          </w:tcPr>
          <w:p w14:paraId="7AB6DDDF" w14:textId="77777777" w:rsidR="004E0802" w:rsidRPr="00827BEA" w:rsidRDefault="004E0802" w:rsidP="004E0802">
            <w:pPr>
              <w:pStyle w:val="ExhibitText"/>
              <w:jc w:val="right"/>
              <w:rPr>
                <w:color w:val="000000"/>
                <w:lang w:val="en-GB"/>
              </w:rPr>
            </w:pPr>
            <w:r w:rsidRPr="00827BEA">
              <w:rPr>
                <w:color w:val="000000"/>
                <w:lang w:val="en-GB"/>
              </w:rPr>
              <w:t>1,406,457</w:t>
            </w:r>
          </w:p>
        </w:tc>
        <w:tc>
          <w:tcPr>
            <w:tcW w:w="1144" w:type="dxa"/>
            <w:vAlign w:val="center"/>
          </w:tcPr>
          <w:p w14:paraId="546AADEB" w14:textId="77777777" w:rsidR="004E0802" w:rsidRPr="00827BEA" w:rsidRDefault="004E0802" w:rsidP="004E0802">
            <w:pPr>
              <w:pStyle w:val="ExhibitText"/>
              <w:jc w:val="right"/>
              <w:rPr>
                <w:color w:val="000000"/>
                <w:lang w:val="en-GB"/>
              </w:rPr>
            </w:pPr>
            <w:r w:rsidRPr="00827BEA">
              <w:rPr>
                <w:color w:val="000000"/>
                <w:lang w:val="en-GB"/>
              </w:rPr>
              <w:t>1,434,227</w:t>
            </w:r>
          </w:p>
        </w:tc>
        <w:tc>
          <w:tcPr>
            <w:tcW w:w="1106" w:type="dxa"/>
            <w:vAlign w:val="center"/>
          </w:tcPr>
          <w:p w14:paraId="1B9EFE98" w14:textId="77777777" w:rsidR="004E0802" w:rsidRPr="00827BEA" w:rsidRDefault="004E0802" w:rsidP="004E0802">
            <w:pPr>
              <w:pStyle w:val="ExhibitText"/>
              <w:jc w:val="right"/>
              <w:rPr>
                <w:color w:val="000000"/>
                <w:lang w:val="en-GB"/>
              </w:rPr>
            </w:pPr>
            <w:r w:rsidRPr="00827BEA">
              <w:rPr>
                <w:color w:val="000000"/>
                <w:lang w:val="en-GB"/>
              </w:rPr>
              <w:t>1,452,993</w:t>
            </w:r>
          </w:p>
        </w:tc>
        <w:tc>
          <w:tcPr>
            <w:tcW w:w="1144" w:type="dxa"/>
            <w:vAlign w:val="center"/>
          </w:tcPr>
          <w:p w14:paraId="3D99C81D" w14:textId="77777777" w:rsidR="004E0802" w:rsidRPr="00827BEA" w:rsidRDefault="004E0802" w:rsidP="004E0802">
            <w:pPr>
              <w:pStyle w:val="ExhibitText"/>
              <w:jc w:val="right"/>
              <w:rPr>
                <w:color w:val="000000"/>
                <w:lang w:val="en-GB"/>
              </w:rPr>
            </w:pPr>
            <w:r w:rsidRPr="00827BEA">
              <w:rPr>
                <w:color w:val="000000"/>
                <w:lang w:val="en-GB"/>
              </w:rPr>
              <w:t>1,421,431</w:t>
            </w:r>
          </w:p>
        </w:tc>
        <w:tc>
          <w:tcPr>
            <w:tcW w:w="1106" w:type="dxa"/>
            <w:vAlign w:val="center"/>
          </w:tcPr>
          <w:p w14:paraId="4F9ED188" w14:textId="77777777" w:rsidR="004E0802" w:rsidRPr="00827BEA" w:rsidRDefault="004E0802" w:rsidP="004E0802">
            <w:pPr>
              <w:pStyle w:val="ExhibitText"/>
              <w:jc w:val="right"/>
              <w:rPr>
                <w:color w:val="000000"/>
                <w:lang w:val="en-GB"/>
              </w:rPr>
            </w:pPr>
            <w:r w:rsidRPr="00827BEA">
              <w:rPr>
                <w:color w:val="000000"/>
                <w:lang w:val="en-GB"/>
              </w:rPr>
              <w:t>1,359,658</w:t>
            </w:r>
          </w:p>
        </w:tc>
        <w:tc>
          <w:tcPr>
            <w:tcW w:w="1144" w:type="dxa"/>
            <w:vAlign w:val="center"/>
          </w:tcPr>
          <w:p w14:paraId="1AD935CF" w14:textId="77777777" w:rsidR="004E0802" w:rsidRPr="00827BEA" w:rsidRDefault="004E0802" w:rsidP="004E0802">
            <w:pPr>
              <w:pStyle w:val="ExhibitText"/>
              <w:jc w:val="right"/>
              <w:rPr>
                <w:color w:val="000000"/>
                <w:lang w:val="en-GB"/>
              </w:rPr>
            </w:pPr>
            <w:r w:rsidRPr="00827BEA">
              <w:rPr>
                <w:color w:val="000000"/>
                <w:lang w:val="en-GB"/>
              </w:rPr>
              <w:t>1,284,797</w:t>
            </w:r>
          </w:p>
        </w:tc>
        <w:tc>
          <w:tcPr>
            <w:tcW w:w="1106" w:type="dxa"/>
            <w:vAlign w:val="center"/>
          </w:tcPr>
          <w:p w14:paraId="19F21327" w14:textId="77777777" w:rsidR="004E0802" w:rsidRPr="00827BEA" w:rsidRDefault="004E0802" w:rsidP="004E0802">
            <w:pPr>
              <w:pStyle w:val="ExhibitText"/>
              <w:jc w:val="right"/>
              <w:rPr>
                <w:color w:val="000000"/>
                <w:lang w:val="en-GB"/>
              </w:rPr>
            </w:pPr>
            <w:r w:rsidRPr="00827BEA">
              <w:rPr>
                <w:color w:val="000000"/>
                <w:lang w:val="en-GB"/>
              </w:rPr>
              <w:t>1,200,249</w:t>
            </w:r>
          </w:p>
        </w:tc>
        <w:tc>
          <w:tcPr>
            <w:tcW w:w="990" w:type="dxa"/>
            <w:vAlign w:val="center"/>
          </w:tcPr>
          <w:p w14:paraId="76D5878C" w14:textId="77777777" w:rsidR="004E0802" w:rsidRPr="00827BEA" w:rsidRDefault="004E0802" w:rsidP="004E0802">
            <w:pPr>
              <w:pStyle w:val="ExhibitText"/>
              <w:jc w:val="right"/>
              <w:rPr>
                <w:color w:val="000000"/>
                <w:lang w:val="en-GB"/>
              </w:rPr>
            </w:pPr>
            <w:r w:rsidRPr="00827BEA">
              <w:rPr>
                <w:color w:val="000000"/>
                <w:lang w:val="en-GB"/>
              </w:rPr>
              <w:t>36,839</w:t>
            </w:r>
          </w:p>
        </w:tc>
        <w:tc>
          <w:tcPr>
            <w:tcW w:w="990" w:type="dxa"/>
            <w:vAlign w:val="center"/>
          </w:tcPr>
          <w:p w14:paraId="78BDF187" w14:textId="77777777" w:rsidR="004E0802" w:rsidRPr="00827BEA" w:rsidRDefault="004E0802" w:rsidP="004E0802">
            <w:pPr>
              <w:pStyle w:val="ExhibitText"/>
              <w:jc w:val="right"/>
              <w:rPr>
                <w:color w:val="000000"/>
                <w:lang w:val="en-GB"/>
              </w:rPr>
            </w:pPr>
            <w:r w:rsidRPr="00827BEA">
              <w:rPr>
                <w:color w:val="000000"/>
                <w:lang w:val="en-GB"/>
              </w:rPr>
              <w:t>84,248</w:t>
            </w:r>
          </w:p>
        </w:tc>
      </w:tr>
      <w:tr w:rsidR="004E0802" w:rsidRPr="00827BEA" w14:paraId="19A9346F" w14:textId="77777777" w:rsidTr="003805CD">
        <w:tblPrEx>
          <w:tblCellMar>
            <w:left w:w="99" w:type="dxa"/>
            <w:right w:w="99" w:type="dxa"/>
          </w:tblCellMar>
          <w:tblLook w:val="0000" w:firstRow="0" w:lastRow="0" w:firstColumn="0" w:lastColumn="0" w:noHBand="0" w:noVBand="0"/>
        </w:tblPrEx>
        <w:trPr>
          <w:trHeight w:val="250"/>
          <w:jc w:val="center"/>
        </w:trPr>
        <w:tc>
          <w:tcPr>
            <w:tcW w:w="2970" w:type="dxa"/>
            <w:vAlign w:val="center"/>
          </w:tcPr>
          <w:p w14:paraId="3C16A957" w14:textId="7FCC664E" w:rsidR="004E0802" w:rsidRPr="00827BEA" w:rsidRDefault="004E0802" w:rsidP="004E0802">
            <w:pPr>
              <w:pStyle w:val="ExhibitText"/>
              <w:jc w:val="left"/>
              <w:rPr>
                <w:rFonts w:eastAsia="Yu Mincho"/>
                <w:lang w:val="en-GB"/>
              </w:rPr>
            </w:pPr>
            <w:r w:rsidRPr="00827BEA">
              <w:rPr>
                <w:rFonts w:eastAsia="Yu Mincho"/>
                <w:lang w:val="en-GB"/>
              </w:rPr>
              <w:t>Non-</w:t>
            </w:r>
            <w:r w:rsidR="001E5CF2" w:rsidRPr="00827BEA">
              <w:rPr>
                <w:rFonts w:eastAsia="Yu Mincho"/>
                <w:lang w:val="en-GB"/>
              </w:rPr>
              <w:t>c</w:t>
            </w:r>
            <w:r w:rsidRPr="00827BEA">
              <w:rPr>
                <w:rFonts w:eastAsia="Yu Mincho"/>
                <w:lang w:val="en-GB"/>
              </w:rPr>
              <w:t xml:space="preserve">ontrolling </w:t>
            </w:r>
            <w:r w:rsidR="001E5CF2" w:rsidRPr="00827BEA">
              <w:rPr>
                <w:rFonts w:eastAsia="Yu Mincho"/>
                <w:lang w:val="en-GB"/>
              </w:rPr>
              <w:t>i</w:t>
            </w:r>
            <w:r w:rsidRPr="00827BEA">
              <w:rPr>
                <w:rFonts w:eastAsia="Yu Mincho"/>
                <w:lang w:val="en-GB"/>
              </w:rPr>
              <w:t>nterests</w:t>
            </w:r>
          </w:p>
        </w:tc>
        <w:tc>
          <w:tcPr>
            <w:tcW w:w="1260" w:type="dxa"/>
            <w:vAlign w:val="center"/>
          </w:tcPr>
          <w:p w14:paraId="4C6B4C1E" w14:textId="77777777" w:rsidR="004E0802" w:rsidRPr="00827BEA" w:rsidRDefault="004E0802" w:rsidP="004E0802">
            <w:pPr>
              <w:pStyle w:val="ExhibitText"/>
              <w:jc w:val="right"/>
              <w:rPr>
                <w:color w:val="000000"/>
                <w:lang w:val="en-GB"/>
              </w:rPr>
            </w:pPr>
            <w:r w:rsidRPr="00827BEA">
              <w:rPr>
                <w:color w:val="000000"/>
                <w:lang w:val="en-GB"/>
              </w:rPr>
              <w:t>13,732</w:t>
            </w:r>
          </w:p>
        </w:tc>
        <w:tc>
          <w:tcPr>
            <w:tcW w:w="1144" w:type="dxa"/>
            <w:vAlign w:val="center"/>
          </w:tcPr>
          <w:p w14:paraId="4B53E8C0" w14:textId="77777777" w:rsidR="004E0802" w:rsidRPr="00827BEA" w:rsidRDefault="004E0802" w:rsidP="004E0802">
            <w:pPr>
              <w:pStyle w:val="ExhibitText"/>
              <w:jc w:val="right"/>
              <w:rPr>
                <w:color w:val="000000"/>
                <w:lang w:val="en-GB"/>
              </w:rPr>
            </w:pPr>
            <w:r w:rsidRPr="00827BEA">
              <w:rPr>
                <w:color w:val="000000"/>
                <w:lang w:val="en-GB"/>
              </w:rPr>
              <w:t>13,027</w:t>
            </w:r>
          </w:p>
        </w:tc>
        <w:tc>
          <w:tcPr>
            <w:tcW w:w="1106" w:type="dxa"/>
            <w:vAlign w:val="center"/>
          </w:tcPr>
          <w:p w14:paraId="6D14DD06" w14:textId="77777777" w:rsidR="004E0802" w:rsidRPr="00827BEA" w:rsidRDefault="004E0802" w:rsidP="004E0802">
            <w:pPr>
              <w:pStyle w:val="ExhibitText"/>
              <w:jc w:val="right"/>
              <w:rPr>
                <w:color w:val="000000"/>
                <w:lang w:val="en-GB"/>
              </w:rPr>
            </w:pPr>
            <w:r w:rsidRPr="00827BEA">
              <w:rPr>
                <w:color w:val="000000"/>
                <w:lang w:val="en-GB"/>
              </w:rPr>
              <w:t>12,165</w:t>
            </w:r>
          </w:p>
        </w:tc>
        <w:tc>
          <w:tcPr>
            <w:tcW w:w="1144" w:type="dxa"/>
            <w:vAlign w:val="center"/>
          </w:tcPr>
          <w:p w14:paraId="54700FC3" w14:textId="77777777" w:rsidR="004E0802" w:rsidRPr="00827BEA" w:rsidRDefault="004E0802" w:rsidP="004E0802">
            <w:pPr>
              <w:pStyle w:val="ExhibitText"/>
              <w:jc w:val="right"/>
              <w:rPr>
                <w:color w:val="000000"/>
                <w:lang w:val="en-GB"/>
              </w:rPr>
            </w:pPr>
            <w:r w:rsidRPr="00827BEA">
              <w:rPr>
                <w:color w:val="000000"/>
                <w:lang w:val="en-GB"/>
              </w:rPr>
              <w:t>10,094</w:t>
            </w:r>
          </w:p>
        </w:tc>
        <w:tc>
          <w:tcPr>
            <w:tcW w:w="1106" w:type="dxa"/>
            <w:vAlign w:val="center"/>
          </w:tcPr>
          <w:p w14:paraId="6A198AEC" w14:textId="77777777" w:rsidR="004E0802" w:rsidRPr="00827BEA" w:rsidRDefault="004E0802" w:rsidP="004E0802">
            <w:pPr>
              <w:pStyle w:val="ExhibitText"/>
              <w:jc w:val="right"/>
              <w:rPr>
                <w:color w:val="000000"/>
                <w:lang w:val="en-GB"/>
              </w:rPr>
            </w:pPr>
            <w:r w:rsidRPr="00827BEA">
              <w:rPr>
                <w:color w:val="000000"/>
                <w:lang w:val="en-GB"/>
              </w:rPr>
              <w:t>8,136</w:t>
            </w:r>
          </w:p>
        </w:tc>
        <w:tc>
          <w:tcPr>
            <w:tcW w:w="1144" w:type="dxa"/>
            <w:vAlign w:val="center"/>
          </w:tcPr>
          <w:p w14:paraId="70F36CD4" w14:textId="77777777" w:rsidR="004E0802" w:rsidRPr="00827BEA" w:rsidRDefault="004E0802" w:rsidP="004E0802">
            <w:pPr>
              <w:pStyle w:val="ExhibitText"/>
              <w:jc w:val="right"/>
              <w:rPr>
                <w:color w:val="000000"/>
                <w:lang w:val="en-GB"/>
              </w:rPr>
            </w:pPr>
            <w:r w:rsidRPr="00827BEA">
              <w:rPr>
                <w:color w:val="000000"/>
                <w:lang w:val="en-GB"/>
              </w:rPr>
              <w:t>5,735</w:t>
            </w:r>
          </w:p>
        </w:tc>
        <w:tc>
          <w:tcPr>
            <w:tcW w:w="1106" w:type="dxa"/>
            <w:vAlign w:val="center"/>
          </w:tcPr>
          <w:p w14:paraId="45A2ECD6" w14:textId="77777777" w:rsidR="004E0802" w:rsidRPr="00827BEA" w:rsidRDefault="004E0802" w:rsidP="004E0802">
            <w:pPr>
              <w:pStyle w:val="ExhibitText"/>
              <w:jc w:val="right"/>
              <w:rPr>
                <w:color w:val="000000"/>
                <w:lang w:val="en-GB"/>
              </w:rPr>
            </w:pPr>
            <w:r w:rsidRPr="00827BEA">
              <w:rPr>
                <w:color w:val="000000"/>
                <w:lang w:val="en-GB"/>
              </w:rPr>
              <w:t>3,181</w:t>
            </w:r>
          </w:p>
        </w:tc>
        <w:tc>
          <w:tcPr>
            <w:tcW w:w="990" w:type="dxa"/>
            <w:vAlign w:val="center"/>
          </w:tcPr>
          <w:p w14:paraId="1664B645" w14:textId="77777777" w:rsidR="004E0802" w:rsidRPr="00827BEA" w:rsidRDefault="004E0802" w:rsidP="004E0802">
            <w:pPr>
              <w:pStyle w:val="ExhibitText"/>
              <w:jc w:val="right"/>
              <w:rPr>
                <w:color w:val="000000"/>
                <w:lang w:val="en-GB"/>
              </w:rPr>
            </w:pPr>
            <w:r w:rsidRPr="00827BEA">
              <w:rPr>
                <w:color w:val="000000"/>
                <w:lang w:val="en-GB"/>
              </w:rPr>
              <w:t>1,272</w:t>
            </w:r>
          </w:p>
        </w:tc>
        <w:tc>
          <w:tcPr>
            <w:tcW w:w="990" w:type="dxa"/>
            <w:vAlign w:val="center"/>
          </w:tcPr>
          <w:p w14:paraId="30B13774" w14:textId="77777777" w:rsidR="004E0802" w:rsidRPr="00827BEA" w:rsidRDefault="004E0802" w:rsidP="004E0802">
            <w:pPr>
              <w:pStyle w:val="ExhibitText"/>
              <w:jc w:val="right"/>
              <w:rPr>
                <w:color w:val="000000"/>
                <w:lang w:val="en-GB"/>
              </w:rPr>
            </w:pPr>
            <w:r w:rsidRPr="00827BEA">
              <w:rPr>
                <w:color w:val="000000"/>
                <w:lang w:val="en-GB"/>
              </w:rPr>
              <w:t>295</w:t>
            </w:r>
          </w:p>
        </w:tc>
      </w:tr>
      <w:tr w:rsidR="004E0802" w:rsidRPr="00827BEA" w14:paraId="17AD69D8" w14:textId="77777777" w:rsidTr="003805CD">
        <w:tblPrEx>
          <w:tblCellMar>
            <w:left w:w="99" w:type="dxa"/>
            <w:right w:w="99" w:type="dxa"/>
          </w:tblCellMar>
          <w:tblLook w:val="0000" w:firstRow="0" w:lastRow="0" w:firstColumn="0" w:lastColumn="0" w:noHBand="0" w:noVBand="0"/>
        </w:tblPrEx>
        <w:trPr>
          <w:trHeight w:val="318"/>
          <w:jc w:val="center"/>
        </w:trPr>
        <w:tc>
          <w:tcPr>
            <w:tcW w:w="2970" w:type="dxa"/>
            <w:vAlign w:val="center"/>
          </w:tcPr>
          <w:p w14:paraId="0B4D5142" w14:textId="75E9A71E" w:rsidR="004E0802" w:rsidRPr="00827BEA" w:rsidRDefault="004E0802" w:rsidP="004E0802">
            <w:pPr>
              <w:pStyle w:val="ExhibitText"/>
              <w:jc w:val="left"/>
              <w:rPr>
                <w:rFonts w:eastAsia="Yu Mincho"/>
                <w:lang w:val="en-GB"/>
              </w:rPr>
            </w:pPr>
            <w:r w:rsidRPr="00827BEA">
              <w:rPr>
                <w:rFonts w:eastAsia="Yu Mincho"/>
                <w:lang w:val="en-GB"/>
              </w:rPr>
              <w:t xml:space="preserve">Total </w:t>
            </w:r>
            <w:r w:rsidR="001E5CF2" w:rsidRPr="00827BEA">
              <w:rPr>
                <w:rFonts w:eastAsia="Yu Mincho"/>
                <w:lang w:val="en-GB"/>
              </w:rPr>
              <w:t>o</w:t>
            </w:r>
            <w:r w:rsidRPr="00827BEA">
              <w:rPr>
                <w:rFonts w:eastAsia="Yu Mincho"/>
                <w:lang w:val="en-GB"/>
              </w:rPr>
              <w:t xml:space="preserve">wner’s </w:t>
            </w:r>
            <w:r w:rsidR="001E5CF2" w:rsidRPr="00827BEA">
              <w:rPr>
                <w:rFonts w:eastAsia="Yu Mincho"/>
                <w:lang w:val="en-GB"/>
              </w:rPr>
              <w:t>e</w:t>
            </w:r>
            <w:r w:rsidRPr="00827BEA">
              <w:rPr>
                <w:rFonts w:eastAsia="Yu Mincho"/>
                <w:lang w:val="en-GB"/>
              </w:rPr>
              <w:t>quity</w:t>
            </w:r>
          </w:p>
        </w:tc>
        <w:tc>
          <w:tcPr>
            <w:tcW w:w="1260" w:type="dxa"/>
            <w:vAlign w:val="center"/>
          </w:tcPr>
          <w:p w14:paraId="3032F6AB" w14:textId="77777777" w:rsidR="004E0802" w:rsidRPr="00827BEA" w:rsidRDefault="004E0802" w:rsidP="004E0802">
            <w:pPr>
              <w:pStyle w:val="ExhibitText"/>
              <w:jc w:val="right"/>
              <w:rPr>
                <w:color w:val="000000"/>
                <w:lang w:val="en-GB"/>
              </w:rPr>
            </w:pPr>
            <w:r w:rsidRPr="00827BEA">
              <w:rPr>
                <w:color w:val="000000"/>
                <w:lang w:val="en-GB"/>
              </w:rPr>
              <w:t>1,420,189</w:t>
            </w:r>
          </w:p>
        </w:tc>
        <w:tc>
          <w:tcPr>
            <w:tcW w:w="1144" w:type="dxa"/>
            <w:vAlign w:val="center"/>
          </w:tcPr>
          <w:p w14:paraId="2E2DBF9C" w14:textId="77777777" w:rsidR="004E0802" w:rsidRPr="00827BEA" w:rsidRDefault="004E0802" w:rsidP="004E0802">
            <w:pPr>
              <w:pStyle w:val="ExhibitText"/>
              <w:jc w:val="right"/>
              <w:rPr>
                <w:color w:val="000000"/>
                <w:lang w:val="en-GB"/>
              </w:rPr>
            </w:pPr>
            <w:r w:rsidRPr="00827BEA">
              <w:rPr>
                <w:color w:val="000000"/>
                <w:lang w:val="en-GB"/>
              </w:rPr>
              <w:t>1,447,254</w:t>
            </w:r>
          </w:p>
        </w:tc>
        <w:tc>
          <w:tcPr>
            <w:tcW w:w="1106" w:type="dxa"/>
            <w:vAlign w:val="center"/>
          </w:tcPr>
          <w:p w14:paraId="2C1C9412" w14:textId="77777777" w:rsidR="004E0802" w:rsidRPr="00827BEA" w:rsidRDefault="004E0802" w:rsidP="004E0802">
            <w:pPr>
              <w:pStyle w:val="ExhibitText"/>
              <w:jc w:val="right"/>
              <w:rPr>
                <w:color w:val="000000"/>
                <w:lang w:val="en-GB"/>
              </w:rPr>
            </w:pPr>
            <w:r w:rsidRPr="00827BEA">
              <w:rPr>
                <w:color w:val="000000"/>
                <w:lang w:val="en-GB"/>
              </w:rPr>
              <w:t>1,465,158</w:t>
            </w:r>
          </w:p>
        </w:tc>
        <w:tc>
          <w:tcPr>
            <w:tcW w:w="1144" w:type="dxa"/>
            <w:vAlign w:val="center"/>
          </w:tcPr>
          <w:p w14:paraId="5F694C8E" w14:textId="77777777" w:rsidR="004E0802" w:rsidRPr="00827BEA" w:rsidRDefault="004E0802" w:rsidP="004E0802">
            <w:pPr>
              <w:pStyle w:val="ExhibitText"/>
              <w:jc w:val="right"/>
              <w:rPr>
                <w:color w:val="000000"/>
                <w:lang w:val="en-GB"/>
              </w:rPr>
            </w:pPr>
            <w:r w:rsidRPr="00827BEA">
              <w:rPr>
                <w:color w:val="000000"/>
                <w:lang w:val="en-GB"/>
              </w:rPr>
              <w:t>1,431,525</w:t>
            </w:r>
          </w:p>
        </w:tc>
        <w:tc>
          <w:tcPr>
            <w:tcW w:w="1106" w:type="dxa"/>
            <w:vAlign w:val="center"/>
          </w:tcPr>
          <w:p w14:paraId="65AAD181" w14:textId="77777777" w:rsidR="004E0802" w:rsidRPr="00827BEA" w:rsidRDefault="004E0802" w:rsidP="004E0802">
            <w:pPr>
              <w:pStyle w:val="ExhibitText"/>
              <w:jc w:val="right"/>
              <w:rPr>
                <w:color w:val="000000"/>
                <w:lang w:val="en-GB"/>
              </w:rPr>
            </w:pPr>
            <w:r w:rsidRPr="00827BEA">
              <w:rPr>
                <w:color w:val="000000"/>
                <w:lang w:val="en-GB"/>
              </w:rPr>
              <w:t>1,367,794</w:t>
            </w:r>
          </w:p>
        </w:tc>
        <w:tc>
          <w:tcPr>
            <w:tcW w:w="1144" w:type="dxa"/>
            <w:vAlign w:val="center"/>
          </w:tcPr>
          <w:p w14:paraId="65342D9C" w14:textId="77777777" w:rsidR="004E0802" w:rsidRPr="00827BEA" w:rsidRDefault="004E0802" w:rsidP="004E0802">
            <w:pPr>
              <w:pStyle w:val="ExhibitText"/>
              <w:jc w:val="right"/>
              <w:rPr>
                <w:color w:val="000000"/>
                <w:lang w:val="en-GB"/>
              </w:rPr>
            </w:pPr>
            <w:r w:rsidRPr="00827BEA">
              <w:rPr>
                <w:color w:val="000000"/>
                <w:lang w:val="en-GB"/>
              </w:rPr>
              <w:t>1,290,532</w:t>
            </w:r>
          </w:p>
        </w:tc>
        <w:tc>
          <w:tcPr>
            <w:tcW w:w="1106" w:type="dxa"/>
            <w:vAlign w:val="center"/>
          </w:tcPr>
          <w:p w14:paraId="1DC69B28" w14:textId="77777777" w:rsidR="004E0802" w:rsidRPr="00827BEA" w:rsidRDefault="004E0802" w:rsidP="004E0802">
            <w:pPr>
              <w:pStyle w:val="ExhibitText"/>
              <w:jc w:val="right"/>
              <w:rPr>
                <w:color w:val="000000"/>
                <w:lang w:val="en-GB"/>
              </w:rPr>
            </w:pPr>
            <w:r w:rsidRPr="00827BEA">
              <w:rPr>
                <w:color w:val="000000"/>
                <w:lang w:val="en-GB"/>
              </w:rPr>
              <w:t>1,203,429</w:t>
            </w:r>
          </w:p>
        </w:tc>
        <w:tc>
          <w:tcPr>
            <w:tcW w:w="990" w:type="dxa"/>
            <w:vAlign w:val="center"/>
          </w:tcPr>
          <w:p w14:paraId="673B0D12" w14:textId="77777777" w:rsidR="004E0802" w:rsidRPr="00827BEA" w:rsidRDefault="004E0802" w:rsidP="004E0802">
            <w:pPr>
              <w:pStyle w:val="ExhibitText"/>
              <w:jc w:val="right"/>
              <w:rPr>
                <w:color w:val="000000"/>
                <w:lang w:val="en-GB"/>
              </w:rPr>
            </w:pPr>
            <w:r w:rsidRPr="00827BEA">
              <w:rPr>
                <w:color w:val="000000"/>
                <w:lang w:val="en-GB"/>
              </w:rPr>
              <w:t>38,111</w:t>
            </w:r>
          </w:p>
        </w:tc>
        <w:tc>
          <w:tcPr>
            <w:tcW w:w="990" w:type="dxa"/>
            <w:vAlign w:val="center"/>
          </w:tcPr>
          <w:p w14:paraId="5F714693" w14:textId="77777777" w:rsidR="004E0802" w:rsidRPr="00827BEA" w:rsidRDefault="004E0802" w:rsidP="004E0802">
            <w:pPr>
              <w:pStyle w:val="ExhibitText"/>
              <w:jc w:val="right"/>
              <w:rPr>
                <w:color w:val="000000"/>
                <w:lang w:val="en-GB"/>
              </w:rPr>
            </w:pPr>
            <w:r w:rsidRPr="00827BEA">
              <w:rPr>
                <w:color w:val="000000"/>
                <w:lang w:val="en-GB"/>
              </w:rPr>
              <w:t>84,554</w:t>
            </w:r>
          </w:p>
        </w:tc>
      </w:tr>
    </w:tbl>
    <w:p w14:paraId="72C24148" w14:textId="77777777" w:rsidR="004E0802" w:rsidRPr="00827BEA" w:rsidRDefault="004E0802" w:rsidP="004E0802">
      <w:pPr>
        <w:spacing w:line="259" w:lineRule="auto"/>
        <w:rPr>
          <w:rFonts w:eastAsia="Yu Mincho"/>
          <w:color w:val="333333"/>
          <w:sz w:val="22"/>
          <w:szCs w:val="22"/>
          <w:shd w:val="clear" w:color="auto" w:fill="FFFFFF"/>
          <w:lang w:val="en-GB"/>
        </w:rPr>
      </w:pPr>
    </w:p>
    <w:p w14:paraId="73658857" w14:textId="39599CD3" w:rsidR="004E0802" w:rsidRDefault="004E0802" w:rsidP="004E0802">
      <w:pPr>
        <w:pStyle w:val="Footnote"/>
        <w:rPr>
          <w:rFonts w:eastAsia="Yu Mincho"/>
          <w:shd w:val="clear" w:color="auto" w:fill="FFFFFF"/>
          <w:lang w:val="en-GB"/>
        </w:rPr>
      </w:pPr>
      <w:r w:rsidRPr="00827BEA">
        <w:rPr>
          <w:rFonts w:eastAsia="Yu Mincho"/>
          <w:shd w:val="clear" w:color="auto" w:fill="FFFFFF"/>
          <w:lang w:val="en-GB"/>
        </w:rPr>
        <w:t xml:space="preserve">Source: </w:t>
      </w:r>
      <w:r w:rsidR="00D310EE" w:rsidRPr="00827BEA">
        <w:rPr>
          <w:rFonts w:eastAsia="Yu Mincho"/>
          <w:shd w:val="clear" w:color="auto" w:fill="FFFFFF"/>
          <w:lang w:val="en-GB"/>
        </w:rPr>
        <w:t>Company files.</w:t>
      </w:r>
    </w:p>
    <w:p w14:paraId="3DE20A31" w14:textId="41F2897E" w:rsidR="00025C05" w:rsidRDefault="00025C05" w:rsidP="00025C05">
      <w:pPr>
        <w:pStyle w:val="ExhibitText"/>
        <w:rPr>
          <w:rFonts w:eastAsia="Yu Mincho"/>
          <w:shd w:val="clear" w:color="auto" w:fill="FFFFFF"/>
          <w:lang w:val="en-GB"/>
        </w:rPr>
      </w:pPr>
    </w:p>
    <w:p w14:paraId="10918257" w14:textId="14EFEEE3" w:rsidR="00025C05" w:rsidRDefault="00025C05" w:rsidP="00025C05">
      <w:pPr>
        <w:pStyle w:val="ExhibitText"/>
        <w:rPr>
          <w:rFonts w:eastAsia="Calibri"/>
          <w:lang w:val="en-GB" w:eastAsia="en-CA" w:bidi="en-CA"/>
        </w:rPr>
      </w:pPr>
    </w:p>
    <w:p w14:paraId="53AC2805" w14:textId="77777777" w:rsidR="00025C05" w:rsidRPr="00827BEA" w:rsidRDefault="00025C05" w:rsidP="00025C05">
      <w:pPr>
        <w:pStyle w:val="ExhibitText"/>
        <w:rPr>
          <w:rFonts w:eastAsia="Calibri"/>
          <w:lang w:val="en-GB" w:eastAsia="en-CA" w:bidi="en-CA"/>
        </w:rPr>
      </w:pPr>
    </w:p>
    <w:p w14:paraId="5DD556E2" w14:textId="77777777" w:rsidR="004E0802" w:rsidRPr="00827BEA" w:rsidRDefault="004E0802">
      <w:pPr>
        <w:spacing w:after="200" w:line="276" w:lineRule="auto"/>
        <w:rPr>
          <w:rFonts w:ascii="Arial" w:eastAsia="Calibri" w:hAnsi="Arial" w:cs="Arial"/>
          <w:sz w:val="17"/>
          <w:szCs w:val="17"/>
          <w:lang w:val="en-GB" w:eastAsia="en-CA" w:bidi="en-CA"/>
        </w:rPr>
        <w:sectPr w:rsidR="004E0802" w:rsidRPr="00827BEA" w:rsidSect="004E0802">
          <w:headerReference w:type="default" r:id="rId11"/>
          <w:pgSz w:w="15840" w:h="12240" w:orient="landscape" w:code="1"/>
          <w:pgMar w:top="1440" w:right="1440" w:bottom="1440" w:left="1440" w:header="1080" w:footer="720" w:gutter="0"/>
          <w:cols w:space="720"/>
          <w:docGrid w:linePitch="360"/>
        </w:sectPr>
      </w:pPr>
      <w:r w:rsidRPr="00827BEA">
        <w:rPr>
          <w:rFonts w:ascii="Arial" w:eastAsia="Calibri" w:hAnsi="Arial" w:cs="Arial"/>
          <w:sz w:val="17"/>
          <w:szCs w:val="17"/>
          <w:lang w:val="en-GB" w:eastAsia="en-CA" w:bidi="en-CA"/>
        </w:rPr>
        <w:br w:type="page"/>
      </w:r>
    </w:p>
    <w:p w14:paraId="1AF1D598" w14:textId="33FFAEF1" w:rsidR="00274EB3" w:rsidRPr="00827BEA" w:rsidRDefault="00274EB3" w:rsidP="00274EB3">
      <w:pPr>
        <w:pStyle w:val="ExhibitHeading"/>
        <w:rPr>
          <w:rFonts w:eastAsia="Yu Mincho"/>
          <w:lang w:val="en-GB"/>
        </w:rPr>
      </w:pPr>
      <w:r w:rsidRPr="00827BEA">
        <w:rPr>
          <w:rFonts w:eastAsia="Yu Mincho"/>
          <w:lang w:val="en-GB"/>
        </w:rPr>
        <w:lastRenderedPageBreak/>
        <w:t xml:space="preserve">Exhibit 5: Jerry Xie’s </w:t>
      </w:r>
      <w:r w:rsidR="007C2AA0">
        <w:rPr>
          <w:rFonts w:eastAsia="Yu Mincho"/>
          <w:lang w:val="en-GB"/>
        </w:rPr>
        <w:t>Cirriculum Vitae</w:t>
      </w:r>
    </w:p>
    <w:p w14:paraId="478C902B" w14:textId="77777777" w:rsidR="00274EB3" w:rsidRPr="00025C05" w:rsidRDefault="00274EB3" w:rsidP="00274EB3">
      <w:pPr>
        <w:pStyle w:val="ExhibitHeading"/>
        <w:rPr>
          <w:rFonts w:eastAsia="Yu Mincho"/>
          <w:sz w:val="16"/>
          <w:szCs w:val="16"/>
          <w:lang w:val="en-GB"/>
        </w:rPr>
      </w:pPr>
    </w:p>
    <w:p w14:paraId="09C6BDAF" w14:textId="77777777" w:rsidR="00274EB3" w:rsidRPr="00827BEA" w:rsidRDefault="00274EB3" w:rsidP="00274EB3">
      <w:pPr>
        <w:pStyle w:val="ExhibitText"/>
        <w:rPr>
          <w:rFonts w:eastAsia="Calibri"/>
          <w:u w:val="single"/>
          <w:lang w:val="en-GB" w:eastAsia="en-CA" w:bidi="en-CA"/>
        </w:rPr>
      </w:pPr>
      <w:r w:rsidRPr="00827BEA">
        <w:rPr>
          <w:rFonts w:eastAsia="Calibri"/>
          <w:u w:val="single"/>
          <w:lang w:val="en-GB" w:eastAsia="en-CA" w:bidi="en-CA"/>
        </w:rPr>
        <w:t>Education</w:t>
      </w:r>
    </w:p>
    <w:p w14:paraId="28678797" w14:textId="77777777" w:rsidR="00274EB3" w:rsidRPr="00025C05" w:rsidRDefault="00274EB3" w:rsidP="00274EB3">
      <w:pPr>
        <w:pStyle w:val="ExhibitText"/>
        <w:rPr>
          <w:rFonts w:eastAsia="Calibri"/>
          <w:sz w:val="16"/>
          <w:szCs w:val="16"/>
          <w:lang w:val="en-GB" w:eastAsia="en-CA" w:bidi="en-CA"/>
        </w:rPr>
      </w:pPr>
    </w:p>
    <w:p w14:paraId="26C97B5B" w14:textId="77777777" w:rsidR="00274EB3" w:rsidRPr="00827BEA" w:rsidRDefault="00274EB3" w:rsidP="00274EB3">
      <w:pPr>
        <w:pStyle w:val="ExhibitText"/>
        <w:rPr>
          <w:lang w:val="en-GB" w:eastAsia="en-CA" w:bidi="en-CA"/>
        </w:rPr>
      </w:pPr>
      <w:r w:rsidRPr="00827BEA">
        <w:rPr>
          <w:lang w:val="en-GB" w:eastAsia="en-CA" w:bidi="en-CA"/>
        </w:rPr>
        <w:t>Master of Engineering (2007), Mechanical Department, University of Calgary, Canada.</w:t>
      </w:r>
    </w:p>
    <w:p w14:paraId="1A8E212F" w14:textId="77777777" w:rsidR="00274EB3" w:rsidRPr="00025C05" w:rsidRDefault="00274EB3" w:rsidP="00274EB3">
      <w:pPr>
        <w:pStyle w:val="ExhibitText"/>
        <w:rPr>
          <w:sz w:val="16"/>
          <w:szCs w:val="16"/>
          <w:lang w:val="en-GB" w:eastAsia="en-CA" w:bidi="en-CA"/>
        </w:rPr>
      </w:pPr>
    </w:p>
    <w:p w14:paraId="599BDAB8" w14:textId="6487F215" w:rsidR="00274EB3" w:rsidRPr="00827BEA" w:rsidRDefault="00274EB3" w:rsidP="00274EB3">
      <w:pPr>
        <w:pStyle w:val="ExhibitText"/>
        <w:rPr>
          <w:lang w:val="en-GB" w:eastAsia="en-CA" w:bidi="en-CA"/>
        </w:rPr>
      </w:pPr>
      <w:r w:rsidRPr="00827BEA">
        <w:rPr>
          <w:lang w:val="en-GB" w:eastAsia="en-CA" w:bidi="en-CA"/>
        </w:rPr>
        <w:t xml:space="preserve">Master of Engineering (1989), Mechanical and Mining Department, Beijing University of Science </w:t>
      </w:r>
      <w:r w:rsidR="009554D9" w:rsidRPr="00827BEA">
        <w:rPr>
          <w:lang w:val="en-GB" w:eastAsia="en-CA" w:bidi="en-CA"/>
        </w:rPr>
        <w:t>and</w:t>
      </w:r>
      <w:r w:rsidRPr="00827BEA">
        <w:rPr>
          <w:lang w:val="en-GB" w:eastAsia="en-CA" w:bidi="en-CA"/>
        </w:rPr>
        <w:t xml:space="preserve"> Technology, China.</w:t>
      </w:r>
    </w:p>
    <w:p w14:paraId="4B22AC18" w14:textId="77777777" w:rsidR="00274EB3" w:rsidRPr="00025C05" w:rsidRDefault="00274EB3" w:rsidP="00274EB3">
      <w:pPr>
        <w:pStyle w:val="ExhibitText"/>
        <w:rPr>
          <w:sz w:val="16"/>
          <w:szCs w:val="16"/>
          <w:lang w:val="en-GB" w:eastAsia="en-CA" w:bidi="en-CA"/>
        </w:rPr>
      </w:pPr>
    </w:p>
    <w:p w14:paraId="0C30FA1A" w14:textId="0DB84797" w:rsidR="00274EB3" w:rsidRPr="00827BEA" w:rsidRDefault="00274EB3" w:rsidP="00274EB3">
      <w:pPr>
        <w:pStyle w:val="ExhibitText"/>
        <w:rPr>
          <w:lang w:val="en-GB" w:eastAsia="en-CA" w:bidi="en-CA"/>
        </w:rPr>
      </w:pPr>
      <w:r w:rsidRPr="00827BEA">
        <w:rPr>
          <w:lang w:val="en-GB" w:eastAsia="en-CA" w:bidi="en-CA"/>
        </w:rPr>
        <w:t>College Diploma in Mechanical and Chemical Engineering Department (1981), Shanghai Institute of Technology, China.</w:t>
      </w:r>
    </w:p>
    <w:p w14:paraId="4DF761B4" w14:textId="77777777" w:rsidR="00274EB3" w:rsidRPr="00025C05" w:rsidRDefault="00274EB3" w:rsidP="00274EB3">
      <w:pPr>
        <w:pStyle w:val="ExhibitText"/>
        <w:rPr>
          <w:sz w:val="16"/>
          <w:szCs w:val="16"/>
          <w:lang w:val="en-GB" w:eastAsia="en-CA" w:bidi="en-CA"/>
        </w:rPr>
      </w:pPr>
    </w:p>
    <w:p w14:paraId="266C2151" w14:textId="77777777" w:rsidR="00274EB3" w:rsidRPr="00827BEA" w:rsidRDefault="00274EB3" w:rsidP="00274EB3">
      <w:pPr>
        <w:pStyle w:val="ExhibitText"/>
        <w:rPr>
          <w:rFonts w:eastAsia="Calibri"/>
          <w:u w:val="single"/>
          <w:lang w:val="en-GB" w:eastAsia="en-CA" w:bidi="en-CA"/>
        </w:rPr>
      </w:pPr>
      <w:r w:rsidRPr="00827BEA">
        <w:rPr>
          <w:rFonts w:eastAsia="Calibri"/>
          <w:u w:val="single"/>
          <w:lang w:val="en-GB" w:eastAsia="en-CA" w:bidi="en-CA"/>
        </w:rPr>
        <w:t>Work Experience</w:t>
      </w:r>
    </w:p>
    <w:p w14:paraId="1D46DB9F" w14:textId="77777777" w:rsidR="00274EB3" w:rsidRPr="00025C05" w:rsidRDefault="00274EB3" w:rsidP="00274EB3">
      <w:pPr>
        <w:pStyle w:val="ExhibitText"/>
        <w:rPr>
          <w:rFonts w:eastAsia="Calibri"/>
          <w:sz w:val="16"/>
          <w:szCs w:val="16"/>
          <w:lang w:val="en-GB" w:eastAsia="en-CA" w:bidi="en-CA"/>
        </w:rPr>
      </w:pPr>
    </w:p>
    <w:p w14:paraId="42642945" w14:textId="05187EED" w:rsidR="00274EB3" w:rsidRPr="00827BEA" w:rsidRDefault="00274EB3" w:rsidP="00274EB3">
      <w:pPr>
        <w:pStyle w:val="ExhibitText"/>
        <w:rPr>
          <w:rFonts w:eastAsia="Calibri"/>
          <w:lang w:val="en-GB" w:eastAsia="en-CA" w:bidi="en-CA"/>
        </w:rPr>
      </w:pPr>
      <w:r w:rsidRPr="00827BEA">
        <w:rPr>
          <w:rFonts w:eastAsia="Calibri"/>
          <w:lang w:val="en-GB" w:eastAsia="en-CA" w:bidi="en-CA"/>
        </w:rPr>
        <w:t>Mar. 2009</w:t>
      </w:r>
      <w:r w:rsidR="007C2AA0">
        <w:rPr>
          <w:rFonts w:eastAsia="Calibri"/>
          <w:lang w:val="en-GB" w:eastAsia="en-CA" w:bidi="en-CA"/>
        </w:rPr>
        <w:t>–P</w:t>
      </w:r>
      <w:r w:rsidRPr="00827BEA">
        <w:rPr>
          <w:rFonts w:eastAsia="Calibri"/>
          <w:lang w:val="en-GB" w:eastAsia="en-CA" w:bidi="en-CA"/>
        </w:rPr>
        <w:t xml:space="preserve">resent, Executive Vice </w:t>
      </w:r>
      <w:r w:rsidR="009554D9" w:rsidRPr="00827BEA">
        <w:rPr>
          <w:rFonts w:eastAsia="Calibri"/>
          <w:lang w:val="en-GB" w:eastAsia="en-CA" w:bidi="en-CA"/>
        </w:rPr>
        <w:t>P</w:t>
      </w:r>
      <w:r w:rsidRPr="00827BEA">
        <w:rPr>
          <w:rFonts w:eastAsia="Calibri"/>
          <w:lang w:val="en-GB" w:eastAsia="en-CA" w:bidi="en-CA"/>
        </w:rPr>
        <w:t xml:space="preserve">resident </w:t>
      </w:r>
      <w:r w:rsidR="009554D9" w:rsidRPr="00827BEA">
        <w:rPr>
          <w:rFonts w:eastAsia="Calibri"/>
          <w:lang w:val="en-GB" w:eastAsia="en-CA" w:bidi="en-CA"/>
        </w:rPr>
        <w:t>and</w:t>
      </w:r>
      <w:r w:rsidRPr="00827BEA">
        <w:rPr>
          <w:rFonts w:eastAsia="Calibri"/>
          <w:lang w:val="en-GB" w:eastAsia="en-CA" w:bidi="en-CA"/>
        </w:rPr>
        <w:t xml:space="preserve"> Corporate Secretary, China Gold International Resources Corp. Ltd., Vancouver, BC, Canada</w:t>
      </w:r>
    </w:p>
    <w:p w14:paraId="179012FC" w14:textId="77777777" w:rsidR="00274EB3" w:rsidRPr="00025C05" w:rsidRDefault="00274EB3" w:rsidP="00274EB3">
      <w:pPr>
        <w:pStyle w:val="ExhibitText"/>
        <w:rPr>
          <w:rFonts w:eastAsia="Calibri"/>
          <w:sz w:val="16"/>
          <w:szCs w:val="16"/>
          <w:lang w:val="en-GB" w:eastAsia="en-CA" w:bidi="en-CA"/>
        </w:rPr>
      </w:pPr>
    </w:p>
    <w:p w14:paraId="0D351C00" w14:textId="39E2923D" w:rsidR="00274EB3" w:rsidRPr="00827BEA" w:rsidRDefault="00274EB3" w:rsidP="00274EB3">
      <w:pPr>
        <w:pStyle w:val="ExhibitText"/>
        <w:rPr>
          <w:rFonts w:eastAsia="Calibri"/>
          <w:lang w:val="en-GB" w:eastAsia="en-CA" w:bidi="en-CA"/>
        </w:rPr>
      </w:pPr>
      <w:r w:rsidRPr="00827BEA">
        <w:rPr>
          <w:rFonts w:eastAsia="Calibri"/>
          <w:lang w:val="en-GB" w:eastAsia="en-CA" w:bidi="en-CA"/>
        </w:rPr>
        <w:t>Sep. 2005</w:t>
      </w:r>
      <w:r w:rsidR="007C2AA0">
        <w:rPr>
          <w:rFonts w:eastAsia="Calibri"/>
          <w:lang w:val="en-GB" w:eastAsia="en-CA" w:bidi="en-CA"/>
        </w:rPr>
        <w:t>–</w:t>
      </w:r>
      <w:r w:rsidRPr="00827BEA">
        <w:rPr>
          <w:rFonts w:eastAsia="Calibri"/>
          <w:lang w:val="en-GB" w:eastAsia="en-CA" w:bidi="en-CA"/>
        </w:rPr>
        <w:t>Mar. 2009, Lead of Asset Service Piping Engineering, Worley Parsons, Calgary, AB, Canada.</w:t>
      </w:r>
    </w:p>
    <w:p w14:paraId="497FE64B" w14:textId="77777777" w:rsidR="00274EB3" w:rsidRPr="00025C05" w:rsidRDefault="00274EB3" w:rsidP="00274EB3">
      <w:pPr>
        <w:pStyle w:val="ExhibitText"/>
        <w:rPr>
          <w:rFonts w:eastAsia="Calibri"/>
          <w:sz w:val="16"/>
          <w:szCs w:val="16"/>
          <w:lang w:val="en-GB" w:eastAsia="en-CA" w:bidi="en-CA"/>
        </w:rPr>
      </w:pPr>
    </w:p>
    <w:p w14:paraId="4AB2B139" w14:textId="32DF7EE8" w:rsidR="00274EB3" w:rsidRPr="00827BEA" w:rsidRDefault="00274EB3" w:rsidP="00274EB3">
      <w:pPr>
        <w:pStyle w:val="ExhibitText"/>
        <w:rPr>
          <w:rFonts w:eastAsia="Calibri"/>
          <w:lang w:val="en-GB" w:eastAsia="en-CA" w:bidi="en-CA"/>
        </w:rPr>
      </w:pPr>
      <w:r w:rsidRPr="00827BEA">
        <w:rPr>
          <w:rFonts w:eastAsia="Calibri"/>
          <w:lang w:val="en-GB" w:eastAsia="en-CA" w:bidi="en-CA"/>
        </w:rPr>
        <w:t>Sep. 2003</w:t>
      </w:r>
      <w:r w:rsidR="007C2AA0">
        <w:rPr>
          <w:rFonts w:eastAsia="Calibri"/>
          <w:lang w:val="en-GB" w:eastAsia="en-CA" w:bidi="en-CA"/>
        </w:rPr>
        <w:t>–</w:t>
      </w:r>
      <w:r w:rsidRPr="00827BEA">
        <w:rPr>
          <w:rFonts w:eastAsia="Calibri"/>
          <w:lang w:val="en-GB" w:eastAsia="en-CA" w:bidi="en-CA"/>
        </w:rPr>
        <w:t xml:space="preserve">Sep. 2005, Project Engineer and Piping Engineer, Tri-Ocean Engineering Ltd, Calgary, AB, Canada </w:t>
      </w:r>
    </w:p>
    <w:p w14:paraId="4445B9B7" w14:textId="77777777" w:rsidR="00274EB3" w:rsidRPr="00025C05" w:rsidRDefault="00274EB3" w:rsidP="00274EB3">
      <w:pPr>
        <w:pStyle w:val="ExhibitText"/>
        <w:rPr>
          <w:rFonts w:eastAsia="Calibri"/>
          <w:sz w:val="16"/>
          <w:szCs w:val="16"/>
          <w:lang w:val="en-GB" w:eastAsia="en-CA" w:bidi="en-CA"/>
        </w:rPr>
      </w:pPr>
    </w:p>
    <w:p w14:paraId="41F26B6F" w14:textId="74FF2B0C" w:rsidR="00274EB3" w:rsidRPr="00827BEA" w:rsidRDefault="00274EB3" w:rsidP="00274EB3">
      <w:pPr>
        <w:pStyle w:val="ExhibitText"/>
        <w:rPr>
          <w:rFonts w:eastAsia="Calibri"/>
          <w:lang w:val="en-GB" w:eastAsia="en-CA" w:bidi="en-CA"/>
        </w:rPr>
      </w:pPr>
      <w:r w:rsidRPr="00827BEA">
        <w:rPr>
          <w:rFonts w:eastAsia="Calibri"/>
          <w:lang w:val="en-GB" w:eastAsia="en-CA" w:bidi="en-CA"/>
        </w:rPr>
        <w:t>Jan. 2001</w:t>
      </w:r>
      <w:r w:rsidR="007C2AA0">
        <w:rPr>
          <w:rFonts w:eastAsia="Calibri"/>
          <w:lang w:val="en-GB" w:eastAsia="en-CA" w:bidi="en-CA"/>
        </w:rPr>
        <w:t>–</w:t>
      </w:r>
      <w:r w:rsidRPr="00827BEA">
        <w:rPr>
          <w:rFonts w:eastAsia="Calibri"/>
          <w:lang w:val="en-GB" w:eastAsia="en-CA" w:bidi="en-CA"/>
        </w:rPr>
        <w:t>Sep. 2003, Piping Engineer, Flour Daniel Canada, Calgary, AB, Canada</w:t>
      </w:r>
    </w:p>
    <w:p w14:paraId="0C1065E2" w14:textId="77777777" w:rsidR="00274EB3" w:rsidRPr="00025C05" w:rsidRDefault="00274EB3" w:rsidP="00274EB3">
      <w:pPr>
        <w:pStyle w:val="ExhibitText"/>
        <w:rPr>
          <w:rFonts w:eastAsia="Calibri"/>
          <w:sz w:val="16"/>
          <w:szCs w:val="16"/>
          <w:lang w:val="en-GB" w:eastAsia="en-CA" w:bidi="en-CA"/>
        </w:rPr>
      </w:pPr>
    </w:p>
    <w:p w14:paraId="6C21396F" w14:textId="146F3578" w:rsidR="00274EB3" w:rsidRPr="00827BEA" w:rsidRDefault="00274EB3" w:rsidP="00274EB3">
      <w:pPr>
        <w:pStyle w:val="ExhibitText"/>
        <w:rPr>
          <w:rFonts w:eastAsia="Calibri"/>
          <w:lang w:val="en-GB" w:eastAsia="en-CA" w:bidi="en-CA"/>
        </w:rPr>
      </w:pPr>
      <w:r w:rsidRPr="00827BEA">
        <w:rPr>
          <w:rFonts w:eastAsia="Calibri"/>
          <w:lang w:val="en-GB" w:eastAsia="en-CA" w:bidi="en-CA"/>
        </w:rPr>
        <w:t>Mar. 1981</w:t>
      </w:r>
      <w:r w:rsidR="007C2AA0">
        <w:rPr>
          <w:rFonts w:eastAsia="Calibri"/>
          <w:lang w:val="en-GB" w:eastAsia="en-CA" w:bidi="en-CA"/>
        </w:rPr>
        <w:t>–</w:t>
      </w:r>
      <w:r w:rsidRPr="00827BEA">
        <w:rPr>
          <w:rFonts w:eastAsia="Calibri"/>
          <w:lang w:val="en-GB" w:eastAsia="en-CA" w:bidi="en-CA"/>
        </w:rPr>
        <w:t>Nov. 2000, Sinopec, P.R. China</w:t>
      </w:r>
    </w:p>
    <w:p w14:paraId="24010742" w14:textId="61C7FA8D" w:rsidR="00274EB3" w:rsidRPr="00827BEA" w:rsidRDefault="00274EB3" w:rsidP="005D293D">
      <w:pPr>
        <w:pStyle w:val="ExhibitText"/>
        <w:numPr>
          <w:ilvl w:val="0"/>
          <w:numId w:val="14"/>
        </w:numPr>
        <w:ind w:left="720"/>
        <w:rPr>
          <w:rFonts w:eastAsia="Calibri"/>
          <w:lang w:val="en-GB" w:eastAsia="en-CA" w:bidi="en-CA"/>
        </w:rPr>
      </w:pPr>
      <w:r w:rsidRPr="00827BEA">
        <w:rPr>
          <w:rFonts w:eastAsia="Calibri"/>
          <w:lang w:val="en-GB" w:eastAsia="en-CA" w:bidi="en-CA"/>
        </w:rPr>
        <w:t>Manager of Piping Engineering / Project Manager, LPEC, 1995</w:t>
      </w:r>
      <w:r w:rsidR="00CB72F7">
        <w:rPr>
          <w:rFonts w:eastAsia="Calibri"/>
          <w:lang w:val="en-GB" w:eastAsia="en-CA" w:bidi="en-CA"/>
        </w:rPr>
        <w:t>–</w:t>
      </w:r>
      <w:r w:rsidRPr="00827BEA">
        <w:rPr>
          <w:rFonts w:eastAsia="Calibri"/>
          <w:lang w:val="en-GB" w:eastAsia="en-CA" w:bidi="en-CA"/>
        </w:rPr>
        <w:t>2000</w:t>
      </w:r>
    </w:p>
    <w:p w14:paraId="510192D1" w14:textId="1212D8C4" w:rsidR="00274EB3" w:rsidRPr="00827BEA" w:rsidRDefault="00274EB3" w:rsidP="005D293D">
      <w:pPr>
        <w:pStyle w:val="ExhibitText"/>
        <w:numPr>
          <w:ilvl w:val="0"/>
          <w:numId w:val="14"/>
        </w:numPr>
        <w:ind w:left="720"/>
        <w:rPr>
          <w:rFonts w:eastAsia="Calibri"/>
          <w:lang w:val="en-GB" w:eastAsia="en-CA" w:bidi="en-CA"/>
        </w:rPr>
      </w:pPr>
      <w:r w:rsidRPr="00827BEA">
        <w:rPr>
          <w:rFonts w:eastAsia="Calibri"/>
          <w:lang w:val="en-GB" w:eastAsia="en-CA" w:bidi="en-CA"/>
        </w:rPr>
        <w:t>Lead of Piping Engineering Technical Group, 1991</w:t>
      </w:r>
      <w:r w:rsidR="00CB72F7">
        <w:rPr>
          <w:rFonts w:eastAsia="Calibri"/>
          <w:lang w:val="en-GB" w:eastAsia="en-CA" w:bidi="en-CA"/>
        </w:rPr>
        <w:t>–</w:t>
      </w:r>
      <w:r w:rsidRPr="00827BEA">
        <w:rPr>
          <w:rFonts w:eastAsia="Calibri"/>
          <w:lang w:val="en-GB" w:eastAsia="en-CA" w:bidi="en-CA"/>
        </w:rPr>
        <w:t>1995</w:t>
      </w:r>
    </w:p>
    <w:p w14:paraId="3BB89389" w14:textId="0AD4DFCB" w:rsidR="00274EB3" w:rsidRPr="00827BEA" w:rsidRDefault="00274EB3" w:rsidP="005D293D">
      <w:pPr>
        <w:pStyle w:val="ExhibitText"/>
        <w:numPr>
          <w:ilvl w:val="0"/>
          <w:numId w:val="14"/>
        </w:numPr>
        <w:ind w:left="720"/>
        <w:rPr>
          <w:rFonts w:eastAsia="Calibri"/>
          <w:lang w:val="en-GB" w:eastAsia="en-CA" w:bidi="en-CA"/>
        </w:rPr>
      </w:pPr>
      <w:r w:rsidRPr="00827BEA">
        <w:rPr>
          <w:rFonts w:eastAsia="Calibri"/>
          <w:lang w:val="en-GB" w:eastAsia="en-CA" w:bidi="en-CA"/>
        </w:rPr>
        <w:t>Piping Engineer, 1989</w:t>
      </w:r>
      <w:r w:rsidR="00CB72F7">
        <w:rPr>
          <w:rFonts w:eastAsia="Calibri"/>
          <w:lang w:val="en-GB" w:eastAsia="en-CA" w:bidi="en-CA"/>
        </w:rPr>
        <w:t>–</w:t>
      </w:r>
      <w:r w:rsidRPr="00827BEA">
        <w:rPr>
          <w:rFonts w:eastAsia="Calibri"/>
          <w:lang w:val="en-GB" w:eastAsia="en-CA" w:bidi="en-CA"/>
        </w:rPr>
        <w:t>1991</w:t>
      </w:r>
    </w:p>
    <w:p w14:paraId="44DB31FC" w14:textId="08B89136" w:rsidR="00274EB3" w:rsidRPr="00827BEA" w:rsidRDefault="00274EB3" w:rsidP="005D293D">
      <w:pPr>
        <w:pStyle w:val="ExhibitText"/>
        <w:numPr>
          <w:ilvl w:val="0"/>
          <w:numId w:val="14"/>
        </w:numPr>
        <w:ind w:left="720"/>
        <w:rPr>
          <w:rFonts w:ascii="Times New Roman" w:hAnsi="Times New Roman" w:cs="Times New Roman"/>
          <w:lang w:val="en-GB"/>
        </w:rPr>
      </w:pPr>
      <w:r w:rsidRPr="00827BEA">
        <w:rPr>
          <w:rFonts w:eastAsia="Calibri"/>
          <w:lang w:val="en-GB" w:eastAsia="en-CA" w:bidi="en-CA"/>
        </w:rPr>
        <w:t>Assistant Engineer 1982</w:t>
      </w:r>
      <w:r w:rsidR="00CB72F7">
        <w:rPr>
          <w:rFonts w:eastAsia="Calibri"/>
          <w:lang w:val="en-GB" w:eastAsia="en-CA" w:bidi="en-CA"/>
        </w:rPr>
        <w:t>–</w:t>
      </w:r>
      <w:r w:rsidRPr="00827BEA">
        <w:rPr>
          <w:rFonts w:eastAsia="Calibri"/>
          <w:lang w:val="en-GB" w:eastAsia="en-CA" w:bidi="en-CA"/>
        </w:rPr>
        <w:t>1986</w:t>
      </w:r>
    </w:p>
    <w:p w14:paraId="589170B0" w14:textId="453B7D13" w:rsidR="004145E5" w:rsidRPr="00827BEA" w:rsidRDefault="00274EB3" w:rsidP="005D293D">
      <w:pPr>
        <w:pStyle w:val="ExhibitText"/>
        <w:numPr>
          <w:ilvl w:val="0"/>
          <w:numId w:val="14"/>
        </w:numPr>
        <w:ind w:left="720"/>
        <w:rPr>
          <w:rFonts w:ascii="Times New Roman" w:hAnsi="Times New Roman" w:cs="Times New Roman"/>
          <w:lang w:val="en-GB"/>
        </w:rPr>
      </w:pPr>
      <w:r w:rsidRPr="00827BEA">
        <w:rPr>
          <w:rFonts w:eastAsia="Yu Mincho"/>
          <w:lang w:val="en-GB"/>
        </w:rPr>
        <w:t>Technician, 1981</w:t>
      </w:r>
      <w:r w:rsidR="00CB72F7">
        <w:rPr>
          <w:rFonts w:eastAsia="Yu Mincho"/>
          <w:lang w:val="en-GB"/>
        </w:rPr>
        <w:t>–</w:t>
      </w:r>
      <w:r w:rsidRPr="00827BEA">
        <w:rPr>
          <w:rFonts w:eastAsia="Yu Mincho"/>
          <w:lang w:val="en-GB"/>
        </w:rPr>
        <w:t>1982</w:t>
      </w:r>
    </w:p>
    <w:p w14:paraId="7496DDEC" w14:textId="0AACC26A" w:rsidR="00274EB3" w:rsidRPr="00025C05" w:rsidRDefault="00274EB3" w:rsidP="00274EB3">
      <w:pPr>
        <w:pStyle w:val="ExhibitText"/>
        <w:rPr>
          <w:rFonts w:eastAsia="Yu Mincho"/>
          <w:sz w:val="16"/>
          <w:szCs w:val="16"/>
          <w:lang w:val="en-GB"/>
        </w:rPr>
      </w:pPr>
    </w:p>
    <w:p w14:paraId="20AB17A1" w14:textId="7B8DEBC0" w:rsidR="00025C05" w:rsidRDefault="00025C05" w:rsidP="00025C05">
      <w:pPr>
        <w:pStyle w:val="Footnote"/>
        <w:rPr>
          <w:rFonts w:eastAsia="Yu Mincho"/>
          <w:lang w:val="en-GB"/>
        </w:rPr>
      </w:pPr>
      <w:r w:rsidRPr="00827BEA">
        <w:rPr>
          <w:rFonts w:eastAsia="Yu Mincho"/>
          <w:lang w:val="en-GB"/>
        </w:rPr>
        <w:t>Source: Company files.</w:t>
      </w:r>
    </w:p>
    <w:p w14:paraId="0E9A0DE1" w14:textId="01BEE76E" w:rsidR="00025C05" w:rsidRDefault="00025C05" w:rsidP="00025C05">
      <w:pPr>
        <w:pStyle w:val="Footnote"/>
        <w:rPr>
          <w:rFonts w:eastAsia="Yu Mincho"/>
          <w:lang w:val="en-GB"/>
        </w:rPr>
      </w:pPr>
    </w:p>
    <w:p w14:paraId="13C11FD6" w14:textId="77777777" w:rsidR="00025C05" w:rsidRPr="00025C05" w:rsidRDefault="00025C05" w:rsidP="00025C05">
      <w:pPr>
        <w:pStyle w:val="Footnote"/>
        <w:rPr>
          <w:rFonts w:eastAsia="Yu Mincho"/>
          <w:sz w:val="16"/>
          <w:szCs w:val="16"/>
          <w:lang w:val="en-GB"/>
        </w:rPr>
      </w:pPr>
    </w:p>
    <w:p w14:paraId="15875189" w14:textId="77777777" w:rsidR="00025C05" w:rsidRPr="00827BEA" w:rsidRDefault="00025C05" w:rsidP="00025C05">
      <w:pPr>
        <w:pStyle w:val="ExhibitHeading"/>
        <w:rPr>
          <w:lang w:val="en-GB"/>
        </w:rPr>
      </w:pPr>
      <w:r w:rsidRPr="00827BEA">
        <w:rPr>
          <w:lang w:val="en-GB"/>
        </w:rPr>
        <w:t>Exhibit 6: Major Financial Indicators of Chinese Central SOE</w:t>
      </w:r>
      <w:r w:rsidRPr="00827BEA">
        <w:rPr>
          <w:caps w:val="0"/>
          <w:lang w:val="en-GB"/>
        </w:rPr>
        <w:t>s</w:t>
      </w:r>
      <w:r w:rsidRPr="00827BEA">
        <w:rPr>
          <w:lang w:val="en-GB"/>
        </w:rPr>
        <w:t xml:space="preserve">, 2003–2016 (Billions </w:t>
      </w:r>
      <w:r>
        <w:rPr>
          <w:lang w:val="en-GB"/>
        </w:rPr>
        <w:t>CNY</w:t>
      </w:r>
      <w:r w:rsidRPr="00827BEA">
        <w:rPr>
          <w:lang w:val="en-GB"/>
        </w:rPr>
        <w:t>)</w:t>
      </w:r>
    </w:p>
    <w:p w14:paraId="034FAD32" w14:textId="77777777" w:rsidR="00025C05" w:rsidRPr="00025C05" w:rsidRDefault="00025C05" w:rsidP="00025C05">
      <w:pPr>
        <w:rPr>
          <w:rFonts w:ascii="Arial" w:hAnsi="Arial" w:cs="Arial"/>
          <w:b/>
          <w:color w:val="000000"/>
          <w:sz w:val="16"/>
          <w:szCs w:val="16"/>
          <w:lang w:val="en-GB"/>
        </w:rPr>
      </w:pPr>
    </w:p>
    <w:tbl>
      <w:tblPr>
        <w:tblStyle w:val="TableGrid"/>
        <w:tblW w:w="9445" w:type="dxa"/>
        <w:tblLayout w:type="fixed"/>
        <w:tblLook w:val="04A0" w:firstRow="1" w:lastRow="0" w:firstColumn="1" w:lastColumn="0" w:noHBand="0" w:noVBand="1"/>
      </w:tblPr>
      <w:tblGrid>
        <w:gridCol w:w="720"/>
        <w:gridCol w:w="1055"/>
        <w:gridCol w:w="1190"/>
        <w:gridCol w:w="900"/>
        <w:gridCol w:w="1170"/>
        <w:gridCol w:w="1530"/>
        <w:gridCol w:w="2880"/>
      </w:tblGrid>
      <w:tr w:rsidR="00025C05" w:rsidRPr="00827BEA" w14:paraId="79360E7F" w14:textId="77777777" w:rsidTr="00025C05">
        <w:trPr>
          <w:trHeight w:val="440"/>
        </w:trPr>
        <w:tc>
          <w:tcPr>
            <w:tcW w:w="720" w:type="dxa"/>
            <w:vAlign w:val="center"/>
            <w:hideMark/>
          </w:tcPr>
          <w:p w14:paraId="22B40206" w14:textId="77777777" w:rsidR="00025C05" w:rsidRPr="00827BEA" w:rsidRDefault="00025C05" w:rsidP="004137D3">
            <w:pPr>
              <w:pStyle w:val="ExhibitText"/>
              <w:rPr>
                <w:b/>
                <w:lang w:val="en-GB"/>
              </w:rPr>
            </w:pPr>
            <w:r w:rsidRPr="00827BEA">
              <w:rPr>
                <w:b/>
                <w:lang w:val="en-GB"/>
              </w:rPr>
              <w:t>Year</w:t>
            </w:r>
          </w:p>
        </w:tc>
        <w:tc>
          <w:tcPr>
            <w:tcW w:w="1055" w:type="dxa"/>
            <w:vAlign w:val="center"/>
            <w:hideMark/>
          </w:tcPr>
          <w:p w14:paraId="6EBE761F" w14:textId="77777777" w:rsidR="00025C05" w:rsidRPr="00827BEA" w:rsidRDefault="00025C05" w:rsidP="004137D3">
            <w:pPr>
              <w:pStyle w:val="ExhibitText"/>
              <w:jc w:val="center"/>
              <w:rPr>
                <w:b/>
                <w:lang w:val="en-GB"/>
              </w:rPr>
            </w:pPr>
            <w:r w:rsidRPr="00827BEA">
              <w:rPr>
                <w:b/>
                <w:lang w:val="en-GB"/>
              </w:rPr>
              <w:t>Total Assets</w:t>
            </w:r>
          </w:p>
        </w:tc>
        <w:tc>
          <w:tcPr>
            <w:tcW w:w="1190" w:type="dxa"/>
            <w:vAlign w:val="center"/>
            <w:hideMark/>
          </w:tcPr>
          <w:p w14:paraId="1BC68138" w14:textId="77777777" w:rsidR="00025C05" w:rsidRPr="00827BEA" w:rsidRDefault="00025C05" w:rsidP="004137D3">
            <w:pPr>
              <w:pStyle w:val="ExhibitText"/>
              <w:jc w:val="center"/>
              <w:rPr>
                <w:b/>
                <w:lang w:val="en-GB"/>
              </w:rPr>
            </w:pPr>
            <w:r w:rsidRPr="00827BEA">
              <w:rPr>
                <w:b/>
                <w:lang w:val="en-GB"/>
              </w:rPr>
              <w:t>Total Revenues</w:t>
            </w:r>
          </w:p>
        </w:tc>
        <w:tc>
          <w:tcPr>
            <w:tcW w:w="900" w:type="dxa"/>
            <w:vAlign w:val="center"/>
            <w:hideMark/>
          </w:tcPr>
          <w:p w14:paraId="295801DC" w14:textId="77777777" w:rsidR="00025C05" w:rsidRPr="00827BEA" w:rsidRDefault="00025C05" w:rsidP="004137D3">
            <w:pPr>
              <w:pStyle w:val="ExhibitText"/>
              <w:jc w:val="center"/>
              <w:rPr>
                <w:b/>
                <w:lang w:val="en-GB"/>
              </w:rPr>
            </w:pPr>
            <w:r w:rsidRPr="00827BEA">
              <w:rPr>
                <w:b/>
                <w:lang w:val="en-GB"/>
              </w:rPr>
              <w:t>Total Profits</w:t>
            </w:r>
          </w:p>
        </w:tc>
        <w:tc>
          <w:tcPr>
            <w:tcW w:w="1170" w:type="dxa"/>
            <w:vAlign w:val="center"/>
            <w:hideMark/>
          </w:tcPr>
          <w:p w14:paraId="304C1776" w14:textId="77777777" w:rsidR="00025C05" w:rsidRPr="00827BEA" w:rsidRDefault="00025C05" w:rsidP="004137D3">
            <w:pPr>
              <w:pStyle w:val="ExhibitText"/>
              <w:jc w:val="center"/>
              <w:rPr>
                <w:b/>
                <w:lang w:val="en-GB"/>
              </w:rPr>
            </w:pPr>
            <w:r w:rsidRPr="00827BEA">
              <w:rPr>
                <w:b/>
                <w:lang w:val="en-GB"/>
              </w:rPr>
              <w:t>Total Tax Paid</w:t>
            </w:r>
          </w:p>
        </w:tc>
        <w:tc>
          <w:tcPr>
            <w:tcW w:w="1530" w:type="dxa"/>
            <w:vAlign w:val="center"/>
            <w:hideMark/>
          </w:tcPr>
          <w:p w14:paraId="722CC8BB" w14:textId="77777777" w:rsidR="00025C05" w:rsidRPr="00827BEA" w:rsidRDefault="00025C05" w:rsidP="004137D3">
            <w:pPr>
              <w:pStyle w:val="ExhibitText"/>
              <w:jc w:val="center"/>
              <w:rPr>
                <w:b/>
                <w:lang w:val="en-GB"/>
              </w:rPr>
            </w:pPr>
            <w:r w:rsidRPr="00827BEA">
              <w:rPr>
                <w:b/>
                <w:lang w:val="en-GB"/>
              </w:rPr>
              <w:t>Number of Central SOEs</w:t>
            </w:r>
          </w:p>
        </w:tc>
        <w:tc>
          <w:tcPr>
            <w:tcW w:w="2880" w:type="dxa"/>
            <w:vAlign w:val="center"/>
            <w:hideMark/>
          </w:tcPr>
          <w:p w14:paraId="3B1D96FC" w14:textId="77777777" w:rsidR="00025C05" w:rsidRPr="00827BEA" w:rsidRDefault="00025C05" w:rsidP="004137D3">
            <w:pPr>
              <w:pStyle w:val="ExhibitText"/>
              <w:jc w:val="center"/>
              <w:rPr>
                <w:b/>
                <w:lang w:val="en-GB"/>
              </w:rPr>
            </w:pPr>
            <w:r w:rsidRPr="00827BEA">
              <w:rPr>
                <w:b/>
                <w:lang w:val="en-GB"/>
              </w:rPr>
              <w:t>Number of Central SOEs listed in Fortune Global 500</w:t>
            </w:r>
          </w:p>
        </w:tc>
      </w:tr>
      <w:tr w:rsidR="00025C05" w:rsidRPr="00827BEA" w14:paraId="6DA3F10B" w14:textId="77777777" w:rsidTr="00025C05">
        <w:trPr>
          <w:trHeight w:val="56"/>
        </w:trPr>
        <w:tc>
          <w:tcPr>
            <w:tcW w:w="720" w:type="dxa"/>
            <w:noWrap/>
            <w:hideMark/>
          </w:tcPr>
          <w:p w14:paraId="29D70CE2" w14:textId="77777777" w:rsidR="00025C05" w:rsidRPr="00827BEA" w:rsidRDefault="00025C05" w:rsidP="004137D3">
            <w:pPr>
              <w:pStyle w:val="ExhibitText"/>
              <w:rPr>
                <w:lang w:val="en-GB"/>
              </w:rPr>
            </w:pPr>
            <w:r w:rsidRPr="00827BEA">
              <w:rPr>
                <w:lang w:val="en-GB"/>
              </w:rPr>
              <w:t>2003</w:t>
            </w:r>
          </w:p>
        </w:tc>
        <w:tc>
          <w:tcPr>
            <w:tcW w:w="1055" w:type="dxa"/>
            <w:noWrap/>
            <w:vAlign w:val="center"/>
            <w:hideMark/>
          </w:tcPr>
          <w:p w14:paraId="3A15FF90" w14:textId="77777777" w:rsidR="00025C05" w:rsidRPr="00827BEA" w:rsidRDefault="00025C05" w:rsidP="004137D3">
            <w:pPr>
              <w:pStyle w:val="ExhibitText"/>
              <w:jc w:val="right"/>
              <w:rPr>
                <w:lang w:val="en-GB"/>
              </w:rPr>
            </w:pPr>
            <w:r w:rsidRPr="00827BEA">
              <w:rPr>
                <w:lang w:val="en-GB"/>
              </w:rPr>
              <w:t>8,323.2</w:t>
            </w:r>
          </w:p>
        </w:tc>
        <w:tc>
          <w:tcPr>
            <w:tcW w:w="1190" w:type="dxa"/>
            <w:noWrap/>
            <w:vAlign w:val="center"/>
            <w:hideMark/>
          </w:tcPr>
          <w:p w14:paraId="78F9F965" w14:textId="77777777" w:rsidR="00025C05" w:rsidRPr="00827BEA" w:rsidRDefault="00025C05" w:rsidP="004137D3">
            <w:pPr>
              <w:pStyle w:val="ExhibitText"/>
              <w:jc w:val="right"/>
              <w:rPr>
                <w:lang w:val="en-GB"/>
              </w:rPr>
            </w:pPr>
            <w:r w:rsidRPr="00827BEA">
              <w:rPr>
                <w:lang w:val="en-GB"/>
              </w:rPr>
              <w:t>4,474.8</w:t>
            </w:r>
          </w:p>
        </w:tc>
        <w:tc>
          <w:tcPr>
            <w:tcW w:w="900" w:type="dxa"/>
            <w:noWrap/>
            <w:vAlign w:val="center"/>
            <w:hideMark/>
          </w:tcPr>
          <w:p w14:paraId="28E19FD6" w14:textId="77777777" w:rsidR="00025C05" w:rsidRPr="00827BEA" w:rsidRDefault="00025C05" w:rsidP="004137D3">
            <w:pPr>
              <w:pStyle w:val="ExhibitText"/>
              <w:jc w:val="right"/>
              <w:rPr>
                <w:lang w:val="en-GB"/>
              </w:rPr>
            </w:pPr>
            <w:r w:rsidRPr="00827BEA">
              <w:rPr>
                <w:lang w:val="en-GB"/>
              </w:rPr>
              <w:t>300.6</w:t>
            </w:r>
          </w:p>
        </w:tc>
        <w:tc>
          <w:tcPr>
            <w:tcW w:w="1170" w:type="dxa"/>
            <w:noWrap/>
            <w:vAlign w:val="center"/>
            <w:hideMark/>
          </w:tcPr>
          <w:p w14:paraId="72BDB03A" w14:textId="77777777" w:rsidR="00025C05" w:rsidRPr="00827BEA" w:rsidRDefault="00025C05" w:rsidP="004137D3">
            <w:pPr>
              <w:pStyle w:val="ExhibitText"/>
              <w:jc w:val="right"/>
              <w:rPr>
                <w:lang w:val="en-GB"/>
              </w:rPr>
            </w:pPr>
            <w:r w:rsidRPr="00827BEA">
              <w:rPr>
                <w:lang w:val="en-GB"/>
              </w:rPr>
              <w:t>356.3</w:t>
            </w:r>
          </w:p>
        </w:tc>
        <w:tc>
          <w:tcPr>
            <w:tcW w:w="1530" w:type="dxa"/>
            <w:noWrap/>
            <w:vAlign w:val="center"/>
            <w:hideMark/>
          </w:tcPr>
          <w:p w14:paraId="721E98F4" w14:textId="77777777" w:rsidR="00025C05" w:rsidRPr="00827BEA" w:rsidRDefault="00025C05" w:rsidP="004137D3">
            <w:pPr>
              <w:pStyle w:val="ExhibitText"/>
              <w:jc w:val="right"/>
              <w:rPr>
                <w:lang w:val="en-GB"/>
              </w:rPr>
            </w:pPr>
            <w:r w:rsidRPr="00827BEA">
              <w:rPr>
                <w:lang w:val="en-GB"/>
              </w:rPr>
              <w:t>186</w:t>
            </w:r>
          </w:p>
        </w:tc>
        <w:tc>
          <w:tcPr>
            <w:tcW w:w="2880" w:type="dxa"/>
            <w:noWrap/>
            <w:vAlign w:val="center"/>
            <w:hideMark/>
          </w:tcPr>
          <w:p w14:paraId="1ADEBA76" w14:textId="77777777" w:rsidR="00025C05" w:rsidRPr="00827BEA" w:rsidRDefault="00025C05" w:rsidP="004137D3">
            <w:pPr>
              <w:pStyle w:val="ExhibitText"/>
              <w:jc w:val="right"/>
              <w:rPr>
                <w:lang w:val="en-GB"/>
              </w:rPr>
            </w:pPr>
            <w:r w:rsidRPr="00827BEA">
              <w:rPr>
                <w:lang w:val="en-GB"/>
              </w:rPr>
              <w:t>6</w:t>
            </w:r>
          </w:p>
        </w:tc>
      </w:tr>
      <w:tr w:rsidR="00025C05" w:rsidRPr="00827BEA" w14:paraId="191BB0FA" w14:textId="77777777" w:rsidTr="00025C05">
        <w:trPr>
          <w:trHeight w:val="56"/>
        </w:trPr>
        <w:tc>
          <w:tcPr>
            <w:tcW w:w="720" w:type="dxa"/>
            <w:noWrap/>
            <w:hideMark/>
          </w:tcPr>
          <w:p w14:paraId="45632B55" w14:textId="77777777" w:rsidR="00025C05" w:rsidRPr="00827BEA" w:rsidRDefault="00025C05" w:rsidP="004137D3">
            <w:pPr>
              <w:pStyle w:val="ExhibitText"/>
              <w:rPr>
                <w:lang w:val="en-GB"/>
              </w:rPr>
            </w:pPr>
            <w:r w:rsidRPr="00827BEA">
              <w:rPr>
                <w:lang w:val="en-GB"/>
              </w:rPr>
              <w:t>2004</w:t>
            </w:r>
          </w:p>
        </w:tc>
        <w:tc>
          <w:tcPr>
            <w:tcW w:w="1055" w:type="dxa"/>
            <w:noWrap/>
            <w:vAlign w:val="center"/>
            <w:hideMark/>
          </w:tcPr>
          <w:p w14:paraId="08822AEF" w14:textId="77777777" w:rsidR="00025C05" w:rsidRPr="00827BEA" w:rsidRDefault="00025C05" w:rsidP="004137D3">
            <w:pPr>
              <w:pStyle w:val="ExhibitText"/>
              <w:jc w:val="right"/>
              <w:rPr>
                <w:lang w:val="en-GB"/>
              </w:rPr>
            </w:pPr>
            <w:r w:rsidRPr="00827BEA">
              <w:rPr>
                <w:lang w:val="en-GB"/>
              </w:rPr>
              <w:t>9,149.4</w:t>
            </w:r>
          </w:p>
        </w:tc>
        <w:tc>
          <w:tcPr>
            <w:tcW w:w="1190" w:type="dxa"/>
            <w:noWrap/>
            <w:vAlign w:val="center"/>
            <w:hideMark/>
          </w:tcPr>
          <w:p w14:paraId="04B5B824" w14:textId="77777777" w:rsidR="00025C05" w:rsidRPr="00827BEA" w:rsidRDefault="00025C05" w:rsidP="004137D3">
            <w:pPr>
              <w:pStyle w:val="ExhibitText"/>
              <w:jc w:val="right"/>
              <w:rPr>
                <w:lang w:val="en-GB"/>
              </w:rPr>
            </w:pPr>
            <w:r w:rsidRPr="00827BEA">
              <w:rPr>
                <w:lang w:val="en-GB"/>
              </w:rPr>
              <w:t>5,599.7</w:t>
            </w:r>
          </w:p>
        </w:tc>
        <w:tc>
          <w:tcPr>
            <w:tcW w:w="900" w:type="dxa"/>
            <w:noWrap/>
            <w:vAlign w:val="center"/>
            <w:hideMark/>
          </w:tcPr>
          <w:p w14:paraId="4A660216" w14:textId="77777777" w:rsidR="00025C05" w:rsidRPr="00827BEA" w:rsidRDefault="00025C05" w:rsidP="004137D3">
            <w:pPr>
              <w:pStyle w:val="ExhibitText"/>
              <w:jc w:val="right"/>
              <w:rPr>
                <w:lang w:val="en-GB"/>
              </w:rPr>
            </w:pPr>
            <w:r w:rsidRPr="00827BEA">
              <w:rPr>
                <w:lang w:val="en-GB"/>
              </w:rPr>
              <w:t>488.0</w:t>
            </w:r>
          </w:p>
        </w:tc>
        <w:tc>
          <w:tcPr>
            <w:tcW w:w="1170" w:type="dxa"/>
            <w:noWrap/>
            <w:vAlign w:val="center"/>
            <w:hideMark/>
          </w:tcPr>
          <w:p w14:paraId="466AEAFF" w14:textId="77777777" w:rsidR="00025C05" w:rsidRPr="00827BEA" w:rsidRDefault="00025C05" w:rsidP="004137D3">
            <w:pPr>
              <w:pStyle w:val="ExhibitText"/>
              <w:jc w:val="right"/>
              <w:rPr>
                <w:lang w:val="en-GB"/>
              </w:rPr>
            </w:pPr>
            <w:r w:rsidRPr="00827BEA">
              <w:rPr>
                <w:lang w:val="en-GB"/>
              </w:rPr>
              <w:t>465.5</w:t>
            </w:r>
          </w:p>
        </w:tc>
        <w:tc>
          <w:tcPr>
            <w:tcW w:w="1530" w:type="dxa"/>
            <w:noWrap/>
            <w:vAlign w:val="center"/>
            <w:hideMark/>
          </w:tcPr>
          <w:p w14:paraId="0EC60CC9" w14:textId="77777777" w:rsidR="00025C05" w:rsidRPr="00827BEA" w:rsidRDefault="00025C05" w:rsidP="004137D3">
            <w:pPr>
              <w:pStyle w:val="ExhibitText"/>
              <w:jc w:val="right"/>
              <w:rPr>
                <w:lang w:val="en-GB"/>
              </w:rPr>
            </w:pPr>
            <w:r w:rsidRPr="00827BEA">
              <w:rPr>
                <w:lang w:val="en-GB"/>
              </w:rPr>
              <w:t>178</w:t>
            </w:r>
          </w:p>
        </w:tc>
        <w:tc>
          <w:tcPr>
            <w:tcW w:w="2880" w:type="dxa"/>
            <w:noWrap/>
            <w:vAlign w:val="center"/>
            <w:hideMark/>
          </w:tcPr>
          <w:p w14:paraId="5EE52DD2" w14:textId="77777777" w:rsidR="00025C05" w:rsidRPr="00827BEA" w:rsidRDefault="00025C05" w:rsidP="004137D3">
            <w:pPr>
              <w:pStyle w:val="ExhibitText"/>
              <w:jc w:val="right"/>
              <w:rPr>
                <w:lang w:val="en-GB"/>
              </w:rPr>
            </w:pPr>
            <w:r w:rsidRPr="00827BEA">
              <w:rPr>
                <w:lang w:val="en-GB"/>
              </w:rPr>
              <w:t>8</w:t>
            </w:r>
          </w:p>
        </w:tc>
      </w:tr>
      <w:tr w:rsidR="00025C05" w:rsidRPr="00827BEA" w14:paraId="7A9C4068" w14:textId="77777777" w:rsidTr="00025C05">
        <w:trPr>
          <w:trHeight w:val="56"/>
        </w:trPr>
        <w:tc>
          <w:tcPr>
            <w:tcW w:w="720" w:type="dxa"/>
            <w:noWrap/>
            <w:hideMark/>
          </w:tcPr>
          <w:p w14:paraId="56611892" w14:textId="77777777" w:rsidR="00025C05" w:rsidRPr="00827BEA" w:rsidRDefault="00025C05" w:rsidP="004137D3">
            <w:pPr>
              <w:pStyle w:val="ExhibitText"/>
              <w:rPr>
                <w:lang w:val="en-GB"/>
              </w:rPr>
            </w:pPr>
            <w:r w:rsidRPr="00827BEA">
              <w:rPr>
                <w:lang w:val="en-GB"/>
              </w:rPr>
              <w:t>2005</w:t>
            </w:r>
          </w:p>
        </w:tc>
        <w:tc>
          <w:tcPr>
            <w:tcW w:w="1055" w:type="dxa"/>
            <w:noWrap/>
            <w:vAlign w:val="center"/>
            <w:hideMark/>
          </w:tcPr>
          <w:p w14:paraId="65F88A41" w14:textId="77777777" w:rsidR="00025C05" w:rsidRPr="00827BEA" w:rsidRDefault="00025C05" w:rsidP="004137D3">
            <w:pPr>
              <w:pStyle w:val="ExhibitText"/>
              <w:jc w:val="right"/>
              <w:rPr>
                <w:lang w:val="en-GB"/>
              </w:rPr>
            </w:pPr>
            <w:r w:rsidRPr="00827BEA">
              <w:rPr>
                <w:lang w:val="en-GB"/>
              </w:rPr>
              <w:t>19,514.8</w:t>
            </w:r>
          </w:p>
        </w:tc>
        <w:tc>
          <w:tcPr>
            <w:tcW w:w="1190" w:type="dxa"/>
            <w:noWrap/>
            <w:vAlign w:val="center"/>
            <w:hideMark/>
          </w:tcPr>
          <w:p w14:paraId="0ADCCB10" w14:textId="77777777" w:rsidR="00025C05" w:rsidRPr="00827BEA" w:rsidRDefault="00025C05" w:rsidP="004137D3">
            <w:pPr>
              <w:pStyle w:val="ExhibitText"/>
              <w:jc w:val="right"/>
              <w:rPr>
                <w:lang w:val="en-GB"/>
              </w:rPr>
            </w:pPr>
            <w:r w:rsidRPr="00827BEA">
              <w:rPr>
                <w:lang w:val="en-GB"/>
              </w:rPr>
              <w:t>6,794.5</w:t>
            </w:r>
          </w:p>
        </w:tc>
        <w:tc>
          <w:tcPr>
            <w:tcW w:w="900" w:type="dxa"/>
            <w:noWrap/>
            <w:vAlign w:val="center"/>
            <w:hideMark/>
          </w:tcPr>
          <w:p w14:paraId="5366EA6C" w14:textId="77777777" w:rsidR="00025C05" w:rsidRPr="00827BEA" w:rsidRDefault="00025C05" w:rsidP="004137D3">
            <w:pPr>
              <w:pStyle w:val="ExhibitText"/>
              <w:jc w:val="right"/>
              <w:rPr>
                <w:lang w:val="en-GB"/>
              </w:rPr>
            </w:pPr>
            <w:r w:rsidRPr="00827BEA">
              <w:rPr>
                <w:lang w:val="en-GB"/>
              </w:rPr>
              <w:t>637.7</w:t>
            </w:r>
          </w:p>
        </w:tc>
        <w:tc>
          <w:tcPr>
            <w:tcW w:w="1170" w:type="dxa"/>
            <w:noWrap/>
            <w:vAlign w:val="center"/>
            <w:hideMark/>
          </w:tcPr>
          <w:p w14:paraId="2E3C0142" w14:textId="77777777" w:rsidR="00025C05" w:rsidRPr="00827BEA" w:rsidRDefault="00025C05" w:rsidP="004137D3">
            <w:pPr>
              <w:pStyle w:val="ExhibitText"/>
              <w:jc w:val="right"/>
              <w:rPr>
                <w:lang w:val="en-GB"/>
              </w:rPr>
            </w:pPr>
            <w:r w:rsidRPr="00827BEA">
              <w:rPr>
                <w:lang w:val="en-GB"/>
              </w:rPr>
              <w:t>578</w:t>
            </w:r>
          </w:p>
        </w:tc>
        <w:tc>
          <w:tcPr>
            <w:tcW w:w="1530" w:type="dxa"/>
            <w:noWrap/>
            <w:vAlign w:val="center"/>
            <w:hideMark/>
          </w:tcPr>
          <w:p w14:paraId="4F091A84" w14:textId="77777777" w:rsidR="00025C05" w:rsidRPr="00827BEA" w:rsidRDefault="00025C05" w:rsidP="004137D3">
            <w:pPr>
              <w:pStyle w:val="ExhibitText"/>
              <w:jc w:val="right"/>
              <w:rPr>
                <w:lang w:val="en-GB"/>
              </w:rPr>
            </w:pPr>
            <w:r w:rsidRPr="00827BEA">
              <w:rPr>
                <w:lang w:val="en-GB"/>
              </w:rPr>
              <w:t>169</w:t>
            </w:r>
          </w:p>
        </w:tc>
        <w:tc>
          <w:tcPr>
            <w:tcW w:w="2880" w:type="dxa"/>
            <w:noWrap/>
            <w:vAlign w:val="center"/>
            <w:hideMark/>
          </w:tcPr>
          <w:p w14:paraId="2B4B161E" w14:textId="77777777" w:rsidR="00025C05" w:rsidRPr="00827BEA" w:rsidRDefault="00025C05" w:rsidP="004137D3">
            <w:pPr>
              <w:pStyle w:val="ExhibitText"/>
              <w:jc w:val="right"/>
              <w:rPr>
                <w:lang w:val="en-GB"/>
              </w:rPr>
            </w:pPr>
            <w:r w:rsidRPr="00827BEA">
              <w:rPr>
                <w:lang w:val="en-GB"/>
              </w:rPr>
              <w:t>15</w:t>
            </w:r>
          </w:p>
        </w:tc>
      </w:tr>
      <w:tr w:rsidR="00025C05" w:rsidRPr="00827BEA" w14:paraId="221E4989" w14:textId="77777777" w:rsidTr="00025C05">
        <w:trPr>
          <w:trHeight w:val="62"/>
        </w:trPr>
        <w:tc>
          <w:tcPr>
            <w:tcW w:w="720" w:type="dxa"/>
            <w:noWrap/>
            <w:hideMark/>
          </w:tcPr>
          <w:p w14:paraId="575FC8DF" w14:textId="77777777" w:rsidR="00025C05" w:rsidRPr="00827BEA" w:rsidRDefault="00025C05" w:rsidP="004137D3">
            <w:pPr>
              <w:pStyle w:val="ExhibitText"/>
              <w:rPr>
                <w:lang w:val="en-GB"/>
              </w:rPr>
            </w:pPr>
            <w:r w:rsidRPr="00827BEA">
              <w:rPr>
                <w:lang w:val="en-GB"/>
              </w:rPr>
              <w:t>2006</w:t>
            </w:r>
          </w:p>
        </w:tc>
        <w:tc>
          <w:tcPr>
            <w:tcW w:w="1055" w:type="dxa"/>
            <w:noWrap/>
            <w:vAlign w:val="center"/>
            <w:hideMark/>
          </w:tcPr>
          <w:p w14:paraId="10A9ECDB" w14:textId="77777777" w:rsidR="00025C05" w:rsidRPr="00827BEA" w:rsidRDefault="00025C05" w:rsidP="004137D3">
            <w:pPr>
              <w:pStyle w:val="ExhibitText"/>
              <w:jc w:val="right"/>
              <w:rPr>
                <w:lang w:val="en-GB"/>
              </w:rPr>
            </w:pPr>
            <w:r w:rsidRPr="00827BEA">
              <w:rPr>
                <w:lang w:val="en-GB"/>
              </w:rPr>
              <w:t>12,191.5</w:t>
            </w:r>
          </w:p>
        </w:tc>
        <w:tc>
          <w:tcPr>
            <w:tcW w:w="1190" w:type="dxa"/>
            <w:noWrap/>
            <w:vAlign w:val="center"/>
            <w:hideMark/>
          </w:tcPr>
          <w:p w14:paraId="61F038DE" w14:textId="77777777" w:rsidR="00025C05" w:rsidRPr="00827BEA" w:rsidRDefault="00025C05" w:rsidP="004137D3">
            <w:pPr>
              <w:pStyle w:val="ExhibitText"/>
              <w:jc w:val="right"/>
              <w:rPr>
                <w:lang w:val="en-GB"/>
              </w:rPr>
            </w:pPr>
            <w:r w:rsidRPr="00827BEA">
              <w:rPr>
                <w:lang w:val="en-GB"/>
              </w:rPr>
              <w:t>8,294.0</w:t>
            </w:r>
          </w:p>
        </w:tc>
        <w:tc>
          <w:tcPr>
            <w:tcW w:w="900" w:type="dxa"/>
            <w:noWrap/>
            <w:vAlign w:val="center"/>
            <w:hideMark/>
          </w:tcPr>
          <w:p w14:paraId="57C27609" w14:textId="77777777" w:rsidR="00025C05" w:rsidRPr="00827BEA" w:rsidRDefault="00025C05" w:rsidP="004137D3">
            <w:pPr>
              <w:pStyle w:val="ExhibitText"/>
              <w:jc w:val="right"/>
              <w:rPr>
                <w:lang w:val="en-GB"/>
              </w:rPr>
            </w:pPr>
            <w:r w:rsidRPr="00827BEA">
              <w:rPr>
                <w:lang w:val="en-GB"/>
              </w:rPr>
              <w:t>768.2</w:t>
            </w:r>
          </w:p>
        </w:tc>
        <w:tc>
          <w:tcPr>
            <w:tcW w:w="1170" w:type="dxa"/>
            <w:noWrap/>
            <w:vAlign w:val="center"/>
            <w:hideMark/>
          </w:tcPr>
          <w:p w14:paraId="5A372BDB" w14:textId="77777777" w:rsidR="00025C05" w:rsidRPr="00827BEA" w:rsidRDefault="00025C05" w:rsidP="004137D3">
            <w:pPr>
              <w:pStyle w:val="ExhibitText"/>
              <w:jc w:val="right"/>
              <w:rPr>
                <w:lang w:val="en-GB"/>
              </w:rPr>
            </w:pPr>
            <w:r w:rsidRPr="00827BEA">
              <w:rPr>
                <w:lang w:val="en-GB"/>
              </w:rPr>
              <w:t>682.3</w:t>
            </w:r>
          </w:p>
        </w:tc>
        <w:tc>
          <w:tcPr>
            <w:tcW w:w="1530" w:type="dxa"/>
            <w:noWrap/>
            <w:vAlign w:val="center"/>
            <w:hideMark/>
          </w:tcPr>
          <w:p w14:paraId="119A62AD" w14:textId="77777777" w:rsidR="00025C05" w:rsidRPr="00827BEA" w:rsidRDefault="00025C05" w:rsidP="004137D3">
            <w:pPr>
              <w:pStyle w:val="ExhibitText"/>
              <w:jc w:val="right"/>
              <w:rPr>
                <w:lang w:val="en-GB"/>
              </w:rPr>
            </w:pPr>
            <w:r w:rsidRPr="00827BEA">
              <w:rPr>
                <w:lang w:val="en-GB"/>
              </w:rPr>
              <w:t>159</w:t>
            </w:r>
          </w:p>
        </w:tc>
        <w:tc>
          <w:tcPr>
            <w:tcW w:w="2880" w:type="dxa"/>
            <w:noWrap/>
            <w:vAlign w:val="center"/>
            <w:hideMark/>
          </w:tcPr>
          <w:p w14:paraId="6AC852D3" w14:textId="77777777" w:rsidR="00025C05" w:rsidRPr="00827BEA" w:rsidRDefault="00025C05" w:rsidP="004137D3">
            <w:pPr>
              <w:pStyle w:val="ExhibitText"/>
              <w:jc w:val="right"/>
              <w:rPr>
                <w:lang w:val="en-GB"/>
              </w:rPr>
            </w:pPr>
            <w:r w:rsidRPr="00827BEA">
              <w:rPr>
                <w:lang w:val="en-GB"/>
              </w:rPr>
              <w:t>19</w:t>
            </w:r>
          </w:p>
        </w:tc>
      </w:tr>
      <w:tr w:rsidR="00025C05" w:rsidRPr="00827BEA" w14:paraId="7D08DDC0" w14:textId="77777777" w:rsidTr="00025C05">
        <w:trPr>
          <w:trHeight w:val="56"/>
        </w:trPr>
        <w:tc>
          <w:tcPr>
            <w:tcW w:w="720" w:type="dxa"/>
            <w:noWrap/>
            <w:hideMark/>
          </w:tcPr>
          <w:p w14:paraId="7EF7E15C" w14:textId="77777777" w:rsidR="00025C05" w:rsidRPr="00827BEA" w:rsidRDefault="00025C05" w:rsidP="004137D3">
            <w:pPr>
              <w:pStyle w:val="ExhibitText"/>
              <w:rPr>
                <w:lang w:val="en-GB"/>
              </w:rPr>
            </w:pPr>
            <w:r w:rsidRPr="00827BEA">
              <w:rPr>
                <w:lang w:val="en-GB"/>
              </w:rPr>
              <w:t>2007</w:t>
            </w:r>
          </w:p>
        </w:tc>
        <w:tc>
          <w:tcPr>
            <w:tcW w:w="1055" w:type="dxa"/>
            <w:noWrap/>
            <w:vAlign w:val="center"/>
            <w:hideMark/>
          </w:tcPr>
          <w:p w14:paraId="068D8966" w14:textId="77777777" w:rsidR="00025C05" w:rsidRPr="00827BEA" w:rsidRDefault="00025C05" w:rsidP="004137D3">
            <w:pPr>
              <w:pStyle w:val="ExhibitText"/>
              <w:jc w:val="right"/>
              <w:rPr>
                <w:lang w:val="en-GB"/>
              </w:rPr>
            </w:pPr>
            <w:r w:rsidRPr="00827BEA">
              <w:rPr>
                <w:lang w:val="en-GB"/>
              </w:rPr>
              <w:t>14,923.1</w:t>
            </w:r>
          </w:p>
        </w:tc>
        <w:tc>
          <w:tcPr>
            <w:tcW w:w="1190" w:type="dxa"/>
            <w:noWrap/>
            <w:vAlign w:val="center"/>
            <w:hideMark/>
          </w:tcPr>
          <w:p w14:paraId="7EDCD502" w14:textId="77777777" w:rsidR="00025C05" w:rsidRPr="00827BEA" w:rsidRDefault="00025C05" w:rsidP="004137D3">
            <w:pPr>
              <w:pStyle w:val="ExhibitText"/>
              <w:jc w:val="right"/>
              <w:rPr>
                <w:lang w:val="en-GB"/>
              </w:rPr>
            </w:pPr>
            <w:r w:rsidRPr="00827BEA">
              <w:rPr>
                <w:lang w:val="en-GB"/>
              </w:rPr>
              <w:t>10,028.2</w:t>
            </w:r>
          </w:p>
        </w:tc>
        <w:tc>
          <w:tcPr>
            <w:tcW w:w="900" w:type="dxa"/>
            <w:noWrap/>
            <w:vAlign w:val="center"/>
            <w:hideMark/>
          </w:tcPr>
          <w:p w14:paraId="78E4AE73" w14:textId="77777777" w:rsidR="00025C05" w:rsidRPr="00827BEA" w:rsidRDefault="00025C05" w:rsidP="004137D3">
            <w:pPr>
              <w:pStyle w:val="ExhibitText"/>
              <w:jc w:val="right"/>
              <w:rPr>
                <w:lang w:val="en-GB"/>
              </w:rPr>
            </w:pPr>
            <w:r w:rsidRPr="00827BEA">
              <w:rPr>
                <w:lang w:val="en-GB"/>
              </w:rPr>
              <w:t>1,005.6</w:t>
            </w:r>
          </w:p>
        </w:tc>
        <w:tc>
          <w:tcPr>
            <w:tcW w:w="1170" w:type="dxa"/>
            <w:noWrap/>
            <w:vAlign w:val="center"/>
            <w:hideMark/>
          </w:tcPr>
          <w:p w14:paraId="78057460" w14:textId="77777777" w:rsidR="00025C05" w:rsidRPr="00827BEA" w:rsidRDefault="00025C05" w:rsidP="004137D3">
            <w:pPr>
              <w:pStyle w:val="ExhibitText"/>
              <w:jc w:val="right"/>
              <w:rPr>
                <w:lang w:val="en-GB"/>
              </w:rPr>
            </w:pPr>
            <w:r w:rsidRPr="00827BEA">
              <w:rPr>
                <w:lang w:val="en-GB"/>
              </w:rPr>
              <w:t>879.2</w:t>
            </w:r>
          </w:p>
        </w:tc>
        <w:tc>
          <w:tcPr>
            <w:tcW w:w="1530" w:type="dxa"/>
            <w:noWrap/>
            <w:vAlign w:val="center"/>
            <w:hideMark/>
          </w:tcPr>
          <w:p w14:paraId="044E77CC" w14:textId="77777777" w:rsidR="00025C05" w:rsidRPr="00827BEA" w:rsidRDefault="00025C05" w:rsidP="004137D3">
            <w:pPr>
              <w:pStyle w:val="ExhibitText"/>
              <w:jc w:val="right"/>
              <w:rPr>
                <w:lang w:val="en-GB"/>
              </w:rPr>
            </w:pPr>
            <w:r w:rsidRPr="00827BEA">
              <w:rPr>
                <w:lang w:val="en-GB"/>
              </w:rPr>
              <w:t>151</w:t>
            </w:r>
          </w:p>
        </w:tc>
        <w:tc>
          <w:tcPr>
            <w:tcW w:w="2880" w:type="dxa"/>
            <w:noWrap/>
            <w:vAlign w:val="center"/>
            <w:hideMark/>
          </w:tcPr>
          <w:p w14:paraId="51567665" w14:textId="77777777" w:rsidR="00025C05" w:rsidRPr="00827BEA" w:rsidRDefault="00025C05" w:rsidP="004137D3">
            <w:pPr>
              <w:pStyle w:val="ExhibitText"/>
              <w:jc w:val="right"/>
              <w:rPr>
                <w:lang w:val="en-GB"/>
              </w:rPr>
            </w:pPr>
            <w:r w:rsidRPr="00827BEA">
              <w:rPr>
                <w:lang w:val="en-GB"/>
              </w:rPr>
              <w:t>16</w:t>
            </w:r>
          </w:p>
        </w:tc>
      </w:tr>
      <w:tr w:rsidR="00025C05" w:rsidRPr="00827BEA" w14:paraId="0CF64D6C" w14:textId="77777777" w:rsidTr="00025C05">
        <w:trPr>
          <w:trHeight w:val="56"/>
        </w:trPr>
        <w:tc>
          <w:tcPr>
            <w:tcW w:w="720" w:type="dxa"/>
            <w:noWrap/>
            <w:hideMark/>
          </w:tcPr>
          <w:p w14:paraId="582FFF84" w14:textId="77777777" w:rsidR="00025C05" w:rsidRPr="00827BEA" w:rsidRDefault="00025C05" w:rsidP="004137D3">
            <w:pPr>
              <w:pStyle w:val="ExhibitText"/>
              <w:rPr>
                <w:lang w:val="en-GB"/>
              </w:rPr>
            </w:pPr>
            <w:r w:rsidRPr="00827BEA">
              <w:rPr>
                <w:lang w:val="en-GB"/>
              </w:rPr>
              <w:t>2008</w:t>
            </w:r>
          </w:p>
        </w:tc>
        <w:tc>
          <w:tcPr>
            <w:tcW w:w="1055" w:type="dxa"/>
            <w:noWrap/>
            <w:vAlign w:val="center"/>
            <w:hideMark/>
          </w:tcPr>
          <w:p w14:paraId="446A5307" w14:textId="77777777" w:rsidR="00025C05" w:rsidRPr="00827BEA" w:rsidRDefault="00025C05" w:rsidP="004137D3">
            <w:pPr>
              <w:pStyle w:val="ExhibitText"/>
              <w:jc w:val="right"/>
              <w:rPr>
                <w:lang w:val="en-GB"/>
              </w:rPr>
            </w:pPr>
            <w:r w:rsidRPr="00827BEA">
              <w:rPr>
                <w:lang w:val="en-GB"/>
              </w:rPr>
              <w:t>17,628.8</w:t>
            </w:r>
          </w:p>
        </w:tc>
        <w:tc>
          <w:tcPr>
            <w:tcW w:w="1190" w:type="dxa"/>
            <w:noWrap/>
            <w:vAlign w:val="center"/>
            <w:hideMark/>
          </w:tcPr>
          <w:p w14:paraId="3E0018D9" w14:textId="77777777" w:rsidR="00025C05" w:rsidRPr="00827BEA" w:rsidRDefault="00025C05" w:rsidP="004137D3">
            <w:pPr>
              <w:pStyle w:val="ExhibitText"/>
              <w:jc w:val="right"/>
              <w:rPr>
                <w:lang w:val="en-GB"/>
              </w:rPr>
            </w:pPr>
            <w:r w:rsidRPr="00827BEA">
              <w:rPr>
                <w:lang w:val="en-GB"/>
              </w:rPr>
              <w:t>11,870.5</w:t>
            </w:r>
          </w:p>
        </w:tc>
        <w:tc>
          <w:tcPr>
            <w:tcW w:w="900" w:type="dxa"/>
            <w:noWrap/>
            <w:vAlign w:val="center"/>
            <w:hideMark/>
          </w:tcPr>
          <w:p w14:paraId="24C6067D" w14:textId="77777777" w:rsidR="00025C05" w:rsidRPr="00827BEA" w:rsidRDefault="00025C05" w:rsidP="004137D3">
            <w:pPr>
              <w:pStyle w:val="ExhibitText"/>
              <w:jc w:val="right"/>
              <w:rPr>
                <w:lang w:val="en-GB"/>
              </w:rPr>
            </w:pPr>
            <w:r w:rsidRPr="00827BEA">
              <w:rPr>
                <w:lang w:val="en-GB"/>
              </w:rPr>
              <w:t>696.2</w:t>
            </w:r>
          </w:p>
        </w:tc>
        <w:tc>
          <w:tcPr>
            <w:tcW w:w="1170" w:type="dxa"/>
            <w:noWrap/>
            <w:vAlign w:val="center"/>
            <w:hideMark/>
          </w:tcPr>
          <w:p w14:paraId="5BF3B217" w14:textId="77777777" w:rsidR="00025C05" w:rsidRPr="00827BEA" w:rsidRDefault="00025C05" w:rsidP="004137D3">
            <w:pPr>
              <w:pStyle w:val="ExhibitText"/>
              <w:jc w:val="right"/>
              <w:rPr>
                <w:lang w:val="en-GB"/>
              </w:rPr>
            </w:pPr>
            <w:r w:rsidRPr="00827BEA">
              <w:rPr>
                <w:lang w:val="en-GB"/>
              </w:rPr>
              <w:t>1,042.6</w:t>
            </w:r>
          </w:p>
        </w:tc>
        <w:tc>
          <w:tcPr>
            <w:tcW w:w="1530" w:type="dxa"/>
            <w:noWrap/>
            <w:vAlign w:val="center"/>
            <w:hideMark/>
          </w:tcPr>
          <w:p w14:paraId="2F03FD8A" w14:textId="77777777" w:rsidR="00025C05" w:rsidRPr="00827BEA" w:rsidRDefault="00025C05" w:rsidP="004137D3">
            <w:pPr>
              <w:pStyle w:val="ExhibitText"/>
              <w:jc w:val="right"/>
              <w:rPr>
                <w:lang w:val="en-GB"/>
              </w:rPr>
            </w:pPr>
            <w:r w:rsidRPr="00827BEA">
              <w:rPr>
                <w:lang w:val="en-GB"/>
              </w:rPr>
              <w:t>142</w:t>
            </w:r>
          </w:p>
        </w:tc>
        <w:tc>
          <w:tcPr>
            <w:tcW w:w="2880" w:type="dxa"/>
            <w:noWrap/>
            <w:vAlign w:val="center"/>
            <w:hideMark/>
          </w:tcPr>
          <w:p w14:paraId="47226129" w14:textId="77777777" w:rsidR="00025C05" w:rsidRPr="00827BEA" w:rsidRDefault="00025C05" w:rsidP="004137D3">
            <w:pPr>
              <w:pStyle w:val="ExhibitText"/>
              <w:jc w:val="right"/>
              <w:rPr>
                <w:lang w:val="en-GB"/>
              </w:rPr>
            </w:pPr>
            <w:r w:rsidRPr="00827BEA">
              <w:rPr>
                <w:lang w:val="en-GB"/>
              </w:rPr>
              <w:t>19</w:t>
            </w:r>
          </w:p>
        </w:tc>
      </w:tr>
      <w:tr w:rsidR="00025C05" w:rsidRPr="00827BEA" w14:paraId="554CCDF2" w14:textId="77777777" w:rsidTr="00025C05">
        <w:trPr>
          <w:trHeight w:val="56"/>
        </w:trPr>
        <w:tc>
          <w:tcPr>
            <w:tcW w:w="720" w:type="dxa"/>
            <w:noWrap/>
            <w:hideMark/>
          </w:tcPr>
          <w:p w14:paraId="6004CE72" w14:textId="77777777" w:rsidR="00025C05" w:rsidRPr="00827BEA" w:rsidRDefault="00025C05" w:rsidP="004137D3">
            <w:pPr>
              <w:pStyle w:val="ExhibitText"/>
              <w:rPr>
                <w:lang w:val="en-GB"/>
              </w:rPr>
            </w:pPr>
            <w:r w:rsidRPr="00827BEA">
              <w:rPr>
                <w:lang w:val="en-GB"/>
              </w:rPr>
              <w:t>2009</w:t>
            </w:r>
          </w:p>
        </w:tc>
        <w:tc>
          <w:tcPr>
            <w:tcW w:w="1055" w:type="dxa"/>
            <w:noWrap/>
            <w:vAlign w:val="center"/>
            <w:hideMark/>
          </w:tcPr>
          <w:p w14:paraId="3370DDAE" w14:textId="77777777" w:rsidR="00025C05" w:rsidRPr="00827BEA" w:rsidRDefault="00025C05" w:rsidP="004137D3">
            <w:pPr>
              <w:pStyle w:val="ExhibitText"/>
              <w:jc w:val="right"/>
              <w:rPr>
                <w:lang w:val="en-GB"/>
              </w:rPr>
            </w:pPr>
            <w:r w:rsidRPr="00827BEA">
              <w:rPr>
                <w:lang w:val="en-GB"/>
              </w:rPr>
              <w:t>21,058.1</w:t>
            </w:r>
          </w:p>
        </w:tc>
        <w:tc>
          <w:tcPr>
            <w:tcW w:w="1190" w:type="dxa"/>
            <w:noWrap/>
            <w:vAlign w:val="center"/>
            <w:hideMark/>
          </w:tcPr>
          <w:p w14:paraId="0BF53621" w14:textId="77777777" w:rsidR="00025C05" w:rsidRPr="00827BEA" w:rsidRDefault="00025C05" w:rsidP="004137D3">
            <w:pPr>
              <w:pStyle w:val="ExhibitText"/>
              <w:jc w:val="right"/>
              <w:rPr>
                <w:lang w:val="en-GB"/>
              </w:rPr>
            </w:pPr>
            <w:r w:rsidRPr="00827BEA">
              <w:rPr>
                <w:lang w:val="en-GB"/>
              </w:rPr>
              <w:t>12,403.6</w:t>
            </w:r>
          </w:p>
        </w:tc>
        <w:tc>
          <w:tcPr>
            <w:tcW w:w="900" w:type="dxa"/>
            <w:noWrap/>
            <w:vAlign w:val="center"/>
            <w:hideMark/>
          </w:tcPr>
          <w:p w14:paraId="592A4244" w14:textId="77777777" w:rsidR="00025C05" w:rsidRPr="00827BEA" w:rsidRDefault="00025C05" w:rsidP="004137D3">
            <w:pPr>
              <w:pStyle w:val="ExhibitText"/>
              <w:jc w:val="right"/>
              <w:rPr>
                <w:lang w:val="en-GB"/>
              </w:rPr>
            </w:pPr>
            <w:r w:rsidRPr="00827BEA">
              <w:rPr>
                <w:lang w:val="en-GB"/>
              </w:rPr>
              <w:t>765.3</w:t>
            </w:r>
          </w:p>
        </w:tc>
        <w:tc>
          <w:tcPr>
            <w:tcW w:w="1170" w:type="dxa"/>
            <w:noWrap/>
            <w:vAlign w:val="center"/>
            <w:hideMark/>
          </w:tcPr>
          <w:p w14:paraId="453CFFF9" w14:textId="77777777" w:rsidR="00025C05" w:rsidRPr="00827BEA" w:rsidRDefault="00025C05" w:rsidP="004137D3">
            <w:pPr>
              <w:pStyle w:val="ExhibitText"/>
              <w:jc w:val="right"/>
              <w:rPr>
                <w:lang w:val="en-GB"/>
              </w:rPr>
            </w:pPr>
            <w:r w:rsidRPr="00827BEA">
              <w:rPr>
                <w:lang w:val="en-GB"/>
              </w:rPr>
              <w:t>1,048.0</w:t>
            </w:r>
          </w:p>
        </w:tc>
        <w:tc>
          <w:tcPr>
            <w:tcW w:w="1530" w:type="dxa"/>
            <w:noWrap/>
            <w:vAlign w:val="center"/>
            <w:hideMark/>
          </w:tcPr>
          <w:p w14:paraId="5034C20E" w14:textId="77777777" w:rsidR="00025C05" w:rsidRPr="00827BEA" w:rsidRDefault="00025C05" w:rsidP="004137D3">
            <w:pPr>
              <w:pStyle w:val="ExhibitText"/>
              <w:jc w:val="right"/>
              <w:rPr>
                <w:lang w:val="en-GB"/>
              </w:rPr>
            </w:pPr>
            <w:r w:rsidRPr="00827BEA">
              <w:rPr>
                <w:lang w:val="en-GB"/>
              </w:rPr>
              <w:t>130</w:t>
            </w:r>
          </w:p>
        </w:tc>
        <w:tc>
          <w:tcPr>
            <w:tcW w:w="2880" w:type="dxa"/>
            <w:noWrap/>
            <w:vAlign w:val="center"/>
            <w:hideMark/>
          </w:tcPr>
          <w:p w14:paraId="130581AF" w14:textId="77777777" w:rsidR="00025C05" w:rsidRPr="00827BEA" w:rsidRDefault="00025C05" w:rsidP="004137D3">
            <w:pPr>
              <w:pStyle w:val="ExhibitText"/>
              <w:jc w:val="right"/>
              <w:rPr>
                <w:lang w:val="en-GB"/>
              </w:rPr>
            </w:pPr>
            <w:r w:rsidRPr="00827BEA">
              <w:rPr>
                <w:lang w:val="en-GB"/>
              </w:rPr>
              <w:t>24</w:t>
            </w:r>
          </w:p>
        </w:tc>
      </w:tr>
      <w:tr w:rsidR="00025C05" w:rsidRPr="00827BEA" w14:paraId="6E101729" w14:textId="77777777" w:rsidTr="00025C05">
        <w:trPr>
          <w:trHeight w:val="89"/>
        </w:trPr>
        <w:tc>
          <w:tcPr>
            <w:tcW w:w="720" w:type="dxa"/>
            <w:noWrap/>
            <w:hideMark/>
          </w:tcPr>
          <w:p w14:paraId="7E859FAB" w14:textId="77777777" w:rsidR="00025C05" w:rsidRPr="00827BEA" w:rsidRDefault="00025C05" w:rsidP="004137D3">
            <w:pPr>
              <w:pStyle w:val="ExhibitText"/>
              <w:rPr>
                <w:lang w:val="en-GB"/>
              </w:rPr>
            </w:pPr>
            <w:r w:rsidRPr="00827BEA">
              <w:rPr>
                <w:lang w:val="en-GB"/>
              </w:rPr>
              <w:t>2010</w:t>
            </w:r>
          </w:p>
        </w:tc>
        <w:tc>
          <w:tcPr>
            <w:tcW w:w="1055" w:type="dxa"/>
            <w:noWrap/>
            <w:vAlign w:val="center"/>
            <w:hideMark/>
          </w:tcPr>
          <w:p w14:paraId="674B4C65" w14:textId="77777777" w:rsidR="00025C05" w:rsidRPr="00827BEA" w:rsidRDefault="00025C05" w:rsidP="004137D3">
            <w:pPr>
              <w:pStyle w:val="ExhibitText"/>
              <w:jc w:val="right"/>
              <w:rPr>
                <w:lang w:val="en-GB"/>
              </w:rPr>
            </w:pPr>
            <w:r w:rsidRPr="00827BEA">
              <w:rPr>
                <w:lang w:val="en-GB"/>
              </w:rPr>
              <w:t>24,300.0</w:t>
            </w:r>
          </w:p>
        </w:tc>
        <w:tc>
          <w:tcPr>
            <w:tcW w:w="1190" w:type="dxa"/>
            <w:noWrap/>
            <w:vAlign w:val="center"/>
            <w:hideMark/>
          </w:tcPr>
          <w:p w14:paraId="4EBEA079" w14:textId="77777777" w:rsidR="00025C05" w:rsidRPr="00827BEA" w:rsidRDefault="00025C05" w:rsidP="004137D3">
            <w:pPr>
              <w:pStyle w:val="ExhibitText"/>
              <w:jc w:val="right"/>
              <w:rPr>
                <w:lang w:val="en-GB"/>
              </w:rPr>
            </w:pPr>
            <w:r w:rsidRPr="00827BEA">
              <w:rPr>
                <w:lang w:val="en-GB"/>
              </w:rPr>
              <w:t>19,198.1</w:t>
            </w:r>
          </w:p>
        </w:tc>
        <w:tc>
          <w:tcPr>
            <w:tcW w:w="900" w:type="dxa"/>
            <w:noWrap/>
            <w:vAlign w:val="center"/>
            <w:hideMark/>
          </w:tcPr>
          <w:p w14:paraId="021F1D60" w14:textId="77777777" w:rsidR="00025C05" w:rsidRPr="00827BEA" w:rsidRDefault="00025C05" w:rsidP="004137D3">
            <w:pPr>
              <w:pStyle w:val="ExhibitText"/>
              <w:jc w:val="right"/>
              <w:rPr>
                <w:lang w:val="en-GB"/>
              </w:rPr>
            </w:pPr>
            <w:r w:rsidRPr="00827BEA">
              <w:rPr>
                <w:lang w:val="en-GB"/>
              </w:rPr>
              <w:t>1,341.5</w:t>
            </w:r>
          </w:p>
        </w:tc>
        <w:tc>
          <w:tcPr>
            <w:tcW w:w="1170" w:type="dxa"/>
            <w:noWrap/>
            <w:vAlign w:val="center"/>
            <w:hideMark/>
          </w:tcPr>
          <w:p w14:paraId="7EB69010" w14:textId="77777777" w:rsidR="00025C05" w:rsidRPr="00827BEA" w:rsidRDefault="00025C05" w:rsidP="004137D3">
            <w:pPr>
              <w:pStyle w:val="ExhibitText"/>
              <w:jc w:val="right"/>
              <w:rPr>
                <w:lang w:val="en-GB"/>
              </w:rPr>
            </w:pPr>
            <w:r w:rsidRPr="00827BEA">
              <w:rPr>
                <w:lang w:val="en-GB"/>
              </w:rPr>
              <w:t>1,924.1</w:t>
            </w:r>
          </w:p>
        </w:tc>
        <w:tc>
          <w:tcPr>
            <w:tcW w:w="1530" w:type="dxa"/>
            <w:noWrap/>
            <w:vAlign w:val="center"/>
            <w:hideMark/>
          </w:tcPr>
          <w:p w14:paraId="3CC1ABC1" w14:textId="77777777" w:rsidR="00025C05" w:rsidRPr="00827BEA" w:rsidRDefault="00025C05" w:rsidP="004137D3">
            <w:pPr>
              <w:pStyle w:val="ExhibitText"/>
              <w:jc w:val="right"/>
              <w:rPr>
                <w:lang w:val="en-GB"/>
              </w:rPr>
            </w:pPr>
            <w:r w:rsidRPr="00827BEA">
              <w:rPr>
                <w:lang w:val="en-GB"/>
              </w:rPr>
              <w:t>124</w:t>
            </w:r>
          </w:p>
        </w:tc>
        <w:tc>
          <w:tcPr>
            <w:tcW w:w="2880" w:type="dxa"/>
            <w:noWrap/>
            <w:vAlign w:val="center"/>
            <w:hideMark/>
          </w:tcPr>
          <w:p w14:paraId="6CE6D1EB" w14:textId="77777777" w:rsidR="00025C05" w:rsidRPr="00827BEA" w:rsidRDefault="00025C05" w:rsidP="004137D3">
            <w:pPr>
              <w:pStyle w:val="ExhibitText"/>
              <w:jc w:val="right"/>
              <w:rPr>
                <w:lang w:val="en-GB"/>
              </w:rPr>
            </w:pPr>
            <w:r w:rsidRPr="00827BEA">
              <w:rPr>
                <w:lang w:val="en-GB"/>
              </w:rPr>
              <w:t>30</w:t>
            </w:r>
          </w:p>
        </w:tc>
      </w:tr>
      <w:tr w:rsidR="00025C05" w:rsidRPr="00827BEA" w14:paraId="03AF2221" w14:textId="77777777" w:rsidTr="00025C05">
        <w:trPr>
          <w:trHeight w:val="255"/>
        </w:trPr>
        <w:tc>
          <w:tcPr>
            <w:tcW w:w="720" w:type="dxa"/>
            <w:noWrap/>
            <w:hideMark/>
          </w:tcPr>
          <w:p w14:paraId="7A556438" w14:textId="77777777" w:rsidR="00025C05" w:rsidRPr="00827BEA" w:rsidRDefault="00025C05" w:rsidP="004137D3">
            <w:pPr>
              <w:pStyle w:val="ExhibitText"/>
              <w:rPr>
                <w:lang w:val="en-GB"/>
              </w:rPr>
            </w:pPr>
            <w:r w:rsidRPr="00827BEA">
              <w:rPr>
                <w:lang w:val="en-GB"/>
              </w:rPr>
              <w:t>2011</w:t>
            </w:r>
          </w:p>
        </w:tc>
        <w:tc>
          <w:tcPr>
            <w:tcW w:w="1055" w:type="dxa"/>
            <w:noWrap/>
            <w:vAlign w:val="center"/>
            <w:hideMark/>
          </w:tcPr>
          <w:p w14:paraId="38F2C0F0" w14:textId="77777777" w:rsidR="00025C05" w:rsidRPr="00827BEA" w:rsidRDefault="00025C05" w:rsidP="004137D3">
            <w:pPr>
              <w:pStyle w:val="ExhibitText"/>
              <w:jc w:val="right"/>
              <w:rPr>
                <w:lang w:val="en-GB"/>
              </w:rPr>
            </w:pPr>
            <w:r w:rsidRPr="00827BEA">
              <w:rPr>
                <w:lang w:val="en-GB"/>
              </w:rPr>
              <w:t>28,000.0</w:t>
            </w:r>
          </w:p>
        </w:tc>
        <w:tc>
          <w:tcPr>
            <w:tcW w:w="1190" w:type="dxa"/>
            <w:noWrap/>
            <w:vAlign w:val="center"/>
            <w:hideMark/>
          </w:tcPr>
          <w:p w14:paraId="53E0961F" w14:textId="77777777" w:rsidR="00025C05" w:rsidRPr="00827BEA" w:rsidRDefault="00025C05" w:rsidP="004137D3">
            <w:pPr>
              <w:pStyle w:val="ExhibitText"/>
              <w:jc w:val="right"/>
              <w:rPr>
                <w:lang w:val="en-GB"/>
              </w:rPr>
            </w:pPr>
            <w:r w:rsidRPr="00827BEA">
              <w:rPr>
                <w:lang w:val="en-GB"/>
              </w:rPr>
              <w:t>20,139.7</w:t>
            </w:r>
          </w:p>
        </w:tc>
        <w:tc>
          <w:tcPr>
            <w:tcW w:w="900" w:type="dxa"/>
            <w:noWrap/>
            <w:vAlign w:val="center"/>
            <w:hideMark/>
          </w:tcPr>
          <w:p w14:paraId="69EC026B" w14:textId="77777777" w:rsidR="00025C05" w:rsidRPr="00827BEA" w:rsidRDefault="00025C05" w:rsidP="004137D3">
            <w:pPr>
              <w:pStyle w:val="ExhibitText"/>
              <w:jc w:val="right"/>
              <w:rPr>
                <w:lang w:val="en-GB"/>
              </w:rPr>
            </w:pPr>
            <w:r w:rsidRPr="00827BEA">
              <w:rPr>
                <w:lang w:val="en-GB"/>
              </w:rPr>
              <w:t>1502.3</w:t>
            </w:r>
          </w:p>
        </w:tc>
        <w:tc>
          <w:tcPr>
            <w:tcW w:w="1170" w:type="dxa"/>
            <w:noWrap/>
            <w:vAlign w:val="center"/>
            <w:hideMark/>
          </w:tcPr>
          <w:p w14:paraId="1E25B6F0" w14:textId="77777777" w:rsidR="00025C05" w:rsidRPr="00827BEA" w:rsidRDefault="00025C05" w:rsidP="004137D3">
            <w:pPr>
              <w:pStyle w:val="ExhibitText"/>
              <w:jc w:val="right"/>
              <w:rPr>
                <w:lang w:val="en-GB"/>
              </w:rPr>
            </w:pPr>
            <w:r w:rsidRPr="00827BEA">
              <w:rPr>
                <w:lang w:val="en-GB"/>
              </w:rPr>
              <w:t>2,269.5</w:t>
            </w:r>
          </w:p>
        </w:tc>
        <w:tc>
          <w:tcPr>
            <w:tcW w:w="1530" w:type="dxa"/>
            <w:noWrap/>
            <w:vAlign w:val="center"/>
            <w:hideMark/>
          </w:tcPr>
          <w:p w14:paraId="27E7D687" w14:textId="77777777" w:rsidR="00025C05" w:rsidRPr="00827BEA" w:rsidRDefault="00025C05" w:rsidP="004137D3">
            <w:pPr>
              <w:pStyle w:val="ExhibitText"/>
              <w:jc w:val="right"/>
              <w:rPr>
                <w:lang w:val="en-GB"/>
              </w:rPr>
            </w:pPr>
            <w:r w:rsidRPr="00827BEA">
              <w:rPr>
                <w:lang w:val="en-GB"/>
              </w:rPr>
              <w:t>118</w:t>
            </w:r>
          </w:p>
        </w:tc>
        <w:tc>
          <w:tcPr>
            <w:tcW w:w="2880" w:type="dxa"/>
            <w:noWrap/>
            <w:vAlign w:val="center"/>
            <w:hideMark/>
          </w:tcPr>
          <w:p w14:paraId="041DBB82" w14:textId="77777777" w:rsidR="00025C05" w:rsidRPr="00827BEA" w:rsidRDefault="00025C05" w:rsidP="004137D3">
            <w:pPr>
              <w:pStyle w:val="ExhibitText"/>
              <w:jc w:val="right"/>
              <w:rPr>
                <w:lang w:val="en-GB"/>
              </w:rPr>
            </w:pPr>
            <w:r w:rsidRPr="00827BEA">
              <w:rPr>
                <w:lang w:val="en-GB"/>
              </w:rPr>
              <w:t>38</w:t>
            </w:r>
          </w:p>
        </w:tc>
      </w:tr>
      <w:tr w:rsidR="00025C05" w:rsidRPr="00827BEA" w14:paraId="3D3948B3" w14:textId="77777777" w:rsidTr="00025C05">
        <w:trPr>
          <w:trHeight w:val="255"/>
        </w:trPr>
        <w:tc>
          <w:tcPr>
            <w:tcW w:w="720" w:type="dxa"/>
            <w:noWrap/>
            <w:hideMark/>
          </w:tcPr>
          <w:p w14:paraId="70BCEC6E" w14:textId="77777777" w:rsidR="00025C05" w:rsidRPr="00827BEA" w:rsidRDefault="00025C05" w:rsidP="004137D3">
            <w:pPr>
              <w:pStyle w:val="ExhibitText"/>
              <w:rPr>
                <w:lang w:val="en-GB"/>
              </w:rPr>
            </w:pPr>
            <w:r w:rsidRPr="00827BEA">
              <w:rPr>
                <w:lang w:val="en-GB"/>
              </w:rPr>
              <w:t>2012</w:t>
            </w:r>
          </w:p>
        </w:tc>
        <w:tc>
          <w:tcPr>
            <w:tcW w:w="1055" w:type="dxa"/>
            <w:noWrap/>
            <w:vAlign w:val="center"/>
            <w:hideMark/>
          </w:tcPr>
          <w:p w14:paraId="1AC72AC1" w14:textId="77777777" w:rsidR="00025C05" w:rsidRPr="00827BEA" w:rsidRDefault="00025C05" w:rsidP="004137D3">
            <w:pPr>
              <w:pStyle w:val="ExhibitText"/>
              <w:jc w:val="right"/>
              <w:rPr>
                <w:lang w:val="en-GB"/>
              </w:rPr>
            </w:pPr>
            <w:r w:rsidRPr="00827BEA">
              <w:rPr>
                <w:lang w:val="en-GB"/>
              </w:rPr>
              <w:t>43,295.5</w:t>
            </w:r>
          </w:p>
        </w:tc>
        <w:tc>
          <w:tcPr>
            <w:tcW w:w="1190" w:type="dxa"/>
            <w:noWrap/>
            <w:vAlign w:val="center"/>
            <w:hideMark/>
          </w:tcPr>
          <w:p w14:paraId="65BFEC14" w14:textId="77777777" w:rsidR="00025C05" w:rsidRPr="00827BEA" w:rsidRDefault="00025C05" w:rsidP="004137D3">
            <w:pPr>
              <w:pStyle w:val="ExhibitText"/>
              <w:jc w:val="right"/>
              <w:rPr>
                <w:lang w:val="en-GB"/>
              </w:rPr>
            </w:pPr>
            <w:r w:rsidRPr="00827BEA">
              <w:rPr>
                <w:lang w:val="en-GB"/>
              </w:rPr>
              <w:t>26,055.9</w:t>
            </w:r>
          </w:p>
        </w:tc>
        <w:tc>
          <w:tcPr>
            <w:tcW w:w="900" w:type="dxa"/>
            <w:noWrap/>
            <w:vAlign w:val="center"/>
            <w:hideMark/>
          </w:tcPr>
          <w:p w14:paraId="0ED09D6D" w14:textId="77777777" w:rsidR="00025C05" w:rsidRPr="00827BEA" w:rsidRDefault="00025C05" w:rsidP="004137D3">
            <w:pPr>
              <w:pStyle w:val="ExhibitText"/>
              <w:jc w:val="right"/>
              <w:rPr>
                <w:lang w:val="en-GB"/>
              </w:rPr>
            </w:pPr>
            <w:r w:rsidRPr="00827BEA">
              <w:rPr>
                <w:lang w:val="en-GB"/>
              </w:rPr>
              <w:t>1,504.5</w:t>
            </w:r>
          </w:p>
        </w:tc>
        <w:tc>
          <w:tcPr>
            <w:tcW w:w="1170" w:type="dxa"/>
            <w:noWrap/>
            <w:vAlign w:val="center"/>
            <w:hideMark/>
          </w:tcPr>
          <w:p w14:paraId="7434101F" w14:textId="77777777" w:rsidR="00025C05" w:rsidRPr="00827BEA" w:rsidRDefault="00025C05" w:rsidP="004137D3">
            <w:pPr>
              <w:pStyle w:val="ExhibitText"/>
              <w:jc w:val="right"/>
              <w:rPr>
                <w:lang w:val="en-GB"/>
              </w:rPr>
            </w:pPr>
            <w:r w:rsidRPr="00827BEA">
              <w:rPr>
                <w:lang w:val="en-GB"/>
              </w:rPr>
              <w:t>1,760.8</w:t>
            </w:r>
          </w:p>
        </w:tc>
        <w:tc>
          <w:tcPr>
            <w:tcW w:w="1530" w:type="dxa"/>
            <w:noWrap/>
            <w:vAlign w:val="center"/>
            <w:hideMark/>
          </w:tcPr>
          <w:p w14:paraId="0C5B77F1" w14:textId="77777777" w:rsidR="00025C05" w:rsidRPr="00827BEA" w:rsidRDefault="00025C05" w:rsidP="004137D3">
            <w:pPr>
              <w:pStyle w:val="ExhibitText"/>
              <w:jc w:val="right"/>
              <w:rPr>
                <w:lang w:val="en-GB"/>
              </w:rPr>
            </w:pPr>
            <w:r w:rsidRPr="00827BEA">
              <w:rPr>
                <w:lang w:val="en-GB"/>
              </w:rPr>
              <w:t>117</w:t>
            </w:r>
          </w:p>
        </w:tc>
        <w:tc>
          <w:tcPr>
            <w:tcW w:w="2880" w:type="dxa"/>
            <w:noWrap/>
            <w:vAlign w:val="center"/>
            <w:hideMark/>
          </w:tcPr>
          <w:p w14:paraId="2C1503A3" w14:textId="77777777" w:rsidR="00025C05" w:rsidRPr="00827BEA" w:rsidRDefault="00025C05" w:rsidP="004137D3">
            <w:pPr>
              <w:pStyle w:val="ExhibitText"/>
              <w:jc w:val="right"/>
              <w:rPr>
                <w:lang w:val="en-GB"/>
              </w:rPr>
            </w:pPr>
            <w:r w:rsidRPr="00827BEA">
              <w:rPr>
                <w:lang w:val="en-GB"/>
              </w:rPr>
              <w:t>43</w:t>
            </w:r>
          </w:p>
        </w:tc>
      </w:tr>
      <w:tr w:rsidR="00025C05" w:rsidRPr="00827BEA" w14:paraId="228DBE38" w14:textId="77777777" w:rsidTr="00025C05">
        <w:trPr>
          <w:trHeight w:val="255"/>
        </w:trPr>
        <w:tc>
          <w:tcPr>
            <w:tcW w:w="720" w:type="dxa"/>
            <w:noWrap/>
            <w:hideMark/>
          </w:tcPr>
          <w:p w14:paraId="59A6D59D" w14:textId="77777777" w:rsidR="00025C05" w:rsidRPr="00827BEA" w:rsidRDefault="00025C05" w:rsidP="004137D3">
            <w:pPr>
              <w:pStyle w:val="ExhibitText"/>
              <w:rPr>
                <w:lang w:val="en-GB"/>
              </w:rPr>
            </w:pPr>
            <w:r w:rsidRPr="00827BEA">
              <w:rPr>
                <w:lang w:val="en-GB"/>
              </w:rPr>
              <w:t>2013</w:t>
            </w:r>
          </w:p>
        </w:tc>
        <w:tc>
          <w:tcPr>
            <w:tcW w:w="1055" w:type="dxa"/>
            <w:noWrap/>
            <w:vAlign w:val="center"/>
            <w:hideMark/>
          </w:tcPr>
          <w:p w14:paraId="705DD906" w14:textId="77777777" w:rsidR="00025C05" w:rsidRPr="00827BEA" w:rsidRDefault="00025C05" w:rsidP="004137D3">
            <w:pPr>
              <w:pStyle w:val="ExhibitText"/>
              <w:jc w:val="right"/>
              <w:rPr>
                <w:lang w:val="en-GB"/>
              </w:rPr>
            </w:pPr>
            <w:r w:rsidRPr="00827BEA">
              <w:rPr>
                <w:lang w:val="en-GB"/>
              </w:rPr>
              <w:t>48,317.8</w:t>
            </w:r>
          </w:p>
        </w:tc>
        <w:tc>
          <w:tcPr>
            <w:tcW w:w="1190" w:type="dxa"/>
            <w:noWrap/>
            <w:vAlign w:val="center"/>
            <w:hideMark/>
          </w:tcPr>
          <w:p w14:paraId="5B5BB815" w14:textId="77777777" w:rsidR="00025C05" w:rsidRPr="00827BEA" w:rsidRDefault="00025C05" w:rsidP="004137D3">
            <w:pPr>
              <w:pStyle w:val="ExhibitText"/>
              <w:jc w:val="right"/>
              <w:rPr>
                <w:lang w:val="en-GB"/>
              </w:rPr>
            </w:pPr>
            <w:r w:rsidRPr="00827BEA">
              <w:rPr>
                <w:lang w:val="en-GB"/>
              </w:rPr>
              <w:t>28,440.7</w:t>
            </w:r>
          </w:p>
        </w:tc>
        <w:tc>
          <w:tcPr>
            <w:tcW w:w="900" w:type="dxa"/>
            <w:noWrap/>
            <w:vAlign w:val="center"/>
            <w:hideMark/>
          </w:tcPr>
          <w:p w14:paraId="68B1F609" w14:textId="77777777" w:rsidR="00025C05" w:rsidRPr="00827BEA" w:rsidRDefault="00025C05" w:rsidP="004137D3">
            <w:pPr>
              <w:pStyle w:val="ExhibitText"/>
              <w:jc w:val="right"/>
              <w:rPr>
                <w:lang w:val="en-GB"/>
              </w:rPr>
            </w:pPr>
            <w:r w:rsidRPr="00827BEA">
              <w:rPr>
                <w:lang w:val="en-GB"/>
              </w:rPr>
              <w:t>1,665.3</w:t>
            </w:r>
          </w:p>
        </w:tc>
        <w:tc>
          <w:tcPr>
            <w:tcW w:w="1170" w:type="dxa"/>
            <w:noWrap/>
            <w:vAlign w:val="center"/>
            <w:hideMark/>
          </w:tcPr>
          <w:p w14:paraId="0E38B381" w14:textId="77777777" w:rsidR="00025C05" w:rsidRPr="00827BEA" w:rsidRDefault="00025C05" w:rsidP="004137D3">
            <w:pPr>
              <w:pStyle w:val="ExhibitText"/>
              <w:jc w:val="right"/>
              <w:rPr>
                <w:lang w:val="en-GB"/>
              </w:rPr>
            </w:pPr>
            <w:r w:rsidRPr="00827BEA">
              <w:rPr>
                <w:lang w:val="en-GB"/>
              </w:rPr>
              <w:t>2,803.0</w:t>
            </w:r>
          </w:p>
        </w:tc>
        <w:tc>
          <w:tcPr>
            <w:tcW w:w="1530" w:type="dxa"/>
            <w:noWrap/>
            <w:vAlign w:val="center"/>
            <w:hideMark/>
          </w:tcPr>
          <w:p w14:paraId="304B157C" w14:textId="77777777" w:rsidR="00025C05" w:rsidRPr="00827BEA" w:rsidRDefault="00025C05" w:rsidP="004137D3">
            <w:pPr>
              <w:pStyle w:val="ExhibitText"/>
              <w:jc w:val="right"/>
              <w:rPr>
                <w:lang w:val="en-GB"/>
              </w:rPr>
            </w:pPr>
            <w:r w:rsidRPr="00827BEA">
              <w:rPr>
                <w:lang w:val="en-GB"/>
              </w:rPr>
              <w:t>113</w:t>
            </w:r>
          </w:p>
        </w:tc>
        <w:tc>
          <w:tcPr>
            <w:tcW w:w="2880" w:type="dxa"/>
            <w:noWrap/>
            <w:vAlign w:val="center"/>
            <w:hideMark/>
          </w:tcPr>
          <w:p w14:paraId="4B8403AC" w14:textId="77777777" w:rsidR="00025C05" w:rsidRPr="00827BEA" w:rsidRDefault="00025C05" w:rsidP="004137D3">
            <w:pPr>
              <w:pStyle w:val="ExhibitText"/>
              <w:jc w:val="right"/>
              <w:rPr>
                <w:lang w:val="en-GB"/>
              </w:rPr>
            </w:pPr>
            <w:r w:rsidRPr="00827BEA">
              <w:rPr>
                <w:lang w:val="en-GB"/>
              </w:rPr>
              <w:t>44</w:t>
            </w:r>
          </w:p>
        </w:tc>
      </w:tr>
      <w:tr w:rsidR="00025C05" w:rsidRPr="00827BEA" w14:paraId="4616AD06" w14:textId="77777777" w:rsidTr="00025C05">
        <w:trPr>
          <w:trHeight w:val="255"/>
        </w:trPr>
        <w:tc>
          <w:tcPr>
            <w:tcW w:w="720" w:type="dxa"/>
            <w:noWrap/>
            <w:hideMark/>
          </w:tcPr>
          <w:p w14:paraId="32C730ED" w14:textId="77777777" w:rsidR="00025C05" w:rsidRPr="00827BEA" w:rsidRDefault="00025C05" w:rsidP="004137D3">
            <w:pPr>
              <w:pStyle w:val="ExhibitText"/>
              <w:rPr>
                <w:lang w:val="en-GB"/>
              </w:rPr>
            </w:pPr>
            <w:r w:rsidRPr="00827BEA">
              <w:rPr>
                <w:lang w:val="en-GB"/>
              </w:rPr>
              <w:t>2014</w:t>
            </w:r>
          </w:p>
        </w:tc>
        <w:tc>
          <w:tcPr>
            <w:tcW w:w="1055" w:type="dxa"/>
            <w:noWrap/>
            <w:vAlign w:val="center"/>
            <w:hideMark/>
          </w:tcPr>
          <w:p w14:paraId="1EACD1FC" w14:textId="77777777" w:rsidR="00025C05" w:rsidRPr="00827BEA" w:rsidRDefault="00025C05" w:rsidP="004137D3">
            <w:pPr>
              <w:pStyle w:val="ExhibitText"/>
              <w:jc w:val="right"/>
              <w:rPr>
                <w:lang w:val="en-GB"/>
              </w:rPr>
            </w:pPr>
            <w:r w:rsidRPr="00827BEA">
              <w:rPr>
                <w:lang w:val="en-GB"/>
              </w:rPr>
              <w:t>53,706.8</w:t>
            </w:r>
          </w:p>
        </w:tc>
        <w:tc>
          <w:tcPr>
            <w:tcW w:w="1190" w:type="dxa"/>
            <w:noWrap/>
            <w:vAlign w:val="center"/>
            <w:hideMark/>
          </w:tcPr>
          <w:p w14:paraId="67007AE0" w14:textId="77777777" w:rsidR="00025C05" w:rsidRPr="00827BEA" w:rsidRDefault="00025C05" w:rsidP="004137D3">
            <w:pPr>
              <w:pStyle w:val="ExhibitText"/>
              <w:jc w:val="right"/>
              <w:rPr>
                <w:lang w:val="en-GB"/>
              </w:rPr>
            </w:pPr>
            <w:r w:rsidRPr="00827BEA">
              <w:rPr>
                <w:lang w:val="en-GB"/>
              </w:rPr>
              <w:t>29,379.0</w:t>
            </w:r>
          </w:p>
        </w:tc>
        <w:tc>
          <w:tcPr>
            <w:tcW w:w="900" w:type="dxa"/>
            <w:noWrap/>
            <w:vAlign w:val="center"/>
            <w:hideMark/>
          </w:tcPr>
          <w:p w14:paraId="1876C469" w14:textId="77777777" w:rsidR="00025C05" w:rsidRPr="00827BEA" w:rsidRDefault="00025C05" w:rsidP="004137D3">
            <w:pPr>
              <w:pStyle w:val="ExhibitText"/>
              <w:jc w:val="right"/>
              <w:rPr>
                <w:lang w:val="en-GB"/>
              </w:rPr>
            </w:pPr>
            <w:r w:rsidRPr="00827BEA">
              <w:rPr>
                <w:lang w:val="en-GB"/>
              </w:rPr>
              <w:t>1,728.0</w:t>
            </w:r>
          </w:p>
        </w:tc>
        <w:tc>
          <w:tcPr>
            <w:tcW w:w="1170" w:type="dxa"/>
            <w:noWrap/>
            <w:vAlign w:val="center"/>
            <w:hideMark/>
          </w:tcPr>
          <w:p w14:paraId="1F59AC3D" w14:textId="77777777" w:rsidR="00025C05" w:rsidRPr="00827BEA" w:rsidRDefault="00025C05" w:rsidP="004137D3">
            <w:pPr>
              <w:pStyle w:val="ExhibitText"/>
              <w:jc w:val="right"/>
              <w:rPr>
                <w:lang w:val="en-GB"/>
              </w:rPr>
            </w:pPr>
            <w:r w:rsidRPr="00827BEA">
              <w:rPr>
                <w:lang w:val="en-GB"/>
              </w:rPr>
              <w:t>2,917.0</w:t>
            </w:r>
          </w:p>
        </w:tc>
        <w:tc>
          <w:tcPr>
            <w:tcW w:w="1530" w:type="dxa"/>
            <w:noWrap/>
            <w:vAlign w:val="center"/>
            <w:hideMark/>
          </w:tcPr>
          <w:p w14:paraId="4E316D8F" w14:textId="77777777" w:rsidR="00025C05" w:rsidRPr="00827BEA" w:rsidRDefault="00025C05" w:rsidP="004137D3">
            <w:pPr>
              <w:pStyle w:val="ExhibitText"/>
              <w:jc w:val="right"/>
              <w:rPr>
                <w:lang w:val="en-GB"/>
              </w:rPr>
            </w:pPr>
            <w:r w:rsidRPr="00827BEA">
              <w:rPr>
                <w:lang w:val="en-GB"/>
              </w:rPr>
              <w:t>112</w:t>
            </w:r>
          </w:p>
        </w:tc>
        <w:tc>
          <w:tcPr>
            <w:tcW w:w="2880" w:type="dxa"/>
            <w:noWrap/>
            <w:vAlign w:val="center"/>
            <w:hideMark/>
          </w:tcPr>
          <w:p w14:paraId="5944F924" w14:textId="77777777" w:rsidR="00025C05" w:rsidRPr="00827BEA" w:rsidRDefault="00025C05" w:rsidP="004137D3">
            <w:pPr>
              <w:pStyle w:val="ExhibitText"/>
              <w:jc w:val="right"/>
              <w:rPr>
                <w:lang w:val="en-GB"/>
              </w:rPr>
            </w:pPr>
            <w:r w:rsidRPr="00827BEA">
              <w:rPr>
                <w:lang w:val="en-GB"/>
              </w:rPr>
              <w:t>47</w:t>
            </w:r>
          </w:p>
        </w:tc>
      </w:tr>
      <w:tr w:rsidR="00025C05" w:rsidRPr="00827BEA" w14:paraId="32D6E0CD" w14:textId="77777777" w:rsidTr="00025C05">
        <w:trPr>
          <w:trHeight w:val="255"/>
        </w:trPr>
        <w:tc>
          <w:tcPr>
            <w:tcW w:w="720" w:type="dxa"/>
            <w:noWrap/>
            <w:hideMark/>
          </w:tcPr>
          <w:p w14:paraId="6EF89BF0" w14:textId="77777777" w:rsidR="00025C05" w:rsidRPr="00827BEA" w:rsidRDefault="00025C05" w:rsidP="004137D3">
            <w:pPr>
              <w:pStyle w:val="ExhibitText"/>
              <w:rPr>
                <w:lang w:val="en-GB"/>
              </w:rPr>
            </w:pPr>
            <w:r w:rsidRPr="00827BEA">
              <w:rPr>
                <w:lang w:val="en-GB"/>
              </w:rPr>
              <w:t>2015</w:t>
            </w:r>
          </w:p>
        </w:tc>
        <w:tc>
          <w:tcPr>
            <w:tcW w:w="1055" w:type="dxa"/>
            <w:noWrap/>
            <w:vAlign w:val="center"/>
            <w:hideMark/>
          </w:tcPr>
          <w:p w14:paraId="52834172" w14:textId="77777777" w:rsidR="00025C05" w:rsidRPr="00827BEA" w:rsidRDefault="00025C05" w:rsidP="004137D3">
            <w:pPr>
              <w:pStyle w:val="ExhibitText"/>
              <w:jc w:val="right"/>
              <w:rPr>
                <w:lang w:val="en-GB"/>
              </w:rPr>
            </w:pPr>
            <w:r w:rsidRPr="00827BEA">
              <w:rPr>
                <w:lang w:val="en-GB"/>
              </w:rPr>
              <w:t>64,249.2</w:t>
            </w:r>
          </w:p>
        </w:tc>
        <w:tc>
          <w:tcPr>
            <w:tcW w:w="1190" w:type="dxa"/>
            <w:noWrap/>
            <w:vAlign w:val="center"/>
            <w:hideMark/>
          </w:tcPr>
          <w:p w14:paraId="1072849D" w14:textId="77777777" w:rsidR="00025C05" w:rsidRPr="00827BEA" w:rsidRDefault="00025C05" w:rsidP="004137D3">
            <w:pPr>
              <w:pStyle w:val="ExhibitText"/>
              <w:jc w:val="right"/>
              <w:rPr>
                <w:lang w:val="en-GB"/>
              </w:rPr>
            </w:pPr>
            <w:r w:rsidRPr="00827BEA">
              <w:rPr>
                <w:lang w:val="en-GB"/>
              </w:rPr>
              <w:t>27,169.4</w:t>
            </w:r>
          </w:p>
        </w:tc>
        <w:tc>
          <w:tcPr>
            <w:tcW w:w="900" w:type="dxa"/>
            <w:noWrap/>
            <w:vAlign w:val="center"/>
            <w:hideMark/>
          </w:tcPr>
          <w:p w14:paraId="1456387B" w14:textId="77777777" w:rsidR="00025C05" w:rsidRPr="00827BEA" w:rsidRDefault="00025C05" w:rsidP="004137D3">
            <w:pPr>
              <w:pStyle w:val="ExhibitText"/>
              <w:jc w:val="right"/>
              <w:rPr>
                <w:lang w:val="en-GB"/>
              </w:rPr>
            </w:pPr>
            <w:r w:rsidRPr="00827BEA">
              <w:rPr>
                <w:lang w:val="en-GB"/>
              </w:rPr>
              <w:t>1,614.9</w:t>
            </w:r>
          </w:p>
        </w:tc>
        <w:tc>
          <w:tcPr>
            <w:tcW w:w="1170" w:type="dxa"/>
            <w:noWrap/>
            <w:vAlign w:val="center"/>
            <w:hideMark/>
          </w:tcPr>
          <w:p w14:paraId="4AC17810" w14:textId="77777777" w:rsidR="00025C05" w:rsidRPr="00827BEA" w:rsidRDefault="00025C05" w:rsidP="004137D3">
            <w:pPr>
              <w:pStyle w:val="ExhibitText"/>
              <w:jc w:val="right"/>
              <w:rPr>
                <w:lang w:val="en-GB"/>
              </w:rPr>
            </w:pPr>
            <w:r w:rsidRPr="00827BEA">
              <w:rPr>
                <w:lang w:val="en-GB"/>
              </w:rPr>
              <w:t>2,973.1</w:t>
            </w:r>
          </w:p>
        </w:tc>
        <w:tc>
          <w:tcPr>
            <w:tcW w:w="1530" w:type="dxa"/>
            <w:noWrap/>
            <w:vAlign w:val="center"/>
            <w:hideMark/>
          </w:tcPr>
          <w:p w14:paraId="7B27CC2F" w14:textId="77777777" w:rsidR="00025C05" w:rsidRPr="00827BEA" w:rsidRDefault="00025C05" w:rsidP="004137D3">
            <w:pPr>
              <w:pStyle w:val="ExhibitText"/>
              <w:jc w:val="right"/>
              <w:rPr>
                <w:lang w:val="en-GB"/>
              </w:rPr>
            </w:pPr>
            <w:r w:rsidRPr="00827BEA">
              <w:rPr>
                <w:lang w:val="en-GB"/>
              </w:rPr>
              <w:t>106</w:t>
            </w:r>
          </w:p>
        </w:tc>
        <w:tc>
          <w:tcPr>
            <w:tcW w:w="2880" w:type="dxa"/>
            <w:noWrap/>
            <w:vAlign w:val="center"/>
            <w:hideMark/>
          </w:tcPr>
          <w:p w14:paraId="40D12720" w14:textId="77777777" w:rsidR="00025C05" w:rsidRPr="00827BEA" w:rsidRDefault="00025C05" w:rsidP="004137D3">
            <w:pPr>
              <w:pStyle w:val="ExhibitText"/>
              <w:jc w:val="right"/>
              <w:rPr>
                <w:lang w:val="en-GB"/>
              </w:rPr>
            </w:pPr>
            <w:r w:rsidRPr="00827BEA">
              <w:rPr>
                <w:lang w:val="en-GB"/>
              </w:rPr>
              <w:t>47</w:t>
            </w:r>
          </w:p>
        </w:tc>
      </w:tr>
      <w:tr w:rsidR="00025C05" w:rsidRPr="00827BEA" w14:paraId="10E93A1A" w14:textId="77777777" w:rsidTr="00025C05">
        <w:trPr>
          <w:trHeight w:val="255"/>
        </w:trPr>
        <w:tc>
          <w:tcPr>
            <w:tcW w:w="720" w:type="dxa"/>
            <w:noWrap/>
            <w:hideMark/>
          </w:tcPr>
          <w:p w14:paraId="787ADAB5" w14:textId="77777777" w:rsidR="00025C05" w:rsidRPr="00827BEA" w:rsidRDefault="00025C05" w:rsidP="004137D3">
            <w:pPr>
              <w:pStyle w:val="ExhibitText"/>
              <w:rPr>
                <w:lang w:val="en-GB"/>
              </w:rPr>
            </w:pPr>
            <w:r w:rsidRPr="00827BEA">
              <w:rPr>
                <w:lang w:val="en-GB"/>
              </w:rPr>
              <w:t>2016</w:t>
            </w:r>
          </w:p>
        </w:tc>
        <w:tc>
          <w:tcPr>
            <w:tcW w:w="1055" w:type="dxa"/>
            <w:noWrap/>
            <w:vAlign w:val="center"/>
            <w:hideMark/>
          </w:tcPr>
          <w:p w14:paraId="1C254179" w14:textId="77777777" w:rsidR="00025C05" w:rsidRPr="00827BEA" w:rsidRDefault="00025C05" w:rsidP="004137D3">
            <w:pPr>
              <w:pStyle w:val="ExhibitText"/>
              <w:jc w:val="right"/>
              <w:rPr>
                <w:lang w:val="en-GB"/>
              </w:rPr>
            </w:pPr>
            <w:r w:rsidRPr="00827BEA">
              <w:rPr>
                <w:lang w:val="en-GB"/>
              </w:rPr>
              <w:t>69,478.9</w:t>
            </w:r>
          </w:p>
        </w:tc>
        <w:tc>
          <w:tcPr>
            <w:tcW w:w="1190" w:type="dxa"/>
            <w:noWrap/>
            <w:vAlign w:val="center"/>
            <w:hideMark/>
          </w:tcPr>
          <w:p w14:paraId="5C4D9233" w14:textId="77777777" w:rsidR="00025C05" w:rsidRPr="00827BEA" w:rsidRDefault="00025C05" w:rsidP="004137D3">
            <w:pPr>
              <w:pStyle w:val="ExhibitText"/>
              <w:jc w:val="right"/>
              <w:rPr>
                <w:lang w:val="en-GB"/>
              </w:rPr>
            </w:pPr>
            <w:r w:rsidRPr="00827BEA">
              <w:rPr>
                <w:lang w:val="en-GB"/>
              </w:rPr>
              <w:t>27,678.0</w:t>
            </w:r>
          </w:p>
        </w:tc>
        <w:tc>
          <w:tcPr>
            <w:tcW w:w="900" w:type="dxa"/>
            <w:noWrap/>
            <w:vAlign w:val="center"/>
            <w:hideMark/>
          </w:tcPr>
          <w:p w14:paraId="26EEA72A" w14:textId="77777777" w:rsidR="00025C05" w:rsidRPr="00827BEA" w:rsidRDefault="00025C05" w:rsidP="004137D3">
            <w:pPr>
              <w:pStyle w:val="ExhibitText"/>
              <w:jc w:val="right"/>
              <w:rPr>
                <w:lang w:val="en-GB"/>
              </w:rPr>
            </w:pPr>
            <w:r w:rsidRPr="00827BEA">
              <w:rPr>
                <w:lang w:val="en-GB"/>
              </w:rPr>
              <w:t>1,525.9</w:t>
            </w:r>
          </w:p>
        </w:tc>
        <w:tc>
          <w:tcPr>
            <w:tcW w:w="1170" w:type="dxa"/>
            <w:noWrap/>
            <w:vAlign w:val="center"/>
            <w:hideMark/>
          </w:tcPr>
          <w:p w14:paraId="2C8FBAAB" w14:textId="77777777" w:rsidR="00025C05" w:rsidRPr="00827BEA" w:rsidRDefault="00025C05" w:rsidP="004137D3">
            <w:pPr>
              <w:pStyle w:val="ExhibitText"/>
              <w:jc w:val="right"/>
              <w:rPr>
                <w:lang w:val="en-GB"/>
              </w:rPr>
            </w:pPr>
            <w:r w:rsidRPr="00827BEA">
              <w:rPr>
                <w:lang w:val="en-GB"/>
              </w:rPr>
              <w:t>2,915.3</w:t>
            </w:r>
          </w:p>
        </w:tc>
        <w:tc>
          <w:tcPr>
            <w:tcW w:w="1530" w:type="dxa"/>
            <w:noWrap/>
            <w:vAlign w:val="center"/>
            <w:hideMark/>
          </w:tcPr>
          <w:p w14:paraId="20F905BE" w14:textId="77777777" w:rsidR="00025C05" w:rsidRPr="00827BEA" w:rsidRDefault="00025C05" w:rsidP="004137D3">
            <w:pPr>
              <w:pStyle w:val="ExhibitText"/>
              <w:jc w:val="right"/>
              <w:rPr>
                <w:lang w:val="en-GB"/>
              </w:rPr>
            </w:pPr>
            <w:r w:rsidRPr="00827BEA">
              <w:rPr>
                <w:lang w:val="en-GB"/>
              </w:rPr>
              <w:t>98</w:t>
            </w:r>
          </w:p>
        </w:tc>
        <w:tc>
          <w:tcPr>
            <w:tcW w:w="2880" w:type="dxa"/>
            <w:noWrap/>
            <w:vAlign w:val="center"/>
            <w:hideMark/>
          </w:tcPr>
          <w:p w14:paraId="0C5E18C7" w14:textId="77777777" w:rsidR="00025C05" w:rsidRPr="00827BEA" w:rsidRDefault="00025C05" w:rsidP="004137D3">
            <w:pPr>
              <w:pStyle w:val="ExhibitText"/>
              <w:jc w:val="right"/>
              <w:rPr>
                <w:lang w:val="en-GB"/>
              </w:rPr>
            </w:pPr>
            <w:r w:rsidRPr="00827BEA">
              <w:rPr>
                <w:lang w:val="en-GB"/>
              </w:rPr>
              <w:t>50</w:t>
            </w:r>
          </w:p>
        </w:tc>
      </w:tr>
    </w:tbl>
    <w:p w14:paraId="5E66A693" w14:textId="77777777" w:rsidR="00025C05" w:rsidRPr="00827BEA" w:rsidRDefault="00025C05" w:rsidP="00025C05">
      <w:pPr>
        <w:rPr>
          <w:color w:val="000000"/>
          <w:sz w:val="16"/>
          <w:szCs w:val="16"/>
          <w:lang w:val="en-GB"/>
        </w:rPr>
      </w:pPr>
    </w:p>
    <w:p w14:paraId="231138E9" w14:textId="77777777" w:rsidR="00025C05" w:rsidRDefault="00025C05" w:rsidP="00025C05">
      <w:pPr>
        <w:pStyle w:val="Footnote"/>
        <w:rPr>
          <w:lang w:val="en-GB"/>
        </w:rPr>
      </w:pPr>
      <w:r>
        <w:rPr>
          <w:lang w:val="en-GB"/>
        </w:rPr>
        <w:t>Note: SOEs = state-owned enterprises.</w:t>
      </w:r>
    </w:p>
    <w:p w14:paraId="7C9838E5" w14:textId="1F6AF9FA" w:rsidR="00274EB3" w:rsidRPr="00827BEA" w:rsidRDefault="00025C05" w:rsidP="0009352F">
      <w:pPr>
        <w:pStyle w:val="Footnote"/>
        <w:rPr>
          <w:rFonts w:eastAsia="Yu Mincho"/>
          <w:lang w:val="en-GB"/>
        </w:rPr>
        <w:sectPr w:rsidR="00274EB3" w:rsidRPr="00827BEA" w:rsidSect="004E0802">
          <w:headerReference w:type="default" r:id="rId12"/>
          <w:pgSz w:w="12240" w:h="15840" w:code="1"/>
          <w:pgMar w:top="1080" w:right="1440" w:bottom="1440" w:left="1440" w:header="1080" w:footer="720" w:gutter="0"/>
          <w:cols w:space="720"/>
          <w:docGrid w:linePitch="360"/>
        </w:sectPr>
      </w:pPr>
      <w:r w:rsidRPr="00827BEA">
        <w:rPr>
          <w:lang w:val="en-GB"/>
        </w:rPr>
        <w:t xml:space="preserve">Source: Xin Li and Kjeld Erik Brødsgaard, “SOE Reform in China: Past, Present and Future,” </w:t>
      </w:r>
      <w:r w:rsidRPr="00827BEA">
        <w:rPr>
          <w:i/>
          <w:lang w:val="en-GB"/>
        </w:rPr>
        <w:t>Copenhagen Journal of Asian Studies</w:t>
      </w:r>
      <w:r w:rsidRPr="00827BEA">
        <w:rPr>
          <w:lang w:val="en-GB"/>
        </w:rPr>
        <w:t xml:space="preserve"> 31, no. 2 (2013): 54–79; Ministry of Finance of China</w:t>
      </w:r>
      <w:r>
        <w:rPr>
          <w:lang w:val="en-GB"/>
        </w:rPr>
        <w:t>.</w:t>
      </w:r>
      <w:r w:rsidR="00274EB3" w:rsidRPr="00827BEA">
        <w:rPr>
          <w:rFonts w:eastAsia="Yu Mincho"/>
          <w:lang w:val="en-GB"/>
        </w:rPr>
        <w:br w:type="page"/>
      </w:r>
    </w:p>
    <w:p w14:paraId="788CE339" w14:textId="09E90E5C" w:rsidR="00C0658F" w:rsidRPr="00827BEA" w:rsidRDefault="00C0658F" w:rsidP="00025C05">
      <w:pPr>
        <w:pStyle w:val="ExhibitHeading"/>
        <w:rPr>
          <w:rFonts w:eastAsia="Yu Mincho"/>
          <w:lang w:val="en-GB"/>
        </w:rPr>
      </w:pPr>
      <w:r w:rsidRPr="00827BEA">
        <w:rPr>
          <w:rFonts w:eastAsia="Yu Mincho"/>
          <w:lang w:val="en-GB"/>
        </w:rPr>
        <w:lastRenderedPageBreak/>
        <w:t>Exhibit 7: Major Reforms of Chinese SOE</w:t>
      </w:r>
      <w:r w:rsidR="00AB4412" w:rsidRPr="00827BEA">
        <w:rPr>
          <w:rFonts w:eastAsia="Yu Mincho"/>
          <w:caps w:val="0"/>
          <w:lang w:val="en-GB"/>
        </w:rPr>
        <w:t>s</w:t>
      </w:r>
      <w:r w:rsidRPr="00827BEA">
        <w:rPr>
          <w:rFonts w:eastAsia="Yu Mincho"/>
          <w:lang w:val="en-GB"/>
        </w:rPr>
        <w:t>, 1992–2017</w:t>
      </w:r>
    </w:p>
    <w:p w14:paraId="1C3C33E2" w14:textId="77777777" w:rsidR="00C0658F" w:rsidRPr="00827BEA" w:rsidRDefault="00C0658F" w:rsidP="00C0658F">
      <w:pPr>
        <w:pStyle w:val="ExhibitHeading"/>
        <w:rPr>
          <w:rFonts w:eastAsia="Yu Mincho"/>
          <w:sz w:val="14"/>
          <w:lang w:val="en-GB"/>
        </w:rPr>
      </w:pPr>
    </w:p>
    <w:tbl>
      <w:tblPr>
        <w:tblW w:w="12870" w:type="dxa"/>
        <w:tblInd w:w="85" w:type="dxa"/>
        <w:tblLook w:val="04A0" w:firstRow="1" w:lastRow="0" w:firstColumn="1" w:lastColumn="0" w:noHBand="0" w:noVBand="1"/>
      </w:tblPr>
      <w:tblGrid>
        <w:gridCol w:w="918"/>
        <w:gridCol w:w="1851"/>
        <w:gridCol w:w="1911"/>
        <w:gridCol w:w="4320"/>
        <w:gridCol w:w="3870"/>
      </w:tblGrid>
      <w:tr w:rsidR="00C0658F" w:rsidRPr="00827BEA" w14:paraId="672F9EBD" w14:textId="77777777" w:rsidTr="003805CD">
        <w:trPr>
          <w:trHeight w:val="251"/>
        </w:trPr>
        <w:tc>
          <w:tcPr>
            <w:tcW w:w="91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F5F878" w14:textId="77777777" w:rsidR="00C0658F" w:rsidRPr="00827BEA" w:rsidRDefault="00C0658F" w:rsidP="00C0658F">
            <w:pPr>
              <w:pStyle w:val="ExhibitText"/>
              <w:rPr>
                <w:b/>
                <w:sz w:val="18"/>
                <w:szCs w:val="18"/>
                <w:lang w:val="en-GB" w:eastAsia="zh-CN"/>
              </w:rPr>
            </w:pPr>
            <w:r w:rsidRPr="00827BEA">
              <w:rPr>
                <w:b/>
                <w:sz w:val="18"/>
                <w:szCs w:val="18"/>
                <w:lang w:val="en-GB" w:eastAsia="zh-CN"/>
              </w:rPr>
              <w:t>Phases</w:t>
            </w:r>
          </w:p>
        </w:tc>
        <w:tc>
          <w:tcPr>
            <w:tcW w:w="1851" w:type="dxa"/>
            <w:tcBorders>
              <w:top w:val="single" w:sz="4" w:space="0" w:color="auto"/>
              <w:left w:val="nil"/>
              <w:bottom w:val="single" w:sz="4" w:space="0" w:color="auto"/>
              <w:right w:val="single" w:sz="4" w:space="0" w:color="auto"/>
            </w:tcBorders>
            <w:shd w:val="clear" w:color="auto" w:fill="auto"/>
            <w:vAlign w:val="bottom"/>
            <w:hideMark/>
          </w:tcPr>
          <w:p w14:paraId="2A49E9B0" w14:textId="77777777" w:rsidR="00C0658F" w:rsidRPr="00827BEA" w:rsidRDefault="00C0658F" w:rsidP="00C0658F">
            <w:pPr>
              <w:pStyle w:val="ExhibitText"/>
              <w:jc w:val="center"/>
              <w:rPr>
                <w:b/>
                <w:sz w:val="18"/>
                <w:szCs w:val="18"/>
                <w:lang w:val="en-GB" w:eastAsia="zh-CN"/>
              </w:rPr>
            </w:pPr>
            <w:r w:rsidRPr="00827BEA">
              <w:rPr>
                <w:b/>
                <w:sz w:val="18"/>
                <w:szCs w:val="18"/>
                <w:lang w:val="en-GB" w:eastAsia="zh-CN"/>
              </w:rPr>
              <w:t>Goals of Reform</w:t>
            </w:r>
          </w:p>
        </w:tc>
        <w:tc>
          <w:tcPr>
            <w:tcW w:w="1911" w:type="dxa"/>
            <w:tcBorders>
              <w:top w:val="single" w:sz="4" w:space="0" w:color="auto"/>
              <w:left w:val="nil"/>
              <w:bottom w:val="single" w:sz="4" w:space="0" w:color="auto"/>
              <w:right w:val="single" w:sz="4" w:space="0" w:color="auto"/>
            </w:tcBorders>
            <w:shd w:val="clear" w:color="auto" w:fill="auto"/>
            <w:vAlign w:val="bottom"/>
            <w:hideMark/>
          </w:tcPr>
          <w:p w14:paraId="7096D376" w14:textId="77777777" w:rsidR="00C0658F" w:rsidRPr="00827BEA" w:rsidRDefault="00C0658F" w:rsidP="00C0658F">
            <w:pPr>
              <w:pStyle w:val="ExhibitText"/>
              <w:jc w:val="center"/>
              <w:rPr>
                <w:b/>
                <w:sz w:val="18"/>
                <w:szCs w:val="18"/>
                <w:lang w:val="en-GB" w:eastAsia="zh-CN"/>
              </w:rPr>
            </w:pPr>
            <w:r w:rsidRPr="00827BEA">
              <w:rPr>
                <w:b/>
                <w:sz w:val="18"/>
                <w:szCs w:val="18"/>
                <w:lang w:val="en-GB" w:eastAsia="zh-CN"/>
              </w:rPr>
              <w:t>Key Strategies</w:t>
            </w:r>
          </w:p>
        </w:tc>
        <w:tc>
          <w:tcPr>
            <w:tcW w:w="4320" w:type="dxa"/>
            <w:tcBorders>
              <w:top w:val="single" w:sz="4" w:space="0" w:color="auto"/>
              <w:left w:val="nil"/>
              <w:bottom w:val="single" w:sz="4" w:space="0" w:color="auto"/>
              <w:right w:val="single" w:sz="4" w:space="0" w:color="auto"/>
            </w:tcBorders>
            <w:shd w:val="clear" w:color="auto" w:fill="auto"/>
            <w:vAlign w:val="bottom"/>
            <w:hideMark/>
          </w:tcPr>
          <w:p w14:paraId="653B3D7E" w14:textId="77777777" w:rsidR="00C0658F" w:rsidRPr="00827BEA" w:rsidRDefault="00C0658F" w:rsidP="00C0658F">
            <w:pPr>
              <w:pStyle w:val="ExhibitText"/>
              <w:jc w:val="center"/>
              <w:rPr>
                <w:b/>
                <w:sz w:val="18"/>
                <w:szCs w:val="18"/>
                <w:lang w:val="en-GB" w:eastAsia="zh-CN"/>
              </w:rPr>
            </w:pPr>
            <w:r w:rsidRPr="00827BEA">
              <w:rPr>
                <w:b/>
                <w:sz w:val="18"/>
                <w:szCs w:val="18"/>
                <w:lang w:val="en-GB" w:eastAsia="zh-CN"/>
              </w:rPr>
              <w:t>Main Actions</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14:paraId="2CB2ECB5" w14:textId="77777777" w:rsidR="00C0658F" w:rsidRPr="00827BEA" w:rsidRDefault="00C0658F" w:rsidP="00C0658F">
            <w:pPr>
              <w:pStyle w:val="ExhibitText"/>
              <w:jc w:val="center"/>
              <w:rPr>
                <w:b/>
                <w:sz w:val="18"/>
                <w:szCs w:val="18"/>
                <w:lang w:val="en-GB" w:eastAsia="zh-CN"/>
              </w:rPr>
            </w:pPr>
            <w:r w:rsidRPr="00827BEA">
              <w:rPr>
                <w:b/>
                <w:sz w:val="18"/>
                <w:szCs w:val="18"/>
                <w:lang w:val="en-GB" w:eastAsia="zh-CN"/>
              </w:rPr>
              <w:t>Progress</w:t>
            </w:r>
          </w:p>
        </w:tc>
      </w:tr>
      <w:tr w:rsidR="00C0658F" w:rsidRPr="00827BEA" w14:paraId="574C14B8" w14:textId="77777777" w:rsidTr="003805CD">
        <w:trPr>
          <w:trHeight w:val="368"/>
        </w:trPr>
        <w:tc>
          <w:tcPr>
            <w:tcW w:w="918" w:type="dxa"/>
            <w:vMerge w:val="restart"/>
            <w:tcBorders>
              <w:top w:val="nil"/>
              <w:left w:val="single" w:sz="4" w:space="0" w:color="auto"/>
              <w:bottom w:val="single" w:sz="4" w:space="0" w:color="000000"/>
              <w:right w:val="single" w:sz="4" w:space="0" w:color="auto"/>
            </w:tcBorders>
            <w:shd w:val="clear" w:color="auto" w:fill="auto"/>
            <w:vAlign w:val="center"/>
            <w:hideMark/>
          </w:tcPr>
          <w:p w14:paraId="28E9A156" w14:textId="77777777" w:rsidR="00C0658F" w:rsidRPr="00827BEA" w:rsidRDefault="00C0658F" w:rsidP="00C0658F">
            <w:pPr>
              <w:pStyle w:val="ExhibitText"/>
              <w:jc w:val="center"/>
              <w:rPr>
                <w:spacing w:val="-4"/>
                <w:sz w:val="18"/>
                <w:szCs w:val="18"/>
                <w:lang w:val="en-GB" w:eastAsia="zh-CN"/>
              </w:rPr>
            </w:pPr>
            <w:r w:rsidRPr="00827BEA">
              <w:rPr>
                <w:spacing w:val="-4"/>
                <w:sz w:val="18"/>
                <w:szCs w:val="18"/>
                <w:lang w:val="en-GB" w:eastAsia="zh-CN"/>
              </w:rPr>
              <w:t>1992 to 2002</w:t>
            </w:r>
          </w:p>
        </w:tc>
        <w:tc>
          <w:tcPr>
            <w:tcW w:w="1851" w:type="dxa"/>
            <w:vMerge w:val="restart"/>
            <w:tcBorders>
              <w:top w:val="nil"/>
              <w:left w:val="single" w:sz="4" w:space="0" w:color="auto"/>
              <w:bottom w:val="single" w:sz="4" w:space="0" w:color="000000"/>
              <w:right w:val="single" w:sz="4" w:space="0" w:color="auto"/>
            </w:tcBorders>
            <w:shd w:val="clear" w:color="auto" w:fill="auto"/>
            <w:vAlign w:val="center"/>
            <w:hideMark/>
          </w:tcPr>
          <w:p w14:paraId="25DF3091"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To transform SOEs into modern corporations and introduce market competition</w:t>
            </w:r>
          </w:p>
        </w:tc>
        <w:tc>
          <w:tcPr>
            <w:tcW w:w="1911" w:type="dxa"/>
            <w:vMerge w:val="restart"/>
            <w:tcBorders>
              <w:top w:val="nil"/>
              <w:left w:val="single" w:sz="4" w:space="0" w:color="auto"/>
              <w:bottom w:val="single" w:sz="4" w:space="0" w:color="000000"/>
              <w:right w:val="single" w:sz="4" w:space="0" w:color="auto"/>
            </w:tcBorders>
            <w:shd w:val="clear" w:color="auto" w:fill="auto"/>
            <w:vAlign w:val="center"/>
            <w:hideMark/>
          </w:tcPr>
          <w:p w14:paraId="7E56F9B9" w14:textId="6358A624" w:rsidR="00C0658F" w:rsidRPr="00827BEA" w:rsidRDefault="00B6220C" w:rsidP="00C0658F">
            <w:pPr>
              <w:pStyle w:val="ExhibitText"/>
              <w:jc w:val="left"/>
              <w:rPr>
                <w:spacing w:val="-4"/>
                <w:sz w:val="18"/>
                <w:szCs w:val="18"/>
                <w:lang w:val="en-GB" w:eastAsia="zh-CN"/>
              </w:rPr>
            </w:pPr>
            <w:r>
              <w:rPr>
                <w:spacing w:val="-4"/>
                <w:sz w:val="18"/>
                <w:szCs w:val="18"/>
                <w:lang w:val="en-GB" w:eastAsia="zh-CN"/>
              </w:rPr>
              <w:t>“</w:t>
            </w:r>
            <w:r w:rsidR="00C0658F" w:rsidRPr="00827BEA">
              <w:rPr>
                <w:spacing w:val="-4"/>
                <w:sz w:val="18"/>
                <w:szCs w:val="18"/>
                <w:lang w:val="en-GB" w:eastAsia="zh-CN"/>
              </w:rPr>
              <w:t>Grasp the big, let go the small</w:t>
            </w:r>
            <w:r>
              <w:rPr>
                <w:spacing w:val="-4"/>
                <w:sz w:val="18"/>
                <w:szCs w:val="18"/>
                <w:lang w:val="en-GB" w:eastAsia="zh-CN"/>
              </w:rPr>
              <w:t>”</w:t>
            </w:r>
            <w:r w:rsidR="00C0658F" w:rsidRPr="00827BEA">
              <w:rPr>
                <w:spacing w:val="-4"/>
                <w:sz w:val="18"/>
                <w:szCs w:val="18"/>
                <w:lang w:val="en-GB" w:eastAsia="zh-CN"/>
              </w:rPr>
              <w:t xml:space="preserve"> and </w:t>
            </w:r>
            <w:r>
              <w:rPr>
                <w:spacing w:val="-4"/>
                <w:sz w:val="18"/>
                <w:szCs w:val="18"/>
                <w:lang w:val="en-GB" w:eastAsia="zh-CN"/>
              </w:rPr>
              <w:t>“</w:t>
            </w:r>
            <w:r w:rsidR="00C0658F" w:rsidRPr="00827BEA">
              <w:rPr>
                <w:spacing w:val="-4"/>
                <w:sz w:val="18"/>
                <w:szCs w:val="18"/>
                <w:lang w:val="en-GB" w:eastAsia="zh-CN"/>
              </w:rPr>
              <w:t>pull large SOEs out of difficulties in three years</w:t>
            </w:r>
            <w:r>
              <w:rPr>
                <w:spacing w:val="-4"/>
                <w:sz w:val="18"/>
                <w:szCs w:val="18"/>
                <w:lang w:val="en-GB" w:eastAsia="zh-CN"/>
              </w:rPr>
              <w:t>”</w:t>
            </w:r>
          </w:p>
        </w:tc>
        <w:tc>
          <w:tcPr>
            <w:tcW w:w="4320" w:type="dxa"/>
            <w:tcBorders>
              <w:top w:val="nil"/>
              <w:left w:val="nil"/>
              <w:bottom w:val="single" w:sz="4" w:space="0" w:color="auto"/>
              <w:right w:val="single" w:sz="4" w:space="0" w:color="auto"/>
            </w:tcBorders>
            <w:shd w:val="clear" w:color="auto" w:fill="auto"/>
            <w:vAlign w:val="center"/>
            <w:hideMark/>
          </w:tcPr>
          <w:p w14:paraId="69B7203F" w14:textId="324C7CFD"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1) Strategically prioritized 1</w:t>
            </w:r>
            <w:r w:rsidR="00B6220C">
              <w:rPr>
                <w:spacing w:val="-4"/>
                <w:sz w:val="18"/>
                <w:szCs w:val="18"/>
                <w:lang w:val="en-GB" w:eastAsia="zh-CN"/>
              </w:rPr>
              <w:t>,</w:t>
            </w:r>
            <w:r w:rsidRPr="00827BEA">
              <w:rPr>
                <w:spacing w:val="-4"/>
                <w:sz w:val="18"/>
                <w:szCs w:val="18"/>
                <w:lang w:val="en-GB" w:eastAsia="zh-CN"/>
              </w:rPr>
              <w:t>000 SOEs to support their growth</w:t>
            </w:r>
            <w:r w:rsidR="00827BEA">
              <w:rPr>
                <w:spacing w:val="-4"/>
                <w:sz w:val="18"/>
                <w:szCs w:val="18"/>
                <w:lang w:val="en-GB" w:eastAsia="zh-CN"/>
              </w:rPr>
              <w:t xml:space="preserve">  </w:t>
            </w:r>
          </w:p>
        </w:tc>
        <w:tc>
          <w:tcPr>
            <w:tcW w:w="3870" w:type="dxa"/>
            <w:tcBorders>
              <w:top w:val="nil"/>
              <w:left w:val="nil"/>
              <w:bottom w:val="single" w:sz="4" w:space="0" w:color="auto"/>
              <w:right w:val="single" w:sz="4" w:space="0" w:color="auto"/>
            </w:tcBorders>
            <w:shd w:val="clear" w:color="auto" w:fill="auto"/>
            <w:vAlign w:val="center"/>
            <w:hideMark/>
          </w:tcPr>
          <w:p w14:paraId="315CFC69" w14:textId="65278549" w:rsidR="00C0658F" w:rsidRPr="00827BEA" w:rsidRDefault="00C0658F" w:rsidP="003437F0">
            <w:pPr>
              <w:pStyle w:val="ExhibitText"/>
              <w:jc w:val="left"/>
              <w:rPr>
                <w:spacing w:val="-4"/>
                <w:sz w:val="18"/>
                <w:szCs w:val="18"/>
                <w:lang w:val="en-GB" w:eastAsia="zh-CN"/>
              </w:rPr>
            </w:pPr>
            <w:r w:rsidRPr="00827BEA">
              <w:rPr>
                <w:spacing w:val="-4"/>
                <w:sz w:val="18"/>
                <w:szCs w:val="18"/>
                <w:lang w:val="en-GB" w:eastAsia="zh-CN"/>
              </w:rPr>
              <w:t>1) 84.8</w:t>
            </w:r>
            <w:r w:rsidR="003437F0" w:rsidRPr="00827BEA">
              <w:rPr>
                <w:spacing w:val="-4"/>
                <w:sz w:val="18"/>
                <w:szCs w:val="18"/>
                <w:lang w:val="en-GB" w:eastAsia="zh-CN"/>
              </w:rPr>
              <w:t xml:space="preserve"> per cent</w:t>
            </w:r>
            <w:r w:rsidRPr="00827BEA">
              <w:rPr>
                <w:spacing w:val="-4"/>
                <w:sz w:val="18"/>
                <w:szCs w:val="18"/>
                <w:lang w:val="en-GB" w:eastAsia="zh-CN"/>
              </w:rPr>
              <w:t xml:space="preserve"> of SOEs were turned into modern corporations </w:t>
            </w:r>
          </w:p>
        </w:tc>
      </w:tr>
      <w:tr w:rsidR="00C0658F" w:rsidRPr="00827BEA" w14:paraId="6C723E83" w14:textId="77777777" w:rsidTr="003805CD">
        <w:trPr>
          <w:trHeight w:val="782"/>
        </w:trPr>
        <w:tc>
          <w:tcPr>
            <w:tcW w:w="918" w:type="dxa"/>
            <w:vMerge/>
            <w:tcBorders>
              <w:top w:val="nil"/>
              <w:left w:val="single" w:sz="4" w:space="0" w:color="auto"/>
              <w:bottom w:val="single" w:sz="4" w:space="0" w:color="000000"/>
              <w:right w:val="single" w:sz="4" w:space="0" w:color="auto"/>
            </w:tcBorders>
            <w:vAlign w:val="center"/>
            <w:hideMark/>
          </w:tcPr>
          <w:p w14:paraId="1CC3C91D" w14:textId="77777777" w:rsidR="00C0658F" w:rsidRPr="00827BEA" w:rsidRDefault="00C0658F" w:rsidP="00C0658F">
            <w:pPr>
              <w:pStyle w:val="ExhibitText"/>
              <w:jc w:val="center"/>
              <w:rPr>
                <w:spacing w:val="-4"/>
                <w:sz w:val="18"/>
                <w:szCs w:val="18"/>
                <w:lang w:val="en-GB" w:eastAsia="zh-CN"/>
              </w:rPr>
            </w:pPr>
          </w:p>
        </w:tc>
        <w:tc>
          <w:tcPr>
            <w:tcW w:w="1851" w:type="dxa"/>
            <w:vMerge/>
            <w:tcBorders>
              <w:top w:val="nil"/>
              <w:left w:val="single" w:sz="4" w:space="0" w:color="auto"/>
              <w:bottom w:val="single" w:sz="4" w:space="0" w:color="000000"/>
              <w:right w:val="single" w:sz="4" w:space="0" w:color="auto"/>
            </w:tcBorders>
            <w:vAlign w:val="center"/>
            <w:hideMark/>
          </w:tcPr>
          <w:p w14:paraId="1E071117" w14:textId="77777777" w:rsidR="00C0658F" w:rsidRPr="00827BEA" w:rsidRDefault="00C0658F" w:rsidP="00C0658F">
            <w:pPr>
              <w:pStyle w:val="ExhibitText"/>
              <w:jc w:val="left"/>
              <w:rPr>
                <w:spacing w:val="-4"/>
                <w:sz w:val="18"/>
                <w:szCs w:val="18"/>
                <w:lang w:val="en-GB" w:eastAsia="zh-CN"/>
              </w:rPr>
            </w:pPr>
          </w:p>
        </w:tc>
        <w:tc>
          <w:tcPr>
            <w:tcW w:w="1911" w:type="dxa"/>
            <w:vMerge/>
            <w:tcBorders>
              <w:top w:val="nil"/>
              <w:left w:val="single" w:sz="4" w:space="0" w:color="auto"/>
              <w:bottom w:val="single" w:sz="4" w:space="0" w:color="000000"/>
              <w:right w:val="single" w:sz="4" w:space="0" w:color="auto"/>
            </w:tcBorders>
            <w:vAlign w:val="center"/>
            <w:hideMark/>
          </w:tcPr>
          <w:p w14:paraId="102751A3" w14:textId="77777777" w:rsidR="00C0658F" w:rsidRPr="00827BEA" w:rsidRDefault="00C0658F" w:rsidP="00C0658F">
            <w:pPr>
              <w:pStyle w:val="ExhibitText"/>
              <w:jc w:val="left"/>
              <w:rPr>
                <w:spacing w:val="-4"/>
                <w:sz w:val="18"/>
                <w:szCs w:val="18"/>
                <w:lang w:val="en-GB" w:eastAsia="zh-CN"/>
              </w:rPr>
            </w:pPr>
          </w:p>
        </w:tc>
        <w:tc>
          <w:tcPr>
            <w:tcW w:w="4320" w:type="dxa"/>
            <w:tcBorders>
              <w:top w:val="nil"/>
              <w:left w:val="nil"/>
              <w:bottom w:val="single" w:sz="4" w:space="0" w:color="auto"/>
              <w:right w:val="single" w:sz="4" w:space="0" w:color="auto"/>
            </w:tcBorders>
            <w:shd w:val="clear" w:color="auto" w:fill="auto"/>
            <w:vAlign w:val="center"/>
            <w:hideMark/>
          </w:tcPr>
          <w:p w14:paraId="4F73891F"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2) Allowed non-strategically focused SOEs to collaborate with private investors</w:t>
            </w:r>
          </w:p>
        </w:tc>
        <w:tc>
          <w:tcPr>
            <w:tcW w:w="3870" w:type="dxa"/>
            <w:tcBorders>
              <w:top w:val="nil"/>
              <w:left w:val="nil"/>
              <w:bottom w:val="single" w:sz="4" w:space="0" w:color="auto"/>
              <w:right w:val="single" w:sz="4" w:space="0" w:color="auto"/>
            </w:tcBorders>
            <w:shd w:val="clear" w:color="auto" w:fill="auto"/>
            <w:vAlign w:val="center"/>
            <w:hideMark/>
          </w:tcPr>
          <w:p w14:paraId="1E6038DD" w14:textId="7503ACA3"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 xml:space="preserve">2) Local SOEs proactively involved private capital through selling shares, merging, leasing, and management </w:t>
            </w:r>
            <w:r w:rsidR="003B5C90">
              <w:rPr>
                <w:spacing w:val="-4"/>
                <w:sz w:val="18"/>
                <w:szCs w:val="18"/>
                <w:lang w:val="en-GB" w:eastAsia="zh-CN"/>
              </w:rPr>
              <w:t>buyout</w:t>
            </w:r>
          </w:p>
        </w:tc>
      </w:tr>
      <w:tr w:rsidR="00C0658F" w:rsidRPr="00827BEA" w14:paraId="52979EA5" w14:textId="77777777" w:rsidTr="003805CD">
        <w:trPr>
          <w:trHeight w:val="422"/>
        </w:trPr>
        <w:tc>
          <w:tcPr>
            <w:tcW w:w="918" w:type="dxa"/>
            <w:vMerge/>
            <w:tcBorders>
              <w:top w:val="nil"/>
              <w:left w:val="single" w:sz="4" w:space="0" w:color="auto"/>
              <w:bottom w:val="single" w:sz="4" w:space="0" w:color="000000"/>
              <w:right w:val="single" w:sz="4" w:space="0" w:color="auto"/>
            </w:tcBorders>
            <w:vAlign w:val="center"/>
            <w:hideMark/>
          </w:tcPr>
          <w:p w14:paraId="75D52BAF" w14:textId="77777777" w:rsidR="00C0658F" w:rsidRPr="00827BEA" w:rsidRDefault="00C0658F" w:rsidP="00C0658F">
            <w:pPr>
              <w:pStyle w:val="ExhibitText"/>
              <w:jc w:val="center"/>
              <w:rPr>
                <w:spacing w:val="-4"/>
                <w:sz w:val="18"/>
                <w:szCs w:val="18"/>
                <w:lang w:val="en-GB" w:eastAsia="zh-CN"/>
              </w:rPr>
            </w:pPr>
          </w:p>
        </w:tc>
        <w:tc>
          <w:tcPr>
            <w:tcW w:w="1851" w:type="dxa"/>
            <w:vMerge/>
            <w:tcBorders>
              <w:top w:val="nil"/>
              <w:left w:val="single" w:sz="4" w:space="0" w:color="auto"/>
              <w:bottom w:val="single" w:sz="4" w:space="0" w:color="000000"/>
              <w:right w:val="single" w:sz="4" w:space="0" w:color="auto"/>
            </w:tcBorders>
            <w:vAlign w:val="center"/>
            <w:hideMark/>
          </w:tcPr>
          <w:p w14:paraId="0DF9E1C5" w14:textId="77777777" w:rsidR="00C0658F" w:rsidRPr="00827BEA" w:rsidRDefault="00C0658F" w:rsidP="00C0658F">
            <w:pPr>
              <w:pStyle w:val="ExhibitText"/>
              <w:jc w:val="left"/>
              <w:rPr>
                <w:spacing w:val="-4"/>
                <w:sz w:val="18"/>
                <w:szCs w:val="18"/>
                <w:lang w:val="en-GB" w:eastAsia="zh-CN"/>
              </w:rPr>
            </w:pPr>
          </w:p>
        </w:tc>
        <w:tc>
          <w:tcPr>
            <w:tcW w:w="1911" w:type="dxa"/>
            <w:vMerge/>
            <w:tcBorders>
              <w:top w:val="nil"/>
              <w:left w:val="single" w:sz="4" w:space="0" w:color="auto"/>
              <w:bottom w:val="single" w:sz="4" w:space="0" w:color="000000"/>
              <w:right w:val="single" w:sz="4" w:space="0" w:color="auto"/>
            </w:tcBorders>
            <w:vAlign w:val="center"/>
            <w:hideMark/>
          </w:tcPr>
          <w:p w14:paraId="46570C85" w14:textId="77777777" w:rsidR="00C0658F" w:rsidRPr="00827BEA" w:rsidRDefault="00C0658F" w:rsidP="00C0658F">
            <w:pPr>
              <w:pStyle w:val="ExhibitText"/>
              <w:jc w:val="left"/>
              <w:rPr>
                <w:spacing w:val="-4"/>
                <w:sz w:val="18"/>
                <w:szCs w:val="18"/>
                <w:lang w:val="en-GB" w:eastAsia="zh-CN"/>
              </w:rPr>
            </w:pPr>
          </w:p>
        </w:tc>
        <w:tc>
          <w:tcPr>
            <w:tcW w:w="4320" w:type="dxa"/>
            <w:tcBorders>
              <w:top w:val="nil"/>
              <w:left w:val="nil"/>
              <w:bottom w:val="single" w:sz="4" w:space="0" w:color="auto"/>
              <w:right w:val="single" w:sz="4" w:space="0" w:color="auto"/>
            </w:tcBorders>
            <w:shd w:val="clear" w:color="auto" w:fill="auto"/>
            <w:vAlign w:val="center"/>
            <w:hideMark/>
          </w:tcPr>
          <w:p w14:paraId="14882EE0" w14:textId="31ED2799"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 xml:space="preserve">3) Issued </w:t>
            </w:r>
            <w:r w:rsidR="00B6220C">
              <w:rPr>
                <w:spacing w:val="-4"/>
                <w:sz w:val="18"/>
                <w:szCs w:val="18"/>
                <w:lang w:val="en-GB" w:eastAsia="zh-CN"/>
              </w:rPr>
              <w:t xml:space="preserve">company law </w:t>
            </w:r>
            <w:r w:rsidRPr="00827BEA">
              <w:rPr>
                <w:spacing w:val="-4"/>
                <w:sz w:val="18"/>
                <w:szCs w:val="18"/>
                <w:lang w:val="en-GB" w:eastAsia="zh-CN"/>
              </w:rPr>
              <w:t>to help transform SOEs into modern corporations</w:t>
            </w:r>
          </w:p>
        </w:tc>
        <w:tc>
          <w:tcPr>
            <w:tcW w:w="3870" w:type="dxa"/>
            <w:tcBorders>
              <w:top w:val="nil"/>
              <w:left w:val="nil"/>
              <w:bottom w:val="single" w:sz="4" w:space="0" w:color="auto"/>
              <w:right w:val="single" w:sz="4" w:space="0" w:color="auto"/>
            </w:tcBorders>
            <w:shd w:val="clear" w:color="auto" w:fill="auto"/>
            <w:vAlign w:val="center"/>
            <w:hideMark/>
          </w:tcPr>
          <w:p w14:paraId="477AF1B6"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 xml:space="preserve">3) Shut down over 5,000 unprofitable SOEs </w:t>
            </w:r>
          </w:p>
        </w:tc>
      </w:tr>
      <w:tr w:rsidR="00C0658F" w:rsidRPr="00827BEA" w14:paraId="3BF79EAC" w14:textId="77777777" w:rsidTr="003805CD">
        <w:trPr>
          <w:trHeight w:val="566"/>
        </w:trPr>
        <w:tc>
          <w:tcPr>
            <w:tcW w:w="918" w:type="dxa"/>
            <w:vMerge/>
            <w:tcBorders>
              <w:top w:val="nil"/>
              <w:left w:val="single" w:sz="4" w:space="0" w:color="auto"/>
              <w:bottom w:val="single" w:sz="4" w:space="0" w:color="000000"/>
              <w:right w:val="single" w:sz="4" w:space="0" w:color="auto"/>
            </w:tcBorders>
            <w:vAlign w:val="center"/>
            <w:hideMark/>
          </w:tcPr>
          <w:p w14:paraId="1DADFD61" w14:textId="77777777" w:rsidR="00C0658F" w:rsidRPr="00827BEA" w:rsidRDefault="00C0658F" w:rsidP="00C0658F">
            <w:pPr>
              <w:pStyle w:val="ExhibitText"/>
              <w:jc w:val="center"/>
              <w:rPr>
                <w:spacing w:val="-4"/>
                <w:sz w:val="18"/>
                <w:szCs w:val="18"/>
                <w:lang w:val="en-GB" w:eastAsia="zh-CN"/>
              </w:rPr>
            </w:pPr>
          </w:p>
        </w:tc>
        <w:tc>
          <w:tcPr>
            <w:tcW w:w="1851" w:type="dxa"/>
            <w:vMerge/>
            <w:tcBorders>
              <w:top w:val="nil"/>
              <w:left w:val="single" w:sz="4" w:space="0" w:color="auto"/>
              <w:bottom w:val="single" w:sz="4" w:space="0" w:color="000000"/>
              <w:right w:val="single" w:sz="4" w:space="0" w:color="auto"/>
            </w:tcBorders>
            <w:vAlign w:val="center"/>
            <w:hideMark/>
          </w:tcPr>
          <w:p w14:paraId="36DE391F" w14:textId="77777777" w:rsidR="00C0658F" w:rsidRPr="00827BEA" w:rsidRDefault="00C0658F" w:rsidP="00C0658F">
            <w:pPr>
              <w:pStyle w:val="ExhibitText"/>
              <w:jc w:val="left"/>
              <w:rPr>
                <w:spacing w:val="-4"/>
                <w:sz w:val="18"/>
                <w:szCs w:val="18"/>
                <w:lang w:val="en-GB" w:eastAsia="zh-CN"/>
              </w:rPr>
            </w:pPr>
          </w:p>
        </w:tc>
        <w:tc>
          <w:tcPr>
            <w:tcW w:w="1911" w:type="dxa"/>
            <w:vMerge/>
            <w:tcBorders>
              <w:top w:val="nil"/>
              <w:left w:val="single" w:sz="4" w:space="0" w:color="auto"/>
              <w:bottom w:val="single" w:sz="4" w:space="0" w:color="000000"/>
              <w:right w:val="single" w:sz="4" w:space="0" w:color="auto"/>
            </w:tcBorders>
            <w:vAlign w:val="center"/>
            <w:hideMark/>
          </w:tcPr>
          <w:p w14:paraId="06422DA9" w14:textId="77777777" w:rsidR="00C0658F" w:rsidRPr="00827BEA" w:rsidRDefault="00C0658F" w:rsidP="00C0658F">
            <w:pPr>
              <w:pStyle w:val="ExhibitText"/>
              <w:jc w:val="left"/>
              <w:rPr>
                <w:spacing w:val="-4"/>
                <w:sz w:val="18"/>
                <w:szCs w:val="18"/>
                <w:lang w:val="en-GB" w:eastAsia="zh-CN"/>
              </w:rPr>
            </w:pPr>
          </w:p>
        </w:tc>
        <w:tc>
          <w:tcPr>
            <w:tcW w:w="4320" w:type="dxa"/>
            <w:tcBorders>
              <w:top w:val="nil"/>
              <w:left w:val="nil"/>
              <w:bottom w:val="single" w:sz="4" w:space="0" w:color="auto"/>
              <w:right w:val="single" w:sz="4" w:space="0" w:color="auto"/>
            </w:tcBorders>
            <w:shd w:val="clear" w:color="auto" w:fill="auto"/>
            <w:vAlign w:val="center"/>
            <w:hideMark/>
          </w:tcPr>
          <w:p w14:paraId="33DE663E"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 xml:space="preserve">4) Established stock exchange markets to reform SOEs </w:t>
            </w:r>
          </w:p>
        </w:tc>
        <w:tc>
          <w:tcPr>
            <w:tcW w:w="3870" w:type="dxa"/>
            <w:tcBorders>
              <w:top w:val="nil"/>
              <w:left w:val="nil"/>
              <w:bottom w:val="single" w:sz="4" w:space="0" w:color="auto"/>
              <w:right w:val="single" w:sz="4" w:space="0" w:color="auto"/>
            </w:tcBorders>
            <w:shd w:val="clear" w:color="auto" w:fill="auto"/>
            <w:vAlign w:val="center"/>
            <w:hideMark/>
          </w:tcPr>
          <w:p w14:paraId="760514B0"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 xml:space="preserve">4) Listed best performing subsidiaries and evolved into a group structure, consisting of both listed and unlisted subsidiaries </w:t>
            </w:r>
          </w:p>
        </w:tc>
      </w:tr>
      <w:tr w:rsidR="00C0658F" w:rsidRPr="00827BEA" w14:paraId="193B7431" w14:textId="77777777" w:rsidTr="003805CD">
        <w:trPr>
          <w:trHeight w:val="323"/>
        </w:trPr>
        <w:tc>
          <w:tcPr>
            <w:tcW w:w="918" w:type="dxa"/>
            <w:vMerge w:val="restart"/>
            <w:tcBorders>
              <w:top w:val="nil"/>
              <w:left w:val="single" w:sz="4" w:space="0" w:color="auto"/>
              <w:bottom w:val="single" w:sz="4" w:space="0" w:color="000000"/>
              <w:right w:val="single" w:sz="4" w:space="0" w:color="auto"/>
            </w:tcBorders>
            <w:shd w:val="clear" w:color="auto" w:fill="auto"/>
            <w:vAlign w:val="center"/>
            <w:hideMark/>
          </w:tcPr>
          <w:p w14:paraId="258EF458" w14:textId="77777777" w:rsidR="00C0658F" w:rsidRPr="00827BEA" w:rsidRDefault="00C0658F" w:rsidP="00C0658F">
            <w:pPr>
              <w:pStyle w:val="ExhibitText"/>
              <w:jc w:val="center"/>
              <w:rPr>
                <w:spacing w:val="-4"/>
                <w:sz w:val="18"/>
                <w:szCs w:val="18"/>
                <w:lang w:val="en-GB" w:eastAsia="zh-CN"/>
              </w:rPr>
            </w:pPr>
            <w:r w:rsidRPr="00827BEA">
              <w:rPr>
                <w:spacing w:val="-4"/>
                <w:sz w:val="18"/>
                <w:szCs w:val="18"/>
                <w:lang w:val="en-GB" w:eastAsia="zh-CN"/>
              </w:rPr>
              <w:t>2003 to 2012</w:t>
            </w:r>
          </w:p>
        </w:tc>
        <w:tc>
          <w:tcPr>
            <w:tcW w:w="1851" w:type="dxa"/>
            <w:vMerge w:val="restart"/>
            <w:tcBorders>
              <w:top w:val="nil"/>
              <w:left w:val="single" w:sz="4" w:space="0" w:color="auto"/>
              <w:bottom w:val="single" w:sz="4" w:space="0" w:color="000000"/>
              <w:right w:val="single" w:sz="4" w:space="0" w:color="auto"/>
            </w:tcBorders>
            <w:shd w:val="clear" w:color="auto" w:fill="auto"/>
            <w:vAlign w:val="center"/>
            <w:hideMark/>
          </w:tcPr>
          <w:p w14:paraId="78408EDC" w14:textId="3BEE5F56"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To increase the efficiency of SOEs and preserve the state-owned assets</w:t>
            </w:r>
          </w:p>
        </w:tc>
        <w:tc>
          <w:tcPr>
            <w:tcW w:w="1911" w:type="dxa"/>
            <w:vMerge w:val="restart"/>
            <w:tcBorders>
              <w:top w:val="nil"/>
              <w:left w:val="single" w:sz="4" w:space="0" w:color="auto"/>
              <w:bottom w:val="single" w:sz="4" w:space="0" w:color="000000"/>
              <w:right w:val="single" w:sz="4" w:space="0" w:color="auto"/>
            </w:tcBorders>
            <w:shd w:val="clear" w:color="auto" w:fill="auto"/>
            <w:vAlign w:val="center"/>
            <w:hideMark/>
          </w:tcPr>
          <w:p w14:paraId="5FB58548"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Keeping SOEs in strategically important industries and exiting from sectors where SOEs lacked competitiveness</w:t>
            </w:r>
          </w:p>
        </w:tc>
        <w:tc>
          <w:tcPr>
            <w:tcW w:w="4320" w:type="dxa"/>
            <w:tcBorders>
              <w:top w:val="nil"/>
              <w:left w:val="nil"/>
              <w:bottom w:val="single" w:sz="4" w:space="0" w:color="auto"/>
              <w:right w:val="single" w:sz="4" w:space="0" w:color="auto"/>
            </w:tcBorders>
            <w:shd w:val="clear" w:color="auto" w:fill="auto"/>
            <w:vAlign w:val="center"/>
            <w:hideMark/>
          </w:tcPr>
          <w:p w14:paraId="51C702A2" w14:textId="7BFE47B2"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 xml:space="preserve">1) Established SASAC to supervise all SOEs, with responsibilities </w:t>
            </w:r>
            <w:r w:rsidR="00225213">
              <w:rPr>
                <w:spacing w:val="-4"/>
                <w:sz w:val="18"/>
                <w:szCs w:val="18"/>
                <w:lang w:val="en-GB" w:eastAsia="zh-CN"/>
              </w:rPr>
              <w:t>including</w:t>
            </w:r>
            <w:r w:rsidRPr="00827BEA">
              <w:rPr>
                <w:spacing w:val="-4"/>
                <w:sz w:val="18"/>
                <w:szCs w:val="18"/>
                <w:lang w:val="en-GB" w:eastAsia="zh-CN"/>
              </w:rPr>
              <w:t xml:space="preserve"> assigning representatives to the executive board, advising development strategy, hiring the top managers</w:t>
            </w:r>
            <w:r w:rsidR="00225213">
              <w:rPr>
                <w:spacing w:val="-4"/>
                <w:sz w:val="18"/>
                <w:szCs w:val="18"/>
                <w:lang w:val="en-GB" w:eastAsia="zh-CN"/>
              </w:rPr>
              <w:t xml:space="preserve">, </w:t>
            </w:r>
            <w:r w:rsidRPr="00827BEA">
              <w:rPr>
                <w:spacing w:val="-4"/>
                <w:sz w:val="18"/>
                <w:szCs w:val="18"/>
                <w:lang w:val="en-GB" w:eastAsia="zh-CN"/>
              </w:rPr>
              <w:t>auditing major expenditures</w:t>
            </w:r>
            <w:r w:rsidR="00225213">
              <w:rPr>
                <w:spacing w:val="-4"/>
                <w:sz w:val="18"/>
                <w:szCs w:val="18"/>
                <w:lang w:val="en-GB" w:eastAsia="zh-CN"/>
              </w:rPr>
              <w:t>,</w:t>
            </w:r>
            <w:r w:rsidRPr="00827BEA">
              <w:rPr>
                <w:spacing w:val="-4"/>
                <w:sz w:val="18"/>
                <w:szCs w:val="18"/>
                <w:lang w:val="en-GB" w:eastAsia="zh-CN"/>
              </w:rPr>
              <w:t xml:space="preserve"> and approving significant investments </w:t>
            </w:r>
          </w:p>
        </w:tc>
        <w:tc>
          <w:tcPr>
            <w:tcW w:w="3870" w:type="dxa"/>
            <w:tcBorders>
              <w:top w:val="nil"/>
              <w:left w:val="nil"/>
              <w:bottom w:val="single" w:sz="4" w:space="0" w:color="auto"/>
              <w:right w:val="single" w:sz="4" w:space="0" w:color="auto"/>
            </w:tcBorders>
            <w:shd w:val="clear" w:color="auto" w:fill="auto"/>
            <w:vAlign w:val="center"/>
            <w:hideMark/>
          </w:tcPr>
          <w:p w14:paraId="5ABCD4C5" w14:textId="10147D68"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1) SOEs dominated in strategic industries</w:t>
            </w:r>
            <w:r w:rsidR="00827BEA">
              <w:rPr>
                <w:spacing w:val="-4"/>
                <w:sz w:val="18"/>
                <w:szCs w:val="18"/>
                <w:lang w:val="en-GB" w:eastAsia="zh-CN"/>
              </w:rPr>
              <w:t xml:space="preserve"> </w:t>
            </w:r>
          </w:p>
        </w:tc>
      </w:tr>
      <w:tr w:rsidR="00C0658F" w:rsidRPr="00827BEA" w14:paraId="1A973FE0" w14:textId="77777777" w:rsidTr="003805CD">
        <w:trPr>
          <w:trHeight w:val="494"/>
        </w:trPr>
        <w:tc>
          <w:tcPr>
            <w:tcW w:w="918" w:type="dxa"/>
            <w:vMerge/>
            <w:tcBorders>
              <w:top w:val="nil"/>
              <w:left w:val="single" w:sz="4" w:space="0" w:color="auto"/>
              <w:bottom w:val="single" w:sz="4" w:space="0" w:color="000000"/>
              <w:right w:val="single" w:sz="4" w:space="0" w:color="auto"/>
            </w:tcBorders>
            <w:vAlign w:val="center"/>
            <w:hideMark/>
          </w:tcPr>
          <w:p w14:paraId="18E5417D" w14:textId="77777777" w:rsidR="00C0658F" w:rsidRPr="00827BEA" w:rsidRDefault="00C0658F" w:rsidP="00C0658F">
            <w:pPr>
              <w:pStyle w:val="ExhibitText"/>
              <w:jc w:val="center"/>
              <w:rPr>
                <w:spacing w:val="-4"/>
                <w:sz w:val="18"/>
                <w:szCs w:val="18"/>
                <w:lang w:val="en-GB" w:eastAsia="zh-CN"/>
              </w:rPr>
            </w:pPr>
          </w:p>
        </w:tc>
        <w:tc>
          <w:tcPr>
            <w:tcW w:w="1851" w:type="dxa"/>
            <w:vMerge/>
            <w:tcBorders>
              <w:top w:val="nil"/>
              <w:left w:val="single" w:sz="4" w:space="0" w:color="auto"/>
              <w:bottom w:val="single" w:sz="4" w:space="0" w:color="000000"/>
              <w:right w:val="single" w:sz="4" w:space="0" w:color="auto"/>
            </w:tcBorders>
            <w:vAlign w:val="center"/>
            <w:hideMark/>
          </w:tcPr>
          <w:p w14:paraId="2E0E090A" w14:textId="77777777" w:rsidR="00C0658F" w:rsidRPr="00827BEA" w:rsidRDefault="00C0658F" w:rsidP="00C0658F">
            <w:pPr>
              <w:pStyle w:val="ExhibitText"/>
              <w:jc w:val="left"/>
              <w:rPr>
                <w:spacing w:val="-4"/>
                <w:sz w:val="18"/>
                <w:szCs w:val="18"/>
                <w:lang w:val="en-GB" w:eastAsia="zh-CN"/>
              </w:rPr>
            </w:pPr>
          </w:p>
        </w:tc>
        <w:tc>
          <w:tcPr>
            <w:tcW w:w="1911" w:type="dxa"/>
            <w:vMerge/>
            <w:tcBorders>
              <w:top w:val="nil"/>
              <w:left w:val="single" w:sz="4" w:space="0" w:color="auto"/>
              <w:bottom w:val="single" w:sz="4" w:space="0" w:color="000000"/>
              <w:right w:val="single" w:sz="4" w:space="0" w:color="auto"/>
            </w:tcBorders>
            <w:vAlign w:val="center"/>
            <w:hideMark/>
          </w:tcPr>
          <w:p w14:paraId="6B7D9A0C" w14:textId="77777777" w:rsidR="00C0658F" w:rsidRPr="00827BEA" w:rsidRDefault="00C0658F" w:rsidP="00C0658F">
            <w:pPr>
              <w:pStyle w:val="ExhibitText"/>
              <w:jc w:val="left"/>
              <w:rPr>
                <w:spacing w:val="-4"/>
                <w:sz w:val="18"/>
                <w:szCs w:val="18"/>
                <w:lang w:val="en-GB" w:eastAsia="zh-CN"/>
              </w:rPr>
            </w:pPr>
          </w:p>
        </w:tc>
        <w:tc>
          <w:tcPr>
            <w:tcW w:w="4320" w:type="dxa"/>
            <w:tcBorders>
              <w:top w:val="nil"/>
              <w:left w:val="nil"/>
              <w:bottom w:val="single" w:sz="4" w:space="0" w:color="auto"/>
              <w:right w:val="single" w:sz="4" w:space="0" w:color="auto"/>
            </w:tcBorders>
            <w:shd w:val="clear" w:color="auto" w:fill="auto"/>
            <w:vAlign w:val="center"/>
            <w:hideMark/>
          </w:tcPr>
          <w:p w14:paraId="4C8BC142"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2) Improved the corporate governance (e.g., introducing executive board to SOEs)</w:t>
            </w:r>
          </w:p>
        </w:tc>
        <w:tc>
          <w:tcPr>
            <w:tcW w:w="3870" w:type="dxa"/>
            <w:tcBorders>
              <w:top w:val="nil"/>
              <w:left w:val="nil"/>
              <w:bottom w:val="single" w:sz="4" w:space="0" w:color="auto"/>
              <w:right w:val="single" w:sz="4" w:space="0" w:color="auto"/>
            </w:tcBorders>
            <w:shd w:val="clear" w:color="auto" w:fill="auto"/>
            <w:vAlign w:val="center"/>
            <w:hideMark/>
          </w:tcPr>
          <w:p w14:paraId="2881E768" w14:textId="5FD2E334"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2) Asset and profitability significantly increased over this phase</w:t>
            </w:r>
          </w:p>
        </w:tc>
      </w:tr>
      <w:tr w:rsidR="00C0658F" w:rsidRPr="00827BEA" w14:paraId="62E71AA1" w14:textId="77777777" w:rsidTr="003805CD">
        <w:trPr>
          <w:trHeight w:val="476"/>
        </w:trPr>
        <w:tc>
          <w:tcPr>
            <w:tcW w:w="918" w:type="dxa"/>
            <w:vMerge/>
            <w:tcBorders>
              <w:top w:val="nil"/>
              <w:left w:val="single" w:sz="4" w:space="0" w:color="auto"/>
              <w:bottom w:val="single" w:sz="4" w:space="0" w:color="000000"/>
              <w:right w:val="single" w:sz="4" w:space="0" w:color="auto"/>
            </w:tcBorders>
            <w:vAlign w:val="center"/>
            <w:hideMark/>
          </w:tcPr>
          <w:p w14:paraId="377A259B" w14:textId="77777777" w:rsidR="00C0658F" w:rsidRPr="00827BEA" w:rsidRDefault="00C0658F" w:rsidP="00C0658F">
            <w:pPr>
              <w:pStyle w:val="ExhibitText"/>
              <w:jc w:val="center"/>
              <w:rPr>
                <w:spacing w:val="-4"/>
                <w:sz w:val="18"/>
                <w:szCs w:val="18"/>
                <w:lang w:val="en-GB" w:eastAsia="zh-CN"/>
              </w:rPr>
            </w:pPr>
          </w:p>
        </w:tc>
        <w:tc>
          <w:tcPr>
            <w:tcW w:w="1851" w:type="dxa"/>
            <w:vMerge/>
            <w:tcBorders>
              <w:top w:val="nil"/>
              <w:left w:val="single" w:sz="4" w:space="0" w:color="auto"/>
              <w:bottom w:val="single" w:sz="4" w:space="0" w:color="000000"/>
              <w:right w:val="single" w:sz="4" w:space="0" w:color="auto"/>
            </w:tcBorders>
            <w:vAlign w:val="center"/>
            <w:hideMark/>
          </w:tcPr>
          <w:p w14:paraId="64016BBF" w14:textId="77777777" w:rsidR="00C0658F" w:rsidRPr="00827BEA" w:rsidRDefault="00C0658F" w:rsidP="00C0658F">
            <w:pPr>
              <w:pStyle w:val="ExhibitText"/>
              <w:jc w:val="left"/>
              <w:rPr>
                <w:spacing w:val="-4"/>
                <w:sz w:val="18"/>
                <w:szCs w:val="18"/>
                <w:lang w:val="en-GB" w:eastAsia="zh-CN"/>
              </w:rPr>
            </w:pPr>
          </w:p>
        </w:tc>
        <w:tc>
          <w:tcPr>
            <w:tcW w:w="1911" w:type="dxa"/>
            <w:vMerge/>
            <w:tcBorders>
              <w:top w:val="nil"/>
              <w:left w:val="single" w:sz="4" w:space="0" w:color="auto"/>
              <w:bottom w:val="single" w:sz="4" w:space="0" w:color="000000"/>
              <w:right w:val="single" w:sz="4" w:space="0" w:color="auto"/>
            </w:tcBorders>
            <w:vAlign w:val="center"/>
            <w:hideMark/>
          </w:tcPr>
          <w:p w14:paraId="258F6052" w14:textId="77777777" w:rsidR="00C0658F" w:rsidRPr="00827BEA" w:rsidRDefault="00C0658F" w:rsidP="00C0658F">
            <w:pPr>
              <w:pStyle w:val="ExhibitText"/>
              <w:jc w:val="left"/>
              <w:rPr>
                <w:spacing w:val="-4"/>
                <w:sz w:val="18"/>
                <w:szCs w:val="18"/>
                <w:lang w:val="en-GB" w:eastAsia="zh-CN"/>
              </w:rPr>
            </w:pPr>
          </w:p>
        </w:tc>
        <w:tc>
          <w:tcPr>
            <w:tcW w:w="4320" w:type="dxa"/>
            <w:tcBorders>
              <w:top w:val="nil"/>
              <w:left w:val="nil"/>
              <w:bottom w:val="single" w:sz="4" w:space="0" w:color="auto"/>
              <w:right w:val="single" w:sz="4" w:space="0" w:color="auto"/>
            </w:tcBorders>
            <w:shd w:val="clear" w:color="auto" w:fill="auto"/>
            <w:vAlign w:val="center"/>
            <w:hideMark/>
          </w:tcPr>
          <w:p w14:paraId="086EECC7"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3) Identified seven strategically important industries and guided the concentration of SOEs in these industries</w:t>
            </w:r>
          </w:p>
        </w:tc>
        <w:tc>
          <w:tcPr>
            <w:tcW w:w="3870" w:type="dxa"/>
            <w:tcBorders>
              <w:top w:val="nil"/>
              <w:left w:val="nil"/>
              <w:bottom w:val="single" w:sz="4" w:space="0" w:color="auto"/>
              <w:right w:val="single" w:sz="4" w:space="0" w:color="auto"/>
            </w:tcBorders>
            <w:shd w:val="clear" w:color="auto" w:fill="auto"/>
            <w:vAlign w:val="center"/>
            <w:hideMark/>
          </w:tcPr>
          <w:p w14:paraId="227E509B"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3) SOEs exited from non-strategic sectors (e.g., real estate)</w:t>
            </w:r>
          </w:p>
        </w:tc>
      </w:tr>
      <w:tr w:rsidR="00C0658F" w:rsidRPr="00827BEA" w14:paraId="22371C58" w14:textId="77777777" w:rsidTr="003805CD">
        <w:trPr>
          <w:trHeight w:val="647"/>
        </w:trPr>
        <w:tc>
          <w:tcPr>
            <w:tcW w:w="918" w:type="dxa"/>
            <w:vMerge w:val="restart"/>
            <w:tcBorders>
              <w:top w:val="nil"/>
              <w:left w:val="single" w:sz="4" w:space="0" w:color="auto"/>
              <w:bottom w:val="single" w:sz="4" w:space="0" w:color="000000"/>
              <w:right w:val="single" w:sz="4" w:space="0" w:color="auto"/>
            </w:tcBorders>
            <w:shd w:val="clear" w:color="auto" w:fill="auto"/>
            <w:vAlign w:val="center"/>
            <w:hideMark/>
          </w:tcPr>
          <w:p w14:paraId="56F587E6" w14:textId="77777777" w:rsidR="00C0658F" w:rsidRPr="00827BEA" w:rsidRDefault="00C0658F" w:rsidP="00C0658F">
            <w:pPr>
              <w:pStyle w:val="ExhibitText"/>
              <w:jc w:val="center"/>
              <w:rPr>
                <w:spacing w:val="-4"/>
                <w:sz w:val="18"/>
                <w:szCs w:val="18"/>
                <w:lang w:val="en-GB" w:eastAsia="zh-CN"/>
              </w:rPr>
            </w:pPr>
            <w:r w:rsidRPr="00827BEA">
              <w:rPr>
                <w:spacing w:val="-4"/>
                <w:sz w:val="18"/>
                <w:szCs w:val="18"/>
                <w:lang w:val="en-GB" w:eastAsia="zh-CN"/>
              </w:rPr>
              <w:t>2013 to 2017</w:t>
            </w:r>
          </w:p>
        </w:tc>
        <w:tc>
          <w:tcPr>
            <w:tcW w:w="1851" w:type="dxa"/>
            <w:vMerge w:val="restart"/>
            <w:tcBorders>
              <w:top w:val="nil"/>
              <w:left w:val="single" w:sz="4" w:space="0" w:color="auto"/>
              <w:bottom w:val="single" w:sz="4" w:space="0" w:color="000000"/>
              <w:right w:val="single" w:sz="4" w:space="0" w:color="auto"/>
            </w:tcBorders>
            <w:shd w:val="clear" w:color="auto" w:fill="auto"/>
            <w:vAlign w:val="center"/>
            <w:hideMark/>
          </w:tcPr>
          <w:p w14:paraId="246B7499"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 xml:space="preserve">To improve the economic performance and support the nation's economic growth strategy </w:t>
            </w:r>
          </w:p>
        </w:tc>
        <w:tc>
          <w:tcPr>
            <w:tcW w:w="1911" w:type="dxa"/>
            <w:vMerge w:val="restart"/>
            <w:tcBorders>
              <w:top w:val="nil"/>
              <w:left w:val="single" w:sz="4" w:space="0" w:color="auto"/>
              <w:bottom w:val="single" w:sz="4" w:space="0" w:color="000000"/>
              <w:right w:val="single" w:sz="4" w:space="0" w:color="auto"/>
            </w:tcBorders>
            <w:shd w:val="clear" w:color="auto" w:fill="auto"/>
            <w:vAlign w:val="center"/>
            <w:hideMark/>
          </w:tcPr>
          <w:p w14:paraId="4964D697"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 xml:space="preserve">Mixed ownership reform </w:t>
            </w:r>
          </w:p>
        </w:tc>
        <w:tc>
          <w:tcPr>
            <w:tcW w:w="4320" w:type="dxa"/>
            <w:tcBorders>
              <w:top w:val="nil"/>
              <w:left w:val="nil"/>
              <w:bottom w:val="single" w:sz="4" w:space="0" w:color="auto"/>
              <w:right w:val="single" w:sz="4" w:space="0" w:color="auto"/>
            </w:tcBorders>
            <w:shd w:val="clear" w:color="auto" w:fill="auto"/>
            <w:vAlign w:val="center"/>
            <w:hideMark/>
          </w:tcPr>
          <w:p w14:paraId="3C8943DC"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1) Further classified the types of SOEs to guide their development</w:t>
            </w:r>
          </w:p>
        </w:tc>
        <w:tc>
          <w:tcPr>
            <w:tcW w:w="3870" w:type="dxa"/>
            <w:tcBorders>
              <w:top w:val="nil"/>
              <w:left w:val="nil"/>
              <w:bottom w:val="single" w:sz="4" w:space="0" w:color="auto"/>
              <w:right w:val="single" w:sz="4" w:space="0" w:color="auto"/>
            </w:tcBorders>
            <w:shd w:val="clear" w:color="auto" w:fill="auto"/>
            <w:vAlign w:val="center"/>
            <w:hideMark/>
          </w:tcPr>
          <w:p w14:paraId="78FD2310" w14:textId="02461D63"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 xml:space="preserve">1) SASAC classified SOEs into three types: </w:t>
            </w:r>
            <w:r w:rsidR="00002B1E">
              <w:rPr>
                <w:spacing w:val="-4"/>
                <w:sz w:val="18"/>
                <w:szCs w:val="18"/>
                <w:lang w:val="en-GB" w:eastAsia="zh-CN"/>
              </w:rPr>
              <w:t>s</w:t>
            </w:r>
            <w:r w:rsidRPr="00827BEA">
              <w:rPr>
                <w:spacing w:val="-4"/>
                <w:sz w:val="18"/>
                <w:szCs w:val="18"/>
                <w:lang w:val="en-GB" w:eastAsia="zh-CN"/>
              </w:rPr>
              <w:t xml:space="preserve">ecurity and strategic, competitive, and public goods </w:t>
            </w:r>
          </w:p>
        </w:tc>
      </w:tr>
      <w:tr w:rsidR="00C0658F" w:rsidRPr="00827BEA" w14:paraId="4AEDE20F" w14:textId="77777777" w:rsidTr="003805CD">
        <w:trPr>
          <w:trHeight w:val="827"/>
        </w:trPr>
        <w:tc>
          <w:tcPr>
            <w:tcW w:w="918" w:type="dxa"/>
            <w:vMerge/>
            <w:tcBorders>
              <w:top w:val="nil"/>
              <w:left w:val="single" w:sz="4" w:space="0" w:color="auto"/>
              <w:bottom w:val="single" w:sz="4" w:space="0" w:color="000000"/>
              <w:right w:val="single" w:sz="4" w:space="0" w:color="auto"/>
            </w:tcBorders>
            <w:vAlign w:val="center"/>
            <w:hideMark/>
          </w:tcPr>
          <w:p w14:paraId="37471571" w14:textId="77777777" w:rsidR="00C0658F" w:rsidRPr="00827BEA" w:rsidRDefault="00C0658F" w:rsidP="00C0658F">
            <w:pPr>
              <w:pStyle w:val="ExhibitText"/>
              <w:rPr>
                <w:spacing w:val="-4"/>
                <w:sz w:val="18"/>
                <w:szCs w:val="18"/>
                <w:lang w:val="en-GB" w:eastAsia="zh-CN"/>
              </w:rPr>
            </w:pPr>
          </w:p>
        </w:tc>
        <w:tc>
          <w:tcPr>
            <w:tcW w:w="1851" w:type="dxa"/>
            <w:vMerge/>
            <w:tcBorders>
              <w:top w:val="nil"/>
              <w:left w:val="single" w:sz="4" w:space="0" w:color="auto"/>
              <w:bottom w:val="single" w:sz="4" w:space="0" w:color="000000"/>
              <w:right w:val="single" w:sz="4" w:space="0" w:color="auto"/>
            </w:tcBorders>
            <w:vAlign w:val="center"/>
            <w:hideMark/>
          </w:tcPr>
          <w:p w14:paraId="3D0E4FBE" w14:textId="77777777" w:rsidR="00C0658F" w:rsidRPr="00827BEA" w:rsidRDefault="00C0658F" w:rsidP="00C0658F">
            <w:pPr>
              <w:pStyle w:val="ExhibitText"/>
              <w:jc w:val="left"/>
              <w:rPr>
                <w:spacing w:val="-4"/>
                <w:sz w:val="18"/>
                <w:szCs w:val="18"/>
                <w:lang w:val="en-GB" w:eastAsia="zh-CN"/>
              </w:rPr>
            </w:pPr>
          </w:p>
        </w:tc>
        <w:tc>
          <w:tcPr>
            <w:tcW w:w="1911" w:type="dxa"/>
            <w:vMerge/>
            <w:tcBorders>
              <w:top w:val="nil"/>
              <w:left w:val="single" w:sz="4" w:space="0" w:color="auto"/>
              <w:bottom w:val="single" w:sz="4" w:space="0" w:color="000000"/>
              <w:right w:val="single" w:sz="4" w:space="0" w:color="auto"/>
            </w:tcBorders>
            <w:vAlign w:val="center"/>
            <w:hideMark/>
          </w:tcPr>
          <w:p w14:paraId="6915EEA2" w14:textId="77777777" w:rsidR="00C0658F" w:rsidRPr="00827BEA" w:rsidRDefault="00C0658F" w:rsidP="00C0658F">
            <w:pPr>
              <w:pStyle w:val="ExhibitText"/>
              <w:jc w:val="left"/>
              <w:rPr>
                <w:spacing w:val="-4"/>
                <w:sz w:val="18"/>
                <w:szCs w:val="18"/>
                <w:lang w:val="en-GB" w:eastAsia="zh-CN"/>
              </w:rPr>
            </w:pPr>
          </w:p>
        </w:tc>
        <w:tc>
          <w:tcPr>
            <w:tcW w:w="4320" w:type="dxa"/>
            <w:tcBorders>
              <w:top w:val="nil"/>
              <w:left w:val="nil"/>
              <w:bottom w:val="single" w:sz="4" w:space="0" w:color="auto"/>
              <w:right w:val="single" w:sz="4" w:space="0" w:color="auto"/>
            </w:tcBorders>
            <w:shd w:val="clear" w:color="auto" w:fill="auto"/>
            <w:vAlign w:val="center"/>
            <w:hideMark/>
          </w:tcPr>
          <w:p w14:paraId="0970A90D"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2) Pushed for merging central SOEs in the same industry to establish bigger and stronger enterprises</w:t>
            </w:r>
          </w:p>
        </w:tc>
        <w:tc>
          <w:tcPr>
            <w:tcW w:w="3870" w:type="dxa"/>
            <w:tcBorders>
              <w:top w:val="nil"/>
              <w:left w:val="nil"/>
              <w:bottom w:val="single" w:sz="4" w:space="0" w:color="auto"/>
              <w:right w:val="single" w:sz="4" w:space="0" w:color="auto"/>
            </w:tcBorders>
            <w:shd w:val="clear" w:color="auto" w:fill="auto"/>
            <w:vAlign w:val="center"/>
            <w:hideMark/>
          </w:tcPr>
          <w:p w14:paraId="4212164A" w14:textId="22DE06C0"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 xml:space="preserve">2) Conducted merger of large SOEs including </w:t>
            </w:r>
            <w:r w:rsidR="00FF4ED0">
              <w:rPr>
                <w:spacing w:val="-4"/>
                <w:sz w:val="18"/>
                <w:szCs w:val="18"/>
                <w:lang w:val="en-GB" w:eastAsia="zh-CN"/>
              </w:rPr>
              <w:t xml:space="preserve">the merger of </w:t>
            </w:r>
            <w:r w:rsidRPr="00827BEA">
              <w:rPr>
                <w:spacing w:val="-4"/>
                <w:sz w:val="18"/>
                <w:szCs w:val="18"/>
                <w:lang w:val="en-GB" w:eastAsia="zh-CN"/>
              </w:rPr>
              <w:t>Bao</w:t>
            </w:r>
            <w:r w:rsidR="00002B1E">
              <w:rPr>
                <w:spacing w:val="-4"/>
                <w:sz w:val="18"/>
                <w:szCs w:val="18"/>
                <w:lang w:val="en-GB" w:eastAsia="zh-CN"/>
              </w:rPr>
              <w:t xml:space="preserve">steel </w:t>
            </w:r>
            <w:r w:rsidRPr="00827BEA">
              <w:rPr>
                <w:spacing w:val="-4"/>
                <w:sz w:val="18"/>
                <w:szCs w:val="18"/>
                <w:lang w:val="en-GB" w:eastAsia="zh-CN"/>
              </w:rPr>
              <w:t xml:space="preserve">and Wuhan Steel, </w:t>
            </w:r>
            <w:r w:rsidR="00FF4ED0">
              <w:rPr>
                <w:spacing w:val="-4"/>
                <w:sz w:val="18"/>
                <w:szCs w:val="18"/>
                <w:lang w:val="en-GB" w:eastAsia="zh-CN"/>
              </w:rPr>
              <w:t xml:space="preserve">and that of </w:t>
            </w:r>
            <w:r w:rsidR="00FF4ED0">
              <w:rPr>
                <w:rFonts w:eastAsiaTheme="minorEastAsia" w:hint="eastAsia"/>
                <w:spacing w:val="-4"/>
                <w:sz w:val="18"/>
                <w:szCs w:val="18"/>
                <w:lang w:val="en-GB" w:eastAsia="zh-CN"/>
              </w:rPr>
              <w:t>China</w:t>
            </w:r>
            <w:r w:rsidR="00FF4ED0">
              <w:rPr>
                <w:rFonts w:eastAsiaTheme="minorEastAsia"/>
                <w:spacing w:val="-4"/>
                <w:sz w:val="18"/>
                <w:szCs w:val="18"/>
                <w:lang w:val="en-GB" w:eastAsia="zh-CN"/>
              </w:rPr>
              <w:t xml:space="preserve"> CNR and CSR corporations</w:t>
            </w:r>
            <w:r w:rsidRPr="00827BEA">
              <w:rPr>
                <w:spacing w:val="-4"/>
                <w:sz w:val="18"/>
                <w:szCs w:val="18"/>
                <w:lang w:val="en-GB" w:eastAsia="zh-CN"/>
              </w:rPr>
              <w:t>. The number of central SOEs were streamlined to 98</w:t>
            </w:r>
          </w:p>
        </w:tc>
      </w:tr>
      <w:tr w:rsidR="00C0658F" w:rsidRPr="00827BEA" w14:paraId="00758DF4" w14:textId="77777777" w:rsidTr="003805CD">
        <w:trPr>
          <w:trHeight w:val="998"/>
        </w:trPr>
        <w:tc>
          <w:tcPr>
            <w:tcW w:w="918" w:type="dxa"/>
            <w:vMerge/>
            <w:tcBorders>
              <w:top w:val="nil"/>
              <w:left w:val="single" w:sz="4" w:space="0" w:color="auto"/>
              <w:bottom w:val="single" w:sz="4" w:space="0" w:color="000000"/>
              <w:right w:val="single" w:sz="4" w:space="0" w:color="auto"/>
            </w:tcBorders>
            <w:vAlign w:val="center"/>
            <w:hideMark/>
          </w:tcPr>
          <w:p w14:paraId="230636BD" w14:textId="77777777" w:rsidR="00C0658F" w:rsidRPr="00827BEA" w:rsidRDefault="00C0658F" w:rsidP="00C0658F">
            <w:pPr>
              <w:pStyle w:val="ExhibitText"/>
              <w:rPr>
                <w:spacing w:val="-4"/>
                <w:sz w:val="18"/>
                <w:szCs w:val="18"/>
                <w:lang w:val="en-GB" w:eastAsia="zh-CN"/>
              </w:rPr>
            </w:pPr>
          </w:p>
        </w:tc>
        <w:tc>
          <w:tcPr>
            <w:tcW w:w="1851" w:type="dxa"/>
            <w:vMerge/>
            <w:tcBorders>
              <w:top w:val="nil"/>
              <w:left w:val="single" w:sz="4" w:space="0" w:color="auto"/>
              <w:bottom w:val="single" w:sz="4" w:space="0" w:color="000000"/>
              <w:right w:val="single" w:sz="4" w:space="0" w:color="auto"/>
            </w:tcBorders>
            <w:vAlign w:val="center"/>
            <w:hideMark/>
          </w:tcPr>
          <w:p w14:paraId="406EA99B" w14:textId="77777777" w:rsidR="00C0658F" w:rsidRPr="00827BEA" w:rsidRDefault="00C0658F" w:rsidP="00C0658F">
            <w:pPr>
              <w:pStyle w:val="ExhibitText"/>
              <w:jc w:val="left"/>
              <w:rPr>
                <w:spacing w:val="-4"/>
                <w:sz w:val="18"/>
                <w:szCs w:val="18"/>
                <w:lang w:val="en-GB" w:eastAsia="zh-CN"/>
              </w:rPr>
            </w:pPr>
          </w:p>
        </w:tc>
        <w:tc>
          <w:tcPr>
            <w:tcW w:w="1911" w:type="dxa"/>
            <w:vMerge/>
            <w:tcBorders>
              <w:top w:val="nil"/>
              <w:left w:val="single" w:sz="4" w:space="0" w:color="auto"/>
              <w:bottom w:val="single" w:sz="4" w:space="0" w:color="000000"/>
              <w:right w:val="single" w:sz="4" w:space="0" w:color="auto"/>
            </w:tcBorders>
            <w:vAlign w:val="center"/>
            <w:hideMark/>
          </w:tcPr>
          <w:p w14:paraId="706D7AF1" w14:textId="77777777" w:rsidR="00C0658F" w:rsidRPr="00827BEA" w:rsidRDefault="00C0658F" w:rsidP="00C0658F">
            <w:pPr>
              <w:pStyle w:val="ExhibitText"/>
              <w:jc w:val="left"/>
              <w:rPr>
                <w:spacing w:val="-4"/>
                <w:sz w:val="18"/>
                <w:szCs w:val="18"/>
                <w:lang w:val="en-GB" w:eastAsia="zh-CN"/>
              </w:rPr>
            </w:pPr>
          </w:p>
        </w:tc>
        <w:tc>
          <w:tcPr>
            <w:tcW w:w="4320" w:type="dxa"/>
            <w:tcBorders>
              <w:top w:val="nil"/>
              <w:left w:val="nil"/>
              <w:bottom w:val="single" w:sz="4" w:space="0" w:color="auto"/>
              <w:right w:val="single" w:sz="4" w:space="0" w:color="auto"/>
            </w:tcBorders>
            <w:shd w:val="clear" w:color="auto" w:fill="auto"/>
            <w:vAlign w:val="center"/>
            <w:hideMark/>
          </w:tcPr>
          <w:p w14:paraId="33127560" w14:textId="17BE1FFB" w:rsidR="00C0658F" w:rsidRPr="00827BEA" w:rsidRDefault="00C0658F" w:rsidP="003437F0">
            <w:pPr>
              <w:pStyle w:val="ExhibitText"/>
              <w:jc w:val="left"/>
              <w:rPr>
                <w:spacing w:val="-4"/>
                <w:sz w:val="18"/>
                <w:szCs w:val="18"/>
                <w:lang w:val="en-GB" w:eastAsia="zh-CN"/>
              </w:rPr>
            </w:pPr>
            <w:r w:rsidRPr="00827BEA">
              <w:rPr>
                <w:spacing w:val="-4"/>
                <w:sz w:val="18"/>
                <w:szCs w:val="18"/>
                <w:lang w:val="en-GB" w:eastAsia="zh-CN"/>
              </w:rPr>
              <w:t xml:space="preserve">3) Advocated the mixed-ownership structure for both central and local SOEs. To ensure the state’s control, SASAC set limits that </w:t>
            </w:r>
            <w:r w:rsidR="003B5C90">
              <w:rPr>
                <w:spacing w:val="-4"/>
                <w:sz w:val="18"/>
                <w:szCs w:val="18"/>
                <w:lang w:val="en-GB" w:eastAsia="zh-CN"/>
              </w:rPr>
              <w:t xml:space="preserve">the </w:t>
            </w:r>
            <w:r w:rsidRPr="00827BEA">
              <w:rPr>
                <w:spacing w:val="-4"/>
                <w:sz w:val="18"/>
                <w:szCs w:val="18"/>
                <w:lang w:val="en-GB" w:eastAsia="zh-CN"/>
              </w:rPr>
              <w:t>state-owned share needed to exceed 50</w:t>
            </w:r>
            <w:r w:rsidR="003437F0" w:rsidRPr="00827BEA">
              <w:rPr>
                <w:spacing w:val="-4"/>
                <w:sz w:val="18"/>
                <w:szCs w:val="18"/>
                <w:lang w:val="en-GB" w:eastAsia="zh-CN"/>
              </w:rPr>
              <w:t xml:space="preserve"> per cent</w:t>
            </w:r>
            <w:r w:rsidRPr="00827BEA">
              <w:rPr>
                <w:spacing w:val="-4"/>
                <w:sz w:val="18"/>
                <w:szCs w:val="18"/>
                <w:lang w:val="en-GB" w:eastAsia="zh-CN"/>
              </w:rPr>
              <w:t xml:space="preserve"> in non-listed SOEs and 30</w:t>
            </w:r>
            <w:r w:rsidR="003437F0" w:rsidRPr="00827BEA">
              <w:rPr>
                <w:spacing w:val="-4"/>
                <w:sz w:val="18"/>
                <w:szCs w:val="18"/>
                <w:lang w:val="en-GB" w:eastAsia="zh-CN"/>
              </w:rPr>
              <w:t xml:space="preserve"> per cent</w:t>
            </w:r>
            <w:r w:rsidRPr="00827BEA">
              <w:rPr>
                <w:spacing w:val="-4"/>
                <w:sz w:val="18"/>
                <w:szCs w:val="18"/>
                <w:lang w:val="en-GB" w:eastAsia="zh-CN"/>
              </w:rPr>
              <w:t xml:space="preserve"> in listed SOEs </w:t>
            </w:r>
          </w:p>
        </w:tc>
        <w:tc>
          <w:tcPr>
            <w:tcW w:w="3870" w:type="dxa"/>
            <w:tcBorders>
              <w:top w:val="nil"/>
              <w:left w:val="nil"/>
              <w:bottom w:val="single" w:sz="4" w:space="0" w:color="auto"/>
              <w:right w:val="single" w:sz="4" w:space="0" w:color="auto"/>
            </w:tcBorders>
            <w:shd w:val="clear" w:color="auto" w:fill="auto"/>
            <w:vAlign w:val="center"/>
            <w:hideMark/>
          </w:tcPr>
          <w:p w14:paraId="662DA73C" w14:textId="77777777" w:rsidR="00C0658F" w:rsidRPr="00827BEA" w:rsidRDefault="00C0658F" w:rsidP="00C0658F">
            <w:pPr>
              <w:pStyle w:val="ExhibitText"/>
              <w:jc w:val="left"/>
              <w:rPr>
                <w:spacing w:val="-4"/>
                <w:sz w:val="18"/>
                <w:szCs w:val="18"/>
                <w:lang w:val="en-GB" w:eastAsia="zh-CN"/>
              </w:rPr>
            </w:pPr>
            <w:r w:rsidRPr="00827BEA">
              <w:rPr>
                <w:spacing w:val="-4"/>
                <w:sz w:val="18"/>
                <w:szCs w:val="18"/>
                <w:lang w:val="en-GB" w:eastAsia="zh-CN"/>
              </w:rPr>
              <w:t xml:space="preserve">3) The Reform and Development Commission of China planned to “more or less complete” the mixed-ownership structure for all SOEs by 2020 </w:t>
            </w:r>
          </w:p>
        </w:tc>
      </w:tr>
    </w:tbl>
    <w:p w14:paraId="727B54C0" w14:textId="77777777" w:rsidR="003805CD" w:rsidRPr="00827BEA" w:rsidRDefault="003805CD" w:rsidP="00C0658F">
      <w:pPr>
        <w:pStyle w:val="Footnote"/>
        <w:rPr>
          <w:rFonts w:eastAsia="Yu Mincho"/>
          <w:lang w:val="en-GB"/>
        </w:rPr>
      </w:pPr>
    </w:p>
    <w:p w14:paraId="0908125C" w14:textId="19C0FB18" w:rsidR="00F02D7D" w:rsidRPr="0009352F" w:rsidRDefault="00F02D7D" w:rsidP="00C0658F">
      <w:pPr>
        <w:pStyle w:val="Footnote"/>
        <w:rPr>
          <w:lang w:val="en-GB"/>
        </w:rPr>
      </w:pPr>
      <w:r>
        <w:rPr>
          <w:lang w:val="en-GB"/>
        </w:rPr>
        <w:t>Note: SOEs = state-owned enterprises</w:t>
      </w:r>
      <w:r w:rsidR="00B6220C">
        <w:rPr>
          <w:lang w:val="en-GB"/>
        </w:rPr>
        <w:t xml:space="preserve">; SASAC = </w:t>
      </w:r>
      <w:r w:rsidR="00B6220C" w:rsidRPr="00B6220C">
        <w:rPr>
          <w:lang w:val="en-GB"/>
        </w:rPr>
        <w:t>State-Owned Assets Supervision and Administration Commission</w:t>
      </w:r>
      <w:r w:rsidR="00B6220C">
        <w:rPr>
          <w:lang w:val="en-GB"/>
        </w:rPr>
        <w:t>.</w:t>
      </w:r>
    </w:p>
    <w:p w14:paraId="2E49CE32" w14:textId="72A1CA35" w:rsidR="00274EB3" w:rsidRPr="00827BEA" w:rsidRDefault="00C0658F" w:rsidP="00C0658F">
      <w:pPr>
        <w:pStyle w:val="Footnote"/>
        <w:rPr>
          <w:rFonts w:ascii="Times New Roman" w:hAnsi="Times New Roman" w:cs="Times New Roman"/>
          <w:lang w:val="en-GB"/>
        </w:rPr>
      </w:pPr>
      <w:r w:rsidRPr="00827BEA">
        <w:rPr>
          <w:rFonts w:eastAsia="Yu Mincho"/>
          <w:lang w:val="en-GB"/>
        </w:rPr>
        <w:t xml:space="preserve">Source: </w:t>
      </w:r>
      <w:r w:rsidR="00F7360A" w:rsidRPr="00827BEA">
        <w:rPr>
          <w:rFonts w:eastAsia="Yu Mincho"/>
          <w:lang w:val="en-GB"/>
        </w:rPr>
        <w:t>Dong T. Zou and Ri H. Ouyang</w:t>
      </w:r>
      <w:r w:rsidR="000B21CA">
        <w:rPr>
          <w:rFonts w:eastAsia="Yu Mincho"/>
          <w:lang w:val="en-GB"/>
        </w:rPr>
        <w:t>, eds.</w:t>
      </w:r>
      <w:r w:rsidR="00F7360A" w:rsidRPr="00827BEA">
        <w:rPr>
          <w:rFonts w:eastAsia="Yu Mincho"/>
          <w:lang w:val="en-GB"/>
        </w:rPr>
        <w:t xml:space="preserve">, Blue Book of Development </w:t>
      </w:r>
      <w:r w:rsidR="000B21CA">
        <w:rPr>
          <w:rFonts w:eastAsia="Yu Mincho"/>
          <w:lang w:val="en-GB"/>
        </w:rPr>
        <w:t xml:space="preserve">and </w:t>
      </w:r>
      <w:r w:rsidR="00F7360A" w:rsidRPr="00827BEA">
        <w:rPr>
          <w:rFonts w:eastAsia="Yu Mincho"/>
          <w:lang w:val="en-GB"/>
        </w:rPr>
        <w:t>Reform</w:t>
      </w:r>
      <w:r w:rsidR="000B21CA">
        <w:rPr>
          <w:rFonts w:eastAsia="Yu Mincho"/>
          <w:lang w:val="en-GB"/>
        </w:rPr>
        <w:t xml:space="preserve">: </w:t>
      </w:r>
      <w:r w:rsidR="00F7360A" w:rsidRPr="00827BEA">
        <w:rPr>
          <w:rFonts w:eastAsia="Yu Mincho"/>
          <w:lang w:val="en-GB"/>
        </w:rPr>
        <w:t xml:space="preserve">China 30 </w:t>
      </w:r>
      <w:r w:rsidR="000B21CA">
        <w:rPr>
          <w:rFonts w:eastAsia="Yu Mincho"/>
          <w:lang w:val="en-GB"/>
        </w:rPr>
        <w:t>Years</w:t>
      </w:r>
      <w:r w:rsidR="000B21CA" w:rsidRPr="00827BEA">
        <w:rPr>
          <w:rFonts w:eastAsia="Yu Mincho"/>
          <w:lang w:val="en-GB"/>
        </w:rPr>
        <w:t xml:space="preserve"> </w:t>
      </w:r>
      <w:r w:rsidR="00F7360A" w:rsidRPr="00827BEA">
        <w:rPr>
          <w:rFonts w:eastAsia="Yu Mincho"/>
          <w:lang w:val="en-GB"/>
        </w:rPr>
        <w:t>of Reform and Opening-Up (1978-2008)</w:t>
      </w:r>
      <w:r w:rsidR="000B21CA">
        <w:rPr>
          <w:rFonts w:eastAsia="Yu Mincho"/>
          <w:lang w:val="en-GB"/>
        </w:rPr>
        <w:t xml:space="preserve"> (Beijing: Social Sciences Academic Press,</w:t>
      </w:r>
      <w:r w:rsidR="00F7360A" w:rsidRPr="00827BEA">
        <w:rPr>
          <w:rFonts w:eastAsia="Yu Mincho"/>
          <w:lang w:val="en-GB"/>
        </w:rPr>
        <w:t xml:space="preserve"> 2008</w:t>
      </w:r>
      <w:r w:rsidR="000B21CA">
        <w:rPr>
          <w:rFonts w:eastAsia="Yu Mincho"/>
          <w:lang w:val="en-GB"/>
        </w:rPr>
        <w:t>)</w:t>
      </w:r>
      <w:r w:rsidR="00F7360A" w:rsidRPr="00827BEA">
        <w:rPr>
          <w:rFonts w:eastAsia="Yu Mincho"/>
          <w:lang w:val="en-GB"/>
        </w:rPr>
        <w:t xml:space="preserve">; Xin Li and Kjeld Erik Brødsgaard, “SOE Reform in China: Past, Present and Future,” </w:t>
      </w:r>
      <w:r w:rsidR="00F7360A" w:rsidRPr="00827BEA">
        <w:rPr>
          <w:rFonts w:eastAsia="Yu Mincho"/>
          <w:i/>
          <w:lang w:val="en-GB"/>
        </w:rPr>
        <w:t xml:space="preserve">Copenhagen Journal of Asian Studies, </w:t>
      </w:r>
      <w:r w:rsidR="00F7360A" w:rsidRPr="00827BEA">
        <w:rPr>
          <w:rFonts w:eastAsia="Yu Mincho"/>
          <w:lang w:val="en-GB"/>
        </w:rPr>
        <w:t xml:space="preserve">31, no.2 (2013): 54-79; </w:t>
      </w:r>
      <w:r w:rsidRPr="00827BEA">
        <w:rPr>
          <w:rFonts w:eastAsia="Yu Mincho"/>
          <w:color w:val="000000"/>
          <w:lang w:val="en-GB" w:eastAsia="zh-CN"/>
        </w:rPr>
        <w:t>SASAC.</w:t>
      </w:r>
    </w:p>
    <w:sectPr w:rsidR="00274EB3" w:rsidRPr="00827BEA" w:rsidSect="00274EB3">
      <w:headerReference w:type="default" r:id="rId13"/>
      <w:pgSz w:w="15840" w:h="12240" w:orient="landscape" w:code="1"/>
      <w:pgMar w:top="144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4C8239" w16cid:durableId="20D03154"/>
  <w16cid:commentId w16cid:paraId="4CA9DDF2" w16cid:durableId="20D81699"/>
  <w16cid:commentId w16cid:paraId="77C45F46" w16cid:durableId="20D05EED"/>
  <w16cid:commentId w16cid:paraId="1539DAC4" w16cid:durableId="20D06267"/>
  <w16cid:commentId w16cid:paraId="0BAAD7F1" w16cid:durableId="20D063D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1D1B2" w14:textId="77777777" w:rsidR="004137D3" w:rsidRDefault="004137D3" w:rsidP="00D75295">
      <w:r>
        <w:separator/>
      </w:r>
    </w:p>
  </w:endnote>
  <w:endnote w:type="continuationSeparator" w:id="0">
    <w:p w14:paraId="72BBCE92" w14:textId="77777777" w:rsidR="004137D3" w:rsidRDefault="004137D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Yu Mincho">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D02B4" w14:textId="77777777" w:rsidR="004137D3" w:rsidRDefault="004137D3" w:rsidP="00D75295">
      <w:r>
        <w:separator/>
      </w:r>
    </w:p>
  </w:footnote>
  <w:footnote w:type="continuationSeparator" w:id="0">
    <w:p w14:paraId="26B664B2" w14:textId="77777777" w:rsidR="004137D3" w:rsidRDefault="004137D3" w:rsidP="00D75295">
      <w:r>
        <w:continuationSeparator/>
      </w:r>
    </w:p>
  </w:footnote>
  <w:footnote w:id="1">
    <w:p w14:paraId="2FD6490A" w14:textId="4FA1C237" w:rsidR="004137D3" w:rsidRPr="00827BEA" w:rsidRDefault="004137D3" w:rsidP="004325D2">
      <w:pPr>
        <w:pStyle w:val="Footnote"/>
        <w:rPr>
          <w:lang w:val="en-GB"/>
        </w:rPr>
      </w:pPr>
      <w:r w:rsidRPr="00827BEA">
        <w:rPr>
          <w:rStyle w:val="FootnoteReference"/>
          <w:lang w:val="en-GB"/>
        </w:rPr>
        <w:footnoteRef/>
      </w:r>
      <w:r w:rsidRPr="00827BEA">
        <w:rPr>
          <w:lang w:val="en-GB"/>
        </w:rPr>
        <w:t xml:space="preserve"> According to Standard &amp; Poor’s ratings definition, an </w:t>
      </w:r>
      <w:r>
        <w:rPr>
          <w:lang w:val="en-GB"/>
        </w:rPr>
        <w:t>obligor</w:t>
      </w:r>
      <w:r w:rsidRPr="00827BEA">
        <w:rPr>
          <w:lang w:val="en-GB"/>
        </w:rPr>
        <w:t xml:space="preserve"> rated “BBB” exhibits adequate protection parameters. However, adverse economic conditions or changing circumstances are more likely to weaken the obligor's capacity to meet its financial commitments on the obligation. Mining companies are typically rated as investment grade (BBB). </w:t>
      </w:r>
    </w:p>
  </w:footnote>
  <w:footnote w:id="2">
    <w:p w14:paraId="4E412069" w14:textId="1AF6C437" w:rsidR="004137D3" w:rsidRPr="00827BEA" w:rsidRDefault="004137D3" w:rsidP="00456A39">
      <w:pPr>
        <w:pStyle w:val="Footnote"/>
        <w:rPr>
          <w:noProof/>
          <w:spacing w:val="-4"/>
          <w:lang w:val="en-GB"/>
        </w:rPr>
      </w:pPr>
      <w:r w:rsidRPr="00827BEA">
        <w:rPr>
          <w:rStyle w:val="FootnoteReference"/>
          <w:spacing w:val="-4"/>
          <w:lang w:val="en-GB"/>
        </w:rPr>
        <w:footnoteRef/>
      </w:r>
      <w:r w:rsidRPr="00827BEA">
        <w:rPr>
          <w:spacing w:val="-4"/>
          <w:lang w:val="en-GB"/>
        </w:rPr>
        <w:t xml:space="preserve"> “China National Gold Corporation Purchases CDN$218 Million of Jinshan Securities with a Mandate to Create a Leading Global Gold Producer,” Jinshan Gold Mines Inc., accessed </w:t>
      </w:r>
      <w:r w:rsidRPr="00827BEA">
        <w:rPr>
          <w:noProof/>
          <w:spacing w:val="-4"/>
          <w:lang w:val="en-GB"/>
        </w:rPr>
        <w:t>September 25, 2017</w:t>
      </w:r>
      <w:r w:rsidRPr="00827BEA">
        <w:rPr>
          <w:spacing w:val="-4"/>
          <w:lang w:val="en-GB"/>
        </w:rPr>
        <w:t>, www.chinagoldintl.com/investors/news_releases/2008/</w:t>
      </w:r>
      <w:r w:rsidRPr="00827BEA">
        <w:rPr>
          <w:i/>
          <w:iCs/>
          <w:noProof/>
          <w:spacing w:val="-4"/>
          <w:lang w:val="en-GB"/>
        </w:rPr>
        <w:t>.</w:t>
      </w:r>
      <w:r w:rsidRPr="00827BEA">
        <w:rPr>
          <w:noProof/>
          <w:spacing w:val="-4"/>
          <w:lang w:val="en-GB"/>
        </w:rPr>
        <w:t xml:space="preserve"> </w:t>
      </w:r>
    </w:p>
  </w:footnote>
  <w:footnote w:id="3">
    <w:p w14:paraId="33854A11" w14:textId="37D08DB4" w:rsidR="004137D3" w:rsidRPr="00827BEA" w:rsidRDefault="004137D3" w:rsidP="00456A39">
      <w:pPr>
        <w:pStyle w:val="Footnote"/>
        <w:rPr>
          <w:lang w:val="en-GB"/>
        </w:rPr>
      </w:pPr>
      <w:r w:rsidRPr="00827BEA">
        <w:rPr>
          <w:rStyle w:val="FootnoteReference"/>
          <w:lang w:val="en-GB"/>
        </w:rPr>
        <w:footnoteRef/>
      </w:r>
      <w:r w:rsidRPr="00827BEA">
        <w:rPr>
          <w:lang w:val="en-GB"/>
        </w:rPr>
        <w:t> “Facts and Figures of the Canadian Mining Industry: F&amp;F 2016,” The Mining Association of Canada,</w:t>
      </w:r>
      <w:r>
        <w:rPr>
          <w:lang w:val="en-GB"/>
        </w:rPr>
        <w:t xml:space="preserve"> </w:t>
      </w:r>
      <w:r w:rsidRPr="00827BEA">
        <w:rPr>
          <w:lang w:val="en-GB"/>
        </w:rPr>
        <w:t xml:space="preserve">accessed September 25, 2017, http://mining.ca/sites/default/files/documents/Facts-and-Figures-2016.pdf. </w:t>
      </w:r>
    </w:p>
  </w:footnote>
  <w:footnote w:id="4">
    <w:p w14:paraId="075455DE" w14:textId="5BD32F19" w:rsidR="004137D3" w:rsidRDefault="004137D3" w:rsidP="001B7F6F">
      <w:pPr>
        <w:pStyle w:val="Footnote"/>
      </w:pPr>
      <w:r>
        <w:rPr>
          <w:rStyle w:val="FootnoteReference"/>
        </w:rPr>
        <w:footnoteRef/>
      </w:r>
      <w:r>
        <w:t xml:space="preserve"> Eric Ng, </w:t>
      </w:r>
      <w:r w:rsidRPr="005F3B98">
        <w:t>“</w:t>
      </w:r>
      <w:r>
        <w:t>Foreign Investors Will Need More Clarity on Role of Communist Party Organizations in Listed Firms</w:t>
      </w:r>
      <w:r w:rsidRPr="005F3B98">
        <w:t xml:space="preserve">,” </w:t>
      </w:r>
      <w:r w:rsidRPr="001B7F6F">
        <w:rPr>
          <w:i/>
        </w:rPr>
        <w:t>South China Morning Post</w:t>
      </w:r>
      <w:r>
        <w:t>, July 25</w:t>
      </w:r>
      <w:r w:rsidRPr="005F3B98">
        <w:t>, 201</w:t>
      </w:r>
      <w:r>
        <w:t>8</w:t>
      </w:r>
      <w:r w:rsidRPr="005F3B98">
        <w:t xml:space="preserve">, accessed </w:t>
      </w:r>
      <w:r>
        <w:t>July 16</w:t>
      </w:r>
      <w:r w:rsidRPr="005F3B98">
        <w:t>, 2019, www.scmp.com/business/article/2156698/foreign-investors-will-need-more-clarity-role-communist-party-organisations</w:t>
      </w:r>
      <w:r>
        <w:t>.</w:t>
      </w:r>
    </w:p>
  </w:footnote>
  <w:footnote w:id="5">
    <w:p w14:paraId="5F819994" w14:textId="08E5F59E" w:rsidR="004137D3" w:rsidRPr="00B74C43" w:rsidRDefault="004137D3" w:rsidP="00DC10E3">
      <w:pPr>
        <w:pStyle w:val="Footnote"/>
        <w:rPr>
          <w:lang w:val="en-GB"/>
        </w:rPr>
      </w:pPr>
      <w:r w:rsidRPr="00B74C43">
        <w:rPr>
          <w:rStyle w:val="FootnoteReference"/>
          <w:lang w:val="en-GB"/>
        </w:rPr>
        <w:footnoteRef/>
      </w:r>
      <w:r w:rsidRPr="00B74C43">
        <w:rPr>
          <w:lang w:val="en-GB"/>
        </w:rPr>
        <w:t xml:space="preserve"> </w:t>
      </w:r>
      <w:r w:rsidRPr="00B74C43">
        <w:rPr>
          <w:color w:val="000000"/>
          <w:lang w:val="en-GB"/>
        </w:rPr>
        <w:t>¥ = CNY = Chinese yuan renminbi; ¥</w:t>
      </w:r>
      <w:r w:rsidRPr="0009352F">
        <w:rPr>
          <w:rFonts w:eastAsiaTheme="minorEastAsia"/>
          <w:spacing w:val="-2"/>
          <w:kern w:val="15"/>
          <w:lang w:val="en-GB"/>
        </w:rPr>
        <w:t xml:space="preserve">1 = US$0.146 as of December 31, 2008. </w:t>
      </w:r>
    </w:p>
  </w:footnote>
  <w:footnote w:id="6">
    <w:p w14:paraId="1B773390" w14:textId="40625672" w:rsidR="004137D3" w:rsidRPr="00827BEA" w:rsidRDefault="004137D3" w:rsidP="00456A39">
      <w:pPr>
        <w:pStyle w:val="Footnote"/>
        <w:rPr>
          <w:lang w:val="en-GB"/>
        </w:rPr>
      </w:pPr>
      <w:r w:rsidRPr="00827BEA">
        <w:rPr>
          <w:rStyle w:val="FootnoteReference"/>
          <w:lang w:val="en-GB"/>
        </w:rPr>
        <w:footnoteRef/>
      </w:r>
      <w:r w:rsidRPr="00827BEA">
        <w:rPr>
          <w:lang w:val="en-GB"/>
        </w:rPr>
        <w:t xml:space="preserve"> Chuck Chiang, “Chinese Groups in Vancouver Step Up Charitable Efforts,” </w:t>
      </w:r>
      <w:r w:rsidRPr="00827BEA">
        <w:rPr>
          <w:i/>
          <w:lang w:val="en-GB"/>
        </w:rPr>
        <w:t>Vancouver Sun</w:t>
      </w:r>
      <w:r w:rsidRPr="00827BEA">
        <w:rPr>
          <w:lang w:val="en-GB"/>
        </w:rPr>
        <w:t>, August 9, 2016, accessed April 23, 2019, http://vancouversun.com/business/local-business/chinese-groups-in-vancouver-step-up-charitable-efforts.</w:t>
      </w:r>
    </w:p>
  </w:footnote>
  <w:footnote w:id="7">
    <w:p w14:paraId="76AD8B76" w14:textId="2C2613AF" w:rsidR="004137D3" w:rsidRPr="00827BEA" w:rsidRDefault="004137D3" w:rsidP="00C92C3D">
      <w:pPr>
        <w:pStyle w:val="Footnote"/>
        <w:rPr>
          <w:lang w:val="en-GB"/>
        </w:rPr>
      </w:pPr>
      <w:r w:rsidRPr="00827BEA">
        <w:rPr>
          <w:rStyle w:val="FootnoteReference"/>
          <w:lang w:val="en-GB"/>
        </w:rPr>
        <w:footnoteRef/>
      </w:r>
      <w:r w:rsidRPr="00827BEA">
        <w:rPr>
          <w:lang w:val="en-GB"/>
        </w:rPr>
        <w:t xml:space="preserve"> China Gold International Resources Corp. Ltd., </w:t>
      </w:r>
      <w:r w:rsidRPr="00827BEA">
        <w:rPr>
          <w:i/>
          <w:lang w:val="en-GB"/>
        </w:rPr>
        <w:t>Environmental, Social, and Governance Report</w:t>
      </w:r>
      <w:r w:rsidRPr="00827BEA">
        <w:rPr>
          <w:lang w:val="en-GB"/>
        </w:rPr>
        <w:t xml:space="preserve">, 5, accessed April 29, 2019, www.chinagoldintl.com/_resources/E_2016-ESG-Report.pdf. </w:t>
      </w:r>
    </w:p>
  </w:footnote>
  <w:footnote w:id="8">
    <w:p w14:paraId="4701D66E" w14:textId="77777777" w:rsidR="004137D3" w:rsidRPr="00827BEA" w:rsidRDefault="004137D3" w:rsidP="00456A39">
      <w:pPr>
        <w:pStyle w:val="Footnote"/>
        <w:rPr>
          <w:lang w:val="en-GB"/>
        </w:rPr>
      </w:pPr>
      <w:r w:rsidRPr="00827BEA">
        <w:rPr>
          <w:rStyle w:val="FootnoteReference"/>
          <w:lang w:val="en-GB"/>
        </w:rPr>
        <w:footnoteRef/>
      </w:r>
      <w:r w:rsidRPr="00827BEA">
        <w:rPr>
          <w:lang w:val="en-GB"/>
        </w:rPr>
        <w:t xml:space="preserve"> Organisation for Economic Co-operation and Development (OECD), “Chapter 5: SOEs in China's Economic Development,” in </w:t>
      </w:r>
      <w:r w:rsidRPr="00827BEA">
        <w:rPr>
          <w:i/>
          <w:lang w:val="en-GB"/>
        </w:rPr>
        <w:t>State-Owned Enterprises in the Development Process</w:t>
      </w:r>
      <w:r w:rsidRPr="00827BEA">
        <w:rPr>
          <w:lang w:val="en-GB"/>
        </w:rPr>
        <w:t xml:space="preserve"> (Paris: OECD Publishing, 2015), 1270-81.</w:t>
      </w:r>
    </w:p>
  </w:footnote>
  <w:footnote w:id="9">
    <w:p w14:paraId="2C8C1FDD" w14:textId="05A93F66" w:rsidR="004137D3" w:rsidRPr="00827BEA" w:rsidRDefault="004137D3" w:rsidP="00456A39">
      <w:pPr>
        <w:pStyle w:val="Footnote"/>
        <w:rPr>
          <w:lang w:val="en-GB"/>
        </w:rPr>
      </w:pPr>
      <w:r w:rsidRPr="00827BEA">
        <w:rPr>
          <w:rStyle w:val="FootnoteReference"/>
          <w:lang w:val="en-GB"/>
        </w:rPr>
        <w:footnoteRef/>
      </w:r>
      <w:r w:rsidRPr="00827BEA">
        <w:rPr>
          <w:lang w:val="en-GB"/>
        </w:rPr>
        <w:t xml:space="preserve"> Juan Shu, Yang Ju, and Yang Yu, “SASAC Chief Called Central SOEs the Eldest Son of the Republic,” </w:t>
      </w:r>
      <w:r w:rsidRPr="00827BEA">
        <w:rPr>
          <w:i/>
          <w:lang w:val="en-GB"/>
        </w:rPr>
        <w:t>Guangzhou Daily</w:t>
      </w:r>
      <w:r w:rsidRPr="00827BEA">
        <w:rPr>
          <w:lang w:val="en-GB"/>
        </w:rPr>
        <w:t xml:space="preserve">, August 5, 2009, accessed April 29, 2019, http://news.ifeng.com/mainland/200908/0805_17_1285088.shtml. </w:t>
      </w:r>
    </w:p>
  </w:footnote>
  <w:footnote w:id="10">
    <w:p w14:paraId="16AF3C53" w14:textId="71367DB6" w:rsidR="004137D3" w:rsidRPr="00827BEA" w:rsidRDefault="004137D3" w:rsidP="00456A39">
      <w:pPr>
        <w:pStyle w:val="Footnote"/>
        <w:rPr>
          <w:i/>
          <w:lang w:val="en-GB"/>
        </w:rPr>
      </w:pPr>
      <w:r w:rsidRPr="00827BEA">
        <w:rPr>
          <w:rStyle w:val="FootnoteReference"/>
          <w:lang w:val="en-GB"/>
        </w:rPr>
        <w:footnoteRef/>
      </w:r>
      <w:r w:rsidRPr="00827BEA">
        <w:rPr>
          <w:lang w:val="en-GB"/>
        </w:rPr>
        <w:t xml:space="preserve"> Xin Li and Kjeld Erik Brødsgaard, “SOE Reform in China : Past, Present and Future," </w:t>
      </w:r>
      <w:r w:rsidRPr="00827BEA">
        <w:rPr>
          <w:i/>
          <w:lang w:val="en-GB"/>
        </w:rPr>
        <w:t>Copenhagen Journal of Asian Studies</w:t>
      </w:r>
      <w:r w:rsidRPr="00827BEA">
        <w:rPr>
          <w:lang w:val="en-GB"/>
        </w:rPr>
        <w:t xml:space="preserve"> 31, no. 2 (2013): 54–79; </w:t>
      </w:r>
      <w:r w:rsidRPr="00BE6ADE">
        <w:rPr>
          <w:lang w:val="en-GB"/>
        </w:rPr>
        <w:t xml:space="preserve">Dong T. Zou and Ri H. Ouyang, eds., </w:t>
      </w:r>
      <w:r w:rsidRPr="0009352F">
        <w:rPr>
          <w:i/>
          <w:lang w:val="en-GB"/>
        </w:rPr>
        <w:t>Blue Book of Development and Reform: China 30 Years of Reform and Opening-Up</w:t>
      </w:r>
      <w:r w:rsidRPr="00BE6ADE">
        <w:rPr>
          <w:lang w:val="en-GB"/>
        </w:rPr>
        <w:t xml:space="preserve"> (1978-2008) (Beijing: Social Sciences Academic Press, 2008)</w:t>
      </w:r>
      <w:r>
        <w:rPr>
          <w:lang w:val="en-GB"/>
        </w:rPr>
        <w:t>.</w:t>
      </w:r>
    </w:p>
  </w:footnote>
  <w:footnote w:id="11">
    <w:p w14:paraId="5BAA0A3A" w14:textId="63A857D8" w:rsidR="004137D3" w:rsidRPr="00827BEA" w:rsidRDefault="004137D3" w:rsidP="00456A39">
      <w:pPr>
        <w:pStyle w:val="Footnote"/>
        <w:rPr>
          <w:lang w:val="en-GB"/>
        </w:rPr>
      </w:pPr>
      <w:r w:rsidRPr="00827BEA">
        <w:rPr>
          <w:rStyle w:val="FootnoteReference"/>
          <w:lang w:val="en-GB"/>
        </w:rPr>
        <w:footnoteRef/>
      </w:r>
      <w:r w:rsidRPr="00827BEA">
        <w:rPr>
          <w:lang w:val="en-GB"/>
        </w:rPr>
        <w:t xml:space="preserve"> Nan Zhong and Xiaojin Ren, “China to Tighten Control on SOEs’ Investment Overseas,” </w:t>
      </w:r>
      <w:r w:rsidRPr="00827BEA">
        <w:rPr>
          <w:i/>
          <w:lang w:val="en-GB"/>
        </w:rPr>
        <w:t>China Daily</w:t>
      </w:r>
      <w:r w:rsidRPr="00827BEA">
        <w:rPr>
          <w:lang w:val="en-GB"/>
        </w:rPr>
        <w:t xml:space="preserve">, March 9, 2017, accessed April 29, 2019, www.chinadaily.com.cn/business/2017-03/09/content_28496676.htm. </w:t>
      </w:r>
    </w:p>
  </w:footnote>
  <w:footnote w:id="12">
    <w:p w14:paraId="25573740" w14:textId="7EF7F08C" w:rsidR="004137D3" w:rsidRPr="00827BEA" w:rsidRDefault="004137D3" w:rsidP="00456A39">
      <w:pPr>
        <w:pStyle w:val="Footnote"/>
        <w:rPr>
          <w:lang w:val="en-GB"/>
        </w:rPr>
      </w:pPr>
      <w:r w:rsidRPr="00827BEA">
        <w:rPr>
          <w:rStyle w:val="FootnoteReference"/>
          <w:lang w:val="en-GB"/>
        </w:rPr>
        <w:footnoteRef/>
      </w:r>
      <w:r w:rsidRPr="00827BEA">
        <w:rPr>
          <w:lang w:val="en-GB"/>
        </w:rPr>
        <w:t xml:space="preserve"> Emily Feng, “China Tightens Rules on State Groups’ Foreign Investments,” </w:t>
      </w:r>
      <w:r w:rsidRPr="00827BEA">
        <w:rPr>
          <w:i/>
          <w:lang w:val="en-GB"/>
        </w:rPr>
        <w:t xml:space="preserve">Financial Times, </w:t>
      </w:r>
      <w:r w:rsidRPr="00827BEA">
        <w:rPr>
          <w:lang w:val="en-GB"/>
        </w:rPr>
        <w:t xml:space="preserve">August 3, 2017, accessed April 24, 2019, www.ft.com/content/3251987c-7806-11e7-90c0-90a9d1bc9691; “China Issues Rules to Curb State Firms’ Overseas Investment Risks,” </w:t>
      </w:r>
      <w:r>
        <w:rPr>
          <w:lang w:val="en-GB"/>
        </w:rPr>
        <w:t xml:space="preserve">Reuters, </w:t>
      </w:r>
      <w:r w:rsidRPr="00827BEA">
        <w:rPr>
          <w:lang w:val="en-GB"/>
        </w:rPr>
        <w:t>August 2, 2017, accessed April 24, 2019, www.reuters.com/article/us-china-economy-soe/china-issues-rules-to-curb-state-firms-overseas-investment-risks-idUSKBN1AI1BO?il=0.</w:t>
      </w:r>
    </w:p>
  </w:footnote>
  <w:footnote w:id="13">
    <w:p w14:paraId="043AE9BB" w14:textId="67DAE42B" w:rsidR="004137D3" w:rsidRPr="00827BEA" w:rsidRDefault="004137D3" w:rsidP="00456A39">
      <w:pPr>
        <w:pStyle w:val="Footnote"/>
        <w:rPr>
          <w:lang w:val="en-GB"/>
        </w:rPr>
      </w:pPr>
      <w:r w:rsidRPr="00827BEA">
        <w:rPr>
          <w:rStyle w:val="FootnoteReference"/>
          <w:lang w:val="en-GB"/>
        </w:rPr>
        <w:footnoteRef/>
      </w:r>
      <w:r w:rsidRPr="00827BEA">
        <w:rPr>
          <w:lang w:val="en-GB"/>
        </w:rPr>
        <w:t xml:space="preserve"> Steven Globerman and Daniel M. Shapiro, “Economic and Strategic Considerations Surrounding Chinese FDI in the United States,” </w:t>
      </w:r>
      <w:r w:rsidRPr="00827BEA">
        <w:rPr>
          <w:i/>
          <w:lang w:val="en-GB"/>
        </w:rPr>
        <w:t>Asia Pacific Journal of Management</w:t>
      </w:r>
      <w:r w:rsidRPr="00827BEA">
        <w:rPr>
          <w:lang w:val="en-GB"/>
        </w:rPr>
        <w:t xml:space="preserve"> 26</w:t>
      </w:r>
      <w:r>
        <w:rPr>
          <w:lang w:val="en-GB"/>
        </w:rPr>
        <w:t>, no. 1</w:t>
      </w:r>
      <w:r w:rsidRPr="00827BEA">
        <w:rPr>
          <w:lang w:val="en-GB"/>
        </w:rPr>
        <w:t xml:space="preserve"> (2009): 163–183.</w:t>
      </w:r>
    </w:p>
  </w:footnote>
  <w:footnote w:id="14">
    <w:p w14:paraId="524695C8" w14:textId="543F0FD7" w:rsidR="004137D3" w:rsidRPr="00827BEA" w:rsidRDefault="004137D3" w:rsidP="00C94576">
      <w:pPr>
        <w:pStyle w:val="Footnote"/>
        <w:rPr>
          <w:rFonts w:eastAsiaTheme="minorEastAsia"/>
          <w:lang w:val="en-GB" w:eastAsia="zh-CN"/>
        </w:rPr>
      </w:pPr>
      <w:r w:rsidRPr="00827BEA">
        <w:rPr>
          <w:rStyle w:val="FootnoteReference"/>
          <w:lang w:val="en-GB"/>
        </w:rPr>
        <w:footnoteRef/>
      </w:r>
      <w:r w:rsidRPr="00827BEA">
        <w:rPr>
          <w:lang w:val="en-GB"/>
        </w:rPr>
        <w:t xml:space="preserve"> </w:t>
      </w:r>
      <w:r w:rsidRPr="00827BEA">
        <w:rPr>
          <w:bdr w:val="none" w:sz="0" w:space="0" w:color="auto" w:frame="1"/>
          <w:lang w:val="en-GB"/>
        </w:rPr>
        <w:t xml:space="preserve">Louise Egan and </w:t>
      </w:r>
      <w:r w:rsidRPr="00827BEA">
        <w:rPr>
          <w:lang w:val="en-GB"/>
        </w:rPr>
        <w:t>Randall Palmer</w:t>
      </w:r>
      <w:r w:rsidRPr="00827BEA">
        <w:rPr>
          <w:bdr w:val="none" w:sz="0" w:space="0" w:color="auto" w:frame="1"/>
          <w:lang w:val="en-GB"/>
        </w:rPr>
        <w:t xml:space="preserve">, “Canada Opposition MP: Treason to Approve Nexen Takeover,” </w:t>
      </w:r>
      <w:r w:rsidRPr="0009352F">
        <w:rPr>
          <w:bdr w:val="none" w:sz="0" w:space="0" w:color="auto" w:frame="1"/>
          <w:lang w:val="en-GB"/>
        </w:rPr>
        <w:t>Reuters</w:t>
      </w:r>
      <w:r w:rsidRPr="00827BEA">
        <w:rPr>
          <w:bdr w:val="none" w:sz="0" w:space="0" w:color="auto" w:frame="1"/>
          <w:lang w:val="en-GB"/>
        </w:rPr>
        <w:t xml:space="preserve">, October 2, 2012, accessed April 29, 2019, </w:t>
      </w:r>
      <w:r w:rsidRPr="00827BEA">
        <w:rPr>
          <w:lang w:val="en-GB"/>
        </w:rPr>
        <w:t xml:space="preserve">www.reuters.com/article/us-nexen-cnooc/canada-opposition-mp-treason-to-approve-nexen-takeover-idUSBRE8910U220121002.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14082D6" w:rsidR="004137D3" w:rsidRPr="00C92CC4" w:rsidRDefault="004137D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042CA">
      <w:rPr>
        <w:rFonts w:ascii="Arial" w:hAnsi="Arial"/>
        <w:b/>
        <w:noProof/>
      </w:rPr>
      <w:t>3</w:t>
    </w:r>
    <w:r>
      <w:rPr>
        <w:rFonts w:ascii="Arial" w:hAnsi="Arial"/>
        <w:b/>
      </w:rPr>
      <w:fldChar w:fldCharType="end"/>
    </w:r>
    <w:r>
      <w:rPr>
        <w:rFonts w:ascii="Arial" w:hAnsi="Arial"/>
        <w:b/>
      </w:rPr>
      <w:tab/>
      <w:t>9B19M071</w:t>
    </w:r>
  </w:p>
  <w:p w14:paraId="2B53C0A0" w14:textId="77777777" w:rsidR="004137D3" w:rsidRDefault="004137D3" w:rsidP="00D13667">
    <w:pPr>
      <w:pStyle w:val="Header"/>
      <w:tabs>
        <w:tab w:val="clear" w:pos="4680"/>
      </w:tabs>
      <w:rPr>
        <w:sz w:val="18"/>
        <w:szCs w:val="18"/>
      </w:rPr>
    </w:pPr>
  </w:p>
  <w:p w14:paraId="47119730" w14:textId="77777777" w:rsidR="004137D3" w:rsidRPr="00C92CC4" w:rsidRDefault="004137D3"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35D76" w14:textId="0A9CE5BA" w:rsidR="004137D3" w:rsidRPr="00C92CC4" w:rsidRDefault="004137D3" w:rsidP="004E0802">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042CA">
      <w:rPr>
        <w:rFonts w:ascii="Arial" w:hAnsi="Arial"/>
        <w:b/>
        <w:noProof/>
      </w:rPr>
      <w:t>12</w:t>
    </w:r>
    <w:r>
      <w:rPr>
        <w:rFonts w:ascii="Arial" w:hAnsi="Arial"/>
        <w:b/>
      </w:rPr>
      <w:fldChar w:fldCharType="end"/>
    </w:r>
    <w:r>
      <w:rPr>
        <w:rFonts w:ascii="Arial" w:hAnsi="Arial"/>
        <w:b/>
      </w:rPr>
      <w:tab/>
      <w:t>9B19M071</w:t>
    </w:r>
  </w:p>
  <w:p w14:paraId="2A4543FF" w14:textId="77777777" w:rsidR="004137D3" w:rsidRDefault="004137D3" w:rsidP="004E0802">
    <w:pPr>
      <w:pStyle w:val="Header"/>
      <w:tabs>
        <w:tab w:val="clear" w:pos="4680"/>
        <w:tab w:val="clear" w:pos="9360"/>
        <w:tab w:val="right" w:pos="12960"/>
      </w:tabs>
      <w:rPr>
        <w:sz w:val="18"/>
        <w:szCs w:val="18"/>
      </w:rPr>
    </w:pPr>
  </w:p>
  <w:p w14:paraId="3E4E5618" w14:textId="77777777" w:rsidR="004137D3" w:rsidRPr="00C92CC4" w:rsidRDefault="004137D3" w:rsidP="004E0802">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2C81A" w14:textId="72E7ABBE" w:rsidR="004137D3" w:rsidRPr="00C92CC4" w:rsidRDefault="004137D3" w:rsidP="004E0802">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042CA">
      <w:rPr>
        <w:rFonts w:ascii="Arial" w:hAnsi="Arial"/>
        <w:b/>
        <w:noProof/>
      </w:rPr>
      <w:t>13</w:t>
    </w:r>
    <w:r>
      <w:rPr>
        <w:rFonts w:ascii="Arial" w:hAnsi="Arial"/>
        <w:b/>
      </w:rPr>
      <w:fldChar w:fldCharType="end"/>
    </w:r>
    <w:r>
      <w:rPr>
        <w:rFonts w:ascii="Arial" w:hAnsi="Arial"/>
        <w:b/>
      </w:rPr>
      <w:tab/>
      <w:t>9B19M071</w:t>
    </w:r>
  </w:p>
  <w:p w14:paraId="3503736C" w14:textId="77777777" w:rsidR="004137D3" w:rsidRDefault="004137D3" w:rsidP="004E0802">
    <w:pPr>
      <w:pStyle w:val="Header"/>
      <w:tabs>
        <w:tab w:val="clear" w:pos="4680"/>
      </w:tabs>
      <w:rPr>
        <w:sz w:val="18"/>
        <w:szCs w:val="18"/>
      </w:rPr>
    </w:pPr>
  </w:p>
  <w:p w14:paraId="606FD850" w14:textId="77777777" w:rsidR="004137D3" w:rsidRPr="00C92CC4" w:rsidRDefault="004137D3" w:rsidP="004E0802">
    <w:pPr>
      <w:pStyle w:val="Header"/>
      <w:tabs>
        <w:tab w:val="clear" w:pos="468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34A5" w14:textId="7A26E879" w:rsidR="004137D3" w:rsidRPr="00C92CC4" w:rsidRDefault="004137D3" w:rsidP="00274EB3">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042CA">
      <w:rPr>
        <w:rFonts w:ascii="Arial" w:hAnsi="Arial"/>
        <w:b/>
        <w:noProof/>
      </w:rPr>
      <w:t>14</w:t>
    </w:r>
    <w:r>
      <w:rPr>
        <w:rFonts w:ascii="Arial" w:hAnsi="Arial"/>
        <w:b/>
      </w:rPr>
      <w:fldChar w:fldCharType="end"/>
    </w:r>
    <w:r>
      <w:rPr>
        <w:rFonts w:ascii="Arial" w:hAnsi="Arial"/>
        <w:b/>
      </w:rPr>
      <w:tab/>
      <w:t>9B19M071</w:t>
    </w:r>
  </w:p>
  <w:p w14:paraId="7D49783A" w14:textId="77777777" w:rsidR="004137D3" w:rsidRDefault="004137D3" w:rsidP="00274EB3">
    <w:pPr>
      <w:pStyle w:val="Header"/>
      <w:tabs>
        <w:tab w:val="clear" w:pos="4680"/>
        <w:tab w:val="clear" w:pos="9360"/>
        <w:tab w:val="right" w:pos="12960"/>
      </w:tabs>
      <w:rPr>
        <w:sz w:val="18"/>
        <w:szCs w:val="18"/>
      </w:rPr>
    </w:pPr>
  </w:p>
  <w:p w14:paraId="0696448E" w14:textId="77777777" w:rsidR="004137D3" w:rsidRPr="00C92CC4" w:rsidRDefault="004137D3" w:rsidP="00274EB3">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EF0B9B"/>
    <w:multiLevelType w:val="hybridMultilevel"/>
    <w:tmpl w:val="66449608"/>
    <w:lvl w:ilvl="0" w:tplc="6E74B56C">
      <w:start w:val="198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993C6A"/>
    <w:multiLevelType w:val="multilevel"/>
    <w:tmpl w:val="BA22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C64E4"/>
    <w:multiLevelType w:val="hybridMultilevel"/>
    <w:tmpl w:val="C0BA2C50"/>
    <w:lvl w:ilvl="0" w:tplc="C2945FFC">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12"/>
  </w:num>
  <w:num w:numId="5">
    <w:abstractNumId w:val="4"/>
  </w:num>
  <w:num w:numId="6">
    <w:abstractNumId w:val="10"/>
  </w:num>
  <w:num w:numId="7">
    <w:abstractNumId w:val="0"/>
  </w:num>
  <w:num w:numId="8">
    <w:abstractNumId w:val="14"/>
  </w:num>
  <w:num w:numId="9">
    <w:abstractNumId w:val="11"/>
  </w:num>
  <w:num w:numId="10">
    <w:abstractNumId w:val="2"/>
  </w:num>
  <w:num w:numId="11">
    <w:abstractNumId w:val="8"/>
  </w:num>
  <w:num w:numId="12">
    <w:abstractNumId w:val="9"/>
  </w:num>
  <w:num w:numId="13">
    <w:abstractNumId w:val="1"/>
  </w:num>
  <w:num w:numId="14">
    <w:abstractNumId w:val="6"/>
  </w:num>
  <w:num w:numId="1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B1E"/>
    <w:rsid w:val="000042CA"/>
    <w:rsid w:val="00004507"/>
    <w:rsid w:val="00013360"/>
    <w:rsid w:val="00016759"/>
    <w:rsid w:val="00017E76"/>
    <w:rsid w:val="000216CE"/>
    <w:rsid w:val="0002288C"/>
    <w:rsid w:val="00024ED4"/>
    <w:rsid w:val="00025C05"/>
    <w:rsid w:val="00025DC7"/>
    <w:rsid w:val="00035F09"/>
    <w:rsid w:val="00044ECC"/>
    <w:rsid w:val="00050E63"/>
    <w:rsid w:val="000531D3"/>
    <w:rsid w:val="0005646B"/>
    <w:rsid w:val="00057A2A"/>
    <w:rsid w:val="000615D1"/>
    <w:rsid w:val="0008102D"/>
    <w:rsid w:val="00086B26"/>
    <w:rsid w:val="0009352F"/>
    <w:rsid w:val="00094C0E"/>
    <w:rsid w:val="000A146D"/>
    <w:rsid w:val="000B21CA"/>
    <w:rsid w:val="000C4CCB"/>
    <w:rsid w:val="000D02BD"/>
    <w:rsid w:val="000D2A2F"/>
    <w:rsid w:val="000D2C1C"/>
    <w:rsid w:val="000D69EB"/>
    <w:rsid w:val="000D7091"/>
    <w:rsid w:val="000F0C22"/>
    <w:rsid w:val="000F497C"/>
    <w:rsid w:val="000F6B09"/>
    <w:rsid w:val="000F6FDC"/>
    <w:rsid w:val="001016A0"/>
    <w:rsid w:val="00104567"/>
    <w:rsid w:val="00104916"/>
    <w:rsid w:val="00104AA7"/>
    <w:rsid w:val="0012732D"/>
    <w:rsid w:val="00143F25"/>
    <w:rsid w:val="001516EC"/>
    <w:rsid w:val="00152682"/>
    <w:rsid w:val="00152B77"/>
    <w:rsid w:val="00154FC9"/>
    <w:rsid w:val="001620DD"/>
    <w:rsid w:val="00165E59"/>
    <w:rsid w:val="001763D9"/>
    <w:rsid w:val="001847EF"/>
    <w:rsid w:val="00184F90"/>
    <w:rsid w:val="00186A65"/>
    <w:rsid w:val="001901C0"/>
    <w:rsid w:val="0019241A"/>
    <w:rsid w:val="00192A18"/>
    <w:rsid w:val="001A22D1"/>
    <w:rsid w:val="001A67D4"/>
    <w:rsid w:val="001A743A"/>
    <w:rsid w:val="001A752D"/>
    <w:rsid w:val="001A757E"/>
    <w:rsid w:val="001B5032"/>
    <w:rsid w:val="001B7F6F"/>
    <w:rsid w:val="001C7777"/>
    <w:rsid w:val="001D344B"/>
    <w:rsid w:val="001D6507"/>
    <w:rsid w:val="001E364F"/>
    <w:rsid w:val="001E5CF2"/>
    <w:rsid w:val="001F09C4"/>
    <w:rsid w:val="001F357A"/>
    <w:rsid w:val="001F4222"/>
    <w:rsid w:val="00202C76"/>
    <w:rsid w:val="00203AA1"/>
    <w:rsid w:val="00207176"/>
    <w:rsid w:val="00213E98"/>
    <w:rsid w:val="0022293D"/>
    <w:rsid w:val="00225213"/>
    <w:rsid w:val="00230150"/>
    <w:rsid w:val="0023081A"/>
    <w:rsid w:val="00232715"/>
    <w:rsid w:val="00233111"/>
    <w:rsid w:val="0023413C"/>
    <w:rsid w:val="00265FA8"/>
    <w:rsid w:val="00274EB3"/>
    <w:rsid w:val="00276C85"/>
    <w:rsid w:val="00290660"/>
    <w:rsid w:val="00296643"/>
    <w:rsid w:val="002B40FF"/>
    <w:rsid w:val="002C4C8C"/>
    <w:rsid w:val="002C4DF8"/>
    <w:rsid w:val="002C4E29"/>
    <w:rsid w:val="002F07BD"/>
    <w:rsid w:val="002F460C"/>
    <w:rsid w:val="002F48D6"/>
    <w:rsid w:val="00316C7B"/>
    <w:rsid w:val="00317391"/>
    <w:rsid w:val="003203CE"/>
    <w:rsid w:val="003229C2"/>
    <w:rsid w:val="00326216"/>
    <w:rsid w:val="00336580"/>
    <w:rsid w:val="00343091"/>
    <w:rsid w:val="003437F0"/>
    <w:rsid w:val="00354428"/>
    <w:rsid w:val="00354899"/>
    <w:rsid w:val="00355FD6"/>
    <w:rsid w:val="00364A5C"/>
    <w:rsid w:val="00373FB1"/>
    <w:rsid w:val="003805CD"/>
    <w:rsid w:val="00396C76"/>
    <w:rsid w:val="003B30D8"/>
    <w:rsid w:val="003B5C90"/>
    <w:rsid w:val="003B7EF2"/>
    <w:rsid w:val="003C2346"/>
    <w:rsid w:val="003C3FA4"/>
    <w:rsid w:val="003C65F6"/>
    <w:rsid w:val="003D0BA1"/>
    <w:rsid w:val="003E00DF"/>
    <w:rsid w:val="003F2B0C"/>
    <w:rsid w:val="00402621"/>
    <w:rsid w:val="004105B2"/>
    <w:rsid w:val="0041145A"/>
    <w:rsid w:val="00412900"/>
    <w:rsid w:val="004137D3"/>
    <w:rsid w:val="004145E5"/>
    <w:rsid w:val="00420BEE"/>
    <w:rsid w:val="004221E4"/>
    <w:rsid w:val="00423777"/>
    <w:rsid w:val="004273F8"/>
    <w:rsid w:val="00431CCA"/>
    <w:rsid w:val="004325D2"/>
    <w:rsid w:val="004355A3"/>
    <w:rsid w:val="00446546"/>
    <w:rsid w:val="00452495"/>
    <w:rsid w:val="00452769"/>
    <w:rsid w:val="00454FA7"/>
    <w:rsid w:val="00456A39"/>
    <w:rsid w:val="00465348"/>
    <w:rsid w:val="00484E56"/>
    <w:rsid w:val="004905A2"/>
    <w:rsid w:val="00491771"/>
    <w:rsid w:val="004979A5"/>
    <w:rsid w:val="004A25E0"/>
    <w:rsid w:val="004B1CCB"/>
    <w:rsid w:val="004B4A03"/>
    <w:rsid w:val="004B632F"/>
    <w:rsid w:val="004C5A79"/>
    <w:rsid w:val="004D1AC5"/>
    <w:rsid w:val="004D3FB1"/>
    <w:rsid w:val="004D5385"/>
    <w:rsid w:val="004D6F21"/>
    <w:rsid w:val="004D73A5"/>
    <w:rsid w:val="004E0802"/>
    <w:rsid w:val="004E36E7"/>
    <w:rsid w:val="004E61C6"/>
    <w:rsid w:val="004F5991"/>
    <w:rsid w:val="00501F4A"/>
    <w:rsid w:val="00506AE7"/>
    <w:rsid w:val="00513984"/>
    <w:rsid w:val="005160F1"/>
    <w:rsid w:val="00524734"/>
    <w:rsid w:val="00524F2F"/>
    <w:rsid w:val="00527E5C"/>
    <w:rsid w:val="00531BA5"/>
    <w:rsid w:val="00532CF5"/>
    <w:rsid w:val="00535741"/>
    <w:rsid w:val="00546DB0"/>
    <w:rsid w:val="005528CB"/>
    <w:rsid w:val="005573CA"/>
    <w:rsid w:val="00560924"/>
    <w:rsid w:val="00566771"/>
    <w:rsid w:val="00567310"/>
    <w:rsid w:val="00581E2E"/>
    <w:rsid w:val="00584F15"/>
    <w:rsid w:val="00585CC3"/>
    <w:rsid w:val="0058644C"/>
    <w:rsid w:val="0059514B"/>
    <w:rsid w:val="00596FB1"/>
    <w:rsid w:val="005A1B0F"/>
    <w:rsid w:val="005B27DC"/>
    <w:rsid w:val="005B4CE6"/>
    <w:rsid w:val="005B5EFE"/>
    <w:rsid w:val="005C0362"/>
    <w:rsid w:val="005C2680"/>
    <w:rsid w:val="005D293D"/>
    <w:rsid w:val="005F0C26"/>
    <w:rsid w:val="005F3B98"/>
    <w:rsid w:val="005F3CAC"/>
    <w:rsid w:val="006163F7"/>
    <w:rsid w:val="00625933"/>
    <w:rsid w:val="00627C63"/>
    <w:rsid w:val="0063350B"/>
    <w:rsid w:val="0063607D"/>
    <w:rsid w:val="00647DF7"/>
    <w:rsid w:val="00652606"/>
    <w:rsid w:val="00654641"/>
    <w:rsid w:val="00680B05"/>
    <w:rsid w:val="006946EE"/>
    <w:rsid w:val="006A30E7"/>
    <w:rsid w:val="006A58A9"/>
    <w:rsid w:val="006A606D"/>
    <w:rsid w:val="006C0371"/>
    <w:rsid w:val="006C08B6"/>
    <w:rsid w:val="006C0B1A"/>
    <w:rsid w:val="006C0CC4"/>
    <w:rsid w:val="006C39F9"/>
    <w:rsid w:val="006C6065"/>
    <w:rsid w:val="006C7F9F"/>
    <w:rsid w:val="006E2F6D"/>
    <w:rsid w:val="006E58F6"/>
    <w:rsid w:val="006E6224"/>
    <w:rsid w:val="006E77E1"/>
    <w:rsid w:val="006F131D"/>
    <w:rsid w:val="006F1C08"/>
    <w:rsid w:val="00711642"/>
    <w:rsid w:val="007238F3"/>
    <w:rsid w:val="00746D88"/>
    <w:rsid w:val="007507C6"/>
    <w:rsid w:val="00751E0B"/>
    <w:rsid w:val="007526BB"/>
    <w:rsid w:val="00752BCD"/>
    <w:rsid w:val="00766DA1"/>
    <w:rsid w:val="00780D94"/>
    <w:rsid w:val="007866A6"/>
    <w:rsid w:val="0078768C"/>
    <w:rsid w:val="007A1043"/>
    <w:rsid w:val="007A130D"/>
    <w:rsid w:val="007A1DA6"/>
    <w:rsid w:val="007A2A60"/>
    <w:rsid w:val="007A55DE"/>
    <w:rsid w:val="007B1EAC"/>
    <w:rsid w:val="007C2AA0"/>
    <w:rsid w:val="007C6E0B"/>
    <w:rsid w:val="007D1A2D"/>
    <w:rsid w:val="007D32E6"/>
    <w:rsid w:val="007D4102"/>
    <w:rsid w:val="007E3A52"/>
    <w:rsid w:val="007E54A7"/>
    <w:rsid w:val="007F43B7"/>
    <w:rsid w:val="00803CF1"/>
    <w:rsid w:val="00804C3C"/>
    <w:rsid w:val="008106F2"/>
    <w:rsid w:val="00815089"/>
    <w:rsid w:val="00821DFE"/>
    <w:rsid w:val="00821FFC"/>
    <w:rsid w:val="008271CA"/>
    <w:rsid w:val="00827BEA"/>
    <w:rsid w:val="008467D5"/>
    <w:rsid w:val="008661DB"/>
    <w:rsid w:val="00893C1E"/>
    <w:rsid w:val="008A4DC4"/>
    <w:rsid w:val="008B4345"/>
    <w:rsid w:val="008B438C"/>
    <w:rsid w:val="008D06CA"/>
    <w:rsid w:val="008D093F"/>
    <w:rsid w:val="008D3A46"/>
    <w:rsid w:val="008E0FEB"/>
    <w:rsid w:val="008E1081"/>
    <w:rsid w:val="008F0C63"/>
    <w:rsid w:val="008F2385"/>
    <w:rsid w:val="008F2EC7"/>
    <w:rsid w:val="008F653E"/>
    <w:rsid w:val="009067A4"/>
    <w:rsid w:val="00907A76"/>
    <w:rsid w:val="00930885"/>
    <w:rsid w:val="00932DC3"/>
    <w:rsid w:val="00933D68"/>
    <w:rsid w:val="009340DB"/>
    <w:rsid w:val="00944FC0"/>
    <w:rsid w:val="0094618C"/>
    <w:rsid w:val="009554D9"/>
    <w:rsid w:val="0095684B"/>
    <w:rsid w:val="0096630D"/>
    <w:rsid w:val="00972498"/>
    <w:rsid w:val="009730C7"/>
    <w:rsid w:val="0097481F"/>
    <w:rsid w:val="00974CC6"/>
    <w:rsid w:val="00976AD4"/>
    <w:rsid w:val="00977E24"/>
    <w:rsid w:val="00995547"/>
    <w:rsid w:val="009A312F"/>
    <w:rsid w:val="009A5348"/>
    <w:rsid w:val="009A7220"/>
    <w:rsid w:val="009B0AB7"/>
    <w:rsid w:val="009C7029"/>
    <w:rsid w:val="009C76D5"/>
    <w:rsid w:val="009C77C7"/>
    <w:rsid w:val="009E2387"/>
    <w:rsid w:val="009F7AA4"/>
    <w:rsid w:val="00A02EAC"/>
    <w:rsid w:val="00A07AF4"/>
    <w:rsid w:val="00A10AD7"/>
    <w:rsid w:val="00A17E0C"/>
    <w:rsid w:val="00A2757C"/>
    <w:rsid w:val="00A323B0"/>
    <w:rsid w:val="00A559DB"/>
    <w:rsid w:val="00A569EA"/>
    <w:rsid w:val="00A64B8A"/>
    <w:rsid w:val="00A676A0"/>
    <w:rsid w:val="00A7033A"/>
    <w:rsid w:val="00A81EA9"/>
    <w:rsid w:val="00A93E28"/>
    <w:rsid w:val="00AA6E2C"/>
    <w:rsid w:val="00AB0515"/>
    <w:rsid w:val="00AB4412"/>
    <w:rsid w:val="00AC34FA"/>
    <w:rsid w:val="00AC4124"/>
    <w:rsid w:val="00AC6390"/>
    <w:rsid w:val="00AE1D74"/>
    <w:rsid w:val="00AE2DEB"/>
    <w:rsid w:val="00AE692D"/>
    <w:rsid w:val="00AF07F4"/>
    <w:rsid w:val="00AF0828"/>
    <w:rsid w:val="00AF35FC"/>
    <w:rsid w:val="00AF5556"/>
    <w:rsid w:val="00B03639"/>
    <w:rsid w:val="00B0652A"/>
    <w:rsid w:val="00B25AC0"/>
    <w:rsid w:val="00B40937"/>
    <w:rsid w:val="00B423EF"/>
    <w:rsid w:val="00B4401F"/>
    <w:rsid w:val="00B453DE"/>
    <w:rsid w:val="00B52D35"/>
    <w:rsid w:val="00B52DA9"/>
    <w:rsid w:val="00B54CDF"/>
    <w:rsid w:val="00B60062"/>
    <w:rsid w:val="00B61E1F"/>
    <w:rsid w:val="00B6220C"/>
    <w:rsid w:val="00B62497"/>
    <w:rsid w:val="00B72597"/>
    <w:rsid w:val="00B74C43"/>
    <w:rsid w:val="00B87840"/>
    <w:rsid w:val="00B87DC0"/>
    <w:rsid w:val="00B901F9"/>
    <w:rsid w:val="00BA3DDF"/>
    <w:rsid w:val="00BA4E13"/>
    <w:rsid w:val="00BC4D98"/>
    <w:rsid w:val="00BC582E"/>
    <w:rsid w:val="00BD6EFB"/>
    <w:rsid w:val="00BD71F1"/>
    <w:rsid w:val="00BE310B"/>
    <w:rsid w:val="00BE3DF5"/>
    <w:rsid w:val="00BE6ADE"/>
    <w:rsid w:val="00BF3E20"/>
    <w:rsid w:val="00BF5EAB"/>
    <w:rsid w:val="00C02410"/>
    <w:rsid w:val="00C0658F"/>
    <w:rsid w:val="00C14D83"/>
    <w:rsid w:val="00C1584D"/>
    <w:rsid w:val="00C15BE2"/>
    <w:rsid w:val="00C1672A"/>
    <w:rsid w:val="00C16ACC"/>
    <w:rsid w:val="00C25372"/>
    <w:rsid w:val="00C3447F"/>
    <w:rsid w:val="00C350DA"/>
    <w:rsid w:val="00C44714"/>
    <w:rsid w:val="00C51BA4"/>
    <w:rsid w:val="00C55238"/>
    <w:rsid w:val="00C67102"/>
    <w:rsid w:val="00C81491"/>
    <w:rsid w:val="00C81676"/>
    <w:rsid w:val="00C85C5D"/>
    <w:rsid w:val="00C92C3D"/>
    <w:rsid w:val="00C92CC4"/>
    <w:rsid w:val="00C94576"/>
    <w:rsid w:val="00CA0AFB"/>
    <w:rsid w:val="00CA2CE1"/>
    <w:rsid w:val="00CA2F75"/>
    <w:rsid w:val="00CA3976"/>
    <w:rsid w:val="00CA50E3"/>
    <w:rsid w:val="00CA757B"/>
    <w:rsid w:val="00CB6DD4"/>
    <w:rsid w:val="00CB72F7"/>
    <w:rsid w:val="00CC1787"/>
    <w:rsid w:val="00CC182C"/>
    <w:rsid w:val="00CC6E45"/>
    <w:rsid w:val="00CD0824"/>
    <w:rsid w:val="00CD2908"/>
    <w:rsid w:val="00CF66A3"/>
    <w:rsid w:val="00D01155"/>
    <w:rsid w:val="00D03A82"/>
    <w:rsid w:val="00D13667"/>
    <w:rsid w:val="00D15344"/>
    <w:rsid w:val="00D16863"/>
    <w:rsid w:val="00D208F3"/>
    <w:rsid w:val="00D23F57"/>
    <w:rsid w:val="00D310EE"/>
    <w:rsid w:val="00D31BEC"/>
    <w:rsid w:val="00D4325D"/>
    <w:rsid w:val="00D60099"/>
    <w:rsid w:val="00D63150"/>
    <w:rsid w:val="00D636BA"/>
    <w:rsid w:val="00D64A32"/>
    <w:rsid w:val="00D64EFC"/>
    <w:rsid w:val="00D75295"/>
    <w:rsid w:val="00D7631E"/>
    <w:rsid w:val="00D76CE9"/>
    <w:rsid w:val="00D97F12"/>
    <w:rsid w:val="00DA6095"/>
    <w:rsid w:val="00DB42E7"/>
    <w:rsid w:val="00DC09D8"/>
    <w:rsid w:val="00DC10E3"/>
    <w:rsid w:val="00DD0F50"/>
    <w:rsid w:val="00DE01A6"/>
    <w:rsid w:val="00DE7A98"/>
    <w:rsid w:val="00DF32C2"/>
    <w:rsid w:val="00E14C01"/>
    <w:rsid w:val="00E4571D"/>
    <w:rsid w:val="00E46BF6"/>
    <w:rsid w:val="00E47145"/>
    <w:rsid w:val="00E471A7"/>
    <w:rsid w:val="00E53661"/>
    <w:rsid w:val="00E635CF"/>
    <w:rsid w:val="00E96F1D"/>
    <w:rsid w:val="00EB1E3B"/>
    <w:rsid w:val="00EC256B"/>
    <w:rsid w:val="00EC27BD"/>
    <w:rsid w:val="00EC54C4"/>
    <w:rsid w:val="00EC5590"/>
    <w:rsid w:val="00EC6E0A"/>
    <w:rsid w:val="00ED1FBB"/>
    <w:rsid w:val="00ED3B98"/>
    <w:rsid w:val="00ED4E18"/>
    <w:rsid w:val="00ED6103"/>
    <w:rsid w:val="00ED7922"/>
    <w:rsid w:val="00EE02C4"/>
    <w:rsid w:val="00EE1F37"/>
    <w:rsid w:val="00EE7236"/>
    <w:rsid w:val="00EF5782"/>
    <w:rsid w:val="00F0159C"/>
    <w:rsid w:val="00F02D7D"/>
    <w:rsid w:val="00F06ACF"/>
    <w:rsid w:val="00F105B7"/>
    <w:rsid w:val="00F13220"/>
    <w:rsid w:val="00F158BE"/>
    <w:rsid w:val="00F17A21"/>
    <w:rsid w:val="00F20FEC"/>
    <w:rsid w:val="00F24161"/>
    <w:rsid w:val="00F315EF"/>
    <w:rsid w:val="00F34E68"/>
    <w:rsid w:val="00F36FC2"/>
    <w:rsid w:val="00F37B27"/>
    <w:rsid w:val="00F46556"/>
    <w:rsid w:val="00F50E91"/>
    <w:rsid w:val="00F542FC"/>
    <w:rsid w:val="00F56799"/>
    <w:rsid w:val="00F57D29"/>
    <w:rsid w:val="00F60786"/>
    <w:rsid w:val="00F7360A"/>
    <w:rsid w:val="00F850A9"/>
    <w:rsid w:val="00F91BC7"/>
    <w:rsid w:val="00F96201"/>
    <w:rsid w:val="00FA1BBC"/>
    <w:rsid w:val="00FA44EA"/>
    <w:rsid w:val="00FD0B18"/>
    <w:rsid w:val="00FD2FAD"/>
    <w:rsid w:val="00FE1640"/>
    <w:rsid w:val="00FE1B9D"/>
    <w:rsid w:val="00FE70CE"/>
    <w:rsid w:val="00FE714F"/>
    <w:rsid w:val="00FF337C"/>
    <w:rsid w:val="00FF4ED0"/>
    <w:rsid w:val="00FF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9AA937"/>
  <w15:docId w15:val="{A2C83F12-EC5E-488C-927A-05037664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Bibliography">
    <w:name w:val="Bibliography"/>
    <w:basedOn w:val="Normal"/>
    <w:next w:val="Normal"/>
    <w:uiPriority w:val="37"/>
    <w:unhideWhenUsed/>
    <w:rsid w:val="001016A0"/>
    <w:pPr>
      <w:spacing w:after="160" w:line="259" w:lineRule="auto"/>
    </w:pPr>
    <w:rPr>
      <w:rFonts w:ascii="Calibri" w:eastAsia="Yu Mincho" w:hAnsi="Calibri"/>
      <w:sz w:val="22"/>
      <w:szCs w:val="22"/>
      <w:lang w:val="en-CA"/>
    </w:rPr>
  </w:style>
  <w:style w:type="table" w:customStyle="1" w:styleId="ListTable31">
    <w:name w:val="List Table 31"/>
    <w:basedOn w:val="TableNormal"/>
    <w:uiPriority w:val="48"/>
    <w:rsid w:val="004145E5"/>
    <w:pPr>
      <w:spacing w:after="0" w:line="240" w:lineRule="auto"/>
    </w:pPr>
    <w:rPr>
      <w:rFonts w:eastAsia="Yu Mincho"/>
      <w:lang w:eastAsia="zh-C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GridTable1Light1">
    <w:name w:val="Grid Table 1 Light1"/>
    <w:basedOn w:val="TableNormal"/>
    <w:uiPriority w:val="99"/>
    <w:rsid w:val="004145E5"/>
    <w:pPr>
      <w:spacing w:after="0" w:line="240" w:lineRule="auto"/>
    </w:pPr>
    <w:rPr>
      <w:rFonts w:eastAsia="Yu Mincho"/>
      <w:lang w:eastAsia="zh-C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E0802"/>
    <w:pPr>
      <w:spacing w:after="0" w:line="240" w:lineRule="auto"/>
    </w:pPr>
    <w:rPr>
      <w:rFonts w:eastAsia="Yu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barreading-time">
    <w:name w:val="bylinebar_reading-time"/>
    <w:basedOn w:val="Normal"/>
    <w:rsid w:val="00977E24"/>
    <w:pPr>
      <w:spacing w:before="100" w:beforeAutospacing="1" w:after="100" w:afterAutospacing="1"/>
    </w:pPr>
    <w:rPr>
      <w:sz w:val="24"/>
      <w:szCs w:val="24"/>
      <w:lang w:eastAsia="zh-CN"/>
    </w:rPr>
  </w:style>
  <w:style w:type="table" w:customStyle="1" w:styleId="TableGrid2">
    <w:name w:val="Table Grid2"/>
    <w:basedOn w:val="TableNormal"/>
    <w:next w:val="TableGrid"/>
    <w:uiPriority w:val="59"/>
    <w:rsid w:val="008106F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720034">
      <w:bodyDiv w:val="1"/>
      <w:marLeft w:val="0"/>
      <w:marRight w:val="0"/>
      <w:marTop w:val="0"/>
      <w:marBottom w:val="0"/>
      <w:divBdr>
        <w:top w:val="none" w:sz="0" w:space="0" w:color="auto"/>
        <w:left w:val="none" w:sz="0" w:space="0" w:color="auto"/>
        <w:bottom w:val="none" w:sz="0" w:space="0" w:color="auto"/>
        <w:right w:val="none" w:sz="0" w:space="0" w:color="auto"/>
      </w:divBdr>
      <w:divsChild>
        <w:div w:id="2040545247">
          <w:marLeft w:val="0"/>
          <w:marRight w:val="0"/>
          <w:marTop w:val="0"/>
          <w:marBottom w:val="450"/>
          <w:divBdr>
            <w:top w:val="none" w:sz="0" w:space="0" w:color="auto"/>
            <w:left w:val="none" w:sz="0" w:space="0" w:color="auto"/>
            <w:bottom w:val="none" w:sz="0" w:space="0" w:color="auto"/>
            <w:right w:val="none" w:sz="0" w:space="0" w:color="auto"/>
          </w:divBdr>
          <w:divsChild>
            <w:div w:id="137461428">
              <w:marLeft w:val="0"/>
              <w:marRight w:val="0"/>
              <w:marTop w:val="0"/>
              <w:marBottom w:val="0"/>
              <w:divBdr>
                <w:top w:val="none" w:sz="0" w:space="0" w:color="auto"/>
                <w:left w:val="none" w:sz="0" w:space="0" w:color="auto"/>
                <w:bottom w:val="none" w:sz="0" w:space="0" w:color="auto"/>
                <w:right w:val="none" w:sz="0" w:space="0" w:color="auto"/>
              </w:divBdr>
              <w:divsChild>
                <w:div w:id="1983120978">
                  <w:marLeft w:val="0"/>
                  <w:marRight w:val="0"/>
                  <w:marTop w:val="0"/>
                  <w:marBottom w:val="0"/>
                  <w:divBdr>
                    <w:top w:val="none" w:sz="0" w:space="0" w:color="auto"/>
                    <w:left w:val="none" w:sz="0" w:space="0" w:color="auto"/>
                    <w:bottom w:val="none" w:sz="0" w:space="0" w:color="auto"/>
                    <w:right w:val="none" w:sz="0" w:space="0" w:color="auto"/>
                  </w:divBdr>
                  <w:divsChild>
                    <w:div w:id="206962738">
                      <w:marLeft w:val="0"/>
                      <w:marRight w:val="0"/>
                      <w:marTop w:val="0"/>
                      <w:marBottom w:val="0"/>
                      <w:divBdr>
                        <w:top w:val="none" w:sz="0" w:space="0" w:color="auto"/>
                        <w:left w:val="none" w:sz="0" w:space="0" w:color="auto"/>
                        <w:bottom w:val="none" w:sz="0" w:space="0" w:color="auto"/>
                        <w:right w:val="none" w:sz="0" w:space="0" w:color="auto"/>
                      </w:divBdr>
                      <w:divsChild>
                        <w:div w:id="1371412976">
                          <w:marLeft w:val="0"/>
                          <w:marRight w:val="1911"/>
                          <w:marTop w:val="0"/>
                          <w:marBottom w:val="0"/>
                          <w:divBdr>
                            <w:top w:val="none" w:sz="0" w:space="0" w:color="auto"/>
                            <w:left w:val="none" w:sz="0" w:space="0" w:color="auto"/>
                            <w:bottom w:val="none" w:sz="0" w:space="0" w:color="auto"/>
                            <w:right w:val="none" w:sz="0" w:space="0" w:color="auto"/>
                          </w:divBdr>
                          <w:divsChild>
                            <w:div w:id="1875119994">
                              <w:marLeft w:val="1465"/>
                              <w:marRight w:val="400"/>
                              <w:marTop w:val="0"/>
                              <w:marBottom w:val="0"/>
                              <w:divBdr>
                                <w:top w:val="none" w:sz="0" w:space="0" w:color="auto"/>
                                <w:left w:val="none" w:sz="0" w:space="0" w:color="auto"/>
                                <w:bottom w:val="none" w:sz="0" w:space="0" w:color="auto"/>
                                <w:right w:val="none" w:sz="0" w:space="0" w:color="auto"/>
                              </w:divBdr>
                              <w:divsChild>
                                <w:div w:id="2018461901">
                                  <w:marLeft w:val="0"/>
                                  <w:marRight w:val="0"/>
                                  <w:marTop w:val="0"/>
                                  <w:marBottom w:val="0"/>
                                  <w:divBdr>
                                    <w:top w:val="none" w:sz="0" w:space="0" w:color="auto"/>
                                    <w:left w:val="none" w:sz="0" w:space="0" w:color="auto"/>
                                    <w:bottom w:val="single" w:sz="6" w:space="11" w:color="EBEBEB"/>
                                    <w:right w:val="none" w:sz="0" w:space="0" w:color="auto"/>
                                  </w:divBdr>
                                  <w:divsChild>
                                    <w:div w:id="1860043795">
                                      <w:marLeft w:val="0"/>
                                      <w:marRight w:val="225"/>
                                      <w:marTop w:val="0"/>
                                      <w:marBottom w:val="0"/>
                                      <w:divBdr>
                                        <w:top w:val="none" w:sz="0" w:space="0" w:color="auto"/>
                                        <w:left w:val="none" w:sz="0" w:space="0" w:color="auto"/>
                                        <w:bottom w:val="none" w:sz="0" w:space="0" w:color="auto"/>
                                        <w:right w:val="none" w:sz="0" w:space="0" w:color="auto"/>
                                      </w:divBdr>
                                    </w:div>
                                    <w:div w:id="956060017">
                                      <w:marLeft w:val="0"/>
                                      <w:marRight w:val="0"/>
                                      <w:marTop w:val="0"/>
                                      <w:marBottom w:val="0"/>
                                      <w:divBdr>
                                        <w:top w:val="none" w:sz="0" w:space="0" w:color="auto"/>
                                        <w:left w:val="none" w:sz="0" w:space="0" w:color="auto"/>
                                        <w:bottom w:val="none" w:sz="0" w:space="0" w:color="auto"/>
                                        <w:right w:val="none" w:sz="0" w:space="0" w:color="auto"/>
                                      </w:divBdr>
                                      <w:divsChild>
                                        <w:div w:id="12684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58672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87668-7AFB-408D-AA90-524882B90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6638</Words>
  <Characters>37839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2019-07-19T16:47:00Z</cp:lastPrinted>
  <dcterms:created xsi:type="dcterms:W3CDTF">2019-07-19T16:45:00Z</dcterms:created>
  <dcterms:modified xsi:type="dcterms:W3CDTF">2019-07-19T16:48:00Z</dcterms:modified>
</cp:coreProperties>
</file>