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B25D" w14:textId="267CEADA" w:rsidR="008B0E13" w:rsidRPr="000269CF" w:rsidRDefault="003B454A"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214A834A" wp14:editId="429B7C6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E55154B" w:rsidR="00C02410" w:rsidRPr="000269CF" w:rsidRDefault="003B454A" w:rsidP="00C02410">
      <w:pPr>
        <w:pStyle w:val="ProductNumber"/>
        <w:rPr>
          <w:lang w:val="en-GB"/>
        </w:rPr>
      </w:pPr>
      <w:r>
        <w:rPr>
          <w:lang w:val="en-GB"/>
        </w:rPr>
        <w:t>9b19m</w:t>
      </w:r>
      <w:r w:rsidR="0047411A">
        <w:rPr>
          <w:lang w:val="en-GB"/>
        </w:rPr>
        <w:t>072</w:t>
      </w:r>
    </w:p>
    <w:p w14:paraId="4E057522" w14:textId="7A113CB1" w:rsidR="00D75295" w:rsidRPr="000269CF" w:rsidRDefault="00D75295" w:rsidP="00D75295">
      <w:pPr>
        <w:jc w:val="right"/>
        <w:rPr>
          <w:rFonts w:ascii="Arial" w:hAnsi="Arial"/>
          <w:b/>
          <w:lang w:val="en-GB"/>
        </w:rPr>
      </w:pPr>
    </w:p>
    <w:p w14:paraId="02524312" w14:textId="77777777" w:rsidR="001901C0" w:rsidRPr="000269CF" w:rsidRDefault="001901C0" w:rsidP="00D75295">
      <w:pPr>
        <w:jc w:val="right"/>
        <w:rPr>
          <w:rFonts w:ascii="Arial" w:hAnsi="Arial"/>
          <w:b/>
          <w:lang w:val="en-GB"/>
        </w:rPr>
      </w:pPr>
    </w:p>
    <w:p w14:paraId="2F03D26A" w14:textId="435EFF9B" w:rsidR="00013360" w:rsidRPr="000269CF" w:rsidRDefault="00EC6A26" w:rsidP="00013360">
      <w:pPr>
        <w:pStyle w:val="CaseTitle"/>
        <w:spacing w:after="0" w:line="240" w:lineRule="auto"/>
        <w:rPr>
          <w:sz w:val="20"/>
          <w:szCs w:val="20"/>
          <w:lang w:val="en-GB"/>
        </w:rPr>
      </w:pPr>
      <w:r w:rsidRPr="000269CF">
        <w:rPr>
          <w:lang w:val="en-GB"/>
        </w:rPr>
        <w:t>CHARTER COMMUNICATIONS: ANOTHER BID FOR TIME WARNER CABLE?</w:t>
      </w:r>
    </w:p>
    <w:p w14:paraId="40ABF6FD" w14:textId="77777777" w:rsidR="00CA3976" w:rsidRPr="000269CF" w:rsidRDefault="00CA3976" w:rsidP="00013360">
      <w:pPr>
        <w:pStyle w:val="CaseTitle"/>
        <w:spacing w:after="0" w:line="240" w:lineRule="auto"/>
        <w:rPr>
          <w:sz w:val="20"/>
          <w:szCs w:val="20"/>
          <w:lang w:val="en-GB"/>
        </w:rPr>
      </w:pPr>
    </w:p>
    <w:p w14:paraId="202F1085" w14:textId="77777777" w:rsidR="00013360" w:rsidRPr="000269CF" w:rsidRDefault="00013360" w:rsidP="00013360">
      <w:pPr>
        <w:pStyle w:val="CaseTitle"/>
        <w:spacing w:after="0" w:line="240" w:lineRule="auto"/>
        <w:rPr>
          <w:sz w:val="20"/>
          <w:szCs w:val="20"/>
          <w:lang w:val="en-GB"/>
        </w:rPr>
      </w:pPr>
    </w:p>
    <w:p w14:paraId="58B0C73F" w14:textId="31E302BB" w:rsidR="00086B26" w:rsidRPr="000269CF" w:rsidRDefault="00EC6A26" w:rsidP="00086B26">
      <w:pPr>
        <w:pStyle w:val="StyleCopyrightStatementAfter0ptBottomSinglesolidline1"/>
        <w:rPr>
          <w:lang w:val="en-GB"/>
        </w:rPr>
      </w:pPr>
      <w:r w:rsidRPr="000269CF">
        <w:rPr>
          <w:lang w:val="en-GB"/>
        </w:rPr>
        <w:t>Radha Chaganti, Mayank Jaiswal, and Rajeswararao Chagan</w:t>
      </w:r>
      <w:r w:rsidR="00B0488A" w:rsidRPr="000269CF">
        <w:rPr>
          <w:lang w:val="en-GB"/>
        </w:rPr>
        <w:t>t</w:t>
      </w:r>
      <w:r w:rsidRPr="000269CF">
        <w:rPr>
          <w:lang w:val="en-GB"/>
        </w:rPr>
        <w:t>i</w:t>
      </w:r>
      <w:r w:rsidR="00ED7922" w:rsidRPr="000269CF">
        <w:rPr>
          <w:rFonts w:cs="Arial"/>
          <w:szCs w:val="16"/>
          <w:lang w:val="en-GB"/>
        </w:rPr>
        <w:t xml:space="preserve"> </w:t>
      </w:r>
      <w:r w:rsidR="00086B26" w:rsidRPr="000269CF">
        <w:rPr>
          <w:lang w:val="en-GB"/>
        </w:rPr>
        <w:t>wrote this case solely to provide material for class discussion.</w:t>
      </w:r>
      <w:r w:rsidR="005B1329">
        <w:rPr>
          <w:lang w:val="en-GB"/>
        </w:rPr>
        <w:t xml:space="preserve"> Authors acknowledge </w:t>
      </w:r>
      <w:r w:rsidR="00F15824">
        <w:rPr>
          <w:lang w:val="en-GB"/>
        </w:rPr>
        <w:t xml:space="preserve">the </w:t>
      </w:r>
      <w:r w:rsidR="005B1329">
        <w:rPr>
          <w:lang w:val="en-GB"/>
        </w:rPr>
        <w:t>help of Greg Bates in writing this case.</w:t>
      </w:r>
      <w:r w:rsidR="00086B26" w:rsidRPr="000269CF">
        <w:rPr>
          <w:lang w:val="en-GB"/>
        </w:rPr>
        <w:t xml:space="preserve">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0269CF" w:rsidRDefault="00086B26" w:rsidP="00086B26">
      <w:pPr>
        <w:pStyle w:val="StyleCopyrightStatementAfter0ptBottomSinglesolidline1"/>
        <w:rPr>
          <w:lang w:val="en-GB"/>
        </w:rPr>
      </w:pPr>
    </w:p>
    <w:p w14:paraId="1E57CD44" w14:textId="77777777" w:rsidR="00D339D6" w:rsidRPr="00A323B0" w:rsidRDefault="00D339D6" w:rsidP="00D339D6">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96A6AF8" w14:textId="77777777" w:rsidR="00D339D6" w:rsidRPr="00A323B0" w:rsidRDefault="00D339D6" w:rsidP="00D339D6">
      <w:pPr>
        <w:pStyle w:val="StyleStyleCopyrightStatementAfter0ptBottomSinglesolid"/>
        <w:rPr>
          <w:rFonts w:cs="Arial"/>
          <w:szCs w:val="16"/>
        </w:rPr>
      </w:pPr>
    </w:p>
    <w:p w14:paraId="3922E14F" w14:textId="789C2B06" w:rsidR="00751E0B" w:rsidRPr="000269CF" w:rsidRDefault="00D339D6" w:rsidP="00D339D6">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0269CF">
        <w:rPr>
          <w:rFonts w:cs="Arial"/>
          <w:iCs w:val="0"/>
          <w:color w:val="auto"/>
          <w:szCs w:val="16"/>
          <w:lang w:val="en-GB"/>
        </w:rPr>
        <w:tab/>
        <w:t xml:space="preserve">Version: </w:t>
      </w:r>
      <w:r w:rsidR="00EC6A26" w:rsidRPr="000269CF">
        <w:rPr>
          <w:rFonts w:cs="Arial"/>
          <w:iCs w:val="0"/>
          <w:color w:val="auto"/>
          <w:szCs w:val="16"/>
          <w:lang w:val="en-GB"/>
        </w:rPr>
        <w:t>2019-</w:t>
      </w:r>
      <w:r w:rsidR="00B0736C">
        <w:rPr>
          <w:rFonts w:cs="Arial"/>
          <w:iCs w:val="0"/>
          <w:color w:val="auto"/>
          <w:szCs w:val="16"/>
          <w:lang w:val="en-GB"/>
        </w:rPr>
        <w:t>07-</w:t>
      </w:r>
      <w:r w:rsidR="004F4F31">
        <w:rPr>
          <w:rFonts w:cs="Arial"/>
          <w:iCs w:val="0"/>
          <w:color w:val="auto"/>
          <w:szCs w:val="16"/>
          <w:lang w:val="en-GB"/>
        </w:rPr>
        <w:t>22</w:t>
      </w:r>
    </w:p>
    <w:p w14:paraId="0A2A54E4" w14:textId="77777777" w:rsidR="00751E0B" w:rsidRPr="000269CF" w:rsidRDefault="00751E0B" w:rsidP="00751E0B">
      <w:pPr>
        <w:pStyle w:val="StyleCopyrightStatementAfter0ptBottomSinglesolidline1"/>
        <w:rPr>
          <w:rFonts w:ascii="Times New Roman" w:hAnsi="Times New Roman"/>
          <w:sz w:val="20"/>
          <w:lang w:val="en-GB"/>
        </w:rPr>
      </w:pPr>
    </w:p>
    <w:p w14:paraId="2C183161" w14:textId="77777777" w:rsidR="00B87DC0" w:rsidRPr="000269CF" w:rsidRDefault="00B87DC0" w:rsidP="00EC6A26">
      <w:pPr>
        <w:pStyle w:val="BodyTextMain"/>
        <w:rPr>
          <w:lang w:val="en-GB"/>
        </w:rPr>
      </w:pPr>
    </w:p>
    <w:p w14:paraId="18429882" w14:textId="5296A16B" w:rsidR="00EC6A26" w:rsidRPr="00C16E0B" w:rsidRDefault="00EC6A26" w:rsidP="00EC6A26">
      <w:pPr>
        <w:pStyle w:val="BodyTextMain"/>
        <w:rPr>
          <w:rFonts w:eastAsia="Calibri"/>
          <w:u w:color="000000"/>
          <w:bdr w:val="nil"/>
          <w:lang w:val="en-GB"/>
        </w:rPr>
      </w:pPr>
      <w:r w:rsidRPr="000269CF">
        <w:rPr>
          <w:rFonts w:eastAsia="Calibri"/>
          <w:u w:color="000000"/>
          <w:bdr w:val="nil"/>
          <w:lang w:val="en-GB"/>
        </w:rPr>
        <w:t>In the summer and fall of 2013, Charter Communications</w:t>
      </w:r>
      <w:r w:rsidR="000269CF">
        <w:rPr>
          <w:rFonts w:eastAsia="Calibri"/>
          <w:u w:color="000000"/>
          <w:bdr w:val="nil"/>
          <w:lang w:val="en-GB"/>
        </w:rPr>
        <w:t xml:space="preserve"> (Charter)</w:t>
      </w:r>
      <w:r w:rsidRPr="000269CF">
        <w:rPr>
          <w:rFonts w:eastAsia="Calibri"/>
          <w:u w:color="000000"/>
          <w:bdr w:val="nil"/>
          <w:lang w:val="en-GB"/>
        </w:rPr>
        <w:t xml:space="preserve">, the </w:t>
      </w:r>
      <w:r w:rsidR="000269CF">
        <w:rPr>
          <w:rFonts w:eastAsia="Calibri"/>
          <w:u w:color="000000"/>
          <w:bdr w:val="nil"/>
          <w:lang w:val="en-GB"/>
        </w:rPr>
        <w:t>fourth-largest</w:t>
      </w:r>
      <w:r w:rsidRPr="000269CF">
        <w:rPr>
          <w:rFonts w:eastAsia="Calibri"/>
          <w:u w:color="000000"/>
          <w:bdr w:val="nil"/>
          <w:lang w:val="en-GB"/>
        </w:rPr>
        <w:t xml:space="preserve"> cable </w:t>
      </w:r>
      <w:r w:rsidR="000269CF">
        <w:rPr>
          <w:rFonts w:eastAsia="Calibri"/>
          <w:u w:color="000000"/>
          <w:bdr w:val="nil"/>
          <w:lang w:val="en-GB"/>
        </w:rPr>
        <w:t>television</w:t>
      </w:r>
      <w:r w:rsidRPr="000269CF">
        <w:rPr>
          <w:rFonts w:eastAsia="Calibri"/>
          <w:u w:color="000000"/>
          <w:bdr w:val="nil"/>
          <w:lang w:val="en-GB"/>
        </w:rPr>
        <w:t xml:space="preserve"> company by market share, made multiple bids to acquire Time Warner Cable (TWC), the </w:t>
      </w:r>
      <w:r w:rsidR="000269CF">
        <w:rPr>
          <w:rFonts w:eastAsia="Calibri"/>
          <w:u w:color="000000"/>
          <w:bdr w:val="nil"/>
          <w:lang w:val="en-GB"/>
        </w:rPr>
        <w:t>second-largest</w:t>
      </w:r>
      <w:r w:rsidRPr="000269CF">
        <w:rPr>
          <w:rFonts w:eastAsia="Calibri"/>
          <w:u w:color="000000"/>
          <w:bdr w:val="nil"/>
          <w:lang w:val="en-GB"/>
        </w:rPr>
        <w:t xml:space="preserve"> company, only to be rejected. Then, in late 2013, TWC invited </w:t>
      </w:r>
      <w:r w:rsidR="00F410F5">
        <w:rPr>
          <w:rFonts w:eastAsia="Calibri"/>
          <w:u w:color="000000"/>
          <w:bdr w:val="nil"/>
          <w:lang w:val="en-GB"/>
        </w:rPr>
        <w:t>Comcast Corporation (</w:t>
      </w:r>
      <w:r w:rsidRPr="000269CF">
        <w:rPr>
          <w:rFonts w:eastAsia="Calibri"/>
          <w:u w:color="000000"/>
          <w:bdr w:val="nil"/>
          <w:lang w:val="en-GB"/>
        </w:rPr>
        <w:t>Comcast</w:t>
      </w:r>
      <w:r w:rsidR="00F410F5">
        <w:rPr>
          <w:rFonts w:eastAsia="Calibri"/>
          <w:u w:color="000000"/>
          <w:bdr w:val="nil"/>
          <w:lang w:val="en-GB"/>
        </w:rPr>
        <w:t>)</w:t>
      </w:r>
      <w:r w:rsidRPr="000269CF">
        <w:rPr>
          <w:rFonts w:eastAsia="Calibri"/>
          <w:u w:color="000000"/>
          <w:bdr w:val="nil"/>
          <w:lang w:val="en-GB"/>
        </w:rPr>
        <w:t xml:space="preserve">, the </w:t>
      </w:r>
      <w:r w:rsidR="000269CF">
        <w:rPr>
          <w:rFonts w:eastAsia="Calibri"/>
          <w:u w:color="000000"/>
          <w:bdr w:val="nil"/>
          <w:lang w:val="en-GB"/>
        </w:rPr>
        <w:t>largest</w:t>
      </w:r>
      <w:r w:rsidRPr="000269CF">
        <w:rPr>
          <w:rFonts w:eastAsia="Calibri"/>
          <w:u w:color="000000"/>
          <w:bdr w:val="nil"/>
          <w:lang w:val="en-GB"/>
        </w:rPr>
        <w:t xml:space="preserve"> cable </w:t>
      </w:r>
      <w:r w:rsidR="000269CF">
        <w:rPr>
          <w:rFonts w:eastAsia="Calibri"/>
          <w:u w:color="000000"/>
          <w:bdr w:val="nil"/>
          <w:lang w:val="en-GB"/>
        </w:rPr>
        <w:t>television</w:t>
      </w:r>
      <w:r w:rsidRPr="000269CF">
        <w:rPr>
          <w:rFonts w:eastAsia="Calibri"/>
          <w:u w:color="000000"/>
          <w:bdr w:val="nil"/>
          <w:lang w:val="en-GB"/>
        </w:rPr>
        <w:t xml:space="preserve"> company, to make a friendly bid. In February 2014, TWC accepted Comcast’s bid. However, a year later, in April 2015, the </w:t>
      </w:r>
      <w:r w:rsidR="000269CF">
        <w:rPr>
          <w:rFonts w:eastAsia="Calibri"/>
          <w:u w:color="000000"/>
          <w:bdr w:val="nil"/>
          <w:lang w:val="en-GB"/>
        </w:rPr>
        <w:t>U.S. Federal Communications Commission (</w:t>
      </w:r>
      <w:r w:rsidRPr="000269CF">
        <w:rPr>
          <w:rFonts w:eastAsia="Calibri"/>
          <w:u w:color="000000"/>
          <w:bdr w:val="nil"/>
          <w:lang w:val="en-GB"/>
        </w:rPr>
        <w:t>FCC</w:t>
      </w:r>
      <w:r w:rsidR="00C64BEA">
        <w:rPr>
          <w:rFonts w:eastAsia="Calibri"/>
          <w:u w:color="000000"/>
          <w:bdr w:val="nil"/>
          <w:lang w:val="en-GB"/>
        </w:rPr>
        <w:t>)</w:t>
      </w:r>
      <w:r w:rsidRPr="000269CF">
        <w:rPr>
          <w:rFonts w:eastAsia="Calibri"/>
          <w:u w:color="000000"/>
          <w:bdr w:val="nil"/>
          <w:lang w:val="en-GB"/>
        </w:rPr>
        <w:t xml:space="preserve"> recommended </w:t>
      </w:r>
      <w:r w:rsidR="008C02CC">
        <w:rPr>
          <w:rFonts w:eastAsia="Calibri"/>
          <w:u w:color="000000"/>
          <w:bdr w:val="nil"/>
          <w:lang w:val="en-GB"/>
        </w:rPr>
        <w:t xml:space="preserve">holding </w:t>
      </w:r>
      <w:r w:rsidRPr="000269CF">
        <w:rPr>
          <w:rFonts w:eastAsia="Calibri"/>
          <w:u w:color="000000"/>
          <w:bdr w:val="nil"/>
          <w:lang w:val="en-GB"/>
        </w:rPr>
        <w:t>hearings on the</w:t>
      </w:r>
      <w:r w:rsidR="008C02CC">
        <w:rPr>
          <w:rFonts w:eastAsia="Calibri"/>
          <w:u w:color="000000"/>
          <w:bdr w:val="nil"/>
          <w:lang w:val="en-GB"/>
        </w:rPr>
        <w:t xml:space="preserve"> merger</w:t>
      </w:r>
      <w:r w:rsidRPr="000269CF">
        <w:rPr>
          <w:rFonts w:eastAsia="Calibri"/>
          <w:u w:color="000000"/>
          <w:bdr w:val="nil"/>
          <w:lang w:val="en-GB"/>
        </w:rPr>
        <w:t>, signal</w:t>
      </w:r>
      <w:r w:rsidR="00C64BEA">
        <w:rPr>
          <w:rFonts w:eastAsia="Calibri"/>
          <w:u w:color="000000"/>
          <w:bdr w:val="nil"/>
          <w:lang w:val="en-GB"/>
        </w:rPr>
        <w:t>l</w:t>
      </w:r>
      <w:r w:rsidRPr="000269CF">
        <w:rPr>
          <w:rFonts w:eastAsia="Calibri"/>
          <w:u w:color="000000"/>
          <w:bdr w:val="nil"/>
          <w:lang w:val="en-GB"/>
        </w:rPr>
        <w:t>ing that the agency was unlikely to approve the merger. Following that announcement, Comcast terminated its proposed merger agreement with TWC on April 24, 2015</w:t>
      </w:r>
      <w:r w:rsidR="00C64BEA">
        <w:rPr>
          <w:rFonts w:eastAsia="Arial Unicode MS"/>
          <w:u w:color="000000"/>
          <w:bdr w:val="nil"/>
          <w:lang w:val="en-GB"/>
        </w:rPr>
        <w:t>,</w:t>
      </w:r>
      <w:r w:rsidRPr="000269CF">
        <w:rPr>
          <w:rFonts w:eastAsia="Arial Unicode MS"/>
          <w:u w:color="000000"/>
          <w:bdr w:val="nil"/>
          <w:vertAlign w:val="superscript"/>
          <w:lang w:val="en-GB"/>
        </w:rPr>
        <w:endnoteReference w:id="1"/>
      </w:r>
      <w:r w:rsidR="00C64BEA">
        <w:rPr>
          <w:rFonts w:eastAsia="Arial Unicode MS"/>
          <w:u w:color="000000"/>
          <w:bdr w:val="nil"/>
          <w:lang w:val="en-GB"/>
        </w:rPr>
        <w:t xml:space="preserve"> which meant that</w:t>
      </w:r>
      <w:r w:rsidRPr="000269CF">
        <w:rPr>
          <w:rFonts w:eastAsia="Arial Unicode MS"/>
          <w:u w:color="000000"/>
          <w:bdr w:val="nil"/>
          <w:lang w:val="en-GB"/>
        </w:rPr>
        <w:t xml:space="preserve"> </w:t>
      </w:r>
      <w:r w:rsidRPr="000269CF">
        <w:rPr>
          <w:rFonts w:eastAsia="Calibri"/>
          <w:u w:color="000000"/>
          <w:bdr w:val="nil"/>
          <w:lang w:val="en-GB"/>
        </w:rPr>
        <w:t xml:space="preserve">TWC was </w:t>
      </w:r>
      <w:r w:rsidR="00DB7E5D">
        <w:rPr>
          <w:rFonts w:eastAsia="Calibri"/>
          <w:u w:color="000000"/>
          <w:bdr w:val="nil"/>
          <w:lang w:val="en-GB"/>
        </w:rPr>
        <w:t>again available for a merger</w:t>
      </w:r>
      <w:r w:rsidRPr="000269CF">
        <w:rPr>
          <w:rFonts w:eastAsia="Calibri"/>
          <w:u w:color="000000"/>
          <w:bdr w:val="nil"/>
          <w:lang w:val="en-GB"/>
        </w:rPr>
        <w:t xml:space="preserve">. </w:t>
      </w:r>
      <w:r w:rsidR="00C64BEA">
        <w:rPr>
          <w:rFonts w:eastAsia="Calibri"/>
          <w:u w:color="000000"/>
          <w:bdr w:val="nil"/>
          <w:lang w:val="en-GB"/>
        </w:rPr>
        <w:t xml:space="preserve">At that point, </w:t>
      </w:r>
      <w:r w:rsidRPr="000269CF">
        <w:rPr>
          <w:rFonts w:eastAsia="Calibri"/>
          <w:u w:color="000000"/>
          <w:bdr w:val="nil"/>
          <w:lang w:val="en-GB"/>
        </w:rPr>
        <w:t xml:space="preserve">Charter </w:t>
      </w:r>
      <w:r w:rsidR="00C64BEA">
        <w:rPr>
          <w:rFonts w:eastAsia="Calibri"/>
          <w:u w:color="000000"/>
          <w:bdr w:val="nil"/>
          <w:lang w:val="en-GB"/>
        </w:rPr>
        <w:t>had to</w:t>
      </w:r>
      <w:r w:rsidRPr="000269CF">
        <w:rPr>
          <w:rFonts w:eastAsia="Calibri"/>
          <w:u w:color="000000"/>
          <w:bdr w:val="nil"/>
          <w:lang w:val="en-GB"/>
        </w:rPr>
        <w:t xml:space="preserve"> deci</w:t>
      </w:r>
      <w:r w:rsidR="00C64BEA">
        <w:rPr>
          <w:rFonts w:eastAsia="Calibri"/>
          <w:u w:color="000000"/>
          <w:bdr w:val="nil"/>
          <w:lang w:val="en-GB"/>
        </w:rPr>
        <w:t>de whether</w:t>
      </w:r>
      <w:r w:rsidRPr="000269CF">
        <w:rPr>
          <w:rFonts w:eastAsia="Calibri"/>
          <w:u w:color="000000"/>
          <w:bdr w:val="nil"/>
          <w:lang w:val="en-GB"/>
        </w:rPr>
        <w:t xml:space="preserve"> to </w:t>
      </w:r>
      <w:r w:rsidR="00F410F5">
        <w:rPr>
          <w:rFonts w:eastAsia="Calibri"/>
          <w:u w:color="000000"/>
          <w:bdr w:val="nil"/>
          <w:lang w:val="en-GB"/>
        </w:rPr>
        <w:t>launch a</w:t>
      </w:r>
      <w:r w:rsidR="00C64BEA">
        <w:rPr>
          <w:rFonts w:eastAsia="Calibri"/>
          <w:u w:color="000000"/>
          <w:bdr w:val="nil"/>
          <w:lang w:val="en-GB"/>
        </w:rPr>
        <w:t xml:space="preserve"> </w:t>
      </w:r>
      <w:r w:rsidR="00DB7E5D">
        <w:rPr>
          <w:rFonts w:eastAsia="Calibri"/>
          <w:u w:color="000000"/>
          <w:bdr w:val="nil"/>
          <w:lang w:val="en-GB"/>
        </w:rPr>
        <w:t xml:space="preserve">new </w:t>
      </w:r>
      <w:r w:rsidRPr="000269CF">
        <w:rPr>
          <w:rFonts w:eastAsia="Calibri"/>
          <w:u w:color="000000"/>
          <w:bdr w:val="nil"/>
          <w:lang w:val="en-GB"/>
        </w:rPr>
        <w:t>bid for TWC</w:t>
      </w:r>
      <w:r w:rsidR="00DB7E5D">
        <w:rPr>
          <w:rFonts w:eastAsia="Calibri"/>
          <w:u w:color="000000"/>
          <w:bdr w:val="nil"/>
          <w:lang w:val="en-GB"/>
        </w:rPr>
        <w:t>.</w:t>
      </w:r>
      <w:r w:rsidRPr="000269CF">
        <w:rPr>
          <w:rFonts w:eastAsia="Calibri"/>
          <w:u w:color="000000"/>
          <w:bdr w:val="nil"/>
          <w:lang w:val="en-GB"/>
        </w:rPr>
        <w:t xml:space="preserve"> If </w:t>
      </w:r>
      <w:r w:rsidR="009413F1">
        <w:rPr>
          <w:rFonts w:eastAsia="Calibri"/>
          <w:u w:color="000000"/>
          <w:bdr w:val="nil"/>
          <w:lang w:val="en-GB"/>
        </w:rPr>
        <w:t>they went ahead with a new bid attempt</w:t>
      </w:r>
      <w:r w:rsidRPr="000269CF">
        <w:rPr>
          <w:rFonts w:eastAsia="Calibri"/>
          <w:u w:color="000000"/>
          <w:bdr w:val="nil"/>
          <w:lang w:val="en-GB"/>
        </w:rPr>
        <w:t xml:space="preserve">, what </w:t>
      </w:r>
      <w:r w:rsidR="009413F1">
        <w:rPr>
          <w:rFonts w:eastAsia="Calibri"/>
          <w:u w:color="000000"/>
          <w:bdr w:val="nil"/>
          <w:lang w:val="en-GB"/>
        </w:rPr>
        <w:t>c</w:t>
      </w:r>
      <w:r w:rsidRPr="000269CF">
        <w:rPr>
          <w:rFonts w:eastAsia="Calibri"/>
          <w:u w:color="000000"/>
          <w:bdr w:val="nil"/>
          <w:lang w:val="en-GB"/>
        </w:rPr>
        <w:t xml:space="preserve">ould </w:t>
      </w:r>
      <w:r w:rsidR="00F410F5">
        <w:rPr>
          <w:rFonts w:eastAsia="Calibri"/>
          <w:u w:color="000000"/>
          <w:bdr w:val="nil"/>
          <w:lang w:val="en-GB"/>
        </w:rPr>
        <w:t>Charter</w:t>
      </w:r>
      <w:r w:rsidRPr="000269CF">
        <w:rPr>
          <w:rFonts w:eastAsia="Calibri"/>
          <w:u w:color="000000"/>
          <w:bdr w:val="nil"/>
          <w:lang w:val="en-GB"/>
        </w:rPr>
        <w:t xml:space="preserve"> do differently? </w:t>
      </w:r>
    </w:p>
    <w:p w14:paraId="4DE16055" w14:textId="77777777" w:rsidR="00EC6A26" w:rsidRPr="000269CF" w:rsidRDefault="00EC6A26" w:rsidP="00EC6A26">
      <w:pPr>
        <w:pStyle w:val="BodyTextMain"/>
        <w:rPr>
          <w:rFonts w:eastAsia="Calibri"/>
          <w:u w:color="000000"/>
          <w:bdr w:val="nil"/>
          <w:shd w:val="clear" w:color="auto" w:fill="FFFF00"/>
          <w:lang w:val="en-GB"/>
        </w:rPr>
      </w:pPr>
    </w:p>
    <w:p w14:paraId="5A39840E" w14:textId="77777777" w:rsidR="00EC6A26" w:rsidRPr="000269CF" w:rsidRDefault="00EC6A26" w:rsidP="00EC6A26">
      <w:pPr>
        <w:pStyle w:val="BodyTextMain"/>
        <w:rPr>
          <w:rFonts w:eastAsia="Calibri"/>
          <w:u w:color="000000"/>
          <w:bdr w:val="nil"/>
          <w:lang w:val="en-GB"/>
        </w:rPr>
      </w:pPr>
    </w:p>
    <w:p w14:paraId="6B8BEB7E" w14:textId="77777777" w:rsidR="00EC6A26" w:rsidRPr="000269CF" w:rsidRDefault="00EC6A26" w:rsidP="00EC6A26">
      <w:pPr>
        <w:pStyle w:val="Casehead1"/>
        <w:rPr>
          <w:rFonts w:eastAsia="Calibri"/>
          <w:u w:color="000000"/>
          <w:bdr w:val="nil"/>
          <w:lang w:val="en-GB"/>
        </w:rPr>
      </w:pPr>
      <w:r w:rsidRPr="000269CF">
        <w:rPr>
          <w:rFonts w:eastAsia="Calibri"/>
          <w:u w:color="000000"/>
          <w:bdr w:val="nil"/>
          <w:lang w:val="en-GB"/>
        </w:rPr>
        <w:t>INDUSTRY BACKGROUND</w:t>
      </w:r>
    </w:p>
    <w:p w14:paraId="71D63BE1" w14:textId="77777777" w:rsidR="00EC6A26" w:rsidRPr="000269CF" w:rsidRDefault="00EC6A26" w:rsidP="00EC6A26">
      <w:pPr>
        <w:pStyle w:val="BodyTextMain"/>
        <w:rPr>
          <w:rFonts w:eastAsia="Calibri"/>
          <w:u w:color="000000"/>
          <w:bdr w:val="nil"/>
          <w:lang w:val="en-GB"/>
        </w:rPr>
      </w:pPr>
    </w:p>
    <w:p w14:paraId="42C4115D" w14:textId="38B767C2" w:rsidR="00EC6A26" w:rsidRPr="000269CF" w:rsidRDefault="00EC6A26" w:rsidP="00EC6A26">
      <w:pPr>
        <w:pStyle w:val="Casehead2"/>
        <w:rPr>
          <w:rFonts w:eastAsia="Calibri"/>
          <w:iCs/>
          <w:u w:color="000000"/>
          <w:bdr w:val="nil"/>
          <w:lang w:val="en-GB"/>
        </w:rPr>
      </w:pPr>
      <w:r w:rsidRPr="000269CF">
        <w:rPr>
          <w:rFonts w:eastAsia="Calibri"/>
          <w:iCs/>
          <w:u w:color="000000"/>
          <w:bdr w:val="nil"/>
          <w:lang w:val="en-GB"/>
        </w:rPr>
        <w:t>Cable T</w:t>
      </w:r>
      <w:r w:rsidR="00F410F5">
        <w:rPr>
          <w:rFonts w:eastAsia="Calibri"/>
          <w:iCs/>
          <w:u w:color="000000"/>
          <w:bdr w:val="nil"/>
          <w:lang w:val="en-GB"/>
        </w:rPr>
        <w:t>elevision</w:t>
      </w:r>
      <w:r w:rsidRPr="000269CF">
        <w:rPr>
          <w:rFonts w:eastAsia="Calibri"/>
          <w:iCs/>
          <w:u w:color="000000"/>
          <w:bdr w:val="nil"/>
          <w:lang w:val="en-GB"/>
        </w:rPr>
        <w:t xml:space="preserve"> Industry</w:t>
      </w:r>
    </w:p>
    <w:p w14:paraId="59D4821D" w14:textId="77777777" w:rsidR="00EC6A26" w:rsidRPr="000269CF" w:rsidRDefault="00EC6A26" w:rsidP="00EC6A26">
      <w:pPr>
        <w:pStyle w:val="BodyTextMain"/>
        <w:rPr>
          <w:rFonts w:eastAsia="Calibri"/>
          <w:u w:color="000000"/>
          <w:bdr w:val="nil"/>
          <w:lang w:val="en-GB"/>
        </w:rPr>
      </w:pPr>
    </w:p>
    <w:p w14:paraId="76DAE28A" w14:textId="070DA0DC" w:rsidR="00EC6A26" w:rsidRPr="000269CF" w:rsidRDefault="00EC6A26" w:rsidP="00EC6A26">
      <w:pPr>
        <w:pStyle w:val="BodyTextMain"/>
        <w:rPr>
          <w:rFonts w:eastAsia="Calibri" w:cs="Arial Unicode MS"/>
          <w:u w:color="000000"/>
          <w:bdr w:val="nil"/>
          <w:lang w:val="en-GB"/>
        </w:rPr>
      </w:pPr>
      <w:r w:rsidRPr="000269CF">
        <w:rPr>
          <w:rFonts w:eastAsia="Calibri"/>
          <w:u w:color="000000"/>
          <w:bdr w:val="nil"/>
          <w:lang w:val="en-GB"/>
        </w:rPr>
        <w:t xml:space="preserve">In </w:t>
      </w:r>
      <w:r w:rsidR="008B0E13" w:rsidRPr="000269CF">
        <w:rPr>
          <w:rFonts w:eastAsia="Calibri"/>
          <w:u w:color="000000"/>
          <w:bdr w:val="nil"/>
          <w:lang w:val="en-GB"/>
        </w:rPr>
        <w:t>2009,</w:t>
      </w:r>
      <w:r w:rsidRPr="000269CF">
        <w:rPr>
          <w:rFonts w:eastAsia="Calibri"/>
          <w:u w:color="000000"/>
          <w:bdr w:val="nil"/>
          <w:lang w:val="en-GB"/>
        </w:rPr>
        <w:t xml:space="preserve"> the media conglomerate Time Warner Inc. spun off its cable </w:t>
      </w:r>
      <w:r w:rsidR="00F410F5">
        <w:rPr>
          <w:rFonts w:eastAsia="Calibri"/>
          <w:u w:color="000000"/>
          <w:bdr w:val="nil"/>
          <w:lang w:val="en-GB"/>
        </w:rPr>
        <w:t>television</w:t>
      </w:r>
      <w:r w:rsidRPr="000269CF">
        <w:rPr>
          <w:rFonts w:eastAsia="Calibri"/>
          <w:u w:color="000000"/>
          <w:bdr w:val="nil"/>
          <w:lang w:val="en-GB"/>
        </w:rPr>
        <w:t xml:space="preserve"> business into </w:t>
      </w:r>
      <w:r w:rsidR="00F410F5">
        <w:rPr>
          <w:rFonts w:eastAsia="Calibri"/>
          <w:u w:color="000000"/>
          <w:bdr w:val="nil"/>
          <w:lang w:val="en-GB"/>
        </w:rPr>
        <w:t>the</w:t>
      </w:r>
      <w:r w:rsidRPr="000269CF">
        <w:rPr>
          <w:rFonts w:eastAsia="Calibri"/>
          <w:u w:color="000000"/>
          <w:bdr w:val="nil"/>
          <w:lang w:val="en-GB"/>
        </w:rPr>
        <w:t xml:space="preserve"> separate company TWC </w:t>
      </w:r>
      <w:r w:rsidR="00F410F5">
        <w:rPr>
          <w:rFonts w:eastAsia="Calibri"/>
          <w:u w:color="000000"/>
          <w:bdr w:val="nil"/>
          <w:lang w:val="en-GB"/>
        </w:rPr>
        <w:t xml:space="preserve">to </w:t>
      </w:r>
      <w:r w:rsidRPr="000269CF">
        <w:rPr>
          <w:rFonts w:eastAsia="Calibri"/>
          <w:u w:color="000000"/>
          <w:bdr w:val="nil"/>
          <w:lang w:val="en-GB"/>
        </w:rPr>
        <w:t xml:space="preserve">focus on </w:t>
      </w:r>
      <w:r w:rsidR="00F410F5">
        <w:rPr>
          <w:rFonts w:eastAsia="Calibri"/>
          <w:u w:color="000000"/>
          <w:bdr w:val="nil"/>
          <w:lang w:val="en-GB"/>
        </w:rPr>
        <w:t xml:space="preserve">the </w:t>
      </w:r>
      <w:r w:rsidRPr="000269CF">
        <w:rPr>
          <w:rFonts w:eastAsia="Calibri"/>
          <w:u w:color="000000"/>
          <w:bdr w:val="nil"/>
          <w:lang w:val="en-GB"/>
        </w:rPr>
        <w:t>entertainment</w:t>
      </w:r>
      <w:r w:rsidR="00F410F5">
        <w:rPr>
          <w:rFonts w:eastAsia="Calibri"/>
          <w:u w:color="000000"/>
          <w:bdr w:val="nil"/>
          <w:lang w:val="en-GB"/>
        </w:rPr>
        <w:t xml:space="preserve"> industry</w:t>
      </w:r>
      <w:r w:rsidRPr="000269CF">
        <w:rPr>
          <w:rFonts w:eastAsia="Calibri"/>
          <w:u w:color="000000"/>
          <w:bdr w:val="nil"/>
          <w:lang w:val="en-GB"/>
        </w:rPr>
        <w:t>.</w:t>
      </w:r>
      <w:r w:rsidRPr="000269CF">
        <w:rPr>
          <w:rFonts w:eastAsia="Calibri"/>
          <w:u w:color="000000"/>
          <w:bdr w:val="nil"/>
          <w:vertAlign w:val="superscript"/>
          <w:lang w:val="en-GB"/>
        </w:rPr>
        <w:endnoteReference w:id="2"/>
      </w:r>
      <w:r w:rsidRPr="000269CF">
        <w:rPr>
          <w:rFonts w:eastAsia="Calibri"/>
          <w:u w:color="000000"/>
          <w:bdr w:val="nil"/>
          <w:lang w:val="en-GB"/>
        </w:rPr>
        <w:t xml:space="preserve"> As of 2013, the cable </w:t>
      </w:r>
      <w:r w:rsidR="00F410F5">
        <w:rPr>
          <w:rFonts w:eastAsia="Calibri"/>
          <w:u w:color="000000"/>
          <w:bdr w:val="nil"/>
          <w:lang w:val="en-GB"/>
        </w:rPr>
        <w:t>television</w:t>
      </w:r>
      <w:r w:rsidRPr="000269CF">
        <w:rPr>
          <w:rFonts w:eastAsia="Calibri"/>
          <w:u w:color="000000"/>
          <w:bdr w:val="nil"/>
          <w:lang w:val="en-GB"/>
        </w:rPr>
        <w:t xml:space="preserve"> industry comprised five major companies: Comcast</w:t>
      </w:r>
      <w:r w:rsidR="00F410F5">
        <w:rPr>
          <w:rFonts w:eastAsia="Calibri"/>
          <w:u w:color="000000"/>
          <w:bdr w:val="nil"/>
          <w:lang w:val="en-GB"/>
        </w:rPr>
        <w:t>, TWC</w:t>
      </w:r>
      <w:r w:rsidRPr="000269CF">
        <w:rPr>
          <w:rFonts w:eastAsia="Calibri"/>
          <w:u w:color="000000"/>
          <w:bdr w:val="nil"/>
          <w:lang w:val="en-GB"/>
        </w:rPr>
        <w:t xml:space="preserve">, Cox </w:t>
      </w:r>
      <w:r w:rsidR="007D2D1F">
        <w:rPr>
          <w:rFonts w:eastAsia="Calibri"/>
          <w:u w:color="000000"/>
          <w:bdr w:val="nil"/>
          <w:lang w:val="en-GB"/>
        </w:rPr>
        <w:t>Communications</w:t>
      </w:r>
      <w:r w:rsidRPr="000269CF">
        <w:rPr>
          <w:rFonts w:eastAsia="Calibri"/>
          <w:u w:color="000000"/>
          <w:bdr w:val="nil"/>
          <w:lang w:val="en-GB"/>
        </w:rPr>
        <w:t>, Charter, and Cablevision Systems. Each company provided a variety of bundled packages of voice, video</w:t>
      </w:r>
      <w:r w:rsidR="00F410F5">
        <w:rPr>
          <w:rFonts w:eastAsia="Calibri"/>
          <w:u w:color="000000"/>
          <w:bdr w:val="nil"/>
          <w:lang w:val="en-GB"/>
        </w:rPr>
        <w:t>,</w:t>
      </w:r>
      <w:r w:rsidRPr="000269CF">
        <w:rPr>
          <w:rFonts w:eastAsia="Calibri"/>
          <w:u w:color="000000"/>
          <w:bdr w:val="nil"/>
          <w:lang w:val="en-GB"/>
        </w:rPr>
        <w:t xml:space="preserve"> and data services on a subscription basis. </w:t>
      </w:r>
      <w:r w:rsidRPr="000269CF">
        <w:rPr>
          <w:rFonts w:eastAsia="Calibri" w:cs="Arial Unicode MS"/>
          <w:u w:color="000000"/>
          <w:bdr w:val="nil"/>
          <w:lang w:val="en-GB"/>
        </w:rPr>
        <w:t>Th</w:t>
      </w:r>
      <w:r w:rsidR="00DB7E5D">
        <w:rPr>
          <w:rFonts w:eastAsia="Calibri" w:cs="Arial Unicode MS"/>
          <w:u w:color="000000"/>
          <w:bdr w:val="nil"/>
          <w:lang w:val="en-GB"/>
        </w:rPr>
        <w:t>e</w:t>
      </w:r>
      <w:r w:rsidRPr="000269CF">
        <w:rPr>
          <w:rFonts w:eastAsia="Calibri" w:cs="Arial Unicode MS"/>
          <w:u w:color="000000"/>
          <w:bdr w:val="nil"/>
          <w:lang w:val="en-GB"/>
        </w:rPr>
        <w:t xml:space="preserve"> </w:t>
      </w:r>
      <w:r w:rsidR="00DB7E5D">
        <w:rPr>
          <w:rFonts w:eastAsia="Calibri" w:cs="Arial Unicode MS"/>
          <w:u w:color="000000"/>
          <w:bdr w:val="nil"/>
          <w:lang w:val="en-GB"/>
        </w:rPr>
        <w:t xml:space="preserve">cable television </w:t>
      </w:r>
      <w:r w:rsidRPr="000269CF">
        <w:rPr>
          <w:rFonts w:eastAsia="Calibri" w:cs="Arial Unicode MS"/>
          <w:u w:color="000000"/>
          <w:bdr w:val="nil"/>
          <w:lang w:val="en-GB"/>
        </w:rPr>
        <w:t xml:space="preserve">industry was </w:t>
      </w:r>
      <w:r w:rsidR="00DB7E5D">
        <w:rPr>
          <w:rFonts w:eastAsia="Calibri" w:cs="Arial Unicode MS"/>
          <w:u w:color="000000"/>
          <w:bdr w:val="nil"/>
          <w:lang w:val="en-GB"/>
        </w:rPr>
        <w:t xml:space="preserve">in a </w:t>
      </w:r>
      <w:r w:rsidRPr="000269CF">
        <w:rPr>
          <w:rFonts w:eastAsia="Calibri" w:cs="Arial Unicode MS"/>
          <w:u w:color="000000"/>
          <w:bdr w:val="nil"/>
          <w:lang w:val="en-GB"/>
        </w:rPr>
        <w:t xml:space="preserve">mature </w:t>
      </w:r>
      <w:r w:rsidR="00DB7E5D">
        <w:rPr>
          <w:rFonts w:eastAsia="Calibri" w:cs="Arial Unicode MS"/>
          <w:u w:color="000000"/>
          <w:bdr w:val="nil"/>
          <w:lang w:val="en-GB"/>
        </w:rPr>
        <w:t xml:space="preserve">stage </w:t>
      </w:r>
      <w:r w:rsidRPr="000269CF">
        <w:rPr>
          <w:rFonts w:eastAsia="Calibri" w:cs="Arial Unicode MS"/>
          <w:u w:color="000000"/>
          <w:bdr w:val="nil"/>
          <w:lang w:val="en-GB"/>
        </w:rPr>
        <w:t>with slowing revenues</w:t>
      </w:r>
      <w:r w:rsidR="00DB7E5D">
        <w:rPr>
          <w:rFonts w:eastAsia="Calibri" w:cs="Arial Unicode MS"/>
          <w:u w:color="000000"/>
          <w:bdr w:val="nil"/>
          <w:lang w:val="en-GB"/>
        </w:rPr>
        <w:t>,</w:t>
      </w:r>
      <w:r w:rsidRPr="000269CF">
        <w:rPr>
          <w:rFonts w:eastAsia="Calibri" w:cs="Arial Unicode MS"/>
          <w:u w:color="000000"/>
          <w:bdr w:val="nil"/>
          <w:lang w:val="en-GB"/>
        </w:rPr>
        <w:t xml:space="preserve"> due to technological and demographic trends that were shifting viewers away from wired cable </w:t>
      </w:r>
      <w:r w:rsidR="00F410F5">
        <w:rPr>
          <w:rFonts w:eastAsia="Calibri" w:cs="Arial Unicode MS"/>
          <w:u w:color="000000"/>
          <w:bdr w:val="nil"/>
          <w:lang w:val="en-GB"/>
        </w:rPr>
        <w:t>television</w:t>
      </w:r>
      <w:r w:rsidRPr="000269CF">
        <w:rPr>
          <w:rFonts w:eastAsia="Calibri" w:cs="Arial Unicode MS"/>
          <w:u w:color="000000"/>
          <w:bdr w:val="nil"/>
          <w:lang w:val="en-GB"/>
        </w:rPr>
        <w:t xml:space="preserve"> to mobile devices. Th</w:t>
      </w:r>
      <w:r w:rsidR="00DB7E5D">
        <w:rPr>
          <w:rFonts w:eastAsia="Calibri" w:cs="Arial Unicode MS"/>
          <w:u w:color="000000"/>
          <w:bdr w:val="nil"/>
          <w:lang w:val="en-GB"/>
        </w:rPr>
        <w:t>e</w:t>
      </w:r>
      <w:r w:rsidRPr="000269CF">
        <w:rPr>
          <w:rFonts w:eastAsia="Calibri" w:cs="Arial Unicode MS"/>
          <w:u w:color="000000"/>
          <w:bdr w:val="nil"/>
          <w:lang w:val="en-GB"/>
        </w:rPr>
        <w:t xml:space="preserve"> </w:t>
      </w:r>
      <w:r w:rsidR="008B0E13" w:rsidRPr="000269CF">
        <w:rPr>
          <w:rFonts w:eastAsia="Calibri" w:cs="Arial Unicode MS"/>
          <w:u w:color="000000"/>
          <w:bdr w:val="nil"/>
          <w:lang w:val="en-GB"/>
        </w:rPr>
        <w:t>cord-cutting</w:t>
      </w:r>
      <w:r w:rsidRPr="000269CF">
        <w:rPr>
          <w:rFonts w:eastAsia="Calibri" w:cs="Arial Unicode MS"/>
          <w:u w:color="000000"/>
          <w:bdr w:val="nil"/>
          <w:lang w:val="en-GB"/>
        </w:rPr>
        <w:t xml:space="preserve"> shift was accompanied by</w:t>
      </w:r>
      <w:r w:rsidRPr="000269CF">
        <w:rPr>
          <w:rFonts w:eastAsia="Calibri"/>
          <w:u w:color="000000"/>
          <w:bdr w:val="nil"/>
          <w:lang w:val="en-GB"/>
        </w:rPr>
        <w:t xml:space="preserve"> competitive pressures from diverse industry </w:t>
      </w:r>
      <w:r w:rsidR="00F410F5">
        <w:rPr>
          <w:rFonts w:eastAsia="Calibri"/>
          <w:u w:color="000000"/>
          <w:bdr w:val="nil"/>
          <w:lang w:val="en-GB"/>
        </w:rPr>
        <w:t>segments</w:t>
      </w:r>
      <w:r w:rsidR="00DB7E5D">
        <w:rPr>
          <w:rFonts w:eastAsia="Calibri"/>
          <w:u w:color="000000"/>
          <w:bdr w:val="nil"/>
          <w:lang w:val="en-GB"/>
        </w:rPr>
        <w:t>,</w:t>
      </w:r>
      <w:r w:rsidR="00F410F5">
        <w:rPr>
          <w:rFonts w:eastAsia="Calibri"/>
          <w:u w:color="000000"/>
          <w:bdr w:val="nil"/>
          <w:lang w:val="en-GB"/>
        </w:rPr>
        <w:t xml:space="preserve"> including</w:t>
      </w:r>
      <w:r w:rsidRPr="000269CF">
        <w:rPr>
          <w:rFonts w:eastAsia="Calibri"/>
          <w:u w:color="000000"/>
          <w:bdr w:val="nil"/>
          <w:lang w:val="en-GB"/>
        </w:rPr>
        <w:t xml:space="preserve"> rival cable </w:t>
      </w:r>
      <w:r w:rsidR="00F410F5">
        <w:rPr>
          <w:rFonts w:eastAsia="Calibri"/>
          <w:u w:color="000000"/>
          <w:bdr w:val="nil"/>
          <w:lang w:val="en-GB"/>
        </w:rPr>
        <w:t>television</w:t>
      </w:r>
      <w:r w:rsidRPr="000269CF">
        <w:rPr>
          <w:rFonts w:eastAsia="Calibri"/>
          <w:u w:color="000000"/>
          <w:bdr w:val="nil"/>
          <w:lang w:val="en-GB"/>
        </w:rPr>
        <w:t xml:space="preserve"> companies, content providers, </w:t>
      </w:r>
      <w:r w:rsidR="00F410F5">
        <w:rPr>
          <w:rFonts w:eastAsia="Calibri"/>
          <w:u w:color="000000"/>
          <w:bdr w:val="nil"/>
          <w:lang w:val="en-GB"/>
        </w:rPr>
        <w:t xml:space="preserve">and </w:t>
      </w:r>
      <w:r w:rsidRPr="000269CF">
        <w:rPr>
          <w:rFonts w:eastAsia="Calibri"/>
          <w:u w:color="000000"/>
          <w:bdr w:val="nil"/>
          <w:lang w:val="en-GB"/>
        </w:rPr>
        <w:t xml:space="preserve">new entrants. Other challenges included major technological changes </w:t>
      </w:r>
      <w:r w:rsidR="00F410F5">
        <w:rPr>
          <w:rFonts w:eastAsia="Calibri"/>
          <w:u w:color="000000"/>
          <w:bdr w:val="nil"/>
          <w:lang w:val="en-GB"/>
        </w:rPr>
        <w:t>(</w:t>
      </w:r>
      <w:r w:rsidRPr="000269CF">
        <w:rPr>
          <w:rFonts w:eastAsia="Calibri"/>
          <w:u w:color="000000"/>
          <w:bdr w:val="nil"/>
          <w:lang w:val="en-GB"/>
        </w:rPr>
        <w:t>e.g., the speed of downloading</w:t>
      </w:r>
      <w:r w:rsidR="00F410F5">
        <w:rPr>
          <w:rFonts w:eastAsia="Calibri"/>
          <w:u w:color="000000"/>
          <w:bdr w:val="nil"/>
          <w:lang w:val="en-GB"/>
        </w:rPr>
        <w:t xml:space="preserve"> content),</w:t>
      </w:r>
      <w:r w:rsidRPr="000269CF">
        <w:rPr>
          <w:rFonts w:eastAsia="Calibri"/>
          <w:u w:color="000000"/>
          <w:bdr w:val="nil"/>
          <w:lang w:val="en-GB"/>
        </w:rPr>
        <w:t xml:space="preserve"> changes in consumer viewing preferences, and the price-sensitivity of subscribers</w:t>
      </w:r>
      <w:r w:rsidR="000867C6">
        <w:rPr>
          <w:rFonts w:eastAsia="Calibri"/>
          <w:u w:color="000000"/>
          <w:bdr w:val="nil"/>
          <w:lang w:val="en-GB"/>
        </w:rPr>
        <w:t>, all of which</w:t>
      </w:r>
      <w:r w:rsidRPr="000269CF">
        <w:rPr>
          <w:rFonts w:eastAsia="Calibri"/>
          <w:u w:color="000000"/>
          <w:bdr w:val="nil"/>
          <w:lang w:val="en-GB"/>
        </w:rPr>
        <w:t xml:space="preserve"> were forcing </w:t>
      </w:r>
      <w:r w:rsidR="000867C6">
        <w:rPr>
          <w:rFonts w:eastAsia="Calibri"/>
          <w:u w:color="000000"/>
          <w:bdr w:val="nil"/>
          <w:lang w:val="en-GB"/>
        </w:rPr>
        <w:t>companies</w:t>
      </w:r>
      <w:r w:rsidRPr="000269CF">
        <w:rPr>
          <w:rFonts w:eastAsia="Calibri"/>
          <w:u w:color="000000"/>
          <w:bdr w:val="nil"/>
          <w:lang w:val="en-GB"/>
        </w:rPr>
        <w:t xml:space="preserve"> to rethink their strategies for survival </w:t>
      </w:r>
      <w:r w:rsidR="000867C6">
        <w:rPr>
          <w:rFonts w:eastAsia="Calibri"/>
          <w:u w:color="000000"/>
          <w:bdr w:val="nil"/>
          <w:lang w:val="en-GB"/>
        </w:rPr>
        <w:t xml:space="preserve">(see </w:t>
      </w:r>
      <w:r w:rsidRPr="000269CF">
        <w:rPr>
          <w:rFonts w:eastAsia="Calibri"/>
          <w:u w:color="000000"/>
          <w:bdr w:val="nil"/>
          <w:lang w:val="en-GB"/>
        </w:rPr>
        <w:t>Exhibit 1</w:t>
      </w:r>
      <w:r w:rsidR="000867C6">
        <w:rPr>
          <w:rFonts w:eastAsia="Calibri"/>
          <w:u w:color="000000"/>
          <w:bdr w:val="nil"/>
          <w:lang w:val="en-GB"/>
        </w:rPr>
        <w:t>)</w:t>
      </w:r>
      <w:r w:rsidRPr="000269CF">
        <w:rPr>
          <w:rFonts w:eastAsia="Calibri"/>
          <w:u w:color="000000"/>
          <w:bdr w:val="nil"/>
          <w:lang w:val="en-GB"/>
        </w:rPr>
        <w:t>.</w:t>
      </w:r>
      <w:r w:rsidRPr="000269CF">
        <w:rPr>
          <w:rFonts w:eastAsia="Arial Unicode MS"/>
          <w:u w:color="000000"/>
          <w:bdr w:val="nil"/>
          <w:lang w:val="en-GB"/>
        </w:rPr>
        <w:t xml:space="preserve"> </w:t>
      </w:r>
      <w:r w:rsidR="000867C6">
        <w:rPr>
          <w:rFonts w:eastAsia="Arial Unicode MS"/>
          <w:u w:color="000000"/>
          <w:bdr w:val="nil"/>
          <w:lang w:val="en-GB"/>
        </w:rPr>
        <w:t xml:space="preserve">Therefore, </w:t>
      </w:r>
      <w:r w:rsidRPr="000269CF">
        <w:rPr>
          <w:rFonts w:eastAsia="Arial Unicode MS"/>
          <w:u w:color="000000"/>
          <w:bdr w:val="nil"/>
          <w:lang w:val="en-GB"/>
        </w:rPr>
        <w:t>Comcast, T</w:t>
      </w:r>
      <w:r w:rsidR="000867C6">
        <w:rPr>
          <w:rFonts w:eastAsia="Arial Unicode MS"/>
          <w:u w:color="000000"/>
          <w:bdr w:val="nil"/>
          <w:lang w:val="en-GB"/>
        </w:rPr>
        <w:t>WC</w:t>
      </w:r>
      <w:r w:rsidRPr="000269CF">
        <w:rPr>
          <w:rFonts w:eastAsia="Arial Unicode MS"/>
          <w:u w:color="000000"/>
          <w:bdr w:val="nil"/>
          <w:lang w:val="en-GB"/>
        </w:rPr>
        <w:t xml:space="preserve">, and Charter—the </w:t>
      </w:r>
      <w:r w:rsidR="000867C6">
        <w:rPr>
          <w:rFonts w:eastAsia="Arial Unicode MS"/>
          <w:u w:color="000000"/>
          <w:bdr w:val="nil"/>
          <w:lang w:val="en-GB"/>
        </w:rPr>
        <w:t>three entities involved</w:t>
      </w:r>
      <w:r w:rsidRPr="000269CF">
        <w:rPr>
          <w:rFonts w:eastAsia="Arial Unicode MS"/>
          <w:u w:color="000000"/>
          <w:bdr w:val="nil"/>
          <w:lang w:val="en-GB"/>
        </w:rPr>
        <w:t xml:space="preserve"> in th</w:t>
      </w:r>
      <w:r w:rsidR="000867C6">
        <w:rPr>
          <w:rFonts w:eastAsia="Arial Unicode MS"/>
          <w:u w:color="000000"/>
          <w:bdr w:val="nil"/>
          <w:lang w:val="en-GB"/>
        </w:rPr>
        <w:t>is</w:t>
      </w:r>
      <w:r w:rsidRPr="000269CF">
        <w:rPr>
          <w:rFonts w:eastAsia="Arial Unicode MS"/>
          <w:u w:color="000000"/>
          <w:bdr w:val="nil"/>
          <w:lang w:val="en-GB"/>
        </w:rPr>
        <w:t xml:space="preserve"> bidding</w:t>
      </w:r>
      <w:r w:rsidR="000867C6">
        <w:rPr>
          <w:rFonts w:eastAsia="Arial Unicode MS"/>
          <w:u w:color="000000"/>
          <w:bdr w:val="nil"/>
          <w:lang w:val="en-GB"/>
        </w:rPr>
        <w:t xml:space="preserve"> process</w:t>
      </w:r>
      <w:r w:rsidRPr="000269CF">
        <w:rPr>
          <w:rFonts w:eastAsia="Arial Unicode MS"/>
          <w:u w:color="000000"/>
          <w:bdr w:val="nil"/>
          <w:lang w:val="en-GB"/>
        </w:rPr>
        <w:t>—</w:t>
      </w:r>
      <w:r w:rsidR="000867C6">
        <w:rPr>
          <w:rFonts w:eastAsia="Arial Unicode MS"/>
          <w:u w:color="000000"/>
          <w:bdr w:val="nil"/>
          <w:lang w:val="en-GB"/>
        </w:rPr>
        <w:t>had to reassess their</w:t>
      </w:r>
      <w:r w:rsidRPr="000269CF">
        <w:rPr>
          <w:rFonts w:eastAsia="Arial Unicode MS"/>
          <w:u w:color="000000"/>
          <w:bdr w:val="nil"/>
          <w:lang w:val="en-GB"/>
        </w:rPr>
        <w:t xml:space="preserve"> business strategies </w:t>
      </w:r>
      <w:r w:rsidR="000867C6">
        <w:rPr>
          <w:rFonts w:eastAsia="Arial Unicode MS"/>
          <w:u w:color="000000"/>
          <w:bdr w:val="nil"/>
          <w:lang w:val="en-GB"/>
        </w:rPr>
        <w:t>(see</w:t>
      </w:r>
      <w:r w:rsidRPr="000269CF">
        <w:rPr>
          <w:rFonts w:eastAsia="Arial Unicode MS"/>
          <w:u w:color="000000"/>
          <w:bdr w:val="nil"/>
          <w:lang w:val="en-GB"/>
        </w:rPr>
        <w:t xml:space="preserve"> Exhibit 2</w:t>
      </w:r>
      <w:r w:rsidR="000867C6">
        <w:rPr>
          <w:rFonts w:eastAsia="Arial Unicode MS"/>
          <w:u w:color="000000"/>
          <w:bdr w:val="nil"/>
          <w:lang w:val="en-GB"/>
        </w:rPr>
        <w:t>) and their financial situation</w:t>
      </w:r>
      <w:r w:rsidR="00DB7E5D">
        <w:rPr>
          <w:rFonts w:eastAsia="Arial Unicode MS"/>
          <w:u w:color="000000"/>
          <w:bdr w:val="nil"/>
          <w:lang w:val="en-GB"/>
        </w:rPr>
        <w:t>s</w:t>
      </w:r>
      <w:r w:rsidRPr="000269CF">
        <w:rPr>
          <w:rFonts w:eastAsia="Arial Unicode MS"/>
          <w:u w:color="000000"/>
          <w:bdr w:val="nil"/>
          <w:lang w:val="en-GB"/>
        </w:rPr>
        <w:t xml:space="preserve"> </w:t>
      </w:r>
      <w:r w:rsidR="000867C6">
        <w:rPr>
          <w:rFonts w:eastAsia="Arial Unicode MS"/>
          <w:u w:color="000000"/>
          <w:bdr w:val="nil"/>
          <w:lang w:val="en-GB"/>
        </w:rPr>
        <w:t xml:space="preserve">(see </w:t>
      </w:r>
      <w:r w:rsidRPr="000269CF">
        <w:rPr>
          <w:rFonts w:eastAsia="Arial Unicode MS"/>
          <w:u w:color="000000"/>
          <w:bdr w:val="nil"/>
          <w:lang w:val="en-GB"/>
        </w:rPr>
        <w:t xml:space="preserve">Exhibit 3, </w:t>
      </w:r>
      <w:r w:rsidR="00DB7E5D">
        <w:rPr>
          <w:rFonts w:eastAsia="Arial Unicode MS"/>
          <w:u w:color="000000"/>
          <w:bdr w:val="nil"/>
          <w:lang w:val="en-GB"/>
        </w:rPr>
        <w:t xml:space="preserve">Exhibit </w:t>
      </w:r>
      <w:r w:rsidRPr="000269CF">
        <w:rPr>
          <w:rFonts w:eastAsia="Arial Unicode MS"/>
          <w:u w:color="000000"/>
          <w:bdr w:val="nil"/>
          <w:lang w:val="en-GB"/>
        </w:rPr>
        <w:t xml:space="preserve">4, and </w:t>
      </w:r>
      <w:r w:rsidR="00DB7E5D">
        <w:rPr>
          <w:rFonts w:eastAsia="Arial Unicode MS"/>
          <w:u w:color="000000"/>
          <w:bdr w:val="nil"/>
          <w:lang w:val="en-GB"/>
        </w:rPr>
        <w:t xml:space="preserve">Exhibit </w:t>
      </w:r>
      <w:r w:rsidRPr="000269CF">
        <w:rPr>
          <w:rFonts w:eastAsia="Arial Unicode MS"/>
          <w:u w:color="000000"/>
          <w:bdr w:val="nil"/>
          <w:lang w:val="en-GB"/>
        </w:rPr>
        <w:t>5</w:t>
      </w:r>
      <w:r w:rsidR="000867C6">
        <w:rPr>
          <w:rFonts w:eastAsia="Arial Unicode MS"/>
          <w:u w:color="000000"/>
          <w:bdr w:val="nil"/>
          <w:lang w:val="en-GB"/>
        </w:rPr>
        <w:t>)</w:t>
      </w:r>
      <w:r w:rsidRPr="000269CF">
        <w:rPr>
          <w:rFonts w:eastAsia="Arial Unicode MS"/>
          <w:u w:color="000000"/>
          <w:bdr w:val="nil"/>
          <w:lang w:val="en-GB"/>
        </w:rPr>
        <w:t>.</w:t>
      </w:r>
    </w:p>
    <w:p w14:paraId="4631CC75" w14:textId="77777777" w:rsidR="00EC6A26" w:rsidRPr="000269CF" w:rsidRDefault="00EC6A26" w:rsidP="00EC6A26">
      <w:pPr>
        <w:pStyle w:val="BodyTextMain"/>
        <w:rPr>
          <w:rFonts w:eastAsia="Arial Unicode MS"/>
          <w:sz w:val="24"/>
          <w:szCs w:val="24"/>
          <w:bdr w:val="nil"/>
          <w:lang w:val="en-GB"/>
        </w:rPr>
      </w:pPr>
    </w:p>
    <w:p w14:paraId="48907152" w14:textId="77777777" w:rsidR="00EC6A26" w:rsidRPr="000269CF" w:rsidRDefault="00EC6A26" w:rsidP="00EC6A26">
      <w:pPr>
        <w:pStyle w:val="BodyTextMain"/>
        <w:rPr>
          <w:rFonts w:eastAsia="Arial Unicode MS"/>
          <w:sz w:val="24"/>
          <w:szCs w:val="24"/>
          <w:bdr w:val="nil"/>
          <w:lang w:val="en-GB"/>
        </w:rPr>
      </w:pPr>
    </w:p>
    <w:p w14:paraId="7F7D75F3" w14:textId="77777777" w:rsidR="00EC6A26" w:rsidRPr="000269CF" w:rsidRDefault="00EC6A26" w:rsidP="00EC6A26">
      <w:pPr>
        <w:pStyle w:val="Casehead1"/>
        <w:keepNext/>
        <w:rPr>
          <w:rFonts w:eastAsia="Arial Unicode MS"/>
          <w:bdr w:val="nil"/>
          <w:lang w:val="en-GB"/>
        </w:rPr>
      </w:pPr>
      <w:r w:rsidRPr="000269CF">
        <w:rPr>
          <w:rFonts w:eastAsia="Arial Unicode MS"/>
          <w:bdr w:val="nil"/>
          <w:lang w:val="en-GB"/>
        </w:rPr>
        <w:lastRenderedPageBreak/>
        <w:t>ACQUISITION ROUNDS</w:t>
      </w:r>
    </w:p>
    <w:p w14:paraId="0B22D621" w14:textId="77777777" w:rsidR="00EC6A26" w:rsidRPr="000269CF" w:rsidRDefault="00EC6A26" w:rsidP="00EC6A26">
      <w:pPr>
        <w:pStyle w:val="BodyTextMain"/>
        <w:keepNext/>
        <w:rPr>
          <w:rFonts w:eastAsia="Arial Unicode MS"/>
          <w:bdr w:val="nil"/>
          <w:lang w:val="en-GB"/>
        </w:rPr>
      </w:pPr>
    </w:p>
    <w:p w14:paraId="527D645D" w14:textId="364CF2C9" w:rsidR="00EC6A26" w:rsidRPr="000269CF" w:rsidRDefault="00EC6A26" w:rsidP="00EC6A26">
      <w:pPr>
        <w:pStyle w:val="Casehead2"/>
        <w:keepNext/>
        <w:rPr>
          <w:rFonts w:eastAsia="Arial Unicode MS"/>
          <w:bdr w:val="nil"/>
          <w:lang w:val="en-GB"/>
        </w:rPr>
      </w:pPr>
      <w:r w:rsidRPr="000269CF">
        <w:rPr>
          <w:rFonts w:eastAsia="Arial Unicode MS"/>
          <w:bdr w:val="nil"/>
          <w:lang w:val="en-GB"/>
        </w:rPr>
        <w:t>Round 1: Charter Bids for T</w:t>
      </w:r>
      <w:r w:rsidR="005A1F23">
        <w:rPr>
          <w:rFonts w:eastAsia="Arial Unicode MS"/>
          <w:bdr w:val="nil"/>
          <w:lang w:val="en-GB"/>
        </w:rPr>
        <w:t>WC</w:t>
      </w:r>
    </w:p>
    <w:p w14:paraId="427706DC" w14:textId="77777777" w:rsidR="00EC6A26" w:rsidRPr="000269CF" w:rsidRDefault="00EC6A26" w:rsidP="00EC6A26">
      <w:pPr>
        <w:pStyle w:val="BodyTextMain"/>
        <w:rPr>
          <w:rFonts w:eastAsia="Arial Unicode MS"/>
          <w:u w:color="000000"/>
          <w:bdr w:val="nil"/>
          <w:lang w:val="en-GB"/>
        </w:rPr>
      </w:pPr>
    </w:p>
    <w:p w14:paraId="2F801C5A" w14:textId="5D21B23E" w:rsidR="00EC6A26" w:rsidRPr="000269CF" w:rsidRDefault="00EC6A26" w:rsidP="00EC6A26">
      <w:pPr>
        <w:pStyle w:val="BodyTextMain"/>
        <w:rPr>
          <w:u w:color="000000"/>
          <w:lang w:val="en-GB"/>
        </w:rPr>
      </w:pPr>
      <w:r w:rsidRPr="000269CF">
        <w:rPr>
          <w:rFonts w:eastAsia="Arial Unicode MS"/>
          <w:u w:color="000000"/>
          <w:bdr w:val="nil"/>
          <w:lang w:val="en-GB"/>
        </w:rPr>
        <w:t xml:space="preserve">John Malone, often referred to as </w:t>
      </w:r>
      <w:r w:rsidR="005A1F23">
        <w:rPr>
          <w:rFonts w:eastAsia="Arial Unicode MS"/>
          <w:u w:color="000000"/>
          <w:bdr w:val="nil"/>
          <w:lang w:val="en-GB"/>
        </w:rPr>
        <w:t xml:space="preserve">the </w:t>
      </w:r>
      <w:r w:rsidRPr="000269CF">
        <w:rPr>
          <w:rFonts w:eastAsia="Arial Unicode MS"/>
          <w:u w:color="000000"/>
          <w:bdr w:val="nil"/>
          <w:lang w:val="en-GB"/>
        </w:rPr>
        <w:t>King of Cable,</w:t>
      </w:r>
      <w:r w:rsidRPr="000269CF">
        <w:rPr>
          <w:rFonts w:eastAsia="Arial Unicode MS"/>
          <w:u w:color="000000"/>
          <w:bdr w:val="nil"/>
          <w:vertAlign w:val="superscript"/>
          <w:lang w:val="en-GB"/>
        </w:rPr>
        <w:endnoteReference w:id="3"/>
      </w:r>
      <w:r w:rsidR="00823DE3">
        <w:rPr>
          <w:rFonts w:eastAsia="Arial Unicode MS"/>
          <w:u w:color="000000"/>
          <w:bdr w:val="nil"/>
          <w:lang w:val="en-GB"/>
        </w:rPr>
        <w:t xml:space="preserve"> was </w:t>
      </w:r>
      <w:r w:rsidRPr="000269CF">
        <w:rPr>
          <w:rFonts w:eastAsia="Arial Unicode MS"/>
          <w:u w:color="000000"/>
          <w:bdr w:val="nil"/>
          <w:lang w:val="en-GB"/>
        </w:rPr>
        <w:t xml:space="preserve">a cable </w:t>
      </w:r>
      <w:r w:rsidR="00823DE3">
        <w:rPr>
          <w:rFonts w:eastAsia="Arial Unicode MS"/>
          <w:u w:color="000000"/>
          <w:bdr w:val="nil"/>
          <w:lang w:val="en-GB"/>
        </w:rPr>
        <w:t>television</w:t>
      </w:r>
      <w:r w:rsidRPr="000269CF">
        <w:rPr>
          <w:rFonts w:eastAsia="Arial Unicode MS"/>
          <w:u w:color="000000"/>
          <w:bdr w:val="nil"/>
          <w:lang w:val="en-GB"/>
        </w:rPr>
        <w:t xml:space="preserve"> pioneer with a long history in the industry</w:t>
      </w:r>
      <w:r w:rsidR="00823DE3">
        <w:rPr>
          <w:rFonts w:eastAsia="Arial Unicode MS"/>
          <w:u w:color="000000"/>
          <w:bdr w:val="nil"/>
          <w:lang w:val="en-GB"/>
        </w:rPr>
        <w:t>.</w:t>
      </w:r>
      <w:r w:rsidR="00FB6AB7">
        <w:rPr>
          <w:rFonts w:eastAsia="Arial Unicode MS"/>
          <w:u w:color="000000"/>
          <w:bdr w:val="nil"/>
          <w:lang w:val="en-GB"/>
        </w:rPr>
        <w:t xml:space="preserve"> </w:t>
      </w:r>
      <w:r w:rsidR="00823DE3">
        <w:rPr>
          <w:rFonts w:eastAsia="Arial Unicode MS"/>
          <w:u w:color="000000"/>
          <w:bdr w:val="nil"/>
          <w:lang w:val="en-GB"/>
        </w:rPr>
        <w:t>Malone, who had</w:t>
      </w:r>
      <w:r w:rsidRPr="000269CF">
        <w:rPr>
          <w:rFonts w:eastAsia="Arial Unicode MS"/>
          <w:u w:color="000000"/>
          <w:bdr w:val="nil"/>
          <w:lang w:val="en-GB"/>
        </w:rPr>
        <w:t xml:space="preserve"> once owne</w:t>
      </w:r>
      <w:r w:rsidR="00823DE3">
        <w:rPr>
          <w:rFonts w:eastAsia="Arial Unicode MS"/>
          <w:u w:color="000000"/>
          <w:bdr w:val="nil"/>
          <w:lang w:val="en-GB"/>
        </w:rPr>
        <w:t>d</w:t>
      </w:r>
      <w:r w:rsidRPr="000269CF">
        <w:rPr>
          <w:rFonts w:eastAsia="Arial Unicode MS"/>
          <w:u w:color="000000"/>
          <w:bdr w:val="nil"/>
          <w:lang w:val="en-GB"/>
        </w:rPr>
        <w:t xml:space="preserve"> the largest cable operator</w:t>
      </w:r>
      <w:r w:rsidR="00823DE3">
        <w:rPr>
          <w:rFonts w:eastAsia="Arial Unicode MS"/>
          <w:u w:color="000000"/>
          <w:bdr w:val="nil"/>
          <w:lang w:val="en-GB"/>
        </w:rPr>
        <w:t xml:space="preserve">, was the current owner of Liberty Media. </w:t>
      </w:r>
      <w:r w:rsidR="00823DE3" w:rsidRPr="000269CF">
        <w:rPr>
          <w:rFonts w:eastAsia="Arial Unicode MS"/>
          <w:u w:color="000000"/>
          <w:bdr w:val="nil"/>
          <w:lang w:val="en-GB"/>
        </w:rPr>
        <w:t>In 2013</w:t>
      </w:r>
      <w:r w:rsidR="00823DE3">
        <w:rPr>
          <w:rFonts w:eastAsia="Arial Unicode MS"/>
          <w:u w:color="000000"/>
          <w:bdr w:val="nil"/>
          <w:lang w:val="en-GB"/>
        </w:rPr>
        <w:t>,</w:t>
      </w:r>
      <w:r w:rsidRPr="000269CF">
        <w:rPr>
          <w:rFonts w:eastAsia="Arial Unicode MS"/>
          <w:u w:color="000000"/>
          <w:bdr w:val="nil"/>
          <w:lang w:val="en-GB"/>
        </w:rPr>
        <w:t xml:space="preserve"> </w:t>
      </w:r>
      <w:r w:rsidR="00823DE3">
        <w:rPr>
          <w:rFonts w:eastAsia="Arial Unicode MS"/>
          <w:u w:color="000000"/>
          <w:bdr w:val="nil"/>
          <w:lang w:val="en-GB"/>
        </w:rPr>
        <w:t xml:space="preserve">Liberty Media </w:t>
      </w:r>
      <w:r w:rsidRPr="000269CF">
        <w:rPr>
          <w:rFonts w:eastAsia="Arial Unicode MS"/>
          <w:u w:color="000000"/>
          <w:bdr w:val="nil"/>
          <w:lang w:val="en-GB"/>
        </w:rPr>
        <w:t>acquired a 27.3</w:t>
      </w:r>
      <w:r w:rsidR="00823DE3">
        <w:rPr>
          <w:rFonts w:eastAsia="Arial Unicode MS"/>
          <w:u w:color="000000"/>
          <w:bdr w:val="nil"/>
          <w:lang w:val="en-GB"/>
        </w:rPr>
        <w:t xml:space="preserve"> per cent</w:t>
      </w:r>
      <w:r w:rsidRPr="000269CF">
        <w:rPr>
          <w:rFonts w:eastAsia="Arial Unicode MS"/>
          <w:u w:color="000000"/>
          <w:bdr w:val="nil"/>
          <w:lang w:val="en-GB"/>
        </w:rPr>
        <w:t xml:space="preserve"> ownership </w:t>
      </w:r>
      <w:r w:rsidR="00823DE3">
        <w:rPr>
          <w:rFonts w:eastAsia="Arial Unicode MS"/>
          <w:u w:color="000000"/>
          <w:bdr w:val="nil"/>
          <w:lang w:val="en-GB"/>
        </w:rPr>
        <w:t xml:space="preserve">stake </w:t>
      </w:r>
      <w:r w:rsidRPr="000269CF">
        <w:rPr>
          <w:rFonts w:eastAsia="Arial Unicode MS"/>
          <w:u w:color="000000"/>
          <w:bdr w:val="nil"/>
          <w:lang w:val="en-GB"/>
        </w:rPr>
        <w:t xml:space="preserve">in Charter. In Malone’s </w:t>
      </w:r>
      <w:r w:rsidR="008B0E13" w:rsidRPr="000269CF">
        <w:rPr>
          <w:rFonts w:eastAsia="Arial Unicode MS"/>
          <w:u w:color="000000"/>
          <w:bdr w:val="nil"/>
          <w:lang w:val="en-GB"/>
        </w:rPr>
        <w:t>view,</w:t>
      </w:r>
      <w:r w:rsidRPr="000269CF">
        <w:rPr>
          <w:rFonts w:eastAsia="Arial Unicode MS"/>
          <w:u w:color="000000"/>
          <w:bdr w:val="nil"/>
          <w:lang w:val="en-GB"/>
        </w:rPr>
        <w:t xml:space="preserve"> consolidation and scale were essential for success in the industry, and he believed </w:t>
      </w:r>
      <w:r w:rsidR="00823DE3">
        <w:rPr>
          <w:rFonts w:eastAsia="Arial Unicode MS"/>
          <w:u w:color="000000"/>
          <w:bdr w:val="nil"/>
          <w:lang w:val="en-GB"/>
        </w:rPr>
        <w:t xml:space="preserve">that </w:t>
      </w:r>
      <w:r w:rsidRPr="000269CF">
        <w:rPr>
          <w:rFonts w:eastAsia="Arial Unicode MS"/>
          <w:u w:color="000000"/>
          <w:bdr w:val="nil"/>
          <w:lang w:val="en-GB"/>
        </w:rPr>
        <w:t xml:space="preserve">Charter could become </w:t>
      </w:r>
      <w:r w:rsidRPr="000269CF">
        <w:rPr>
          <w:u w:color="000000"/>
          <w:lang w:val="en-GB"/>
        </w:rPr>
        <w:t>“</w:t>
      </w:r>
      <w:r w:rsidR="006008A4">
        <w:rPr>
          <w:u w:color="000000"/>
          <w:lang w:val="en-GB"/>
        </w:rPr>
        <w:t xml:space="preserve">. . . </w:t>
      </w:r>
      <w:r w:rsidRPr="000269CF">
        <w:rPr>
          <w:u w:color="000000"/>
          <w:lang w:val="en-GB"/>
        </w:rPr>
        <w:t>an acquirer, a horizontal acquisition machine, looking at other assets in the U.S. cable business that lack scale to have synergy.”</w:t>
      </w:r>
      <w:r w:rsidRPr="000269CF">
        <w:rPr>
          <w:color w:val="494949"/>
          <w:u w:color="000000"/>
          <w:vertAlign w:val="superscript"/>
          <w:lang w:val="en-GB"/>
        </w:rPr>
        <w:endnoteReference w:id="4"/>
      </w:r>
      <w:r w:rsidRPr="000269CF">
        <w:rPr>
          <w:u w:color="000000"/>
          <w:lang w:val="en-GB"/>
        </w:rPr>
        <w:t xml:space="preserve"> Soon thereafter</w:t>
      </w:r>
      <w:r w:rsidR="00823DE3">
        <w:rPr>
          <w:u w:color="000000"/>
          <w:lang w:val="en-GB"/>
        </w:rPr>
        <w:t>,</w:t>
      </w:r>
      <w:r w:rsidRPr="000269CF">
        <w:rPr>
          <w:u w:color="000000"/>
          <w:lang w:val="en-GB"/>
        </w:rPr>
        <w:t xml:space="preserve"> in the summer of 2013, Charter approached TWC with two </w:t>
      </w:r>
      <w:r w:rsidR="00823DE3">
        <w:rPr>
          <w:u w:color="000000"/>
          <w:lang w:val="en-GB"/>
        </w:rPr>
        <w:t xml:space="preserve">consecutive, </w:t>
      </w:r>
      <w:r w:rsidRPr="000269CF">
        <w:rPr>
          <w:u w:color="000000"/>
          <w:lang w:val="en-GB"/>
        </w:rPr>
        <w:t>informal</w:t>
      </w:r>
      <w:r w:rsidR="00823DE3">
        <w:rPr>
          <w:u w:color="000000"/>
          <w:lang w:val="en-GB"/>
        </w:rPr>
        <w:t>,</w:t>
      </w:r>
      <w:r w:rsidRPr="000269CF">
        <w:rPr>
          <w:u w:color="000000"/>
          <w:lang w:val="en-GB"/>
        </w:rPr>
        <w:t xml:space="preserve"> non-public bids</w:t>
      </w:r>
      <w:r w:rsidR="00823DE3">
        <w:rPr>
          <w:u w:color="000000"/>
          <w:lang w:val="en-GB"/>
        </w:rPr>
        <w:t xml:space="preserve">. </w:t>
      </w:r>
      <w:r w:rsidR="00FB6AB7">
        <w:rPr>
          <w:u w:color="000000"/>
          <w:lang w:val="en-GB"/>
        </w:rPr>
        <w:t>Both</w:t>
      </w:r>
      <w:r w:rsidR="00823DE3">
        <w:rPr>
          <w:u w:color="000000"/>
          <w:lang w:val="en-GB"/>
        </w:rPr>
        <w:t xml:space="preserve"> bids </w:t>
      </w:r>
      <w:r w:rsidRPr="000269CF">
        <w:rPr>
          <w:u w:color="000000"/>
          <w:lang w:val="en-GB"/>
        </w:rPr>
        <w:t>w</w:t>
      </w:r>
      <w:r w:rsidR="00FB6AB7">
        <w:rPr>
          <w:u w:color="000000"/>
          <w:lang w:val="en-GB"/>
        </w:rPr>
        <w:t>ere</w:t>
      </w:r>
      <w:r w:rsidRPr="000269CF">
        <w:rPr>
          <w:u w:color="000000"/>
          <w:lang w:val="en-GB"/>
        </w:rPr>
        <w:t xml:space="preserve"> rejected. Charter </w:t>
      </w:r>
      <w:r w:rsidR="00823DE3">
        <w:rPr>
          <w:u w:color="000000"/>
          <w:lang w:val="en-GB"/>
        </w:rPr>
        <w:t xml:space="preserve">then </w:t>
      </w:r>
      <w:r w:rsidRPr="000269CF">
        <w:rPr>
          <w:u w:color="000000"/>
          <w:lang w:val="en-GB"/>
        </w:rPr>
        <w:t xml:space="preserve">followed </w:t>
      </w:r>
      <w:r w:rsidR="00823DE3">
        <w:rPr>
          <w:u w:color="000000"/>
          <w:lang w:val="en-GB"/>
        </w:rPr>
        <w:t>up</w:t>
      </w:r>
      <w:r w:rsidRPr="000269CF">
        <w:rPr>
          <w:u w:color="000000"/>
          <w:lang w:val="en-GB"/>
        </w:rPr>
        <w:t xml:space="preserve"> with a public offer</w:t>
      </w:r>
      <w:r w:rsidR="00EC380A">
        <w:rPr>
          <w:u w:color="000000"/>
          <w:lang w:val="en-GB"/>
        </w:rPr>
        <w:t>, which</w:t>
      </w:r>
      <w:r w:rsidRPr="000269CF">
        <w:rPr>
          <w:u w:color="000000"/>
          <w:lang w:val="en-GB"/>
        </w:rPr>
        <w:t xml:space="preserve"> TWC </w:t>
      </w:r>
      <w:r w:rsidR="00EC380A">
        <w:rPr>
          <w:u w:color="000000"/>
          <w:lang w:val="en-GB"/>
        </w:rPr>
        <w:t xml:space="preserve">also </w:t>
      </w:r>
      <w:r w:rsidRPr="000269CF">
        <w:rPr>
          <w:u w:color="000000"/>
          <w:lang w:val="en-GB"/>
        </w:rPr>
        <w:t>rejected.</w:t>
      </w:r>
      <w:r w:rsidR="00D718E6">
        <w:rPr>
          <w:rStyle w:val="EndnoteReference"/>
          <w:u w:color="000000"/>
          <w:lang w:val="en-GB"/>
        </w:rPr>
        <w:endnoteReference w:id="5"/>
      </w:r>
    </w:p>
    <w:p w14:paraId="60CC76FE" w14:textId="77777777" w:rsidR="00EC6A26" w:rsidRPr="000269CF" w:rsidRDefault="00EC6A26" w:rsidP="00EC6A26">
      <w:pPr>
        <w:pStyle w:val="BodyTextMain"/>
        <w:rPr>
          <w:u w:color="000000"/>
          <w:lang w:val="en-GB"/>
        </w:rPr>
      </w:pPr>
    </w:p>
    <w:p w14:paraId="6B4EEF6D" w14:textId="77777777" w:rsidR="00EC6A26" w:rsidRPr="000269CF" w:rsidRDefault="00EC6A26" w:rsidP="00EC6A26">
      <w:pPr>
        <w:pStyle w:val="BodyTextMain"/>
        <w:rPr>
          <w:u w:color="000000"/>
          <w:lang w:val="en-GB"/>
        </w:rPr>
      </w:pPr>
    </w:p>
    <w:p w14:paraId="1EFDE75C" w14:textId="77777777" w:rsidR="00EC6A26" w:rsidRPr="000269CF" w:rsidRDefault="00EC6A26" w:rsidP="00EC6A26">
      <w:pPr>
        <w:pStyle w:val="Casehead3"/>
        <w:rPr>
          <w:u w:color="000000"/>
          <w:lang w:val="en-GB"/>
        </w:rPr>
      </w:pPr>
      <w:r w:rsidRPr="000269CF">
        <w:rPr>
          <w:u w:color="000000"/>
          <w:lang w:val="en-GB"/>
        </w:rPr>
        <w:t>The Case for and against the Bid</w:t>
      </w:r>
    </w:p>
    <w:p w14:paraId="6BC6F6ED" w14:textId="77777777" w:rsidR="00EC6A26" w:rsidRPr="000269CF" w:rsidRDefault="00EC6A26" w:rsidP="00EC6A26">
      <w:pPr>
        <w:pStyle w:val="BodyTextMain"/>
        <w:rPr>
          <w:u w:color="000000"/>
          <w:lang w:val="en-GB"/>
        </w:rPr>
      </w:pPr>
    </w:p>
    <w:p w14:paraId="0DA17C48" w14:textId="5D55A2C0" w:rsidR="00EC6A26" w:rsidRPr="000269CF" w:rsidRDefault="00EC6A26" w:rsidP="00EC6A26">
      <w:pPr>
        <w:pStyle w:val="BodyTextMain"/>
        <w:rPr>
          <w:rFonts w:eastAsia="Calibri"/>
          <w:color w:val="000000"/>
          <w:u w:color="000000"/>
          <w:bdr w:val="nil"/>
          <w:lang w:val="en-GB"/>
        </w:rPr>
      </w:pPr>
      <w:r w:rsidRPr="000269CF">
        <w:rPr>
          <w:rFonts w:eastAsia="Arial Unicode MS" w:cs="Arial Unicode MS"/>
          <w:color w:val="000000"/>
          <w:u w:color="000000"/>
          <w:bdr w:val="nil"/>
          <w:lang w:val="en-GB"/>
        </w:rPr>
        <w:t xml:space="preserve">Charter’s </w:t>
      </w:r>
      <w:r w:rsidR="00EC380A">
        <w:rPr>
          <w:rFonts w:eastAsia="Arial Unicode MS" w:cs="Arial Unicode MS"/>
          <w:color w:val="000000"/>
          <w:u w:color="000000"/>
          <w:bdr w:val="nil"/>
          <w:lang w:val="en-GB"/>
        </w:rPr>
        <w:t>rationale</w:t>
      </w:r>
      <w:r w:rsidR="003C08FA">
        <w:rPr>
          <w:rFonts w:eastAsia="Arial Unicode MS" w:cs="Arial Unicode MS"/>
          <w:color w:val="000000"/>
          <w:u w:color="000000"/>
          <w:bdr w:val="nil"/>
          <w:lang w:val="en-GB"/>
        </w:rPr>
        <w:t xml:space="preserve"> for </w:t>
      </w:r>
      <w:r w:rsidR="00FB6AB7">
        <w:rPr>
          <w:rFonts w:eastAsia="Arial Unicode MS" w:cs="Arial Unicode MS"/>
          <w:color w:val="000000"/>
          <w:u w:color="000000"/>
          <w:bdr w:val="nil"/>
          <w:lang w:val="en-GB"/>
        </w:rPr>
        <w:t>launching a</w:t>
      </w:r>
      <w:r w:rsidR="003C08FA">
        <w:rPr>
          <w:rFonts w:eastAsia="Arial Unicode MS" w:cs="Arial Unicode MS"/>
          <w:color w:val="000000"/>
          <w:u w:color="000000"/>
          <w:bdr w:val="nil"/>
          <w:lang w:val="en-GB"/>
        </w:rPr>
        <w:t xml:space="preserve"> bid</w:t>
      </w:r>
      <w:r w:rsidRPr="000269CF">
        <w:rPr>
          <w:rFonts w:eastAsia="Arial Unicode MS" w:cs="Arial Unicode MS"/>
          <w:color w:val="000000"/>
          <w:u w:color="000000"/>
          <w:bdr w:val="nil"/>
          <w:lang w:val="en-GB"/>
        </w:rPr>
        <w:t xml:space="preserve"> </w:t>
      </w:r>
      <w:r w:rsidR="00FB6AB7">
        <w:rPr>
          <w:rFonts w:eastAsia="Arial Unicode MS" w:cs="Arial Unicode MS"/>
          <w:color w:val="000000"/>
          <w:u w:color="000000"/>
          <w:bdr w:val="nil"/>
          <w:lang w:val="en-GB"/>
        </w:rPr>
        <w:t xml:space="preserve">to acquire TWC </w:t>
      </w:r>
      <w:r w:rsidRPr="000269CF">
        <w:rPr>
          <w:rFonts w:eastAsia="Arial Unicode MS" w:cs="Arial Unicode MS"/>
          <w:color w:val="000000"/>
          <w:u w:color="000000"/>
          <w:bdr w:val="nil"/>
          <w:lang w:val="en-GB"/>
        </w:rPr>
        <w:t>was that consolidation would “</w:t>
      </w:r>
      <w:r w:rsidR="006008A4">
        <w:rPr>
          <w:rFonts w:eastAsia="Arial Unicode MS" w:cs="Arial Unicode MS"/>
          <w:color w:val="000000"/>
          <w:u w:color="000000"/>
          <w:bdr w:val="nil"/>
          <w:lang w:val="en-GB"/>
        </w:rPr>
        <w:t xml:space="preserve">. . . </w:t>
      </w:r>
      <w:r w:rsidRPr="000269CF">
        <w:rPr>
          <w:rFonts w:eastAsia="Arial Unicode MS" w:cs="Arial Unicode MS"/>
          <w:color w:val="000000"/>
          <w:u w:color="000000"/>
          <w:bdr w:val="nil"/>
          <w:lang w:val="en-GB"/>
        </w:rPr>
        <w:t>combat rising programming costs and capitalize on the business services opportunity</w:t>
      </w:r>
      <w:r w:rsidRPr="000269CF">
        <w:rPr>
          <w:rFonts w:eastAsia="Arial Unicode MS" w:cs="Arial Unicode MS"/>
          <w:color w:val="000000"/>
          <w:sz w:val="24"/>
          <w:szCs w:val="24"/>
          <w:u w:color="000000"/>
          <w:bdr w:val="nil"/>
          <w:lang w:val="en-GB"/>
        </w:rPr>
        <w:t xml:space="preserve"> </w:t>
      </w:r>
      <w:r w:rsidR="00EC380A">
        <w:rPr>
          <w:rFonts w:eastAsia="Arial Unicode MS" w:cs="Arial Unicode MS"/>
          <w:color w:val="000000"/>
          <w:u w:color="000000"/>
          <w:bdr w:val="nil"/>
          <w:lang w:val="en-GB"/>
        </w:rPr>
        <w:t>. . . [</w:t>
      </w:r>
      <w:r w:rsidRPr="000269CF">
        <w:rPr>
          <w:rFonts w:eastAsia="Arial Unicode MS" w:cs="Arial Unicode MS"/>
          <w:color w:val="000000"/>
          <w:u w:color="000000"/>
          <w:bdr w:val="nil"/>
          <w:lang w:val="en-GB"/>
        </w:rPr>
        <w:t>and</w:t>
      </w:r>
      <w:r w:rsidR="00EC380A">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operate well.”</w:t>
      </w:r>
      <w:r w:rsidRPr="000269CF">
        <w:rPr>
          <w:rFonts w:eastAsia="Arial Unicode MS"/>
          <w:color w:val="000000"/>
          <w:u w:color="000000"/>
          <w:bdr w:val="nil"/>
          <w:vertAlign w:val="superscript"/>
          <w:lang w:val="en-GB"/>
        </w:rPr>
        <w:endnoteReference w:id="6"/>
      </w:r>
      <w:r w:rsidRPr="000269CF">
        <w:rPr>
          <w:rFonts w:eastAsia="Arial Unicode MS" w:cs="Arial Unicode MS"/>
          <w:color w:val="000000"/>
          <w:u w:color="000000"/>
          <w:bdr w:val="nil"/>
          <w:lang w:val="en-GB"/>
        </w:rPr>
        <w:t xml:space="preserve"> A merger would increase efficiency through reduced overhead costs and infrastructure consolidation. Charter also prided itself on its operational efficiencies</w:t>
      </w:r>
      <w:r w:rsidR="00EC380A">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given that </w:t>
      </w:r>
      <w:r w:rsidR="00EC380A">
        <w:rPr>
          <w:rFonts w:eastAsia="Arial Unicode MS" w:cs="Arial Unicode MS"/>
          <w:color w:val="000000"/>
          <w:u w:color="000000"/>
          <w:bdr w:val="nil"/>
          <w:lang w:val="en-GB"/>
        </w:rPr>
        <w:t>the company’s chief executive officer (</w:t>
      </w:r>
      <w:r w:rsidRPr="000269CF">
        <w:rPr>
          <w:rFonts w:eastAsia="Arial Unicode MS" w:cs="Arial Unicode MS"/>
          <w:color w:val="000000"/>
          <w:u w:color="000000"/>
          <w:bdr w:val="nil"/>
          <w:lang w:val="en-GB"/>
        </w:rPr>
        <w:t>CEO</w:t>
      </w:r>
      <w:r w:rsidR="00EC380A">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Tom Rutledge</w:t>
      </w:r>
      <w:r w:rsidR="00EC380A">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had worked in the industry his entire career and could improve TWC</w:t>
      </w:r>
      <w:r w:rsidR="00EC380A">
        <w:rPr>
          <w:rFonts w:eastAsia="Arial Unicode MS" w:cs="Arial Unicode MS"/>
          <w:color w:val="000000"/>
          <w:u w:color="000000"/>
          <w:bdr w:val="nil"/>
          <w:lang w:val="en-GB"/>
        </w:rPr>
        <w:t>’s</w:t>
      </w:r>
      <w:r w:rsidRPr="000269CF">
        <w:rPr>
          <w:rFonts w:eastAsia="Arial Unicode MS" w:cs="Arial Unicode MS"/>
          <w:color w:val="000000"/>
          <w:u w:color="000000"/>
          <w:bdr w:val="nil"/>
          <w:lang w:val="en-GB"/>
        </w:rPr>
        <w:t xml:space="preserve"> operations. Another benefit would be the combined company’s enhanced bargaining power with content suppliers</w:t>
      </w:r>
      <w:r w:rsidR="00EC380A">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w:t>
      </w:r>
      <w:r w:rsidR="00EC380A">
        <w:rPr>
          <w:rFonts w:eastAsia="Arial Unicode MS" w:cs="Arial Unicode MS"/>
          <w:color w:val="000000"/>
          <w:u w:color="000000"/>
          <w:bdr w:val="nil"/>
          <w:lang w:val="en-GB"/>
        </w:rPr>
        <w:t xml:space="preserve">This was </w:t>
      </w:r>
      <w:r w:rsidRPr="000269CF">
        <w:rPr>
          <w:rFonts w:eastAsia="Arial Unicode MS" w:cs="Arial Unicode MS"/>
          <w:color w:val="000000"/>
          <w:u w:color="000000"/>
          <w:bdr w:val="nil"/>
          <w:lang w:val="en-GB"/>
        </w:rPr>
        <w:t>an important factor</w:t>
      </w:r>
      <w:r w:rsidR="00EC380A">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given th</w:t>
      </w:r>
      <w:r w:rsidR="00EC380A">
        <w:rPr>
          <w:rFonts w:eastAsia="Arial Unicode MS" w:cs="Arial Unicode MS"/>
          <w:color w:val="000000"/>
          <w:u w:color="000000"/>
          <w:bdr w:val="nil"/>
          <w:lang w:val="en-GB"/>
        </w:rPr>
        <w:t xml:space="preserve">e recent trend </w:t>
      </w:r>
      <w:r w:rsidR="00B0736C">
        <w:rPr>
          <w:rFonts w:eastAsia="Arial Unicode MS" w:cs="Arial Unicode MS"/>
          <w:color w:val="000000"/>
          <w:u w:color="000000"/>
          <w:bdr w:val="nil"/>
          <w:lang w:val="en-GB"/>
        </w:rPr>
        <w:t>that</w:t>
      </w:r>
      <w:r w:rsidRPr="000269CF">
        <w:rPr>
          <w:rFonts w:eastAsia="Arial Unicode MS" w:cs="Arial Unicode MS"/>
          <w:color w:val="000000"/>
          <w:u w:color="000000"/>
          <w:bdr w:val="nil"/>
          <w:lang w:val="en-GB"/>
        </w:rPr>
        <w:t xml:space="preserve"> higher programming fees imposed by </w:t>
      </w:r>
      <w:r w:rsidR="00EC380A">
        <w:rPr>
          <w:rFonts w:eastAsia="Arial Unicode MS" w:cs="Arial Unicode MS"/>
          <w:color w:val="000000"/>
          <w:u w:color="000000"/>
          <w:bdr w:val="nil"/>
          <w:lang w:val="en-GB"/>
        </w:rPr>
        <w:t xml:space="preserve">major </w:t>
      </w:r>
      <w:r w:rsidRPr="000269CF">
        <w:rPr>
          <w:rFonts w:eastAsia="Arial Unicode MS" w:cs="Arial Unicode MS"/>
          <w:color w:val="000000"/>
          <w:u w:color="000000"/>
          <w:bdr w:val="nil"/>
          <w:lang w:val="en-GB"/>
        </w:rPr>
        <w:t xml:space="preserve">media companies </w:t>
      </w:r>
      <w:r w:rsidR="00EC380A">
        <w:rPr>
          <w:rFonts w:eastAsia="Arial Unicode MS" w:cs="Arial Unicode MS"/>
          <w:color w:val="000000"/>
          <w:u w:color="000000"/>
          <w:bdr w:val="nil"/>
          <w:lang w:val="en-GB"/>
        </w:rPr>
        <w:t>such as</w:t>
      </w:r>
      <w:r w:rsidRPr="000269CF">
        <w:rPr>
          <w:rFonts w:eastAsia="Arial Unicode MS" w:cs="Arial Unicode MS"/>
          <w:color w:val="000000"/>
          <w:u w:color="000000"/>
          <w:bdr w:val="nil"/>
          <w:lang w:val="en-GB"/>
        </w:rPr>
        <w:t xml:space="preserve"> CBS and </w:t>
      </w:r>
      <w:r w:rsidR="008A30E3">
        <w:rPr>
          <w:rFonts w:eastAsia="Arial Unicode MS" w:cs="Arial Unicode MS"/>
          <w:color w:val="000000"/>
          <w:u w:color="000000"/>
          <w:bdr w:val="nil"/>
          <w:lang w:val="en-GB"/>
        </w:rPr>
        <w:t xml:space="preserve">Fox </w:t>
      </w:r>
      <w:r w:rsidR="001A2B1E">
        <w:rPr>
          <w:rFonts w:eastAsia="Arial Unicode MS" w:cs="Arial Unicode MS"/>
          <w:color w:val="000000"/>
          <w:u w:color="000000"/>
          <w:bdr w:val="nil"/>
          <w:lang w:val="en-GB"/>
        </w:rPr>
        <w:t xml:space="preserve">Entertainment Group </w:t>
      </w:r>
      <w:r w:rsidR="008A30E3">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Fox</w:t>
      </w:r>
      <w:r w:rsidR="008A30E3">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w</w:t>
      </w:r>
      <w:r w:rsidR="00B0736C">
        <w:rPr>
          <w:rFonts w:eastAsia="Arial Unicode MS" w:cs="Arial Unicode MS"/>
          <w:color w:val="000000"/>
          <w:u w:color="000000"/>
          <w:bdr w:val="nil"/>
          <w:lang w:val="en-GB"/>
        </w:rPr>
        <w:t>ere</w:t>
      </w:r>
      <w:r w:rsidRPr="000269CF">
        <w:rPr>
          <w:rFonts w:eastAsia="Arial Unicode MS" w:cs="Arial Unicode MS"/>
          <w:color w:val="000000"/>
          <w:u w:color="000000"/>
          <w:bdr w:val="nil"/>
          <w:lang w:val="en-GB"/>
        </w:rPr>
        <w:t xml:space="preserve"> hurting cable </w:t>
      </w:r>
      <w:r w:rsidR="00173E5D">
        <w:rPr>
          <w:rFonts w:eastAsia="Arial Unicode MS" w:cs="Arial Unicode MS"/>
          <w:color w:val="000000"/>
          <w:u w:color="000000"/>
          <w:bdr w:val="nil"/>
          <w:lang w:val="en-GB"/>
        </w:rPr>
        <w:t>television</w:t>
      </w:r>
      <w:r w:rsidRPr="000269CF">
        <w:rPr>
          <w:rFonts w:eastAsia="Arial Unicode MS" w:cs="Arial Unicode MS"/>
          <w:color w:val="000000"/>
          <w:u w:color="000000"/>
          <w:bdr w:val="nil"/>
          <w:lang w:val="en-GB"/>
        </w:rPr>
        <w:t xml:space="preserve"> companies’ margins. Moreover, subscribers of TWC and Charter did not overlap geographically</w:t>
      </w:r>
      <w:r w:rsidR="00173E5D">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w:t>
      </w:r>
      <w:r w:rsidR="00173E5D">
        <w:rPr>
          <w:rFonts w:eastAsia="Arial Unicode MS" w:cs="Arial Unicode MS"/>
          <w:color w:val="000000"/>
          <w:u w:color="000000"/>
          <w:bdr w:val="nil"/>
          <w:lang w:val="en-GB"/>
        </w:rPr>
        <w:t>which meant that</w:t>
      </w:r>
      <w:r w:rsidRPr="000269CF">
        <w:rPr>
          <w:rFonts w:eastAsia="Arial Unicode MS" w:cs="Arial Unicode MS"/>
          <w:color w:val="000000"/>
          <w:u w:color="000000"/>
          <w:bdr w:val="nil"/>
          <w:lang w:val="en-GB"/>
        </w:rPr>
        <w:t xml:space="preserve"> the combination would not be anticompetitive.</w:t>
      </w:r>
      <w:r w:rsidR="00D718E6" w:rsidRPr="00D718E6">
        <w:rPr>
          <w:rFonts w:eastAsia="Calibri"/>
          <w:color w:val="000000"/>
          <w:u w:color="000000"/>
          <w:bdr w:val="nil"/>
          <w:vertAlign w:val="superscript"/>
          <w:lang w:val="en-GB"/>
        </w:rPr>
        <w:t xml:space="preserve"> </w:t>
      </w:r>
      <w:r w:rsidR="00D718E6" w:rsidRPr="000269CF">
        <w:rPr>
          <w:rFonts w:eastAsia="Calibri"/>
          <w:color w:val="000000"/>
          <w:u w:color="000000"/>
          <w:bdr w:val="nil"/>
          <w:vertAlign w:val="superscript"/>
          <w:lang w:val="en-GB"/>
        </w:rPr>
        <w:endnoteReference w:id="7"/>
      </w:r>
      <w:r w:rsidRPr="000269CF">
        <w:rPr>
          <w:rFonts w:eastAsia="Arial Unicode MS" w:cs="Arial Unicode MS"/>
          <w:color w:val="000000"/>
          <w:u w:color="000000"/>
          <w:bdr w:val="nil"/>
          <w:lang w:val="en-GB"/>
        </w:rPr>
        <w:t xml:space="preserve"> </w:t>
      </w:r>
    </w:p>
    <w:p w14:paraId="0729910E" w14:textId="77777777" w:rsidR="00EC6A26" w:rsidRPr="000269CF" w:rsidRDefault="00EC6A26" w:rsidP="00EC6A26">
      <w:pPr>
        <w:pStyle w:val="BodyTextMain"/>
        <w:rPr>
          <w:rFonts w:eastAsia="Calibri"/>
          <w:color w:val="000000"/>
          <w:u w:color="000000"/>
          <w:bdr w:val="nil"/>
          <w:lang w:val="en-GB"/>
        </w:rPr>
      </w:pPr>
    </w:p>
    <w:p w14:paraId="60AE70B8" w14:textId="72859DAD" w:rsidR="00EC6A26" w:rsidRPr="000269CF" w:rsidRDefault="00EC6A26" w:rsidP="00EC6A26">
      <w:pPr>
        <w:pStyle w:val="BodyTextMain"/>
        <w:rPr>
          <w:rFonts w:eastAsia="Calibri"/>
          <w:color w:val="000000"/>
          <w:u w:color="000000"/>
          <w:bdr w:val="nil"/>
          <w:lang w:val="en-GB"/>
        </w:rPr>
      </w:pPr>
      <w:r w:rsidRPr="000269CF">
        <w:rPr>
          <w:rFonts w:eastAsia="Calibri"/>
          <w:color w:val="000000"/>
          <w:u w:color="000000"/>
          <w:bdr w:val="nil"/>
          <w:lang w:val="en-GB"/>
        </w:rPr>
        <w:t>An argument against this bid was Charter</w:t>
      </w:r>
      <w:r w:rsidR="00C96841">
        <w:rPr>
          <w:rFonts w:eastAsia="Calibri"/>
          <w:color w:val="000000"/>
          <w:u w:color="000000"/>
          <w:bdr w:val="nil"/>
          <w:lang w:val="en-GB"/>
        </w:rPr>
        <w:t>’s small size. It was</w:t>
      </w:r>
      <w:r w:rsidRPr="000269CF">
        <w:rPr>
          <w:rFonts w:eastAsia="Calibri"/>
          <w:color w:val="000000"/>
          <w:u w:color="000000"/>
          <w:bdr w:val="nil"/>
          <w:lang w:val="en-GB"/>
        </w:rPr>
        <w:t xml:space="preserve"> the fourth</w:t>
      </w:r>
      <w:r w:rsidR="003C08FA">
        <w:rPr>
          <w:rFonts w:eastAsia="Calibri"/>
          <w:color w:val="000000"/>
          <w:u w:color="000000"/>
          <w:bdr w:val="nil"/>
          <w:lang w:val="en-GB"/>
        </w:rPr>
        <w:t>-</w:t>
      </w:r>
      <w:r w:rsidRPr="000269CF">
        <w:rPr>
          <w:rFonts w:eastAsia="Calibri"/>
          <w:color w:val="000000"/>
          <w:u w:color="000000"/>
          <w:bdr w:val="nil"/>
          <w:lang w:val="en-GB"/>
        </w:rPr>
        <w:t xml:space="preserve">largest firm in the industry, with </w:t>
      </w:r>
      <w:r w:rsidR="006008A4">
        <w:rPr>
          <w:rFonts w:eastAsia="Calibri"/>
          <w:color w:val="000000"/>
          <w:u w:color="000000"/>
          <w:bdr w:val="nil"/>
          <w:lang w:val="en-GB"/>
        </w:rPr>
        <w:t>four</w:t>
      </w:r>
      <w:r w:rsidRPr="000269CF">
        <w:rPr>
          <w:rFonts w:eastAsia="Calibri"/>
          <w:color w:val="000000"/>
          <w:u w:color="000000"/>
          <w:bdr w:val="nil"/>
          <w:lang w:val="en-GB"/>
        </w:rPr>
        <w:t xml:space="preserve"> million subscribers in 2013 and an enterprise value of about </w:t>
      </w:r>
      <w:r w:rsidR="003C08FA">
        <w:rPr>
          <w:rFonts w:eastAsia="Calibri"/>
          <w:color w:val="000000"/>
          <w:u w:color="000000"/>
          <w:bdr w:val="nil"/>
          <w:lang w:val="en-GB"/>
        </w:rPr>
        <w:t>US</w:t>
      </w:r>
      <w:r w:rsidRPr="000269CF">
        <w:rPr>
          <w:rFonts w:eastAsia="Calibri"/>
          <w:color w:val="000000"/>
          <w:u w:color="000000"/>
          <w:bdr w:val="nil"/>
          <w:lang w:val="en-GB"/>
        </w:rPr>
        <w:t>$25 billion</w:t>
      </w:r>
      <w:r w:rsidR="00C96841">
        <w:rPr>
          <w:rFonts w:eastAsia="Calibri"/>
          <w:color w:val="000000"/>
          <w:u w:color="000000"/>
          <w:bdr w:val="nil"/>
          <w:lang w:val="en-GB"/>
        </w:rPr>
        <w:t>,</w:t>
      </w:r>
      <w:r w:rsidR="003C08FA">
        <w:rPr>
          <w:rStyle w:val="EndnoteReference"/>
          <w:rFonts w:eastAsia="Calibri"/>
          <w:color w:val="000000"/>
          <w:u w:color="000000"/>
          <w:bdr w:val="nil"/>
          <w:lang w:val="en-GB"/>
        </w:rPr>
        <w:endnoteReference w:id="8"/>
      </w:r>
      <w:r w:rsidRPr="000269CF">
        <w:rPr>
          <w:rFonts w:eastAsia="Calibri"/>
          <w:color w:val="000000"/>
          <w:u w:color="000000"/>
          <w:bdr w:val="nil"/>
          <w:lang w:val="en-GB"/>
        </w:rPr>
        <w:t xml:space="preserve"> including a debt load of $14 billion</w:t>
      </w:r>
      <w:r w:rsidR="00C96841">
        <w:rPr>
          <w:rFonts w:eastAsia="Calibri"/>
          <w:color w:val="000000"/>
          <w:u w:color="000000"/>
          <w:bdr w:val="nil"/>
          <w:lang w:val="en-GB"/>
        </w:rPr>
        <w:t>. However</w:t>
      </w:r>
      <w:r w:rsidRPr="000269CF">
        <w:rPr>
          <w:rFonts w:eastAsia="Calibri"/>
          <w:color w:val="000000"/>
          <w:u w:color="000000"/>
          <w:bdr w:val="nil"/>
          <w:lang w:val="en-GB"/>
        </w:rPr>
        <w:t xml:space="preserve">, </w:t>
      </w:r>
      <w:r w:rsidR="00C96841">
        <w:rPr>
          <w:rFonts w:eastAsia="Calibri"/>
          <w:color w:val="000000"/>
          <w:u w:color="000000"/>
          <w:bdr w:val="nil"/>
          <w:lang w:val="en-GB"/>
        </w:rPr>
        <w:t xml:space="preserve">it </w:t>
      </w:r>
      <w:r w:rsidRPr="000269CF">
        <w:rPr>
          <w:rFonts w:eastAsia="Calibri"/>
          <w:color w:val="000000"/>
          <w:u w:color="000000"/>
          <w:bdr w:val="nil"/>
          <w:lang w:val="en-GB"/>
        </w:rPr>
        <w:t>was less than half the size of TWC</w:t>
      </w:r>
      <w:r w:rsidR="003C08FA">
        <w:rPr>
          <w:rFonts w:eastAsia="Calibri"/>
          <w:color w:val="000000"/>
          <w:u w:color="000000"/>
          <w:bdr w:val="nil"/>
          <w:lang w:val="en-GB"/>
        </w:rPr>
        <w:t>,</w:t>
      </w:r>
      <w:r w:rsidRPr="000269CF">
        <w:rPr>
          <w:rFonts w:eastAsia="Calibri"/>
          <w:color w:val="000000"/>
          <w:u w:color="000000"/>
          <w:bdr w:val="nil"/>
          <w:lang w:val="en-GB"/>
        </w:rPr>
        <w:t xml:space="preserve"> wh</w:t>
      </w:r>
      <w:r w:rsidR="003C08FA">
        <w:rPr>
          <w:rFonts w:eastAsia="Calibri"/>
          <w:color w:val="000000"/>
          <w:u w:color="000000"/>
          <w:bdr w:val="nil"/>
          <w:lang w:val="en-GB"/>
        </w:rPr>
        <w:t>ich had</w:t>
      </w:r>
      <w:r w:rsidRPr="000269CF">
        <w:rPr>
          <w:rFonts w:eastAsia="Calibri"/>
          <w:color w:val="000000"/>
          <w:u w:color="000000"/>
          <w:bdr w:val="nil"/>
          <w:lang w:val="en-GB"/>
        </w:rPr>
        <w:t xml:space="preserve"> over 12 million subscribers and an enterprise value of $54 billion.</w:t>
      </w:r>
      <w:r w:rsidRPr="000269CF">
        <w:rPr>
          <w:rFonts w:eastAsia="Calibri"/>
          <w:color w:val="000000"/>
          <w:u w:color="000000"/>
          <w:bdr w:val="nil"/>
          <w:vertAlign w:val="superscript"/>
          <w:lang w:val="en-GB"/>
        </w:rPr>
        <w:endnoteReference w:id="9"/>
      </w:r>
      <w:r w:rsidRPr="000269CF">
        <w:rPr>
          <w:rFonts w:eastAsia="Calibri"/>
          <w:color w:val="000000"/>
          <w:u w:color="000000"/>
          <w:bdr w:val="nil"/>
          <w:lang w:val="en-GB"/>
        </w:rPr>
        <w:t xml:space="preserve"> A counterpoint</w:t>
      </w:r>
      <w:r w:rsidR="003C08FA">
        <w:rPr>
          <w:rFonts w:eastAsia="Calibri"/>
          <w:color w:val="000000"/>
          <w:u w:color="000000"/>
          <w:bdr w:val="nil"/>
          <w:lang w:val="en-GB"/>
        </w:rPr>
        <w:t>, however,</w:t>
      </w:r>
      <w:r w:rsidRPr="000269CF">
        <w:rPr>
          <w:rFonts w:eastAsia="Calibri"/>
          <w:color w:val="000000"/>
          <w:u w:color="000000"/>
          <w:bdr w:val="nil"/>
          <w:lang w:val="en-GB"/>
        </w:rPr>
        <w:t xml:space="preserve"> was that TWC was a weak company</w:t>
      </w:r>
      <w:r w:rsidR="003C08FA">
        <w:rPr>
          <w:rFonts w:eastAsia="Calibri"/>
          <w:color w:val="000000"/>
          <w:u w:color="000000"/>
          <w:bdr w:val="nil"/>
          <w:lang w:val="en-GB"/>
        </w:rPr>
        <w:t>.</w:t>
      </w:r>
      <w:r w:rsidRPr="000269CF">
        <w:rPr>
          <w:rFonts w:eastAsia="Calibri"/>
          <w:color w:val="000000"/>
          <w:u w:color="000000"/>
          <w:bdr w:val="nil"/>
          <w:lang w:val="en-GB"/>
        </w:rPr>
        <w:t xml:space="preserve"> </w:t>
      </w:r>
      <w:r w:rsidR="003C08FA">
        <w:rPr>
          <w:rFonts w:eastAsia="Calibri"/>
          <w:color w:val="000000"/>
          <w:u w:color="000000"/>
          <w:bdr w:val="nil"/>
          <w:lang w:val="en-GB"/>
        </w:rPr>
        <w:t>It</w:t>
      </w:r>
      <w:r w:rsidRPr="000269CF">
        <w:rPr>
          <w:rFonts w:eastAsia="Calibri"/>
          <w:color w:val="000000"/>
          <w:u w:color="000000"/>
          <w:bdr w:val="nil"/>
          <w:lang w:val="en-GB"/>
        </w:rPr>
        <w:t xml:space="preserve"> had been losing residential cable subscribers and </w:t>
      </w:r>
      <w:r w:rsidR="003C08FA">
        <w:rPr>
          <w:rFonts w:eastAsia="Calibri"/>
          <w:color w:val="000000"/>
          <w:u w:color="000000"/>
          <w:bdr w:val="nil"/>
          <w:lang w:val="en-GB"/>
        </w:rPr>
        <w:t xml:space="preserve">had been </w:t>
      </w:r>
      <w:r w:rsidRPr="000269CF">
        <w:rPr>
          <w:rFonts w:eastAsia="Calibri"/>
          <w:color w:val="000000"/>
          <w:u w:color="000000"/>
          <w:bdr w:val="nil"/>
          <w:lang w:val="en-GB"/>
        </w:rPr>
        <w:t xml:space="preserve">adding fewer broadband subscribers during the previous two years. </w:t>
      </w:r>
      <w:r w:rsidR="00567B84">
        <w:rPr>
          <w:rFonts w:eastAsia="Calibri"/>
          <w:color w:val="000000"/>
          <w:u w:color="000000"/>
          <w:bdr w:val="nil"/>
          <w:lang w:val="en-GB"/>
        </w:rPr>
        <w:t>The company had</w:t>
      </w:r>
      <w:r w:rsidRPr="000269CF">
        <w:rPr>
          <w:rFonts w:eastAsia="Calibri"/>
          <w:color w:val="000000"/>
          <w:u w:color="000000"/>
          <w:bdr w:val="nil"/>
          <w:lang w:val="en-GB"/>
        </w:rPr>
        <w:t xml:space="preserve"> received numerous customer complaints, a</w:t>
      </w:r>
      <w:r w:rsidR="00567B84">
        <w:rPr>
          <w:rFonts w:eastAsia="Calibri"/>
          <w:color w:val="000000"/>
          <w:u w:color="000000"/>
          <w:bdr w:val="nil"/>
          <w:lang w:val="en-GB"/>
        </w:rPr>
        <w:t>s</w:t>
      </w:r>
      <w:r w:rsidRPr="000269CF">
        <w:rPr>
          <w:rFonts w:eastAsia="Calibri"/>
          <w:color w:val="000000"/>
          <w:u w:color="000000"/>
          <w:bdr w:val="nil"/>
          <w:lang w:val="en-GB"/>
        </w:rPr>
        <w:t xml:space="preserve"> the technological edge </w:t>
      </w:r>
      <w:r w:rsidR="00567B84">
        <w:rPr>
          <w:rFonts w:eastAsia="Calibri"/>
          <w:color w:val="000000"/>
          <w:u w:color="000000"/>
          <w:bdr w:val="nil"/>
          <w:lang w:val="en-GB"/>
        </w:rPr>
        <w:t>it</w:t>
      </w:r>
      <w:r w:rsidRPr="000269CF">
        <w:rPr>
          <w:rFonts w:eastAsia="Calibri"/>
          <w:color w:val="000000"/>
          <w:u w:color="000000"/>
          <w:bdr w:val="nil"/>
          <w:lang w:val="en-GB"/>
        </w:rPr>
        <w:t xml:space="preserve"> once </w:t>
      </w:r>
      <w:r w:rsidR="00567B84">
        <w:rPr>
          <w:rFonts w:eastAsia="Calibri"/>
          <w:color w:val="000000"/>
          <w:u w:color="000000"/>
          <w:bdr w:val="nil"/>
          <w:lang w:val="en-GB"/>
        </w:rPr>
        <w:t>enjoyed</w:t>
      </w:r>
      <w:r w:rsidRPr="000269CF">
        <w:rPr>
          <w:rFonts w:eastAsia="Calibri"/>
          <w:color w:val="000000"/>
          <w:u w:color="000000"/>
          <w:bdr w:val="nil"/>
          <w:lang w:val="en-GB"/>
        </w:rPr>
        <w:t xml:space="preserve"> in high-speed </w:t>
      </w:r>
      <w:r w:rsidR="00567B84">
        <w:rPr>
          <w:rFonts w:eastAsia="Calibri"/>
          <w:color w:val="000000"/>
          <w:u w:color="000000"/>
          <w:bdr w:val="nil"/>
          <w:lang w:val="en-GB"/>
        </w:rPr>
        <w:t>I</w:t>
      </w:r>
      <w:r w:rsidRPr="000269CF">
        <w:rPr>
          <w:rFonts w:eastAsia="Calibri"/>
          <w:color w:val="000000"/>
          <w:u w:color="000000"/>
          <w:bdr w:val="nil"/>
          <w:lang w:val="en-GB"/>
        </w:rPr>
        <w:t>nternet was eroding.</w:t>
      </w:r>
      <w:r w:rsidRPr="000269CF">
        <w:rPr>
          <w:rFonts w:eastAsia="Calibri"/>
          <w:color w:val="000000"/>
          <w:u w:color="000000"/>
          <w:bdr w:val="nil"/>
          <w:vertAlign w:val="superscript"/>
          <w:lang w:val="en-GB"/>
        </w:rPr>
        <w:endnoteReference w:id="10"/>
      </w:r>
    </w:p>
    <w:p w14:paraId="2A648A43" w14:textId="77777777" w:rsidR="00EC6A26" w:rsidRPr="000269CF" w:rsidRDefault="00EC6A26" w:rsidP="00EC6A26">
      <w:pPr>
        <w:pStyle w:val="BodyTextMain"/>
        <w:rPr>
          <w:rFonts w:eastAsia="Calibri"/>
          <w:color w:val="000000"/>
          <w:u w:color="000000"/>
          <w:bdr w:val="nil"/>
          <w:lang w:val="en-GB"/>
        </w:rPr>
      </w:pPr>
    </w:p>
    <w:p w14:paraId="1F272A3F" w14:textId="12C96D51" w:rsidR="00EC6A26" w:rsidRPr="000269CF" w:rsidRDefault="00EC6A26" w:rsidP="00EC6A26">
      <w:pPr>
        <w:pStyle w:val="BodyTextMain"/>
        <w:rPr>
          <w:rFonts w:eastAsia="Arial Unicode MS" w:cs="Arial Unicode MS"/>
          <w:color w:val="000000"/>
          <w:sz w:val="24"/>
          <w:szCs w:val="24"/>
          <w:u w:color="000000"/>
          <w:bdr w:val="nil"/>
          <w:lang w:val="en-GB"/>
        </w:rPr>
      </w:pPr>
      <w:r w:rsidRPr="000269CF">
        <w:rPr>
          <w:rFonts w:eastAsia="Calibri"/>
          <w:color w:val="000000"/>
          <w:u w:color="000000"/>
          <w:bdr w:val="nil"/>
          <w:lang w:val="en-GB"/>
        </w:rPr>
        <w:t xml:space="preserve">In </w:t>
      </w:r>
      <w:r w:rsidR="00C96841">
        <w:rPr>
          <w:rFonts w:eastAsia="Calibri"/>
          <w:color w:val="000000"/>
          <w:u w:color="000000"/>
          <w:bdr w:val="nil"/>
          <w:lang w:val="en-GB"/>
        </w:rPr>
        <w:t>all</w:t>
      </w:r>
      <w:r w:rsidRPr="000269CF">
        <w:rPr>
          <w:rFonts w:eastAsia="Calibri"/>
          <w:color w:val="000000"/>
          <w:u w:color="000000"/>
          <w:bdr w:val="nil"/>
          <w:lang w:val="en-GB"/>
        </w:rPr>
        <w:t xml:space="preserve"> bids Charter </w:t>
      </w:r>
      <w:r w:rsidR="00567B84">
        <w:rPr>
          <w:rFonts w:eastAsia="Calibri"/>
          <w:color w:val="000000"/>
          <w:u w:color="000000"/>
          <w:bdr w:val="nil"/>
          <w:lang w:val="en-GB"/>
        </w:rPr>
        <w:t xml:space="preserve">made </w:t>
      </w:r>
      <w:r w:rsidR="00C96841">
        <w:rPr>
          <w:rFonts w:eastAsia="Calibri"/>
          <w:color w:val="000000"/>
          <w:u w:color="000000"/>
          <w:bdr w:val="nil"/>
          <w:lang w:val="en-GB"/>
        </w:rPr>
        <w:t>for TWC,</w:t>
      </w:r>
      <w:r w:rsidRPr="000269CF">
        <w:rPr>
          <w:rFonts w:eastAsia="Calibri"/>
          <w:color w:val="000000"/>
          <w:u w:color="000000"/>
          <w:bdr w:val="nil"/>
          <w:lang w:val="en-GB"/>
        </w:rPr>
        <w:t xml:space="preserve"> price</w:t>
      </w:r>
      <w:r w:rsidR="00C96841">
        <w:rPr>
          <w:rFonts w:eastAsia="Calibri"/>
          <w:color w:val="000000"/>
          <w:u w:color="000000"/>
          <w:bdr w:val="nil"/>
          <w:lang w:val="en-GB"/>
        </w:rPr>
        <w:t xml:space="preserve"> wa</w:t>
      </w:r>
      <w:r w:rsidRPr="000269CF">
        <w:rPr>
          <w:rFonts w:eastAsia="Calibri"/>
          <w:color w:val="000000"/>
          <w:u w:color="000000"/>
          <w:bdr w:val="nil"/>
          <w:lang w:val="en-GB"/>
        </w:rPr>
        <w:t>s a sore point. Charter</w:t>
      </w:r>
      <w:r w:rsidR="00567B84">
        <w:rPr>
          <w:rFonts w:eastAsia="Calibri"/>
          <w:color w:val="000000"/>
          <w:u w:color="000000"/>
          <w:bdr w:val="nil"/>
          <w:lang w:val="en-GB"/>
        </w:rPr>
        <w:t>’</w:t>
      </w:r>
      <w:r w:rsidRPr="000269CF">
        <w:rPr>
          <w:rFonts w:eastAsia="Calibri"/>
          <w:color w:val="000000"/>
          <w:u w:color="000000"/>
          <w:bdr w:val="nil"/>
          <w:lang w:val="en-GB"/>
        </w:rPr>
        <w:t xml:space="preserve">s two </w:t>
      </w:r>
      <w:r w:rsidR="00567B84">
        <w:rPr>
          <w:rFonts w:eastAsia="Calibri"/>
          <w:color w:val="000000"/>
          <w:u w:color="000000"/>
          <w:bdr w:val="nil"/>
          <w:lang w:val="en-GB"/>
        </w:rPr>
        <w:t>failed</w:t>
      </w:r>
      <w:r w:rsidRPr="000269CF">
        <w:rPr>
          <w:rFonts w:eastAsia="Calibri"/>
          <w:color w:val="000000"/>
          <w:u w:color="000000"/>
          <w:bdr w:val="nil"/>
          <w:lang w:val="en-GB"/>
        </w:rPr>
        <w:t xml:space="preserve"> non-public</w:t>
      </w:r>
      <w:r w:rsidR="00567B84">
        <w:rPr>
          <w:rFonts w:eastAsia="Calibri"/>
          <w:color w:val="000000"/>
          <w:u w:color="000000"/>
          <w:bdr w:val="nil"/>
          <w:lang w:val="en-GB"/>
        </w:rPr>
        <w:t>,</w:t>
      </w:r>
      <w:r w:rsidRPr="000269CF">
        <w:rPr>
          <w:rFonts w:eastAsia="Calibri"/>
          <w:color w:val="000000"/>
          <w:u w:color="000000"/>
          <w:bdr w:val="nil"/>
          <w:lang w:val="en-GB"/>
        </w:rPr>
        <w:t xml:space="preserve"> informal acquisition offers </w:t>
      </w:r>
      <w:r w:rsidR="00567B84">
        <w:rPr>
          <w:rFonts w:eastAsia="Calibri"/>
          <w:color w:val="000000"/>
          <w:u w:color="000000"/>
          <w:bdr w:val="nil"/>
          <w:lang w:val="en-GB"/>
        </w:rPr>
        <w:t>in 2013</w:t>
      </w:r>
      <w:r w:rsidRPr="000269CF">
        <w:rPr>
          <w:rFonts w:eastAsia="Calibri"/>
          <w:color w:val="000000"/>
          <w:u w:color="000000"/>
          <w:bdr w:val="nil"/>
          <w:lang w:val="en-GB"/>
        </w:rPr>
        <w:t xml:space="preserve"> </w:t>
      </w:r>
      <w:r w:rsidR="00567B84">
        <w:rPr>
          <w:rFonts w:eastAsia="Calibri"/>
          <w:color w:val="000000"/>
          <w:u w:color="000000"/>
          <w:bdr w:val="nil"/>
          <w:lang w:val="en-GB"/>
        </w:rPr>
        <w:t>were</w:t>
      </w:r>
      <w:r w:rsidRPr="000269CF">
        <w:rPr>
          <w:rFonts w:eastAsia="Calibri"/>
          <w:color w:val="000000"/>
          <w:u w:color="000000"/>
          <w:bdr w:val="nil"/>
          <w:lang w:val="en-GB"/>
        </w:rPr>
        <w:t xml:space="preserve"> price</w:t>
      </w:r>
      <w:r w:rsidR="00567B84">
        <w:rPr>
          <w:rFonts w:eastAsia="Calibri"/>
          <w:color w:val="000000"/>
          <w:u w:color="000000"/>
          <w:bdr w:val="nil"/>
          <w:lang w:val="en-GB"/>
        </w:rPr>
        <w:t>d</w:t>
      </w:r>
      <w:r w:rsidRPr="000269CF">
        <w:rPr>
          <w:rFonts w:eastAsia="Calibri"/>
          <w:color w:val="000000"/>
          <w:u w:color="000000"/>
          <w:bdr w:val="nil"/>
          <w:lang w:val="en-GB"/>
        </w:rPr>
        <w:t xml:space="preserve"> below $130 per share</w:t>
      </w:r>
      <w:r w:rsidR="00567B84">
        <w:rPr>
          <w:rFonts w:eastAsia="Calibri"/>
          <w:color w:val="000000"/>
          <w:u w:color="000000"/>
          <w:bdr w:val="nil"/>
          <w:lang w:val="en-GB"/>
        </w:rPr>
        <w:t>.</w:t>
      </w:r>
      <w:r w:rsidRPr="000269CF">
        <w:rPr>
          <w:rFonts w:eastAsia="Calibri"/>
          <w:color w:val="000000"/>
          <w:u w:color="000000"/>
          <w:bdr w:val="nil"/>
          <w:lang w:val="en-GB"/>
        </w:rPr>
        <w:t xml:space="preserve"> </w:t>
      </w:r>
      <w:r w:rsidR="00567B84">
        <w:rPr>
          <w:rFonts w:eastAsia="Calibri"/>
          <w:color w:val="000000"/>
          <w:u w:color="000000"/>
          <w:bdr w:val="nil"/>
          <w:lang w:val="en-GB"/>
        </w:rPr>
        <w:t xml:space="preserve">During that </w:t>
      </w:r>
      <w:r w:rsidRPr="000269CF">
        <w:rPr>
          <w:rFonts w:eastAsia="Calibri"/>
          <w:color w:val="000000"/>
          <w:u w:color="000000"/>
          <w:bdr w:val="nil"/>
          <w:lang w:val="en-GB"/>
        </w:rPr>
        <w:t>time</w:t>
      </w:r>
      <w:r w:rsidR="00567B84">
        <w:rPr>
          <w:rFonts w:eastAsia="Calibri"/>
          <w:color w:val="000000"/>
          <w:u w:color="000000"/>
          <w:bdr w:val="nil"/>
          <w:lang w:val="en-GB"/>
        </w:rPr>
        <w:t>,</w:t>
      </w:r>
      <w:r w:rsidRPr="000269CF">
        <w:rPr>
          <w:rFonts w:eastAsia="Calibri"/>
          <w:color w:val="000000"/>
          <w:u w:color="000000"/>
          <w:bdr w:val="nil"/>
          <w:lang w:val="en-GB"/>
        </w:rPr>
        <w:t xml:space="preserve"> TWC</w:t>
      </w:r>
      <w:r w:rsidR="00567B84">
        <w:rPr>
          <w:rFonts w:eastAsia="Calibri"/>
          <w:color w:val="000000"/>
          <w:u w:color="000000"/>
          <w:bdr w:val="nil"/>
          <w:lang w:val="en-GB"/>
        </w:rPr>
        <w:t>’s</w:t>
      </w:r>
      <w:r w:rsidRPr="000269CF">
        <w:rPr>
          <w:rFonts w:eastAsia="Calibri"/>
          <w:color w:val="000000"/>
          <w:u w:color="000000"/>
          <w:bdr w:val="nil"/>
          <w:lang w:val="en-GB"/>
        </w:rPr>
        <w:t xml:space="preserve"> stock price range</w:t>
      </w:r>
      <w:r w:rsidR="00DC3AAE">
        <w:rPr>
          <w:rFonts w:eastAsia="Calibri"/>
          <w:color w:val="000000"/>
          <w:u w:color="000000"/>
          <w:bdr w:val="nil"/>
          <w:lang w:val="en-GB"/>
        </w:rPr>
        <w:t xml:space="preserve"> was approximately</w:t>
      </w:r>
      <w:r w:rsidRPr="000269CF">
        <w:rPr>
          <w:rFonts w:eastAsia="Calibri"/>
          <w:color w:val="000000"/>
          <w:u w:color="000000"/>
          <w:bdr w:val="nil"/>
          <w:lang w:val="en-GB"/>
        </w:rPr>
        <w:t xml:space="preserve"> $90</w:t>
      </w:r>
      <w:r w:rsidR="00DC3AAE">
        <w:rPr>
          <w:rFonts w:eastAsia="Calibri"/>
          <w:color w:val="000000"/>
          <w:u w:color="000000"/>
          <w:bdr w:val="nil"/>
          <w:lang w:val="en-GB"/>
        </w:rPr>
        <w:t>–</w:t>
      </w:r>
      <w:r w:rsidRPr="000269CF">
        <w:rPr>
          <w:rFonts w:eastAsia="Calibri"/>
          <w:color w:val="000000"/>
          <w:u w:color="000000"/>
          <w:bdr w:val="nil"/>
          <w:lang w:val="en-GB"/>
        </w:rPr>
        <w:t>120.</w:t>
      </w:r>
      <w:r w:rsidRPr="000269CF">
        <w:rPr>
          <w:rFonts w:eastAsia="Calibri"/>
          <w:color w:val="000000"/>
          <w:u w:color="000000"/>
          <w:bdr w:val="nil"/>
          <w:vertAlign w:val="superscript"/>
          <w:lang w:val="en-GB"/>
        </w:rPr>
        <w:endnoteReference w:id="11"/>
      </w:r>
      <w:r w:rsidR="008B0E13" w:rsidRPr="000269CF">
        <w:rPr>
          <w:rFonts w:eastAsia="Calibri"/>
          <w:color w:val="000000"/>
          <w:u w:color="000000"/>
          <w:bdr w:val="nil"/>
          <w:lang w:val="en-GB"/>
        </w:rPr>
        <w:t xml:space="preserve"> </w:t>
      </w:r>
      <w:r w:rsidRPr="000269CF">
        <w:rPr>
          <w:rFonts w:eastAsia="Calibri"/>
          <w:color w:val="000000"/>
          <w:u w:color="000000"/>
          <w:bdr w:val="nil"/>
          <w:lang w:val="en-GB"/>
        </w:rPr>
        <w:t xml:space="preserve">In the months </w:t>
      </w:r>
      <w:r w:rsidR="00C96841">
        <w:rPr>
          <w:rFonts w:eastAsia="Calibri"/>
          <w:color w:val="000000"/>
          <w:u w:color="000000"/>
          <w:bdr w:val="nil"/>
          <w:lang w:val="en-GB"/>
        </w:rPr>
        <w:t>following</w:t>
      </w:r>
      <w:r w:rsidR="00DC3AAE">
        <w:rPr>
          <w:rFonts w:eastAsia="Calibri"/>
          <w:color w:val="000000"/>
          <w:u w:color="000000"/>
          <w:bdr w:val="nil"/>
          <w:lang w:val="en-GB"/>
        </w:rPr>
        <w:t xml:space="preserve"> the two bids</w:t>
      </w:r>
      <w:r w:rsidRPr="000269CF">
        <w:rPr>
          <w:rFonts w:eastAsia="Calibri"/>
          <w:color w:val="000000"/>
          <w:u w:color="000000"/>
          <w:bdr w:val="nil"/>
          <w:lang w:val="en-GB"/>
        </w:rPr>
        <w:t>, b</w:t>
      </w:r>
      <w:r w:rsidRPr="000269CF">
        <w:rPr>
          <w:rFonts w:eastAsia="Arial Unicode MS"/>
          <w:color w:val="000000"/>
          <w:u w:color="000000"/>
          <w:bdr w:val="nil"/>
          <w:lang w:val="en-GB"/>
        </w:rPr>
        <w:t>ased on rumo</w:t>
      </w:r>
      <w:r w:rsidR="00DC3AAE">
        <w:rPr>
          <w:rFonts w:eastAsia="Arial Unicode MS"/>
          <w:color w:val="000000"/>
          <w:u w:color="000000"/>
          <w:bdr w:val="nil"/>
          <w:lang w:val="en-GB"/>
        </w:rPr>
        <w:t>u</w:t>
      </w:r>
      <w:r w:rsidRPr="000269CF">
        <w:rPr>
          <w:rFonts w:eastAsia="Arial Unicode MS"/>
          <w:color w:val="000000"/>
          <w:u w:color="000000"/>
          <w:bdr w:val="nil"/>
          <w:lang w:val="en-GB"/>
        </w:rPr>
        <w:t>rs of Charter’s informal offers, TWC</w:t>
      </w:r>
      <w:r w:rsidR="00C96841">
        <w:rPr>
          <w:rFonts w:eastAsia="Arial Unicode MS"/>
          <w:color w:val="000000"/>
          <w:u w:color="000000"/>
          <w:bdr w:val="nil"/>
          <w:lang w:val="en-GB"/>
        </w:rPr>
        <w:t>’s</w:t>
      </w:r>
      <w:r w:rsidRPr="000269CF">
        <w:rPr>
          <w:rFonts w:eastAsia="Arial Unicode MS"/>
          <w:color w:val="000000"/>
          <w:u w:color="000000"/>
          <w:bdr w:val="nil"/>
          <w:lang w:val="en-GB"/>
        </w:rPr>
        <w:t xml:space="preserve"> share</w:t>
      </w:r>
      <w:r w:rsidR="00C96841">
        <w:rPr>
          <w:rFonts w:eastAsia="Arial Unicode MS"/>
          <w:color w:val="000000"/>
          <w:u w:color="000000"/>
          <w:bdr w:val="nil"/>
          <w:lang w:val="en-GB"/>
        </w:rPr>
        <w:t xml:space="preserve"> price</w:t>
      </w:r>
      <w:r w:rsidRPr="000269CF">
        <w:rPr>
          <w:rFonts w:eastAsia="Arial Unicode MS"/>
          <w:color w:val="000000"/>
          <w:u w:color="000000"/>
          <w:bdr w:val="nil"/>
          <w:lang w:val="en-GB"/>
        </w:rPr>
        <w:t xml:space="preserve"> </w:t>
      </w:r>
      <w:r w:rsidR="00DC3AAE">
        <w:rPr>
          <w:rFonts w:eastAsia="Arial Unicode MS"/>
          <w:color w:val="000000"/>
          <w:u w:color="000000"/>
          <w:bdr w:val="nil"/>
          <w:lang w:val="en-GB"/>
        </w:rPr>
        <w:t xml:space="preserve">rose </w:t>
      </w:r>
      <w:r w:rsidRPr="000269CF">
        <w:rPr>
          <w:rFonts w:eastAsia="Arial Unicode MS"/>
          <w:color w:val="000000"/>
          <w:u w:color="000000"/>
          <w:bdr w:val="nil"/>
          <w:lang w:val="en-GB"/>
        </w:rPr>
        <w:t>by 40</w:t>
      </w:r>
      <w:r w:rsidR="00DC3AAE">
        <w:rPr>
          <w:rFonts w:eastAsia="Arial Unicode MS"/>
          <w:color w:val="000000"/>
          <w:u w:color="000000"/>
          <w:bdr w:val="nil"/>
          <w:lang w:val="en-GB"/>
        </w:rPr>
        <w:t xml:space="preserve"> per cent</w:t>
      </w:r>
      <w:r w:rsidRPr="000269CF">
        <w:rPr>
          <w:rFonts w:eastAsia="Arial Unicode MS"/>
          <w:color w:val="000000"/>
          <w:u w:color="000000"/>
          <w:bdr w:val="nil"/>
          <w:lang w:val="en-GB"/>
        </w:rPr>
        <w:t xml:space="preserve">. </w:t>
      </w:r>
      <w:r w:rsidR="00DC3AAE">
        <w:rPr>
          <w:rFonts w:eastAsia="Arial Unicode MS" w:cs="Arial Unicode MS"/>
          <w:color w:val="000000"/>
          <w:u w:color="000000"/>
          <w:bdr w:val="nil"/>
          <w:lang w:val="en-GB"/>
        </w:rPr>
        <w:t>TWC</w:t>
      </w:r>
      <w:r w:rsidRPr="000269CF">
        <w:rPr>
          <w:rFonts w:eastAsia="Arial Unicode MS" w:cs="Arial Unicode MS"/>
          <w:color w:val="000000"/>
          <w:u w:color="000000"/>
          <w:bdr w:val="nil"/>
          <w:lang w:val="en-GB"/>
        </w:rPr>
        <w:t xml:space="preserve"> acknowledg</w:t>
      </w:r>
      <w:r w:rsidR="00DC3AAE">
        <w:rPr>
          <w:rFonts w:eastAsia="Arial Unicode MS" w:cs="Arial Unicode MS"/>
          <w:color w:val="000000"/>
          <w:u w:color="000000"/>
          <w:bdr w:val="nil"/>
          <w:lang w:val="en-GB"/>
        </w:rPr>
        <w:t>ed</w:t>
      </w:r>
      <w:r w:rsidRPr="000269CF">
        <w:rPr>
          <w:rFonts w:eastAsia="Arial Unicode MS" w:cs="Arial Unicode MS"/>
          <w:color w:val="000000"/>
          <w:u w:color="000000"/>
          <w:bdr w:val="nil"/>
          <w:lang w:val="en-GB"/>
        </w:rPr>
        <w:t xml:space="preserve"> that the</w:t>
      </w:r>
      <w:r w:rsidR="00DC3AAE">
        <w:rPr>
          <w:rFonts w:eastAsia="Arial Unicode MS" w:cs="Arial Unicode MS"/>
          <w:color w:val="000000"/>
          <w:u w:color="000000"/>
          <w:bdr w:val="nil"/>
          <w:lang w:val="en-GB"/>
        </w:rPr>
        <w:t xml:space="preserve"> compan</w:t>
      </w:r>
      <w:r w:rsidRPr="000269CF">
        <w:rPr>
          <w:rFonts w:eastAsia="Arial Unicode MS" w:cs="Arial Unicode MS"/>
          <w:color w:val="000000"/>
          <w:u w:color="000000"/>
          <w:bdr w:val="nil"/>
          <w:lang w:val="en-GB"/>
        </w:rPr>
        <w:t>y</w:t>
      </w:r>
      <w:r w:rsidR="00DC3AAE">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and the cable industry </w:t>
      </w:r>
      <w:r w:rsidR="00DC3AAE">
        <w:rPr>
          <w:rFonts w:eastAsia="Arial Unicode MS" w:cs="Arial Unicode MS"/>
          <w:color w:val="000000"/>
          <w:u w:color="000000"/>
          <w:bdr w:val="nil"/>
          <w:lang w:val="en-GB"/>
        </w:rPr>
        <w:t xml:space="preserve">in </w:t>
      </w:r>
      <w:r w:rsidRPr="000269CF">
        <w:rPr>
          <w:rFonts w:eastAsia="Arial Unicode MS" w:cs="Arial Unicode MS"/>
          <w:color w:val="000000"/>
          <w:u w:color="000000"/>
          <w:bdr w:val="nil"/>
          <w:lang w:val="en-GB"/>
        </w:rPr>
        <w:t>general</w:t>
      </w:r>
      <w:r w:rsidR="00C96841">
        <w:rPr>
          <w:rFonts w:eastAsia="Arial Unicode MS" w:cs="Arial Unicode MS"/>
          <w:color w:val="000000"/>
          <w:u w:color="000000"/>
          <w:bdr w:val="nil"/>
          <w:lang w:val="en-GB"/>
        </w:rPr>
        <w:t>,</w:t>
      </w:r>
      <w:r w:rsidRPr="000269CF">
        <w:rPr>
          <w:rFonts w:eastAsia="Arial Unicode MS" w:cs="Arial Unicode MS"/>
          <w:color w:val="000000"/>
          <w:u w:color="000000"/>
          <w:bdr w:val="nil"/>
          <w:lang w:val="en-GB"/>
        </w:rPr>
        <w:t xml:space="preserve"> could benefit from consolidation</w:t>
      </w:r>
      <w:r w:rsidR="00DC3AAE">
        <w:rPr>
          <w:rFonts w:eastAsia="Arial Unicode MS" w:cs="Arial Unicode MS"/>
          <w:color w:val="000000"/>
          <w:u w:color="000000"/>
          <w:bdr w:val="nil"/>
          <w:lang w:val="en-GB"/>
        </w:rPr>
        <w:t>. However</w:t>
      </w:r>
      <w:r w:rsidRPr="000269CF">
        <w:rPr>
          <w:rFonts w:eastAsia="Arial Unicode MS" w:cs="Arial Unicode MS"/>
          <w:color w:val="000000"/>
          <w:u w:color="000000"/>
          <w:bdr w:val="nil"/>
          <w:lang w:val="en-GB"/>
        </w:rPr>
        <w:t xml:space="preserve">, it </w:t>
      </w:r>
      <w:r w:rsidR="00DC3AAE">
        <w:rPr>
          <w:rFonts w:eastAsia="Arial Unicode MS" w:cs="Arial Unicode MS"/>
          <w:color w:val="000000"/>
          <w:u w:color="000000"/>
          <w:bdr w:val="nil"/>
          <w:lang w:val="en-GB"/>
        </w:rPr>
        <w:t xml:space="preserve">claimed that it </w:t>
      </w:r>
      <w:r w:rsidRPr="000269CF">
        <w:rPr>
          <w:rFonts w:eastAsia="Arial Unicode MS" w:cs="Arial Unicode MS"/>
          <w:color w:val="000000"/>
          <w:u w:color="000000"/>
          <w:bdr w:val="nil"/>
          <w:lang w:val="en-GB"/>
        </w:rPr>
        <w:t>could participate in a merger only if the offer was in the best interest</w:t>
      </w:r>
      <w:r w:rsidR="006008A4">
        <w:rPr>
          <w:rFonts w:eastAsia="Arial Unicode MS" w:cs="Arial Unicode MS"/>
          <w:color w:val="000000"/>
          <w:u w:color="000000"/>
          <w:bdr w:val="nil"/>
          <w:lang w:val="en-GB"/>
        </w:rPr>
        <w:t>s</w:t>
      </w:r>
      <w:r w:rsidRPr="000269CF">
        <w:rPr>
          <w:rFonts w:eastAsia="Arial Unicode MS" w:cs="Arial Unicode MS"/>
          <w:color w:val="000000"/>
          <w:u w:color="000000"/>
          <w:bdr w:val="nil"/>
          <w:lang w:val="en-GB"/>
        </w:rPr>
        <w:t xml:space="preserve"> of its shareholders</w:t>
      </w:r>
      <w:r w:rsidR="00DC3AAE">
        <w:rPr>
          <w:rFonts w:eastAsia="Arial Unicode MS" w:cs="Arial Unicode MS"/>
          <w:color w:val="000000"/>
          <w:u w:color="000000"/>
          <w:bdr w:val="nil"/>
          <w:lang w:val="en-GB"/>
        </w:rPr>
        <w:t>.</w:t>
      </w:r>
      <w:r w:rsidRPr="000269CF">
        <w:rPr>
          <w:rFonts w:eastAsia="Arial Unicode MS" w:cs="Arial Unicode MS"/>
          <w:color w:val="000000"/>
          <w:u w:color="000000"/>
          <w:bdr w:val="nil"/>
          <w:vertAlign w:val="superscript"/>
          <w:lang w:val="en-GB"/>
        </w:rPr>
        <w:endnoteReference w:id="12"/>
      </w:r>
      <w:r w:rsidRPr="000269CF">
        <w:rPr>
          <w:rFonts w:eastAsia="Arial Unicode MS" w:cs="Arial Unicode MS"/>
          <w:color w:val="000000"/>
          <w:sz w:val="24"/>
          <w:szCs w:val="24"/>
          <w:u w:color="000000"/>
          <w:bdr w:val="nil"/>
          <w:lang w:val="en-GB"/>
        </w:rPr>
        <w:t xml:space="preserve"> </w:t>
      </w:r>
    </w:p>
    <w:p w14:paraId="3C8C7FD7" w14:textId="77777777" w:rsidR="00EC6A26" w:rsidRPr="000269CF" w:rsidRDefault="00EC6A26" w:rsidP="00EC6A26">
      <w:pPr>
        <w:pStyle w:val="BodyTextMain"/>
        <w:rPr>
          <w:rFonts w:eastAsia="Arial Unicode MS" w:cs="Arial Unicode MS"/>
          <w:color w:val="000000"/>
          <w:sz w:val="24"/>
          <w:szCs w:val="24"/>
          <w:u w:color="000000"/>
          <w:bdr w:val="nil"/>
          <w:lang w:val="en-GB"/>
        </w:rPr>
      </w:pPr>
    </w:p>
    <w:p w14:paraId="1119CE66" w14:textId="111587EE" w:rsidR="000E5193" w:rsidRDefault="00DC3AAE" w:rsidP="00EC6A26">
      <w:pPr>
        <w:pStyle w:val="BodyTextMain"/>
        <w:rPr>
          <w:rFonts w:eastAsia="Arial Unicode MS"/>
          <w:color w:val="000000"/>
          <w:u w:color="000000"/>
          <w:bdr w:val="nil"/>
          <w:lang w:val="en-GB"/>
        </w:rPr>
      </w:pPr>
      <w:r>
        <w:rPr>
          <w:rFonts w:eastAsia="Calibri"/>
          <w:color w:val="000000"/>
          <w:u w:color="000000"/>
          <w:bdr w:val="nil"/>
          <w:lang w:val="en-GB"/>
        </w:rPr>
        <w:t>Having endured two</w:t>
      </w:r>
      <w:r w:rsidR="00EC6A26" w:rsidRPr="000269CF">
        <w:rPr>
          <w:rFonts w:eastAsia="Calibri"/>
          <w:color w:val="000000"/>
          <w:u w:color="000000"/>
          <w:bdr w:val="nil"/>
          <w:lang w:val="en-GB"/>
        </w:rPr>
        <w:t xml:space="preserve"> rejected informal bids, </w:t>
      </w:r>
      <w:r w:rsidR="00EC6A26" w:rsidRPr="000269CF">
        <w:rPr>
          <w:rFonts w:eastAsia="Arial Unicode MS"/>
          <w:color w:val="000000"/>
          <w:u w:color="000000"/>
          <w:bdr w:val="nil"/>
          <w:lang w:val="en-GB"/>
        </w:rPr>
        <w:t xml:space="preserve">Charter </w:t>
      </w:r>
      <w:r>
        <w:rPr>
          <w:rFonts w:eastAsia="Arial Unicode MS"/>
          <w:color w:val="000000"/>
          <w:u w:color="000000"/>
          <w:bdr w:val="nil"/>
          <w:lang w:val="en-GB"/>
        </w:rPr>
        <w:t>decided to change its</w:t>
      </w:r>
      <w:r w:rsidR="00EC6A26" w:rsidRPr="000269CF">
        <w:rPr>
          <w:rFonts w:eastAsia="Arial Unicode MS"/>
          <w:color w:val="000000"/>
          <w:u w:color="000000"/>
          <w:bdr w:val="nil"/>
          <w:lang w:val="en-GB"/>
        </w:rPr>
        <w:t xml:space="preserve"> tactics</w:t>
      </w:r>
      <w:r>
        <w:rPr>
          <w:rFonts w:eastAsia="Arial Unicode MS"/>
          <w:color w:val="000000"/>
          <w:u w:color="000000"/>
          <w:bdr w:val="nil"/>
          <w:lang w:val="en-GB"/>
        </w:rPr>
        <w:t>. I</w:t>
      </w:r>
      <w:r w:rsidRPr="000269CF">
        <w:rPr>
          <w:rFonts w:eastAsia="Arial Unicode MS"/>
          <w:color w:val="000000"/>
          <w:u w:color="000000"/>
          <w:bdr w:val="nil"/>
          <w:lang w:val="en-GB"/>
        </w:rPr>
        <w:t>n December 2013,</w:t>
      </w:r>
      <w:r>
        <w:rPr>
          <w:rFonts w:eastAsia="Arial Unicode MS"/>
          <w:color w:val="000000"/>
          <w:u w:color="000000"/>
          <w:bdr w:val="nil"/>
          <w:lang w:val="en-GB"/>
        </w:rPr>
        <w:t xml:space="preserve"> Charter</w:t>
      </w:r>
      <w:r w:rsidR="00EC6A26" w:rsidRPr="000269CF">
        <w:rPr>
          <w:rFonts w:eastAsia="Arial Unicode MS"/>
          <w:color w:val="000000"/>
          <w:u w:color="000000"/>
          <w:bdr w:val="nil"/>
          <w:lang w:val="en-GB"/>
        </w:rPr>
        <w:t xml:space="preserve"> made a public offer at </w:t>
      </w:r>
      <w:r>
        <w:rPr>
          <w:rFonts w:eastAsia="Arial Unicode MS"/>
          <w:color w:val="000000"/>
          <w:u w:color="000000"/>
          <w:bdr w:val="nil"/>
          <w:lang w:val="en-GB"/>
        </w:rPr>
        <w:t>$</w:t>
      </w:r>
      <w:r w:rsidR="00EC6A26" w:rsidRPr="000269CF">
        <w:rPr>
          <w:rFonts w:eastAsia="Arial Unicode MS"/>
          <w:color w:val="000000"/>
          <w:u w:color="000000"/>
          <w:bdr w:val="nil"/>
          <w:lang w:val="en-GB"/>
        </w:rPr>
        <w:t>132.50</w:t>
      </w:r>
      <w:r>
        <w:rPr>
          <w:rFonts w:eastAsia="Arial Unicode MS"/>
          <w:color w:val="000000"/>
          <w:u w:color="000000"/>
          <w:bdr w:val="nil"/>
          <w:lang w:val="en-GB"/>
        </w:rPr>
        <w:t xml:space="preserve"> per share</w:t>
      </w:r>
      <w:r w:rsidR="00EC6A26" w:rsidRPr="000269CF">
        <w:rPr>
          <w:rFonts w:eastAsia="Arial Unicode MS"/>
          <w:color w:val="000000"/>
          <w:u w:color="000000"/>
          <w:bdr w:val="nil"/>
          <w:lang w:val="en-GB"/>
        </w:rPr>
        <w:t>, for a total of $37.8 billion. By doing so</w:t>
      </w:r>
      <w:r>
        <w:rPr>
          <w:rFonts w:eastAsia="Arial Unicode MS"/>
          <w:color w:val="000000"/>
          <w:u w:color="000000"/>
          <w:bdr w:val="nil"/>
          <w:lang w:val="en-GB"/>
        </w:rPr>
        <w:t>,</w:t>
      </w:r>
      <w:r w:rsidR="00EC6A26" w:rsidRPr="000269CF">
        <w:rPr>
          <w:rFonts w:eastAsia="Arial Unicode MS"/>
          <w:color w:val="000000"/>
          <w:u w:color="000000"/>
          <w:bdr w:val="nil"/>
          <w:lang w:val="en-GB"/>
        </w:rPr>
        <w:t xml:space="preserve"> Charter was hoping to appeal directly to TWC shareholders and enlist their support. </w:t>
      </w:r>
      <w:r>
        <w:rPr>
          <w:rFonts w:eastAsia="Arial Unicode MS"/>
          <w:color w:val="000000"/>
          <w:u w:color="000000"/>
          <w:bdr w:val="nil"/>
          <w:lang w:val="en-GB"/>
        </w:rPr>
        <w:t>However,</w:t>
      </w:r>
      <w:r w:rsidR="00EC6A26" w:rsidRPr="000269CF">
        <w:rPr>
          <w:rFonts w:eastAsia="Arial Unicode MS"/>
          <w:color w:val="000000"/>
          <w:u w:color="000000"/>
          <w:bdr w:val="nil"/>
          <w:lang w:val="en-GB"/>
        </w:rPr>
        <w:t xml:space="preserve"> on the day </w:t>
      </w:r>
      <w:r>
        <w:rPr>
          <w:rFonts w:eastAsia="Arial Unicode MS"/>
          <w:color w:val="000000"/>
          <w:u w:color="000000"/>
          <w:bdr w:val="nil"/>
          <w:lang w:val="en-GB"/>
        </w:rPr>
        <w:t xml:space="preserve">that </w:t>
      </w:r>
      <w:r w:rsidR="00EC6A26" w:rsidRPr="000269CF">
        <w:rPr>
          <w:rFonts w:eastAsia="Arial Unicode MS"/>
          <w:color w:val="000000"/>
          <w:u w:color="000000"/>
          <w:bdr w:val="nil"/>
          <w:lang w:val="en-GB"/>
        </w:rPr>
        <w:t xml:space="preserve">Charter made its offer public, TWC shares </w:t>
      </w:r>
      <w:r>
        <w:rPr>
          <w:rFonts w:eastAsia="Arial Unicode MS"/>
          <w:color w:val="000000"/>
          <w:u w:color="000000"/>
          <w:bdr w:val="nil"/>
          <w:lang w:val="en-GB"/>
        </w:rPr>
        <w:t xml:space="preserve">were </w:t>
      </w:r>
      <w:r w:rsidR="00EC6A26" w:rsidRPr="000269CF">
        <w:rPr>
          <w:rFonts w:eastAsia="Arial Unicode MS"/>
          <w:color w:val="000000"/>
          <w:u w:color="000000"/>
          <w:bdr w:val="nil"/>
          <w:lang w:val="en-GB"/>
        </w:rPr>
        <w:t>trad</w:t>
      </w:r>
      <w:r>
        <w:rPr>
          <w:rFonts w:eastAsia="Arial Unicode MS"/>
          <w:color w:val="000000"/>
          <w:u w:color="000000"/>
          <w:bdr w:val="nil"/>
          <w:lang w:val="en-GB"/>
        </w:rPr>
        <w:t>ing</w:t>
      </w:r>
      <w:r w:rsidR="00EC6A26" w:rsidRPr="000269CF">
        <w:rPr>
          <w:rFonts w:eastAsia="Arial Unicode MS"/>
          <w:color w:val="000000"/>
          <w:u w:color="000000"/>
          <w:bdr w:val="nil"/>
          <w:lang w:val="en-GB"/>
        </w:rPr>
        <w:t xml:space="preserve"> at $132.40, </w:t>
      </w:r>
      <w:r w:rsidR="008B120F">
        <w:rPr>
          <w:rFonts w:eastAsia="Arial Unicode MS"/>
          <w:color w:val="000000"/>
          <w:u w:color="000000"/>
          <w:bdr w:val="nil"/>
          <w:lang w:val="en-GB"/>
        </w:rPr>
        <w:t>essentially eliminating any</w:t>
      </w:r>
      <w:r w:rsidR="00EC6A26" w:rsidRPr="000269CF">
        <w:rPr>
          <w:rFonts w:eastAsia="Arial Unicode MS"/>
          <w:color w:val="000000"/>
          <w:u w:color="000000"/>
          <w:bdr w:val="nil"/>
          <w:lang w:val="en-GB"/>
        </w:rPr>
        <w:t xml:space="preserve"> premium </w:t>
      </w:r>
      <w:r w:rsidR="008B120F">
        <w:rPr>
          <w:rFonts w:eastAsia="Arial Unicode MS"/>
          <w:color w:val="000000"/>
          <w:u w:color="000000"/>
          <w:bdr w:val="nil"/>
          <w:lang w:val="en-GB"/>
        </w:rPr>
        <w:t xml:space="preserve">pricing </w:t>
      </w:r>
      <w:r w:rsidR="00EC6A26" w:rsidRPr="000269CF">
        <w:rPr>
          <w:rFonts w:eastAsia="Arial Unicode MS"/>
          <w:color w:val="000000"/>
          <w:u w:color="000000"/>
          <w:bdr w:val="nil"/>
          <w:lang w:val="en-GB"/>
        </w:rPr>
        <w:t>in Charter’s bid.</w:t>
      </w:r>
      <w:r w:rsidR="00EC6A26" w:rsidRPr="000269CF">
        <w:rPr>
          <w:rFonts w:eastAsia="Calibri"/>
          <w:color w:val="000000"/>
          <w:u w:color="000000"/>
          <w:bdr w:val="nil"/>
          <w:lang w:val="en-GB"/>
        </w:rPr>
        <w:t xml:space="preserve"> </w:t>
      </w:r>
      <w:r w:rsidR="008B120F">
        <w:rPr>
          <w:rFonts w:eastAsia="Arial Unicode MS"/>
          <w:color w:val="000000"/>
          <w:u w:color="000000"/>
          <w:bdr w:val="nil"/>
          <w:lang w:val="en-GB"/>
        </w:rPr>
        <w:t xml:space="preserve">Charter’s bid </w:t>
      </w:r>
      <w:r w:rsidR="00EC6A26" w:rsidRPr="000269CF">
        <w:rPr>
          <w:rFonts w:eastAsia="Arial Unicode MS"/>
          <w:color w:val="000000"/>
          <w:u w:color="000000"/>
          <w:bdr w:val="nil"/>
          <w:lang w:val="en-GB"/>
        </w:rPr>
        <w:t xml:space="preserve">was </w:t>
      </w:r>
      <w:r w:rsidR="00C531B8">
        <w:rPr>
          <w:rFonts w:eastAsia="Arial Unicode MS"/>
          <w:color w:val="000000"/>
          <w:u w:color="000000"/>
          <w:bdr w:val="nil"/>
          <w:lang w:val="en-GB"/>
        </w:rPr>
        <w:t xml:space="preserve">priced at </w:t>
      </w:r>
      <w:r w:rsidR="00EC6A26" w:rsidRPr="000269CF">
        <w:rPr>
          <w:rFonts w:eastAsia="Arial Unicode MS"/>
          <w:color w:val="000000"/>
          <w:u w:color="000000"/>
          <w:bdr w:val="nil"/>
          <w:lang w:val="en-GB"/>
        </w:rPr>
        <w:t xml:space="preserve">about </w:t>
      </w:r>
      <w:r w:rsidR="008B120F">
        <w:rPr>
          <w:rFonts w:eastAsia="Arial Unicode MS"/>
          <w:color w:val="000000"/>
          <w:u w:color="000000"/>
          <w:bdr w:val="nil"/>
          <w:lang w:val="en-GB"/>
        </w:rPr>
        <w:t>seven</w:t>
      </w:r>
      <w:r w:rsidR="00EC6A26" w:rsidRPr="000269CF">
        <w:rPr>
          <w:rFonts w:eastAsia="Arial Unicode MS"/>
          <w:color w:val="000000"/>
          <w:u w:color="000000"/>
          <w:bdr w:val="nil"/>
          <w:lang w:val="en-GB"/>
        </w:rPr>
        <w:t xml:space="preserve"> times TWC’s estimate of $8.3 billion </w:t>
      </w:r>
      <w:r w:rsidR="008B120F">
        <w:rPr>
          <w:rFonts w:eastAsia="Arial Unicode MS"/>
          <w:color w:val="000000"/>
          <w:u w:color="000000"/>
          <w:bdr w:val="nil"/>
          <w:lang w:val="en-GB"/>
        </w:rPr>
        <w:t>in earnings before interest</w:t>
      </w:r>
      <w:r w:rsidR="000E5193">
        <w:rPr>
          <w:rFonts w:eastAsia="Arial Unicode MS"/>
          <w:color w:val="000000"/>
          <w:u w:color="000000"/>
          <w:bdr w:val="nil"/>
          <w:lang w:val="en-GB"/>
        </w:rPr>
        <w:t>, taxes, depreciation</w:t>
      </w:r>
      <w:r w:rsidR="00541C43">
        <w:rPr>
          <w:rFonts w:eastAsia="Arial Unicode MS"/>
          <w:color w:val="000000"/>
          <w:u w:color="000000"/>
          <w:bdr w:val="nil"/>
          <w:lang w:val="en-GB"/>
        </w:rPr>
        <w:t>, and amortization</w:t>
      </w:r>
      <w:r w:rsidR="000E5193">
        <w:rPr>
          <w:rFonts w:eastAsia="Arial Unicode MS"/>
          <w:color w:val="000000"/>
          <w:u w:color="000000"/>
          <w:bdr w:val="nil"/>
          <w:lang w:val="en-GB"/>
        </w:rPr>
        <w:t xml:space="preserve"> (EBITDA) </w:t>
      </w:r>
      <w:r w:rsidR="00EC6A26" w:rsidRPr="000269CF">
        <w:rPr>
          <w:rFonts w:eastAsia="Arial Unicode MS"/>
          <w:color w:val="000000"/>
          <w:u w:color="000000"/>
          <w:bdr w:val="nil"/>
          <w:lang w:val="en-GB"/>
        </w:rPr>
        <w:t xml:space="preserve">for 2014. Charter believed </w:t>
      </w:r>
      <w:r w:rsidR="00C531B8">
        <w:rPr>
          <w:rFonts w:eastAsia="Arial Unicode MS"/>
          <w:color w:val="000000"/>
          <w:u w:color="000000"/>
          <w:bdr w:val="nil"/>
          <w:lang w:val="en-GB"/>
        </w:rPr>
        <w:t xml:space="preserve">that </w:t>
      </w:r>
      <w:r w:rsidR="00EC6A26" w:rsidRPr="000269CF">
        <w:rPr>
          <w:rFonts w:eastAsia="Arial Unicode MS"/>
          <w:color w:val="000000"/>
          <w:u w:color="000000"/>
          <w:bdr w:val="nil"/>
          <w:lang w:val="en-GB"/>
        </w:rPr>
        <w:t>th</w:t>
      </w:r>
      <w:r w:rsidR="000E5193">
        <w:rPr>
          <w:rFonts w:eastAsia="Arial Unicode MS"/>
          <w:color w:val="000000"/>
          <w:u w:color="000000"/>
          <w:bdr w:val="nil"/>
          <w:lang w:val="en-GB"/>
        </w:rPr>
        <w:t>is</w:t>
      </w:r>
      <w:r w:rsidR="00EC6A26" w:rsidRPr="000269CF">
        <w:rPr>
          <w:rFonts w:eastAsia="Arial Unicode MS"/>
          <w:color w:val="000000"/>
          <w:u w:color="000000"/>
          <w:bdr w:val="nil"/>
          <w:lang w:val="en-GB"/>
        </w:rPr>
        <w:t xml:space="preserve"> price </w:t>
      </w:r>
      <w:r w:rsidR="000E5193">
        <w:rPr>
          <w:rFonts w:eastAsia="Arial Unicode MS"/>
          <w:color w:val="000000"/>
          <w:u w:color="000000"/>
          <w:bdr w:val="nil"/>
          <w:lang w:val="en-GB"/>
        </w:rPr>
        <w:lastRenderedPageBreak/>
        <w:t>was right strategically</w:t>
      </w:r>
      <w:r w:rsidR="00C531B8">
        <w:rPr>
          <w:rFonts w:eastAsia="Arial Unicode MS"/>
          <w:color w:val="000000"/>
          <w:u w:color="000000"/>
          <w:bdr w:val="nil"/>
          <w:lang w:val="en-GB"/>
        </w:rPr>
        <w:t>,</w:t>
      </w:r>
      <w:r w:rsidR="000E5193">
        <w:rPr>
          <w:rFonts w:eastAsia="Arial Unicode MS"/>
          <w:color w:val="000000"/>
          <w:u w:color="000000"/>
          <w:bdr w:val="nil"/>
          <w:lang w:val="en-GB"/>
        </w:rPr>
        <w:t xml:space="preserve"> </w:t>
      </w:r>
      <w:r w:rsidR="00EC6A26" w:rsidRPr="000269CF">
        <w:rPr>
          <w:rFonts w:eastAsia="Arial Unicode MS"/>
          <w:color w:val="000000"/>
          <w:u w:color="000000"/>
          <w:bdr w:val="nil"/>
          <w:lang w:val="en-GB"/>
        </w:rPr>
        <w:t>because the recent steep r</w:t>
      </w:r>
      <w:r w:rsidR="000E5193">
        <w:rPr>
          <w:rFonts w:eastAsia="Arial Unicode MS"/>
          <w:color w:val="000000"/>
          <w:u w:color="000000"/>
          <w:bdr w:val="nil"/>
          <w:lang w:val="en-GB"/>
        </w:rPr>
        <w:t>ise</w:t>
      </w:r>
      <w:r w:rsidR="00EC6A26" w:rsidRPr="000269CF">
        <w:rPr>
          <w:rFonts w:eastAsia="Arial Unicode MS"/>
          <w:color w:val="000000"/>
          <w:u w:color="000000"/>
          <w:bdr w:val="nil"/>
          <w:lang w:val="en-GB"/>
        </w:rPr>
        <w:t xml:space="preserve"> in TWC</w:t>
      </w:r>
      <w:r w:rsidR="000E5193">
        <w:rPr>
          <w:rFonts w:eastAsia="Arial Unicode MS"/>
          <w:color w:val="000000"/>
          <w:u w:color="000000"/>
          <w:bdr w:val="nil"/>
          <w:lang w:val="en-GB"/>
        </w:rPr>
        <w:t>’s</w:t>
      </w:r>
      <w:r w:rsidR="00EC6A26" w:rsidRPr="000269CF">
        <w:rPr>
          <w:rFonts w:eastAsia="Arial Unicode MS"/>
          <w:color w:val="000000"/>
          <w:u w:color="000000"/>
          <w:bdr w:val="nil"/>
          <w:lang w:val="en-GB"/>
        </w:rPr>
        <w:t xml:space="preserve"> stock was the result of speculation about </w:t>
      </w:r>
      <w:r w:rsidR="000E5193">
        <w:rPr>
          <w:rFonts w:eastAsia="Arial Unicode MS"/>
          <w:color w:val="000000"/>
          <w:u w:color="000000"/>
          <w:bdr w:val="nil"/>
          <w:lang w:val="en-GB"/>
        </w:rPr>
        <w:t xml:space="preserve">an </w:t>
      </w:r>
      <w:r w:rsidR="00EC6A26" w:rsidRPr="000269CF">
        <w:rPr>
          <w:rFonts w:eastAsia="Arial Unicode MS"/>
          <w:color w:val="000000"/>
          <w:u w:color="000000"/>
          <w:bdr w:val="nil"/>
          <w:lang w:val="en-GB"/>
        </w:rPr>
        <w:t>impending merger</w:t>
      </w:r>
      <w:r w:rsidR="000E5193">
        <w:rPr>
          <w:rFonts w:eastAsia="Arial Unicode MS"/>
          <w:color w:val="000000"/>
          <w:u w:color="000000"/>
          <w:bdr w:val="nil"/>
          <w:lang w:val="en-GB"/>
        </w:rPr>
        <w:t>, rather than</w:t>
      </w:r>
      <w:r w:rsidR="00EC6A26" w:rsidRPr="000269CF">
        <w:rPr>
          <w:rFonts w:eastAsia="Arial Unicode MS"/>
          <w:color w:val="000000"/>
          <w:u w:color="000000"/>
          <w:bdr w:val="nil"/>
          <w:lang w:val="en-GB"/>
        </w:rPr>
        <w:t xml:space="preserve"> </w:t>
      </w:r>
      <w:r w:rsidR="00C531B8">
        <w:rPr>
          <w:rFonts w:eastAsia="Arial Unicode MS"/>
          <w:color w:val="000000"/>
          <w:u w:color="000000"/>
          <w:bdr w:val="nil"/>
          <w:lang w:val="en-GB"/>
        </w:rPr>
        <w:t xml:space="preserve">based on </w:t>
      </w:r>
      <w:r w:rsidR="00EC6A26" w:rsidRPr="000269CF">
        <w:rPr>
          <w:rFonts w:eastAsia="Arial Unicode MS"/>
          <w:color w:val="000000"/>
          <w:u w:color="000000"/>
          <w:bdr w:val="nil"/>
          <w:lang w:val="en-GB"/>
        </w:rPr>
        <w:t>any improvement in TWC’s operations.</w:t>
      </w:r>
      <w:r w:rsidR="00D718E6" w:rsidRPr="00D718E6">
        <w:rPr>
          <w:rFonts w:eastAsia="Arial Unicode MS"/>
          <w:color w:val="000000"/>
          <w:u w:color="000000"/>
          <w:bdr w:val="nil"/>
          <w:vertAlign w:val="superscript"/>
          <w:lang w:val="en-GB"/>
        </w:rPr>
        <w:t xml:space="preserve"> </w:t>
      </w:r>
      <w:r w:rsidR="00D718E6" w:rsidRPr="000269CF">
        <w:rPr>
          <w:rFonts w:eastAsia="Arial Unicode MS"/>
          <w:color w:val="000000"/>
          <w:u w:color="000000"/>
          <w:bdr w:val="nil"/>
          <w:vertAlign w:val="superscript"/>
          <w:lang w:val="en-GB"/>
        </w:rPr>
        <w:endnoteReference w:id="13"/>
      </w:r>
      <w:r w:rsidR="00EC6A26" w:rsidRPr="000269CF">
        <w:rPr>
          <w:rFonts w:eastAsia="Arial Unicode MS"/>
          <w:color w:val="000000"/>
          <w:u w:color="000000"/>
          <w:bdr w:val="nil"/>
          <w:lang w:val="en-GB"/>
        </w:rPr>
        <w:t xml:space="preserve"> </w:t>
      </w:r>
    </w:p>
    <w:p w14:paraId="4696CDE4" w14:textId="77777777" w:rsidR="000E5193" w:rsidRDefault="000E5193" w:rsidP="00EC6A26">
      <w:pPr>
        <w:pStyle w:val="BodyTextMain"/>
        <w:rPr>
          <w:rFonts w:eastAsia="Arial Unicode MS"/>
          <w:color w:val="000000"/>
          <w:u w:color="000000"/>
          <w:bdr w:val="nil"/>
          <w:lang w:val="en-GB"/>
        </w:rPr>
      </w:pPr>
    </w:p>
    <w:p w14:paraId="7511237C" w14:textId="288B3920" w:rsidR="00EC6A26" w:rsidRPr="000269CF" w:rsidRDefault="00EC6A26" w:rsidP="00EC6A26">
      <w:pPr>
        <w:pStyle w:val="BodyTextMain"/>
        <w:rPr>
          <w:rFonts w:eastAsia="Calibri"/>
          <w:color w:val="000000"/>
          <w:u w:color="000000"/>
          <w:bdr w:val="nil"/>
          <w:lang w:val="en-GB"/>
        </w:rPr>
      </w:pPr>
      <w:r w:rsidRPr="000269CF">
        <w:rPr>
          <w:rFonts w:eastAsia="Arial Unicode MS"/>
          <w:color w:val="000000"/>
          <w:u w:color="000000"/>
          <w:bdr w:val="nil"/>
          <w:lang w:val="en-GB"/>
        </w:rPr>
        <w:t>Nonetheless</w:t>
      </w:r>
      <w:r w:rsidR="000E5193">
        <w:rPr>
          <w:rFonts w:eastAsia="Arial Unicode MS"/>
          <w:color w:val="000000"/>
          <w:u w:color="000000"/>
          <w:bdr w:val="nil"/>
          <w:lang w:val="en-GB"/>
        </w:rPr>
        <w:t>,</w:t>
      </w:r>
      <w:r w:rsidRPr="000269CF">
        <w:rPr>
          <w:rFonts w:eastAsia="Arial Unicode MS"/>
          <w:color w:val="000000"/>
          <w:u w:color="000000"/>
          <w:bdr w:val="nil"/>
          <w:lang w:val="en-GB"/>
        </w:rPr>
        <w:t xml:space="preserve"> </w:t>
      </w:r>
      <w:r w:rsidRPr="000269CF">
        <w:rPr>
          <w:rFonts w:eastAsia="Calibri"/>
          <w:color w:val="000000"/>
          <w:u w:color="000000"/>
          <w:bdr w:val="nil"/>
          <w:lang w:val="en-GB"/>
        </w:rPr>
        <w:t xml:space="preserve">TWC rejected </w:t>
      </w:r>
      <w:r w:rsidR="000E5193">
        <w:rPr>
          <w:rFonts w:eastAsia="Calibri"/>
          <w:color w:val="000000"/>
          <w:u w:color="000000"/>
          <w:bdr w:val="nil"/>
          <w:lang w:val="en-GB"/>
        </w:rPr>
        <w:t>Charter’s</w:t>
      </w:r>
      <w:r w:rsidRPr="000269CF">
        <w:rPr>
          <w:rFonts w:eastAsia="Calibri"/>
          <w:color w:val="000000"/>
          <w:u w:color="000000"/>
          <w:bdr w:val="nil"/>
          <w:lang w:val="en-GB"/>
        </w:rPr>
        <w:t xml:space="preserve"> public offer </w:t>
      </w:r>
      <w:r w:rsidR="00C531B8">
        <w:rPr>
          <w:rFonts w:eastAsia="Calibri"/>
          <w:color w:val="000000"/>
          <w:u w:color="000000"/>
          <w:bdr w:val="nil"/>
          <w:lang w:val="en-GB"/>
        </w:rPr>
        <w:t xml:space="preserve">(its third bid) </w:t>
      </w:r>
      <w:r w:rsidRPr="000269CF">
        <w:rPr>
          <w:rFonts w:eastAsia="Calibri"/>
          <w:color w:val="000000"/>
          <w:u w:color="000000"/>
          <w:bdr w:val="nil"/>
          <w:lang w:val="en-GB"/>
        </w:rPr>
        <w:t>as “grossly inadequate.” TWC</w:t>
      </w:r>
      <w:r w:rsidR="00541C43">
        <w:rPr>
          <w:rFonts w:eastAsia="Calibri"/>
          <w:color w:val="000000"/>
          <w:u w:color="000000"/>
          <w:bdr w:val="nil"/>
          <w:lang w:val="en-GB"/>
        </w:rPr>
        <w:t>’s</w:t>
      </w:r>
      <w:r w:rsidRPr="000269CF">
        <w:rPr>
          <w:rFonts w:eastAsia="Calibri"/>
          <w:color w:val="000000"/>
          <w:u w:color="000000"/>
          <w:bdr w:val="nil"/>
          <w:lang w:val="en-GB"/>
        </w:rPr>
        <w:t xml:space="preserve"> CEO Rob Marcus worried about the shareholders’ interests, s</w:t>
      </w:r>
      <w:r w:rsidR="00541C43">
        <w:rPr>
          <w:rFonts w:eastAsia="Calibri"/>
          <w:color w:val="000000"/>
          <w:u w:color="000000"/>
          <w:bdr w:val="nil"/>
          <w:lang w:val="en-GB"/>
        </w:rPr>
        <w:t>t</w:t>
      </w:r>
      <w:r w:rsidRPr="000269CF">
        <w:rPr>
          <w:rFonts w:eastAsia="Calibri"/>
          <w:color w:val="000000"/>
          <w:u w:color="000000"/>
          <w:bdr w:val="nil"/>
          <w:lang w:val="en-GB"/>
        </w:rPr>
        <w:t>a</w:t>
      </w:r>
      <w:r w:rsidR="00541C43">
        <w:rPr>
          <w:rFonts w:eastAsia="Calibri"/>
          <w:color w:val="000000"/>
          <w:u w:color="000000"/>
          <w:bdr w:val="nil"/>
          <w:lang w:val="en-GB"/>
        </w:rPr>
        <w:t>t</w:t>
      </w:r>
      <w:r w:rsidRPr="000269CF">
        <w:rPr>
          <w:rFonts w:eastAsia="Calibri"/>
          <w:color w:val="000000"/>
          <w:u w:color="000000"/>
          <w:bdr w:val="nil"/>
          <w:lang w:val="en-GB"/>
        </w:rPr>
        <w:t>ing that besides the price being too low, “</w:t>
      </w:r>
      <w:r w:rsidR="006008A4">
        <w:rPr>
          <w:rFonts w:eastAsia="Calibri"/>
          <w:color w:val="000000"/>
          <w:u w:color="000000"/>
          <w:bdr w:val="nil"/>
          <w:lang w:val="en-GB"/>
        </w:rPr>
        <w:t xml:space="preserve">. . . </w:t>
      </w:r>
      <w:r w:rsidRPr="000269CF">
        <w:rPr>
          <w:rFonts w:eastAsia="Calibri"/>
          <w:color w:val="000000"/>
          <w:u w:color="000000"/>
          <w:bdr w:val="nil"/>
          <w:lang w:val="en-GB"/>
        </w:rPr>
        <w:t xml:space="preserve">the actual value delivered to </w:t>
      </w:r>
      <w:r w:rsidR="00541C43">
        <w:rPr>
          <w:rFonts w:eastAsia="Calibri"/>
          <w:color w:val="000000"/>
          <w:u w:color="000000"/>
          <w:bdr w:val="nil"/>
          <w:lang w:val="en-GB"/>
        </w:rPr>
        <w:t>[</w:t>
      </w:r>
      <w:r w:rsidRPr="000269CF">
        <w:rPr>
          <w:rFonts w:eastAsia="Calibri"/>
          <w:color w:val="000000"/>
          <w:u w:color="000000"/>
          <w:bdr w:val="nil"/>
          <w:lang w:val="en-GB"/>
        </w:rPr>
        <w:t>TWC</w:t>
      </w:r>
      <w:r w:rsidR="00541C43">
        <w:rPr>
          <w:rFonts w:eastAsia="Calibri"/>
          <w:color w:val="000000"/>
          <w:u w:color="000000"/>
          <w:bdr w:val="nil"/>
          <w:lang w:val="en-GB"/>
        </w:rPr>
        <w:t>]</w:t>
      </w:r>
      <w:r w:rsidRPr="000269CF">
        <w:rPr>
          <w:rFonts w:eastAsia="Calibri"/>
          <w:color w:val="000000"/>
          <w:u w:color="000000"/>
          <w:bdr w:val="nil"/>
          <w:lang w:val="en-GB"/>
        </w:rPr>
        <w:t xml:space="preserve"> shareholders could be substantially lower given the valuation, operational and significant balance sheet risks embedded in Charter’s stock.”</w:t>
      </w:r>
      <w:r w:rsidRPr="000269CF">
        <w:rPr>
          <w:rFonts w:eastAsia="Calibri"/>
          <w:color w:val="000000"/>
          <w:u w:color="000000"/>
          <w:bdr w:val="nil"/>
          <w:vertAlign w:val="superscript"/>
          <w:lang w:val="en-GB"/>
        </w:rPr>
        <w:endnoteReference w:id="14"/>
      </w:r>
      <w:r w:rsidRPr="000269CF">
        <w:rPr>
          <w:rFonts w:eastAsia="Calibri"/>
          <w:color w:val="000000"/>
          <w:u w:color="000000"/>
          <w:bdr w:val="nil"/>
          <w:lang w:val="en-GB"/>
        </w:rPr>
        <w:t xml:space="preserve"> </w:t>
      </w:r>
      <w:r w:rsidR="00541C43">
        <w:rPr>
          <w:rFonts w:eastAsia="Calibri"/>
          <w:color w:val="000000"/>
          <w:u w:color="000000"/>
          <w:bdr w:val="nil"/>
          <w:lang w:val="en-GB"/>
        </w:rPr>
        <w:t>According to Marcus, t</w:t>
      </w:r>
      <w:r w:rsidRPr="000269CF">
        <w:rPr>
          <w:rFonts w:eastAsia="Calibri"/>
          <w:color w:val="000000"/>
          <w:u w:color="000000"/>
          <w:bdr w:val="nil"/>
          <w:lang w:val="en-GB"/>
        </w:rPr>
        <w:t>he risk for TWC shareholders would be too high because combining Charter’s existing debt of $14 billion with TWC’s own debt of $25 billion would be excessive. Further, Charter was planning to raise an additional $25 billion in debt to finance the transaction</w:t>
      </w:r>
      <w:r w:rsidR="00541C43">
        <w:rPr>
          <w:rFonts w:eastAsia="Calibri"/>
          <w:color w:val="000000"/>
          <w:u w:color="000000"/>
          <w:bdr w:val="nil"/>
          <w:lang w:val="en-GB"/>
        </w:rPr>
        <w:t>, which could make t</w:t>
      </w:r>
      <w:r w:rsidRPr="000269CF">
        <w:rPr>
          <w:rFonts w:eastAsia="Calibri"/>
          <w:color w:val="000000"/>
          <w:u w:color="000000"/>
          <w:bdr w:val="nil"/>
          <w:lang w:val="en-GB"/>
        </w:rPr>
        <w:t xml:space="preserve">he resulting debt load too </w:t>
      </w:r>
      <w:r w:rsidR="00541C43">
        <w:rPr>
          <w:rFonts w:eastAsia="Calibri"/>
          <w:color w:val="000000"/>
          <w:u w:color="000000"/>
          <w:bdr w:val="nil"/>
          <w:lang w:val="en-GB"/>
        </w:rPr>
        <w:t>large</w:t>
      </w:r>
      <w:r w:rsidRPr="000269CF">
        <w:rPr>
          <w:rFonts w:eastAsia="Calibri"/>
          <w:color w:val="000000"/>
          <w:u w:color="000000"/>
          <w:bdr w:val="nil"/>
          <w:lang w:val="en-GB"/>
        </w:rPr>
        <w:t xml:space="preserve"> to bear. However, Marcus indicated that </w:t>
      </w:r>
      <w:r w:rsidRPr="000269CF">
        <w:rPr>
          <w:rFonts w:eastAsia="Arial Unicode MS"/>
          <w:color w:val="000000"/>
          <w:u w:color="000000"/>
          <w:bdr w:val="nil"/>
          <w:lang w:val="en-GB"/>
        </w:rPr>
        <w:t xml:space="preserve">TWC would be open to a bid of $160 </w:t>
      </w:r>
      <w:r w:rsidR="00C531B8">
        <w:rPr>
          <w:rFonts w:eastAsia="Arial Unicode MS"/>
          <w:color w:val="000000"/>
          <w:u w:color="000000"/>
          <w:bdr w:val="nil"/>
          <w:lang w:val="en-GB"/>
        </w:rPr>
        <w:t>per</w:t>
      </w:r>
      <w:r w:rsidRPr="000269CF">
        <w:rPr>
          <w:rFonts w:eastAsia="Arial Unicode MS"/>
          <w:color w:val="000000"/>
          <w:u w:color="000000"/>
          <w:bdr w:val="nil"/>
          <w:lang w:val="en-GB"/>
        </w:rPr>
        <w:t xml:space="preserve"> share or higher. </w:t>
      </w:r>
      <w:r w:rsidR="00541C43">
        <w:rPr>
          <w:rFonts w:eastAsia="Arial Unicode MS"/>
          <w:color w:val="000000"/>
          <w:u w:color="000000"/>
          <w:bdr w:val="nil"/>
          <w:lang w:val="en-GB"/>
        </w:rPr>
        <w:t>Such a</w:t>
      </w:r>
      <w:r w:rsidR="00541C43" w:rsidRPr="000269CF">
        <w:rPr>
          <w:rFonts w:eastAsia="Arial Unicode MS"/>
          <w:color w:val="000000"/>
          <w:u w:color="000000"/>
          <w:bdr w:val="nil"/>
          <w:lang w:val="en-GB"/>
        </w:rPr>
        <w:t xml:space="preserve"> </w:t>
      </w:r>
      <w:r w:rsidRPr="000269CF">
        <w:rPr>
          <w:rFonts w:eastAsia="Arial Unicode MS"/>
          <w:color w:val="000000"/>
          <w:u w:color="000000"/>
          <w:bdr w:val="nil"/>
          <w:lang w:val="en-GB"/>
        </w:rPr>
        <w:t xml:space="preserve">price would value TWC at </w:t>
      </w:r>
      <w:r w:rsidR="00541C43">
        <w:rPr>
          <w:rFonts w:eastAsia="Arial Unicode MS"/>
          <w:color w:val="000000"/>
          <w:u w:color="000000"/>
          <w:bdr w:val="nil"/>
          <w:lang w:val="en-GB"/>
        </w:rPr>
        <w:t>approximately nine times its</w:t>
      </w:r>
      <w:r w:rsidRPr="000269CF">
        <w:rPr>
          <w:rFonts w:eastAsia="Arial Unicode MS"/>
          <w:color w:val="000000"/>
          <w:u w:color="000000"/>
          <w:bdr w:val="nil"/>
          <w:lang w:val="en-GB"/>
        </w:rPr>
        <w:t xml:space="preserve"> EBITDA</w:t>
      </w:r>
      <w:r w:rsidR="00C531B8">
        <w:rPr>
          <w:rFonts w:eastAsia="Arial Unicode MS"/>
          <w:color w:val="000000"/>
          <w:u w:color="000000"/>
          <w:bdr w:val="nil"/>
          <w:lang w:val="en-GB"/>
        </w:rPr>
        <w:t>. At the time,</w:t>
      </w:r>
      <w:r w:rsidRPr="000269CF">
        <w:rPr>
          <w:rFonts w:eastAsia="Arial Unicode MS"/>
          <w:color w:val="000000"/>
          <w:u w:color="000000"/>
          <w:bdr w:val="nil"/>
          <w:lang w:val="en-GB"/>
        </w:rPr>
        <w:t xml:space="preserve"> prevailing bids in the industry ranged between </w:t>
      </w:r>
      <w:r w:rsidR="0062224A">
        <w:rPr>
          <w:rFonts w:eastAsia="Arial Unicode MS"/>
          <w:color w:val="000000"/>
          <w:u w:color="000000"/>
          <w:bdr w:val="nil"/>
          <w:lang w:val="en-GB"/>
        </w:rPr>
        <w:t>seven- and nine-times</w:t>
      </w:r>
      <w:r w:rsidRPr="000269CF">
        <w:rPr>
          <w:rFonts w:eastAsia="Arial Unicode MS"/>
          <w:color w:val="000000"/>
          <w:u w:color="000000"/>
          <w:bdr w:val="nil"/>
          <w:lang w:val="en-GB"/>
        </w:rPr>
        <w:t xml:space="preserve"> EBITDA.</w:t>
      </w:r>
      <w:r w:rsidRPr="000269CF">
        <w:rPr>
          <w:rFonts w:eastAsia="Arial Unicode MS"/>
          <w:color w:val="000000"/>
          <w:u w:color="000000"/>
          <w:bdr w:val="nil"/>
          <w:vertAlign w:val="superscript"/>
          <w:lang w:val="en-GB"/>
        </w:rPr>
        <w:endnoteReference w:id="15"/>
      </w:r>
      <w:r w:rsidRPr="000269CF">
        <w:rPr>
          <w:rFonts w:eastAsia="Arial Unicode MS"/>
          <w:color w:val="000000"/>
          <w:u w:color="000000"/>
          <w:bdr w:val="nil"/>
          <w:lang w:val="en-GB"/>
        </w:rPr>
        <w:t xml:space="preserve"> </w:t>
      </w:r>
      <w:r w:rsidR="00C531B8">
        <w:rPr>
          <w:rFonts w:eastAsia="Arial Unicode MS"/>
          <w:color w:val="000000"/>
          <w:u w:color="000000"/>
          <w:bdr w:val="nil"/>
          <w:lang w:val="en-GB"/>
        </w:rPr>
        <w:t xml:space="preserve">However, </w:t>
      </w:r>
      <w:r w:rsidRPr="000269CF">
        <w:rPr>
          <w:rFonts w:eastAsia="Calibri"/>
          <w:color w:val="000000"/>
          <w:u w:color="000000"/>
          <w:bdr w:val="nil"/>
          <w:lang w:val="en-GB"/>
        </w:rPr>
        <w:t xml:space="preserve">TWC </w:t>
      </w:r>
      <w:r w:rsidR="006547C5">
        <w:rPr>
          <w:rFonts w:eastAsia="Calibri"/>
          <w:color w:val="000000"/>
          <w:u w:color="000000"/>
          <w:bdr w:val="nil"/>
          <w:lang w:val="en-GB"/>
        </w:rPr>
        <w:t>stated that</w:t>
      </w:r>
      <w:r w:rsidRPr="000269CF">
        <w:rPr>
          <w:rFonts w:eastAsia="Calibri"/>
          <w:color w:val="000000"/>
          <w:u w:color="000000"/>
          <w:bdr w:val="nil"/>
          <w:lang w:val="en-GB"/>
        </w:rPr>
        <w:t xml:space="preserve"> the</w:t>
      </w:r>
      <w:r w:rsidR="006547C5">
        <w:rPr>
          <w:rFonts w:eastAsia="Calibri"/>
          <w:color w:val="000000"/>
          <w:u w:color="000000"/>
          <w:bdr w:val="nil"/>
          <w:lang w:val="en-GB"/>
        </w:rPr>
        <w:t xml:space="preserve"> compan</w:t>
      </w:r>
      <w:r w:rsidRPr="000269CF">
        <w:rPr>
          <w:rFonts w:eastAsia="Calibri"/>
          <w:color w:val="000000"/>
          <w:u w:color="000000"/>
          <w:bdr w:val="nil"/>
          <w:lang w:val="en-GB"/>
        </w:rPr>
        <w:t>y would be open to an “</w:t>
      </w:r>
      <w:r w:rsidR="006008A4">
        <w:rPr>
          <w:rFonts w:eastAsia="Calibri"/>
          <w:color w:val="000000"/>
          <w:u w:color="000000"/>
          <w:bdr w:val="nil"/>
          <w:lang w:val="en-GB"/>
        </w:rPr>
        <w:t xml:space="preserve">. . . </w:t>
      </w:r>
      <w:r w:rsidRPr="000269CF">
        <w:rPr>
          <w:rFonts w:eastAsia="Calibri"/>
          <w:color w:val="000000"/>
          <w:u w:color="000000"/>
          <w:bdr w:val="nil"/>
          <w:lang w:val="en-GB"/>
        </w:rPr>
        <w:t>offer that</w:t>
      </w:r>
      <w:r w:rsidR="006547C5">
        <w:rPr>
          <w:rFonts w:eastAsia="Calibri"/>
          <w:color w:val="000000"/>
          <w:u w:color="000000"/>
          <w:bdr w:val="nil"/>
          <w:lang w:val="en-GB"/>
        </w:rPr>
        <w:t>’</w:t>
      </w:r>
      <w:r w:rsidRPr="000269CF">
        <w:rPr>
          <w:rFonts w:eastAsia="Calibri"/>
          <w:color w:val="000000"/>
          <w:u w:color="000000"/>
          <w:bdr w:val="nil"/>
          <w:lang w:val="en-GB"/>
        </w:rPr>
        <w:t>s better than the value we can create on our own.”</w:t>
      </w:r>
      <w:r w:rsidRPr="000269CF">
        <w:rPr>
          <w:rFonts w:eastAsia="Calibri"/>
          <w:color w:val="000000"/>
          <w:u w:color="000000"/>
          <w:bdr w:val="nil"/>
          <w:vertAlign w:val="superscript"/>
          <w:lang w:val="en-GB"/>
        </w:rPr>
        <w:endnoteReference w:id="16"/>
      </w:r>
      <w:r w:rsidRPr="000269CF">
        <w:rPr>
          <w:rFonts w:eastAsia="Calibri"/>
          <w:color w:val="000000"/>
          <w:u w:color="000000"/>
          <w:bdr w:val="nil"/>
          <w:lang w:val="en-GB"/>
        </w:rPr>
        <w:t xml:space="preserve"> An</w:t>
      </w:r>
      <w:r w:rsidR="00C531B8">
        <w:rPr>
          <w:rFonts w:eastAsia="Calibri"/>
          <w:color w:val="000000"/>
          <w:u w:color="000000"/>
          <w:bdr w:val="nil"/>
          <w:lang w:val="en-GB"/>
        </w:rPr>
        <w:t>other</w:t>
      </w:r>
      <w:r w:rsidRPr="000269CF">
        <w:rPr>
          <w:rFonts w:eastAsia="Calibri"/>
          <w:color w:val="000000"/>
          <w:u w:color="000000"/>
          <w:bdr w:val="nil"/>
          <w:lang w:val="en-GB"/>
        </w:rPr>
        <w:t xml:space="preserve"> obstacle was </w:t>
      </w:r>
      <w:r w:rsidR="00C531B8">
        <w:rPr>
          <w:rFonts w:eastAsia="Calibri"/>
          <w:color w:val="000000"/>
          <w:u w:color="000000"/>
          <w:bdr w:val="nil"/>
          <w:lang w:val="en-GB"/>
        </w:rPr>
        <w:t>added by</w:t>
      </w:r>
      <w:r w:rsidRPr="000269CF">
        <w:rPr>
          <w:rFonts w:eastAsia="Calibri"/>
          <w:color w:val="000000"/>
          <w:u w:color="000000"/>
          <w:bdr w:val="nil"/>
          <w:lang w:val="en-GB"/>
        </w:rPr>
        <w:t xml:space="preserve"> Charter </w:t>
      </w:r>
      <w:r w:rsidR="00C531B8" w:rsidRPr="000269CF">
        <w:rPr>
          <w:rFonts w:eastAsia="Calibri"/>
          <w:color w:val="000000"/>
          <w:u w:color="000000"/>
          <w:bdr w:val="nil"/>
          <w:lang w:val="en-GB"/>
        </w:rPr>
        <w:t>in February 2014</w:t>
      </w:r>
      <w:r w:rsidR="00C531B8">
        <w:rPr>
          <w:rFonts w:eastAsia="Calibri"/>
          <w:color w:val="000000"/>
          <w:u w:color="000000"/>
          <w:bdr w:val="nil"/>
          <w:lang w:val="en-GB"/>
        </w:rPr>
        <w:t xml:space="preserve">. The company </w:t>
      </w:r>
      <w:r w:rsidRPr="000269CF">
        <w:rPr>
          <w:rFonts w:eastAsia="Calibri"/>
          <w:color w:val="000000"/>
          <w:u w:color="000000"/>
          <w:bdr w:val="nil"/>
          <w:lang w:val="en-GB"/>
        </w:rPr>
        <w:t xml:space="preserve">stoked TWC management’s anger by announcing </w:t>
      </w:r>
      <w:r w:rsidR="00C531B8">
        <w:rPr>
          <w:rFonts w:eastAsia="Calibri"/>
          <w:color w:val="000000"/>
          <w:u w:color="000000"/>
          <w:bdr w:val="nil"/>
          <w:lang w:val="en-GB"/>
        </w:rPr>
        <w:t>a plan to</w:t>
      </w:r>
      <w:r w:rsidRPr="000269CF">
        <w:rPr>
          <w:rFonts w:eastAsia="Calibri"/>
          <w:color w:val="000000"/>
          <w:u w:color="000000"/>
          <w:bdr w:val="nil"/>
          <w:lang w:val="en-GB"/>
        </w:rPr>
        <w:t xml:space="preserve"> nominate </w:t>
      </w:r>
      <w:r w:rsidR="00C531B8">
        <w:rPr>
          <w:rFonts w:eastAsia="Calibri"/>
          <w:color w:val="000000"/>
          <w:u w:color="000000"/>
          <w:bdr w:val="nil"/>
          <w:lang w:val="en-GB"/>
        </w:rPr>
        <w:t>i</w:t>
      </w:r>
      <w:r w:rsidRPr="000269CF">
        <w:rPr>
          <w:rFonts w:eastAsia="Calibri"/>
          <w:color w:val="000000"/>
          <w:u w:color="000000"/>
          <w:bdr w:val="nil"/>
          <w:lang w:val="en-GB"/>
        </w:rPr>
        <w:t>t</w:t>
      </w:r>
      <w:r w:rsidR="00C531B8">
        <w:rPr>
          <w:rFonts w:eastAsia="Calibri"/>
          <w:color w:val="000000"/>
          <w:u w:color="000000"/>
          <w:bdr w:val="nil"/>
          <w:lang w:val="en-GB"/>
        </w:rPr>
        <w:t>s</w:t>
      </w:r>
      <w:r w:rsidRPr="000269CF">
        <w:rPr>
          <w:rFonts w:eastAsia="Calibri"/>
          <w:color w:val="000000"/>
          <w:u w:color="000000"/>
          <w:bdr w:val="nil"/>
          <w:lang w:val="en-GB"/>
        </w:rPr>
        <w:t xml:space="preserve"> own slate of directors to the TWC corporate board</w:t>
      </w:r>
      <w:r w:rsidR="00BE5056">
        <w:rPr>
          <w:rFonts w:eastAsia="Calibri"/>
          <w:color w:val="000000"/>
          <w:u w:color="000000"/>
          <w:bdr w:val="nil"/>
          <w:lang w:val="en-GB"/>
        </w:rPr>
        <w:t>. T</w:t>
      </w:r>
      <w:r w:rsidRPr="000269CF">
        <w:rPr>
          <w:rFonts w:eastAsia="Calibri"/>
          <w:color w:val="000000"/>
          <w:u w:color="000000"/>
          <w:bdr w:val="nil"/>
          <w:lang w:val="en-GB"/>
        </w:rPr>
        <w:t>he newly elected directors w</w:t>
      </w:r>
      <w:r w:rsidR="00BE5056">
        <w:rPr>
          <w:rFonts w:eastAsia="Calibri"/>
          <w:color w:val="000000"/>
          <w:u w:color="000000"/>
          <w:bdr w:val="nil"/>
          <w:lang w:val="en-GB"/>
        </w:rPr>
        <w:t>ere presumed to</w:t>
      </w:r>
      <w:r w:rsidRPr="000269CF">
        <w:rPr>
          <w:rFonts w:eastAsia="Calibri"/>
          <w:color w:val="000000"/>
          <w:u w:color="000000"/>
          <w:bdr w:val="nil"/>
          <w:lang w:val="en-GB"/>
        </w:rPr>
        <w:t xml:space="preserve"> be more receptive to a </w:t>
      </w:r>
      <w:r w:rsidR="00BE5056">
        <w:rPr>
          <w:rFonts w:eastAsia="Calibri"/>
          <w:color w:val="000000"/>
          <w:u w:color="000000"/>
          <w:bdr w:val="nil"/>
          <w:lang w:val="en-GB"/>
        </w:rPr>
        <w:t xml:space="preserve">bid by </w:t>
      </w:r>
      <w:r w:rsidRPr="000269CF">
        <w:rPr>
          <w:rFonts w:eastAsia="Calibri"/>
          <w:color w:val="000000"/>
          <w:u w:color="000000"/>
          <w:bdr w:val="nil"/>
          <w:lang w:val="en-GB"/>
        </w:rPr>
        <w:t>Charter.</w:t>
      </w:r>
      <w:r w:rsidRPr="000269CF">
        <w:rPr>
          <w:rFonts w:eastAsia="Calibri"/>
          <w:color w:val="000000"/>
          <w:u w:color="000000"/>
          <w:bdr w:val="nil"/>
          <w:vertAlign w:val="superscript"/>
          <w:lang w:val="en-GB"/>
        </w:rPr>
        <w:endnoteReference w:id="17"/>
      </w:r>
    </w:p>
    <w:p w14:paraId="2D8B37B8" w14:textId="77777777" w:rsidR="00EC6A26" w:rsidRPr="000269CF" w:rsidRDefault="00EC6A26" w:rsidP="00EC6A26">
      <w:pPr>
        <w:pStyle w:val="BodyTextMain"/>
        <w:rPr>
          <w:rFonts w:eastAsia="Calibri"/>
          <w:color w:val="000000"/>
          <w:u w:color="000000"/>
          <w:bdr w:val="nil"/>
          <w:lang w:val="en-GB"/>
        </w:rPr>
      </w:pPr>
    </w:p>
    <w:p w14:paraId="4AFBD09E" w14:textId="77777777" w:rsidR="00EC6A26" w:rsidRPr="000269CF" w:rsidRDefault="00EC6A26" w:rsidP="00EC6A26">
      <w:pPr>
        <w:pStyle w:val="BodyTextMain"/>
        <w:rPr>
          <w:rFonts w:eastAsia="Calibri"/>
          <w:color w:val="000000"/>
          <w:u w:color="000000"/>
          <w:bdr w:val="nil"/>
          <w:lang w:val="en-GB"/>
        </w:rPr>
      </w:pPr>
    </w:p>
    <w:p w14:paraId="50E5686E" w14:textId="0B8467D3" w:rsidR="00EC6A26" w:rsidRPr="000269CF" w:rsidRDefault="00EC6A26" w:rsidP="00EC6A26">
      <w:pPr>
        <w:pStyle w:val="Casehead2"/>
        <w:rPr>
          <w:rFonts w:eastAsia="Calibri"/>
          <w:u w:color="000000"/>
          <w:bdr w:val="nil"/>
          <w:lang w:val="en-GB"/>
        </w:rPr>
      </w:pPr>
      <w:r w:rsidRPr="000269CF">
        <w:rPr>
          <w:rFonts w:eastAsia="Calibri"/>
          <w:u w:color="000000"/>
          <w:bdr w:val="nil"/>
          <w:lang w:val="en-GB"/>
        </w:rPr>
        <w:t>Round 2: Comcast Bids for T</w:t>
      </w:r>
      <w:r w:rsidR="00484AC0">
        <w:rPr>
          <w:rFonts w:eastAsia="Calibri"/>
          <w:u w:color="000000"/>
          <w:bdr w:val="nil"/>
          <w:lang w:val="en-GB"/>
        </w:rPr>
        <w:t>WC</w:t>
      </w:r>
    </w:p>
    <w:p w14:paraId="397F1FC8" w14:textId="77777777" w:rsidR="00EC6A26" w:rsidRPr="000269CF" w:rsidRDefault="00EC6A26" w:rsidP="00EC6A26">
      <w:pPr>
        <w:pBdr>
          <w:top w:val="nil"/>
          <w:left w:val="nil"/>
          <w:bottom w:val="nil"/>
          <w:right w:val="nil"/>
          <w:between w:val="nil"/>
          <w:bar w:val="nil"/>
        </w:pBdr>
        <w:jc w:val="both"/>
        <w:rPr>
          <w:rFonts w:eastAsia="Calibri"/>
          <w:color w:val="000000"/>
          <w:sz w:val="22"/>
          <w:szCs w:val="22"/>
          <w:u w:color="000000"/>
          <w:bdr w:val="nil"/>
          <w:lang w:val="en-GB"/>
        </w:rPr>
      </w:pPr>
    </w:p>
    <w:p w14:paraId="0BE434F5" w14:textId="6D52C3AE" w:rsidR="00EC6A26" w:rsidRPr="000269CF" w:rsidRDefault="00EC6A26" w:rsidP="00EC6A26">
      <w:pPr>
        <w:pStyle w:val="BodyTextMain"/>
        <w:rPr>
          <w:rFonts w:eastAsia="Calibri"/>
          <w:u w:color="000000"/>
          <w:bdr w:val="nil"/>
          <w:lang w:val="en-GB"/>
        </w:rPr>
      </w:pPr>
      <w:r w:rsidRPr="000269CF">
        <w:rPr>
          <w:rFonts w:eastAsia="Calibri"/>
          <w:u w:color="000000"/>
          <w:bdr w:val="nil"/>
          <w:lang w:val="en-GB"/>
        </w:rPr>
        <w:t>Meanwhile, Comcast</w:t>
      </w:r>
      <w:r w:rsidR="00484AC0">
        <w:rPr>
          <w:rFonts w:eastAsia="Calibri"/>
          <w:u w:color="000000"/>
          <w:bdr w:val="nil"/>
          <w:lang w:val="en-GB"/>
        </w:rPr>
        <w:t>’s</w:t>
      </w:r>
      <w:r w:rsidRPr="000269CF">
        <w:rPr>
          <w:rFonts w:eastAsia="Calibri"/>
          <w:u w:color="000000"/>
          <w:bdr w:val="nil"/>
          <w:lang w:val="en-GB"/>
        </w:rPr>
        <w:t xml:space="preserve"> </w:t>
      </w:r>
      <w:r w:rsidR="00484AC0">
        <w:rPr>
          <w:rFonts w:eastAsia="Calibri"/>
          <w:u w:color="000000"/>
          <w:bdr w:val="nil"/>
          <w:lang w:val="en-GB"/>
        </w:rPr>
        <w:t>c</w:t>
      </w:r>
      <w:r w:rsidRPr="000269CF">
        <w:rPr>
          <w:rFonts w:eastAsia="Calibri"/>
          <w:u w:color="000000"/>
          <w:bdr w:val="nil"/>
          <w:lang w:val="en-GB"/>
        </w:rPr>
        <w:t>hair and CEO</w:t>
      </w:r>
      <w:r w:rsidR="00484AC0">
        <w:rPr>
          <w:rFonts w:eastAsia="Calibri"/>
          <w:u w:color="000000"/>
          <w:bdr w:val="nil"/>
          <w:lang w:val="en-GB"/>
        </w:rPr>
        <w:t>,</w:t>
      </w:r>
      <w:r w:rsidRPr="000269CF">
        <w:rPr>
          <w:rFonts w:eastAsia="Calibri"/>
          <w:u w:color="000000"/>
          <w:bdr w:val="nil"/>
          <w:lang w:val="en-GB"/>
        </w:rPr>
        <w:t xml:space="preserve"> Brian Roberts</w:t>
      </w:r>
      <w:r w:rsidR="00484AC0">
        <w:rPr>
          <w:rFonts w:eastAsia="Calibri"/>
          <w:u w:color="000000"/>
          <w:bdr w:val="nil"/>
          <w:lang w:val="en-GB"/>
        </w:rPr>
        <w:t>,</w:t>
      </w:r>
      <w:r w:rsidRPr="000269CF">
        <w:rPr>
          <w:rFonts w:eastAsia="Calibri"/>
          <w:u w:color="000000"/>
          <w:bdr w:val="nil"/>
          <w:lang w:val="en-GB"/>
        </w:rPr>
        <w:t xml:space="preserve"> was </w:t>
      </w:r>
      <w:r w:rsidR="00484AC0">
        <w:rPr>
          <w:rFonts w:eastAsia="Calibri"/>
          <w:u w:color="000000"/>
          <w:bdr w:val="nil"/>
          <w:lang w:val="en-GB"/>
        </w:rPr>
        <w:t>considering the merits of</w:t>
      </w:r>
      <w:r w:rsidRPr="000269CF">
        <w:rPr>
          <w:rFonts w:eastAsia="Calibri"/>
          <w:u w:color="000000"/>
          <w:bdr w:val="nil"/>
          <w:lang w:val="en-GB"/>
        </w:rPr>
        <w:t xml:space="preserve"> a Comcast bid for TWC. </w:t>
      </w:r>
      <w:r w:rsidR="00484AC0">
        <w:rPr>
          <w:rFonts w:eastAsia="Calibri"/>
          <w:u w:color="000000"/>
          <w:bdr w:val="nil"/>
          <w:lang w:val="en-GB"/>
        </w:rPr>
        <w:t>A successful</w:t>
      </w:r>
      <w:r w:rsidRPr="000269CF">
        <w:rPr>
          <w:rFonts w:eastAsia="Calibri"/>
          <w:u w:color="000000"/>
          <w:bdr w:val="nil"/>
          <w:lang w:val="en-GB"/>
        </w:rPr>
        <w:t xml:space="preserve"> merger </w:t>
      </w:r>
      <w:r w:rsidR="00484AC0">
        <w:rPr>
          <w:rFonts w:eastAsia="Calibri"/>
          <w:u w:color="000000"/>
          <w:bdr w:val="nil"/>
          <w:lang w:val="en-GB"/>
        </w:rPr>
        <w:t>would mean that</w:t>
      </w:r>
      <w:r w:rsidRPr="000269CF">
        <w:rPr>
          <w:rFonts w:eastAsia="Calibri"/>
          <w:u w:color="000000"/>
          <w:bdr w:val="nil"/>
          <w:lang w:val="en-GB"/>
        </w:rPr>
        <w:t xml:space="preserve"> the new Comcast</w:t>
      </w:r>
      <w:r w:rsidR="003207EB">
        <w:rPr>
          <w:rFonts w:eastAsia="Calibri"/>
          <w:u w:color="000000"/>
          <w:bdr w:val="nil"/>
          <w:lang w:val="en-GB"/>
        </w:rPr>
        <w:t xml:space="preserve"> would be the dominant cable and satellite distributor</w:t>
      </w:r>
      <w:r w:rsidRPr="000269CF">
        <w:rPr>
          <w:rFonts w:eastAsia="Calibri"/>
          <w:u w:color="000000"/>
          <w:bdr w:val="nil"/>
          <w:lang w:val="en-GB"/>
        </w:rPr>
        <w:t xml:space="preserve"> with 30 million subscribers, followed by satellite companies DirecTV with 20 million</w:t>
      </w:r>
      <w:r w:rsidR="008E7A06">
        <w:rPr>
          <w:rFonts w:eastAsia="Calibri"/>
          <w:u w:color="000000"/>
          <w:bdr w:val="nil"/>
          <w:lang w:val="en-GB"/>
        </w:rPr>
        <w:t xml:space="preserve"> subscribers and</w:t>
      </w:r>
      <w:r w:rsidRPr="000269CF">
        <w:rPr>
          <w:rFonts w:eastAsia="Calibri"/>
          <w:u w:color="000000"/>
          <w:bdr w:val="nil"/>
          <w:lang w:val="en-GB"/>
        </w:rPr>
        <w:t xml:space="preserve"> Dish Network with 14 million</w:t>
      </w:r>
      <w:r w:rsidR="008E7A06">
        <w:rPr>
          <w:rFonts w:eastAsia="Calibri"/>
          <w:u w:color="000000"/>
          <w:bdr w:val="nil"/>
          <w:lang w:val="en-GB"/>
        </w:rPr>
        <w:t xml:space="preserve"> subscribers</w:t>
      </w:r>
      <w:r w:rsidRPr="000269CF">
        <w:rPr>
          <w:rFonts w:eastAsia="Calibri"/>
          <w:u w:color="000000"/>
          <w:bdr w:val="nil"/>
          <w:lang w:val="en-GB"/>
        </w:rPr>
        <w:t>, and telecom</w:t>
      </w:r>
      <w:r w:rsidR="008E7A06">
        <w:rPr>
          <w:rFonts w:eastAsia="Calibri"/>
          <w:u w:color="000000"/>
          <w:bdr w:val="nil"/>
          <w:lang w:val="en-GB"/>
        </w:rPr>
        <w:t>munication</w:t>
      </w:r>
      <w:r w:rsidRPr="000269CF">
        <w:rPr>
          <w:rFonts w:eastAsia="Calibri"/>
          <w:u w:color="000000"/>
          <w:bdr w:val="nil"/>
          <w:lang w:val="en-GB"/>
        </w:rPr>
        <w:t>s</w:t>
      </w:r>
      <w:r w:rsidR="008E7A06">
        <w:rPr>
          <w:rFonts w:eastAsia="Calibri"/>
          <w:u w:color="000000"/>
          <w:bdr w:val="nil"/>
          <w:lang w:val="en-GB"/>
        </w:rPr>
        <w:t xml:space="preserve"> companies</w:t>
      </w:r>
      <w:r w:rsidRPr="000269CF">
        <w:rPr>
          <w:rFonts w:eastAsia="Calibri"/>
          <w:u w:color="000000"/>
          <w:bdr w:val="nil"/>
          <w:lang w:val="en-GB"/>
        </w:rPr>
        <w:t xml:space="preserve"> AT&amp;T and Verizon</w:t>
      </w:r>
      <w:r w:rsidR="008E7A06">
        <w:rPr>
          <w:rFonts w:eastAsia="Calibri"/>
          <w:u w:color="000000"/>
          <w:bdr w:val="nil"/>
          <w:lang w:val="en-GB"/>
        </w:rPr>
        <w:t>,</w:t>
      </w:r>
      <w:r w:rsidRPr="000269CF">
        <w:rPr>
          <w:rFonts w:eastAsia="Calibri"/>
          <w:u w:color="000000"/>
          <w:bdr w:val="nil"/>
          <w:lang w:val="en-GB"/>
        </w:rPr>
        <w:t xml:space="preserve"> each with </w:t>
      </w:r>
      <w:r w:rsidR="006008A4">
        <w:rPr>
          <w:rFonts w:eastAsia="Calibri"/>
          <w:u w:color="000000"/>
          <w:bdr w:val="nil"/>
          <w:lang w:val="en-GB"/>
        </w:rPr>
        <w:t>five</w:t>
      </w:r>
      <w:r w:rsidRPr="000269CF">
        <w:rPr>
          <w:rFonts w:eastAsia="Calibri"/>
          <w:u w:color="000000"/>
          <w:bdr w:val="nil"/>
          <w:lang w:val="en-GB"/>
        </w:rPr>
        <w:t xml:space="preserve"> million</w:t>
      </w:r>
      <w:r w:rsidR="008E7A06">
        <w:rPr>
          <w:rFonts w:eastAsia="Calibri"/>
          <w:u w:color="000000"/>
          <w:bdr w:val="nil"/>
          <w:lang w:val="en-GB"/>
        </w:rPr>
        <w:t xml:space="preserve"> subscribers</w:t>
      </w:r>
      <w:r w:rsidRPr="000269CF">
        <w:rPr>
          <w:rFonts w:eastAsia="Calibri"/>
          <w:u w:color="000000"/>
          <w:bdr w:val="nil"/>
          <w:lang w:val="en-GB"/>
        </w:rPr>
        <w:t>. Charter and Cox</w:t>
      </w:r>
      <w:r w:rsidR="007D2D1F">
        <w:rPr>
          <w:rFonts w:eastAsia="Calibri"/>
          <w:u w:color="000000"/>
          <w:bdr w:val="nil"/>
          <w:lang w:val="en-GB"/>
        </w:rPr>
        <w:t xml:space="preserve"> Communications</w:t>
      </w:r>
      <w:r w:rsidRPr="000269CF">
        <w:rPr>
          <w:rFonts w:eastAsia="Calibri"/>
          <w:u w:color="000000"/>
          <w:bdr w:val="nil"/>
          <w:lang w:val="en-GB"/>
        </w:rPr>
        <w:t xml:space="preserve"> would have </w:t>
      </w:r>
      <w:r w:rsidR="006008A4">
        <w:rPr>
          <w:rFonts w:eastAsia="Calibri"/>
          <w:u w:color="000000"/>
          <w:bdr w:val="nil"/>
          <w:lang w:val="en-GB"/>
        </w:rPr>
        <w:t>four</w:t>
      </w:r>
      <w:r w:rsidRPr="000269CF">
        <w:rPr>
          <w:rFonts w:eastAsia="Calibri"/>
          <w:u w:color="000000"/>
          <w:bdr w:val="nil"/>
          <w:lang w:val="en-GB"/>
        </w:rPr>
        <w:t xml:space="preserve"> million subscribers each.</w:t>
      </w:r>
      <w:r w:rsidR="00D718E6" w:rsidRPr="00D718E6">
        <w:rPr>
          <w:rFonts w:eastAsia="Calibri"/>
          <w:u w:color="000000"/>
          <w:bdr w:val="nil"/>
          <w:vertAlign w:val="superscript"/>
          <w:lang w:val="en-GB"/>
        </w:rPr>
        <w:t xml:space="preserve"> </w:t>
      </w:r>
      <w:r w:rsidR="00D718E6" w:rsidRPr="000269CF">
        <w:rPr>
          <w:rFonts w:eastAsia="Calibri"/>
          <w:u w:color="000000"/>
          <w:bdr w:val="nil"/>
          <w:vertAlign w:val="superscript"/>
          <w:lang w:val="en-GB"/>
        </w:rPr>
        <w:endnoteReference w:id="18"/>
      </w:r>
    </w:p>
    <w:p w14:paraId="4CD04B2F" w14:textId="77777777" w:rsidR="00EC6A26" w:rsidRPr="000269CF" w:rsidRDefault="00EC6A26" w:rsidP="00EC6A26">
      <w:pPr>
        <w:pStyle w:val="BodyTextMain"/>
        <w:rPr>
          <w:rFonts w:eastAsia="Calibri"/>
          <w:u w:color="000000"/>
          <w:bdr w:val="nil"/>
          <w:lang w:val="en-GB"/>
        </w:rPr>
      </w:pPr>
    </w:p>
    <w:p w14:paraId="6DE11C0B" w14:textId="1B29D908" w:rsidR="00EC6A26" w:rsidRPr="000269CF" w:rsidRDefault="00F2172A" w:rsidP="00EC6A26">
      <w:pPr>
        <w:pStyle w:val="BodyTextMain"/>
        <w:rPr>
          <w:rFonts w:eastAsia="Calibri"/>
          <w:u w:color="000000"/>
          <w:bdr w:val="nil"/>
          <w:lang w:val="en-GB"/>
        </w:rPr>
      </w:pPr>
      <w:r>
        <w:rPr>
          <w:rFonts w:eastAsia="Calibri"/>
          <w:u w:color="000000"/>
          <w:bdr w:val="nil"/>
          <w:lang w:val="en-GB"/>
        </w:rPr>
        <w:t>I</w:t>
      </w:r>
      <w:r w:rsidR="00EC6A26" w:rsidRPr="000269CF">
        <w:rPr>
          <w:rFonts w:eastAsia="Calibri"/>
          <w:u w:color="000000"/>
          <w:bdr w:val="nil"/>
          <w:lang w:val="en-GB"/>
        </w:rPr>
        <w:t>n late 2013</w:t>
      </w:r>
      <w:r>
        <w:rPr>
          <w:rFonts w:eastAsia="Calibri"/>
          <w:u w:color="000000"/>
          <w:bdr w:val="nil"/>
          <w:lang w:val="en-GB"/>
        </w:rPr>
        <w:t>,</w:t>
      </w:r>
      <w:r w:rsidR="00EC6A26" w:rsidRPr="000269CF">
        <w:rPr>
          <w:rFonts w:eastAsia="Calibri"/>
          <w:u w:color="000000"/>
          <w:bdr w:val="nil"/>
          <w:lang w:val="en-GB"/>
        </w:rPr>
        <w:t xml:space="preserve"> </w:t>
      </w:r>
      <w:r>
        <w:rPr>
          <w:rFonts w:eastAsia="Calibri"/>
          <w:u w:color="000000"/>
          <w:bdr w:val="nil"/>
          <w:lang w:val="en-GB"/>
        </w:rPr>
        <w:t xml:space="preserve">TWC’s CEO </w:t>
      </w:r>
      <w:r w:rsidR="00EC6A26" w:rsidRPr="000269CF">
        <w:rPr>
          <w:rFonts w:eastAsia="Calibri"/>
          <w:u w:color="000000"/>
          <w:bdr w:val="nil"/>
          <w:lang w:val="en-GB"/>
        </w:rPr>
        <w:t xml:space="preserve">Marcus </w:t>
      </w:r>
      <w:r>
        <w:rPr>
          <w:rFonts w:eastAsia="Calibri"/>
          <w:u w:color="000000"/>
          <w:bdr w:val="nil"/>
          <w:lang w:val="en-GB"/>
        </w:rPr>
        <w:t>decided to counter Charter’s attempts by</w:t>
      </w:r>
      <w:r w:rsidR="00BE5056">
        <w:rPr>
          <w:rFonts w:eastAsia="Calibri"/>
          <w:u w:color="000000"/>
          <w:bdr w:val="nil"/>
          <w:lang w:val="en-GB"/>
        </w:rPr>
        <w:t xml:space="preserve"> </w:t>
      </w:r>
      <w:r w:rsidR="00EC6A26" w:rsidRPr="000269CF">
        <w:rPr>
          <w:rFonts w:eastAsia="Calibri"/>
          <w:u w:color="000000"/>
          <w:bdr w:val="nil"/>
          <w:lang w:val="en-GB"/>
        </w:rPr>
        <w:t>approach</w:t>
      </w:r>
      <w:r>
        <w:rPr>
          <w:rFonts w:eastAsia="Calibri"/>
          <w:u w:color="000000"/>
          <w:bdr w:val="nil"/>
          <w:lang w:val="en-GB"/>
        </w:rPr>
        <w:t>ing</w:t>
      </w:r>
      <w:r w:rsidR="00EC6A26" w:rsidRPr="000269CF">
        <w:rPr>
          <w:rFonts w:eastAsia="Calibri"/>
          <w:u w:color="000000"/>
          <w:bdr w:val="nil"/>
          <w:lang w:val="en-GB"/>
        </w:rPr>
        <w:t xml:space="preserve"> Roberts</w:t>
      </w:r>
      <w:r>
        <w:rPr>
          <w:rFonts w:eastAsia="Calibri"/>
          <w:u w:color="000000"/>
          <w:bdr w:val="nil"/>
          <w:lang w:val="en-GB"/>
        </w:rPr>
        <w:t xml:space="preserve"> to</w:t>
      </w:r>
      <w:r w:rsidR="00EC6A26" w:rsidRPr="000269CF">
        <w:rPr>
          <w:rFonts w:eastAsia="Calibri"/>
          <w:u w:color="000000"/>
          <w:bdr w:val="nil"/>
          <w:lang w:val="en-GB"/>
        </w:rPr>
        <w:t xml:space="preserve"> invit</w:t>
      </w:r>
      <w:r>
        <w:rPr>
          <w:rFonts w:eastAsia="Calibri"/>
          <w:u w:color="000000"/>
          <w:bdr w:val="nil"/>
          <w:lang w:val="en-GB"/>
        </w:rPr>
        <w:t>e</w:t>
      </w:r>
      <w:r w:rsidR="00EC6A26" w:rsidRPr="000269CF">
        <w:rPr>
          <w:rFonts w:eastAsia="Calibri"/>
          <w:u w:color="000000"/>
          <w:bdr w:val="nil"/>
          <w:lang w:val="en-GB"/>
        </w:rPr>
        <w:t xml:space="preserve"> a friendly </w:t>
      </w:r>
      <w:r>
        <w:rPr>
          <w:rFonts w:eastAsia="Calibri"/>
          <w:u w:color="000000"/>
          <w:bdr w:val="nil"/>
          <w:lang w:val="en-GB"/>
        </w:rPr>
        <w:t xml:space="preserve">bid from </w:t>
      </w:r>
      <w:r w:rsidR="00EC6A26" w:rsidRPr="000269CF">
        <w:rPr>
          <w:rFonts w:eastAsia="Calibri"/>
          <w:u w:color="000000"/>
          <w:bdr w:val="nil"/>
          <w:lang w:val="en-GB"/>
        </w:rPr>
        <w:t>Comcast</w:t>
      </w:r>
      <w:r w:rsidR="00D718E6">
        <w:rPr>
          <w:rStyle w:val="EndnoteReference"/>
          <w:rFonts w:eastAsia="Calibri"/>
          <w:u w:color="000000"/>
          <w:bdr w:val="nil"/>
          <w:lang w:val="en-GB"/>
        </w:rPr>
        <w:endnoteReference w:id="19"/>
      </w:r>
      <w:r w:rsidR="00EC6A26" w:rsidRPr="000269CF">
        <w:rPr>
          <w:rFonts w:eastAsia="Calibri"/>
          <w:u w:color="000000"/>
          <w:bdr w:val="nil"/>
          <w:lang w:val="en-GB"/>
        </w:rPr>
        <w:t xml:space="preserve">. </w:t>
      </w:r>
      <w:r>
        <w:rPr>
          <w:rFonts w:eastAsia="Calibri"/>
          <w:u w:color="000000"/>
          <w:bdr w:val="nil"/>
          <w:lang w:val="en-GB"/>
        </w:rPr>
        <w:t>W</w:t>
      </w:r>
      <w:r w:rsidR="00EC6A26" w:rsidRPr="000269CF">
        <w:rPr>
          <w:rFonts w:eastAsia="Calibri"/>
          <w:u w:color="000000"/>
          <w:bdr w:val="nil"/>
          <w:lang w:val="en-GB"/>
        </w:rPr>
        <w:t xml:space="preserve">ith a subscriber base of 22 million and a market capitalization of $130 billion, </w:t>
      </w:r>
      <w:r>
        <w:rPr>
          <w:rFonts w:eastAsia="Calibri"/>
          <w:u w:color="000000"/>
          <w:bdr w:val="nil"/>
          <w:lang w:val="en-GB"/>
        </w:rPr>
        <w:t xml:space="preserve">Comcast </w:t>
      </w:r>
      <w:r w:rsidR="00EC6A26" w:rsidRPr="000269CF">
        <w:rPr>
          <w:rFonts w:eastAsia="Calibri"/>
          <w:u w:color="000000"/>
          <w:bdr w:val="nil"/>
          <w:lang w:val="en-GB"/>
        </w:rPr>
        <w:t xml:space="preserve">could easily afford the </w:t>
      </w:r>
      <w:r>
        <w:rPr>
          <w:rFonts w:eastAsia="Calibri"/>
          <w:u w:color="000000"/>
          <w:bdr w:val="nil"/>
          <w:lang w:val="en-GB"/>
        </w:rPr>
        <w:t>venture</w:t>
      </w:r>
      <w:r w:rsidR="00EC6A26" w:rsidRPr="000269CF">
        <w:rPr>
          <w:rFonts w:eastAsia="Calibri"/>
          <w:u w:color="000000"/>
          <w:bdr w:val="nil"/>
          <w:lang w:val="en-GB"/>
        </w:rPr>
        <w:t xml:space="preserve">. Comcast </w:t>
      </w:r>
      <w:r w:rsidR="00BE5056">
        <w:rPr>
          <w:rFonts w:eastAsia="Calibri"/>
          <w:u w:color="000000"/>
          <w:bdr w:val="nil"/>
          <w:lang w:val="en-GB"/>
        </w:rPr>
        <w:t>could</w:t>
      </w:r>
      <w:r w:rsidR="00EC6A26" w:rsidRPr="000269CF">
        <w:rPr>
          <w:rFonts w:eastAsia="Calibri"/>
          <w:u w:color="000000"/>
          <w:bdr w:val="nil"/>
          <w:lang w:val="en-GB"/>
        </w:rPr>
        <w:t xml:space="preserve"> </w:t>
      </w:r>
      <w:r>
        <w:rPr>
          <w:rFonts w:eastAsia="Calibri"/>
          <w:u w:color="000000"/>
          <w:bdr w:val="nil"/>
          <w:lang w:val="en-GB"/>
        </w:rPr>
        <w:t>also</w:t>
      </w:r>
      <w:r w:rsidR="00EC6A26" w:rsidRPr="000269CF">
        <w:rPr>
          <w:rFonts w:eastAsia="Calibri"/>
          <w:u w:color="000000"/>
          <w:bdr w:val="nil"/>
          <w:lang w:val="en-GB"/>
        </w:rPr>
        <w:t xml:space="preserve"> see Charter’s bid as a threat because the new combined company </w:t>
      </w:r>
      <w:r>
        <w:rPr>
          <w:rFonts w:eastAsia="Calibri"/>
          <w:u w:color="000000"/>
          <w:bdr w:val="nil"/>
          <w:lang w:val="en-GB"/>
        </w:rPr>
        <w:t xml:space="preserve">would become a strong competitor, </w:t>
      </w:r>
      <w:r w:rsidR="00EC6A26" w:rsidRPr="000269CF">
        <w:rPr>
          <w:rFonts w:eastAsia="Calibri"/>
          <w:u w:color="000000"/>
          <w:bdr w:val="nil"/>
          <w:lang w:val="en-GB"/>
        </w:rPr>
        <w:t>with nearly 16 million customers. TWC</w:t>
      </w:r>
      <w:r>
        <w:rPr>
          <w:rFonts w:eastAsia="Calibri"/>
          <w:u w:color="000000"/>
          <w:bdr w:val="nil"/>
          <w:lang w:val="en-GB"/>
        </w:rPr>
        <w:t xml:space="preserve">’s previous CEO had </w:t>
      </w:r>
      <w:r w:rsidR="00EC6A26" w:rsidRPr="000269CF">
        <w:rPr>
          <w:rFonts w:eastAsia="Calibri"/>
          <w:u w:color="000000"/>
          <w:bdr w:val="nil"/>
          <w:lang w:val="en-GB"/>
        </w:rPr>
        <w:t>reported</w:t>
      </w:r>
      <w:r w:rsidR="00BE5056">
        <w:rPr>
          <w:rFonts w:eastAsia="Calibri"/>
          <w:u w:color="000000"/>
          <w:bdr w:val="nil"/>
          <w:lang w:val="en-GB"/>
        </w:rPr>
        <w:t>ly</w:t>
      </w:r>
      <w:r w:rsidR="00EC6A26" w:rsidRPr="000269CF">
        <w:rPr>
          <w:rFonts w:eastAsia="Calibri"/>
          <w:u w:color="000000"/>
          <w:bdr w:val="nil"/>
          <w:lang w:val="en-GB"/>
        </w:rPr>
        <w:t xml:space="preserve"> discussed </w:t>
      </w:r>
      <w:r w:rsidR="00BE5056">
        <w:rPr>
          <w:rFonts w:eastAsia="Calibri"/>
          <w:u w:color="000000"/>
          <w:bdr w:val="nil"/>
          <w:lang w:val="en-GB"/>
        </w:rPr>
        <w:t xml:space="preserve">in private </w:t>
      </w:r>
      <w:r w:rsidR="00EC6A26" w:rsidRPr="000269CF">
        <w:rPr>
          <w:rFonts w:eastAsia="Calibri"/>
          <w:u w:color="000000"/>
          <w:bdr w:val="nil"/>
          <w:lang w:val="en-GB"/>
        </w:rPr>
        <w:t>with Roberts</w:t>
      </w:r>
      <w:r>
        <w:rPr>
          <w:rFonts w:eastAsia="Calibri"/>
          <w:u w:color="000000"/>
          <w:bdr w:val="nil"/>
          <w:lang w:val="en-GB"/>
        </w:rPr>
        <w:t>,</w:t>
      </w:r>
      <w:r w:rsidR="00EC6A26" w:rsidRPr="000269CF">
        <w:rPr>
          <w:rFonts w:eastAsia="Calibri"/>
          <w:u w:color="000000"/>
          <w:bdr w:val="nil"/>
          <w:lang w:val="en-GB"/>
        </w:rPr>
        <w:t xml:space="preserve"> Comcast</w:t>
      </w:r>
      <w:r>
        <w:rPr>
          <w:rFonts w:eastAsia="Calibri"/>
          <w:u w:color="000000"/>
          <w:bdr w:val="nil"/>
          <w:lang w:val="en-GB"/>
        </w:rPr>
        <w:t>’s CEO,</w:t>
      </w:r>
      <w:r w:rsidR="00EC6A26" w:rsidRPr="000269CF">
        <w:rPr>
          <w:rFonts w:eastAsia="Calibri"/>
          <w:u w:color="000000"/>
          <w:bdr w:val="nil"/>
          <w:lang w:val="en-GB"/>
        </w:rPr>
        <w:t xml:space="preserve"> the possibility of a </w:t>
      </w:r>
      <w:r>
        <w:rPr>
          <w:rFonts w:eastAsia="Calibri"/>
          <w:u w:color="000000"/>
          <w:bdr w:val="nil"/>
          <w:lang w:val="en-GB"/>
        </w:rPr>
        <w:t>merger,</w:t>
      </w:r>
      <w:r w:rsidR="00EC6A26" w:rsidRPr="000269CF">
        <w:rPr>
          <w:rFonts w:eastAsia="Calibri"/>
          <w:u w:color="000000"/>
          <w:bdr w:val="nil"/>
          <w:lang w:val="en-GB"/>
        </w:rPr>
        <w:t xml:space="preserve"> describing it as a “dream deal.”</w:t>
      </w:r>
      <w:r w:rsidR="00EC6A26" w:rsidRPr="000269CF">
        <w:rPr>
          <w:rFonts w:eastAsia="Calibri"/>
          <w:u w:color="000000"/>
          <w:bdr w:val="nil"/>
          <w:vertAlign w:val="superscript"/>
          <w:lang w:val="en-GB"/>
        </w:rPr>
        <w:endnoteReference w:id="20"/>
      </w:r>
      <w:r w:rsidR="00EC6A26" w:rsidRPr="000269CF">
        <w:rPr>
          <w:rFonts w:eastAsia="Calibri"/>
          <w:u w:color="000000"/>
          <w:bdr w:val="nil"/>
          <w:lang w:val="en-GB"/>
        </w:rPr>
        <w:t xml:space="preserve"> However, a union of the number </w:t>
      </w:r>
      <w:r>
        <w:rPr>
          <w:rFonts w:eastAsia="Calibri"/>
          <w:u w:color="000000"/>
          <w:bdr w:val="nil"/>
          <w:lang w:val="en-GB"/>
        </w:rPr>
        <w:t>one</w:t>
      </w:r>
      <w:r w:rsidR="00EC6A26" w:rsidRPr="000269CF">
        <w:rPr>
          <w:rFonts w:eastAsia="Calibri"/>
          <w:u w:color="000000"/>
          <w:bdr w:val="nil"/>
          <w:lang w:val="en-GB"/>
        </w:rPr>
        <w:t xml:space="preserve"> and number </w:t>
      </w:r>
      <w:r>
        <w:rPr>
          <w:rFonts w:eastAsia="Calibri"/>
          <w:u w:color="000000"/>
          <w:bdr w:val="nil"/>
          <w:lang w:val="en-GB"/>
        </w:rPr>
        <w:t>two</w:t>
      </w:r>
      <w:r w:rsidR="00EC6A26" w:rsidRPr="000269CF">
        <w:rPr>
          <w:rFonts w:eastAsia="Calibri"/>
          <w:u w:color="000000"/>
          <w:bdr w:val="nil"/>
          <w:lang w:val="en-GB"/>
        </w:rPr>
        <w:t xml:space="preserve"> cable companies would enhance the already formidable market power of Comcast</w:t>
      </w:r>
      <w:r>
        <w:rPr>
          <w:rFonts w:eastAsia="Calibri"/>
          <w:u w:color="000000"/>
          <w:bdr w:val="nil"/>
          <w:lang w:val="en-GB"/>
        </w:rPr>
        <w:t>,</w:t>
      </w:r>
      <w:r w:rsidR="00EC6A26" w:rsidRPr="000269CF">
        <w:rPr>
          <w:rFonts w:eastAsia="Calibri"/>
          <w:u w:color="000000"/>
          <w:bdr w:val="nil"/>
          <w:lang w:val="en-GB"/>
        </w:rPr>
        <w:t xml:space="preserve"> and therefore invite intense regulatory scrutiny over concern for anticompetitive consequences.</w:t>
      </w:r>
    </w:p>
    <w:p w14:paraId="6FFDC742" w14:textId="77777777" w:rsidR="00EC6A26" w:rsidRPr="0062224A" w:rsidRDefault="00EC6A26" w:rsidP="00EC6A26">
      <w:pPr>
        <w:pStyle w:val="BodyTextMain"/>
        <w:rPr>
          <w:rFonts w:eastAsia="Calibri"/>
          <w:u w:color="000000"/>
          <w:bdr w:val="nil"/>
          <w:lang w:val="en-GB"/>
        </w:rPr>
      </w:pPr>
    </w:p>
    <w:p w14:paraId="75D21327" w14:textId="00E7A2AE" w:rsidR="00EC6A26" w:rsidRDefault="00EC6A26" w:rsidP="00EC6A26">
      <w:pPr>
        <w:pStyle w:val="BodyTextMain"/>
        <w:rPr>
          <w:rFonts w:eastAsia="Calibri"/>
          <w:u w:color="000000"/>
          <w:bdr w:val="nil"/>
          <w:lang w:val="en-GB"/>
        </w:rPr>
      </w:pPr>
      <w:r w:rsidRPr="000269CF">
        <w:rPr>
          <w:rFonts w:eastAsia="Calibri"/>
          <w:u w:color="000000"/>
          <w:bdr w:val="nil"/>
          <w:lang w:val="en-GB"/>
        </w:rPr>
        <w:t>Two days after Charter announce</w:t>
      </w:r>
      <w:r w:rsidR="006D346D">
        <w:rPr>
          <w:rFonts w:eastAsia="Calibri"/>
          <w:u w:color="000000"/>
          <w:bdr w:val="nil"/>
          <w:lang w:val="en-GB"/>
        </w:rPr>
        <w:t>d that it was</w:t>
      </w:r>
      <w:r w:rsidRPr="000269CF">
        <w:rPr>
          <w:rFonts w:eastAsia="Calibri"/>
          <w:u w:color="000000"/>
          <w:bdr w:val="nil"/>
          <w:lang w:val="en-GB"/>
        </w:rPr>
        <w:t xml:space="preserve"> nominating its own directors to </w:t>
      </w:r>
      <w:r w:rsidR="006D346D">
        <w:rPr>
          <w:rFonts w:eastAsia="Calibri"/>
          <w:u w:color="000000"/>
          <w:bdr w:val="nil"/>
          <w:lang w:val="en-GB"/>
        </w:rPr>
        <w:t xml:space="preserve">the </w:t>
      </w:r>
      <w:r w:rsidRPr="000269CF">
        <w:rPr>
          <w:rFonts w:eastAsia="Calibri"/>
          <w:u w:color="000000"/>
          <w:bdr w:val="nil"/>
          <w:lang w:val="en-GB"/>
        </w:rPr>
        <w:t xml:space="preserve">TWC board, Comcast made a public and friendly acquisition offer to TWC at a price of more than $158 </w:t>
      </w:r>
      <w:r w:rsidR="006D346D">
        <w:rPr>
          <w:rFonts w:eastAsia="Calibri"/>
          <w:u w:color="000000"/>
          <w:bdr w:val="nil"/>
          <w:lang w:val="en-GB"/>
        </w:rPr>
        <w:t>per</w:t>
      </w:r>
      <w:r w:rsidRPr="000269CF">
        <w:rPr>
          <w:rFonts w:eastAsia="Calibri"/>
          <w:u w:color="000000"/>
          <w:bdr w:val="nil"/>
          <w:lang w:val="en-GB"/>
        </w:rPr>
        <w:t xml:space="preserve"> share, </w:t>
      </w:r>
      <w:r w:rsidR="006D346D">
        <w:rPr>
          <w:rFonts w:eastAsia="Calibri"/>
          <w:u w:color="000000"/>
          <w:bdr w:val="nil"/>
          <w:lang w:val="en-GB"/>
        </w:rPr>
        <w:t xml:space="preserve">thereby </w:t>
      </w:r>
      <w:r w:rsidRPr="000269CF">
        <w:rPr>
          <w:rFonts w:eastAsia="Calibri"/>
          <w:u w:color="000000"/>
          <w:bdr w:val="nil"/>
          <w:lang w:val="en-GB"/>
        </w:rPr>
        <w:t>valuing TWC at $45.2 billion</w:t>
      </w:r>
      <w:r w:rsidR="006D346D">
        <w:rPr>
          <w:rFonts w:eastAsia="Calibri"/>
          <w:u w:color="000000"/>
          <w:bdr w:val="nil"/>
          <w:lang w:val="en-GB"/>
        </w:rPr>
        <w:t>,</w:t>
      </w:r>
      <w:r w:rsidRPr="000269CF">
        <w:rPr>
          <w:rFonts w:eastAsia="Calibri"/>
          <w:u w:color="000000"/>
          <w:bdr w:val="nil"/>
          <w:vertAlign w:val="superscript"/>
          <w:lang w:val="en-GB"/>
        </w:rPr>
        <w:endnoteReference w:id="21"/>
      </w:r>
      <w:r w:rsidRPr="000269CF">
        <w:rPr>
          <w:rFonts w:eastAsia="Calibri"/>
          <w:u w:color="000000"/>
          <w:bdr w:val="nil"/>
          <w:lang w:val="en-GB"/>
        </w:rPr>
        <w:t xml:space="preserve"> </w:t>
      </w:r>
      <w:r w:rsidR="006D346D">
        <w:rPr>
          <w:rFonts w:eastAsia="Calibri"/>
          <w:u w:color="000000"/>
          <w:bdr w:val="nil"/>
          <w:lang w:val="en-GB"/>
        </w:rPr>
        <w:t>a</w:t>
      </w:r>
      <w:r w:rsidRPr="000269CF">
        <w:rPr>
          <w:rFonts w:eastAsia="Calibri"/>
          <w:u w:color="000000"/>
          <w:bdr w:val="nil"/>
          <w:lang w:val="en-GB"/>
        </w:rPr>
        <w:t xml:space="preserve"> price </w:t>
      </w:r>
      <w:r w:rsidR="006D346D">
        <w:rPr>
          <w:rFonts w:eastAsia="Calibri"/>
          <w:u w:color="000000"/>
          <w:bdr w:val="nil"/>
          <w:lang w:val="en-GB"/>
        </w:rPr>
        <w:t xml:space="preserve">that </w:t>
      </w:r>
      <w:r w:rsidRPr="000269CF">
        <w:rPr>
          <w:rFonts w:eastAsia="Calibri"/>
          <w:u w:color="000000"/>
          <w:bdr w:val="nil"/>
          <w:lang w:val="en-GB"/>
        </w:rPr>
        <w:t>was c</w:t>
      </w:r>
      <w:r w:rsidR="006D346D">
        <w:rPr>
          <w:rFonts w:eastAsia="Calibri"/>
          <w:u w:color="000000"/>
          <w:bdr w:val="nil"/>
          <w:lang w:val="en-GB"/>
        </w:rPr>
        <w:t>onsistent</w:t>
      </w:r>
      <w:r w:rsidRPr="000269CF">
        <w:rPr>
          <w:rFonts w:eastAsia="Calibri"/>
          <w:u w:color="000000"/>
          <w:bdr w:val="nil"/>
          <w:lang w:val="en-GB"/>
        </w:rPr>
        <w:t xml:space="preserve"> w</w:t>
      </w:r>
      <w:r w:rsidR="006D346D">
        <w:rPr>
          <w:rFonts w:eastAsia="Calibri"/>
          <w:u w:color="000000"/>
          <w:bdr w:val="nil"/>
          <w:lang w:val="en-GB"/>
        </w:rPr>
        <w:t>it</w:t>
      </w:r>
      <w:r w:rsidRPr="000269CF">
        <w:rPr>
          <w:rFonts w:eastAsia="Calibri"/>
          <w:u w:color="000000"/>
          <w:bdr w:val="nil"/>
          <w:lang w:val="en-GB"/>
        </w:rPr>
        <w:t>h TWC</w:t>
      </w:r>
      <w:r w:rsidR="006D346D">
        <w:rPr>
          <w:rFonts w:eastAsia="Calibri"/>
          <w:u w:color="000000"/>
          <w:bdr w:val="nil"/>
          <w:lang w:val="en-GB"/>
        </w:rPr>
        <w:t>’s</w:t>
      </w:r>
      <w:r w:rsidRPr="000269CF">
        <w:rPr>
          <w:rFonts w:eastAsia="Calibri"/>
          <w:u w:color="000000"/>
          <w:bdr w:val="nil"/>
          <w:lang w:val="en-GB"/>
        </w:rPr>
        <w:t xml:space="preserve"> demand</w:t>
      </w:r>
      <w:r w:rsidR="006D346D">
        <w:rPr>
          <w:rFonts w:eastAsia="Calibri"/>
          <w:u w:color="000000"/>
          <w:bdr w:val="nil"/>
          <w:lang w:val="en-GB"/>
        </w:rPr>
        <w:t>s</w:t>
      </w:r>
      <w:r w:rsidRPr="000269CF">
        <w:rPr>
          <w:rFonts w:eastAsia="Calibri"/>
          <w:u w:color="000000"/>
          <w:bdr w:val="nil"/>
          <w:lang w:val="en-GB"/>
        </w:rPr>
        <w:t xml:space="preserve">. Comcast </w:t>
      </w:r>
      <w:r w:rsidR="006D346D">
        <w:rPr>
          <w:rFonts w:eastAsia="Calibri"/>
          <w:u w:color="000000"/>
          <w:bdr w:val="nil"/>
          <w:lang w:val="en-GB"/>
        </w:rPr>
        <w:t xml:space="preserve">also </w:t>
      </w:r>
      <w:r w:rsidRPr="000269CF">
        <w:rPr>
          <w:rFonts w:eastAsia="Calibri"/>
          <w:u w:color="000000"/>
          <w:bdr w:val="nil"/>
          <w:lang w:val="en-GB"/>
        </w:rPr>
        <w:t xml:space="preserve">proposed divesting </w:t>
      </w:r>
      <w:r w:rsidR="006008A4">
        <w:rPr>
          <w:rFonts w:eastAsia="Calibri"/>
          <w:u w:color="000000"/>
          <w:bdr w:val="nil"/>
          <w:lang w:val="en-GB"/>
        </w:rPr>
        <w:t>three</w:t>
      </w:r>
      <w:r w:rsidRPr="000269CF">
        <w:rPr>
          <w:rFonts w:eastAsia="Calibri"/>
          <w:u w:color="000000"/>
          <w:bdr w:val="nil"/>
          <w:lang w:val="en-GB"/>
        </w:rPr>
        <w:t xml:space="preserve"> million of its cable </w:t>
      </w:r>
      <w:r w:rsidR="006D346D">
        <w:rPr>
          <w:rFonts w:eastAsia="Calibri"/>
          <w:u w:color="000000"/>
          <w:bdr w:val="nil"/>
          <w:lang w:val="en-GB"/>
        </w:rPr>
        <w:t>television</w:t>
      </w:r>
      <w:r w:rsidRPr="000269CF">
        <w:rPr>
          <w:rFonts w:eastAsia="Calibri"/>
          <w:u w:color="000000"/>
          <w:bdr w:val="nil"/>
          <w:lang w:val="en-GB"/>
        </w:rPr>
        <w:t xml:space="preserve"> subscribers to keep its market share low enough to avoid regulatory challenges. </w:t>
      </w:r>
      <w:r w:rsidR="006D346D">
        <w:rPr>
          <w:rFonts w:eastAsia="Calibri"/>
          <w:u w:color="000000"/>
          <w:bdr w:val="nil"/>
          <w:lang w:val="en-GB"/>
        </w:rPr>
        <w:t xml:space="preserve">According to </w:t>
      </w:r>
      <w:r w:rsidRPr="000269CF">
        <w:rPr>
          <w:rFonts w:eastAsia="Calibri"/>
          <w:u w:color="000000"/>
          <w:bdr w:val="nil"/>
          <w:lang w:val="en-GB"/>
        </w:rPr>
        <w:t>Comcast</w:t>
      </w:r>
      <w:r w:rsidR="006D346D">
        <w:rPr>
          <w:rFonts w:eastAsia="Calibri"/>
          <w:u w:color="000000"/>
          <w:bdr w:val="nil"/>
          <w:lang w:val="en-GB"/>
        </w:rPr>
        <w:t>,</w:t>
      </w:r>
      <w:r w:rsidRPr="000269CF">
        <w:rPr>
          <w:rFonts w:eastAsia="Calibri"/>
          <w:u w:color="000000"/>
          <w:bdr w:val="nil"/>
          <w:lang w:val="en-GB"/>
        </w:rPr>
        <w:t xml:space="preserve"> the two companies’ subscriber base did not overlap</w:t>
      </w:r>
      <w:r w:rsidR="006D346D">
        <w:rPr>
          <w:rFonts w:eastAsia="Calibri"/>
          <w:u w:color="000000"/>
          <w:bdr w:val="nil"/>
          <w:lang w:val="en-GB"/>
        </w:rPr>
        <w:t xml:space="preserve"> geographically</w:t>
      </w:r>
      <w:r w:rsidRPr="000269CF">
        <w:rPr>
          <w:rFonts w:eastAsia="Calibri"/>
          <w:u w:color="000000"/>
          <w:bdr w:val="nil"/>
          <w:lang w:val="en-GB"/>
        </w:rPr>
        <w:t>, implying that the merger would not reduce competition within their respective markets. Additionally, TWC subscribers would benefit from Comcast’s more advanced video technologies</w:t>
      </w:r>
      <w:r w:rsidR="006D346D">
        <w:rPr>
          <w:rFonts w:eastAsia="Calibri"/>
          <w:u w:color="000000"/>
          <w:bdr w:val="nil"/>
          <w:lang w:val="en-GB"/>
        </w:rPr>
        <w:t>, including</w:t>
      </w:r>
      <w:r w:rsidRPr="000269CF">
        <w:rPr>
          <w:rFonts w:eastAsia="Calibri"/>
          <w:u w:color="000000"/>
          <w:bdr w:val="nil"/>
          <w:lang w:val="en-GB"/>
        </w:rPr>
        <w:t xml:space="preserve"> </w:t>
      </w:r>
      <w:r w:rsidR="006D346D">
        <w:rPr>
          <w:rFonts w:eastAsia="Calibri"/>
          <w:u w:color="000000"/>
          <w:bdr w:val="nil"/>
          <w:lang w:val="en-GB"/>
        </w:rPr>
        <w:t>its</w:t>
      </w:r>
      <w:r w:rsidRPr="000269CF">
        <w:rPr>
          <w:rFonts w:eastAsia="Calibri"/>
          <w:u w:color="000000"/>
          <w:bdr w:val="nil"/>
          <w:lang w:val="en-GB"/>
        </w:rPr>
        <w:t xml:space="preserve"> X1 Entertainment Operating System, video-on-demand platform, higher </w:t>
      </w:r>
      <w:r w:rsidR="006D346D">
        <w:rPr>
          <w:rFonts w:eastAsia="Calibri"/>
          <w:u w:color="000000"/>
          <w:bdr w:val="nil"/>
          <w:lang w:val="en-GB"/>
        </w:rPr>
        <w:t>I</w:t>
      </w:r>
      <w:r w:rsidRPr="000269CF">
        <w:rPr>
          <w:rFonts w:eastAsia="Calibri"/>
          <w:u w:color="000000"/>
          <w:bdr w:val="nil"/>
          <w:lang w:val="en-GB"/>
        </w:rPr>
        <w:t>nternet speeds</w:t>
      </w:r>
      <w:r w:rsidR="006D346D">
        <w:rPr>
          <w:rFonts w:eastAsia="Calibri"/>
          <w:u w:color="000000"/>
          <w:bdr w:val="nil"/>
          <w:lang w:val="en-GB"/>
        </w:rPr>
        <w:t>,</w:t>
      </w:r>
      <w:r w:rsidRPr="000269CF">
        <w:rPr>
          <w:rFonts w:eastAsia="Calibri"/>
          <w:u w:color="000000"/>
          <w:bdr w:val="nil"/>
          <w:lang w:val="en-GB"/>
        </w:rPr>
        <w:t xml:space="preserve"> and more streaming choices available on Xfinity </w:t>
      </w:r>
      <w:r w:rsidR="00BE5056">
        <w:rPr>
          <w:rFonts w:eastAsia="Calibri"/>
          <w:u w:color="000000"/>
          <w:bdr w:val="nil"/>
          <w:lang w:val="en-GB"/>
        </w:rPr>
        <w:t>Stream</w:t>
      </w:r>
      <w:r w:rsidRPr="000269CF">
        <w:rPr>
          <w:rFonts w:eastAsia="Calibri"/>
          <w:u w:color="000000"/>
          <w:bdr w:val="nil"/>
          <w:lang w:val="en-GB"/>
        </w:rPr>
        <w:t>. TWC accepted the offer</w:t>
      </w:r>
      <w:r w:rsidR="00D4441B">
        <w:rPr>
          <w:rFonts w:eastAsia="Calibri"/>
          <w:u w:color="000000"/>
          <w:bdr w:val="nil"/>
          <w:lang w:val="en-GB"/>
        </w:rPr>
        <w:t>,</w:t>
      </w:r>
      <w:r w:rsidRPr="000269CF">
        <w:rPr>
          <w:rFonts w:eastAsia="Calibri"/>
          <w:u w:color="000000"/>
          <w:bdr w:val="nil"/>
          <w:lang w:val="en-GB"/>
        </w:rPr>
        <w:t xml:space="preserve"> announcing that it was a compelling financial and strategic transaction for its shareholders. In the Comcast deal, TWC shareholders would receive $158.82 </w:t>
      </w:r>
      <w:r w:rsidR="00BE5056">
        <w:rPr>
          <w:rFonts w:eastAsia="Calibri"/>
          <w:u w:color="000000"/>
          <w:bdr w:val="nil"/>
          <w:lang w:val="en-GB"/>
        </w:rPr>
        <w:t>per</w:t>
      </w:r>
      <w:r w:rsidRPr="000269CF">
        <w:rPr>
          <w:rFonts w:eastAsia="Calibri"/>
          <w:u w:color="000000"/>
          <w:bdr w:val="nil"/>
          <w:lang w:val="en-GB"/>
        </w:rPr>
        <w:t xml:space="preserve"> share, a much higher price than Charter’s </w:t>
      </w:r>
      <w:r w:rsidR="00BE5056">
        <w:rPr>
          <w:rFonts w:eastAsia="Calibri"/>
          <w:u w:color="000000"/>
          <w:bdr w:val="nil"/>
          <w:lang w:val="en-GB"/>
        </w:rPr>
        <w:t>most recent</w:t>
      </w:r>
      <w:r w:rsidRPr="000269CF">
        <w:rPr>
          <w:rFonts w:eastAsia="Calibri"/>
          <w:u w:color="000000"/>
          <w:bdr w:val="nil"/>
          <w:lang w:val="en-GB"/>
        </w:rPr>
        <w:t xml:space="preserve"> offer of $132.50. Comcast’s bid </w:t>
      </w:r>
      <w:r w:rsidR="00BE5056">
        <w:rPr>
          <w:rFonts w:eastAsia="Calibri"/>
          <w:u w:color="000000"/>
          <w:bdr w:val="nil"/>
          <w:lang w:val="en-GB"/>
        </w:rPr>
        <w:t xml:space="preserve">essentially </w:t>
      </w:r>
      <w:r w:rsidRPr="000269CF">
        <w:rPr>
          <w:rFonts w:eastAsia="Calibri"/>
          <w:u w:color="000000"/>
          <w:bdr w:val="nil"/>
          <w:lang w:val="en-GB"/>
        </w:rPr>
        <w:t>ended Charter’s pursuit of TWC.</w:t>
      </w:r>
      <w:r w:rsidRPr="000269CF">
        <w:rPr>
          <w:rFonts w:eastAsia="Calibri"/>
          <w:u w:color="000000"/>
          <w:bdr w:val="nil"/>
          <w:vertAlign w:val="superscript"/>
          <w:lang w:val="en-GB"/>
        </w:rPr>
        <w:endnoteReference w:id="22"/>
      </w:r>
    </w:p>
    <w:p w14:paraId="46030AC1" w14:textId="2AF92E95" w:rsidR="00EC6A26" w:rsidRDefault="00EC6A26" w:rsidP="00EC6A26">
      <w:pPr>
        <w:pStyle w:val="Casehead1"/>
        <w:rPr>
          <w:rFonts w:eastAsia="Calibri"/>
          <w:u w:color="000000"/>
          <w:bdr w:val="nil"/>
          <w:lang w:val="en-GB"/>
        </w:rPr>
      </w:pPr>
    </w:p>
    <w:p w14:paraId="1735B9D4" w14:textId="77777777" w:rsidR="00EC6A26" w:rsidRPr="000269CF" w:rsidRDefault="00EC6A26" w:rsidP="00EC6A26">
      <w:pPr>
        <w:pStyle w:val="Casehead1"/>
        <w:rPr>
          <w:rFonts w:eastAsia="Calibri"/>
          <w:u w:color="000000"/>
          <w:bdr w:val="nil"/>
          <w:lang w:val="en-GB"/>
        </w:rPr>
      </w:pPr>
      <w:r w:rsidRPr="000269CF">
        <w:rPr>
          <w:rFonts w:eastAsia="Calibri"/>
          <w:u w:color="000000"/>
          <w:bdr w:val="nil"/>
          <w:lang w:val="en-GB"/>
        </w:rPr>
        <w:lastRenderedPageBreak/>
        <w:t>After the Comcast Bid</w:t>
      </w:r>
    </w:p>
    <w:p w14:paraId="170B5FBD" w14:textId="77777777" w:rsidR="00EC6A26" w:rsidRPr="000269CF" w:rsidRDefault="00EC6A26" w:rsidP="00EC6A26">
      <w:pPr>
        <w:pStyle w:val="BodyTextMain"/>
        <w:rPr>
          <w:rFonts w:eastAsia="Calibri"/>
          <w:u w:color="000000"/>
          <w:bdr w:val="nil"/>
          <w:lang w:val="en-GB"/>
        </w:rPr>
      </w:pPr>
    </w:p>
    <w:p w14:paraId="1A12CBE3" w14:textId="67F70172" w:rsidR="00582CBE" w:rsidRDefault="008A00FA" w:rsidP="00EC6A26">
      <w:pPr>
        <w:pStyle w:val="BodyTextMain"/>
        <w:rPr>
          <w:rFonts w:eastAsia="Calibri"/>
          <w:color w:val="000000"/>
          <w:u w:color="000000"/>
          <w:bdr w:val="nil"/>
          <w:lang w:val="en-GB"/>
        </w:rPr>
      </w:pPr>
      <w:r>
        <w:rPr>
          <w:rFonts w:eastAsia="Calibri"/>
          <w:color w:val="000000"/>
          <w:u w:color="000000"/>
          <w:bdr w:val="nil"/>
          <w:lang w:val="en-GB"/>
        </w:rPr>
        <w:t xml:space="preserve">After TWC accepted the offer, </w:t>
      </w:r>
      <w:r w:rsidR="00EC6A26" w:rsidRPr="000269CF">
        <w:rPr>
          <w:rFonts w:eastAsia="Calibri"/>
          <w:color w:val="000000"/>
          <w:u w:color="000000"/>
          <w:bdr w:val="nil"/>
          <w:lang w:val="en-GB"/>
        </w:rPr>
        <w:t xml:space="preserve">Comcast’s share price decreased </w:t>
      </w:r>
      <w:r>
        <w:rPr>
          <w:rFonts w:eastAsia="Calibri"/>
          <w:color w:val="000000"/>
          <w:u w:color="000000"/>
          <w:bdr w:val="nil"/>
          <w:lang w:val="en-GB"/>
        </w:rPr>
        <w:t xml:space="preserve">by </w:t>
      </w:r>
      <w:r w:rsidR="006008A4">
        <w:rPr>
          <w:rFonts w:eastAsia="Calibri"/>
          <w:color w:val="000000"/>
          <w:u w:color="000000"/>
          <w:bdr w:val="nil"/>
          <w:lang w:val="en-GB"/>
        </w:rPr>
        <w:t>three</w:t>
      </w:r>
      <w:r>
        <w:rPr>
          <w:rFonts w:eastAsia="Calibri"/>
          <w:color w:val="000000"/>
          <w:u w:color="000000"/>
          <w:bdr w:val="nil"/>
          <w:lang w:val="en-GB"/>
        </w:rPr>
        <w:t xml:space="preserve"> per cent</w:t>
      </w:r>
      <w:r w:rsidR="006008A4">
        <w:rPr>
          <w:rFonts w:eastAsia="Calibri"/>
          <w:color w:val="000000"/>
          <w:u w:color="000000"/>
          <w:bdr w:val="nil"/>
          <w:lang w:val="en-GB"/>
        </w:rPr>
        <w:t>,</w:t>
      </w:r>
      <w:r w:rsidR="00EC6A26" w:rsidRPr="000269CF">
        <w:rPr>
          <w:rFonts w:eastAsia="Calibri"/>
          <w:color w:val="000000"/>
          <w:u w:color="000000"/>
          <w:bdr w:val="nil"/>
          <w:lang w:val="en-GB"/>
        </w:rPr>
        <w:t xml:space="preserve"> suggesting </w:t>
      </w:r>
      <w:r w:rsidR="00F274D0">
        <w:rPr>
          <w:rFonts w:eastAsia="Calibri"/>
          <w:color w:val="000000"/>
          <w:u w:color="000000"/>
          <w:bdr w:val="nil"/>
          <w:lang w:val="en-GB"/>
        </w:rPr>
        <w:t xml:space="preserve">that </w:t>
      </w:r>
      <w:r w:rsidR="00EC6A26" w:rsidRPr="000269CF">
        <w:rPr>
          <w:rFonts w:eastAsia="Calibri"/>
          <w:color w:val="000000"/>
          <w:u w:color="000000"/>
          <w:bdr w:val="nil"/>
          <w:lang w:val="en-GB"/>
        </w:rPr>
        <w:t>investors were worried about the deal</w:t>
      </w:r>
      <w:r>
        <w:rPr>
          <w:rFonts w:eastAsia="Calibri"/>
          <w:color w:val="000000"/>
          <w:u w:color="000000"/>
          <w:bdr w:val="nil"/>
          <w:lang w:val="en-GB"/>
        </w:rPr>
        <w:t>’s</w:t>
      </w:r>
      <w:r w:rsidR="00EC6A26" w:rsidRPr="000269CF">
        <w:rPr>
          <w:rFonts w:eastAsia="Calibri"/>
          <w:color w:val="000000"/>
          <w:u w:color="000000"/>
          <w:bdr w:val="nil"/>
          <w:lang w:val="en-GB"/>
        </w:rPr>
        <w:t xml:space="preserve"> regulatory approval</w:t>
      </w:r>
      <w:r>
        <w:rPr>
          <w:rFonts w:eastAsia="Calibri"/>
          <w:color w:val="000000"/>
          <w:u w:color="000000"/>
          <w:bdr w:val="nil"/>
          <w:lang w:val="en-GB"/>
        </w:rPr>
        <w:t xml:space="preserve"> or </w:t>
      </w:r>
      <w:r w:rsidR="00F274D0">
        <w:rPr>
          <w:rFonts w:eastAsia="Calibri"/>
          <w:color w:val="000000"/>
          <w:u w:color="000000"/>
          <w:bdr w:val="nil"/>
          <w:lang w:val="en-GB"/>
        </w:rPr>
        <w:t xml:space="preserve">various </w:t>
      </w:r>
      <w:r>
        <w:rPr>
          <w:rFonts w:eastAsia="Calibri"/>
          <w:color w:val="000000"/>
          <w:u w:color="000000"/>
          <w:bdr w:val="nil"/>
          <w:lang w:val="en-GB"/>
        </w:rPr>
        <w:t>other issues</w:t>
      </w:r>
      <w:r w:rsidR="00EC6A26" w:rsidRPr="000269CF">
        <w:rPr>
          <w:rFonts w:eastAsia="Calibri"/>
          <w:color w:val="000000"/>
          <w:u w:color="000000"/>
          <w:bdr w:val="nil"/>
          <w:lang w:val="en-GB"/>
        </w:rPr>
        <w:t xml:space="preserve">. </w:t>
      </w:r>
      <w:r>
        <w:rPr>
          <w:rFonts w:eastAsia="Calibri"/>
          <w:color w:val="000000"/>
          <w:u w:color="000000"/>
          <w:bdr w:val="nil"/>
          <w:lang w:val="en-GB"/>
        </w:rPr>
        <w:t xml:space="preserve">Because </w:t>
      </w:r>
      <w:r w:rsidR="00EC6A26" w:rsidRPr="000269CF">
        <w:rPr>
          <w:rFonts w:eastAsia="Calibri"/>
          <w:color w:val="000000"/>
          <w:u w:color="000000"/>
          <w:bdr w:val="nil"/>
          <w:lang w:val="en-GB"/>
        </w:rPr>
        <w:t>Comcast owne</w:t>
      </w:r>
      <w:r>
        <w:rPr>
          <w:rFonts w:eastAsia="Calibri"/>
          <w:color w:val="000000"/>
          <w:u w:color="000000"/>
          <w:bdr w:val="nil"/>
          <w:lang w:val="en-GB"/>
        </w:rPr>
        <w:t>d</w:t>
      </w:r>
      <w:r w:rsidR="00EC6A26" w:rsidRPr="000269CF">
        <w:rPr>
          <w:rFonts w:eastAsia="Calibri"/>
          <w:color w:val="000000"/>
          <w:u w:color="000000"/>
          <w:bdr w:val="nil"/>
          <w:lang w:val="en-GB"/>
        </w:rPr>
        <w:t xml:space="preserve"> broadcast and cable </w:t>
      </w:r>
      <w:r>
        <w:rPr>
          <w:rFonts w:eastAsia="Calibri"/>
          <w:color w:val="000000"/>
          <w:u w:color="000000"/>
          <w:bdr w:val="nil"/>
          <w:lang w:val="en-GB"/>
        </w:rPr>
        <w:t>television</w:t>
      </w:r>
      <w:r w:rsidR="00EC6A26" w:rsidRPr="000269CF">
        <w:rPr>
          <w:rFonts w:eastAsia="Calibri"/>
          <w:color w:val="000000"/>
          <w:u w:color="000000"/>
          <w:bdr w:val="nil"/>
          <w:lang w:val="en-GB"/>
        </w:rPr>
        <w:t xml:space="preserve"> networks and film studios</w:t>
      </w:r>
      <w:r>
        <w:rPr>
          <w:rFonts w:eastAsia="Calibri"/>
          <w:color w:val="000000"/>
          <w:u w:color="000000"/>
          <w:bdr w:val="nil"/>
          <w:lang w:val="en-GB"/>
        </w:rPr>
        <w:t>, the deal</w:t>
      </w:r>
      <w:r w:rsidR="00EC6A26" w:rsidRPr="000269CF">
        <w:rPr>
          <w:rFonts w:eastAsia="Calibri"/>
          <w:color w:val="000000"/>
          <w:u w:color="000000"/>
          <w:bdr w:val="nil"/>
          <w:lang w:val="en-GB"/>
        </w:rPr>
        <w:t xml:space="preserve"> would be </w:t>
      </w:r>
      <w:r w:rsidR="00F274D0">
        <w:rPr>
          <w:rFonts w:eastAsia="Calibri"/>
          <w:color w:val="000000"/>
          <w:u w:color="000000"/>
          <w:bdr w:val="nil"/>
          <w:lang w:val="en-GB"/>
        </w:rPr>
        <w:t>a</w:t>
      </w:r>
      <w:r w:rsidR="00EC6A26" w:rsidRPr="000269CF">
        <w:rPr>
          <w:rFonts w:eastAsia="Calibri"/>
          <w:color w:val="000000"/>
          <w:u w:color="000000"/>
          <w:bdr w:val="nil"/>
          <w:lang w:val="en-GB"/>
        </w:rPr>
        <w:t xml:space="preserve"> concern to the </w:t>
      </w:r>
      <w:r>
        <w:rPr>
          <w:rFonts w:eastAsia="Calibri"/>
          <w:color w:val="000000"/>
          <w:u w:color="000000"/>
          <w:bdr w:val="nil"/>
          <w:lang w:val="en-GB"/>
        </w:rPr>
        <w:t xml:space="preserve">U.S. </w:t>
      </w:r>
      <w:r w:rsidR="00EC6A26" w:rsidRPr="000269CF">
        <w:rPr>
          <w:rFonts w:eastAsia="Calibri"/>
          <w:color w:val="000000"/>
          <w:u w:color="000000"/>
          <w:bdr w:val="nil"/>
          <w:lang w:val="en-GB"/>
        </w:rPr>
        <w:t xml:space="preserve">Department of Justice (DOJ) and </w:t>
      </w:r>
      <w:r w:rsidR="00C64BEA">
        <w:rPr>
          <w:rFonts w:eastAsia="Calibri"/>
          <w:color w:val="000000"/>
          <w:u w:color="000000"/>
          <w:bdr w:val="nil"/>
          <w:lang w:val="en-GB"/>
        </w:rPr>
        <w:t xml:space="preserve">the </w:t>
      </w:r>
      <w:r w:rsidR="00EC6A26" w:rsidRPr="000269CF">
        <w:rPr>
          <w:rFonts w:eastAsia="Calibri"/>
          <w:color w:val="000000"/>
          <w:u w:color="000000"/>
          <w:bdr w:val="nil"/>
          <w:lang w:val="en-GB"/>
        </w:rPr>
        <w:t>FCC</w:t>
      </w:r>
      <w:r w:rsidR="00C64BEA">
        <w:rPr>
          <w:rFonts w:eastAsia="Calibri"/>
          <w:color w:val="000000"/>
          <w:u w:color="000000"/>
          <w:bdr w:val="nil"/>
          <w:lang w:val="en-GB"/>
        </w:rPr>
        <w:t>,</w:t>
      </w:r>
      <w:r w:rsidR="00EC6A26" w:rsidRPr="000269CF">
        <w:rPr>
          <w:rFonts w:eastAsia="Calibri"/>
          <w:color w:val="000000"/>
          <w:u w:color="000000"/>
          <w:bdr w:val="nil"/>
          <w:lang w:val="en-GB"/>
        </w:rPr>
        <w:t xml:space="preserve"> both of which had to approve the acquisition proposal. </w:t>
      </w:r>
      <w:r w:rsidR="00582CBE">
        <w:rPr>
          <w:rFonts w:eastAsia="Calibri"/>
          <w:color w:val="000000"/>
          <w:u w:color="000000"/>
          <w:bdr w:val="nil"/>
          <w:lang w:val="en-GB"/>
        </w:rPr>
        <w:t>T</w:t>
      </w:r>
      <w:r w:rsidR="00EC6A26" w:rsidRPr="000269CF">
        <w:rPr>
          <w:rFonts w:eastAsia="Calibri"/>
          <w:color w:val="000000"/>
          <w:u w:color="000000"/>
          <w:bdr w:val="nil"/>
          <w:lang w:val="en-GB"/>
        </w:rPr>
        <w:t xml:space="preserve">he usual </w:t>
      </w:r>
      <w:r w:rsidR="006008A4">
        <w:rPr>
          <w:rFonts w:eastAsia="Calibri"/>
          <w:color w:val="000000"/>
          <w:u w:color="000000"/>
          <w:bdr w:val="nil"/>
          <w:lang w:val="en-GB"/>
        </w:rPr>
        <w:t>three</w:t>
      </w:r>
      <w:r w:rsidR="00582CBE">
        <w:rPr>
          <w:rFonts w:eastAsia="Calibri"/>
          <w:color w:val="000000"/>
          <w:u w:color="000000"/>
          <w:bdr w:val="nil"/>
          <w:lang w:val="en-GB"/>
        </w:rPr>
        <w:t xml:space="preserve"> per cent</w:t>
      </w:r>
      <w:r w:rsidR="00EC6A26" w:rsidRPr="000269CF">
        <w:rPr>
          <w:rFonts w:eastAsia="Calibri"/>
          <w:color w:val="000000"/>
          <w:u w:color="000000"/>
          <w:bdr w:val="nil"/>
          <w:lang w:val="en-GB"/>
        </w:rPr>
        <w:t xml:space="preserve"> breakup fee </w:t>
      </w:r>
      <w:r w:rsidR="00582CBE">
        <w:rPr>
          <w:rFonts w:eastAsia="Calibri"/>
          <w:color w:val="000000"/>
          <w:u w:color="000000"/>
          <w:bdr w:val="nil"/>
          <w:lang w:val="en-GB"/>
        </w:rPr>
        <w:t>was missing from this</w:t>
      </w:r>
      <w:r w:rsidR="00EC6A26" w:rsidRPr="000269CF">
        <w:rPr>
          <w:rFonts w:eastAsia="Calibri"/>
          <w:color w:val="000000"/>
          <w:u w:color="000000"/>
          <w:bdr w:val="nil"/>
          <w:lang w:val="en-GB"/>
        </w:rPr>
        <w:t xml:space="preserve"> bid</w:t>
      </w:r>
      <w:r w:rsidR="00582CBE">
        <w:rPr>
          <w:rFonts w:eastAsia="Calibri"/>
          <w:color w:val="000000"/>
          <w:u w:color="000000"/>
          <w:bdr w:val="nil"/>
          <w:lang w:val="en-GB"/>
        </w:rPr>
        <w:t xml:space="preserve">, which </w:t>
      </w:r>
      <w:r w:rsidR="00F274D0">
        <w:rPr>
          <w:rFonts w:eastAsia="Calibri"/>
          <w:color w:val="000000"/>
          <w:u w:color="000000"/>
          <w:bdr w:val="nil"/>
          <w:lang w:val="en-GB"/>
        </w:rPr>
        <w:t xml:space="preserve">some </w:t>
      </w:r>
      <w:r w:rsidR="00582CBE">
        <w:rPr>
          <w:rFonts w:eastAsia="Calibri"/>
          <w:color w:val="000000"/>
          <w:u w:color="000000"/>
          <w:bdr w:val="nil"/>
          <w:lang w:val="en-GB"/>
        </w:rPr>
        <w:t>investors interpret</w:t>
      </w:r>
      <w:r w:rsidR="00F274D0">
        <w:rPr>
          <w:rFonts w:eastAsia="Calibri"/>
          <w:color w:val="000000"/>
          <w:u w:color="000000"/>
          <w:bdr w:val="nil"/>
          <w:lang w:val="en-GB"/>
        </w:rPr>
        <w:t>ed</w:t>
      </w:r>
      <w:r w:rsidR="00EC6A26" w:rsidRPr="000269CF">
        <w:rPr>
          <w:rFonts w:eastAsia="Calibri"/>
          <w:color w:val="000000"/>
          <w:u w:color="000000"/>
          <w:bdr w:val="nil"/>
          <w:lang w:val="en-GB"/>
        </w:rPr>
        <w:t xml:space="preserve"> as a sign that both companies </w:t>
      </w:r>
      <w:r w:rsidR="00582CBE">
        <w:rPr>
          <w:rFonts w:eastAsia="Calibri"/>
          <w:color w:val="000000"/>
          <w:u w:color="000000"/>
          <w:bdr w:val="nil"/>
          <w:lang w:val="en-GB"/>
        </w:rPr>
        <w:t>expected</w:t>
      </w:r>
      <w:r w:rsidR="00EC6A26" w:rsidRPr="000269CF">
        <w:rPr>
          <w:rFonts w:eastAsia="Calibri"/>
          <w:color w:val="000000"/>
          <w:u w:color="000000"/>
          <w:bdr w:val="nil"/>
          <w:lang w:val="en-GB"/>
        </w:rPr>
        <w:t xml:space="preserve"> significant risks in the regulatory approval process.</w:t>
      </w:r>
      <w:r w:rsidR="00EC6A26" w:rsidRPr="000269CF">
        <w:rPr>
          <w:rFonts w:eastAsia="Calibri"/>
          <w:color w:val="000000"/>
          <w:u w:color="000000"/>
          <w:bdr w:val="nil"/>
          <w:vertAlign w:val="superscript"/>
          <w:lang w:val="en-GB"/>
        </w:rPr>
        <w:endnoteReference w:id="23"/>
      </w:r>
      <w:r w:rsidR="00EC6A26" w:rsidRPr="000269CF">
        <w:rPr>
          <w:rFonts w:eastAsia="Calibri"/>
          <w:color w:val="000000"/>
          <w:u w:color="000000"/>
          <w:bdr w:val="nil"/>
          <w:lang w:val="en-GB"/>
        </w:rPr>
        <w:t xml:space="preserve"> A</w:t>
      </w:r>
      <w:r w:rsidR="00582CBE">
        <w:rPr>
          <w:rFonts w:eastAsia="Calibri"/>
          <w:color w:val="000000"/>
          <w:u w:color="000000"/>
          <w:bdr w:val="nil"/>
          <w:lang w:val="en-GB"/>
        </w:rPr>
        <w:t>fter approval of the</w:t>
      </w:r>
      <w:r w:rsidR="00F274D0">
        <w:rPr>
          <w:rFonts w:eastAsia="Calibri"/>
          <w:color w:val="000000"/>
          <w:u w:color="000000"/>
          <w:bdr w:val="nil"/>
          <w:lang w:val="en-GB"/>
        </w:rPr>
        <w:t xml:space="preserve"> </w:t>
      </w:r>
      <w:r w:rsidR="00EC6A26" w:rsidRPr="000269CF">
        <w:rPr>
          <w:rFonts w:eastAsia="Calibri"/>
          <w:color w:val="000000"/>
          <w:u w:color="000000"/>
          <w:bdr w:val="nil"/>
          <w:lang w:val="en-GB"/>
        </w:rPr>
        <w:t>merger</w:t>
      </w:r>
      <w:r w:rsidR="00582CBE">
        <w:rPr>
          <w:rFonts w:eastAsia="Calibri"/>
          <w:color w:val="000000"/>
          <w:u w:color="000000"/>
          <w:bdr w:val="nil"/>
          <w:lang w:val="en-GB"/>
        </w:rPr>
        <w:t>,</w:t>
      </w:r>
      <w:r w:rsidR="00EC6A26" w:rsidRPr="000269CF">
        <w:rPr>
          <w:rFonts w:eastAsia="Calibri"/>
          <w:color w:val="000000"/>
          <w:u w:color="000000"/>
          <w:bdr w:val="nil"/>
          <w:lang w:val="en-GB"/>
        </w:rPr>
        <w:t xml:space="preserve"> Comcast would capture 30</w:t>
      </w:r>
      <w:r w:rsidR="00582CBE">
        <w:rPr>
          <w:rFonts w:eastAsia="Calibri"/>
          <w:color w:val="000000"/>
          <w:u w:color="000000"/>
          <w:bdr w:val="nil"/>
          <w:lang w:val="en-GB"/>
        </w:rPr>
        <w:t xml:space="preserve"> per cent</w:t>
      </w:r>
      <w:r w:rsidR="00EC6A26" w:rsidRPr="000269CF">
        <w:rPr>
          <w:rFonts w:eastAsia="Calibri"/>
          <w:color w:val="000000"/>
          <w:u w:color="000000"/>
          <w:bdr w:val="nil"/>
          <w:lang w:val="en-GB"/>
        </w:rPr>
        <w:t xml:space="preserve"> of cable subscribers in the top urban cable markets and control 40</w:t>
      </w:r>
      <w:r w:rsidR="00582CBE">
        <w:rPr>
          <w:rFonts w:eastAsia="Calibri"/>
          <w:color w:val="000000"/>
          <w:u w:color="000000"/>
          <w:bdr w:val="nil"/>
          <w:lang w:val="en-GB"/>
        </w:rPr>
        <w:t xml:space="preserve"> per cent</w:t>
      </w:r>
      <w:r w:rsidR="00EC6A26" w:rsidRPr="000269CF">
        <w:rPr>
          <w:rFonts w:eastAsia="Calibri"/>
          <w:color w:val="000000"/>
          <w:u w:color="000000"/>
          <w:bdr w:val="nil"/>
          <w:lang w:val="en-GB"/>
        </w:rPr>
        <w:t xml:space="preserve"> or more of the </w:t>
      </w:r>
      <w:r w:rsidR="00582CBE">
        <w:rPr>
          <w:rFonts w:eastAsia="Calibri"/>
          <w:color w:val="000000"/>
          <w:u w:color="000000"/>
          <w:bdr w:val="nil"/>
          <w:lang w:val="en-GB"/>
        </w:rPr>
        <w:t>fast-growing</w:t>
      </w:r>
      <w:r w:rsidR="00EC6A26" w:rsidRPr="000269CF">
        <w:rPr>
          <w:rFonts w:eastAsia="Calibri"/>
          <w:color w:val="000000"/>
          <w:u w:color="000000"/>
          <w:bdr w:val="nil"/>
          <w:lang w:val="en-GB"/>
        </w:rPr>
        <w:t xml:space="preserve"> high-speed </w:t>
      </w:r>
      <w:r w:rsidR="00582CBE">
        <w:rPr>
          <w:rFonts w:eastAsia="Calibri"/>
          <w:color w:val="000000"/>
          <w:u w:color="000000"/>
          <w:bdr w:val="nil"/>
          <w:lang w:val="en-GB"/>
        </w:rPr>
        <w:t>I</w:t>
      </w:r>
      <w:r w:rsidR="00EC6A26" w:rsidRPr="000269CF">
        <w:rPr>
          <w:rFonts w:eastAsia="Calibri"/>
          <w:color w:val="000000"/>
          <w:u w:color="000000"/>
          <w:bdr w:val="nil"/>
          <w:lang w:val="en-GB"/>
        </w:rPr>
        <w:t>nternet market.</w:t>
      </w:r>
      <w:r w:rsidR="00F87367">
        <w:rPr>
          <w:rStyle w:val="EndnoteReference"/>
          <w:rFonts w:eastAsia="Calibri"/>
          <w:color w:val="000000"/>
          <w:u w:color="000000"/>
          <w:bdr w:val="nil"/>
          <w:lang w:val="en-GB"/>
        </w:rPr>
        <w:endnoteReference w:id="24"/>
      </w:r>
      <w:r w:rsidR="00EC6A26" w:rsidRPr="000269CF">
        <w:rPr>
          <w:rFonts w:eastAsia="Calibri"/>
          <w:color w:val="000000"/>
          <w:u w:color="000000"/>
          <w:bdr w:val="nil"/>
          <w:lang w:val="en-GB"/>
        </w:rPr>
        <w:t xml:space="preserve"> </w:t>
      </w:r>
    </w:p>
    <w:p w14:paraId="3C2C9C99" w14:textId="77777777" w:rsidR="00582CBE" w:rsidRDefault="00582CBE" w:rsidP="00EC6A26">
      <w:pPr>
        <w:pStyle w:val="BodyTextMain"/>
        <w:rPr>
          <w:rFonts w:eastAsia="Calibri"/>
          <w:color w:val="000000"/>
          <w:u w:color="000000"/>
          <w:bdr w:val="nil"/>
          <w:lang w:val="en-GB"/>
        </w:rPr>
      </w:pPr>
    </w:p>
    <w:p w14:paraId="0326BAD5" w14:textId="79D86523" w:rsidR="00EC6A26" w:rsidRPr="000269CF" w:rsidRDefault="00582CBE" w:rsidP="00EC6A26">
      <w:pPr>
        <w:pStyle w:val="BodyTextMain"/>
        <w:rPr>
          <w:rFonts w:eastAsia="Calibri"/>
          <w:color w:val="000000"/>
          <w:u w:color="000000"/>
          <w:bdr w:val="nil"/>
          <w:lang w:val="en-GB"/>
        </w:rPr>
      </w:pPr>
      <w:r>
        <w:rPr>
          <w:rFonts w:eastAsia="Calibri"/>
          <w:color w:val="000000"/>
          <w:u w:color="000000"/>
          <w:bdr w:val="nil"/>
          <w:lang w:val="en-GB"/>
        </w:rPr>
        <w:t>At the time,</w:t>
      </w:r>
      <w:r w:rsidR="00EC6A26" w:rsidRPr="000269CF">
        <w:rPr>
          <w:rFonts w:eastAsia="Calibri"/>
          <w:color w:val="000000"/>
          <w:u w:color="000000"/>
          <w:bdr w:val="nil"/>
          <w:lang w:val="en-GB"/>
        </w:rPr>
        <w:t xml:space="preserve"> satellite </w:t>
      </w:r>
      <w:r>
        <w:rPr>
          <w:rFonts w:eastAsia="Calibri"/>
          <w:color w:val="000000"/>
          <w:u w:color="000000"/>
          <w:bdr w:val="nil"/>
          <w:lang w:val="en-GB"/>
        </w:rPr>
        <w:t>television</w:t>
      </w:r>
      <w:r w:rsidR="00EC6A26" w:rsidRPr="000269CF">
        <w:rPr>
          <w:rFonts w:eastAsia="Calibri"/>
          <w:color w:val="000000"/>
          <w:u w:color="000000"/>
          <w:bdr w:val="nil"/>
          <w:lang w:val="en-GB"/>
        </w:rPr>
        <w:t xml:space="preserve"> companies</w:t>
      </w:r>
      <w:r>
        <w:rPr>
          <w:rFonts w:eastAsia="Calibri"/>
          <w:color w:val="000000"/>
          <w:u w:color="000000"/>
          <w:bdr w:val="nil"/>
          <w:lang w:val="en-GB"/>
        </w:rPr>
        <w:t xml:space="preserve"> such as</w:t>
      </w:r>
      <w:r w:rsidR="00EC6A26" w:rsidRPr="000269CF">
        <w:rPr>
          <w:rFonts w:eastAsia="Calibri"/>
          <w:color w:val="000000"/>
          <w:u w:color="000000"/>
          <w:bdr w:val="nil"/>
          <w:lang w:val="en-GB"/>
        </w:rPr>
        <w:t xml:space="preserve"> DirecTV and Dish </w:t>
      </w:r>
      <w:r>
        <w:rPr>
          <w:rFonts w:eastAsia="Calibri"/>
          <w:color w:val="000000"/>
          <w:u w:color="000000"/>
          <w:bdr w:val="nil"/>
          <w:lang w:val="en-GB"/>
        </w:rPr>
        <w:t>we</w:t>
      </w:r>
      <w:r w:rsidR="00F274D0">
        <w:rPr>
          <w:rFonts w:eastAsia="Calibri"/>
          <w:color w:val="000000"/>
          <w:u w:color="000000"/>
          <w:bdr w:val="nil"/>
          <w:lang w:val="en-GB"/>
        </w:rPr>
        <w:t>re</w:t>
      </w:r>
      <w:r w:rsidR="00EC6A26" w:rsidRPr="000269CF">
        <w:rPr>
          <w:rFonts w:eastAsia="Calibri"/>
          <w:color w:val="000000"/>
          <w:u w:color="000000"/>
          <w:bdr w:val="nil"/>
          <w:lang w:val="en-GB"/>
        </w:rPr>
        <w:t xml:space="preserve"> not </w:t>
      </w:r>
      <w:r>
        <w:rPr>
          <w:rFonts w:eastAsia="Calibri"/>
          <w:color w:val="000000"/>
          <w:u w:color="000000"/>
          <w:bdr w:val="nil"/>
          <w:lang w:val="en-GB"/>
        </w:rPr>
        <w:t xml:space="preserve">yet able to </w:t>
      </w:r>
      <w:r w:rsidR="00EC6A26" w:rsidRPr="000269CF">
        <w:rPr>
          <w:rFonts w:eastAsia="Calibri"/>
          <w:color w:val="000000"/>
          <w:u w:color="000000"/>
          <w:bdr w:val="nil"/>
          <w:lang w:val="en-GB"/>
        </w:rPr>
        <w:t>offer high</w:t>
      </w:r>
      <w:r>
        <w:rPr>
          <w:rFonts w:eastAsia="Calibri"/>
          <w:color w:val="000000"/>
          <w:u w:color="000000"/>
          <w:bdr w:val="nil"/>
          <w:lang w:val="en-GB"/>
        </w:rPr>
        <w:t>-</w:t>
      </w:r>
      <w:r w:rsidR="00EC6A26" w:rsidRPr="000269CF">
        <w:rPr>
          <w:rFonts w:eastAsia="Calibri"/>
          <w:color w:val="000000"/>
          <w:u w:color="000000"/>
          <w:bdr w:val="nil"/>
          <w:lang w:val="en-GB"/>
        </w:rPr>
        <w:t xml:space="preserve">speed </w:t>
      </w:r>
      <w:r>
        <w:rPr>
          <w:rFonts w:eastAsia="Calibri"/>
          <w:color w:val="000000"/>
          <w:u w:color="000000"/>
          <w:bdr w:val="nil"/>
          <w:lang w:val="en-GB"/>
        </w:rPr>
        <w:t>I</w:t>
      </w:r>
      <w:r w:rsidR="00EC6A26" w:rsidRPr="000269CF">
        <w:rPr>
          <w:rFonts w:eastAsia="Calibri"/>
          <w:color w:val="000000"/>
          <w:u w:color="000000"/>
          <w:bdr w:val="nil"/>
          <w:lang w:val="en-GB"/>
        </w:rPr>
        <w:t>nternet connections</w:t>
      </w:r>
      <w:r w:rsidR="00F274D0">
        <w:rPr>
          <w:rFonts w:eastAsia="Calibri"/>
          <w:color w:val="000000"/>
          <w:u w:color="000000"/>
          <w:bdr w:val="nil"/>
          <w:lang w:val="en-GB"/>
        </w:rPr>
        <w:t>.</w:t>
      </w:r>
      <w:r>
        <w:rPr>
          <w:rFonts w:eastAsia="Calibri"/>
          <w:color w:val="000000"/>
          <w:u w:color="000000"/>
          <w:bdr w:val="nil"/>
          <w:lang w:val="en-GB"/>
        </w:rPr>
        <w:t xml:space="preserve"> In addition,</w:t>
      </w:r>
      <w:r w:rsidR="00EC6A26" w:rsidRPr="000269CF">
        <w:rPr>
          <w:rFonts w:eastAsia="Calibri"/>
          <w:color w:val="000000"/>
          <w:u w:color="000000"/>
          <w:bdr w:val="nil"/>
          <w:lang w:val="en-GB"/>
        </w:rPr>
        <w:t xml:space="preserve"> </w:t>
      </w:r>
      <w:r>
        <w:rPr>
          <w:rFonts w:eastAsia="Calibri"/>
          <w:color w:val="000000"/>
          <w:u w:color="000000"/>
          <w:bdr w:val="nil"/>
          <w:lang w:val="en-GB"/>
        </w:rPr>
        <w:t xml:space="preserve">the </w:t>
      </w:r>
      <w:r w:rsidR="00EC6A26" w:rsidRPr="000269CF">
        <w:rPr>
          <w:rFonts w:eastAsia="Calibri"/>
          <w:color w:val="000000"/>
          <w:u w:color="000000"/>
          <w:bdr w:val="nil"/>
          <w:lang w:val="en-GB"/>
        </w:rPr>
        <w:t xml:space="preserve">wireless telecom companies </w:t>
      </w:r>
      <w:r>
        <w:rPr>
          <w:rFonts w:eastAsia="Calibri"/>
          <w:color w:val="000000"/>
          <w:u w:color="000000"/>
          <w:bdr w:val="nil"/>
          <w:lang w:val="en-GB"/>
        </w:rPr>
        <w:t>that</w:t>
      </w:r>
      <w:r w:rsidR="00EC6A26" w:rsidRPr="000269CF">
        <w:rPr>
          <w:rFonts w:eastAsia="Calibri"/>
          <w:color w:val="000000"/>
          <w:u w:color="000000"/>
          <w:bdr w:val="nil"/>
          <w:lang w:val="en-GB"/>
        </w:rPr>
        <w:t xml:space="preserve"> provided mobile </w:t>
      </w:r>
      <w:r>
        <w:rPr>
          <w:rFonts w:eastAsia="Calibri"/>
          <w:color w:val="000000"/>
          <w:u w:color="000000"/>
          <w:bdr w:val="nil"/>
          <w:lang w:val="en-GB"/>
        </w:rPr>
        <w:t>I</w:t>
      </w:r>
      <w:r w:rsidR="00EC6A26" w:rsidRPr="000269CF">
        <w:rPr>
          <w:rFonts w:eastAsia="Calibri"/>
          <w:color w:val="000000"/>
          <w:u w:color="000000"/>
          <w:bdr w:val="nil"/>
          <w:lang w:val="en-GB"/>
        </w:rPr>
        <w:t xml:space="preserve">nternet </w:t>
      </w:r>
      <w:r w:rsidR="00B5728A" w:rsidRPr="000269CF">
        <w:rPr>
          <w:rFonts w:eastAsia="Calibri"/>
          <w:color w:val="000000"/>
          <w:u w:color="000000"/>
          <w:bdr w:val="nil"/>
          <w:lang w:val="en-GB"/>
        </w:rPr>
        <w:t>connections</w:t>
      </w:r>
      <w:r>
        <w:rPr>
          <w:rFonts w:eastAsia="Calibri"/>
          <w:color w:val="000000"/>
          <w:u w:color="000000"/>
          <w:bdr w:val="nil"/>
          <w:lang w:val="en-GB"/>
        </w:rPr>
        <w:t xml:space="preserve"> were unable to</w:t>
      </w:r>
      <w:r w:rsidR="00EC6A26" w:rsidRPr="000269CF">
        <w:rPr>
          <w:rFonts w:eastAsia="Calibri"/>
          <w:color w:val="000000"/>
          <w:u w:color="000000"/>
          <w:bdr w:val="nil"/>
          <w:lang w:val="en-GB"/>
        </w:rPr>
        <w:t xml:space="preserve"> match </w:t>
      </w:r>
      <w:r>
        <w:rPr>
          <w:rFonts w:eastAsia="Calibri"/>
          <w:color w:val="000000"/>
          <w:u w:color="000000"/>
          <w:bdr w:val="nil"/>
          <w:lang w:val="en-GB"/>
        </w:rPr>
        <w:t>the</w:t>
      </w:r>
      <w:r w:rsidR="00EC6A26" w:rsidRPr="000269CF">
        <w:rPr>
          <w:rFonts w:eastAsia="Calibri"/>
          <w:color w:val="000000"/>
          <w:u w:color="000000"/>
          <w:bdr w:val="nil"/>
          <w:lang w:val="en-GB"/>
        </w:rPr>
        <w:t xml:space="preserve"> speed of wired broadband connections</w:t>
      </w:r>
      <w:r>
        <w:rPr>
          <w:rFonts w:eastAsia="Calibri"/>
          <w:color w:val="000000"/>
          <w:u w:color="000000"/>
          <w:bdr w:val="nil"/>
          <w:lang w:val="en-GB"/>
        </w:rPr>
        <w:t xml:space="preserve"> that cable television providers were offering</w:t>
      </w:r>
      <w:r w:rsidR="00EC6A26" w:rsidRPr="000269CF">
        <w:rPr>
          <w:rFonts w:eastAsia="Calibri"/>
          <w:color w:val="000000"/>
          <w:u w:color="000000"/>
          <w:bdr w:val="nil"/>
          <w:lang w:val="en-GB"/>
        </w:rPr>
        <w:t xml:space="preserve">. </w:t>
      </w:r>
    </w:p>
    <w:p w14:paraId="7FDA356C" w14:textId="77777777" w:rsidR="00EC6A26" w:rsidRPr="000269CF" w:rsidRDefault="00EC6A26" w:rsidP="00EC6A26">
      <w:pPr>
        <w:pStyle w:val="BodyTextMain"/>
        <w:rPr>
          <w:rFonts w:eastAsia="Calibri"/>
          <w:b/>
          <w:color w:val="000000"/>
          <w:u w:color="000000"/>
          <w:bdr w:val="nil"/>
          <w:lang w:val="en-GB"/>
        </w:rPr>
      </w:pPr>
    </w:p>
    <w:p w14:paraId="32D5C9A4" w14:textId="4737DC52" w:rsidR="007A4563" w:rsidRDefault="00EC6A26" w:rsidP="00EC6A26">
      <w:pPr>
        <w:pStyle w:val="BodyTextMain"/>
        <w:rPr>
          <w:rFonts w:eastAsia="Calibri"/>
          <w:color w:val="000000"/>
          <w:u w:color="000000"/>
          <w:bdr w:val="nil"/>
          <w:lang w:val="en-GB"/>
        </w:rPr>
      </w:pPr>
      <w:r w:rsidRPr="000269CF">
        <w:rPr>
          <w:rFonts w:eastAsia="Calibri"/>
          <w:color w:val="000000"/>
          <w:u w:color="000000"/>
          <w:bdr w:val="nil"/>
          <w:lang w:val="en-GB"/>
        </w:rPr>
        <w:t xml:space="preserve">The news that a potential mega cable provider might emerge from the planned merger worried rival cable </w:t>
      </w:r>
      <w:r w:rsidR="00582CBE">
        <w:rPr>
          <w:rFonts w:eastAsia="Calibri"/>
          <w:color w:val="000000"/>
          <w:u w:color="000000"/>
          <w:bdr w:val="nil"/>
          <w:lang w:val="en-GB"/>
        </w:rPr>
        <w:t>television</w:t>
      </w:r>
      <w:r w:rsidRPr="000269CF">
        <w:rPr>
          <w:rFonts w:eastAsia="Calibri"/>
          <w:color w:val="000000"/>
          <w:u w:color="000000"/>
          <w:bdr w:val="nil"/>
          <w:lang w:val="en-GB"/>
        </w:rPr>
        <w:t xml:space="preserve"> companies</w:t>
      </w:r>
      <w:r w:rsidR="00F274D0">
        <w:rPr>
          <w:rFonts w:eastAsia="Calibri"/>
          <w:color w:val="000000"/>
          <w:u w:color="000000"/>
          <w:bdr w:val="nil"/>
          <w:lang w:val="en-GB"/>
        </w:rPr>
        <w:t>. It also worried</w:t>
      </w:r>
      <w:r w:rsidR="00E35412">
        <w:rPr>
          <w:rFonts w:eastAsia="Calibri"/>
          <w:color w:val="000000"/>
          <w:u w:color="000000"/>
          <w:bdr w:val="nil"/>
          <w:lang w:val="en-GB"/>
        </w:rPr>
        <w:t xml:space="preserve"> </w:t>
      </w:r>
      <w:r w:rsidRPr="000269CF">
        <w:rPr>
          <w:rFonts w:eastAsia="Calibri"/>
          <w:color w:val="000000"/>
          <w:u w:color="000000"/>
          <w:bdr w:val="nil"/>
          <w:lang w:val="en-GB"/>
        </w:rPr>
        <w:t xml:space="preserve">indirect competitors </w:t>
      </w:r>
      <w:r w:rsidR="00E35412">
        <w:rPr>
          <w:rFonts w:eastAsia="Calibri"/>
          <w:color w:val="000000"/>
          <w:u w:color="000000"/>
          <w:bdr w:val="nil"/>
          <w:lang w:val="en-GB"/>
        </w:rPr>
        <w:t>such as</w:t>
      </w:r>
      <w:r w:rsidRPr="000269CF">
        <w:rPr>
          <w:rFonts w:eastAsia="Calibri"/>
          <w:color w:val="000000"/>
          <w:u w:color="000000"/>
          <w:bdr w:val="nil"/>
          <w:lang w:val="en-GB"/>
        </w:rPr>
        <w:t xml:space="preserve"> satellite </w:t>
      </w:r>
      <w:r w:rsidR="00E35412">
        <w:rPr>
          <w:rFonts w:eastAsia="Calibri"/>
          <w:color w:val="000000"/>
          <w:u w:color="000000"/>
          <w:bdr w:val="nil"/>
          <w:lang w:val="en-GB"/>
        </w:rPr>
        <w:t>television</w:t>
      </w:r>
      <w:r w:rsidRPr="000269CF">
        <w:rPr>
          <w:rFonts w:eastAsia="Calibri"/>
          <w:color w:val="000000"/>
          <w:u w:color="000000"/>
          <w:bdr w:val="nil"/>
          <w:lang w:val="en-GB"/>
        </w:rPr>
        <w:t xml:space="preserve"> companies</w:t>
      </w:r>
      <w:r w:rsidR="00E35412">
        <w:rPr>
          <w:rFonts w:eastAsia="Calibri"/>
          <w:color w:val="000000"/>
          <w:u w:color="000000"/>
          <w:bdr w:val="nil"/>
          <w:lang w:val="en-GB"/>
        </w:rPr>
        <w:t>,</w:t>
      </w:r>
      <w:r w:rsidRPr="000269CF">
        <w:rPr>
          <w:rFonts w:eastAsia="Calibri"/>
          <w:color w:val="000000"/>
          <w:u w:color="000000"/>
          <w:bdr w:val="nil"/>
          <w:lang w:val="en-GB"/>
        </w:rPr>
        <w:t xml:space="preserve"> telecom</w:t>
      </w:r>
      <w:r w:rsidR="00E35412">
        <w:rPr>
          <w:rFonts w:eastAsia="Calibri"/>
          <w:color w:val="000000"/>
          <w:u w:color="000000"/>
          <w:bdr w:val="nil"/>
          <w:lang w:val="en-GB"/>
        </w:rPr>
        <w:t>munications</w:t>
      </w:r>
      <w:r w:rsidRPr="000269CF">
        <w:rPr>
          <w:rFonts w:eastAsia="Calibri"/>
          <w:color w:val="000000"/>
          <w:u w:color="000000"/>
          <w:bdr w:val="nil"/>
          <w:lang w:val="en-GB"/>
        </w:rPr>
        <w:t xml:space="preserve"> companies</w:t>
      </w:r>
      <w:r w:rsidR="00E35412">
        <w:rPr>
          <w:rFonts w:eastAsia="Calibri"/>
          <w:color w:val="000000"/>
          <w:u w:color="000000"/>
          <w:bdr w:val="nil"/>
          <w:lang w:val="en-GB"/>
        </w:rPr>
        <w:t>,</w:t>
      </w:r>
      <w:r w:rsidRPr="000269CF">
        <w:rPr>
          <w:rFonts w:eastAsia="Calibri"/>
          <w:color w:val="000000"/>
          <w:u w:color="000000"/>
          <w:bdr w:val="nil"/>
          <w:lang w:val="en-GB"/>
        </w:rPr>
        <w:t xml:space="preserve"> </w:t>
      </w:r>
      <w:r w:rsidR="006008A4">
        <w:rPr>
          <w:rFonts w:eastAsia="Calibri"/>
          <w:color w:val="000000"/>
          <w:u w:color="000000"/>
          <w:bdr w:val="nil"/>
          <w:lang w:val="en-GB"/>
        </w:rPr>
        <w:t xml:space="preserve">and </w:t>
      </w:r>
      <w:r w:rsidRPr="000269CF">
        <w:rPr>
          <w:rFonts w:eastAsia="Calibri"/>
          <w:color w:val="000000"/>
          <w:u w:color="000000"/>
          <w:bdr w:val="nil"/>
          <w:lang w:val="en-GB"/>
        </w:rPr>
        <w:t xml:space="preserve">streaming media </w:t>
      </w:r>
      <w:r w:rsidR="00F274D0">
        <w:rPr>
          <w:rFonts w:eastAsia="Calibri"/>
          <w:color w:val="000000"/>
          <w:u w:color="000000"/>
          <w:bdr w:val="nil"/>
          <w:lang w:val="en-GB"/>
        </w:rPr>
        <w:t>o</w:t>
      </w:r>
      <w:r w:rsidRPr="000269CF">
        <w:rPr>
          <w:rFonts w:eastAsia="Calibri"/>
          <w:color w:val="000000"/>
          <w:u w:color="000000"/>
          <w:bdr w:val="nil"/>
          <w:lang w:val="en-GB"/>
        </w:rPr>
        <w:t>ver-</w:t>
      </w:r>
      <w:r w:rsidR="00F274D0">
        <w:rPr>
          <w:rFonts w:eastAsia="Calibri"/>
          <w:color w:val="000000"/>
          <w:u w:color="000000"/>
          <w:bdr w:val="nil"/>
          <w:lang w:val="en-GB"/>
        </w:rPr>
        <w:t>t</w:t>
      </w:r>
      <w:r w:rsidRPr="000269CF">
        <w:rPr>
          <w:rFonts w:eastAsia="Calibri"/>
          <w:color w:val="000000"/>
          <w:u w:color="000000"/>
          <w:bdr w:val="nil"/>
          <w:lang w:val="en-GB"/>
        </w:rPr>
        <w:t>he-</w:t>
      </w:r>
      <w:r w:rsidR="00F274D0">
        <w:rPr>
          <w:rFonts w:eastAsia="Calibri"/>
          <w:color w:val="000000"/>
          <w:u w:color="000000"/>
          <w:bdr w:val="nil"/>
          <w:lang w:val="en-GB"/>
        </w:rPr>
        <w:t>t</w:t>
      </w:r>
      <w:r w:rsidRPr="000269CF">
        <w:rPr>
          <w:rFonts w:eastAsia="Calibri"/>
          <w:color w:val="000000"/>
          <w:u w:color="000000"/>
          <w:bdr w:val="nil"/>
          <w:lang w:val="en-GB"/>
        </w:rPr>
        <w:t xml:space="preserve">op (OTT) companies </w:t>
      </w:r>
      <w:r w:rsidR="00E35412">
        <w:rPr>
          <w:rFonts w:eastAsia="Calibri"/>
          <w:color w:val="000000"/>
          <w:u w:color="000000"/>
          <w:bdr w:val="nil"/>
          <w:lang w:val="en-GB"/>
        </w:rPr>
        <w:t>(</w:t>
      </w:r>
      <w:r w:rsidRPr="000269CF">
        <w:rPr>
          <w:rFonts w:eastAsia="Calibri"/>
          <w:color w:val="000000"/>
          <w:u w:color="000000"/>
          <w:bdr w:val="nil"/>
          <w:lang w:val="en-GB"/>
        </w:rPr>
        <w:t>e</w:t>
      </w:r>
      <w:r w:rsidR="00E35412">
        <w:rPr>
          <w:rFonts w:eastAsia="Calibri"/>
          <w:color w:val="000000"/>
          <w:u w:color="000000"/>
          <w:bdr w:val="nil"/>
          <w:lang w:val="en-GB"/>
        </w:rPr>
        <w:t>.g.</w:t>
      </w:r>
      <w:r w:rsidR="00F274D0">
        <w:rPr>
          <w:rFonts w:eastAsia="Calibri"/>
          <w:color w:val="000000"/>
          <w:u w:color="000000"/>
          <w:bdr w:val="nil"/>
          <w:lang w:val="en-GB"/>
        </w:rPr>
        <w:t>,</w:t>
      </w:r>
      <w:r w:rsidRPr="000269CF">
        <w:rPr>
          <w:rFonts w:eastAsia="Calibri"/>
          <w:color w:val="000000"/>
          <w:u w:color="000000"/>
          <w:bdr w:val="nil"/>
          <w:lang w:val="en-GB"/>
        </w:rPr>
        <w:t xml:space="preserve"> Netflix and Hulu</w:t>
      </w:r>
      <w:r w:rsidR="00E35412">
        <w:rPr>
          <w:rFonts w:eastAsia="Calibri"/>
          <w:color w:val="000000"/>
          <w:u w:color="000000"/>
          <w:bdr w:val="nil"/>
          <w:lang w:val="en-GB"/>
        </w:rPr>
        <w:t>)</w:t>
      </w:r>
      <w:r w:rsidR="007D2D1F">
        <w:rPr>
          <w:rFonts w:eastAsia="Calibri"/>
          <w:color w:val="000000"/>
          <w:u w:color="000000"/>
          <w:bdr w:val="nil"/>
          <w:lang w:val="en-GB"/>
        </w:rPr>
        <w:t>. Also concerned by the news were n</w:t>
      </w:r>
      <w:r w:rsidR="00E35412">
        <w:rPr>
          <w:rFonts w:eastAsia="Calibri"/>
          <w:color w:val="000000"/>
          <w:u w:color="000000"/>
          <w:bdr w:val="nil"/>
          <w:lang w:val="en-GB"/>
        </w:rPr>
        <w:t>umerous</w:t>
      </w:r>
      <w:r w:rsidRPr="000269CF">
        <w:rPr>
          <w:rFonts w:eastAsia="Calibri"/>
          <w:color w:val="000000"/>
          <w:u w:color="000000"/>
          <w:bdr w:val="nil"/>
          <w:lang w:val="en-GB"/>
        </w:rPr>
        <w:t xml:space="preserve"> </w:t>
      </w:r>
      <w:r w:rsidR="007D2D1F">
        <w:rPr>
          <w:rFonts w:eastAsia="Calibri"/>
          <w:color w:val="000000"/>
          <w:u w:color="000000"/>
          <w:bdr w:val="nil"/>
          <w:lang w:val="en-GB"/>
        </w:rPr>
        <w:t xml:space="preserve">other </w:t>
      </w:r>
      <w:r w:rsidRPr="000269CF">
        <w:rPr>
          <w:rFonts w:eastAsia="Calibri"/>
          <w:color w:val="000000"/>
          <w:u w:color="000000"/>
          <w:bdr w:val="nil"/>
          <w:lang w:val="en-GB"/>
        </w:rPr>
        <w:t>content providers</w:t>
      </w:r>
      <w:r w:rsidR="007D2D1F">
        <w:rPr>
          <w:rFonts w:eastAsia="Calibri"/>
          <w:color w:val="000000"/>
          <w:u w:color="000000"/>
          <w:bdr w:val="nil"/>
          <w:lang w:val="en-GB"/>
        </w:rPr>
        <w:t>, including</w:t>
      </w:r>
      <w:r w:rsidRPr="000269CF">
        <w:rPr>
          <w:rFonts w:eastAsia="Calibri"/>
          <w:color w:val="000000"/>
          <w:u w:color="000000"/>
          <w:bdr w:val="nil"/>
          <w:lang w:val="en-GB"/>
        </w:rPr>
        <w:t xml:space="preserve"> cable </w:t>
      </w:r>
      <w:r w:rsidR="00E35412">
        <w:rPr>
          <w:rFonts w:eastAsia="Calibri"/>
          <w:color w:val="000000"/>
          <w:u w:color="000000"/>
          <w:bdr w:val="nil"/>
          <w:lang w:val="en-GB"/>
        </w:rPr>
        <w:t>television</w:t>
      </w:r>
      <w:r w:rsidRPr="000269CF">
        <w:rPr>
          <w:rFonts w:eastAsia="Calibri"/>
          <w:color w:val="000000"/>
          <w:u w:color="000000"/>
          <w:bdr w:val="nil"/>
          <w:lang w:val="en-GB"/>
        </w:rPr>
        <w:t xml:space="preserve"> networks </w:t>
      </w:r>
      <w:r w:rsidR="007D2D1F">
        <w:rPr>
          <w:rFonts w:eastAsia="Calibri"/>
          <w:color w:val="000000"/>
          <w:u w:color="000000"/>
          <w:bdr w:val="nil"/>
          <w:lang w:val="en-GB"/>
        </w:rPr>
        <w:t>such as</w:t>
      </w:r>
      <w:r w:rsidRPr="000269CF">
        <w:rPr>
          <w:rFonts w:eastAsia="Calibri"/>
          <w:color w:val="000000"/>
          <w:u w:color="000000"/>
          <w:bdr w:val="nil"/>
          <w:lang w:val="en-GB"/>
        </w:rPr>
        <w:t xml:space="preserve"> Discovery and AMC</w:t>
      </w:r>
      <w:r w:rsidR="00F274D0">
        <w:rPr>
          <w:rFonts w:eastAsia="Calibri"/>
          <w:color w:val="000000"/>
          <w:u w:color="000000"/>
          <w:bdr w:val="nil"/>
          <w:lang w:val="en-GB"/>
        </w:rPr>
        <w:t>,</w:t>
      </w:r>
      <w:r w:rsidRPr="000269CF">
        <w:rPr>
          <w:rFonts w:eastAsia="Calibri"/>
          <w:color w:val="000000"/>
          <w:u w:color="000000"/>
          <w:bdr w:val="nil"/>
          <w:lang w:val="en-GB"/>
        </w:rPr>
        <w:t xml:space="preserve"> broadcast </w:t>
      </w:r>
      <w:r w:rsidR="00E35412">
        <w:rPr>
          <w:rFonts w:eastAsia="Calibri"/>
          <w:color w:val="000000"/>
          <w:u w:color="000000"/>
          <w:bdr w:val="nil"/>
          <w:lang w:val="en-GB"/>
        </w:rPr>
        <w:t>television</w:t>
      </w:r>
      <w:r w:rsidRPr="000269CF">
        <w:rPr>
          <w:rFonts w:eastAsia="Calibri"/>
          <w:color w:val="000000"/>
          <w:u w:color="000000"/>
          <w:bdr w:val="nil"/>
          <w:lang w:val="en-GB"/>
        </w:rPr>
        <w:t xml:space="preserve"> companies </w:t>
      </w:r>
      <w:r w:rsidR="007D2D1F">
        <w:rPr>
          <w:rFonts w:eastAsia="Calibri"/>
          <w:color w:val="000000"/>
          <w:u w:color="000000"/>
          <w:bdr w:val="nil"/>
          <w:lang w:val="en-GB"/>
        </w:rPr>
        <w:t xml:space="preserve">such as </w:t>
      </w:r>
      <w:r w:rsidRPr="000269CF">
        <w:rPr>
          <w:rFonts w:eastAsia="Calibri"/>
          <w:color w:val="000000"/>
          <w:u w:color="000000"/>
          <w:bdr w:val="nil"/>
          <w:lang w:val="en-GB"/>
        </w:rPr>
        <w:t>CBS</w:t>
      </w:r>
      <w:r w:rsidR="007D2D1F">
        <w:rPr>
          <w:rFonts w:eastAsia="Calibri"/>
          <w:color w:val="000000"/>
          <w:u w:color="000000"/>
          <w:bdr w:val="nil"/>
          <w:lang w:val="en-GB"/>
        </w:rPr>
        <w:t>,</w:t>
      </w:r>
      <w:r w:rsidR="00E35412">
        <w:rPr>
          <w:rFonts w:eastAsia="Calibri"/>
          <w:color w:val="000000"/>
          <w:u w:color="000000"/>
          <w:bdr w:val="nil"/>
          <w:lang w:val="en-GB"/>
        </w:rPr>
        <w:t xml:space="preserve"> </w:t>
      </w:r>
      <w:r w:rsidRPr="000269CF">
        <w:rPr>
          <w:rFonts w:eastAsia="Calibri"/>
          <w:color w:val="000000"/>
          <w:u w:color="000000"/>
          <w:bdr w:val="nil"/>
          <w:lang w:val="en-GB"/>
        </w:rPr>
        <w:t xml:space="preserve">and movie producers </w:t>
      </w:r>
      <w:r w:rsidR="00E35412">
        <w:rPr>
          <w:rFonts w:eastAsia="Calibri"/>
          <w:color w:val="000000"/>
          <w:u w:color="000000"/>
          <w:bdr w:val="nil"/>
          <w:lang w:val="en-GB"/>
        </w:rPr>
        <w:t>such as</w:t>
      </w:r>
      <w:r w:rsidRPr="000269CF">
        <w:rPr>
          <w:rFonts w:eastAsia="Calibri"/>
          <w:color w:val="000000"/>
          <w:u w:color="000000"/>
          <w:bdr w:val="nil"/>
          <w:lang w:val="en-GB"/>
        </w:rPr>
        <w:t xml:space="preserve"> Fox. A</w:t>
      </w:r>
      <w:r w:rsidR="00E35412">
        <w:rPr>
          <w:rFonts w:eastAsia="Calibri"/>
          <w:color w:val="000000"/>
          <w:u w:color="000000"/>
          <w:bdr w:val="nil"/>
          <w:lang w:val="en-GB"/>
        </w:rPr>
        <w:t>s a</w:t>
      </w:r>
      <w:r w:rsidRPr="000269CF">
        <w:rPr>
          <w:rFonts w:eastAsia="Calibri"/>
          <w:color w:val="000000"/>
          <w:u w:color="000000"/>
          <w:bdr w:val="nil"/>
          <w:lang w:val="en-GB"/>
        </w:rPr>
        <w:t xml:space="preserve">nalyst Michael Nathanson of </w:t>
      </w:r>
      <w:proofErr w:type="spellStart"/>
      <w:r w:rsidRPr="000269CF">
        <w:rPr>
          <w:rFonts w:eastAsia="Calibri"/>
          <w:color w:val="000000"/>
          <w:u w:color="000000"/>
          <w:bdr w:val="nil"/>
          <w:lang w:val="en-GB"/>
        </w:rPr>
        <w:t>MoffetNathanson</w:t>
      </w:r>
      <w:proofErr w:type="spellEnd"/>
      <w:r w:rsidRPr="000269CF">
        <w:rPr>
          <w:rFonts w:eastAsia="Calibri"/>
          <w:color w:val="000000"/>
          <w:u w:color="000000"/>
          <w:bdr w:val="nil"/>
          <w:lang w:val="en-GB"/>
        </w:rPr>
        <w:t xml:space="preserve"> Research</w:t>
      </w:r>
      <w:r w:rsidR="00E35412">
        <w:rPr>
          <w:rFonts w:eastAsia="Calibri"/>
          <w:color w:val="000000"/>
          <w:u w:color="000000"/>
          <w:bdr w:val="nil"/>
          <w:lang w:val="en-GB"/>
        </w:rPr>
        <w:t xml:space="preserve"> noted</w:t>
      </w:r>
      <w:r w:rsidRPr="000269CF">
        <w:rPr>
          <w:rFonts w:eastAsia="Calibri"/>
          <w:color w:val="000000"/>
          <w:u w:color="000000"/>
          <w:bdr w:val="nil"/>
          <w:lang w:val="en-GB"/>
        </w:rPr>
        <w:t>, “</w:t>
      </w:r>
      <w:r w:rsidR="006008A4">
        <w:rPr>
          <w:rFonts w:eastAsia="Calibri"/>
          <w:color w:val="000000"/>
          <w:u w:color="000000"/>
          <w:bdr w:val="nil"/>
          <w:lang w:val="en-GB"/>
        </w:rPr>
        <w:t xml:space="preserve">. . . </w:t>
      </w:r>
      <w:r w:rsidRPr="000269CF">
        <w:rPr>
          <w:rFonts w:eastAsia="Calibri"/>
          <w:color w:val="000000"/>
          <w:u w:color="000000"/>
          <w:bdr w:val="nil"/>
          <w:lang w:val="en-GB"/>
        </w:rPr>
        <w:t xml:space="preserve">there is a sense of worry among content providers . </w:t>
      </w:r>
      <w:r w:rsidR="00E35412">
        <w:rPr>
          <w:rFonts w:eastAsia="Calibri"/>
          <w:color w:val="000000"/>
          <w:u w:color="000000"/>
          <w:bdr w:val="nil"/>
          <w:lang w:val="en-GB"/>
        </w:rPr>
        <w:t xml:space="preserve">. . </w:t>
      </w:r>
      <w:r w:rsidRPr="000269CF">
        <w:rPr>
          <w:rFonts w:eastAsia="Calibri"/>
          <w:color w:val="000000"/>
          <w:u w:color="000000"/>
          <w:bdr w:val="nil"/>
          <w:lang w:val="en-GB"/>
        </w:rPr>
        <w:t xml:space="preserve">they will never say it publicly because Comcast is their biggest partner </w:t>
      </w:r>
      <w:r w:rsidR="00E35412">
        <w:rPr>
          <w:rFonts w:eastAsia="Calibri"/>
          <w:color w:val="000000"/>
          <w:u w:color="000000"/>
          <w:bdr w:val="nil"/>
          <w:lang w:val="en-GB"/>
        </w:rPr>
        <w:t>. . .</w:t>
      </w:r>
      <w:r w:rsidRPr="000269CF">
        <w:rPr>
          <w:rFonts w:eastAsia="Calibri"/>
          <w:color w:val="000000"/>
          <w:u w:color="000000"/>
          <w:bdr w:val="nil"/>
          <w:lang w:val="en-GB"/>
        </w:rPr>
        <w:t xml:space="preserve"> but privately there is concern.” After this merger, content companies anticipated losing bargaining leverage over cable </w:t>
      </w:r>
      <w:r w:rsidR="00E35412">
        <w:rPr>
          <w:rFonts w:eastAsia="Calibri"/>
          <w:color w:val="000000"/>
          <w:u w:color="000000"/>
          <w:bdr w:val="nil"/>
          <w:lang w:val="en-GB"/>
        </w:rPr>
        <w:t>television</w:t>
      </w:r>
      <w:r w:rsidRPr="000269CF">
        <w:rPr>
          <w:rFonts w:eastAsia="Calibri"/>
          <w:color w:val="000000"/>
          <w:u w:color="000000"/>
          <w:bdr w:val="nil"/>
          <w:lang w:val="en-GB"/>
        </w:rPr>
        <w:t xml:space="preserve"> companies</w:t>
      </w:r>
      <w:r w:rsidR="00E35412">
        <w:rPr>
          <w:rFonts w:eastAsia="Calibri"/>
          <w:color w:val="000000"/>
          <w:u w:color="000000"/>
          <w:bdr w:val="nil"/>
          <w:lang w:val="en-GB"/>
        </w:rPr>
        <w:t>,</w:t>
      </w:r>
      <w:r w:rsidRPr="000269CF">
        <w:rPr>
          <w:rFonts w:eastAsia="Calibri"/>
          <w:color w:val="000000"/>
          <w:u w:color="000000"/>
          <w:bdr w:val="nil"/>
          <w:lang w:val="en-GB"/>
        </w:rPr>
        <w:t xml:space="preserve"> who might use their new power to extract higher fees. </w:t>
      </w:r>
      <w:r w:rsidR="00E35412">
        <w:rPr>
          <w:rFonts w:eastAsia="Calibri"/>
          <w:color w:val="000000"/>
          <w:u w:color="000000"/>
          <w:bdr w:val="nil"/>
          <w:lang w:val="en-GB"/>
        </w:rPr>
        <w:t>L</w:t>
      </w:r>
      <w:r w:rsidRPr="000269CF">
        <w:rPr>
          <w:rFonts w:eastAsia="Calibri"/>
          <w:color w:val="000000"/>
          <w:u w:color="000000"/>
          <w:bdr w:val="nil"/>
          <w:lang w:val="en-GB"/>
        </w:rPr>
        <w:t>ocal television station companies</w:t>
      </w:r>
      <w:r w:rsidR="00E35412">
        <w:rPr>
          <w:rFonts w:eastAsia="Calibri"/>
          <w:color w:val="000000"/>
          <w:u w:color="000000"/>
          <w:bdr w:val="nil"/>
          <w:lang w:val="en-GB"/>
        </w:rPr>
        <w:t>,</w:t>
      </w:r>
      <w:r w:rsidRPr="000269CF">
        <w:rPr>
          <w:rFonts w:eastAsia="Calibri"/>
          <w:color w:val="000000"/>
          <w:u w:color="000000"/>
          <w:bdr w:val="nil"/>
          <w:lang w:val="en-GB"/>
        </w:rPr>
        <w:t xml:space="preserve"> </w:t>
      </w:r>
      <w:r w:rsidR="00E35412">
        <w:rPr>
          <w:rFonts w:eastAsia="Calibri"/>
          <w:color w:val="000000"/>
          <w:u w:color="000000"/>
          <w:bdr w:val="nil"/>
          <w:lang w:val="en-GB"/>
        </w:rPr>
        <w:t>such as</w:t>
      </w:r>
      <w:r w:rsidRPr="000269CF">
        <w:rPr>
          <w:rFonts w:eastAsia="Calibri"/>
          <w:color w:val="000000"/>
          <w:u w:color="000000"/>
          <w:bdr w:val="nil"/>
          <w:lang w:val="en-GB"/>
        </w:rPr>
        <w:t xml:space="preserve"> Sinclair Broadcast Group</w:t>
      </w:r>
      <w:r w:rsidR="00E35412">
        <w:rPr>
          <w:rFonts w:eastAsia="Calibri"/>
          <w:color w:val="000000"/>
          <w:u w:color="000000"/>
          <w:bdr w:val="nil"/>
          <w:lang w:val="en-GB"/>
        </w:rPr>
        <w:t>,</w:t>
      </w:r>
      <w:r w:rsidRPr="000269CF">
        <w:rPr>
          <w:rFonts w:eastAsia="Calibri"/>
          <w:color w:val="000000"/>
          <w:u w:color="000000"/>
          <w:bdr w:val="nil"/>
          <w:lang w:val="en-GB"/>
        </w:rPr>
        <w:t xml:space="preserve"> also foresaw themselves at a disadvantage</w:t>
      </w:r>
      <w:r w:rsidR="00E35412">
        <w:rPr>
          <w:rFonts w:eastAsia="Calibri"/>
          <w:color w:val="000000"/>
          <w:u w:color="000000"/>
          <w:bdr w:val="nil"/>
          <w:lang w:val="en-GB"/>
        </w:rPr>
        <w:t xml:space="preserve">. These companies </w:t>
      </w:r>
      <w:r w:rsidR="00E35412" w:rsidRPr="000269CF">
        <w:rPr>
          <w:rFonts w:eastAsia="Calibri"/>
          <w:color w:val="000000"/>
          <w:u w:color="000000"/>
          <w:bdr w:val="nil"/>
          <w:lang w:val="en-GB"/>
        </w:rPr>
        <w:t xml:space="preserve">received fees from cable </w:t>
      </w:r>
      <w:r w:rsidR="00E35412">
        <w:rPr>
          <w:rFonts w:eastAsia="Calibri"/>
          <w:color w:val="000000"/>
          <w:u w:color="000000"/>
          <w:bdr w:val="nil"/>
          <w:lang w:val="en-GB"/>
        </w:rPr>
        <w:t>television</w:t>
      </w:r>
      <w:r w:rsidR="00E35412" w:rsidRPr="000269CF">
        <w:rPr>
          <w:rFonts w:eastAsia="Calibri"/>
          <w:color w:val="000000"/>
          <w:u w:color="000000"/>
          <w:bdr w:val="nil"/>
          <w:lang w:val="en-GB"/>
        </w:rPr>
        <w:t xml:space="preserve"> providers</w:t>
      </w:r>
      <w:r w:rsidR="007A4563">
        <w:rPr>
          <w:rFonts w:eastAsia="Calibri"/>
          <w:color w:val="000000"/>
          <w:u w:color="000000"/>
          <w:bdr w:val="nil"/>
          <w:lang w:val="en-GB"/>
        </w:rPr>
        <w:t>, but worried that</w:t>
      </w:r>
      <w:r w:rsidRPr="000269CF">
        <w:rPr>
          <w:rFonts w:eastAsia="Calibri"/>
          <w:color w:val="000000"/>
          <w:u w:color="000000"/>
          <w:bdr w:val="nil"/>
          <w:lang w:val="en-GB"/>
        </w:rPr>
        <w:t xml:space="preserve"> a bigger Comcast would pay lower rates.</w:t>
      </w:r>
      <w:r w:rsidR="00F87367" w:rsidRPr="00F87367">
        <w:rPr>
          <w:rFonts w:eastAsia="Calibri"/>
          <w:color w:val="000000"/>
          <w:u w:color="000000"/>
          <w:bdr w:val="nil"/>
          <w:vertAlign w:val="superscript"/>
          <w:lang w:val="en-GB"/>
        </w:rPr>
        <w:t xml:space="preserve"> </w:t>
      </w:r>
      <w:r w:rsidR="00F87367" w:rsidRPr="000269CF">
        <w:rPr>
          <w:rFonts w:eastAsia="Calibri"/>
          <w:color w:val="000000"/>
          <w:u w:color="000000"/>
          <w:bdr w:val="nil"/>
          <w:vertAlign w:val="superscript"/>
          <w:lang w:val="en-GB"/>
        </w:rPr>
        <w:endnoteReference w:id="25"/>
      </w:r>
      <w:r w:rsidRPr="000269CF">
        <w:rPr>
          <w:rFonts w:eastAsia="Calibri"/>
          <w:color w:val="000000"/>
          <w:u w:color="000000"/>
          <w:bdr w:val="nil"/>
          <w:lang w:val="en-GB"/>
        </w:rPr>
        <w:t xml:space="preserve"> </w:t>
      </w:r>
    </w:p>
    <w:p w14:paraId="39E17E8A" w14:textId="77777777" w:rsidR="007A4563" w:rsidRDefault="007A4563" w:rsidP="00EC6A26">
      <w:pPr>
        <w:pStyle w:val="BodyTextMain"/>
        <w:rPr>
          <w:rFonts w:eastAsia="Calibri"/>
          <w:color w:val="000000"/>
          <w:u w:color="000000"/>
          <w:bdr w:val="nil"/>
          <w:lang w:val="en-GB"/>
        </w:rPr>
      </w:pPr>
    </w:p>
    <w:p w14:paraId="71406B57" w14:textId="7127AE22" w:rsidR="00EC6A26" w:rsidRPr="000269CF" w:rsidRDefault="001A23EF" w:rsidP="00EC6A26">
      <w:pPr>
        <w:pStyle w:val="BodyTextMain"/>
        <w:rPr>
          <w:rFonts w:eastAsia="Calibri"/>
          <w:color w:val="000000"/>
          <w:u w:color="000000"/>
          <w:bdr w:val="nil"/>
          <w:lang w:val="en-GB"/>
        </w:rPr>
      </w:pPr>
      <w:r w:rsidRPr="000269CF">
        <w:rPr>
          <w:rFonts w:eastAsia="Calibri"/>
          <w:color w:val="000000"/>
          <w:u w:color="000000"/>
          <w:bdr w:val="nil"/>
          <w:lang w:val="en-GB"/>
        </w:rPr>
        <w:t>However,</w:t>
      </w:r>
      <w:r w:rsidR="00EC6A26" w:rsidRPr="000269CF">
        <w:rPr>
          <w:rFonts w:eastAsia="Calibri"/>
          <w:color w:val="000000"/>
          <w:u w:color="000000"/>
          <w:bdr w:val="nil"/>
          <w:lang w:val="en-GB"/>
        </w:rPr>
        <w:t xml:space="preserve"> some observers felt that </w:t>
      </w:r>
      <w:r w:rsidR="007A4563">
        <w:rPr>
          <w:rFonts w:eastAsia="Calibri"/>
          <w:color w:val="000000"/>
          <w:u w:color="000000"/>
          <w:bdr w:val="nil"/>
          <w:lang w:val="en-GB"/>
        </w:rPr>
        <w:t>bec</w:t>
      </w:r>
      <w:r w:rsidR="00EC6A26" w:rsidRPr="000269CF">
        <w:rPr>
          <w:rFonts w:eastAsia="Calibri"/>
          <w:color w:val="000000"/>
          <w:u w:color="000000"/>
          <w:bdr w:val="nil"/>
          <w:lang w:val="en-GB"/>
        </w:rPr>
        <w:t>a</w:t>
      </w:r>
      <w:r w:rsidR="007A4563">
        <w:rPr>
          <w:rFonts w:eastAsia="Calibri"/>
          <w:color w:val="000000"/>
          <w:u w:color="000000"/>
          <w:bdr w:val="nil"/>
          <w:lang w:val="en-GB"/>
        </w:rPr>
        <w:t>u</w:t>
      </w:r>
      <w:r w:rsidR="00EC6A26" w:rsidRPr="000269CF">
        <w:rPr>
          <w:rFonts w:eastAsia="Calibri"/>
          <w:color w:val="000000"/>
          <w:u w:color="000000"/>
          <w:bdr w:val="nil"/>
          <w:lang w:val="en-GB"/>
        </w:rPr>
        <w:t>s</w:t>
      </w:r>
      <w:r w:rsidR="007A4563">
        <w:rPr>
          <w:rFonts w:eastAsia="Calibri"/>
          <w:color w:val="000000"/>
          <w:u w:color="000000"/>
          <w:bdr w:val="nil"/>
          <w:lang w:val="en-GB"/>
        </w:rPr>
        <w:t>e</w:t>
      </w:r>
      <w:r w:rsidR="00EC6A26" w:rsidRPr="000269CF">
        <w:rPr>
          <w:rFonts w:eastAsia="Calibri"/>
          <w:color w:val="000000"/>
          <w:u w:color="000000"/>
          <w:bdr w:val="nil"/>
          <w:lang w:val="en-GB"/>
        </w:rPr>
        <w:t xml:space="preserve"> </w:t>
      </w:r>
      <w:r w:rsidR="007A4563">
        <w:rPr>
          <w:rFonts w:eastAsia="Calibri"/>
          <w:color w:val="000000"/>
          <w:u w:color="000000"/>
          <w:bdr w:val="nil"/>
          <w:lang w:val="en-GB"/>
        </w:rPr>
        <w:t xml:space="preserve">Comcast was an </w:t>
      </w:r>
      <w:r w:rsidR="00EC6A26" w:rsidRPr="000269CF">
        <w:rPr>
          <w:rFonts w:eastAsia="Calibri"/>
          <w:color w:val="000000"/>
          <w:u w:color="000000"/>
          <w:bdr w:val="nil"/>
          <w:lang w:val="en-GB"/>
        </w:rPr>
        <w:t xml:space="preserve">owner of content operations in NBC Universal and the NBC broadcast network, </w:t>
      </w:r>
      <w:r w:rsidR="007A4563">
        <w:rPr>
          <w:rFonts w:eastAsia="Calibri"/>
          <w:color w:val="000000"/>
          <w:u w:color="000000"/>
          <w:bdr w:val="nil"/>
          <w:lang w:val="en-GB"/>
        </w:rPr>
        <w:t>i</w:t>
      </w:r>
      <w:r w:rsidR="007A4563" w:rsidRPr="000269CF">
        <w:rPr>
          <w:rFonts w:eastAsia="Calibri"/>
          <w:color w:val="000000"/>
          <w:u w:color="000000"/>
          <w:bdr w:val="nil"/>
          <w:lang w:val="en-GB"/>
        </w:rPr>
        <w:t xml:space="preserve">t </w:t>
      </w:r>
      <w:r w:rsidR="00EC6A26" w:rsidRPr="000269CF">
        <w:rPr>
          <w:rFonts w:eastAsia="Calibri"/>
          <w:color w:val="000000"/>
          <w:u w:color="000000"/>
          <w:bdr w:val="nil"/>
          <w:lang w:val="en-GB"/>
        </w:rPr>
        <w:t xml:space="preserve">would be a </w:t>
      </w:r>
      <w:r w:rsidRPr="000269CF">
        <w:rPr>
          <w:rFonts w:eastAsia="Calibri"/>
          <w:color w:val="000000"/>
          <w:u w:color="000000"/>
          <w:bdr w:val="nil"/>
          <w:lang w:val="en-GB"/>
        </w:rPr>
        <w:t>friendlier</w:t>
      </w:r>
      <w:r w:rsidR="00EC6A26" w:rsidRPr="000269CF">
        <w:rPr>
          <w:rFonts w:eastAsia="Calibri"/>
          <w:color w:val="000000"/>
          <w:u w:color="000000"/>
          <w:bdr w:val="nil"/>
          <w:lang w:val="en-GB"/>
        </w:rPr>
        <w:t xml:space="preserve"> negotiator. Yet, as columnist David </w:t>
      </w:r>
      <w:proofErr w:type="spellStart"/>
      <w:r w:rsidR="00EC6A26" w:rsidRPr="000269CF">
        <w:rPr>
          <w:rFonts w:eastAsia="Calibri"/>
          <w:color w:val="000000"/>
          <w:u w:color="000000"/>
          <w:bdr w:val="nil"/>
          <w:lang w:val="en-GB"/>
        </w:rPr>
        <w:t>Gelles</w:t>
      </w:r>
      <w:proofErr w:type="spellEnd"/>
      <w:r w:rsidR="00EC6A26" w:rsidRPr="000269CF">
        <w:rPr>
          <w:rFonts w:eastAsia="Calibri"/>
          <w:color w:val="000000"/>
          <w:u w:color="000000"/>
          <w:bdr w:val="nil"/>
          <w:lang w:val="en-GB"/>
        </w:rPr>
        <w:t xml:space="preserve"> of the </w:t>
      </w:r>
      <w:r w:rsidR="00EC6A26" w:rsidRPr="000269CF">
        <w:rPr>
          <w:rFonts w:eastAsia="Calibri"/>
          <w:i/>
          <w:color w:val="000000"/>
          <w:u w:color="000000"/>
          <w:bdr w:val="nil"/>
          <w:lang w:val="en-GB"/>
        </w:rPr>
        <w:t>New York Times</w:t>
      </w:r>
      <w:r w:rsidR="00EC6A26" w:rsidRPr="000269CF">
        <w:rPr>
          <w:rFonts w:eastAsia="Calibri"/>
          <w:color w:val="000000"/>
          <w:u w:color="000000"/>
          <w:bdr w:val="nil"/>
          <w:lang w:val="en-GB"/>
        </w:rPr>
        <w:t xml:space="preserve"> pointed out, industry observers feared this union might trigger a defensive wave of mergers among smaller rival cable companies like Cox</w:t>
      </w:r>
      <w:r w:rsidR="007D2D1F">
        <w:rPr>
          <w:rFonts w:eastAsia="Calibri"/>
          <w:color w:val="000000"/>
          <w:u w:color="000000"/>
          <w:bdr w:val="nil"/>
          <w:lang w:val="en-GB"/>
        </w:rPr>
        <w:t xml:space="preserve"> Communications</w:t>
      </w:r>
      <w:r w:rsidR="00EC6A26" w:rsidRPr="000269CF">
        <w:rPr>
          <w:rFonts w:eastAsia="Calibri"/>
          <w:color w:val="000000"/>
          <w:u w:color="000000"/>
          <w:bdr w:val="nil"/>
          <w:lang w:val="en-GB"/>
        </w:rPr>
        <w:t>, Cablevision</w:t>
      </w:r>
      <w:r w:rsidR="007A4563">
        <w:rPr>
          <w:rFonts w:eastAsia="Calibri"/>
          <w:color w:val="000000"/>
          <w:u w:color="000000"/>
          <w:bdr w:val="nil"/>
          <w:lang w:val="en-GB"/>
        </w:rPr>
        <w:t>,</w:t>
      </w:r>
      <w:r w:rsidR="00EC6A26" w:rsidRPr="000269CF">
        <w:rPr>
          <w:rFonts w:eastAsia="Calibri"/>
          <w:color w:val="000000"/>
          <w:u w:color="000000"/>
          <w:bdr w:val="nil"/>
          <w:lang w:val="en-GB"/>
        </w:rPr>
        <w:t xml:space="preserve"> and Charter.</w:t>
      </w:r>
      <w:r w:rsidR="00EC6A26" w:rsidRPr="000269CF">
        <w:rPr>
          <w:rFonts w:eastAsia="Calibri"/>
          <w:color w:val="000000"/>
          <w:u w:color="000000"/>
          <w:bdr w:val="nil"/>
          <w:vertAlign w:val="superscript"/>
          <w:lang w:val="en-GB"/>
        </w:rPr>
        <w:endnoteReference w:id="26"/>
      </w:r>
      <w:r w:rsidR="00EC6A26" w:rsidRPr="000269CF">
        <w:rPr>
          <w:rFonts w:eastAsia="Calibri"/>
          <w:color w:val="000000"/>
          <w:u w:color="000000"/>
          <w:bdr w:val="nil"/>
          <w:lang w:val="en-GB"/>
        </w:rPr>
        <w:t xml:space="preserve"> </w:t>
      </w:r>
    </w:p>
    <w:p w14:paraId="6E18F372" w14:textId="77777777" w:rsidR="00EC6A26" w:rsidRPr="000269CF" w:rsidRDefault="00EC6A26" w:rsidP="00EC6A26">
      <w:pPr>
        <w:pStyle w:val="BodyTextMain"/>
        <w:rPr>
          <w:rFonts w:eastAsia="Calibri"/>
          <w:color w:val="000000"/>
          <w:u w:color="000000"/>
          <w:bdr w:val="nil"/>
          <w:lang w:val="en-GB"/>
        </w:rPr>
      </w:pPr>
    </w:p>
    <w:p w14:paraId="4F62EA28" w14:textId="496C995A" w:rsidR="00EC6A26" w:rsidRPr="000269CF" w:rsidRDefault="00F75A15" w:rsidP="00EC6A26">
      <w:pPr>
        <w:pStyle w:val="BodyTextMain"/>
        <w:rPr>
          <w:rFonts w:eastAsia="Calibri"/>
          <w:color w:val="000000"/>
          <w:u w:color="000000"/>
          <w:bdr w:val="nil"/>
          <w:vertAlign w:val="superscript"/>
          <w:lang w:val="en-GB"/>
        </w:rPr>
      </w:pPr>
      <w:r>
        <w:rPr>
          <w:rFonts w:eastAsia="Calibri"/>
          <w:color w:val="000000"/>
          <w:u w:color="000000"/>
          <w:bdr w:val="nil"/>
          <w:lang w:val="en-GB"/>
        </w:rPr>
        <w:t>Some o</w:t>
      </w:r>
      <w:r w:rsidR="00EC6A26" w:rsidRPr="000269CF">
        <w:rPr>
          <w:rFonts w:eastAsia="Calibri"/>
          <w:color w:val="000000"/>
          <w:u w:color="000000"/>
          <w:bdr w:val="nil"/>
          <w:lang w:val="en-GB"/>
        </w:rPr>
        <w:t>bservers also reasoned that the deal could be anticompetitive</w:t>
      </w:r>
      <w:r>
        <w:rPr>
          <w:rFonts w:eastAsia="Calibri"/>
          <w:color w:val="000000"/>
          <w:u w:color="000000"/>
          <w:bdr w:val="nil"/>
          <w:lang w:val="en-GB"/>
        </w:rPr>
        <w:t>,</w:t>
      </w:r>
      <w:r w:rsidR="00EC6A26" w:rsidRPr="000269CF">
        <w:rPr>
          <w:rFonts w:eastAsia="Calibri"/>
          <w:color w:val="000000"/>
          <w:u w:color="000000"/>
          <w:bdr w:val="nil"/>
          <w:lang w:val="en-GB"/>
        </w:rPr>
        <w:t xml:space="preserve"> because </w:t>
      </w:r>
      <w:r w:rsidR="007D2D1F">
        <w:rPr>
          <w:rFonts w:eastAsia="Calibri"/>
          <w:color w:val="000000"/>
          <w:u w:color="000000"/>
          <w:bdr w:val="nil"/>
          <w:lang w:val="en-GB"/>
        </w:rPr>
        <w:t>a</w:t>
      </w:r>
      <w:r>
        <w:rPr>
          <w:rFonts w:eastAsia="Calibri"/>
          <w:color w:val="000000"/>
          <w:u w:color="000000"/>
          <w:bdr w:val="nil"/>
          <w:lang w:val="en-GB"/>
        </w:rPr>
        <w:t xml:space="preserve"> much larger</w:t>
      </w:r>
      <w:r w:rsidR="00EC6A26" w:rsidRPr="000269CF">
        <w:rPr>
          <w:rFonts w:eastAsia="Calibri"/>
          <w:color w:val="000000"/>
          <w:u w:color="000000"/>
          <w:bdr w:val="nil"/>
          <w:lang w:val="en-GB"/>
        </w:rPr>
        <w:t xml:space="preserve"> </w:t>
      </w:r>
      <w:r w:rsidR="007D2D1F">
        <w:rPr>
          <w:rFonts w:eastAsia="Calibri"/>
          <w:color w:val="000000"/>
          <w:u w:color="000000"/>
          <w:bdr w:val="nil"/>
          <w:lang w:val="en-GB"/>
        </w:rPr>
        <w:t xml:space="preserve">merged </w:t>
      </w:r>
      <w:r w:rsidR="00EC6A26" w:rsidRPr="000269CF">
        <w:rPr>
          <w:rFonts w:eastAsia="Calibri"/>
          <w:color w:val="000000"/>
          <w:u w:color="000000"/>
          <w:bdr w:val="nil"/>
          <w:lang w:val="en-GB"/>
        </w:rPr>
        <w:t>Comcast</w:t>
      </w:r>
      <w:r>
        <w:rPr>
          <w:rFonts w:eastAsia="Calibri"/>
          <w:color w:val="000000"/>
          <w:u w:color="000000"/>
          <w:bdr w:val="nil"/>
          <w:lang w:val="en-GB"/>
        </w:rPr>
        <w:t xml:space="preserve"> </w:t>
      </w:r>
      <w:r w:rsidR="00EC6A26" w:rsidRPr="000269CF">
        <w:rPr>
          <w:rFonts w:eastAsia="Calibri"/>
          <w:color w:val="000000"/>
          <w:u w:color="000000"/>
          <w:bdr w:val="nil"/>
          <w:lang w:val="en-GB"/>
        </w:rPr>
        <w:t>would own 40</w:t>
      </w:r>
      <w:r w:rsidR="00CA3480">
        <w:rPr>
          <w:rFonts w:eastAsia="Calibri"/>
          <w:color w:val="000000"/>
          <w:u w:color="000000"/>
          <w:bdr w:val="nil"/>
          <w:lang w:val="en-GB"/>
        </w:rPr>
        <w:t xml:space="preserve"> per cent</w:t>
      </w:r>
      <w:r w:rsidR="00EC6A26" w:rsidRPr="000269CF">
        <w:rPr>
          <w:rFonts w:eastAsia="Calibri"/>
          <w:color w:val="000000"/>
          <w:u w:color="000000"/>
          <w:bdr w:val="nil"/>
          <w:lang w:val="en-GB"/>
        </w:rPr>
        <w:t xml:space="preserve"> of broadband </w:t>
      </w:r>
      <w:r w:rsidR="00CA3480">
        <w:rPr>
          <w:rFonts w:eastAsia="Calibri"/>
          <w:color w:val="000000"/>
          <w:u w:color="000000"/>
          <w:bdr w:val="nil"/>
          <w:lang w:val="en-GB"/>
        </w:rPr>
        <w:t>I</w:t>
      </w:r>
      <w:r w:rsidR="00EC6A26" w:rsidRPr="000269CF">
        <w:rPr>
          <w:rFonts w:eastAsia="Calibri"/>
          <w:color w:val="000000"/>
          <w:u w:color="000000"/>
          <w:bdr w:val="nil"/>
          <w:lang w:val="en-GB"/>
        </w:rPr>
        <w:t xml:space="preserve">nternet connections, </w:t>
      </w:r>
      <w:r w:rsidR="00CA3480">
        <w:rPr>
          <w:rFonts w:eastAsia="Calibri"/>
          <w:color w:val="000000"/>
          <w:u w:color="000000"/>
          <w:bdr w:val="nil"/>
          <w:lang w:val="en-GB"/>
        </w:rPr>
        <w:t>which</w:t>
      </w:r>
      <w:r w:rsidR="00EC6A26" w:rsidRPr="000269CF">
        <w:rPr>
          <w:rFonts w:eastAsia="Calibri"/>
          <w:color w:val="000000"/>
          <w:u w:color="000000"/>
          <w:bdr w:val="nil"/>
          <w:lang w:val="en-GB"/>
        </w:rPr>
        <w:t xml:space="preserve"> satellite </w:t>
      </w:r>
      <w:r w:rsidR="00CA3480">
        <w:rPr>
          <w:rFonts w:eastAsia="Calibri"/>
          <w:color w:val="000000"/>
          <w:u w:color="000000"/>
          <w:bdr w:val="nil"/>
          <w:lang w:val="en-GB"/>
        </w:rPr>
        <w:t>television</w:t>
      </w:r>
      <w:r w:rsidR="00EC6A26" w:rsidRPr="000269CF">
        <w:rPr>
          <w:rFonts w:eastAsia="Calibri"/>
          <w:color w:val="000000"/>
          <w:u w:color="000000"/>
          <w:bdr w:val="nil"/>
          <w:lang w:val="en-GB"/>
        </w:rPr>
        <w:t xml:space="preserve"> or telecom</w:t>
      </w:r>
      <w:r w:rsidR="00CA3480">
        <w:rPr>
          <w:rFonts w:eastAsia="Calibri"/>
          <w:color w:val="000000"/>
          <w:u w:color="000000"/>
          <w:bdr w:val="nil"/>
          <w:lang w:val="en-GB"/>
        </w:rPr>
        <w:t>munications</w:t>
      </w:r>
      <w:r w:rsidR="00EC6A26" w:rsidRPr="000269CF">
        <w:rPr>
          <w:rFonts w:eastAsia="Calibri"/>
          <w:color w:val="000000"/>
          <w:u w:color="000000"/>
          <w:bdr w:val="nil"/>
          <w:lang w:val="en-GB"/>
        </w:rPr>
        <w:t xml:space="preserve"> companies could not match.</w:t>
      </w:r>
      <w:r w:rsidR="00EC6A26" w:rsidRPr="000269CF">
        <w:rPr>
          <w:rFonts w:eastAsia="Calibri"/>
          <w:color w:val="000000"/>
          <w:u w:color="000000"/>
          <w:bdr w:val="nil"/>
          <w:vertAlign w:val="superscript"/>
          <w:lang w:val="en-GB"/>
        </w:rPr>
        <w:endnoteReference w:id="27"/>
      </w:r>
      <w:r w:rsidR="00EC6A26" w:rsidRPr="000269CF">
        <w:rPr>
          <w:rFonts w:eastAsia="Calibri"/>
          <w:color w:val="000000"/>
          <w:u w:color="000000"/>
          <w:bdr w:val="nil"/>
          <w:lang w:val="en-GB"/>
        </w:rPr>
        <w:t xml:space="preserve"> </w:t>
      </w:r>
      <w:r w:rsidR="007D2D1F">
        <w:rPr>
          <w:rFonts w:eastAsia="Calibri"/>
          <w:color w:val="000000"/>
          <w:u w:color="000000"/>
          <w:bdr w:val="nil"/>
          <w:lang w:val="en-GB"/>
        </w:rPr>
        <w:t>I</w:t>
      </w:r>
      <w:r>
        <w:rPr>
          <w:rFonts w:eastAsia="Calibri"/>
          <w:color w:val="000000"/>
          <w:u w:color="000000"/>
          <w:bdr w:val="nil"/>
          <w:lang w:val="en-GB"/>
        </w:rPr>
        <w:t>n April 2014, as t</w:t>
      </w:r>
      <w:r w:rsidR="00EC6A26" w:rsidRPr="000269CF">
        <w:rPr>
          <w:rFonts w:eastAsia="Calibri"/>
          <w:color w:val="000000"/>
          <w:u w:color="000000"/>
          <w:bdr w:val="nil"/>
          <w:lang w:val="en-GB"/>
        </w:rPr>
        <w:t>he U</w:t>
      </w:r>
      <w:r w:rsidR="00CA3480">
        <w:rPr>
          <w:rFonts w:eastAsia="Calibri"/>
          <w:color w:val="000000"/>
          <w:u w:color="000000"/>
          <w:bdr w:val="nil"/>
          <w:lang w:val="en-GB"/>
        </w:rPr>
        <w:t xml:space="preserve">nited </w:t>
      </w:r>
      <w:r w:rsidR="00EC6A26" w:rsidRPr="000269CF">
        <w:rPr>
          <w:rFonts w:eastAsia="Calibri"/>
          <w:color w:val="000000"/>
          <w:u w:color="000000"/>
          <w:bdr w:val="nil"/>
          <w:lang w:val="en-GB"/>
        </w:rPr>
        <w:t>S</w:t>
      </w:r>
      <w:r w:rsidR="00CA3480">
        <w:rPr>
          <w:rFonts w:eastAsia="Calibri"/>
          <w:color w:val="000000"/>
          <w:u w:color="000000"/>
          <w:bdr w:val="nil"/>
          <w:lang w:val="en-GB"/>
        </w:rPr>
        <w:t>tates</w:t>
      </w:r>
      <w:r w:rsidR="00EC6A26" w:rsidRPr="000269CF">
        <w:rPr>
          <w:rFonts w:eastAsia="Calibri"/>
          <w:color w:val="000000"/>
          <w:u w:color="000000"/>
          <w:bdr w:val="nil"/>
          <w:lang w:val="en-GB"/>
        </w:rPr>
        <w:t xml:space="preserve"> Congress was </w:t>
      </w:r>
      <w:r w:rsidR="00CA3480">
        <w:rPr>
          <w:rFonts w:eastAsia="Calibri"/>
          <w:color w:val="000000"/>
          <w:u w:color="000000"/>
          <w:bdr w:val="nil"/>
          <w:lang w:val="en-GB"/>
        </w:rPr>
        <w:t>prepa</w:t>
      </w:r>
      <w:r>
        <w:rPr>
          <w:rFonts w:eastAsia="Calibri"/>
          <w:color w:val="000000"/>
          <w:u w:color="000000"/>
          <w:bdr w:val="nil"/>
          <w:lang w:val="en-GB"/>
        </w:rPr>
        <w:t>ring</w:t>
      </w:r>
      <w:r w:rsidR="00EC6A26" w:rsidRPr="000269CF">
        <w:rPr>
          <w:rFonts w:eastAsia="Calibri"/>
          <w:color w:val="000000"/>
          <w:u w:color="000000"/>
          <w:bdr w:val="nil"/>
          <w:lang w:val="en-GB"/>
        </w:rPr>
        <w:t xml:space="preserve"> to hold hearings to scrutinize the deal for anticompetitive impact</w:t>
      </w:r>
      <w:r>
        <w:rPr>
          <w:rFonts w:eastAsia="Calibri"/>
          <w:color w:val="000000"/>
          <w:u w:color="000000"/>
          <w:bdr w:val="nil"/>
          <w:lang w:val="en-GB"/>
        </w:rPr>
        <w:t>,</w:t>
      </w:r>
      <w:r w:rsidR="00EC6A26" w:rsidRPr="000269CF">
        <w:rPr>
          <w:rFonts w:eastAsia="Calibri"/>
          <w:color w:val="000000"/>
          <w:u w:color="000000"/>
          <w:bdr w:val="nil"/>
          <w:vertAlign w:val="superscript"/>
          <w:lang w:val="en-GB"/>
        </w:rPr>
        <w:endnoteReference w:id="28"/>
      </w:r>
      <w:r w:rsidR="00EC6A26" w:rsidRPr="000269CF">
        <w:rPr>
          <w:rFonts w:eastAsia="Calibri"/>
          <w:color w:val="000000"/>
          <w:u w:color="000000"/>
          <w:bdr w:val="nil"/>
          <w:lang w:val="en-GB"/>
        </w:rPr>
        <w:t xml:space="preserve"> </w:t>
      </w:r>
      <w:r>
        <w:rPr>
          <w:rFonts w:eastAsia="Calibri"/>
          <w:color w:val="000000"/>
          <w:u w:color="000000"/>
          <w:bdr w:val="nil"/>
          <w:lang w:val="en-GB"/>
        </w:rPr>
        <w:t>50</w:t>
      </w:r>
      <w:r w:rsidR="00EC6A26" w:rsidRPr="000269CF">
        <w:rPr>
          <w:rFonts w:eastAsia="Calibri"/>
          <w:color w:val="000000"/>
          <w:u w:color="000000"/>
          <w:bdr w:val="nil"/>
          <w:lang w:val="en-GB"/>
        </w:rPr>
        <w:t xml:space="preserve"> consumer advocacy groups sent a letter to the FCC and DOJ </w:t>
      </w:r>
      <w:r>
        <w:rPr>
          <w:rFonts w:eastAsia="Calibri"/>
          <w:color w:val="000000"/>
          <w:u w:color="000000"/>
          <w:bdr w:val="nil"/>
          <w:lang w:val="en-GB"/>
        </w:rPr>
        <w:t>requesting that</w:t>
      </w:r>
      <w:r w:rsidR="00EC6A26" w:rsidRPr="000269CF">
        <w:rPr>
          <w:rFonts w:eastAsia="Calibri"/>
          <w:color w:val="000000"/>
          <w:u w:color="000000"/>
          <w:bdr w:val="nil"/>
          <w:lang w:val="en-GB"/>
        </w:rPr>
        <w:t xml:space="preserve"> the merger </w:t>
      </w:r>
      <w:r>
        <w:rPr>
          <w:rFonts w:eastAsia="Calibri"/>
          <w:color w:val="000000"/>
          <w:u w:color="000000"/>
          <w:bdr w:val="nil"/>
          <w:lang w:val="en-GB"/>
        </w:rPr>
        <w:t xml:space="preserve">be blocked </w:t>
      </w:r>
      <w:r w:rsidR="00EC6A26" w:rsidRPr="000269CF">
        <w:rPr>
          <w:rFonts w:eastAsia="Calibri"/>
          <w:color w:val="000000"/>
          <w:u w:color="000000"/>
          <w:bdr w:val="nil"/>
          <w:lang w:val="en-GB"/>
        </w:rPr>
        <w:t>because of its “</w:t>
      </w:r>
      <w:r w:rsidR="006008A4">
        <w:rPr>
          <w:rFonts w:eastAsia="Calibri"/>
          <w:color w:val="000000"/>
          <w:u w:color="000000"/>
          <w:bdr w:val="nil"/>
          <w:lang w:val="en-GB"/>
        </w:rPr>
        <w:t xml:space="preserve">. . . </w:t>
      </w:r>
      <w:r w:rsidR="00EC6A26" w:rsidRPr="000269CF">
        <w:rPr>
          <w:rFonts w:eastAsia="Calibri"/>
          <w:color w:val="000000"/>
          <w:u w:color="000000"/>
          <w:bdr w:val="nil"/>
          <w:lang w:val="en-GB"/>
        </w:rPr>
        <w:t>complete lack of any tangible benefits</w:t>
      </w:r>
      <w:r>
        <w:rPr>
          <w:rFonts w:eastAsia="Calibri"/>
          <w:color w:val="000000"/>
          <w:u w:color="000000"/>
          <w:bdr w:val="nil"/>
          <w:lang w:val="en-GB"/>
        </w:rPr>
        <w:t>.</w:t>
      </w:r>
      <w:r w:rsidR="00EC6A26" w:rsidRPr="000269CF">
        <w:rPr>
          <w:rFonts w:eastAsia="Calibri"/>
          <w:color w:val="000000"/>
          <w:u w:color="000000"/>
          <w:bdr w:val="nil"/>
          <w:lang w:val="en-GB"/>
        </w:rPr>
        <w:t xml:space="preserve"> </w:t>
      </w:r>
      <w:r>
        <w:rPr>
          <w:rFonts w:eastAsia="Calibri"/>
          <w:color w:val="000000"/>
          <w:u w:color="000000"/>
          <w:bdr w:val="nil"/>
          <w:lang w:val="en-GB"/>
        </w:rPr>
        <w:t>. . .</w:t>
      </w:r>
      <w:r w:rsidR="00EC6A26" w:rsidRPr="000269CF">
        <w:rPr>
          <w:rFonts w:eastAsia="Calibri"/>
          <w:color w:val="000000"/>
          <w:u w:color="000000"/>
          <w:bdr w:val="nil"/>
          <w:lang w:val="en-GB"/>
        </w:rPr>
        <w:t xml:space="preserve"> This merger taking place in the vacuum of regulatory oversight of broadband communications market would give Comcast unprecedented control over the Internet.” The</w:t>
      </w:r>
      <w:r>
        <w:rPr>
          <w:rFonts w:eastAsia="Calibri"/>
          <w:color w:val="000000"/>
          <w:u w:color="000000"/>
          <w:bdr w:val="nil"/>
          <w:lang w:val="en-GB"/>
        </w:rPr>
        <w:t xml:space="preserve"> 50</w:t>
      </w:r>
      <w:r w:rsidR="00EC6A26" w:rsidRPr="000269CF">
        <w:rPr>
          <w:rFonts w:eastAsia="Calibri"/>
          <w:color w:val="000000"/>
          <w:u w:color="000000"/>
          <w:bdr w:val="nil"/>
          <w:lang w:val="en-GB"/>
        </w:rPr>
        <w:t xml:space="preserve"> groups included </w:t>
      </w:r>
      <w:r w:rsidR="007D2D1F">
        <w:rPr>
          <w:rFonts w:eastAsia="Calibri"/>
          <w:color w:val="000000"/>
          <w:u w:color="000000"/>
          <w:bdr w:val="nil"/>
          <w:lang w:val="en-GB"/>
        </w:rPr>
        <w:t xml:space="preserve">the non-profit group </w:t>
      </w:r>
      <w:r w:rsidR="00EC6A26" w:rsidRPr="000269CF">
        <w:rPr>
          <w:rFonts w:eastAsia="Calibri"/>
          <w:color w:val="000000"/>
          <w:u w:color="000000"/>
          <w:bdr w:val="nil"/>
          <w:lang w:val="en-GB"/>
        </w:rPr>
        <w:t xml:space="preserve">Public Knowledge, </w:t>
      </w:r>
      <w:r w:rsidR="007D2D1F">
        <w:rPr>
          <w:rFonts w:eastAsia="Calibri"/>
          <w:color w:val="000000"/>
          <w:u w:color="000000"/>
          <w:bdr w:val="nil"/>
          <w:lang w:val="en-GB"/>
        </w:rPr>
        <w:t>which</w:t>
      </w:r>
      <w:r w:rsidR="00EC6A26" w:rsidRPr="000269CF">
        <w:rPr>
          <w:rFonts w:eastAsia="Calibri"/>
          <w:color w:val="000000"/>
          <w:u w:color="000000"/>
          <w:bdr w:val="nil"/>
          <w:lang w:val="en-GB"/>
        </w:rPr>
        <w:t xml:space="preserve"> received contributions from Google, a</w:t>
      </w:r>
      <w:r w:rsidR="007D2D1F">
        <w:rPr>
          <w:rFonts w:eastAsia="Calibri"/>
          <w:color w:val="000000"/>
          <w:u w:color="000000"/>
          <w:bdr w:val="nil"/>
          <w:lang w:val="en-GB"/>
        </w:rPr>
        <w:t>s well as</w:t>
      </w:r>
      <w:r w:rsidR="00EC6A26" w:rsidRPr="000269CF">
        <w:rPr>
          <w:rFonts w:eastAsia="Calibri"/>
          <w:color w:val="000000"/>
          <w:u w:color="000000"/>
          <w:bdr w:val="nil"/>
          <w:lang w:val="en-GB"/>
        </w:rPr>
        <w:t xml:space="preserve"> satellite companies DirecTV and Dish Network, among others. </w:t>
      </w:r>
      <w:r w:rsidR="00EC6A26" w:rsidRPr="000269CF">
        <w:rPr>
          <w:rFonts w:eastAsia="Calibri"/>
          <w:color w:val="000000"/>
          <w:u w:color="000000"/>
          <w:bdr w:val="nil"/>
          <w:vertAlign w:val="superscript"/>
          <w:lang w:val="en-GB"/>
        </w:rPr>
        <w:endnoteReference w:id="29"/>
      </w:r>
      <w:r w:rsidR="00EC6A26" w:rsidRPr="000269CF">
        <w:rPr>
          <w:rFonts w:eastAsia="Calibri"/>
          <w:color w:val="000000"/>
          <w:u w:color="000000"/>
          <w:bdr w:val="nil"/>
          <w:lang w:val="en-GB"/>
        </w:rPr>
        <w:t xml:space="preserve"> </w:t>
      </w:r>
      <w:r>
        <w:rPr>
          <w:rFonts w:eastAsia="Calibri"/>
          <w:color w:val="000000"/>
          <w:u w:color="000000"/>
          <w:bdr w:val="nil"/>
          <w:lang w:val="en-GB"/>
        </w:rPr>
        <w:t xml:space="preserve">That same month, </w:t>
      </w:r>
      <w:r w:rsidR="00EC6A26" w:rsidRPr="000269CF">
        <w:rPr>
          <w:rFonts w:eastAsia="Calibri"/>
          <w:color w:val="000000"/>
          <w:u w:color="000000"/>
          <w:bdr w:val="nil"/>
          <w:lang w:val="en-GB"/>
        </w:rPr>
        <w:t xml:space="preserve">Netflix </w:t>
      </w:r>
      <w:r>
        <w:rPr>
          <w:rFonts w:eastAsia="Calibri"/>
          <w:color w:val="000000"/>
          <w:u w:color="000000"/>
          <w:bdr w:val="nil"/>
          <w:lang w:val="en-GB"/>
        </w:rPr>
        <w:t>sent</w:t>
      </w:r>
      <w:r w:rsidR="00EC6A26" w:rsidRPr="000269CF">
        <w:rPr>
          <w:rFonts w:eastAsia="Calibri"/>
          <w:color w:val="000000"/>
          <w:u w:color="000000"/>
          <w:bdr w:val="nil"/>
          <w:lang w:val="en-GB"/>
        </w:rPr>
        <w:t xml:space="preserve"> a letter to shareholders also oppos</w:t>
      </w:r>
      <w:r>
        <w:rPr>
          <w:rFonts w:eastAsia="Calibri"/>
          <w:color w:val="000000"/>
          <w:u w:color="000000"/>
          <w:bdr w:val="nil"/>
          <w:lang w:val="en-GB"/>
        </w:rPr>
        <w:t>ing</w:t>
      </w:r>
      <w:r w:rsidR="00EC6A26" w:rsidRPr="000269CF">
        <w:rPr>
          <w:rFonts w:eastAsia="Calibri"/>
          <w:color w:val="000000"/>
          <w:u w:color="000000"/>
          <w:bdr w:val="nil"/>
          <w:lang w:val="en-GB"/>
        </w:rPr>
        <w:t xml:space="preserve"> the deal</w:t>
      </w:r>
      <w:r>
        <w:rPr>
          <w:rFonts w:eastAsia="Calibri"/>
          <w:color w:val="000000"/>
          <w:u w:color="000000"/>
          <w:bdr w:val="nil"/>
          <w:lang w:val="en-GB"/>
        </w:rPr>
        <w:t>, while</w:t>
      </w:r>
      <w:r w:rsidR="00EC6A26" w:rsidRPr="000269CF">
        <w:rPr>
          <w:rFonts w:eastAsia="Calibri"/>
          <w:color w:val="000000"/>
          <w:u w:color="000000"/>
          <w:bdr w:val="nil"/>
          <w:lang w:val="en-GB"/>
        </w:rPr>
        <w:t xml:space="preserve"> Dish Network asked the FCC to block the merger </w:t>
      </w:r>
      <w:r>
        <w:rPr>
          <w:rFonts w:eastAsia="Calibri"/>
          <w:color w:val="000000"/>
          <w:u w:color="000000"/>
          <w:bdr w:val="nil"/>
          <w:lang w:val="en-GB"/>
        </w:rPr>
        <w:t>to avoid a much larger</w:t>
      </w:r>
      <w:r w:rsidR="00EC6A26" w:rsidRPr="000269CF">
        <w:rPr>
          <w:rFonts w:eastAsia="Calibri"/>
          <w:color w:val="000000"/>
          <w:u w:color="000000"/>
          <w:bdr w:val="nil"/>
          <w:lang w:val="en-GB"/>
        </w:rPr>
        <w:t xml:space="preserve"> Comcast </w:t>
      </w:r>
      <w:r>
        <w:rPr>
          <w:rFonts w:eastAsia="Calibri"/>
          <w:color w:val="000000"/>
          <w:u w:color="000000"/>
          <w:bdr w:val="nil"/>
          <w:lang w:val="en-GB"/>
        </w:rPr>
        <w:t>from</w:t>
      </w:r>
      <w:r w:rsidR="00EC6A26" w:rsidRPr="000269CF">
        <w:rPr>
          <w:rFonts w:eastAsia="Calibri"/>
          <w:color w:val="000000"/>
          <w:u w:color="000000"/>
          <w:bdr w:val="nil"/>
          <w:lang w:val="en-GB"/>
        </w:rPr>
        <w:t xml:space="preserve"> us</w:t>
      </w:r>
      <w:r>
        <w:rPr>
          <w:rFonts w:eastAsia="Calibri"/>
          <w:color w:val="000000"/>
          <w:u w:color="000000"/>
          <w:bdr w:val="nil"/>
          <w:lang w:val="en-GB"/>
        </w:rPr>
        <w:t>ing</w:t>
      </w:r>
      <w:r w:rsidR="00EC6A26" w:rsidRPr="000269CF">
        <w:rPr>
          <w:rFonts w:eastAsia="Calibri"/>
          <w:color w:val="000000"/>
          <w:u w:color="000000"/>
          <w:bdr w:val="nil"/>
          <w:lang w:val="en-GB"/>
        </w:rPr>
        <w:t xml:space="preserve"> its increased control to harm competing video services.</w:t>
      </w:r>
      <w:r w:rsidR="00EC6A26" w:rsidRPr="000269CF">
        <w:rPr>
          <w:rFonts w:eastAsia="Calibri"/>
          <w:color w:val="000000"/>
          <w:u w:color="000000"/>
          <w:bdr w:val="nil"/>
          <w:vertAlign w:val="superscript"/>
          <w:lang w:val="en-GB"/>
        </w:rPr>
        <w:endnoteReference w:id="30"/>
      </w:r>
    </w:p>
    <w:p w14:paraId="20BDDC9F" w14:textId="77777777" w:rsidR="00EC6A26" w:rsidRPr="000269CF" w:rsidRDefault="00EC6A26" w:rsidP="00EC6A26">
      <w:pPr>
        <w:pStyle w:val="BodyTextMain"/>
        <w:rPr>
          <w:lang w:val="en-GB"/>
        </w:rPr>
      </w:pPr>
    </w:p>
    <w:p w14:paraId="2EC57C4E" w14:textId="6643E46A" w:rsidR="00EC6A26" w:rsidRPr="000269CF" w:rsidRDefault="00EC6A26" w:rsidP="00EC6A26">
      <w:pPr>
        <w:pStyle w:val="BodyTextMain"/>
        <w:rPr>
          <w:rFonts w:eastAsia="Arial Unicode MS"/>
          <w:bdr w:val="nil"/>
          <w:lang w:val="en-GB"/>
        </w:rPr>
      </w:pPr>
      <w:r w:rsidRPr="000269CF">
        <w:rPr>
          <w:rFonts w:eastAsia="Calibri"/>
          <w:bdr w:val="nil"/>
          <w:lang w:val="en-GB"/>
        </w:rPr>
        <w:t>Confirming</w:t>
      </w:r>
      <w:r w:rsidR="001C3FCB">
        <w:rPr>
          <w:rFonts w:eastAsia="Calibri"/>
          <w:bdr w:val="nil"/>
          <w:lang w:val="en-GB"/>
        </w:rPr>
        <w:t xml:space="preserve"> some of</w:t>
      </w:r>
      <w:r w:rsidRPr="000269CF">
        <w:rPr>
          <w:rFonts w:eastAsia="Calibri"/>
          <w:bdr w:val="nil"/>
          <w:lang w:val="en-GB"/>
        </w:rPr>
        <w:t xml:space="preserve"> the fears, the news media reported shortly after the Comcast deal announcement that Netflix had entered into a multimillion-dollar agreement with Comcast to ensure access to reliable cable distribution for its programming.</w:t>
      </w:r>
      <w:r w:rsidRPr="000269CF">
        <w:rPr>
          <w:rFonts w:eastAsia="Calibri"/>
          <w:bdr w:val="nil"/>
          <w:vertAlign w:val="superscript"/>
          <w:lang w:val="en-GB"/>
        </w:rPr>
        <w:endnoteReference w:id="31"/>
      </w:r>
      <w:r w:rsidRPr="000269CF">
        <w:rPr>
          <w:rFonts w:eastAsia="Calibri"/>
          <w:bdr w:val="nil"/>
          <w:lang w:val="en-GB"/>
        </w:rPr>
        <w:t xml:space="preserve"> Professor Tim Wu pointed out that </w:t>
      </w:r>
      <w:r w:rsidRPr="0047411A">
        <w:t>“</w:t>
      </w:r>
      <w:r w:rsidR="006008A4" w:rsidRPr="0047411A">
        <w:t xml:space="preserve">. . . </w:t>
      </w:r>
      <w:r w:rsidRPr="0047411A">
        <w:t xml:space="preserve">this is the water in the basement </w:t>
      </w:r>
      <w:r w:rsidRPr="0047411A">
        <w:lastRenderedPageBreak/>
        <w:t xml:space="preserve">for the Internet industry,” and it </w:t>
      </w:r>
      <w:r w:rsidRPr="0047411A">
        <w:rPr>
          <w:rFonts w:eastAsia="Arial Unicode MS"/>
        </w:rPr>
        <w:t>would raise costs for streaming companies and their customers</w:t>
      </w:r>
      <w:r w:rsidRPr="000269CF">
        <w:rPr>
          <w:rFonts w:eastAsia="Arial Unicode MS"/>
          <w:bdr w:val="nil"/>
          <w:lang w:val="en-GB"/>
        </w:rPr>
        <w:t>.</w:t>
      </w:r>
      <w:r w:rsidRPr="000269CF">
        <w:rPr>
          <w:rFonts w:eastAsia="Calibri"/>
          <w:bdr w:val="nil"/>
          <w:vertAlign w:val="superscript"/>
          <w:lang w:val="en-GB"/>
        </w:rPr>
        <w:endnoteReference w:id="32"/>
      </w:r>
      <w:r w:rsidRPr="000269CF">
        <w:rPr>
          <w:rFonts w:eastAsia="Arial Unicode MS"/>
          <w:bdr w:val="nil"/>
          <w:lang w:val="en-GB"/>
        </w:rPr>
        <w:t xml:space="preserve"> </w:t>
      </w:r>
      <w:r w:rsidR="00E91350">
        <w:rPr>
          <w:rFonts w:eastAsia="Arial Unicode MS"/>
          <w:bdr w:val="nil"/>
          <w:lang w:val="en-GB"/>
        </w:rPr>
        <w:t>Over time, s</w:t>
      </w:r>
      <w:r w:rsidRPr="000269CF">
        <w:rPr>
          <w:rFonts w:eastAsia="Arial Unicode MS"/>
          <w:bdr w:val="nil"/>
          <w:lang w:val="en-GB"/>
        </w:rPr>
        <w:t xml:space="preserve">uch arrangements </w:t>
      </w:r>
      <w:r w:rsidR="001A23EF" w:rsidRPr="000269CF">
        <w:rPr>
          <w:rFonts w:eastAsia="Arial Unicode MS"/>
          <w:bdr w:val="nil"/>
          <w:lang w:val="en-GB"/>
        </w:rPr>
        <w:t xml:space="preserve">would </w:t>
      </w:r>
      <w:r w:rsidRPr="000269CF">
        <w:rPr>
          <w:rFonts w:eastAsia="Arial Unicode MS"/>
          <w:bdr w:val="nil"/>
          <w:lang w:val="en-GB"/>
        </w:rPr>
        <w:t>stifle OTT streaming innovations because such high fees would be unaffordable for small start</w:t>
      </w:r>
      <w:r w:rsidR="001C3FCB">
        <w:rPr>
          <w:rFonts w:eastAsia="Arial Unicode MS"/>
          <w:bdr w:val="nil"/>
          <w:lang w:val="en-GB"/>
        </w:rPr>
        <w:t>-</w:t>
      </w:r>
      <w:r w:rsidRPr="000269CF">
        <w:rPr>
          <w:rFonts w:eastAsia="Arial Unicode MS"/>
          <w:bdr w:val="nil"/>
          <w:lang w:val="en-GB"/>
        </w:rPr>
        <w:t xml:space="preserve">up OTTs. </w:t>
      </w:r>
    </w:p>
    <w:p w14:paraId="693E8D2E" w14:textId="77777777" w:rsidR="00EC6A26" w:rsidRPr="000269CF" w:rsidRDefault="00EC6A26" w:rsidP="00EC6A26">
      <w:pPr>
        <w:pStyle w:val="BodyTextMain"/>
        <w:rPr>
          <w:lang w:val="en-GB"/>
        </w:rPr>
      </w:pPr>
    </w:p>
    <w:p w14:paraId="1FBB1D8A" w14:textId="203F3994" w:rsidR="00EC6A26" w:rsidRPr="000269CF" w:rsidRDefault="00EC6A26" w:rsidP="00EC6A26">
      <w:pPr>
        <w:pStyle w:val="BodyTextMain"/>
        <w:rPr>
          <w:rFonts w:eastAsia="Calibri"/>
          <w:color w:val="000000"/>
          <w:u w:color="000000"/>
          <w:bdr w:val="nil"/>
          <w:lang w:val="en-GB"/>
        </w:rPr>
      </w:pPr>
      <w:r w:rsidRPr="000269CF">
        <w:rPr>
          <w:rFonts w:eastAsia="Calibri"/>
          <w:color w:val="000000"/>
          <w:u w:color="000000"/>
          <w:bdr w:val="nil"/>
          <w:lang w:val="en-GB"/>
        </w:rPr>
        <w:t xml:space="preserve">Michael </w:t>
      </w:r>
      <w:proofErr w:type="spellStart"/>
      <w:r w:rsidRPr="000269CF">
        <w:rPr>
          <w:rFonts w:eastAsia="Calibri"/>
          <w:color w:val="000000"/>
          <w:u w:color="000000"/>
          <w:bdr w:val="nil"/>
          <w:lang w:val="en-GB"/>
        </w:rPr>
        <w:t>Copp</w:t>
      </w:r>
      <w:proofErr w:type="spellEnd"/>
      <w:r w:rsidR="001C3FCB">
        <w:rPr>
          <w:rFonts w:eastAsia="Calibri"/>
          <w:color w:val="000000"/>
          <w:u w:color="000000"/>
          <w:bdr w:val="nil"/>
          <w:lang w:val="en-GB"/>
        </w:rPr>
        <w:t>, the a</w:t>
      </w:r>
      <w:r w:rsidR="001C3FCB" w:rsidRPr="000269CF">
        <w:rPr>
          <w:rFonts w:eastAsia="Calibri"/>
          <w:color w:val="000000"/>
          <w:u w:color="000000"/>
          <w:bdr w:val="nil"/>
          <w:lang w:val="en-GB"/>
        </w:rPr>
        <w:t xml:space="preserve">cting </w:t>
      </w:r>
      <w:r w:rsidR="001C3FCB">
        <w:rPr>
          <w:rFonts w:eastAsia="Calibri"/>
          <w:color w:val="000000"/>
          <w:u w:color="000000"/>
          <w:bdr w:val="nil"/>
          <w:lang w:val="en-GB"/>
        </w:rPr>
        <w:t>c</w:t>
      </w:r>
      <w:r w:rsidR="001C3FCB" w:rsidRPr="000269CF">
        <w:rPr>
          <w:rFonts w:eastAsia="Calibri"/>
          <w:color w:val="000000"/>
          <w:u w:color="000000"/>
          <w:bdr w:val="nil"/>
          <w:lang w:val="en-GB"/>
        </w:rPr>
        <w:t xml:space="preserve">hairman </w:t>
      </w:r>
      <w:r w:rsidR="001C3FCB">
        <w:rPr>
          <w:rFonts w:eastAsia="Calibri"/>
          <w:color w:val="000000"/>
          <w:u w:color="000000"/>
          <w:bdr w:val="nil"/>
          <w:lang w:val="en-GB"/>
        </w:rPr>
        <w:t>of the FCC,</w:t>
      </w:r>
      <w:r w:rsidRPr="000269CF">
        <w:rPr>
          <w:rFonts w:eastAsia="Calibri"/>
          <w:color w:val="000000"/>
          <w:u w:color="000000"/>
          <w:bdr w:val="nil"/>
          <w:lang w:val="en-GB"/>
        </w:rPr>
        <w:t xml:space="preserve"> was quoted as saying, “There is a strong case to be made why this merger shouldn’t be approved</w:t>
      </w:r>
      <w:r w:rsidR="001C3FCB">
        <w:rPr>
          <w:rFonts w:eastAsia="Calibri"/>
          <w:color w:val="000000"/>
          <w:u w:color="000000"/>
          <w:bdr w:val="nil"/>
          <w:lang w:val="en-GB"/>
        </w:rPr>
        <w:t>. . . .</w:t>
      </w:r>
      <w:r w:rsidRPr="000269CF">
        <w:rPr>
          <w:rFonts w:eastAsia="Calibri"/>
          <w:color w:val="000000"/>
          <w:u w:color="000000"/>
          <w:bdr w:val="nil"/>
          <w:lang w:val="en-GB"/>
        </w:rPr>
        <w:t xml:space="preserve"> It is just so much power for one company to amass, and it is not just cable. They’re a broadband company, they’re a broadcast company, they’re new media, they’re old media, they’re telecom, they’re everything.”</w:t>
      </w:r>
      <w:r w:rsidRPr="000269CF">
        <w:rPr>
          <w:rFonts w:eastAsia="Calibri"/>
          <w:color w:val="000000"/>
          <w:u w:color="000000"/>
          <w:bdr w:val="nil"/>
          <w:vertAlign w:val="superscript"/>
          <w:lang w:val="en-GB"/>
        </w:rPr>
        <w:endnoteReference w:id="33"/>
      </w:r>
      <w:r w:rsidRPr="000269CF">
        <w:rPr>
          <w:rFonts w:eastAsia="Calibri"/>
          <w:color w:val="000000"/>
          <w:u w:color="000000"/>
          <w:bdr w:val="nil"/>
          <w:lang w:val="en-GB"/>
        </w:rPr>
        <w:t xml:space="preserve"> Review by federal agencies was likely to focus on access to high</w:t>
      </w:r>
      <w:r w:rsidR="00C84F4D">
        <w:rPr>
          <w:rFonts w:eastAsia="Calibri"/>
          <w:color w:val="000000"/>
          <w:u w:color="000000"/>
          <w:bdr w:val="nil"/>
          <w:lang w:val="en-GB"/>
        </w:rPr>
        <w:t>-</w:t>
      </w:r>
      <w:r w:rsidRPr="000269CF">
        <w:rPr>
          <w:rFonts w:eastAsia="Calibri"/>
          <w:color w:val="000000"/>
          <w:u w:color="000000"/>
          <w:bdr w:val="nil"/>
          <w:lang w:val="en-GB"/>
        </w:rPr>
        <w:t>speed Internet</w:t>
      </w:r>
      <w:r w:rsidR="00CE1C42">
        <w:rPr>
          <w:rFonts w:eastAsia="Calibri"/>
          <w:color w:val="000000"/>
          <w:u w:color="000000"/>
          <w:bdr w:val="nil"/>
          <w:lang w:val="en-GB"/>
        </w:rPr>
        <w:t>,</w:t>
      </w:r>
      <w:r w:rsidR="00C84F4D">
        <w:rPr>
          <w:rFonts w:eastAsia="Calibri"/>
          <w:color w:val="000000"/>
          <w:u w:color="000000"/>
          <w:bdr w:val="nil"/>
          <w:lang w:val="en-GB"/>
        </w:rPr>
        <w:t xml:space="preserve"> at</w:t>
      </w:r>
      <w:r w:rsidRPr="000269CF">
        <w:rPr>
          <w:rFonts w:eastAsia="Calibri"/>
          <w:color w:val="000000"/>
          <w:u w:color="000000"/>
          <w:bdr w:val="nil"/>
          <w:lang w:val="en-GB"/>
        </w:rPr>
        <w:t xml:space="preserve"> 25 megabits per second</w:t>
      </w:r>
      <w:r w:rsidR="00C84F4D">
        <w:rPr>
          <w:rFonts w:eastAsia="Calibri"/>
          <w:color w:val="000000"/>
          <w:u w:color="000000"/>
          <w:bdr w:val="nil"/>
          <w:lang w:val="en-GB"/>
        </w:rPr>
        <w:t xml:space="preserve"> (mbps</w:t>
      </w:r>
      <w:r w:rsidRPr="000269CF">
        <w:rPr>
          <w:rFonts w:eastAsia="Calibri"/>
          <w:color w:val="000000"/>
          <w:u w:color="000000"/>
          <w:bdr w:val="nil"/>
          <w:lang w:val="en-GB"/>
        </w:rPr>
        <w:t>) or higher</w:t>
      </w:r>
      <w:r w:rsidR="00CE1C42">
        <w:rPr>
          <w:rFonts w:eastAsia="Calibri"/>
          <w:color w:val="000000"/>
          <w:u w:color="000000"/>
          <w:bdr w:val="nil"/>
          <w:lang w:val="en-GB"/>
        </w:rPr>
        <w:t xml:space="preserve">. After the </w:t>
      </w:r>
      <w:r w:rsidRPr="000269CF">
        <w:rPr>
          <w:rFonts w:eastAsia="Calibri"/>
          <w:color w:val="000000"/>
          <w:u w:color="000000"/>
          <w:bdr w:val="nil"/>
          <w:lang w:val="en-GB"/>
        </w:rPr>
        <w:t>merger</w:t>
      </w:r>
      <w:r w:rsidR="00CE1C42">
        <w:rPr>
          <w:rFonts w:eastAsia="Calibri"/>
          <w:color w:val="000000"/>
          <w:u w:color="000000"/>
          <w:bdr w:val="nil"/>
          <w:lang w:val="en-GB"/>
        </w:rPr>
        <w:t>,</w:t>
      </w:r>
      <w:r w:rsidRPr="000269CF">
        <w:rPr>
          <w:rFonts w:eastAsia="Calibri"/>
          <w:color w:val="000000"/>
          <w:u w:color="000000"/>
          <w:bdr w:val="nil"/>
          <w:lang w:val="en-GB"/>
        </w:rPr>
        <w:t xml:space="preserve"> Comcast w</w:t>
      </w:r>
      <w:r w:rsidR="00CE1C42">
        <w:rPr>
          <w:rFonts w:eastAsia="Calibri"/>
          <w:color w:val="000000"/>
          <w:u w:color="000000"/>
          <w:bdr w:val="nil"/>
          <w:lang w:val="en-GB"/>
        </w:rPr>
        <w:t>as expected to</w:t>
      </w:r>
      <w:r w:rsidRPr="000269CF">
        <w:rPr>
          <w:rFonts w:eastAsia="Calibri"/>
          <w:color w:val="000000"/>
          <w:u w:color="000000"/>
          <w:bdr w:val="nil"/>
          <w:lang w:val="en-GB"/>
        </w:rPr>
        <w:t xml:space="preserve"> have a market share of at least 50</w:t>
      </w:r>
      <w:r w:rsidR="00CE1C42">
        <w:rPr>
          <w:rFonts w:eastAsia="Calibri"/>
          <w:color w:val="000000"/>
          <w:u w:color="000000"/>
          <w:bdr w:val="nil"/>
          <w:lang w:val="en-GB"/>
        </w:rPr>
        <w:t xml:space="preserve"> per cent of this segmen</w:t>
      </w:r>
      <w:r w:rsidR="00E91350">
        <w:rPr>
          <w:rFonts w:eastAsia="Calibri"/>
          <w:color w:val="000000"/>
          <w:u w:color="000000"/>
          <w:bdr w:val="nil"/>
          <w:lang w:val="en-GB"/>
        </w:rPr>
        <w:t>t. I</w:t>
      </w:r>
      <w:r w:rsidR="00CE1C42">
        <w:rPr>
          <w:rFonts w:eastAsia="Calibri"/>
          <w:color w:val="000000"/>
          <w:u w:color="000000"/>
          <w:bdr w:val="nil"/>
          <w:lang w:val="en-GB"/>
        </w:rPr>
        <w:t xml:space="preserve">n some </w:t>
      </w:r>
      <w:r w:rsidRPr="000269CF">
        <w:rPr>
          <w:rFonts w:eastAsia="Calibri"/>
          <w:color w:val="000000"/>
          <w:u w:color="000000"/>
          <w:bdr w:val="nil"/>
          <w:lang w:val="en-GB"/>
        </w:rPr>
        <w:t>geographic areas</w:t>
      </w:r>
      <w:r w:rsidR="00CE1C42">
        <w:rPr>
          <w:rFonts w:eastAsia="Calibri"/>
          <w:color w:val="000000"/>
          <w:u w:color="000000"/>
          <w:bdr w:val="nil"/>
          <w:lang w:val="en-GB"/>
        </w:rPr>
        <w:t>,</w:t>
      </w:r>
      <w:r w:rsidRPr="000269CF">
        <w:rPr>
          <w:rFonts w:eastAsia="Calibri"/>
          <w:color w:val="000000"/>
          <w:u w:color="000000"/>
          <w:bdr w:val="nil"/>
          <w:lang w:val="en-GB"/>
        </w:rPr>
        <w:t xml:space="preserve"> Comcast would be </w:t>
      </w:r>
      <w:r w:rsidR="00CE1C42">
        <w:rPr>
          <w:rFonts w:eastAsia="Calibri"/>
          <w:color w:val="000000"/>
          <w:u w:color="000000"/>
          <w:bdr w:val="nil"/>
          <w:lang w:val="en-GB"/>
        </w:rPr>
        <w:t xml:space="preserve">virtually </w:t>
      </w:r>
      <w:r w:rsidRPr="000269CF">
        <w:rPr>
          <w:rFonts w:eastAsia="Calibri"/>
          <w:color w:val="000000"/>
          <w:u w:color="000000"/>
          <w:bdr w:val="nil"/>
          <w:lang w:val="en-GB"/>
        </w:rPr>
        <w:t>the only provider</w:t>
      </w:r>
      <w:r w:rsidR="00E91350">
        <w:rPr>
          <w:rFonts w:eastAsia="Calibri"/>
          <w:color w:val="000000"/>
          <w:u w:color="000000"/>
          <w:bdr w:val="nil"/>
          <w:lang w:val="en-GB"/>
        </w:rPr>
        <w:t>, so f</w:t>
      </w:r>
      <w:r w:rsidRPr="000269CF">
        <w:rPr>
          <w:rFonts w:eastAsia="Calibri"/>
          <w:color w:val="000000"/>
          <w:u w:color="000000"/>
          <w:bdr w:val="nil"/>
          <w:lang w:val="en-GB"/>
        </w:rPr>
        <w:t xml:space="preserve">ew options </w:t>
      </w:r>
      <w:r w:rsidR="00CE1C42">
        <w:rPr>
          <w:rFonts w:eastAsia="Calibri"/>
          <w:color w:val="000000"/>
          <w:u w:color="000000"/>
          <w:bdr w:val="nil"/>
          <w:lang w:val="en-GB"/>
        </w:rPr>
        <w:t>w</w:t>
      </w:r>
      <w:r w:rsidR="00E91350">
        <w:rPr>
          <w:rFonts w:eastAsia="Calibri"/>
          <w:color w:val="000000"/>
          <w:u w:color="000000"/>
          <w:bdr w:val="nil"/>
          <w:lang w:val="en-GB"/>
        </w:rPr>
        <w:t>ould be</w:t>
      </w:r>
      <w:r w:rsidR="00CE1C42">
        <w:rPr>
          <w:rFonts w:eastAsia="Calibri"/>
          <w:color w:val="000000"/>
          <w:u w:color="000000"/>
          <w:bdr w:val="nil"/>
          <w:lang w:val="en-GB"/>
        </w:rPr>
        <w:t xml:space="preserve"> available to consumers. M</w:t>
      </w:r>
      <w:r w:rsidRPr="000269CF">
        <w:rPr>
          <w:rFonts w:eastAsia="Calibri"/>
          <w:color w:val="000000"/>
          <w:u w:color="000000"/>
          <w:bdr w:val="nil"/>
          <w:lang w:val="en-GB"/>
        </w:rPr>
        <w:t xml:space="preserve">ost mobile broadband service providers transmitted data </w:t>
      </w:r>
      <w:r w:rsidR="00CE1C42">
        <w:rPr>
          <w:rFonts w:eastAsia="Calibri"/>
          <w:color w:val="000000"/>
          <w:u w:color="000000"/>
          <w:bdr w:val="nil"/>
          <w:lang w:val="en-GB"/>
        </w:rPr>
        <w:t>at speeds of</w:t>
      </w:r>
      <w:r w:rsidRPr="000269CF">
        <w:rPr>
          <w:rFonts w:eastAsia="Calibri"/>
          <w:color w:val="000000"/>
          <w:u w:color="000000"/>
          <w:bdr w:val="nil"/>
          <w:lang w:val="en-GB"/>
        </w:rPr>
        <w:t xml:space="preserve"> only </w:t>
      </w:r>
      <w:r w:rsidR="006008A4">
        <w:rPr>
          <w:rFonts w:eastAsia="Calibri"/>
          <w:color w:val="000000"/>
          <w:u w:color="000000"/>
          <w:bdr w:val="nil"/>
          <w:lang w:val="en-GB"/>
        </w:rPr>
        <w:t>eight</w:t>
      </w:r>
      <w:r w:rsidR="00CE1C42">
        <w:rPr>
          <w:rFonts w:eastAsia="Calibri"/>
          <w:color w:val="000000"/>
          <w:u w:color="000000"/>
          <w:bdr w:val="nil"/>
          <w:lang w:val="en-GB"/>
        </w:rPr>
        <w:t xml:space="preserve"> </w:t>
      </w:r>
      <w:proofErr w:type="spellStart"/>
      <w:r w:rsidRPr="000269CF">
        <w:rPr>
          <w:rFonts w:eastAsia="Calibri"/>
          <w:color w:val="000000"/>
          <w:u w:color="000000"/>
          <w:bdr w:val="nil"/>
          <w:lang w:val="en-GB"/>
        </w:rPr>
        <w:t>mbps</w:t>
      </w:r>
      <w:proofErr w:type="spellEnd"/>
      <w:r w:rsidRPr="000269CF">
        <w:rPr>
          <w:rFonts w:eastAsia="Calibri"/>
          <w:color w:val="000000"/>
          <w:u w:color="000000"/>
          <w:bdr w:val="nil"/>
          <w:lang w:val="en-GB"/>
        </w:rPr>
        <w:t>, well below th</w:t>
      </w:r>
      <w:r w:rsidR="00CE1C42">
        <w:rPr>
          <w:rFonts w:eastAsia="Calibri"/>
          <w:color w:val="000000"/>
          <w:u w:color="000000"/>
          <w:bdr w:val="nil"/>
          <w:lang w:val="en-GB"/>
        </w:rPr>
        <w:t>e speed</w:t>
      </w:r>
      <w:r w:rsidRPr="000269CF">
        <w:rPr>
          <w:rFonts w:eastAsia="Calibri"/>
          <w:color w:val="000000"/>
          <w:u w:color="000000"/>
          <w:bdr w:val="nil"/>
          <w:lang w:val="en-GB"/>
        </w:rPr>
        <w:t xml:space="preserve"> of </w:t>
      </w:r>
      <w:r w:rsidR="00CE1C42">
        <w:rPr>
          <w:rFonts w:eastAsia="Calibri"/>
          <w:color w:val="000000"/>
          <w:u w:color="000000"/>
          <w:bdr w:val="nil"/>
          <w:lang w:val="en-GB"/>
        </w:rPr>
        <w:t>an</w:t>
      </w:r>
      <w:r w:rsidRPr="000269CF">
        <w:rPr>
          <w:rFonts w:eastAsia="Calibri"/>
          <w:color w:val="000000"/>
          <w:u w:color="000000"/>
          <w:bdr w:val="nil"/>
          <w:lang w:val="en-GB"/>
        </w:rPr>
        <w:t xml:space="preserve"> average cable </w:t>
      </w:r>
      <w:r w:rsidR="00CE1C42">
        <w:rPr>
          <w:rFonts w:eastAsia="Calibri"/>
          <w:color w:val="000000"/>
          <w:u w:color="000000"/>
          <w:bdr w:val="nil"/>
          <w:lang w:val="en-GB"/>
        </w:rPr>
        <w:t>television</w:t>
      </w:r>
      <w:r w:rsidRPr="000269CF">
        <w:rPr>
          <w:rFonts w:eastAsia="Calibri"/>
          <w:color w:val="000000"/>
          <w:u w:color="000000"/>
          <w:bdr w:val="nil"/>
          <w:lang w:val="en-GB"/>
        </w:rPr>
        <w:t xml:space="preserve"> modem. Competition from Verizon’s powerful fib</w:t>
      </w:r>
      <w:r w:rsidR="00CE1C42">
        <w:rPr>
          <w:rFonts w:eastAsia="Calibri"/>
          <w:color w:val="000000"/>
          <w:u w:color="000000"/>
          <w:bdr w:val="nil"/>
          <w:lang w:val="en-GB"/>
        </w:rPr>
        <w:t>r</w:t>
      </w:r>
      <w:r w:rsidRPr="000269CF">
        <w:rPr>
          <w:rFonts w:eastAsia="Calibri"/>
          <w:color w:val="000000"/>
          <w:u w:color="000000"/>
          <w:bdr w:val="nil"/>
          <w:lang w:val="en-GB"/>
        </w:rPr>
        <w:t>e optic cable existed only in 15</w:t>
      </w:r>
      <w:r w:rsidR="00CE1C42">
        <w:rPr>
          <w:rFonts w:eastAsia="Calibri"/>
          <w:color w:val="000000"/>
          <w:u w:color="000000"/>
          <w:bdr w:val="nil"/>
          <w:lang w:val="en-GB"/>
        </w:rPr>
        <w:t xml:space="preserve"> per cent</w:t>
      </w:r>
      <w:r w:rsidRPr="000269CF">
        <w:rPr>
          <w:rFonts w:eastAsia="Calibri"/>
          <w:color w:val="000000"/>
          <w:u w:color="000000"/>
          <w:bdr w:val="nil"/>
          <w:lang w:val="en-GB"/>
        </w:rPr>
        <w:t xml:space="preserve"> of the geographic markets, and Google </w:t>
      </w:r>
      <w:proofErr w:type="spellStart"/>
      <w:r w:rsidRPr="000269CF">
        <w:rPr>
          <w:rFonts w:eastAsia="Calibri"/>
          <w:color w:val="000000"/>
          <w:u w:color="000000"/>
          <w:bdr w:val="nil"/>
          <w:lang w:val="en-GB"/>
        </w:rPr>
        <w:t>Fiber</w:t>
      </w:r>
      <w:proofErr w:type="spellEnd"/>
      <w:r w:rsidRPr="000269CF">
        <w:rPr>
          <w:rFonts w:eastAsia="Calibri"/>
          <w:color w:val="000000"/>
          <w:u w:color="000000"/>
          <w:bdr w:val="nil"/>
          <w:lang w:val="en-GB"/>
        </w:rPr>
        <w:t xml:space="preserve"> was available in just three cities. As co</w:t>
      </w:r>
      <w:r w:rsidR="00CE1C42">
        <w:rPr>
          <w:rFonts w:eastAsia="Calibri"/>
          <w:color w:val="000000"/>
          <w:u w:color="000000"/>
          <w:bdr w:val="nil"/>
          <w:lang w:val="en-GB"/>
        </w:rPr>
        <w:t>nsu</w:t>
      </w:r>
      <w:r w:rsidRPr="000269CF">
        <w:rPr>
          <w:rFonts w:eastAsia="Calibri"/>
          <w:color w:val="000000"/>
          <w:u w:color="000000"/>
          <w:bdr w:val="nil"/>
          <w:lang w:val="en-GB"/>
        </w:rPr>
        <w:t xml:space="preserve">mers steadily switched to mobile devices for </w:t>
      </w:r>
      <w:r w:rsidR="00200C41">
        <w:rPr>
          <w:rFonts w:eastAsia="Calibri"/>
          <w:color w:val="000000"/>
          <w:u w:color="000000"/>
          <w:bdr w:val="nil"/>
          <w:lang w:val="en-GB"/>
        </w:rPr>
        <w:t xml:space="preserve">their </w:t>
      </w:r>
      <w:r w:rsidRPr="000269CF">
        <w:rPr>
          <w:rFonts w:eastAsia="Calibri"/>
          <w:color w:val="000000"/>
          <w:u w:color="000000"/>
          <w:bdr w:val="nil"/>
          <w:lang w:val="en-GB"/>
        </w:rPr>
        <w:t>news and entertainment</w:t>
      </w:r>
      <w:r w:rsidR="00200C41">
        <w:rPr>
          <w:rFonts w:eastAsia="Calibri"/>
          <w:color w:val="000000"/>
          <w:u w:color="000000"/>
          <w:bdr w:val="nil"/>
          <w:lang w:val="en-GB"/>
        </w:rPr>
        <w:t xml:space="preserve"> sources</w:t>
      </w:r>
      <w:r w:rsidRPr="000269CF">
        <w:rPr>
          <w:rFonts w:eastAsia="Calibri"/>
          <w:color w:val="000000"/>
          <w:u w:color="000000"/>
          <w:bdr w:val="nil"/>
          <w:lang w:val="en-GB"/>
        </w:rPr>
        <w:t xml:space="preserve">, the new Comcast would have unprecedented control </w:t>
      </w:r>
      <w:r w:rsidR="00200C41">
        <w:rPr>
          <w:rFonts w:eastAsia="Calibri"/>
          <w:color w:val="000000"/>
          <w:u w:color="000000"/>
          <w:bdr w:val="nil"/>
          <w:lang w:val="en-GB"/>
        </w:rPr>
        <w:t>through</w:t>
      </w:r>
      <w:r w:rsidRPr="000269CF">
        <w:rPr>
          <w:rFonts w:eastAsia="Calibri"/>
          <w:color w:val="000000"/>
          <w:u w:color="000000"/>
          <w:bdr w:val="nil"/>
          <w:lang w:val="en-GB"/>
        </w:rPr>
        <w:t xml:space="preserve"> the high-speed </w:t>
      </w:r>
      <w:r w:rsidR="00200C41">
        <w:rPr>
          <w:rFonts w:eastAsia="Calibri"/>
          <w:color w:val="000000"/>
          <w:u w:color="000000"/>
          <w:bdr w:val="nil"/>
          <w:lang w:val="en-GB"/>
        </w:rPr>
        <w:t>I</w:t>
      </w:r>
      <w:r w:rsidRPr="000269CF">
        <w:rPr>
          <w:rFonts w:eastAsia="Calibri"/>
          <w:color w:val="000000"/>
          <w:u w:color="000000"/>
          <w:bdr w:val="nil"/>
          <w:lang w:val="en-GB"/>
        </w:rPr>
        <w:t>nternet segment</w:t>
      </w:r>
      <w:r w:rsidR="00200C41">
        <w:rPr>
          <w:rFonts w:eastAsia="Calibri"/>
          <w:color w:val="000000"/>
          <w:u w:color="000000"/>
          <w:bdr w:val="nil"/>
          <w:lang w:val="en-GB"/>
        </w:rPr>
        <w:t>, allowing it to</w:t>
      </w:r>
      <w:r w:rsidRPr="000269CF">
        <w:rPr>
          <w:rFonts w:eastAsia="Calibri"/>
          <w:color w:val="000000"/>
          <w:u w:color="000000"/>
          <w:bdr w:val="nil"/>
          <w:lang w:val="en-GB"/>
        </w:rPr>
        <w:t xml:space="preserve"> raise broadband prices and limit programming choices.</w:t>
      </w:r>
      <w:r w:rsidRPr="000269CF">
        <w:rPr>
          <w:rFonts w:eastAsia="Calibri"/>
          <w:color w:val="000000"/>
          <w:u w:color="000000"/>
          <w:bdr w:val="nil"/>
          <w:vertAlign w:val="superscript"/>
          <w:lang w:val="en-GB"/>
        </w:rPr>
        <w:endnoteReference w:id="34"/>
      </w:r>
    </w:p>
    <w:p w14:paraId="4E4044B7" w14:textId="77777777" w:rsidR="00EC6A26" w:rsidRPr="000269CF" w:rsidRDefault="00EC6A26" w:rsidP="00EC6A26">
      <w:pPr>
        <w:pStyle w:val="BodyTextMain"/>
        <w:rPr>
          <w:rFonts w:eastAsia="Calibri"/>
          <w:color w:val="000000"/>
          <w:u w:color="000000"/>
          <w:bdr w:val="nil"/>
          <w:lang w:val="en-GB"/>
        </w:rPr>
      </w:pPr>
    </w:p>
    <w:p w14:paraId="68690C53" w14:textId="091B4EC6" w:rsidR="00EC6A26" w:rsidRPr="000269CF" w:rsidRDefault="00EC6A26" w:rsidP="00EC6A26">
      <w:pPr>
        <w:pStyle w:val="BodyTextMain"/>
        <w:rPr>
          <w:rFonts w:eastAsia="Calibri"/>
          <w:color w:val="000000"/>
          <w:u w:color="000000"/>
          <w:bdr w:val="nil"/>
          <w:lang w:val="en-GB"/>
        </w:rPr>
      </w:pPr>
      <w:r w:rsidRPr="000269CF">
        <w:rPr>
          <w:rFonts w:eastAsia="Calibri"/>
          <w:color w:val="000000"/>
          <w:u w:color="000000"/>
          <w:bdr w:val="nil"/>
          <w:lang w:val="en-GB"/>
        </w:rPr>
        <w:t xml:space="preserve">However, Bloomberg columnist Larry </w:t>
      </w:r>
      <w:proofErr w:type="spellStart"/>
      <w:r w:rsidRPr="000269CF">
        <w:rPr>
          <w:rFonts w:eastAsia="Calibri"/>
          <w:color w:val="000000"/>
          <w:u w:color="000000"/>
          <w:bdr w:val="nil"/>
          <w:lang w:val="en-GB"/>
        </w:rPr>
        <w:t>Propelka</w:t>
      </w:r>
      <w:proofErr w:type="spellEnd"/>
      <w:r w:rsidRPr="000269CF">
        <w:rPr>
          <w:rFonts w:eastAsia="Calibri"/>
          <w:color w:val="000000"/>
          <w:u w:color="000000"/>
          <w:bdr w:val="nil"/>
          <w:lang w:val="en-GB"/>
        </w:rPr>
        <w:t xml:space="preserve"> countered that th</w:t>
      </w:r>
      <w:r w:rsidR="002E3A2C">
        <w:rPr>
          <w:rFonts w:eastAsia="Calibri"/>
          <w:color w:val="000000"/>
          <w:u w:color="000000"/>
          <w:bdr w:val="nil"/>
          <w:lang w:val="en-GB"/>
        </w:rPr>
        <w:t>e merger</w:t>
      </w:r>
      <w:r w:rsidRPr="000269CF">
        <w:rPr>
          <w:rFonts w:eastAsia="Calibri"/>
          <w:color w:val="000000"/>
          <w:u w:color="000000"/>
          <w:bdr w:val="nil"/>
          <w:lang w:val="en-GB"/>
        </w:rPr>
        <w:t xml:space="preserve"> would not </w:t>
      </w:r>
      <w:r w:rsidR="002E3A2C">
        <w:rPr>
          <w:rFonts w:eastAsia="Calibri"/>
          <w:color w:val="000000"/>
          <w:u w:color="000000"/>
          <w:bdr w:val="nil"/>
          <w:lang w:val="en-GB"/>
        </w:rPr>
        <w:t>prove</w:t>
      </w:r>
      <w:r w:rsidRPr="000269CF">
        <w:rPr>
          <w:rFonts w:eastAsia="Calibri"/>
          <w:color w:val="000000"/>
          <w:u w:color="000000"/>
          <w:bdr w:val="nil"/>
          <w:lang w:val="en-GB"/>
        </w:rPr>
        <w:t xml:space="preserve"> anticompetitive because </w:t>
      </w:r>
      <w:r w:rsidR="002E3A2C">
        <w:rPr>
          <w:rFonts w:eastAsia="Calibri"/>
          <w:color w:val="000000"/>
          <w:u w:color="000000"/>
          <w:bdr w:val="nil"/>
          <w:lang w:val="en-GB"/>
        </w:rPr>
        <w:t xml:space="preserve">the </w:t>
      </w:r>
      <w:r w:rsidRPr="000269CF">
        <w:rPr>
          <w:rFonts w:eastAsia="Calibri"/>
          <w:color w:val="000000"/>
          <w:u w:color="000000"/>
          <w:bdr w:val="nil"/>
          <w:lang w:val="en-GB"/>
        </w:rPr>
        <w:t>cable television industry should be defined more broadly</w:t>
      </w:r>
      <w:r w:rsidR="00736692">
        <w:rPr>
          <w:rFonts w:eastAsia="Calibri"/>
          <w:color w:val="000000"/>
          <w:u w:color="000000"/>
          <w:bdr w:val="nil"/>
          <w:lang w:val="en-GB"/>
        </w:rPr>
        <w:t>, to</w:t>
      </w:r>
      <w:r w:rsidRPr="000269CF">
        <w:rPr>
          <w:rFonts w:eastAsia="Calibri"/>
          <w:color w:val="000000"/>
          <w:u w:color="000000"/>
          <w:bdr w:val="nil"/>
          <w:lang w:val="en-GB"/>
        </w:rPr>
        <w:t xml:space="preserve"> include satellite </w:t>
      </w:r>
      <w:r w:rsidR="00736692">
        <w:rPr>
          <w:rFonts w:eastAsia="Calibri"/>
          <w:color w:val="000000"/>
          <w:u w:color="000000"/>
          <w:bdr w:val="nil"/>
          <w:lang w:val="en-GB"/>
        </w:rPr>
        <w:t>television providers</w:t>
      </w:r>
      <w:r w:rsidRPr="000269CF">
        <w:rPr>
          <w:rFonts w:eastAsia="Calibri"/>
          <w:color w:val="000000"/>
          <w:u w:color="000000"/>
          <w:bdr w:val="nil"/>
          <w:lang w:val="en-GB"/>
        </w:rPr>
        <w:t>, telecommunication companies, and OTT media companies supporting mobile platforms</w:t>
      </w:r>
      <w:r w:rsidR="00736692">
        <w:rPr>
          <w:rFonts w:eastAsia="Calibri"/>
          <w:color w:val="000000"/>
          <w:u w:color="000000"/>
          <w:bdr w:val="nil"/>
          <w:lang w:val="en-GB"/>
        </w:rPr>
        <w:t>.</w:t>
      </w:r>
      <w:r w:rsidRPr="000269CF">
        <w:rPr>
          <w:rFonts w:eastAsia="Calibri"/>
          <w:color w:val="000000"/>
          <w:u w:color="000000"/>
          <w:bdr w:val="nil"/>
          <w:lang w:val="en-GB"/>
        </w:rPr>
        <w:t xml:space="preserve"> </w:t>
      </w:r>
      <w:r w:rsidR="00736692">
        <w:rPr>
          <w:rFonts w:eastAsia="Calibri"/>
          <w:color w:val="000000"/>
          <w:u w:color="000000"/>
          <w:bdr w:val="nil"/>
          <w:lang w:val="en-GB"/>
        </w:rPr>
        <w:t>M</w:t>
      </w:r>
      <w:r w:rsidRPr="000269CF">
        <w:rPr>
          <w:rFonts w:eastAsia="Calibri"/>
          <w:color w:val="000000"/>
          <w:u w:color="000000"/>
          <w:bdr w:val="nil"/>
          <w:lang w:val="en-GB"/>
        </w:rPr>
        <w:t xml:space="preserve">obile viewing was </w:t>
      </w:r>
      <w:r w:rsidR="00736692">
        <w:rPr>
          <w:rFonts w:eastAsia="Calibri"/>
          <w:color w:val="000000"/>
          <w:u w:color="000000"/>
          <w:bdr w:val="nil"/>
          <w:lang w:val="en-GB"/>
        </w:rPr>
        <w:t>quickly</w:t>
      </w:r>
      <w:r w:rsidRPr="000269CF">
        <w:rPr>
          <w:rFonts w:eastAsia="Calibri"/>
          <w:color w:val="000000"/>
          <w:u w:color="000000"/>
          <w:bdr w:val="nil"/>
          <w:lang w:val="en-GB"/>
        </w:rPr>
        <w:t xml:space="preserve"> becoming the preferred source for subscribers who were “cutting the cable TV cord</w:t>
      </w:r>
      <w:r w:rsidR="00736692">
        <w:rPr>
          <w:rFonts w:eastAsia="Calibri"/>
          <w:color w:val="000000"/>
          <w:u w:color="000000"/>
          <w:bdr w:val="nil"/>
          <w:lang w:val="en-GB"/>
        </w:rPr>
        <w:t>,</w:t>
      </w:r>
      <w:r w:rsidRPr="000269CF">
        <w:rPr>
          <w:rFonts w:eastAsia="Calibri"/>
          <w:color w:val="000000"/>
          <w:u w:color="000000"/>
          <w:bdr w:val="nil"/>
          <w:lang w:val="en-GB"/>
        </w:rPr>
        <w:t>”</w:t>
      </w:r>
      <w:r w:rsidR="00736692">
        <w:rPr>
          <w:rFonts w:eastAsia="Calibri"/>
          <w:color w:val="000000"/>
          <w:u w:color="000000"/>
          <w:bdr w:val="nil"/>
          <w:lang w:val="en-GB"/>
        </w:rPr>
        <w:t xml:space="preserve"> he argued</w:t>
      </w:r>
      <w:r w:rsidR="00E91350">
        <w:rPr>
          <w:rFonts w:eastAsia="Calibri"/>
          <w:color w:val="000000"/>
          <w:u w:color="000000"/>
          <w:bdr w:val="nil"/>
          <w:lang w:val="en-GB"/>
        </w:rPr>
        <w:t>.</w:t>
      </w:r>
      <w:r w:rsidRPr="000269CF">
        <w:rPr>
          <w:rFonts w:eastAsia="Calibri"/>
          <w:color w:val="000000"/>
          <w:u w:color="000000"/>
          <w:bdr w:val="nil"/>
          <w:vertAlign w:val="superscript"/>
          <w:lang w:val="en-GB"/>
        </w:rPr>
        <w:endnoteReference w:id="35"/>
      </w:r>
      <w:r w:rsidRPr="000269CF">
        <w:rPr>
          <w:rFonts w:eastAsia="Calibri"/>
          <w:color w:val="000000"/>
          <w:u w:color="000000"/>
          <w:bdr w:val="nil"/>
          <w:lang w:val="en-GB"/>
        </w:rPr>
        <w:t xml:space="preserve"> </w:t>
      </w:r>
      <w:r w:rsidR="00736692">
        <w:rPr>
          <w:rFonts w:eastAsia="Calibri"/>
          <w:color w:val="000000"/>
          <w:u w:color="000000"/>
          <w:bdr w:val="nil"/>
          <w:lang w:val="en-GB"/>
        </w:rPr>
        <w:t>Merg</w:t>
      </w:r>
      <w:r w:rsidRPr="000269CF">
        <w:rPr>
          <w:rFonts w:eastAsia="Calibri"/>
          <w:color w:val="000000"/>
          <w:u w:color="000000"/>
          <w:bdr w:val="nil"/>
          <w:lang w:val="en-GB"/>
        </w:rPr>
        <w:t xml:space="preserve">ing Comcast and TWC would give cable </w:t>
      </w:r>
      <w:r w:rsidR="00736692">
        <w:rPr>
          <w:rFonts w:eastAsia="Calibri"/>
          <w:color w:val="000000"/>
          <w:u w:color="000000"/>
          <w:bdr w:val="nil"/>
          <w:lang w:val="en-GB"/>
        </w:rPr>
        <w:t>television</w:t>
      </w:r>
      <w:r w:rsidRPr="000269CF">
        <w:rPr>
          <w:rFonts w:eastAsia="Calibri"/>
          <w:color w:val="000000"/>
          <w:u w:color="000000"/>
          <w:bdr w:val="nil"/>
          <w:lang w:val="en-GB"/>
        </w:rPr>
        <w:t xml:space="preserve"> providers a fighting chance to withstand the competitive onslaught from all these companies. A combined Comcast</w:t>
      </w:r>
      <w:r w:rsidR="00470146">
        <w:rPr>
          <w:rFonts w:eastAsia="Calibri"/>
          <w:color w:val="000000"/>
          <w:u w:color="000000"/>
          <w:bdr w:val="nil"/>
          <w:lang w:val="en-GB"/>
        </w:rPr>
        <w:t xml:space="preserve"> and </w:t>
      </w:r>
      <w:r w:rsidRPr="000269CF">
        <w:rPr>
          <w:rFonts w:eastAsia="Calibri"/>
          <w:color w:val="000000"/>
          <w:u w:color="000000"/>
          <w:bdr w:val="nil"/>
          <w:lang w:val="en-GB"/>
        </w:rPr>
        <w:t xml:space="preserve">TWC </w:t>
      </w:r>
      <w:r w:rsidR="00470146">
        <w:rPr>
          <w:rFonts w:eastAsia="Calibri"/>
          <w:color w:val="000000"/>
          <w:u w:color="000000"/>
          <w:bdr w:val="nil"/>
          <w:lang w:val="en-GB"/>
        </w:rPr>
        <w:t xml:space="preserve">would </w:t>
      </w:r>
      <w:r w:rsidRPr="000269CF">
        <w:rPr>
          <w:rFonts w:eastAsia="Calibri"/>
          <w:color w:val="000000"/>
          <w:u w:color="000000"/>
          <w:bdr w:val="nil"/>
          <w:lang w:val="en-GB"/>
        </w:rPr>
        <w:t>becom</w:t>
      </w:r>
      <w:r w:rsidR="00470146">
        <w:rPr>
          <w:rFonts w:eastAsia="Calibri"/>
          <w:color w:val="000000"/>
          <w:u w:color="000000"/>
          <w:bdr w:val="nil"/>
          <w:lang w:val="en-GB"/>
        </w:rPr>
        <w:t>e</w:t>
      </w:r>
      <w:r w:rsidRPr="000269CF">
        <w:rPr>
          <w:rFonts w:eastAsia="Calibri"/>
          <w:color w:val="000000"/>
          <w:u w:color="000000"/>
          <w:bdr w:val="nil"/>
          <w:lang w:val="en-GB"/>
        </w:rPr>
        <w:t xml:space="preserve"> a stronger negotiator against content suppliers</w:t>
      </w:r>
      <w:r w:rsidR="00470146">
        <w:rPr>
          <w:rFonts w:eastAsia="Calibri"/>
          <w:color w:val="000000"/>
          <w:u w:color="000000"/>
          <w:bdr w:val="nil"/>
          <w:lang w:val="en-GB"/>
        </w:rPr>
        <w:t>, which</w:t>
      </w:r>
      <w:r w:rsidRPr="000269CF">
        <w:rPr>
          <w:rFonts w:eastAsia="Calibri"/>
          <w:color w:val="000000"/>
          <w:u w:color="000000"/>
          <w:bdr w:val="nil"/>
          <w:lang w:val="en-GB"/>
        </w:rPr>
        <w:t xml:space="preserve"> could benefit customers </w:t>
      </w:r>
      <w:r w:rsidR="00470146">
        <w:rPr>
          <w:rFonts w:eastAsia="Calibri"/>
          <w:color w:val="000000"/>
          <w:u w:color="000000"/>
          <w:bdr w:val="nil"/>
          <w:lang w:val="en-GB"/>
        </w:rPr>
        <w:t>by more effectively keeping prices constant. G</w:t>
      </w:r>
      <w:r w:rsidRPr="000269CF">
        <w:rPr>
          <w:rFonts w:eastAsia="Calibri"/>
          <w:color w:val="000000"/>
          <w:u w:color="000000"/>
          <w:bdr w:val="nil"/>
          <w:lang w:val="en-GB"/>
        </w:rPr>
        <w:t>iven its record as a leading innovator</w:t>
      </w:r>
      <w:r w:rsidR="00470146">
        <w:rPr>
          <w:rFonts w:eastAsia="Calibri"/>
          <w:color w:val="000000"/>
          <w:u w:color="000000"/>
          <w:bdr w:val="nil"/>
          <w:lang w:val="en-GB"/>
        </w:rPr>
        <w:t>,</w:t>
      </w:r>
      <w:r w:rsidRPr="000269CF">
        <w:rPr>
          <w:rFonts w:eastAsia="Calibri"/>
          <w:color w:val="000000"/>
          <w:u w:color="000000"/>
          <w:bdr w:val="nil"/>
          <w:lang w:val="en-GB"/>
        </w:rPr>
        <w:t xml:space="preserve"> Comcast would also offer more advanced technology to all subscribers.</w:t>
      </w:r>
      <w:r w:rsidRPr="000269CF">
        <w:rPr>
          <w:rFonts w:eastAsia="Calibri"/>
          <w:color w:val="000000"/>
          <w:u w:color="000000"/>
          <w:bdr w:val="nil"/>
          <w:vertAlign w:val="superscript"/>
          <w:lang w:val="en-GB"/>
        </w:rPr>
        <w:endnoteReference w:id="36"/>
      </w:r>
    </w:p>
    <w:p w14:paraId="1298F454" w14:textId="77777777" w:rsidR="00EC6A26" w:rsidRPr="000269CF" w:rsidRDefault="00EC6A26" w:rsidP="00EC6A26">
      <w:pPr>
        <w:pStyle w:val="BodyTextMain"/>
        <w:rPr>
          <w:rFonts w:eastAsia="Calibri"/>
          <w:color w:val="000000"/>
          <w:u w:color="000000"/>
          <w:bdr w:val="nil"/>
          <w:lang w:val="en-GB"/>
        </w:rPr>
      </w:pPr>
    </w:p>
    <w:p w14:paraId="210ABA26" w14:textId="3490B1AB" w:rsidR="00EC6A26" w:rsidRPr="000269CF" w:rsidRDefault="00EC6A26" w:rsidP="00EC6A26">
      <w:pPr>
        <w:pStyle w:val="BodyTextMain"/>
        <w:rPr>
          <w:rFonts w:eastAsia="Calibri"/>
          <w:color w:val="000000"/>
          <w:u w:color="000000"/>
          <w:bdr w:val="nil"/>
          <w:lang w:val="en-GB"/>
        </w:rPr>
      </w:pPr>
      <w:r w:rsidRPr="000269CF">
        <w:rPr>
          <w:rFonts w:eastAsia="Calibri"/>
          <w:color w:val="000000"/>
          <w:u w:color="000000"/>
          <w:bdr w:val="nil"/>
          <w:lang w:val="en-GB"/>
        </w:rPr>
        <w:t>To satisfy regulators’ potential objections over its merger with TWC, Comcast also reached a deal with Charter</w:t>
      </w:r>
      <w:r w:rsidR="00470146">
        <w:rPr>
          <w:rFonts w:eastAsia="Calibri"/>
          <w:color w:val="000000"/>
          <w:u w:color="000000"/>
          <w:bdr w:val="nil"/>
          <w:lang w:val="en-GB"/>
        </w:rPr>
        <w:t>,</w:t>
      </w:r>
      <w:r w:rsidRPr="000269CF">
        <w:rPr>
          <w:rFonts w:eastAsia="Calibri"/>
          <w:color w:val="000000"/>
          <w:u w:color="000000"/>
          <w:bdr w:val="nil"/>
          <w:lang w:val="en-GB"/>
        </w:rPr>
        <w:t xml:space="preserve"> in which the latter would buy </w:t>
      </w:r>
      <w:r w:rsidR="00470146">
        <w:rPr>
          <w:rFonts w:eastAsia="Calibri"/>
          <w:color w:val="000000"/>
          <w:u w:color="000000"/>
          <w:bdr w:val="nil"/>
          <w:lang w:val="en-GB"/>
        </w:rPr>
        <w:t xml:space="preserve">the </w:t>
      </w:r>
      <w:r w:rsidR="006008A4">
        <w:rPr>
          <w:rFonts w:eastAsia="Calibri"/>
          <w:color w:val="000000"/>
          <w:u w:color="000000"/>
          <w:bdr w:val="nil"/>
          <w:lang w:val="en-GB"/>
        </w:rPr>
        <w:t>three</w:t>
      </w:r>
      <w:r w:rsidRPr="000269CF">
        <w:rPr>
          <w:rFonts w:eastAsia="Calibri"/>
          <w:color w:val="000000"/>
          <w:u w:color="000000"/>
          <w:bdr w:val="nil"/>
          <w:lang w:val="en-GB"/>
        </w:rPr>
        <w:t xml:space="preserve"> million cable customers that Comcast planned to divest after</w:t>
      </w:r>
      <w:r w:rsidR="00470146">
        <w:rPr>
          <w:rFonts w:eastAsia="Calibri"/>
          <w:color w:val="000000"/>
          <w:u w:color="000000"/>
          <w:bdr w:val="nil"/>
          <w:lang w:val="en-GB"/>
        </w:rPr>
        <w:t xml:space="preserve"> the</w:t>
      </w:r>
      <w:r w:rsidRPr="000269CF">
        <w:rPr>
          <w:rFonts w:eastAsia="Calibri"/>
          <w:color w:val="000000"/>
          <w:u w:color="000000"/>
          <w:bdr w:val="nil"/>
          <w:lang w:val="en-GB"/>
        </w:rPr>
        <w:t xml:space="preserve"> completion of the merger.</w:t>
      </w:r>
      <w:r w:rsidRPr="000269CF">
        <w:rPr>
          <w:rFonts w:eastAsia="Calibri"/>
          <w:color w:val="000000"/>
          <w:u w:color="000000"/>
          <w:bdr w:val="nil"/>
          <w:vertAlign w:val="superscript"/>
          <w:lang w:val="en-GB"/>
        </w:rPr>
        <w:endnoteReference w:id="37"/>
      </w:r>
      <w:r w:rsidRPr="000269CF">
        <w:rPr>
          <w:rFonts w:eastAsia="Calibri"/>
          <w:color w:val="000000"/>
          <w:u w:color="000000"/>
          <w:bdr w:val="nil"/>
          <w:lang w:val="en-GB"/>
        </w:rPr>
        <w:t xml:space="preserve"> U</w:t>
      </w:r>
      <w:r w:rsidR="00470146">
        <w:rPr>
          <w:rFonts w:eastAsia="Calibri"/>
          <w:color w:val="000000"/>
          <w:u w:color="000000"/>
          <w:bdr w:val="nil"/>
          <w:lang w:val="en-GB"/>
        </w:rPr>
        <w:t>.</w:t>
      </w:r>
      <w:r w:rsidRPr="000269CF">
        <w:rPr>
          <w:rFonts w:eastAsia="Calibri"/>
          <w:color w:val="000000"/>
          <w:u w:color="000000"/>
          <w:bdr w:val="nil"/>
          <w:lang w:val="en-GB"/>
        </w:rPr>
        <w:t>S</w:t>
      </w:r>
      <w:r w:rsidR="00470146">
        <w:rPr>
          <w:rFonts w:eastAsia="Calibri"/>
          <w:color w:val="000000"/>
          <w:u w:color="000000"/>
          <w:bdr w:val="nil"/>
          <w:lang w:val="en-GB"/>
        </w:rPr>
        <w:t>.</w:t>
      </w:r>
      <w:r w:rsidRPr="000269CF">
        <w:rPr>
          <w:rFonts w:eastAsia="Calibri"/>
          <w:color w:val="000000"/>
          <w:u w:color="000000"/>
          <w:bdr w:val="nil"/>
          <w:lang w:val="en-GB"/>
        </w:rPr>
        <w:t xml:space="preserve"> House </w:t>
      </w:r>
      <w:r w:rsidR="00470146">
        <w:rPr>
          <w:rFonts w:eastAsia="Calibri"/>
          <w:color w:val="000000"/>
          <w:u w:color="000000"/>
          <w:bdr w:val="nil"/>
          <w:lang w:val="en-GB"/>
        </w:rPr>
        <w:t xml:space="preserve">of Representatives </w:t>
      </w:r>
      <w:r w:rsidRPr="000269CF">
        <w:rPr>
          <w:rFonts w:eastAsia="Calibri"/>
          <w:color w:val="000000"/>
          <w:u w:color="000000"/>
          <w:bdr w:val="nil"/>
          <w:lang w:val="en-GB"/>
        </w:rPr>
        <w:t xml:space="preserve">and Senate committees held hearings in May 2014 to investigate the deal. </w:t>
      </w:r>
      <w:r w:rsidR="00470146">
        <w:rPr>
          <w:rFonts w:eastAsia="Calibri"/>
          <w:color w:val="000000"/>
          <w:u w:color="000000"/>
          <w:bdr w:val="nil"/>
          <w:lang w:val="en-GB"/>
        </w:rPr>
        <w:t>That</w:t>
      </w:r>
      <w:r w:rsidRPr="000269CF">
        <w:rPr>
          <w:rFonts w:eastAsia="Calibri"/>
          <w:color w:val="000000"/>
          <w:u w:color="000000"/>
          <w:bdr w:val="nil"/>
          <w:lang w:val="en-GB"/>
        </w:rPr>
        <w:t xml:space="preserve"> same month, the telecom</w:t>
      </w:r>
      <w:r w:rsidR="00470146">
        <w:rPr>
          <w:rFonts w:eastAsia="Calibri"/>
          <w:color w:val="000000"/>
          <w:u w:color="000000"/>
          <w:bdr w:val="nil"/>
          <w:lang w:val="en-GB"/>
        </w:rPr>
        <w:t>munications</w:t>
      </w:r>
      <w:r w:rsidRPr="000269CF">
        <w:rPr>
          <w:rFonts w:eastAsia="Calibri"/>
          <w:color w:val="000000"/>
          <w:u w:color="000000"/>
          <w:bdr w:val="nil"/>
          <w:lang w:val="en-GB"/>
        </w:rPr>
        <w:t xml:space="preserve"> company AT&amp;T announced a friendly takeover agreement </w:t>
      </w:r>
      <w:r w:rsidR="00470146">
        <w:rPr>
          <w:rFonts w:eastAsia="Calibri"/>
          <w:color w:val="000000"/>
          <w:u w:color="000000"/>
          <w:bdr w:val="nil"/>
          <w:lang w:val="en-GB"/>
        </w:rPr>
        <w:t xml:space="preserve">with the </w:t>
      </w:r>
      <w:r w:rsidR="00470146" w:rsidRPr="000269CF">
        <w:rPr>
          <w:rFonts w:eastAsia="Calibri"/>
          <w:color w:val="000000"/>
          <w:u w:color="000000"/>
          <w:bdr w:val="nil"/>
          <w:lang w:val="en-GB"/>
        </w:rPr>
        <w:t xml:space="preserve">satellite </w:t>
      </w:r>
      <w:r w:rsidR="00470146">
        <w:rPr>
          <w:rFonts w:eastAsia="Calibri"/>
          <w:color w:val="000000"/>
          <w:u w:color="000000"/>
          <w:bdr w:val="nil"/>
          <w:lang w:val="en-GB"/>
        </w:rPr>
        <w:t>television</w:t>
      </w:r>
      <w:r w:rsidR="00470146" w:rsidRPr="000269CF">
        <w:rPr>
          <w:rFonts w:eastAsia="Calibri"/>
          <w:color w:val="000000"/>
          <w:u w:color="000000"/>
          <w:bdr w:val="nil"/>
          <w:lang w:val="en-GB"/>
        </w:rPr>
        <w:t xml:space="preserve"> company DirecTV </w:t>
      </w:r>
      <w:r w:rsidRPr="000269CF">
        <w:rPr>
          <w:rFonts w:eastAsia="Calibri"/>
          <w:color w:val="000000"/>
          <w:u w:color="000000"/>
          <w:bdr w:val="nil"/>
          <w:lang w:val="en-GB"/>
        </w:rPr>
        <w:t>for $48.5 billion</w:t>
      </w:r>
      <w:r w:rsidR="00665201">
        <w:rPr>
          <w:rFonts w:eastAsia="Calibri"/>
          <w:color w:val="000000"/>
          <w:u w:color="000000"/>
          <w:bdr w:val="nil"/>
          <w:lang w:val="en-GB"/>
        </w:rPr>
        <w:t>.</w:t>
      </w:r>
      <w:r w:rsidRPr="000269CF">
        <w:rPr>
          <w:rFonts w:eastAsia="Calibri"/>
          <w:color w:val="000000"/>
          <w:u w:color="000000"/>
          <w:bdr w:val="nil"/>
          <w:lang w:val="en-GB"/>
        </w:rPr>
        <w:t xml:space="preserve"> Industry observers pointed to this </w:t>
      </w:r>
      <w:r w:rsidR="00665201">
        <w:rPr>
          <w:rFonts w:eastAsia="Calibri"/>
          <w:color w:val="000000"/>
          <w:u w:color="000000"/>
          <w:bdr w:val="nil"/>
          <w:lang w:val="en-GB"/>
        </w:rPr>
        <w:t xml:space="preserve">announcement </w:t>
      </w:r>
      <w:r w:rsidRPr="000269CF">
        <w:rPr>
          <w:rFonts w:eastAsia="Calibri"/>
          <w:color w:val="000000"/>
          <w:u w:color="000000"/>
          <w:bdr w:val="nil"/>
          <w:lang w:val="en-GB"/>
        </w:rPr>
        <w:t>as proof that a Comcast</w:t>
      </w:r>
      <w:r w:rsidR="00665201">
        <w:rPr>
          <w:rFonts w:eastAsia="Calibri"/>
          <w:color w:val="000000"/>
          <w:u w:color="000000"/>
          <w:bdr w:val="nil"/>
          <w:lang w:val="en-GB"/>
        </w:rPr>
        <w:t xml:space="preserve"> merger with </w:t>
      </w:r>
      <w:r w:rsidRPr="000269CF">
        <w:rPr>
          <w:rFonts w:eastAsia="Calibri"/>
          <w:color w:val="000000"/>
          <w:u w:color="000000"/>
          <w:bdr w:val="nil"/>
          <w:lang w:val="en-GB"/>
        </w:rPr>
        <w:t>TWC would increase concentration in media industries.</w:t>
      </w:r>
      <w:r w:rsidRPr="000269CF">
        <w:rPr>
          <w:rFonts w:eastAsia="Calibri"/>
          <w:color w:val="000000"/>
          <w:u w:color="000000"/>
          <w:bdr w:val="nil"/>
          <w:vertAlign w:val="superscript"/>
          <w:lang w:val="en-GB"/>
        </w:rPr>
        <w:endnoteReference w:id="38"/>
      </w:r>
      <w:r w:rsidRPr="000269CF">
        <w:rPr>
          <w:rFonts w:eastAsia="Calibri"/>
          <w:color w:val="000000"/>
          <w:u w:color="000000"/>
          <w:bdr w:val="nil"/>
          <w:lang w:val="en-GB"/>
        </w:rPr>
        <w:t xml:space="preserve"> </w:t>
      </w:r>
      <w:r w:rsidR="00665201">
        <w:rPr>
          <w:rFonts w:eastAsia="Calibri"/>
          <w:color w:val="000000"/>
          <w:u w:color="000000"/>
          <w:bdr w:val="nil"/>
          <w:lang w:val="en-GB"/>
        </w:rPr>
        <w:t>I</w:t>
      </w:r>
      <w:r w:rsidR="00665201" w:rsidRPr="000269CF">
        <w:rPr>
          <w:rFonts w:eastAsia="Calibri"/>
          <w:color w:val="000000"/>
          <w:u w:color="000000"/>
          <w:bdr w:val="nil"/>
          <w:lang w:val="en-GB"/>
        </w:rPr>
        <w:t>n late 2014</w:t>
      </w:r>
      <w:r w:rsidR="00665201">
        <w:rPr>
          <w:rFonts w:eastAsia="Calibri"/>
          <w:color w:val="000000"/>
          <w:u w:color="000000"/>
          <w:bdr w:val="nil"/>
          <w:lang w:val="en-GB"/>
        </w:rPr>
        <w:t>, a</w:t>
      </w:r>
      <w:r w:rsidRPr="000269CF">
        <w:rPr>
          <w:rFonts w:eastAsia="Calibri"/>
          <w:color w:val="000000"/>
          <w:u w:color="000000"/>
          <w:bdr w:val="nil"/>
          <w:lang w:val="en-GB"/>
        </w:rPr>
        <w:t xml:space="preserve"> coalition of consumer groups, satellite </w:t>
      </w:r>
      <w:r w:rsidR="00665201">
        <w:rPr>
          <w:rFonts w:eastAsia="Calibri"/>
          <w:color w:val="000000"/>
          <w:u w:color="000000"/>
          <w:bdr w:val="nil"/>
          <w:lang w:val="en-GB"/>
        </w:rPr>
        <w:t>television providers</w:t>
      </w:r>
      <w:r w:rsidRPr="000269CF">
        <w:rPr>
          <w:rFonts w:eastAsia="Calibri"/>
          <w:color w:val="000000"/>
          <w:u w:color="000000"/>
          <w:bdr w:val="nil"/>
          <w:lang w:val="en-GB"/>
        </w:rPr>
        <w:t xml:space="preserve">, and online media companies appealed to </w:t>
      </w:r>
      <w:r w:rsidR="00665201">
        <w:rPr>
          <w:rFonts w:eastAsia="Calibri"/>
          <w:color w:val="000000"/>
          <w:u w:color="000000"/>
          <w:bdr w:val="nil"/>
          <w:lang w:val="en-GB"/>
        </w:rPr>
        <w:t>the U</w:t>
      </w:r>
      <w:r w:rsidR="007D2D1F">
        <w:rPr>
          <w:rFonts w:eastAsia="Calibri"/>
          <w:color w:val="000000"/>
          <w:u w:color="000000"/>
          <w:bdr w:val="nil"/>
          <w:lang w:val="en-GB"/>
        </w:rPr>
        <w:t xml:space="preserve">nited </w:t>
      </w:r>
      <w:r w:rsidR="00665201">
        <w:rPr>
          <w:rFonts w:eastAsia="Calibri"/>
          <w:color w:val="000000"/>
          <w:u w:color="000000"/>
          <w:bdr w:val="nil"/>
          <w:lang w:val="en-GB"/>
        </w:rPr>
        <w:t>S</w:t>
      </w:r>
      <w:r w:rsidR="007D2D1F">
        <w:rPr>
          <w:rFonts w:eastAsia="Calibri"/>
          <w:color w:val="000000"/>
          <w:u w:color="000000"/>
          <w:bdr w:val="nil"/>
          <w:lang w:val="en-GB"/>
        </w:rPr>
        <w:t>tates</w:t>
      </w:r>
      <w:r w:rsidR="00665201">
        <w:rPr>
          <w:rFonts w:eastAsia="Calibri"/>
          <w:color w:val="000000"/>
          <w:u w:color="000000"/>
          <w:bdr w:val="nil"/>
          <w:lang w:val="en-GB"/>
        </w:rPr>
        <w:t xml:space="preserve"> </w:t>
      </w:r>
      <w:r w:rsidRPr="000269CF">
        <w:rPr>
          <w:rFonts w:eastAsia="Calibri"/>
          <w:color w:val="000000"/>
          <w:u w:color="000000"/>
          <w:bdr w:val="nil"/>
          <w:lang w:val="en-GB"/>
        </w:rPr>
        <w:t>Congress and to the FCC to protest the post-merger company’s undue control, particularly in the high-growth broadband internet market.</w:t>
      </w:r>
      <w:r w:rsidRPr="000269CF">
        <w:rPr>
          <w:rFonts w:eastAsia="Calibri"/>
          <w:color w:val="000000"/>
          <w:u w:color="000000"/>
          <w:bdr w:val="nil"/>
          <w:vertAlign w:val="superscript"/>
          <w:lang w:val="en-GB"/>
        </w:rPr>
        <w:endnoteReference w:id="39"/>
      </w:r>
    </w:p>
    <w:p w14:paraId="10E1F7CF" w14:textId="77777777" w:rsidR="00EC6A26" w:rsidRPr="000269CF" w:rsidRDefault="00EC6A26" w:rsidP="00EC6A26">
      <w:pPr>
        <w:pStyle w:val="BodyTextMain"/>
        <w:rPr>
          <w:rFonts w:eastAsia="Calibri"/>
          <w:color w:val="000000"/>
          <w:u w:color="000000"/>
          <w:bdr w:val="nil"/>
          <w:lang w:val="en-GB"/>
        </w:rPr>
      </w:pPr>
    </w:p>
    <w:p w14:paraId="33941028" w14:textId="5B72C47D" w:rsidR="00EC6A26" w:rsidRPr="000269CF" w:rsidRDefault="00EC6A26" w:rsidP="00EC6A26">
      <w:pPr>
        <w:pStyle w:val="BodyTextMain"/>
        <w:rPr>
          <w:rFonts w:eastAsia="Calibri"/>
          <w:color w:val="000000"/>
          <w:u w:color="000000"/>
          <w:bdr w:val="nil"/>
          <w:lang w:val="en-GB"/>
        </w:rPr>
      </w:pPr>
      <w:r w:rsidRPr="000269CF">
        <w:rPr>
          <w:rFonts w:eastAsia="Calibri"/>
          <w:color w:val="000000"/>
          <w:u w:color="000000"/>
          <w:bdr w:val="nil"/>
          <w:lang w:val="en-GB"/>
        </w:rPr>
        <w:t>Review</w:t>
      </w:r>
      <w:r w:rsidR="00B301B1">
        <w:rPr>
          <w:rFonts w:eastAsia="Calibri"/>
          <w:color w:val="000000"/>
          <w:u w:color="000000"/>
          <w:bdr w:val="nil"/>
          <w:lang w:val="en-GB"/>
        </w:rPr>
        <w:t>s</w:t>
      </w:r>
      <w:r w:rsidRPr="000269CF">
        <w:rPr>
          <w:rFonts w:eastAsia="Calibri"/>
          <w:color w:val="000000"/>
          <w:u w:color="000000"/>
          <w:bdr w:val="nil"/>
          <w:lang w:val="en-GB"/>
        </w:rPr>
        <w:t xml:space="preserve"> by the FCC and some state agencies continued into early 2015</w:t>
      </w:r>
      <w:r w:rsidR="00B301B1">
        <w:rPr>
          <w:rFonts w:eastAsia="Calibri"/>
          <w:color w:val="000000"/>
          <w:u w:color="000000"/>
          <w:bdr w:val="nil"/>
          <w:lang w:val="en-GB"/>
        </w:rPr>
        <w:t>. O</w:t>
      </w:r>
      <w:r w:rsidRPr="000269CF">
        <w:rPr>
          <w:rFonts w:eastAsia="Calibri"/>
          <w:color w:val="000000"/>
          <w:u w:color="000000"/>
          <w:bdr w:val="nil"/>
          <w:lang w:val="en-GB"/>
        </w:rPr>
        <w:t>pposition mounted from media companies, consumer groups, and labo</w:t>
      </w:r>
      <w:r w:rsidR="00B301B1">
        <w:rPr>
          <w:rFonts w:eastAsia="Calibri"/>
          <w:color w:val="000000"/>
          <w:u w:color="000000"/>
          <w:bdr w:val="nil"/>
          <w:lang w:val="en-GB"/>
        </w:rPr>
        <w:t>u</w:t>
      </w:r>
      <w:r w:rsidRPr="000269CF">
        <w:rPr>
          <w:rFonts w:eastAsia="Calibri"/>
          <w:color w:val="000000"/>
          <w:u w:color="000000"/>
          <w:bdr w:val="nil"/>
          <w:lang w:val="en-GB"/>
        </w:rPr>
        <w:t xml:space="preserve">r unions. </w:t>
      </w:r>
      <w:r w:rsidR="00B301B1">
        <w:rPr>
          <w:rFonts w:eastAsia="Calibri"/>
          <w:color w:val="000000"/>
          <w:u w:color="000000"/>
          <w:bdr w:val="nil"/>
          <w:lang w:val="en-GB"/>
        </w:rPr>
        <w:t>I</w:t>
      </w:r>
      <w:r w:rsidR="00B301B1" w:rsidRPr="000269CF">
        <w:rPr>
          <w:rFonts w:eastAsia="Calibri"/>
          <w:color w:val="000000"/>
          <w:u w:color="000000"/>
          <w:bdr w:val="nil"/>
          <w:lang w:val="en-GB"/>
        </w:rPr>
        <w:t>n September 2014</w:t>
      </w:r>
      <w:r w:rsidR="00B301B1">
        <w:rPr>
          <w:rFonts w:eastAsia="Calibri"/>
          <w:color w:val="000000"/>
          <w:u w:color="000000"/>
          <w:bdr w:val="nil"/>
          <w:lang w:val="en-GB"/>
        </w:rPr>
        <w:t xml:space="preserve">, the </w:t>
      </w:r>
      <w:r w:rsidRPr="000269CF">
        <w:rPr>
          <w:rFonts w:eastAsia="Calibri"/>
          <w:color w:val="000000"/>
          <w:u w:color="000000"/>
          <w:bdr w:val="nil"/>
          <w:lang w:val="en-GB"/>
        </w:rPr>
        <w:t>FCC</w:t>
      </w:r>
      <w:r w:rsidR="00B301B1">
        <w:rPr>
          <w:rFonts w:eastAsia="Calibri"/>
          <w:color w:val="000000"/>
          <w:u w:color="000000"/>
          <w:bdr w:val="nil"/>
          <w:lang w:val="en-GB"/>
        </w:rPr>
        <w:t>’s</w:t>
      </w:r>
      <w:r w:rsidRPr="000269CF">
        <w:rPr>
          <w:rFonts w:eastAsia="Calibri"/>
          <w:color w:val="000000"/>
          <w:u w:color="000000"/>
          <w:bdr w:val="nil"/>
          <w:lang w:val="en-GB"/>
        </w:rPr>
        <w:t xml:space="preserve"> </w:t>
      </w:r>
      <w:r w:rsidR="00B301B1">
        <w:rPr>
          <w:rFonts w:eastAsia="Calibri"/>
          <w:color w:val="000000"/>
          <w:u w:color="000000"/>
          <w:bdr w:val="nil"/>
          <w:lang w:val="en-GB"/>
        </w:rPr>
        <w:t>c</w:t>
      </w:r>
      <w:r w:rsidRPr="000269CF">
        <w:rPr>
          <w:rFonts w:eastAsia="Calibri"/>
          <w:color w:val="000000"/>
          <w:u w:color="000000"/>
          <w:bdr w:val="nil"/>
          <w:lang w:val="en-GB"/>
        </w:rPr>
        <w:t>hairman</w:t>
      </w:r>
      <w:r w:rsidR="00B301B1">
        <w:rPr>
          <w:rFonts w:eastAsia="Calibri"/>
          <w:color w:val="000000"/>
          <w:u w:color="000000"/>
          <w:bdr w:val="nil"/>
          <w:lang w:val="en-GB"/>
        </w:rPr>
        <w:t>,</w:t>
      </w:r>
      <w:r w:rsidRPr="000269CF">
        <w:rPr>
          <w:rFonts w:eastAsia="Calibri"/>
          <w:color w:val="000000"/>
          <w:u w:color="000000"/>
          <w:bdr w:val="nil"/>
          <w:lang w:val="en-GB"/>
        </w:rPr>
        <w:t xml:space="preserve"> Tom Wheeler</w:t>
      </w:r>
      <w:r w:rsidR="00B301B1">
        <w:rPr>
          <w:rFonts w:eastAsia="Calibri"/>
          <w:color w:val="000000"/>
          <w:u w:color="000000"/>
          <w:bdr w:val="nil"/>
          <w:lang w:val="en-GB"/>
        </w:rPr>
        <w:t>,</w:t>
      </w:r>
      <w:r w:rsidRPr="000269CF">
        <w:rPr>
          <w:rFonts w:eastAsia="Calibri"/>
          <w:color w:val="000000"/>
          <w:u w:color="000000"/>
          <w:bdr w:val="nil"/>
          <w:lang w:val="en-GB"/>
        </w:rPr>
        <w:t xml:space="preserve"> </w:t>
      </w:r>
      <w:r w:rsidR="00B301B1">
        <w:rPr>
          <w:rFonts w:eastAsia="Calibri"/>
          <w:color w:val="000000"/>
          <w:u w:color="000000"/>
          <w:bdr w:val="nil"/>
          <w:lang w:val="en-GB"/>
        </w:rPr>
        <w:t>predicted</w:t>
      </w:r>
      <w:r w:rsidRPr="000269CF">
        <w:rPr>
          <w:rFonts w:eastAsia="Calibri"/>
          <w:color w:val="000000"/>
          <w:u w:color="000000"/>
          <w:bdr w:val="nil"/>
          <w:lang w:val="en-GB"/>
        </w:rPr>
        <w:t xml:space="preserve"> little choice for </w:t>
      </w:r>
      <w:r w:rsidR="00B301B1">
        <w:rPr>
          <w:rFonts w:eastAsia="Calibri"/>
          <w:color w:val="000000"/>
          <w:u w:color="000000"/>
          <w:bdr w:val="nil"/>
          <w:lang w:val="en-GB"/>
        </w:rPr>
        <w:t>most</w:t>
      </w:r>
      <w:r w:rsidRPr="000269CF">
        <w:rPr>
          <w:rFonts w:eastAsia="Calibri"/>
          <w:color w:val="000000"/>
          <w:u w:color="000000"/>
          <w:bdr w:val="nil"/>
          <w:lang w:val="en-GB"/>
        </w:rPr>
        <w:t xml:space="preserve"> Americans who wanted high-speed </w:t>
      </w:r>
      <w:r w:rsidR="00B301B1">
        <w:rPr>
          <w:rFonts w:eastAsia="Calibri"/>
          <w:color w:val="000000"/>
          <w:u w:color="000000"/>
          <w:bdr w:val="nil"/>
          <w:lang w:val="en-GB"/>
        </w:rPr>
        <w:t>I</w:t>
      </w:r>
      <w:r w:rsidRPr="000269CF">
        <w:rPr>
          <w:rFonts w:eastAsia="Calibri"/>
          <w:color w:val="000000"/>
          <w:u w:color="000000"/>
          <w:bdr w:val="nil"/>
          <w:lang w:val="en-GB"/>
        </w:rPr>
        <w:t>nternet</w:t>
      </w:r>
      <w:r w:rsidR="00B301B1">
        <w:rPr>
          <w:rFonts w:eastAsia="Calibri"/>
          <w:color w:val="000000"/>
          <w:u w:color="000000"/>
          <w:bdr w:val="nil"/>
          <w:lang w:val="en-GB"/>
        </w:rPr>
        <w:t xml:space="preserve"> after the merger. He</w:t>
      </w:r>
      <w:r w:rsidRPr="000269CF">
        <w:rPr>
          <w:rFonts w:eastAsia="Calibri"/>
          <w:color w:val="000000"/>
          <w:u w:color="000000"/>
          <w:bdr w:val="nil"/>
          <w:lang w:val="en-GB"/>
        </w:rPr>
        <w:t xml:space="preserve"> add</w:t>
      </w:r>
      <w:r w:rsidR="00B301B1">
        <w:rPr>
          <w:rFonts w:eastAsia="Calibri"/>
          <w:color w:val="000000"/>
          <w:u w:color="000000"/>
          <w:bdr w:val="nil"/>
          <w:lang w:val="en-GB"/>
        </w:rPr>
        <w:t>ed</w:t>
      </w:r>
      <w:r w:rsidRPr="000269CF">
        <w:rPr>
          <w:rFonts w:eastAsia="Calibri"/>
          <w:color w:val="000000"/>
          <w:u w:color="000000"/>
          <w:bdr w:val="nil"/>
          <w:lang w:val="en-GB"/>
        </w:rPr>
        <w:t xml:space="preserve"> that “</w:t>
      </w:r>
      <w:r w:rsidR="001C097B">
        <w:rPr>
          <w:rFonts w:eastAsia="Calibri"/>
          <w:color w:val="000000"/>
          <w:u w:color="000000"/>
          <w:bdr w:val="nil"/>
          <w:lang w:val="en-GB"/>
        </w:rPr>
        <w:t xml:space="preserve">. . . </w:t>
      </w:r>
      <w:r w:rsidRPr="000269CF">
        <w:rPr>
          <w:rFonts w:eastAsia="Calibri"/>
          <w:color w:val="000000"/>
          <w:u w:color="000000"/>
          <w:bdr w:val="nil"/>
          <w:lang w:val="en-GB"/>
        </w:rPr>
        <w:t>three quarters of American homes have no competitive choice for the essential infrastructure of 21</w:t>
      </w:r>
      <w:r w:rsidR="00E91350">
        <w:rPr>
          <w:rFonts w:eastAsia="Calibri"/>
          <w:color w:val="000000"/>
          <w:u w:color="000000"/>
          <w:bdr w:val="nil"/>
          <w:lang w:val="en-GB"/>
        </w:rPr>
        <w:t xml:space="preserve">st </w:t>
      </w:r>
      <w:r w:rsidRPr="000269CF">
        <w:rPr>
          <w:rFonts w:eastAsia="Calibri"/>
          <w:color w:val="000000"/>
          <w:u w:color="000000"/>
          <w:bdr w:val="nil"/>
          <w:lang w:val="en-GB"/>
        </w:rPr>
        <w:t xml:space="preserve">century economics and democracy.” Market nervousness over the risks to the merger </w:t>
      </w:r>
      <w:r w:rsidR="00B301B1">
        <w:rPr>
          <w:rFonts w:eastAsia="Calibri"/>
          <w:color w:val="000000"/>
          <w:u w:color="000000"/>
          <w:bdr w:val="nil"/>
          <w:lang w:val="en-GB"/>
        </w:rPr>
        <w:t xml:space="preserve">continued to </w:t>
      </w:r>
      <w:r w:rsidRPr="000269CF">
        <w:rPr>
          <w:rFonts w:eastAsia="Calibri"/>
          <w:color w:val="000000"/>
          <w:u w:color="000000"/>
          <w:bdr w:val="nil"/>
          <w:lang w:val="en-GB"/>
        </w:rPr>
        <w:t xml:space="preserve">increase, </w:t>
      </w:r>
      <w:r w:rsidR="00B301B1">
        <w:rPr>
          <w:rFonts w:eastAsia="Calibri"/>
          <w:color w:val="000000"/>
          <w:u w:color="000000"/>
          <w:bdr w:val="nil"/>
          <w:lang w:val="en-GB"/>
        </w:rPr>
        <w:t>al</w:t>
      </w:r>
      <w:r w:rsidRPr="000269CF">
        <w:rPr>
          <w:rFonts w:eastAsia="Calibri"/>
          <w:color w:val="000000"/>
          <w:u w:color="000000"/>
          <w:bdr w:val="nil"/>
          <w:lang w:val="en-GB"/>
        </w:rPr>
        <w:t xml:space="preserve">though </w:t>
      </w:r>
      <w:r w:rsidR="00CA42DF">
        <w:rPr>
          <w:rFonts w:eastAsia="Calibri"/>
          <w:color w:val="000000"/>
          <w:u w:color="000000"/>
          <w:bdr w:val="nil"/>
          <w:lang w:val="en-GB"/>
        </w:rPr>
        <w:t>supporters of the merger</w:t>
      </w:r>
      <w:r w:rsidRPr="000269CF">
        <w:rPr>
          <w:rFonts w:eastAsia="Calibri"/>
          <w:color w:val="000000"/>
          <w:u w:color="000000"/>
          <w:bdr w:val="nil"/>
          <w:lang w:val="en-GB"/>
        </w:rPr>
        <w:t xml:space="preserve"> hope</w:t>
      </w:r>
      <w:r w:rsidR="00CA42DF">
        <w:rPr>
          <w:rFonts w:eastAsia="Calibri"/>
          <w:color w:val="000000"/>
          <w:u w:color="000000"/>
          <w:bdr w:val="nil"/>
          <w:lang w:val="en-GB"/>
        </w:rPr>
        <w:t>d</w:t>
      </w:r>
      <w:r w:rsidRPr="000269CF">
        <w:rPr>
          <w:rFonts w:eastAsia="Calibri"/>
          <w:color w:val="000000"/>
          <w:u w:color="000000"/>
          <w:bdr w:val="nil"/>
          <w:lang w:val="en-GB"/>
        </w:rPr>
        <w:t xml:space="preserve"> that </w:t>
      </w:r>
      <w:r w:rsidR="00CA42DF">
        <w:rPr>
          <w:rFonts w:eastAsia="Calibri"/>
          <w:color w:val="000000"/>
          <w:u w:color="000000"/>
          <w:bdr w:val="nil"/>
          <w:lang w:val="en-GB"/>
        </w:rPr>
        <w:t xml:space="preserve">a pro </w:t>
      </w:r>
      <w:r w:rsidRPr="000269CF">
        <w:rPr>
          <w:rFonts w:eastAsia="Calibri"/>
          <w:color w:val="000000"/>
          <w:u w:color="000000"/>
          <w:bdr w:val="nil"/>
          <w:lang w:val="en-GB"/>
        </w:rPr>
        <w:t xml:space="preserve">free-market Republican </w:t>
      </w:r>
      <w:r w:rsidR="007D2D1F">
        <w:rPr>
          <w:rFonts w:eastAsia="Calibri"/>
          <w:color w:val="000000"/>
          <w:u w:color="000000"/>
          <w:bdr w:val="nil"/>
          <w:lang w:val="en-GB"/>
        </w:rPr>
        <w:t xml:space="preserve">United States </w:t>
      </w:r>
      <w:r w:rsidRPr="000269CF">
        <w:rPr>
          <w:rFonts w:eastAsia="Calibri"/>
          <w:color w:val="000000"/>
          <w:u w:color="000000"/>
          <w:bdr w:val="nil"/>
          <w:lang w:val="en-GB"/>
        </w:rPr>
        <w:t xml:space="preserve">Congress </w:t>
      </w:r>
      <w:r w:rsidR="00CA42DF">
        <w:rPr>
          <w:rFonts w:eastAsia="Calibri"/>
          <w:color w:val="000000"/>
          <w:u w:color="000000"/>
          <w:bdr w:val="nil"/>
          <w:lang w:val="en-GB"/>
        </w:rPr>
        <w:t>would approve</w:t>
      </w:r>
      <w:r w:rsidRPr="000269CF">
        <w:rPr>
          <w:rFonts w:eastAsia="Calibri"/>
          <w:color w:val="000000"/>
          <w:u w:color="000000"/>
          <w:bdr w:val="nil"/>
          <w:lang w:val="en-GB"/>
        </w:rPr>
        <w:t xml:space="preserve"> the merger.</w:t>
      </w:r>
      <w:r w:rsidR="00F87367" w:rsidRPr="000269CF">
        <w:rPr>
          <w:rFonts w:eastAsia="Calibri"/>
          <w:color w:val="000000"/>
          <w:u w:color="000000"/>
          <w:bdr w:val="nil"/>
          <w:vertAlign w:val="superscript"/>
          <w:lang w:val="en-GB"/>
        </w:rPr>
        <w:endnoteReference w:id="40"/>
      </w:r>
      <w:r w:rsidRPr="000269CF">
        <w:rPr>
          <w:rFonts w:eastAsia="Calibri"/>
          <w:color w:val="000000"/>
          <w:u w:color="000000"/>
          <w:bdr w:val="nil"/>
          <w:lang w:val="en-GB"/>
        </w:rPr>
        <w:t xml:space="preserve"> </w:t>
      </w:r>
    </w:p>
    <w:p w14:paraId="47EC8A01" w14:textId="77777777" w:rsidR="00EC6A26" w:rsidRPr="000269CF" w:rsidRDefault="00EC6A26" w:rsidP="00EC6A26">
      <w:pPr>
        <w:pStyle w:val="BodyTextMain"/>
        <w:rPr>
          <w:rFonts w:eastAsia="Calibri"/>
          <w:color w:val="000000"/>
          <w:u w:color="000000"/>
          <w:bdr w:val="nil"/>
          <w:lang w:val="en-GB"/>
        </w:rPr>
      </w:pPr>
    </w:p>
    <w:p w14:paraId="2EE20EAE" w14:textId="48A702CB" w:rsidR="00B0775B" w:rsidRDefault="00EC6A26" w:rsidP="00EC6A26">
      <w:pPr>
        <w:pStyle w:val="BodyTextMain"/>
        <w:rPr>
          <w:rFonts w:eastAsia="Calibri"/>
          <w:color w:val="000000"/>
          <w:u w:color="000000"/>
          <w:bdr w:val="nil"/>
          <w:lang w:val="en-GB"/>
        </w:rPr>
      </w:pPr>
      <w:r w:rsidRPr="000269CF">
        <w:rPr>
          <w:rFonts w:eastAsia="Calibri"/>
          <w:color w:val="000000"/>
          <w:u w:color="000000"/>
          <w:bdr w:val="nil"/>
          <w:lang w:val="en-GB"/>
        </w:rPr>
        <w:t>A year after its announce</w:t>
      </w:r>
      <w:r w:rsidR="00FE6F29">
        <w:rPr>
          <w:rFonts w:eastAsia="Calibri"/>
          <w:color w:val="000000"/>
          <w:u w:color="000000"/>
          <w:bdr w:val="nil"/>
          <w:lang w:val="en-GB"/>
        </w:rPr>
        <w:t>ment</w:t>
      </w:r>
      <w:r w:rsidRPr="000269CF">
        <w:rPr>
          <w:rFonts w:eastAsia="Calibri"/>
          <w:color w:val="000000"/>
          <w:u w:color="000000"/>
          <w:bdr w:val="nil"/>
          <w:lang w:val="en-GB"/>
        </w:rPr>
        <w:t xml:space="preserve">, the proposed </w:t>
      </w:r>
      <w:r w:rsidR="00FE6F29">
        <w:rPr>
          <w:rFonts w:eastAsia="Calibri"/>
          <w:color w:val="000000"/>
          <w:u w:color="000000"/>
          <w:bdr w:val="nil"/>
          <w:lang w:val="en-GB"/>
        </w:rPr>
        <w:t xml:space="preserve">merger of </w:t>
      </w:r>
      <w:r w:rsidRPr="000269CF">
        <w:rPr>
          <w:rFonts w:eastAsia="Calibri"/>
          <w:color w:val="000000"/>
          <w:u w:color="000000"/>
          <w:bdr w:val="nil"/>
          <w:lang w:val="en-GB"/>
        </w:rPr>
        <w:t>Comcast</w:t>
      </w:r>
      <w:r w:rsidR="00FE6F29">
        <w:rPr>
          <w:rFonts w:eastAsia="Calibri"/>
          <w:color w:val="000000"/>
          <w:u w:color="000000"/>
          <w:bdr w:val="nil"/>
          <w:lang w:val="en-GB"/>
        </w:rPr>
        <w:t xml:space="preserve"> and </w:t>
      </w:r>
      <w:r w:rsidRPr="000269CF">
        <w:rPr>
          <w:rFonts w:eastAsia="Calibri"/>
          <w:color w:val="000000"/>
          <w:u w:color="000000"/>
          <w:bdr w:val="nil"/>
          <w:lang w:val="en-GB"/>
        </w:rPr>
        <w:t xml:space="preserve">TWC was still being scrutinized by regulatory agencies, </w:t>
      </w:r>
      <w:r w:rsidR="00FE6F29">
        <w:rPr>
          <w:rFonts w:eastAsia="Calibri"/>
          <w:color w:val="000000"/>
          <w:u w:color="000000"/>
          <w:bdr w:val="nil"/>
          <w:lang w:val="en-GB"/>
        </w:rPr>
        <w:t xml:space="preserve">which </w:t>
      </w:r>
      <w:r w:rsidRPr="000269CF">
        <w:rPr>
          <w:rFonts w:eastAsia="Calibri"/>
          <w:color w:val="000000"/>
          <w:u w:color="000000"/>
          <w:bdr w:val="nil"/>
          <w:lang w:val="en-GB"/>
        </w:rPr>
        <w:t>indicat</w:t>
      </w:r>
      <w:r w:rsidR="00FE6F29">
        <w:rPr>
          <w:rFonts w:eastAsia="Calibri"/>
          <w:color w:val="000000"/>
          <w:u w:color="000000"/>
          <w:bdr w:val="nil"/>
          <w:lang w:val="en-GB"/>
        </w:rPr>
        <w:t>ed</w:t>
      </w:r>
      <w:r w:rsidRPr="000269CF">
        <w:rPr>
          <w:rFonts w:eastAsia="Calibri"/>
          <w:color w:val="000000"/>
          <w:u w:color="000000"/>
          <w:bdr w:val="nil"/>
          <w:lang w:val="en-GB"/>
        </w:rPr>
        <w:t xml:space="preserve"> a dim view of </w:t>
      </w:r>
      <w:r w:rsidR="00FE6F29">
        <w:rPr>
          <w:rFonts w:eastAsia="Calibri"/>
          <w:color w:val="000000"/>
          <w:u w:color="000000"/>
          <w:bdr w:val="nil"/>
          <w:lang w:val="en-GB"/>
        </w:rPr>
        <w:t>the</w:t>
      </w:r>
      <w:r w:rsidRPr="000269CF">
        <w:rPr>
          <w:rFonts w:eastAsia="Calibri"/>
          <w:color w:val="000000"/>
          <w:u w:color="000000"/>
          <w:bdr w:val="nil"/>
          <w:lang w:val="en-GB"/>
        </w:rPr>
        <w:t xml:space="preserve"> bid. </w:t>
      </w:r>
      <w:r w:rsidR="00FE6F29">
        <w:rPr>
          <w:rFonts w:eastAsia="Calibri"/>
          <w:color w:val="000000"/>
          <w:u w:color="000000"/>
          <w:bdr w:val="nil"/>
          <w:lang w:val="en-GB"/>
        </w:rPr>
        <w:t xml:space="preserve">In late 2014, </w:t>
      </w:r>
      <w:r w:rsidRPr="000269CF">
        <w:rPr>
          <w:rFonts w:eastAsia="Calibri"/>
          <w:color w:val="000000"/>
          <w:u w:color="000000"/>
          <w:bdr w:val="nil"/>
          <w:lang w:val="en-GB"/>
        </w:rPr>
        <w:t xml:space="preserve">Comcast senior leaders stated that </w:t>
      </w:r>
      <w:r w:rsidR="00FE6F29">
        <w:rPr>
          <w:rFonts w:eastAsia="Calibri"/>
          <w:color w:val="000000"/>
          <w:u w:color="000000"/>
          <w:bdr w:val="nil"/>
          <w:lang w:val="en-GB"/>
        </w:rPr>
        <w:t>although</w:t>
      </w:r>
      <w:r w:rsidRPr="000269CF">
        <w:rPr>
          <w:rFonts w:eastAsia="Calibri"/>
          <w:color w:val="000000"/>
          <w:u w:color="000000"/>
          <w:bdr w:val="nil"/>
          <w:lang w:val="en-GB"/>
        </w:rPr>
        <w:t xml:space="preserve"> the company had a strong interest in the merger, “we have a very broad right to walk away from </w:t>
      </w:r>
      <w:r w:rsidRPr="000269CF">
        <w:rPr>
          <w:rFonts w:eastAsia="Calibri"/>
          <w:color w:val="000000"/>
          <w:u w:color="000000"/>
          <w:bdr w:val="nil"/>
          <w:lang w:val="en-GB"/>
        </w:rPr>
        <w:lastRenderedPageBreak/>
        <w:t>the transaction” if burdensome conditions for approval were to be imposed.</w:t>
      </w:r>
      <w:r w:rsidRPr="000269CF">
        <w:rPr>
          <w:rFonts w:eastAsia="Calibri"/>
          <w:color w:val="000000"/>
          <w:u w:color="000000"/>
          <w:bdr w:val="nil"/>
          <w:vertAlign w:val="superscript"/>
          <w:lang w:val="en-GB"/>
        </w:rPr>
        <w:endnoteReference w:id="41"/>
      </w:r>
      <w:r w:rsidRPr="000269CF">
        <w:rPr>
          <w:rFonts w:eastAsia="Calibri"/>
          <w:color w:val="000000"/>
          <w:u w:color="000000"/>
          <w:bdr w:val="nil"/>
          <w:lang w:val="en-GB"/>
        </w:rPr>
        <w:t xml:space="preserve"> In April 2015, the FCC recommended a “hearing designation order” that would put the merger proposal in front of an administrative law judge, signal</w:t>
      </w:r>
      <w:r w:rsidR="00FE6F29">
        <w:rPr>
          <w:rFonts w:eastAsia="Calibri"/>
          <w:color w:val="000000"/>
          <w:u w:color="000000"/>
          <w:bdr w:val="nil"/>
          <w:lang w:val="en-GB"/>
        </w:rPr>
        <w:t>l</w:t>
      </w:r>
      <w:r w:rsidRPr="000269CF">
        <w:rPr>
          <w:rFonts w:eastAsia="Calibri"/>
          <w:color w:val="000000"/>
          <w:u w:color="000000"/>
          <w:bdr w:val="nil"/>
          <w:lang w:val="en-GB"/>
        </w:rPr>
        <w:t xml:space="preserve">ing that the FCC was not </w:t>
      </w:r>
      <w:r w:rsidR="00FE6F29">
        <w:rPr>
          <w:rFonts w:eastAsia="Calibri"/>
          <w:color w:val="000000"/>
          <w:u w:color="000000"/>
          <w:bdr w:val="nil"/>
          <w:lang w:val="en-GB"/>
        </w:rPr>
        <w:t>convinced that</w:t>
      </w:r>
      <w:r w:rsidRPr="000269CF">
        <w:rPr>
          <w:rFonts w:eastAsia="Calibri"/>
          <w:color w:val="000000"/>
          <w:u w:color="000000"/>
          <w:bdr w:val="nil"/>
          <w:lang w:val="en-GB"/>
        </w:rPr>
        <w:t xml:space="preserve"> the merger would </w:t>
      </w:r>
      <w:r w:rsidR="00FE6F29">
        <w:rPr>
          <w:rFonts w:eastAsia="Calibri"/>
          <w:color w:val="000000"/>
          <w:u w:color="000000"/>
          <w:bdr w:val="nil"/>
          <w:lang w:val="en-GB"/>
        </w:rPr>
        <w:t>be in</w:t>
      </w:r>
      <w:r w:rsidRPr="000269CF">
        <w:rPr>
          <w:rFonts w:eastAsia="Calibri"/>
          <w:color w:val="000000"/>
          <w:u w:color="000000"/>
          <w:bdr w:val="nil"/>
          <w:lang w:val="en-GB"/>
        </w:rPr>
        <w:t xml:space="preserve"> the public</w:t>
      </w:r>
      <w:r w:rsidR="00FE6F29">
        <w:rPr>
          <w:rFonts w:eastAsia="Calibri"/>
          <w:color w:val="000000"/>
          <w:u w:color="000000"/>
          <w:bdr w:val="nil"/>
          <w:lang w:val="en-GB"/>
        </w:rPr>
        <w:t>’s</w:t>
      </w:r>
      <w:r w:rsidRPr="000269CF">
        <w:rPr>
          <w:rFonts w:eastAsia="Calibri"/>
          <w:color w:val="000000"/>
          <w:u w:color="000000"/>
          <w:bdr w:val="nil"/>
          <w:lang w:val="en-GB"/>
        </w:rPr>
        <w:t xml:space="preserve"> interest. </w:t>
      </w:r>
      <w:r w:rsidR="00FE6F29">
        <w:rPr>
          <w:rFonts w:eastAsia="Calibri"/>
          <w:color w:val="000000"/>
          <w:u w:color="000000"/>
          <w:bdr w:val="nil"/>
          <w:lang w:val="en-GB"/>
        </w:rPr>
        <w:t>P</w:t>
      </w:r>
      <w:r w:rsidRPr="000269CF">
        <w:rPr>
          <w:rFonts w:eastAsia="Calibri"/>
          <w:color w:val="000000"/>
          <w:u w:color="000000"/>
          <w:bdr w:val="nil"/>
          <w:lang w:val="en-GB"/>
        </w:rPr>
        <w:t xml:space="preserve">revious </w:t>
      </w:r>
      <w:r w:rsidR="00FE6F29">
        <w:rPr>
          <w:rFonts w:eastAsia="Calibri"/>
          <w:color w:val="000000"/>
          <w:u w:color="000000"/>
          <w:bdr w:val="nil"/>
          <w:lang w:val="en-GB"/>
        </w:rPr>
        <w:t xml:space="preserve">history of other </w:t>
      </w:r>
      <w:r w:rsidRPr="000269CF">
        <w:rPr>
          <w:rFonts w:eastAsia="Calibri"/>
          <w:color w:val="000000"/>
          <w:u w:color="000000"/>
          <w:bdr w:val="nil"/>
          <w:lang w:val="en-GB"/>
        </w:rPr>
        <w:t>merger proposals suggested that such a recommendation was a deal</w:t>
      </w:r>
      <w:r w:rsidR="00FE6F29">
        <w:rPr>
          <w:rFonts w:eastAsia="Calibri"/>
          <w:color w:val="000000"/>
          <w:u w:color="000000"/>
          <w:bdr w:val="nil"/>
          <w:lang w:val="en-GB"/>
        </w:rPr>
        <w:t xml:space="preserve"> </w:t>
      </w:r>
      <w:r w:rsidRPr="000269CF">
        <w:rPr>
          <w:rFonts w:eastAsia="Calibri"/>
          <w:color w:val="000000"/>
          <w:u w:color="000000"/>
          <w:bdr w:val="nil"/>
          <w:lang w:val="en-GB"/>
        </w:rPr>
        <w:t xml:space="preserve">killer, even though the two companies </w:t>
      </w:r>
      <w:r w:rsidR="00FE6F29">
        <w:rPr>
          <w:rFonts w:eastAsia="Calibri"/>
          <w:color w:val="000000"/>
          <w:u w:color="000000"/>
          <w:bdr w:val="nil"/>
          <w:lang w:val="en-GB"/>
        </w:rPr>
        <w:t>reserved</w:t>
      </w:r>
      <w:r w:rsidRPr="000269CF">
        <w:rPr>
          <w:rFonts w:eastAsia="Calibri"/>
          <w:color w:val="000000"/>
          <w:u w:color="000000"/>
          <w:bdr w:val="nil"/>
          <w:lang w:val="en-GB"/>
        </w:rPr>
        <w:t xml:space="preserve"> the right to make their case to the judge.</w:t>
      </w:r>
      <w:r w:rsidRPr="000269CF">
        <w:rPr>
          <w:rFonts w:eastAsia="Calibri"/>
          <w:color w:val="000000"/>
          <w:u w:color="000000"/>
          <w:bdr w:val="nil"/>
          <w:vertAlign w:val="superscript"/>
          <w:lang w:val="en-GB"/>
        </w:rPr>
        <w:endnoteReference w:id="42"/>
      </w:r>
      <w:r w:rsidRPr="000269CF">
        <w:rPr>
          <w:rFonts w:eastAsia="Calibri"/>
          <w:color w:val="000000"/>
          <w:u w:color="000000"/>
          <w:bdr w:val="nil"/>
          <w:lang w:val="en-GB"/>
        </w:rPr>
        <w:t xml:space="preserve"> </w:t>
      </w:r>
    </w:p>
    <w:p w14:paraId="65BAF550" w14:textId="77777777" w:rsidR="00B0775B" w:rsidRDefault="00B0775B" w:rsidP="00EC6A26">
      <w:pPr>
        <w:pStyle w:val="BodyTextMain"/>
        <w:rPr>
          <w:rFonts w:eastAsia="Calibri"/>
          <w:color w:val="000000"/>
          <w:u w:color="000000"/>
          <w:bdr w:val="nil"/>
          <w:lang w:val="en-GB"/>
        </w:rPr>
      </w:pPr>
    </w:p>
    <w:p w14:paraId="523CABE4" w14:textId="2EE720BF" w:rsidR="00EC6A26" w:rsidRPr="000269CF" w:rsidRDefault="00857E65" w:rsidP="00EC6A26">
      <w:pPr>
        <w:pStyle w:val="BodyTextMain"/>
        <w:rPr>
          <w:rFonts w:eastAsia="Calibri"/>
          <w:color w:val="000000"/>
          <w:u w:color="000000"/>
          <w:bdr w:val="nil"/>
          <w:lang w:val="en-GB"/>
        </w:rPr>
      </w:pPr>
      <w:r>
        <w:rPr>
          <w:rFonts w:eastAsia="Calibri"/>
          <w:color w:val="000000"/>
          <w:u w:color="000000"/>
          <w:bdr w:val="nil"/>
          <w:lang w:val="en-GB"/>
        </w:rPr>
        <w:t xml:space="preserve">Upon hearing the FCC’s April 2015 decision, </w:t>
      </w:r>
      <w:r w:rsidR="00EC6A26" w:rsidRPr="000269CF">
        <w:rPr>
          <w:rFonts w:eastAsia="Calibri"/>
          <w:color w:val="000000"/>
          <w:u w:color="000000"/>
          <w:bdr w:val="nil"/>
          <w:lang w:val="en-GB"/>
        </w:rPr>
        <w:t xml:space="preserve">Comcast terminated </w:t>
      </w:r>
      <w:r w:rsidR="00B0775B">
        <w:rPr>
          <w:rFonts w:eastAsia="Calibri"/>
          <w:color w:val="000000"/>
          <w:u w:color="000000"/>
          <w:bdr w:val="nil"/>
          <w:lang w:val="en-GB"/>
        </w:rPr>
        <w:t>its proposal</w:t>
      </w:r>
      <w:r w:rsidR="00EC6A26" w:rsidRPr="000269CF">
        <w:rPr>
          <w:rFonts w:eastAsia="Calibri"/>
          <w:color w:val="000000"/>
          <w:u w:color="000000"/>
          <w:bdr w:val="nil"/>
          <w:lang w:val="en-GB"/>
        </w:rPr>
        <w:t xml:space="preserve"> to acquire TWC. Comcast</w:t>
      </w:r>
      <w:r w:rsidR="00B0775B">
        <w:rPr>
          <w:rFonts w:eastAsia="Calibri"/>
          <w:color w:val="000000"/>
          <w:u w:color="000000"/>
          <w:bdr w:val="nil"/>
          <w:lang w:val="en-GB"/>
        </w:rPr>
        <w:t>’s</w:t>
      </w:r>
      <w:r w:rsidR="00EC6A26" w:rsidRPr="000269CF">
        <w:rPr>
          <w:rFonts w:eastAsia="Calibri"/>
          <w:color w:val="000000"/>
          <w:u w:color="000000"/>
          <w:bdr w:val="nil"/>
          <w:lang w:val="en-GB"/>
        </w:rPr>
        <w:t xml:space="preserve"> </w:t>
      </w:r>
      <w:r w:rsidR="00B0775B">
        <w:rPr>
          <w:rFonts w:eastAsia="Calibri"/>
          <w:color w:val="000000"/>
          <w:u w:color="000000"/>
          <w:bdr w:val="nil"/>
          <w:lang w:val="en-GB"/>
        </w:rPr>
        <w:t>c</w:t>
      </w:r>
      <w:r w:rsidR="00EC6A26" w:rsidRPr="000269CF">
        <w:rPr>
          <w:rFonts w:eastAsia="Calibri"/>
          <w:color w:val="000000"/>
          <w:u w:color="000000"/>
          <w:bdr w:val="nil"/>
          <w:lang w:val="en-GB"/>
        </w:rPr>
        <w:t>hair and CEO Roberts s</w:t>
      </w:r>
      <w:r w:rsidR="00B0775B">
        <w:rPr>
          <w:rFonts w:eastAsia="Calibri"/>
          <w:color w:val="000000"/>
          <w:u w:color="000000"/>
          <w:bdr w:val="nil"/>
          <w:lang w:val="en-GB"/>
        </w:rPr>
        <w:t>t</w:t>
      </w:r>
      <w:r w:rsidR="00EC6A26" w:rsidRPr="000269CF">
        <w:rPr>
          <w:rFonts w:eastAsia="Calibri"/>
          <w:color w:val="000000"/>
          <w:u w:color="000000"/>
          <w:bdr w:val="nil"/>
          <w:lang w:val="en-GB"/>
        </w:rPr>
        <w:t>a</w:t>
      </w:r>
      <w:r w:rsidR="00B0775B">
        <w:rPr>
          <w:rFonts w:eastAsia="Calibri"/>
          <w:color w:val="000000"/>
          <w:u w:color="000000"/>
          <w:bdr w:val="nil"/>
          <w:lang w:val="en-GB"/>
        </w:rPr>
        <w:t>te</w:t>
      </w:r>
      <w:r w:rsidR="00EC6A26" w:rsidRPr="000269CF">
        <w:rPr>
          <w:rFonts w:eastAsia="Calibri"/>
          <w:color w:val="000000"/>
          <w:u w:color="000000"/>
          <w:bdr w:val="nil"/>
          <w:lang w:val="en-GB"/>
        </w:rPr>
        <w:t xml:space="preserve">d </w:t>
      </w:r>
      <w:r w:rsidR="00B0775B">
        <w:rPr>
          <w:rFonts w:eastAsia="Calibri"/>
          <w:color w:val="000000"/>
          <w:u w:color="000000"/>
          <w:bdr w:val="nil"/>
          <w:lang w:val="en-GB"/>
        </w:rPr>
        <w:t>“</w:t>
      </w:r>
      <w:r w:rsidR="001C097B">
        <w:rPr>
          <w:rFonts w:eastAsia="Calibri"/>
          <w:color w:val="000000"/>
          <w:u w:color="000000"/>
          <w:bdr w:val="nil"/>
          <w:lang w:val="en-GB"/>
        </w:rPr>
        <w:t xml:space="preserve">. . . </w:t>
      </w:r>
      <w:r w:rsidR="00EC6A26" w:rsidRPr="000269CF">
        <w:rPr>
          <w:rFonts w:eastAsia="Calibri"/>
          <w:color w:val="000000"/>
          <w:u w:color="000000"/>
          <w:bdr w:val="nil"/>
          <w:lang w:val="en-GB"/>
        </w:rPr>
        <w:t>t</w:t>
      </w:r>
      <w:bookmarkStart w:id="0" w:name="_GoBack"/>
      <w:bookmarkEnd w:id="0"/>
      <w:r w:rsidR="00EC6A26" w:rsidRPr="000269CF">
        <w:rPr>
          <w:rFonts w:eastAsia="Calibri"/>
          <w:color w:val="000000"/>
          <w:u w:color="000000"/>
          <w:bdr w:val="nil"/>
          <w:lang w:val="en-GB"/>
        </w:rPr>
        <w:t xml:space="preserve">oday we move on </w:t>
      </w:r>
      <w:r w:rsidR="00B0775B">
        <w:rPr>
          <w:rFonts w:eastAsia="Calibri"/>
          <w:color w:val="000000"/>
          <w:u w:color="000000"/>
          <w:bdr w:val="nil"/>
          <w:lang w:val="en-GB"/>
        </w:rPr>
        <w:t xml:space="preserve">. . . </w:t>
      </w:r>
      <w:r w:rsidR="00EC6A26" w:rsidRPr="000269CF">
        <w:rPr>
          <w:rFonts w:eastAsia="Calibri"/>
          <w:color w:val="000000"/>
          <w:u w:color="000000"/>
          <w:bdr w:val="nil"/>
          <w:lang w:val="en-GB"/>
        </w:rPr>
        <w:t xml:space="preserve">we would have liked to bring our great products to new cities, but </w:t>
      </w:r>
      <w:r w:rsidR="00B0775B">
        <w:rPr>
          <w:rFonts w:eastAsia="Calibri"/>
          <w:color w:val="000000"/>
          <w:u w:color="000000"/>
          <w:bdr w:val="nil"/>
          <w:lang w:val="en-GB"/>
        </w:rPr>
        <w:t xml:space="preserve">. . . </w:t>
      </w:r>
      <w:r w:rsidR="00EC6A26" w:rsidRPr="000269CF">
        <w:rPr>
          <w:rFonts w:eastAsia="Calibri"/>
          <w:color w:val="000000"/>
          <w:u w:color="000000"/>
          <w:bdr w:val="nil"/>
          <w:lang w:val="en-GB"/>
        </w:rPr>
        <w:t>we could walk away.”</w:t>
      </w:r>
      <w:r w:rsidR="00EC6A26" w:rsidRPr="000269CF">
        <w:rPr>
          <w:rFonts w:eastAsia="Calibri"/>
          <w:color w:val="000000"/>
          <w:u w:color="000000"/>
          <w:bdr w:val="nil"/>
          <w:vertAlign w:val="superscript"/>
          <w:lang w:val="en-GB"/>
        </w:rPr>
        <w:endnoteReference w:id="43"/>
      </w:r>
      <w:r w:rsidR="00EC6A26" w:rsidRPr="000269CF">
        <w:rPr>
          <w:rFonts w:eastAsia="Calibri"/>
          <w:color w:val="000000"/>
          <w:u w:color="000000"/>
          <w:bdr w:val="nil"/>
          <w:lang w:val="en-GB"/>
        </w:rPr>
        <w:t xml:space="preserve"> Bloomberg News reporters </w:t>
      </w:r>
      <w:r w:rsidR="00B0775B">
        <w:rPr>
          <w:rFonts w:eastAsia="Calibri"/>
          <w:color w:val="000000"/>
          <w:u w:color="000000"/>
          <w:bdr w:val="nil"/>
          <w:lang w:val="en-GB"/>
        </w:rPr>
        <w:t xml:space="preserve">provided a summary </w:t>
      </w:r>
      <w:r w:rsidR="00EC6A26" w:rsidRPr="000269CF">
        <w:rPr>
          <w:rFonts w:eastAsia="Calibri"/>
          <w:color w:val="000000"/>
          <w:u w:color="000000"/>
          <w:bdr w:val="nil"/>
          <w:lang w:val="en-GB"/>
        </w:rPr>
        <w:t xml:space="preserve">for </w:t>
      </w:r>
      <w:r w:rsidR="00B0775B">
        <w:rPr>
          <w:rFonts w:eastAsia="Calibri"/>
          <w:color w:val="000000"/>
          <w:u w:color="000000"/>
          <w:bdr w:val="nil"/>
          <w:lang w:val="en-GB"/>
        </w:rPr>
        <w:t xml:space="preserve">their </w:t>
      </w:r>
      <w:r w:rsidR="00EC6A26" w:rsidRPr="000269CF">
        <w:rPr>
          <w:rFonts w:eastAsia="Calibri"/>
          <w:color w:val="000000"/>
          <w:u w:color="000000"/>
          <w:bdr w:val="nil"/>
          <w:lang w:val="en-GB"/>
        </w:rPr>
        <w:t xml:space="preserve">viewers </w:t>
      </w:r>
      <w:r w:rsidR="00B0775B">
        <w:rPr>
          <w:rFonts w:eastAsia="Calibri"/>
          <w:color w:val="000000"/>
          <w:u w:color="000000"/>
          <w:bdr w:val="nil"/>
          <w:lang w:val="en-GB"/>
        </w:rPr>
        <w:t xml:space="preserve">of </w:t>
      </w:r>
      <w:r w:rsidR="00EC6A26" w:rsidRPr="000269CF">
        <w:rPr>
          <w:rFonts w:eastAsia="Calibri"/>
          <w:color w:val="000000"/>
          <w:u w:color="000000"/>
          <w:bdr w:val="nil"/>
          <w:lang w:val="en-GB"/>
        </w:rPr>
        <w:t xml:space="preserve">the obstacles that had blocked the </w:t>
      </w:r>
      <w:r w:rsidR="00B0775B">
        <w:rPr>
          <w:rFonts w:eastAsia="Calibri"/>
          <w:color w:val="000000"/>
          <w:u w:color="000000"/>
          <w:bdr w:val="nil"/>
          <w:lang w:val="en-GB"/>
        </w:rPr>
        <w:t xml:space="preserve">merger of </w:t>
      </w:r>
      <w:r w:rsidR="00EC6A26" w:rsidRPr="000269CF">
        <w:rPr>
          <w:rFonts w:eastAsia="Calibri"/>
          <w:color w:val="000000"/>
          <w:u w:color="000000"/>
          <w:bdr w:val="nil"/>
          <w:lang w:val="en-GB"/>
        </w:rPr>
        <w:t>Comcast</w:t>
      </w:r>
      <w:r w:rsidR="00B0775B">
        <w:rPr>
          <w:rFonts w:eastAsia="Calibri"/>
          <w:color w:val="000000"/>
          <w:u w:color="000000"/>
          <w:bdr w:val="nil"/>
          <w:lang w:val="en-GB"/>
        </w:rPr>
        <w:t xml:space="preserve"> with </w:t>
      </w:r>
      <w:r w:rsidR="00EC6A26" w:rsidRPr="000269CF">
        <w:rPr>
          <w:rFonts w:eastAsia="Calibri"/>
          <w:color w:val="000000"/>
          <w:u w:color="000000"/>
          <w:bdr w:val="nil"/>
          <w:lang w:val="en-GB"/>
        </w:rPr>
        <w:t>TWC.</w:t>
      </w:r>
      <w:r w:rsidR="00EC6A26" w:rsidRPr="000269CF">
        <w:rPr>
          <w:rFonts w:eastAsia="Calibri"/>
          <w:color w:val="000000"/>
          <w:u w:color="000000"/>
          <w:bdr w:val="nil"/>
          <w:vertAlign w:val="superscript"/>
          <w:lang w:val="en-GB"/>
        </w:rPr>
        <w:endnoteReference w:id="44"/>
      </w:r>
    </w:p>
    <w:p w14:paraId="58771EFB" w14:textId="77777777" w:rsidR="00EC6A26" w:rsidRPr="000269CF" w:rsidRDefault="00EC6A26" w:rsidP="00EC6A26">
      <w:pPr>
        <w:pStyle w:val="BodyTextMain"/>
        <w:rPr>
          <w:rFonts w:eastAsia="Calibri"/>
          <w:color w:val="000000"/>
          <w:u w:color="000000"/>
          <w:bdr w:val="nil"/>
          <w:lang w:val="en-GB"/>
        </w:rPr>
      </w:pPr>
    </w:p>
    <w:p w14:paraId="6CEC5C1F" w14:textId="77777777" w:rsidR="00EC6A26" w:rsidRPr="000269CF" w:rsidRDefault="00EC6A26" w:rsidP="00EC6A26">
      <w:pPr>
        <w:pStyle w:val="BodyTextMain"/>
        <w:rPr>
          <w:rFonts w:eastAsia="Calibri"/>
          <w:color w:val="000000"/>
          <w:u w:color="000000"/>
          <w:bdr w:val="nil"/>
          <w:lang w:val="en-GB"/>
        </w:rPr>
      </w:pPr>
    </w:p>
    <w:p w14:paraId="7C9B301A" w14:textId="77777777" w:rsidR="00EC6A26" w:rsidRPr="000269CF" w:rsidRDefault="00EC6A26" w:rsidP="00EC6A26">
      <w:pPr>
        <w:pStyle w:val="Casehead1"/>
        <w:rPr>
          <w:rFonts w:eastAsia="Calibri"/>
          <w:u w:color="000000"/>
          <w:bdr w:val="nil"/>
          <w:lang w:val="en-GB"/>
        </w:rPr>
      </w:pPr>
      <w:r w:rsidRPr="000269CF">
        <w:rPr>
          <w:rFonts w:eastAsia="Calibri"/>
          <w:u w:color="000000"/>
          <w:bdr w:val="nil"/>
          <w:lang w:val="en-GB"/>
        </w:rPr>
        <w:t xml:space="preserve">To Bid Again or Not to Bid? </w:t>
      </w:r>
    </w:p>
    <w:p w14:paraId="42970267" w14:textId="77777777" w:rsidR="00EC6A26" w:rsidRPr="000269CF" w:rsidRDefault="00EC6A26" w:rsidP="00EC6A26">
      <w:pPr>
        <w:pStyle w:val="Casehead1"/>
        <w:rPr>
          <w:rFonts w:eastAsia="Calibri"/>
          <w:u w:color="000000"/>
          <w:bdr w:val="nil"/>
          <w:lang w:val="en-GB"/>
        </w:rPr>
      </w:pPr>
    </w:p>
    <w:p w14:paraId="68915353" w14:textId="2DFCAADD" w:rsidR="00EC6A26" w:rsidRPr="000269CF" w:rsidRDefault="00EC6A26" w:rsidP="00EC6A26">
      <w:pPr>
        <w:pStyle w:val="BodyTextMain"/>
        <w:rPr>
          <w:rFonts w:eastAsia="Arial Unicode MS"/>
          <w:bdr w:val="nil"/>
          <w:lang w:val="en-GB"/>
        </w:rPr>
      </w:pPr>
      <w:r w:rsidRPr="000269CF">
        <w:rPr>
          <w:rFonts w:eastAsia="Arial Unicode MS"/>
          <w:bdr w:val="nil"/>
          <w:lang w:val="en-GB"/>
        </w:rPr>
        <w:t>In March 2015, Charter announced that it was acquiring its smaller rival Bright House Networks</w:t>
      </w:r>
      <w:r w:rsidR="00B0775B">
        <w:rPr>
          <w:rFonts w:eastAsia="Arial Unicode MS"/>
          <w:bdr w:val="nil"/>
          <w:lang w:val="en-GB"/>
        </w:rPr>
        <w:t>,</w:t>
      </w:r>
      <w:r w:rsidRPr="000269CF">
        <w:rPr>
          <w:rFonts w:eastAsia="Arial Unicode MS"/>
          <w:bdr w:val="nil"/>
          <w:lang w:val="en-GB"/>
        </w:rPr>
        <w:t xml:space="preserve"> in </w:t>
      </w:r>
      <w:r w:rsidR="00B0775B">
        <w:rPr>
          <w:rFonts w:eastAsia="Arial Unicode MS"/>
          <w:bdr w:val="nil"/>
          <w:lang w:val="en-GB"/>
        </w:rPr>
        <w:t xml:space="preserve">a </w:t>
      </w:r>
      <w:r w:rsidRPr="000269CF">
        <w:rPr>
          <w:rFonts w:eastAsia="Arial Unicode MS"/>
          <w:bdr w:val="nil"/>
          <w:lang w:val="en-GB"/>
        </w:rPr>
        <w:t>partnership with Advance/Newhouse</w:t>
      </w:r>
      <w:r w:rsidR="00B0775B">
        <w:rPr>
          <w:rFonts w:eastAsia="Arial Unicode MS"/>
          <w:bdr w:val="nil"/>
          <w:lang w:val="en-GB"/>
        </w:rPr>
        <w:t>,</w:t>
      </w:r>
      <w:r w:rsidRPr="000269CF">
        <w:rPr>
          <w:rFonts w:eastAsia="Arial Unicode MS"/>
          <w:bdr w:val="nil"/>
          <w:lang w:val="en-GB"/>
        </w:rPr>
        <w:t xml:space="preserve"> for $10.4 billion.</w:t>
      </w:r>
      <w:r w:rsidRPr="000269CF">
        <w:rPr>
          <w:rFonts w:eastAsia="Arial Unicode MS"/>
          <w:bdr w:val="nil"/>
          <w:vertAlign w:val="superscript"/>
          <w:lang w:val="en-GB"/>
        </w:rPr>
        <w:endnoteReference w:id="45"/>
      </w:r>
      <w:r w:rsidRPr="000269CF">
        <w:rPr>
          <w:rFonts w:eastAsia="Arial Unicode MS"/>
          <w:bdr w:val="nil"/>
          <w:lang w:val="en-GB"/>
        </w:rPr>
        <w:t xml:space="preserve"> </w:t>
      </w:r>
      <w:r w:rsidR="00ED5534">
        <w:rPr>
          <w:rFonts w:eastAsia="Arial Unicode MS"/>
          <w:bdr w:val="nil"/>
          <w:lang w:val="en-GB"/>
        </w:rPr>
        <w:t>Two months later</w:t>
      </w:r>
      <w:r w:rsidR="00B0775B">
        <w:rPr>
          <w:rFonts w:eastAsia="Arial Unicode MS"/>
          <w:bdr w:val="nil"/>
          <w:lang w:val="en-GB"/>
        </w:rPr>
        <w:t>, with</w:t>
      </w:r>
      <w:r w:rsidRPr="000269CF">
        <w:rPr>
          <w:rFonts w:eastAsia="Arial Unicode MS"/>
          <w:bdr w:val="nil"/>
          <w:lang w:val="en-GB"/>
        </w:rPr>
        <w:t xml:space="preserve"> TWC </w:t>
      </w:r>
      <w:r w:rsidR="00B0775B">
        <w:rPr>
          <w:rFonts w:eastAsia="Arial Unicode MS"/>
          <w:bdr w:val="nil"/>
          <w:lang w:val="en-GB"/>
        </w:rPr>
        <w:t xml:space="preserve">no longer involved in </w:t>
      </w:r>
      <w:r w:rsidR="00ED5534">
        <w:rPr>
          <w:rFonts w:eastAsia="Arial Unicode MS"/>
          <w:bdr w:val="nil"/>
          <w:lang w:val="en-GB"/>
        </w:rPr>
        <w:t>the Comcast deal,</w:t>
      </w:r>
      <w:r w:rsidRPr="000269CF">
        <w:rPr>
          <w:rFonts w:eastAsia="Arial Unicode MS"/>
          <w:bdr w:val="nil"/>
          <w:lang w:val="en-GB"/>
        </w:rPr>
        <w:t xml:space="preserve"> Liberty Media</w:t>
      </w:r>
      <w:r w:rsidR="00ED5534">
        <w:rPr>
          <w:rFonts w:eastAsia="Arial Unicode MS"/>
          <w:bdr w:val="nil"/>
          <w:lang w:val="en-GB"/>
        </w:rPr>
        <w:t>, Charter’s</w:t>
      </w:r>
      <w:r w:rsidRPr="000269CF">
        <w:rPr>
          <w:rFonts w:eastAsia="Arial Unicode MS"/>
          <w:bdr w:val="nil"/>
          <w:lang w:val="en-GB"/>
        </w:rPr>
        <w:t xml:space="preserve"> largest shareholder</w:t>
      </w:r>
      <w:r w:rsidR="00E91350">
        <w:rPr>
          <w:rFonts w:eastAsia="Arial Unicode MS"/>
          <w:bdr w:val="nil"/>
          <w:lang w:val="en-GB"/>
        </w:rPr>
        <w:t>,</w:t>
      </w:r>
      <w:r w:rsidRPr="000269CF">
        <w:rPr>
          <w:rFonts w:eastAsia="Arial Unicode MS"/>
          <w:bdr w:val="nil"/>
          <w:lang w:val="en-GB"/>
        </w:rPr>
        <w:t xml:space="preserve"> </w:t>
      </w:r>
      <w:r w:rsidR="00E91350">
        <w:rPr>
          <w:rFonts w:eastAsia="Arial Unicode MS"/>
          <w:bdr w:val="nil"/>
          <w:lang w:val="en-GB"/>
        </w:rPr>
        <w:t>e</w:t>
      </w:r>
      <w:r w:rsidRPr="000269CF">
        <w:rPr>
          <w:rFonts w:eastAsia="Arial Unicode MS"/>
          <w:bdr w:val="nil"/>
          <w:lang w:val="en-GB"/>
        </w:rPr>
        <w:t>xpress</w:t>
      </w:r>
      <w:r w:rsidR="00ED5534">
        <w:rPr>
          <w:rFonts w:eastAsia="Arial Unicode MS"/>
          <w:bdr w:val="nil"/>
          <w:lang w:val="en-GB"/>
        </w:rPr>
        <w:t>ed a</w:t>
      </w:r>
      <w:r w:rsidRPr="000269CF">
        <w:rPr>
          <w:rFonts w:eastAsia="Arial Unicode MS"/>
          <w:bdr w:val="nil"/>
          <w:lang w:val="en-GB"/>
        </w:rPr>
        <w:t xml:space="preserve"> strong interest in a friendly bid for TWC.</w:t>
      </w:r>
      <w:r w:rsidRPr="000269CF">
        <w:rPr>
          <w:rFonts w:eastAsia="Calibri"/>
          <w:bdr w:val="nil"/>
          <w:vertAlign w:val="superscript"/>
          <w:lang w:val="en-GB"/>
        </w:rPr>
        <w:endnoteReference w:id="46"/>
      </w:r>
      <w:r w:rsidRPr="000269CF">
        <w:rPr>
          <w:rFonts w:eastAsia="Arial Unicode MS"/>
          <w:bdr w:val="nil"/>
          <w:lang w:val="en-GB"/>
        </w:rPr>
        <w:t xml:space="preserve"> </w:t>
      </w:r>
      <w:r w:rsidR="00ED5534">
        <w:rPr>
          <w:rFonts w:eastAsia="Arial Unicode MS"/>
          <w:bdr w:val="nil"/>
          <w:lang w:val="en-GB"/>
        </w:rPr>
        <w:t xml:space="preserve">Reportedly, Malone (Liberty Media’s current CEO) contacted TWC’s CEO Marcus to begin the process. </w:t>
      </w:r>
      <w:r w:rsidR="00E91350">
        <w:rPr>
          <w:rFonts w:eastAsia="Arial Unicode MS"/>
          <w:bdr w:val="nil"/>
          <w:lang w:val="en-GB"/>
        </w:rPr>
        <w:t>On t</w:t>
      </w:r>
      <w:r w:rsidRPr="000269CF">
        <w:rPr>
          <w:rFonts w:eastAsia="Arial Unicode MS"/>
          <w:bdr w:val="nil"/>
          <w:lang w:val="en-GB"/>
        </w:rPr>
        <w:t xml:space="preserve">he day that </w:t>
      </w:r>
      <w:r w:rsidR="00ED5534">
        <w:rPr>
          <w:rFonts w:eastAsia="Arial Unicode MS"/>
          <w:bdr w:val="nil"/>
          <w:lang w:val="en-GB"/>
        </w:rPr>
        <w:t xml:space="preserve">the </w:t>
      </w:r>
      <w:r w:rsidRPr="000269CF">
        <w:rPr>
          <w:rFonts w:eastAsia="Arial Unicode MS"/>
          <w:bdr w:val="nil"/>
          <w:lang w:val="en-GB"/>
        </w:rPr>
        <w:t>news media announced Charter’s renewed interest, TWC</w:t>
      </w:r>
      <w:r w:rsidR="00ED5534">
        <w:rPr>
          <w:rFonts w:eastAsia="Arial Unicode MS"/>
          <w:bdr w:val="nil"/>
          <w:lang w:val="en-GB"/>
        </w:rPr>
        <w:t>’s</w:t>
      </w:r>
      <w:r w:rsidRPr="000269CF">
        <w:rPr>
          <w:rFonts w:eastAsia="Arial Unicode MS"/>
          <w:bdr w:val="nil"/>
          <w:lang w:val="en-GB"/>
        </w:rPr>
        <w:t xml:space="preserve"> stock price jumped to $155.</w:t>
      </w:r>
      <w:r w:rsidRPr="000269CF">
        <w:rPr>
          <w:rFonts w:eastAsia="Calibri"/>
          <w:bdr w:val="nil"/>
          <w:vertAlign w:val="superscript"/>
          <w:lang w:val="en-GB"/>
        </w:rPr>
        <w:endnoteReference w:id="47"/>
      </w:r>
    </w:p>
    <w:p w14:paraId="2A3676FD" w14:textId="77777777" w:rsidR="00EC6A26" w:rsidRPr="000269CF" w:rsidRDefault="00EC6A26" w:rsidP="001A23EF">
      <w:pPr>
        <w:pStyle w:val="BodyTextMain"/>
        <w:rPr>
          <w:lang w:val="en-GB"/>
        </w:rPr>
      </w:pPr>
    </w:p>
    <w:p w14:paraId="067F879A" w14:textId="525775C0" w:rsidR="00EC6A26" w:rsidRPr="000269CF" w:rsidRDefault="00EC6A26" w:rsidP="00EC6A26">
      <w:pPr>
        <w:pStyle w:val="BodyTextMain"/>
        <w:rPr>
          <w:rFonts w:eastAsia="Calibri"/>
          <w:color w:val="000000"/>
          <w:u w:color="000000"/>
          <w:bdr w:val="nil"/>
          <w:lang w:val="en-GB"/>
        </w:rPr>
      </w:pPr>
      <w:r w:rsidRPr="000269CF">
        <w:rPr>
          <w:rFonts w:eastAsia="Calibri"/>
          <w:color w:val="000000"/>
          <w:u w:color="000000"/>
          <w:bdr w:val="nil"/>
          <w:lang w:val="en-GB"/>
        </w:rPr>
        <w:t>It was estimated that a combined Charter</w:t>
      </w:r>
      <w:r w:rsidR="000D1712">
        <w:rPr>
          <w:rFonts w:eastAsia="Calibri"/>
          <w:color w:val="000000"/>
          <w:u w:color="000000"/>
          <w:bdr w:val="nil"/>
          <w:lang w:val="en-GB"/>
        </w:rPr>
        <w:t xml:space="preserve"> and </w:t>
      </w:r>
      <w:r w:rsidRPr="000269CF">
        <w:rPr>
          <w:rFonts w:eastAsia="Calibri"/>
          <w:color w:val="000000"/>
          <w:u w:color="000000"/>
          <w:bdr w:val="nil"/>
          <w:lang w:val="en-GB"/>
        </w:rPr>
        <w:t>TWC company would have 17.3 million video customers—</w:t>
      </w:r>
      <w:r w:rsidR="00FA1A26">
        <w:rPr>
          <w:rFonts w:eastAsia="Calibri"/>
          <w:color w:val="000000"/>
          <w:u w:color="000000"/>
          <w:bdr w:val="nil"/>
          <w:lang w:val="en-GB"/>
        </w:rPr>
        <w:t>second only to</w:t>
      </w:r>
      <w:r w:rsidRPr="000269CF">
        <w:rPr>
          <w:rFonts w:eastAsia="Calibri"/>
          <w:color w:val="000000"/>
          <w:u w:color="000000"/>
          <w:bdr w:val="nil"/>
          <w:lang w:val="en-GB"/>
        </w:rPr>
        <w:t xml:space="preserve"> Comcast’s 22.4 million. The</w:t>
      </w:r>
      <w:r w:rsidR="00FA1A26">
        <w:rPr>
          <w:rFonts w:eastAsia="Calibri"/>
          <w:color w:val="000000"/>
          <w:u w:color="000000"/>
          <w:bdr w:val="nil"/>
          <w:lang w:val="en-GB"/>
        </w:rPr>
        <w:t xml:space="preserve"> merged compan</w:t>
      </w:r>
      <w:r w:rsidRPr="000269CF">
        <w:rPr>
          <w:rFonts w:eastAsia="Calibri"/>
          <w:color w:val="000000"/>
          <w:u w:color="000000"/>
          <w:bdr w:val="nil"/>
          <w:lang w:val="en-GB"/>
        </w:rPr>
        <w:t xml:space="preserve">y </w:t>
      </w:r>
      <w:r w:rsidRPr="000269CF">
        <w:rPr>
          <w:rFonts w:eastAsia="Arial Unicode MS"/>
          <w:color w:val="000000"/>
          <w:u w:color="000000"/>
          <w:bdr w:val="nil"/>
          <w:lang w:val="en-GB"/>
        </w:rPr>
        <w:t xml:space="preserve">would also have 19.5 million high-speed </w:t>
      </w:r>
      <w:r w:rsidR="00FA1A26">
        <w:rPr>
          <w:rFonts w:eastAsia="Arial Unicode MS"/>
          <w:color w:val="000000"/>
          <w:u w:color="000000"/>
          <w:bdr w:val="nil"/>
          <w:lang w:val="en-GB"/>
        </w:rPr>
        <w:t>I</w:t>
      </w:r>
      <w:r w:rsidRPr="000269CF">
        <w:rPr>
          <w:rFonts w:eastAsia="Arial Unicode MS"/>
          <w:color w:val="000000"/>
          <w:u w:color="000000"/>
          <w:bdr w:val="nil"/>
          <w:lang w:val="en-GB"/>
        </w:rPr>
        <w:t>nternet customers</w:t>
      </w:r>
      <w:r w:rsidR="00FA1A26">
        <w:rPr>
          <w:rFonts w:eastAsia="Arial Unicode MS"/>
          <w:color w:val="000000"/>
          <w:u w:color="000000"/>
          <w:bdr w:val="nil"/>
          <w:lang w:val="en-GB"/>
        </w:rPr>
        <w:t>,</w:t>
      </w:r>
      <w:r w:rsidRPr="000269CF">
        <w:rPr>
          <w:rFonts w:eastAsia="Arial Unicode MS"/>
          <w:color w:val="000000"/>
          <w:u w:color="000000"/>
          <w:bdr w:val="nil"/>
          <w:lang w:val="en-GB"/>
        </w:rPr>
        <w:t xml:space="preserve"> </w:t>
      </w:r>
      <w:r w:rsidR="00FA1A26">
        <w:rPr>
          <w:rFonts w:eastAsia="Arial Unicode MS"/>
          <w:color w:val="000000"/>
          <w:u w:color="000000"/>
          <w:bdr w:val="nil"/>
          <w:lang w:val="en-GB"/>
        </w:rPr>
        <w:t>f</w:t>
      </w:r>
      <w:r w:rsidRPr="000269CF">
        <w:rPr>
          <w:rFonts w:eastAsia="Arial Unicode MS"/>
          <w:color w:val="000000"/>
          <w:u w:color="000000"/>
          <w:bdr w:val="nil"/>
          <w:lang w:val="en-GB"/>
        </w:rPr>
        <w:t>or about 30</w:t>
      </w:r>
      <w:r w:rsidR="00FA1A26">
        <w:rPr>
          <w:rFonts w:eastAsia="Arial Unicode MS"/>
          <w:color w:val="000000"/>
          <w:u w:color="000000"/>
          <w:bdr w:val="nil"/>
          <w:lang w:val="en-GB"/>
        </w:rPr>
        <w:t xml:space="preserve"> per cent</w:t>
      </w:r>
      <w:r w:rsidRPr="000269CF">
        <w:rPr>
          <w:rFonts w:eastAsia="Arial Unicode MS"/>
          <w:color w:val="000000"/>
          <w:u w:color="000000"/>
          <w:bdr w:val="nil"/>
          <w:lang w:val="en-GB"/>
        </w:rPr>
        <w:t xml:space="preserve"> of homes</w:t>
      </w:r>
      <w:r w:rsidR="00FA1A26">
        <w:rPr>
          <w:rFonts w:eastAsia="Arial Unicode MS"/>
          <w:color w:val="000000"/>
          <w:u w:color="000000"/>
          <w:bdr w:val="nil"/>
          <w:lang w:val="en-GB"/>
        </w:rPr>
        <w:t>,</w:t>
      </w:r>
      <w:r w:rsidRPr="000269CF">
        <w:rPr>
          <w:rFonts w:eastAsia="Arial Unicode MS"/>
          <w:color w:val="000000"/>
          <w:u w:color="000000"/>
          <w:bdr w:val="nil"/>
          <w:lang w:val="en-GB"/>
        </w:rPr>
        <w:t xml:space="preserve"> with access to Internet speeds of at least 25</w:t>
      </w:r>
      <w:r w:rsidR="00FA1A26">
        <w:rPr>
          <w:rFonts w:eastAsia="Arial Unicode MS"/>
          <w:color w:val="000000"/>
          <w:u w:color="000000"/>
          <w:bdr w:val="nil"/>
          <w:lang w:val="en-GB"/>
        </w:rPr>
        <w:t xml:space="preserve"> </w:t>
      </w:r>
      <w:r w:rsidRPr="000269CF">
        <w:rPr>
          <w:rFonts w:eastAsia="Arial Unicode MS"/>
          <w:color w:val="000000"/>
          <w:u w:color="000000"/>
          <w:bdr w:val="nil"/>
          <w:lang w:val="en-GB"/>
        </w:rPr>
        <w:t>mbps</w:t>
      </w:r>
      <w:r w:rsidR="00FA1A26">
        <w:rPr>
          <w:rFonts w:eastAsia="Arial Unicode MS"/>
          <w:color w:val="000000"/>
          <w:u w:color="000000"/>
          <w:bdr w:val="nil"/>
          <w:lang w:val="en-GB"/>
        </w:rPr>
        <w:t>, compared to Comcast’s</w:t>
      </w:r>
      <w:r w:rsidRPr="000269CF">
        <w:rPr>
          <w:rFonts w:eastAsia="Arial Unicode MS"/>
          <w:color w:val="000000"/>
          <w:u w:color="000000"/>
          <w:bdr w:val="nil"/>
          <w:lang w:val="en-GB"/>
        </w:rPr>
        <w:t xml:space="preserve"> 34.6</w:t>
      </w:r>
      <w:r w:rsidR="00FA1A26">
        <w:rPr>
          <w:rFonts w:eastAsia="Arial Unicode MS"/>
          <w:color w:val="000000"/>
          <w:u w:color="000000"/>
          <w:bdr w:val="nil"/>
          <w:lang w:val="en-GB"/>
        </w:rPr>
        <w:t xml:space="preserve"> per cent of homes</w:t>
      </w:r>
      <w:r w:rsidRPr="000269CF">
        <w:rPr>
          <w:rFonts w:eastAsia="Arial Unicode MS"/>
          <w:color w:val="000000"/>
          <w:u w:color="000000"/>
          <w:bdr w:val="nil"/>
          <w:lang w:val="en-GB"/>
        </w:rPr>
        <w:t xml:space="preserve">. </w:t>
      </w:r>
      <w:r w:rsidR="00E91350">
        <w:rPr>
          <w:rFonts w:eastAsia="Arial Unicode MS"/>
          <w:color w:val="000000"/>
          <w:u w:color="000000"/>
          <w:bdr w:val="nil"/>
          <w:lang w:val="en-GB"/>
        </w:rPr>
        <w:t>T</w:t>
      </w:r>
      <w:r w:rsidR="00FA1A26">
        <w:rPr>
          <w:rFonts w:eastAsia="Arial Unicode MS"/>
          <w:color w:val="000000"/>
          <w:u w:color="000000"/>
          <w:bdr w:val="nil"/>
          <w:lang w:val="en-GB"/>
        </w:rPr>
        <w:t>he new company</w:t>
      </w:r>
      <w:r w:rsidRPr="000269CF">
        <w:rPr>
          <w:rFonts w:eastAsia="Arial Unicode MS"/>
          <w:color w:val="000000"/>
          <w:u w:color="000000"/>
          <w:bdr w:val="nil"/>
          <w:lang w:val="en-GB"/>
        </w:rPr>
        <w:t xml:space="preserve"> would </w:t>
      </w:r>
      <w:r w:rsidR="00FA1A26">
        <w:rPr>
          <w:rFonts w:eastAsia="Arial Unicode MS"/>
          <w:color w:val="000000"/>
          <w:u w:color="000000"/>
          <w:bdr w:val="nil"/>
          <w:lang w:val="en-GB"/>
        </w:rPr>
        <w:t xml:space="preserve">also </w:t>
      </w:r>
      <w:r w:rsidRPr="000269CF">
        <w:rPr>
          <w:rFonts w:eastAsia="Arial Unicode MS"/>
          <w:color w:val="000000"/>
          <w:u w:color="000000"/>
          <w:bdr w:val="nil"/>
          <w:lang w:val="en-GB"/>
        </w:rPr>
        <w:t>have 9.5 million voice customers</w:t>
      </w:r>
      <w:r w:rsidR="00FA1A26">
        <w:rPr>
          <w:rFonts w:eastAsia="Calibri"/>
          <w:color w:val="000000"/>
          <w:u w:color="000000"/>
          <w:bdr w:val="nil"/>
          <w:lang w:val="en-GB"/>
        </w:rPr>
        <w:t>, giving</w:t>
      </w:r>
      <w:r w:rsidRPr="000269CF">
        <w:rPr>
          <w:rFonts w:eastAsia="Calibri"/>
          <w:color w:val="000000"/>
          <w:u w:color="000000"/>
          <w:bdr w:val="nil"/>
          <w:lang w:val="en-GB"/>
        </w:rPr>
        <w:t xml:space="preserve"> Malone the prize he had been seeking </w:t>
      </w:r>
      <w:r w:rsidR="00FA1A26">
        <w:rPr>
          <w:rFonts w:eastAsia="Calibri"/>
          <w:color w:val="000000"/>
          <w:u w:color="000000"/>
          <w:bdr w:val="nil"/>
          <w:lang w:val="en-GB"/>
        </w:rPr>
        <w:t xml:space="preserve">for </w:t>
      </w:r>
      <w:r w:rsidRPr="000269CF">
        <w:rPr>
          <w:rFonts w:eastAsia="Calibri"/>
          <w:color w:val="000000"/>
          <w:u w:color="000000"/>
          <w:bdr w:val="nil"/>
          <w:lang w:val="en-GB"/>
        </w:rPr>
        <w:t>a long time</w:t>
      </w:r>
      <w:r w:rsidR="00FA1A26">
        <w:rPr>
          <w:rFonts w:eastAsia="Calibri"/>
          <w:color w:val="000000"/>
          <w:u w:color="000000"/>
          <w:bdr w:val="nil"/>
          <w:lang w:val="en-GB"/>
        </w:rPr>
        <w:t xml:space="preserve"> and</w:t>
      </w:r>
      <w:r w:rsidRPr="000269CF">
        <w:rPr>
          <w:rFonts w:eastAsia="Calibri"/>
          <w:color w:val="000000"/>
          <w:u w:color="000000"/>
          <w:bdr w:val="nil"/>
          <w:lang w:val="en-GB"/>
        </w:rPr>
        <w:t xml:space="preserve"> creating the scale </w:t>
      </w:r>
      <w:r w:rsidR="00FA1A26">
        <w:rPr>
          <w:rFonts w:eastAsia="Calibri"/>
          <w:color w:val="000000"/>
          <w:u w:color="000000"/>
          <w:bdr w:val="nil"/>
          <w:lang w:val="en-GB"/>
        </w:rPr>
        <w:t xml:space="preserve">that </w:t>
      </w:r>
      <w:r w:rsidRPr="000269CF">
        <w:rPr>
          <w:rFonts w:eastAsia="Calibri"/>
          <w:color w:val="000000"/>
          <w:u w:color="000000"/>
          <w:bdr w:val="nil"/>
          <w:lang w:val="en-GB"/>
        </w:rPr>
        <w:t>Charter needed</w:t>
      </w:r>
      <w:r w:rsidR="00FA1A26">
        <w:rPr>
          <w:rFonts w:eastAsia="Calibri"/>
          <w:color w:val="000000"/>
          <w:u w:color="000000"/>
          <w:bdr w:val="nil"/>
          <w:lang w:val="en-GB"/>
        </w:rPr>
        <w:t>. I</w:t>
      </w:r>
      <w:r w:rsidRPr="000269CF">
        <w:rPr>
          <w:rFonts w:eastAsia="Calibri"/>
          <w:color w:val="000000"/>
          <w:u w:color="000000"/>
          <w:bdr w:val="nil"/>
          <w:lang w:val="en-GB"/>
        </w:rPr>
        <w:t xml:space="preserve">t </w:t>
      </w:r>
      <w:r w:rsidR="00FA1A26">
        <w:rPr>
          <w:rFonts w:eastAsia="Calibri"/>
          <w:color w:val="000000"/>
          <w:u w:color="000000"/>
          <w:bdr w:val="nil"/>
          <w:lang w:val="en-GB"/>
        </w:rPr>
        <w:t xml:space="preserve">would provide </w:t>
      </w:r>
      <w:r w:rsidRPr="000269CF">
        <w:rPr>
          <w:rFonts w:eastAsia="Calibri"/>
          <w:color w:val="000000"/>
          <w:u w:color="000000"/>
          <w:bdr w:val="nil"/>
          <w:lang w:val="en-GB"/>
        </w:rPr>
        <w:t xml:space="preserve">added leverage </w:t>
      </w:r>
      <w:r w:rsidR="00FA1A26">
        <w:rPr>
          <w:rFonts w:eastAsia="Calibri"/>
          <w:color w:val="000000"/>
          <w:u w:color="000000"/>
          <w:bdr w:val="nil"/>
          <w:lang w:val="en-GB"/>
        </w:rPr>
        <w:t>against</w:t>
      </w:r>
      <w:r w:rsidRPr="000269CF">
        <w:rPr>
          <w:rFonts w:eastAsia="Calibri"/>
          <w:color w:val="000000"/>
          <w:u w:color="000000"/>
          <w:bdr w:val="nil"/>
          <w:lang w:val="en-GB"/>
        </w:rPr>
        <w:t xml:space="preserve"> content producers</w:t>
      </w:r>
      <w:r w:rsidR="00FA1A26">
        <w:rPr>
          <w:rFonts w:eastAsia="Calibri"/>
          <w:color w:val="000000"/>
          <w:u w:color="000000"/>
          <w:bdr w:val="nil"/>
          <w:lang w:val="en-GB"/>
        </w:rPr>
        <w:t>,</w:t>
      </w:r>
      <w:r w:rsidRPr="000269CF">
        <w:rPr>
          <w:rFonts w:eastAsia="Calibri"/>
          <w:color w:val="000000"/>
          <w:u w:color="000000"/>
          <w:bdr w:val="nil"/>
          <w:lang w:val="en-GB"/>
        </w:rPr>
        <w:t xml:space="preserve"> putting a halt to rapidly increasing pay-</w:t>
      </w:r>
      <w:r w:rsidR="00FA1A26">
        <w:rPr>
          <w:rFonts w:eastAsia="Calibri"/>
          <w:color w:val="000000"/>
          <w:u w:color="000000"/>
          <w:bdr w:val="nil"/>
          <w:lang w:val="en-GB"/>
        </w:rPr>
        <w:t>television</w:t>
      </w:r>
      <w:r w:rsidRPr="000269CF">
        <w:rPr>
          <w:rFonts w:eastAsia="Calibri"/>
          <w:color w:val="000000"/>
          <w:u w:color="000000"/>
          <w:bdr w:val="nil"/>
          <w:lang w:val="en-GB"/>
        </w:rPr>
        <w:t xml:space="preserve"> programming costs and</w:t>
      </w:r>
      <w:r w:rsidR="00FA1A26">
        <w:rPr>
          <w:rFonts w:eastAsia="Calibri"/>
          <w:color w:val="000000"/>
          <w:u w:color="000000"/>
          <w:bdr w:val="nil"/>
          <w:lang w:val="en-GB"/>
        </w:rPr>
        <w:t>,</w:t>
      </w:r>
      <w:r w:rsidRPr="000269CF">
        <w:rPr>
          <w:rFonts w:eastAsia="Calibri"/>
          <w:color w:val="000000"/>
          <w:u w:color="000000"/>
          <w:bdr w:val="nil"/>
          <w:lang w:val="en-GB"/>
        </w:rPr>
        <w:t xml:space="preserve"> in turn</w:t>
      </w:r>
      <w:r w:rsidR="00FA1A26">
        <w:rPr>
          <w:rFonts w:eastAsia="Calibri"/>
          <w:color w:val="000000"/>
          <w:u w:color="000000"/>
          <w:bdr w:val="nil"/>
          <w:lang w:val="en-GB"/>
        </w:rPr>
        <w:t>,</w:t>
      </w:r>
      <w:r w:rsidRPr="000269CF">
        <w:rPr>
          <w:rFonts w:eastAsia="Calibri"/>
          <w:color w:val="000000"/>
          <w:u w:color="000000"/>
          <w:bdr w:val="nil"/>
          <w:lang w:val="en-GB"/>
        </w:rPr>
        <w:t xml:space="preserve"> presumably help </w:t>
      </w:r>
      <w:r w:rsidR="00FA1A26">
        <w:rPr>
          <w:rFonts w:eastAsia="Calibri"/>
          <w:color w:val="000000"/>
          <w:u w:color="000000"/>
          <w:bdr w:val="nil"/>
          <w:lang w:val="en-GB"/>
        </w:rPr>
        <w:t>keep</w:t>
      </w:r>
      <w:r w:rsidRPr="000269CF">
        <w:rPr>
          <w:rFonts w:eastAsia="Calibri"/>
          <w:color w:val="000000"/>
          <w:u w:color="000000"/>
          <w:bdr w:val="nil"/>
          <w:lang w:val="en-GB"/>
        </w:rPr>
        <w:t xml:space="preserve"> prices </w:t>
      </w:r>
      <w:r w:rsidR="00FA1A26">
        <w:rPr>
          <w:rFonts w:eastAsia="Calibri"/>
          <w:color w:val="000000"/>
          <w:u w:color="000000"/>
          <w:bdr w:val="nil"/>
          <w:lang w:val="en-GB"/>
        </w:rPr>
        <w:t xml:space="preserve">low </w:t>
      </w:r>
      <w:r w:rsidRPr="000269CF">
        <w:rPr>
          <w:rFonts w:eastAsia="Calibri"/>
          <w:color w:val="000000"/>
          <w:u w:color="000000"/>
          <w:bdr w:val="nil"/>
          <w:lang w:val="en-GB"/>
        </w:rPr>
        <w:t>for video customers.</w:t>
      </w:r>
      <w:r w:rsidRPr="000269CF">
        <w:rPr>
          <w:rFonts w:eastAsia="Calibri"/>
          <w:color w:val="000000"/>
          <w:u w:color="000000"/>
          <w:bdr w:val="nil"/>
          <w:vertAlign w:val="superscript"/>
          <w:lang w:val="en-GB"/>
        </w:rPr>
        <w:endnoteReference w:id="48"/>
      </w:r>
    </w:p>
    <w:p w14:paraId="6581E18E" w14:textId="77777777" w:rsidR="00EC6A26" w:rsidRPr="000269CF" w:rsidRDefault="00EC6A26" w:rsidP="00EC6A26">
      <w:pPr>
        <w:pStyle w:val="BodyTextMain"/>
        <w:rPr>
          <w:rFonts w:eastAsia="Arial Unicode MS"/>
          <w:color w:val="000000"/>
          <w:u w:color="000000"/>
          <w:bdr w:val="nil"/>
          <w:lang w:val="en-GB"/>
        </w:rPr>
      </w:pPr>
    </w:p>
    <w:p w14:paraId="42B6F0C8" w14:textId="292B3815" w:rsidR="00EC6A26" w:rsidRPr="000269CF" w:rsidRDefault="00EC6A26" w:rsidP="00EC6A26">
      <w:pPr>
        <w:pStyle w:val="BodyTextMain"/>
        <w:rPr>
          <w:rFonts w:eastAsia="Arial Unicode MS"/>
          <w:color w:val="000000"/>
          <w:u w:color="000000"/>
          <w:bdr w:val="nil"/>
          <w:lang w:val="en-GB"/>
        </w:rPr>
      </w:pPr>
      <w:r w:rsidRPr="000269CF">
        <w:rPr>
          <w:rFonts w:eastAsia="Arial Unicode MS"/>
          <w:color w:val="000000"/>
          <w:u w:color="000000"/>
          <w:bdr w:val="nil"/>
          <w:lang w:val="en-GB"/>
        </w:rPr>
        <w:t>However, th</w:t>
      </w:r>
      <w:r w:rsidR="00464CA0">
        <w:rPr>
          <w:rFonts w:eastAsia="Arial Unicode MS"/>
          <w:color w:val="000000"/>
          <w:u w:color="000000"/>
          <w:bdr w:val="nil"/>
          <w:lang w:val="en-GB"/>
        </w:rPr>
        <w:t>e market</w:t>
      </w:r>
      <w:r w:rsidRPr="000269CF">
        <w:rPr>
          <w:rFonts w:eastAsia="Arial Unicode MS"/>
          <w:color w:val="000000"/>
          <w:u w:color="000000"/>
          <w:bdr w:val="nil"/>
          <w:lang w:val="en-GB"/>
        </w:rPr>
        <w:t xml:space="preserve"> had changed</w:t>
      </w:r>
      <w:r w:rsidR="00E91350">
        <w:rPr>
          <w:rFonts w:eastAsia="Arial Unicode MS"/>
          <w:color w:val="000000"/>
          <w:u w:color="000000"/>
          <w:bdr w:val="nil"/>
          <w:lang w:val="en-GB"/>
        </w:rPr>
        <w:t xml:space="preserve"> considerably</w:t>
      </w:r>
      <w:r w:rsidRPr="000269CF">
        <w:rPr>
          <w:rFonts w:eastAsia="Arial Unicode MS"/>
          <w:color w:val="000000"/>
          <w:u w:color="000000"/>
          <w:bdr w:val="nil"/>
          <w:lang w:val="en-GB"/>
        </w:rPr>
        <w:t xml:space="preserve"> since 2013. </w:t>
      </w:r>
      <w:r w:rsidR="00464CA0">
        <w:rPr>
          <w:rFonts w:eastAsia="Arial Unicode MS"/>
          <w:color w:val="000000"/>
          <w:u w:color="000000"/>
          <w:bdr w:val="nil"/>
          <w:lang w:val="en-GB"/>
        </w:rPr>
        <w:t>Although</w:t>
      </w:r>
      <w:r w:rsidR="00464CA0" w:rsidRPr="000269CF">
        <w:rPr>
          <w:rFonts w:eastAsia="Arial Unicode MS"/>
          <w:color w:val="000000"/>
          <w:u w:color="000000"/>
          <w:bdr w:val="nil"/>
          <w:lang w:val="en-GB"/>
        </w:rPr>
        <w:t xml:space="preserve"> </w:t>
      </w:r>
      <w:r w:rsidRPr="000269CF">
        <w:rPr>
          <w:rFonts w:eastAsia="Arial Unicode MS"/>
          <w:color w:val="000000"/>
          <w:u w:color="000000"/>
          <w:bdr w:val="nil"/>
          <w:lang w:val="en-GB"/>
        </w:rPr>
        <w:t xml:space="preserve">TWC was </w:t>
      </w:r>
      <w:r w:rsidR="00464CA0">
        <w:rPr>
          <w:rFonts w:eastAsia="Arial Unicode MS"/>
          <w:color w:val="000000"/>
          <w:u w:color="000000"/>
          <w:bdr w:val="nil"/>
          <w:lang w:val="en-GB"/>
        </w:rPr>
        <w:t>losing</w:t>
      </w:r>
      <w:r w:rsidRPr="000269CF">
        <w:rPr>
          <w:rFonts w:eastAsia="Arial Unicode MS"/>
          <w:color w:val="000000"/>
          <w:u w:color="000000"/>
          <w:bdr w:val="nil"/>
          <w:lang w:val="en-GB"/>
        </w:rPr>
        <w:t xml:space="preserve"> video subscribers</w:t>
      </w:r>
      <w:r w:rsidR="00464CA0">
        <w:rPr>
          <w:rFonts w:eastAsia="Arial Unicode MS"/>
          <w:color w:val="000000"/>
          <w:u w:color="000000"/>
          <w:bdr w:val="nil"/>
          <w:lang w:val="en-GB"/>
        </w:rPr>
        <w:t xml:space="preserve"> in 2013,</w:t>
      </w:r>
      <w:r w:rsidRPr="000269CF">
        <w:rPr>
          <w:rFonts w:eastAsia="Arial Unicode MS"/>
          <w:color w:val="000000"/>
          <w:u w:color="000000"/>
          <w:bdr w:val="nil"/>
          <w:lang w:val="en-GB"/>
        </w:rPr>
        <w:t xml:space="preserve"> i</w:t>
      </w:r>
      <w:r w:rsidR="00464CA0">
        <w:rPr>
          <w:rFonts w:eastAsia="Arial Unicode MS"/>
          <w:color w:val="000000"/>
          <w:u w:color="000000"/>
          <w:bdr w:val="nil"/>
          <w:lang w:val="en-GB"/>
        </w:rPr>
        <w:t>t was currently</w:t>
      </w:r>
      <w:r w:rsidRPr="000269CF">
        <w:rPr>
          <w:rFonts w:eastAsia="Arial Unicode MS"/>
          <w:color w:val="000000"/>
          <w:u w:color="000000"/>
          <w:bdr w:val="nil"/>
          <w:lang w:val="en-GB"/>
        </w:rPr>
        <w:t xml:space="preserve"> report</w:t>
      </w:r>
      <w:r w:rsidR="00464CA0">
        <w:rPr>
          <w:rFonts w:eastAsia="Arial Unicode MS"/>
          <w:color w:val="000000"/>
          <w:u w:color="000000"/>
          <w:bdr w:val="nil"/>
          <w:lang w:val="en-GB"/>
        </w:rPr>
        <w:t>ing an</w:t>
      </w:r>
      <w:r w:rsidRPr="000269CF">
        <w:rPr>
          <w:rFonts w:eastAsia="Arial Unicode MS"/>
          <w:color w:val="000000"/>
          <w:u w:color="000000"/>
          <w:bdr w:val="nil"/>
          <w:lang w:val="en-GB"/>
        </w:rPr>
        <w:t xml:space="preserve"> increase.</w:t>
      </w:r>
      <w:r w:rsidRPr="000269CF">
        <w:rPr>
          <w:rFonts w:eastAsia="Arial Unicode MS"/>
          <w:color w:val="000000"/>
          <w:u w:color="000000"/>
          <w:bdr w:val="nil"/>
          <w:vertAlign w:val="superscript"/>
          <w:lang w:val="en-GB"/>
        </w:rPr>
        <w:endnoteReference w:id="49"/>
      </w:r>
      <w:r w:rsidRPr="000269CF">
        <w:rPr>
          <w:rFonts w:eastAsia="Arial Unicode MS"/>
          <w:color w:val="000000"/>
          <w:u w:color="000000"/>
          <w:bdr w:val="nil"/>
          <w:lang w:val="en-GB"/>
        </w:rPr>
        <w:t xml:space="preserve"> Intense speculation about Charter’s </w:t>
      </w:r>
      <w:r w:rsidR="00B65587">
        <w:rPr>
          <w:rFonts w:eastAsia="Arial Unicode MS"/>
          <w:color w:val="000000"/>
          <w:u w:color="000000"/>
          <w:bdr w:val="nil"/>
          <w:lang w:val="en-GB"/>
        </w:rPr>
        <w:t>future plans,</w:t>
      </w:r>
      <w:r w:rsidRPr="000269CF">
        <w:rPr>
          <w:rFonts w:eastAsia="Arial Unicode MS"/>
          <w:color w:val="000000"/>
          <w:u w:color="000000"/>
          <w:bdr w:val="nil"/>
          <w:lang w:val="en-GB"/>
        </w:rPr>
        <w:t xml:space="preserve"> in the wake of Comcast</w:t>
      </w:r>
      <w:r w:rsidR="00B65587">
        <w:rPr>
          <w:rFonts w:eastAsia="Arial Unicode MS"/>
          <w:color w:val="000000"/>
          <w:u w:color="000000"/>
          <w:bdr w:val="nil"/>
          <w:lang w:val="en-GB"/>
        </w:rPr>
        <w:t xml:space="preserve">’s failed attempt to merge with </w:t>
      </w:r>
      <w:r w:rsidRPr="000269CF">
        <w:rPr>
          <w:rFonts w:eastAsia="Arial Unicode MS"/>
          <w:color w:val="000000"/>
          <w:u w:color="000000"/>
          <w:bdr w:val="nil"/>
          <w:lang w:val="en-GB"/>
        </w:rPr>
        <w:t>TWC</w:t>
      </w:r>
      <w:r w:rsidR="00B65587">
        <w:rPr>
          <w:rFonts w:eastAsia="Arial Unicode MS"/>
          <w:color w:val="000000"/>
          <w:u w:color="000000"/>
          <w:bdr w:val="nil"/>
          <w:lang w:val="en-GB"/>
        </w:rPr>
        <w:t>,</w:t>
      </w:r>
      <w:r w:rsidRPr="000269CF">
        <w:rPr>
          <w:rFonts w:eastAsia="Arial Unicode MS"/>
          <w:color w:val="000000"/>
          <w:u w:color="000000"/>
          <w:bdr w:val="nil"/>
          <w:lang w:val="en-GB"/>
        </w:rPr>
        <w:t xml:space="preserve"> had also </w:t>
      </w:r>
      <w:r w:rsidR="00B65587">
        <w:rPr>
          <w:rFonts w:eastAsia="Arial Unicode MS"/>
          <w:color w:val="000000"/>
          <w:u w:color="000000"/>
          <w:bdr w:val="nil"/>
          <w:lang w:val="en-GB"/>
        </w:rPr>
        <w:t>raised</w:t>
      </w:r>
      <w:r w:rsidRPr="000269CF">
        <w:rPr>
          <w:rFonts w:eastAsia="Arial Unicode MS"/>
          <w:color w:val="000000"/>
          <w:u w:color="000000"/>
          <w:bdr w:val="nil"/>
          <w:lang w:val="en-GB"/>
        </w:rPr>
        <w:t xml:space="preserve"> TWC’s target price per share from the $170</w:t>
      </w:r>
      <w:r w:rsidR="001C0BCA">
        <w:rPr>
          <w:rFonts w:eastAsia="Arial Unicode MS"/>
          <w:color w:val="000000"/>
          <w:u w:color="000000"/>
          <w:bdr w:val="nil"/>
          <w:lang w:val="en-GB"/>
        </w:rPr>
        <w:t>–$180</w:t>
      </w:r>
      <w:r w:rsidRPr="000269CF">
        <w:rPr>
          <w:rFonts w:eastAsia="Arial Unicode MS"/>
          <w:color w:val="000000"/>
          <w:u w:color="000000"/>
          <w:bdr w:val="nil"/>
          <w:lang w:val="en-GB"/>
        </w:rPr>
        <w:t xml:space="preserve"> </w:t>
      </w:r>
      <w:r w:rsidR="00B65587">
        <w:rPr>
          <w:rFonts w:eastAsia="Arial Unicode MS"/>
          <w:color w:val="000000"/>
          <w:u w:color="000000"/>
          <w:bdr w:val="nil"/>
          <w:lang w:val="en-GB"/>
        </w:rPr>
        <w:t xml:space="preserve">range </w:t>
      </w:r>
      <w:r w:rsidRPr="000269CF">
        <w:rPr>
          <w:rFonts w:eastAsia="Arial Unicode MS"/>
          <w:color w:val="000000"/>
          <w:u w:color="000000"/>
          <w:bdr w:val="nil"/>
          <w:lang w:val="en-GB"/>
        </w:rPr>
        <w:t>to the $190</w:t>
      </w:r>
      <w:r w:rsidR="001C0BCA">
        <w:rPr>
          <w:rFonts w:eastAsia="Arial Unicode MS"/>
          <w:color w:val="000000"/>
          <w:u w:color="000000"/>
          <w:bdr w:val="nil"/>
          <w:lang w:val="en-GB"/>
        </w:rPr>
        <w:t>–$200</w:t>
      </w:r>
      <w:r w:rsidR="00B65587">
        <w:rPr>
          <w:rFonts w:eastAsia="Arial Unicode MS"/>
          <w:color w:val="000000"/>
          <w:u w:color="000000"/>
          <w:bdr w:val="nil"/>
          <w:lang w:val="en-GB"/>
        </w:rPr>
        <w:t xml:space="preserve"> range</w:t>
      </w:r>
      <w:r w:rsidRPr="000269CF">
        <w:rPr>
          <w:rFonts w:eastAsia="Arial Unicode MS"/>
          <w:color w:val="000000"/>
          <w:u w:color="000000"/>
          <w:bdr w:val="nil"/>
          <w:lang w:val="en-GB"/>
        </w:rPr>
        <w:t>.</w:t>
      </w:r>
      <w:r w:rsidRPr="000269CF">
        <w:rPr>
          <w:rFonts w:eastAsia="Arial Unicode MS"/>
          <w:color w:val="000000"/>
          <w:u w:color="000000"/>
          <w:bdr w:val="nil"/>
          <w:vertAlign w:val="superscript"/>
          <w:lang w:val="en-GB"/>
        </w:rPr>
        <w:endnoteReference w:id="50"/>
      </w:r>
      <w:r w:rsidRPr="000269CF">
        <w:rPr>
          <w:rFonts w:eastAsia="Arial Unicode MS"/>
          <w:color w:val="000000"/>
          <w:u w:color="000000"/>
          <w:bdr w:val="nil"/>
          <w:lang w:val="en-GB"/>
        </w:rPr>
        <w:t xml:space="preserve"> </w:t>
      </w:r>
    </w:p>
    <w:p w14:paraId="5EC6593F" w14:textId="77777777" w:rsidR="00464CA0" w:rsidRDefault="00464CA0" w:rsidP="00EC6A26">
      <w:pPr>
        <w:pStyle w:val="BodyTextMain"/>
        <w:rPr>
          <w:rFonts w:eastAsia="Calibri"/>
          <w:color w:val="000000"/>
          <w:u w:color="000000"/>
          <w:bdr w:val="nil"/>
          <w:lang w:val="en-GB"/>
        </w:rPr>
      </w:pPr>
    </w:p>
    <w:p w14:paraId="7F400D95" w14:textId="22C38F3D" w:rsidR="00EC6A26" w:rsidRPr="000269CF" w:rsidRDefault="00EC6A26" w:rsidP="00EC6A26">
      <w:pPr>
        <w:pStyle w:val="BodyTextMain"/>
        <w:rPr>
          <w:rFonts w:eastAsia="Calibri"/>
          <w:color w:val="000000"/>
          <w:u w:color="000000"/>
          <w:bdr w:val="nil"/>
          <w:lang w:val="en-GB"/>
        </w:rPr>
      </w:pPr>
      <w:r w:rsidRPr="000269CF">
        <w:rPr>
          <w:rFonts w:eastAsia="Calibri"/>
          <w:color w:val="000000"/>
          <w:u w:color="000000"/>
          <w:bdr w:val="nil"/>
          <w:lang w:val="en-GB"/>
        </w:rPr>
        <w:t xml:space="preserve">There were several </w:t>
      </w:r>
      <w:r w:rsidR="00B65587">
        <w:rPr>
          <w:rFonts w:eastAsia="Calibri"/>
          <w:color w:val="000000"/>
          <w:u w:color="000000"/>
          <w:bdr w:val="nil"/>
          <w:lang w:val="en-GB"/>
        </w:rPr>
        <w:t>other unknowns.</w:t>
      </w:r>
      <w:r w:rsidRPr="000269CF">
        <w:rPr>
          <w:rFonts w:eastAsia="Calibri"/>
          <w:color w:val="000000"/>
          <w:u w:color="000000"/>
          <w:bdr w:val="nil"/>
          <w:lang w:val="en-GB"/>
        </w:rPr>
        <w:t xml:space="preserve"> </w:t>
      </w:r>
      <w:r w:rsidR="00B65587">
        <w:rPr>
          <w:rFonts w:eastAsia="Calibri"/>
          <w:color w:val="000000"/>
          <w:u w:color="000000"/>
          <w:bdr w:val="nil"/>
          <w:lang w:val="en-GB"/>
        </w:rPr>
        <w:t xml:space="preserve">An </w:t>
      </w:r>
      <w:r w:rsidRPr="000269CF">
        <w:rPr>
          <w:rFonts w:eastAsia="Calibri"/>
          <w:color w:val="000000"/>
          <w:u w:color="000000"/>
          <w:bdr w:val="nil"/>
          <w:lang w:val="en-GB"/>
        </w:rPr>
        <w:t xml:space="preserve">FCC approval of </w:t>
      </w:r>
      <w:r w:rsidR="00B65587">
        <w:rPr>
          <w:rFonts w:eastAsia="Calibri"/>
          <w:color w:val="000000"/>
          <w:u w:color="000000"/>
          <w:bdr w:val="nil"/>
          <w:lang w:val="en-GB"/>
        </w:rPr>
        <w:t xml:space="preserve">a </w:t>
      </w:r>
      <w:r w:rsidRPr="000269CF">
        <w:rPr>
          <w:rFonts w:eastAsia="Calibri"/>
          <w:color w:val="000000"/>
          <w:u w:color="000000"/>
          <w:bdr w:val="nil"/>
          <w:lang w:val="en-GB"/>
        </w:rPr>
        <w:t>merger between Charter and TWC remained uncertain</w:t>
      </w:r>
      <w:r w:rsidR="00B65587">
        <w:rPr>
          <w:rFonts w:eastAsia="Calibri"/>
          <w:color w:val="000000"/>
          <w:u w:color="000000"/>
          <w:bdr w:val="nil"/>
          <w:lang w:val="en-GB"/>
        </w:rPr>
        <w:t>.</w:t>
      </w:r>
      <w:r w:rsidRPr="000269CF">
        <w:rPr>
          <w:rFonts w:eastAsia="Calibri"/>
          <w:color w:val="000000"/>
          <w:u w:color="000000"/>
          <w:bdr w:val="nil"/>
          <w:lang w:val="en-GB"/>
        </w:rPr>
        <w:t xml:space="preserve"> </w:t>
      </w:r>
      <w:r w:rsidR="00B65587">
        <w:rPr>
          <w:rFonts w:eastAsia="Calibri"/>
          <w:color w:val="000000"/>
          <w:u w:color="000000"/>
          <w:bdr w:val="nil"/>
          <w:lang w:val="en-GB"/>
        </w:rPr>
        <w:t>I</w:t>
      </w:r>
      <w:r w:rsidRPr="000269CF">
        <w:rPr>
          <w:rFonts w:eastAsia="Calibri"/>
          <w:color w:val="000000"/>
          <w:u w:color="000000"/>
          <w:bdr w:val="nil"/>
          <w:lang w:val="en-GB"/>
        </w:rPr>
        <w:t xml:space="preserve">t was difficult to anticipate </w:t>
      </w:r>
      <w:r w:rsidR="00B65587">
        <w:rPr>
          <w:rFonts w:eastAsia="Calibri"/>
          <w:color w:val="000000"/>
          <w:u w:color="000000"/>
          <w:bdr w:val="nil"/>
          <w:lang w:val="en-GB"/>
        </w:rPr>
        <w:t>what</w:t>
      </w:r>
      <w:r w:rsidRPr="000269CF">
        <w:rPr>
          <w:rFonts w:eastAsia="Calibri"/>
          <w:color w:val="000000"/>
          <w:u w:color="000000"/>
          <w:bdr w:val="nil"/>
          <w:lang w:val="en-GB"/>
        </w:rPr>
        <w:t xml:space="preserve"> preconditions, if any, the FCC would dictate. Many of the </w:t>
      </w:r>
      <w:r w:rsidR="00B65587">
        <w:rPr>
          <w:rFonts w:eastAsia="Calibri"/>
          <w:color w:val="000000"/>
          <w:u w:color="000000"/>
          <w:bdr w:val="nil"/>
          <w:lang w:val="en-GB"/>
        </w:rPr>
        <w:t>same groups</w:t>
      </w:r>
      <w:r w:rsidRPr="000269CF">
        <w:rPr>
          <w:rFonts w:eastAsia="Calibri"/>
          <w:color w:val="000000"/>
          <w:u w:color="000000"/>
          <w:bdr w:val="nil"/>
          <w:lang w:val="en-GB"/>
        </w:rPr>
        <w:t xml:space="preserve"> that </w:t>
      </w:r>
      <w:r w:rsidR="00B65587">
        <w:rPr>
          <w:rFonts w:eastAsia="Calibri"/>
          <w:color w:val="000000"/>
          <w:u w:color="000000"/>
          <w:bdr w:val="nil"/>
          <w:lang w:val="en-GB"/>
        </w:rPr>
        <w:t xml:space="preserve">had </w:t>
      </w:r>
      <w:r w:rsidRPr="000269CF">
        <w:rPr>
          <w:rFonts w:eastAsia="Calibri"/>
          <w:color w:val="000000"/>
          <w:u w:color="000000"/>
          <w:bdr w:val="nil"/>
          <w:lang w:val="en-GB"/>
        </w:rPr>
        <w:t>opposed Comcast</w:t>
      </w:r>
      <w:r w:rsidR="00B65587">
        <w:rPr>
          <w:rFonts w:eastAsia="Calibri"/>
          <w:color w:val="000000"/>
          <w:u w:color="000000"/>
          <w:bdr w:val="nil"/>
          <w:lang w:val="en-GB"/>
        </w:rPr>
        <w:t>’s</w:t>
      </w:r>
      <w:r w:rsidRPr="000269CF">
        <w:rPr>
          <w:rFonts w:eastAsia="Calibri"/>
          <w:color w:val="000000"/>
          <w:u w:color="000000"/>
          <w:bdr w:val="nil"/>
          <w:lang w:val="en-GB"/>
        </w:rPr>
        <w:t xml:space="preserve"> proposal could revive th</w:t>
      </w:r>
      <w:r w:rsidR="00B65587">
        <w:rPr>
          <w:rFonts w:eastAsia="Calibri"/>
          <w:color w:val="000000"/>
          <w:u w:color="000000"/>
          <w:bdr w:val="nil"/>
          <w:lang w:val="en-GB"/>
        </w:rPr>
        <w:t>os</w:t>
      </w:r>
      <w:r w:rsidRPr="000269CF">
        <w:rPr>
          <w:rFonts w:eastAsia="Calibri"/>
          <w:color w:val="000000"/>
          <w:u w:color="000000"/>
          <w:bdr w:val="nil"/>
          <w:lang w:val="en-GB"/>
        </w:rPr>
        <w:t>e same objections against Charter</w:t>
      </w:r>
      <w:r w:rsidR="00B65587">
        <w:rPr>
          <w:rFonts w:eastAsia="Calibri"/>
          <w:color w:val="000000"/>
          <w:u w:color="000000"/>
          <w:bdr w:val="nil"/>
          <w:lang w:val="en-GB"/>
        </w:rPr>
        <w:t>’s attempt</w:t>
      </w:r>
      <w:r w:rsidRPr="000269CF">
        <w:rPr>
          <w:rFonts w:eastAsia="Calibri"/>
          <w:color w:val="000000"/>
          <w:u w:color="000000"/>
          <w:bdr w:val="nil"/>
          <w:lang w:val="en-GB"/>
        </w:rPr>
        <w:t>. However, from the perspective of regulators and cable industry groups, one benefit of th</w:t>
      </w:r>
      <w:r w:rsidR="00B65587">
        <w:rPr>
          <w:rFonts w:eastAsia="Calibri"/>
          <w:color w:val="000000"/>
          <w:u w:color="000000"/>
          <w:bdr w:val="nil"/>
          <w:lang w:val="en-GB"/>
        </w:rPr>
        <w:t>is new</w:t>
      </w:r>
      <w:r w:rsidRPr="000269CF">
        <w:rPr>
          <w:rFonts w:eastAsia="Calibri"/>
          <w:color w:val="000000"/>
          <w:u w:color="000000"/>
          <w:bdr w:val="nil"/>
          <w:lang w:val="en-GB"/>
        </w:rPr>
        <w:t xml:space="preserve"> deal would be that the combined company would be a strong </w:t>
      </w:r>
      <w:r w:rsidR="00B65587">
        <w:rPr>
          <w:rFonts w:eastAsia="Calibri"/>
          <w:color w:val="000000"/>
          <w:u w:color="000000"/>
          <w:bdr w:val="nil"/>
          <w:lang w:val="en-GB"/>
        </w:rPr>
        <w:t xml:space="preserve">number two company in the </w:t>
      </w:r>
      <w:r w:rsidRPr="000269CF">
        <w:rPr>
          <w:rFonts w:eastAsia="Calibri"/>
          <w:color w:val="000000"/>
          <w:u w:color="000000"/>
          <w:bdr w:val="nil"/>
          <w:lang w:val="en-GB"/>
        </w:rPr>
        <w:t>industry</w:t>
      </w:r>
      <w:r w:rsidR="001A23EF" w:rsidRPr="000269CF">
        <w:rPr>
          <w:rFonts w:eastAsia="Calibri"/>
          <w:color w:val="000000"/>
          <w:u w:color="000000"/>
          <w:bdr w:val="nil"/>
          <w:lang w:val="en-GB"/>
        </w:rPr>
        <w:t>, thus reducing Comcast’s relative market power</w:t>
      </w:r>
      <w:r w:rsidRPr="000269CF">
        <w:rPr>
          <w:rFonts w:eastAsia="Calibri"/>
          <w:color w:val="000000"/>
          <w:u w:color="000000"/>
          <w:bdr w:val="nil"/>
          <w:lang w:val="en-GB"/>
        </w:rPr>
        <w:t xml:space="preserve"> and increas</w:t>
      </w:r>
      <w:r w:rsidR="00B65587">
        <w:rPr>
          <w:rFonts w:eastAsia="Calibri"/>
          <w:color w:val="000000"/>
          <w:u w:color="000000"/>
          <w:bdr w:val="nil"/>
          <w:lang w:val="en-GB"/>
        </w:rPr>
        <w:t>ing</w:t>
      </w:r>
      <w:r w:rsidRPr="000269CF">
        <w:rPr>
          <w:rFonts w:eastAsia="Calibri"/>
          <w:color w:val="000000"/>
          <w:u w:color="000000"/>
          <w:bdr w:val="nil"/>
          <w:lang w:val="en-GB"/>
        </w:rPr>
        <w:t xml:space="preserve"> competition in th</w:t>
      </w:r>
      <w:r w:rsidR="00B65587">
        <w:rPr>
          <w:rFonts w:eastAsia="Calibri"/>
          <w:color w:val="000000"/>
          <w:u w:color="000000"/>
          <w:bdr w:val="nil"/>
          <w:lang w:val="en-GB"/>
        </w:rPr>
        <w:t>at segment</w:t>
      </w:r>
      <w:r w:rsidRPr="000269CF">
        <w:rPr>
          <w:rFonts w:eastAsia="Calibri"/>
          <w:color w:val="000000"/>
          <w:u w:color="000000"/>
          <w:bdr w:val="nil"/>
          <w:lang w:val="en-GB"/>
        </w:rPr>
        <w:t xml:space="preserve">. Nonetheless, many known and unknown potential </w:t>
      </w:r>
      <w:r w:rsidR="001A23EF" w:rsidRPr="000269CF">
        <w:rPr>
          <w:rFonts w:eastAsia="Calibri"/>
          <w:color w:val="000000"/>
          <w:u w:color="000000"/>
          <w:bdr w:val="nil"/>
          <w:lang w:val="en-GB"/>
        </w:rPr>
        <w:t>roadblocks</w:t>
      </w:r>
      <w:r w:rsidRPr="000269CF">
        <w:rPr>
          <w:rFonts w:eastAsia="Calibri"/>
          <w:color w:val="000000"/>
          <w:u w:color="000000"/>
          <w:bdr w:val="nil"/>
          <w:lang w:val="en-GB"/>
        </w:rPr>
        <w:t xml:space="preserve"> could make the bidding process long and costly for Charter. </w:t>
      </w:r>
    </w:p>
    <w:p w14:paraId="0BC365A1" w14:textId="77777777" w:rsidR="001A23EF" w:rsidRPr="000269CF" w:rsidRDefault="001A23EF" w:rsidP="00EC6A26">
      <w:pPr>
        <w:pStyle w:val="BodyTextMain"/>
        <w:rPr>
          <w:rFonts w:eastAsia="Calibri"/>
          <w:color w:val="000000"/>
          <w:u w:color="000000"/>
          <w:bdr w:val="nil"/>
          <w:lang w:val="en-GB"/>
        </w:rPr>
      </w:pPr>
    </w:p>
    <w:p w14:paraId="575600AB" w14:textId="16B99898" w:rsidR="00EC6A26" w:rsidRPr="000269CF" w:rsidRDefault="00EC6A26" w:rsidP="00EC6A26">
      <w:pPr>
        <w:pStyle w:val="BodyTextMain"/>
        <w:rPr>
          <w:rFonts w:ascii="Calibri" w:eastAsia="Calibri" w:hAnsi="Calibri" w:cs="Calibri"/>
          <w:color w:val="000000"/>
          <w:u w:color="000000"/>
          <w:bdr w:val="nil"/>
          <w:lang w:val="en-GB"/>
        </w:rPr>
      </w:pPr>
      <w:r w:rsidRPr="000269CF">
        <w:rPr>
          <w:rFonts w:eastAsia="Calibri"/>
          <w:color w:val="000000"/>
          <w:u w:color="000000"/>
          <w:bdr w:val="nil"/>
          <w:lang w:val="en-GB"/>
        </w:rPr>
        <w:t>Charter’s leadership th</w:t>
      </w:r>
      <w:r w:rsidR="00B65587">
        <w:rPr>
          <w:rFonts w:eastAsia="Calibri"/>
          <w:color w:val="000000"/>
          <w:u w:color="000000"/>
          <w:bdr w:val="nil"/>
          <w:lang w:val="en-GB"/>
        </w:rPr>
        <w:t>erefore</w:t>
      </w:r>
      <w:r w:rsidRPr="000269CF">
        <w:rPr>
          <w:rFonts w:eastAsia="Calibri"/>
          <w:color w:val="000000"/>
          <w:u w:color="000000"/>
          <w:bdr w:val="nil"/>
          <w:lang w:val="en-GB"/>
        </w:rPr>
        <w:t xml:space="preserve"> </w:t>
      </w:r>
      <w:r w:rsidR="001C0BCA">
        <w:rPr>
          <w:rFonts w:eastAsia="Calibri"/>
          <w:color w:val="000000"/>
          <w:u w:color="000000"/>
          <w:bdr w:val="nil"/>
          <w:lang w:val="en-GB"/>
        </w:rPr>
        <w:t>had to</w:t>
      </w:r>
      <w:r w:rsidRPr="000269CF">
        <w:rPr>
          <w:rFonts w:eastAsia="Calibri"/>
          <w:color w:val="000000"/>
          <w:u w:color="000000"/>
          <w:bdr w:val="nil"/>
          <w:lang w:val="en-GB"/>
        </w:rPr>
        <w:t xml:space="preserve"> deci</w:t>
      </w:r>
      <w:r w:rsidR="001C0BCA">
        <w:rPr>
          <w:rFonts w:eastAsia="Calibri"/>
          <w:color w:val="000000"/>
          <w:u w:color="000000"/>
          <w:bdr w:val="nil"/>
          <w:lang w:val="en-GB"/>
        </w:rPr>
        <w:t>de</w:t>
      </w:r>
      <w:r w:rsidR="00B65587">
        <w:rPr>
          <w:rFonts w:eastAsia="Calibri"/>
          <w:color w:val="000000"/>
          <w:u w:color="000000"/>
          <w:bdr w:val="nil"/>
          <w:lang w:val="en-GB"/>
        </w:rPr>
        <w:t xml:space="preserve"> whether</w:t>
      </w:r>
      <w:r w:rsidRPr="000269CF">
        <w:rPr>
          <w:rFonts w:eastAsia="Calibri"/>
          <w:color w:val="000000"/>
          <w:u w:color="000000"/>
          <w:bdr w:val="nil"/>
          <w:lang w:val="en-GB"/>
        </w:rPr>
        <w:t xml:space="preserve"> </w:t>
      </w:r>
      <w:r w:rsidR="001C0BCA">
        <w:rPr>
          <w:rFonts w:eastAsia="Calibri"/>
          <w:color w:val="000000"/>
          <w:u w:color="000000"/>
          <w:bdr w:val="nil"/>
          <w:lang w:val="en-GB"/>
        </w:rPr>
        <w:t>i</w:t>
      </w:r>
      <w:r w:rsidRPr="000269CF">
        <w:rPr>
          <w:rFonts w:eastAsia="Calibri"/>
          <w:color w:val="000000"/>
          <w:u w:color="000000"/>
          <w:bdr w:val="nil"/>
          <w:lang w:val="en-GB"/>
        </w:rPr>
        <w:t>t</w:t>
      </w:r>
      <w:r w:rsidR="001C0BCA">
        <w:rPr>
          <w:rFonts w:eastAsia="Calibri"/>
          <w:color w:val="000000"/>
          <w:u w:color="000000"/>
          <w:bdr w:val="nil"/>
          <w:lang w:val="en-GB"/>
        </w:rPr>
        <w:t xml:space="preserve"> should</w:t>
      </w:r>
      <w:r w:rsidR="00B65587">
        <w:rPr>
          <w:rFonts w:eastAsia="Calibri"/>
          <w:color w:val="000000"/>
          <w:u w:color="000000"/>
          <w:bdr w:val="nil"/>
          <w:lang w:val="en-GB"/>
        </w:rPr>
        <w:t xml:space="preserve"> reopen </w:t>
      </w:r>
      <w:r w:rsidR="001C0BCA">
        <w:rPr>
          <w:rFonts w:eastAsia="Calibri"/>
          <w:color w:val="000000"/>
          <w:u w:color="000000"/>
          <w:bdr w:val="nil"/>
          <w:lang w:val="en-GB"/>
        </w:rPr>
        <w:t>the</w:t>
      </w:r>
      <w:r w:rsidRPr="000269CF">
        <w:rPr>
          <w:rFonts w:eastAsia="Calibri"/>
          <w:color w:val="000000"/>
          <w:u w:color="000000"/>
          <w:bdr w:val="nil"/>
          <w:lang w:val="en-GB"/>
        </w:rPr>
        <w:t xml:space="preserve"> bid</w:t>
      </w:r>
      <w:r w:rsidR="001C0BCA">
        <w:rPr>
          <w:rFonts w:eastAsia="Calibri"/>
          <w:color w:val="000000"/>
          <w:u w:color="000000"/>
          <w:bdr w:val="nil"/>
          <w:lang w:val="en-GB"/>
        </w:rPr>
        <w:t>ding process</w:t>
      </w:r>
      <w:r w:rsidRPr="000269CF">
        <w:rPr>
          <w:rFonts w:eastAsia="Calibri"/>
          <w:color w:val="000000"/>
          <w:u w:color="000000"/>
          <w:bdr w:val="nil"/>
          <w:lang w:val="en-GB"/>
        </w:rPr>
        <w:t xml:space="preserve"> </w:t>
      </w:r>
      <w:r w:rsidR="00B65587">
        <w:rPr>
          <w:rFonts w:eastAsia="Calibri"/>
          <w:color w:val="000000"/>
          <w:u w:color="000000"/>
          <w:bdr w:val="nil"/>
          <w:lang w:val="en-GB"/>
        </w:rPr>
        <w:t xml:space="preserve">for </w:t>
      </w:r>
      <w:r w:rsidR="001C0BCA">
        <w:rPr>
          <w:rFonts w:eastAsia="Calibri"/>
          <w:color w:val="000000"/>
          <w:u w:color="000000"/>
          <w:bdr w:val="nil"/>
          <w:lang w:val="en-GB"/>
        </w:rPr>
        <w:t xml:space="preserve">a </w:t>
      </w:r>
      <w:r w:rsidR="00B65587">
        <w:rPr>
          <w:rFonts w:eastAsia="Calibri"/>
          <w:color w:val="000000"/>
          <w:u w:color="000000"/>
          <w:bdr w:val="nil"/>
          <w:lang w:val="en-GB"/>
        </w:rPr>
        <w:t>TWC</w:t>
      </w:r>
      <w:r w:rsidR="001C0BCA">
        <w:rPr>
          <w:rFonts w:eastAsia="Calibri"/>
          <w:color w:val="000000"/>
          <w:u w:color="000000"/>
          <w:bdr w:val="nil"/>
          <w:lang w:val="en-GB"/>
        </w:rPr>
        <w:t xml:space="preserve"> acquisition</w:t>
      </w:r>
      <w:r w:rsidR="00B65587">
        <w:rPr>
          <w:rFonts w:eastAsia="Calibri"/>
          <w:color w:val="000000"/>
          <w:u w:color="000000"/>
          <w:bdr w:val="nil"/>
          <w:lang w:val="en-GB"/>
        </w:rPr>
        <w:t>. I</w:t>
      </w:r>
      <w:r w:rsidRPr="000269CF">
        <w:rPr>
          <w:rFonts w:eastAsia="Calibri"/>
          <w:color w:val="000000"/>
          <w:u w:color="000000"/>
          <w:bdr w:val="nil"/>
          <w:lang w:val="en-GB"/>
        </w:rPr>
        <w:t xml:space="preserve">f </w:t>
      </w:r>
      <w:r w:rsidR="00B65587">
        <w:rPr>
          <w:rFonts w:eastAsia="Calibri"/>
          <w:color w:val="000000"/>
          <w:u w:color="000000"/>
          <w:bdr w:val="nil"/>
          <w:lang w:val="en-GB"/>
        </w:rPr>
        <w:t>Charter decided</w:t>
      </w:r>
      <w:r w:rsidRPr="000269CF">
        <w:rPr>
          <w:rFonts w:eastAsia="Calibri"/>
          <w:color w:val="000000"/>
          <w:u w:color="000000"/>
          <w:bdr w:val="nil"/>
          <w:lang w:val="en-GB"/>
        </w:rPr>
        <w:t xml:space="preserve"> to </w:t>
      </w:r>
      <w:r w:rsidR="001C0BCA">
        <w:rPr>
          <w:rFonts w:eastAsia="Calibri"/>
          <w:color w:val="000000"/>
          <w:u w:color="000000"/>
          <w:bdr w:val="nil"/>
          <w:lang w:val="en-GB"/>
        </w:rPr>
        <w:t>prepare and launch a new</w:t>
      </w:r>
      <w:r w:rsidR="00B65587">
        <w:rPr>
          <w:rFonts w:eastAsia="Calibri"/>
          <w:color w:val="000000"/>
          <w:u w:color="000000"/>
          <w:bdr w:val="nil"/>
          <w:lang w:val="en-GB"/>
        </w:rPr>
        <w:t xml:space="preserve"> </w:t>
      </w:r>
      <w:r w:rsidRPr="000269CF">
        <w:rPr>
          <w:rFonts w:eastAsia="Calibri"/>
          <w:color w:val="000000"/>
          <w:u w:color="000000"/>
          <w:bdr w:val="nil"/>
          <w:lang w:val="en-GB"/>
        </w:rPr>
        <w:t xml:space="preserve">bid, </w:t>
      </w:r>
      <w:r w:rsidR="00B65587">
        <w:rPr>
          <w:rFonts w:eastAsia="Calibri"/>
          <w:color w:val="000000"/>
          <w:u w:color="000000"/>
          <w:bdr w:val="nil"/>
          <w:lang w:val="en-GB"/>
        </w:rPr>
        <w:t>how</w:t>
      </w:r>
      <w:r w:rsidRPr="000269CF">
        <w:rPr>
          <w:rFonts w:eastAsia="Calibri"/>
          <w:color w:val="000000"/>
          <w:u w:color="000000"/>
          <w:bdr w:val="nil"/>
          <w:lang w:val="en-GB"/>
        </w:rPr>
        <w:t xml:space="preserve"> should </w:t>
      </w:r>
      <w:r w:rsidR="00B65587">
        <w:rPr>
          <w:rFonts w:eastAsia="Calibri"/>
          <w:color w:val="000000"/>
          <w:u w:color="000000"/>
          <w:bdr w:val="nil"/>
          <w:lang w:val="en-GB"/>
        </w:rPr>
        <w:t>it</w:t>
      </w:r>
      <w:r w:rsidRPr="000269CF">
        <w:rPr>
          <w:rFonts w:eastAsia="Calibri"/>
          <w:color w:val="000000"/>
          <w:u w:color="000000"/>
          <w:bdr w:val="nil"/>
          <w:lang w:val="en-GB"/>
        </w:rPr>
        <w:t xml:space="preserve"> differ</w:t>
      </w:r>
      <w:r w:rsidR="00B65587">
        <w:rPr>
          <w:rFonts w:eastAsia="Calibri"/>
          <w:color w:val="000000"/>
          <w:u w:color="000000"/>
          <w:bdr w:val="nil"/>
          <w:lang w:val="en-GB"/>
        </w:rPr>
        <w:t xml:space="preserve"> from the previous failed proposal</w:t>
      </w:r>
      <w:r w:rsidRPr="000269CF">
        <w:rPr>
          <w:rFonts w:eastAsia="Calibri"/>
          <w:color w:val="000000"/>
          <w:u w:color="000000"/>
          <w:bdr w:val="nil"/>
          <w:lang w:val="en-GB"/>
        </w:rPr>
        <w:t>?</w:t>
      </w:r>
    </w:p>
    <w:p w14:paraId="6D49D296" w14:textId="77777777" w:rsidR="001A23EF" w:rsidRPr="000269CF" w:rsidRDefault="001A23EF">
      <w:pPr>
        <w:spacing w:after="200" w:line="276" w:lineRule="auto"/>
        <w:rPr>
          <w:lang w:val="en-GB"/>
        </w:rPr>
      </w:pPr>
      <w:r w:rsidRPr="000269CF">
        <w:rPr>
          <w:lang w:val="en-GB"/>
        </w:rPr>
        <w:br w:type="page"/>
      </w:r>
    </w:p>
    <w:p w14:paraId="1EC42987" w14:textId="440628EE" w:rsidR="001A23EF" w:rsidRPr="000269CF" w:rsidRDefault="001A23EF" w:rsidP="00352D8D">
      <w:pPr>
        <w:pStyle w:val="ExhibitHeading"/>
        <w:rPr>
          <w:rFonts w:eastAsia="Arial Unicode MS"/>
          <w:bdr w:val="nil"/>
          <w:lang w:val="en-GB"/>
        </w:rPr>
      </w:pPr>
      <w:r w:rsidRPr="000269CF">
        <w:rPr>
          <w:rFonts w:eastAsia="Arial Unicode MS"/>
          <w:bdr w:val="nil"/>
          <w:lang w:val="en-GB"/>
        </w:rPr>
        <w:lastRenderedPageBreak/>
        <w:t xml:space="preserve">Exhibit 1: </w:t>
      </w:r>
      <w:r w:rsidR="001C0BCA">
        <w:rPr>
          <w:rFonts w:eastAsia="Arial Unicode MS"/>
          <w:bdr w:val="nil"/>
          <w:lang w:val="en-GB"/>
        </w:rPr>
        <w:t xml:space="preserve">Major </w:t>
      </w:r>
      <w:r w:rsidR="00F87367">
        <w:rPr>
          <w:rFonts w:eastAsia="Arial Unicode MS"/>
          <w:bdr w:val="nil"/>
          <w:lang w:val="en-GB"/>
        </w:rPr>
        <w:t>STAKEHOLDER</w:t>
      </w:r>
      <w:r w:rsidR="001C0BCA">
        <w:rPr>
          <w:rFonts w:eastAsia="Arial Unicode MS"/>
          <w:bdr w:val="nil"/>
          <w:lang w:val="en-GB"/>
        </w:rPr>
        <w:t>s</w:t>
      </w:r>
      <w:r w:rsidR="001C0BCA" w:rsidRPr="000269CF">
        <w:rPr>
          <w:rFonts w:eastAsia="Arial Unicode MS"/>
          <w:bdr w:val="nil"/>
          <w:lang w:val="en-GB"/>
        </w:rPr>
        <w:t xml:space="preserve"> </w:t>
      </w:r>
      <w:r w:rsidRPr="000269CF">
        <w:rPr>
          <w:rFonts w:eastAsia="Arial Unicode MS"/>
          <w:bdr w:val="nil"/>
          <w:lang w:val="en-GB"/>
        </w:rPr>
        <w:t xml:space="preserve">in </w:t>
      </w:r>
      <w:r w:rsidR="002723E8" w:rsidRPr="000269CF">
        <w:rPr>
          <w:rFonts w:eastAsia="Arial Unicode MS"/>
          <w:bdr w:val="nil"/>
          <w:lang w:val="en-GB"/>
        </w:rPr>
        <w:t xml:space="preserve">THE </w:t>
      </w:r>
      <w:r w:rsidRPr="000269CF">
        <w:rPr>
          <w:rFonts w:eastAsia="Arial Unicode MS"/>
          <w:bdr w:val="nil"/>
          <w:lang w:val="en-GB"/>
        </w:rPr>
        <w:t>Cable T</w:t>
      </w:r>
      <w:r w:rsidR="001C0BCA">
        <w:rPr>
          <w:rFonts w:eastAsia="Arial Unicode MS"/>
          <w:bdr w:val="nil"/>
          <w:lang w:val="en-GB"/>
        </w:rPr>
        <w:t>elevision</w:t>
      </w:r>
      <w:r w:rsidRPr="000269CF">
        <w:rPr>
          <w:rFonts w:eastAsia="Arial Unicode MS"/>
          <w:bdr w:val="nil"/>
          <w:lang w:val="en-GB"/>
        </w:rPr>
        <w:t xml:space="preserve"> Industry</w:t>
      </w:r>
    </w:p>
    <w:p w14:paraId="6679E31A" w14:textId="77777777" w:rsidR="001A23EF" w:rsidRPr="000269CF" w:rsidRDefault="001A23EF" w:rsidP="001A23EF">
      <w:pPr>
        <w:pBdr>
          <w:top w:val="nil"/>
          <w:left w:val="nil"/>
          <w:bottom w:val="nil"/>
          <w:right w:val="nil"/>
          <w:between w:val="nil"/>
          <w:bar w:val="nil"/>
        </w:pBdr>
        <w:jc w:val="center"/>
        <w:rPr>
          <w:rFonts w:eastAsia="Arial Unicode MS"/>
          <w:sz w:val="24"/>
          <w:szCs w:val="24"/>
          <w:bdr w:val="nil"/>
          <w:lang w:val="en-GB"/>
        </w:rPr>
      </w:pPr>
    </w:p>
    <w:tbl>
      <w:tblPr>
        <w:tblStyle w:val="TableGrid"/>
        <w:tblW w:w="9350" w:type="dxa"/>
        <w:jc w:val="center"/>
        <w:tblLook w:val="04A0" w:firstRow="1" w:lastRow="0" w:firstColumn="1" w:lastColumn="0" w:noHBand="0" w:noVBand="1"/>
      </w:tblPr>
      <w:tblGrid>
        <w:gridCol w:w="9350"/>
      </w:tblGrid>
      <w:tr w:rsidR="00352D8D" w:rsidRPr="000269CF" w14:paraId="6D11E9D7" w14:textId="77777777" w:rsidTr="00352D8D">
        <w:trPr>
          <w:jc w:val="center"/>
        </w:trPr>
        <w:tc>
          <w:tcPr>
            <w:tcW w:w="9350" w:type="dxa"/>
          </w:tcPr>
          <w:p w14:paraId="6D0A4C16" w14:textId="4087BDD6" w:rsidR="00352D8D" w:rsidRDefault="00352D8D" w:rsidP="00352D8D">
            <w:pPr>
              <w:pStyle w:val="ExhibitText"/>
              <w:rPr>
                <w:rFonts w:eastAsia="Calibri"/>
                <w:i/>
                <w:u w:color="000000"/>
                <w:bdr w:val="nil"/>
                <w:lang w:val="en-GB"/>
              </w:rPr>
            </w:pPr>
            <w:r w:rsidRPr="000269CF">
              <w:rPr>
                <w:rFonts w:eastAsia="Calibri"/>
                <w:b/>
                <w:u w:color="000000"/>
                <w:bdr w:val="nil"/>
                <w:lang w:val="en-GB"/>
              </w:rPr>
              <w:t>Indirect competitors:</w:t>
            </w:r>
            <w:r w:rsidRPr="000269CF">
              <w:rPr>
                <w:rFonts w:eastAsia="Calibri"/>
                <w:u w:color="000000"/>
                <w:bdr w:val="nil"/>
                <w:lang w:val="en-GB"/>
              </w:rPr>
              <w:t xml:space="preserve"> </w:t>
            </w:r>
            <w:r w:rsidRPr="00C16E0B">
              <w:rPr>
                <w:rFonts w:eastAsia="Calibri"/>
                <w:i/>
                <w:u w:color="000000"/>
                <w:bdr w:val="nil"/>
                <w:lang w:val="en-GB"/>
              </w:rPr>
              <w:t>DirecTV (acquired by AT&amp;T in 2015) and Dish Network</w:t>
            </w:r>
          </w:p>
          <w:p w14:paraId="328AA1C5" w14:textId="77777777" w:rsidR="00F87367" w:rsidRPr="000269CF" w:rsidRDefault="00F87367" w:rsidP="00352D8D">
            <w:pPr>
              <w:pStyle w:val="ExhibitText"/>
              <w:rPr>
                <w:rFonts w:eastAsia="Calibri"/>
                <w:u w:color="000000"/>
                <w:bdr w:val="nil"/>
                <w:lang w:val="en-GB"/>
              </w:rPr>
            </w:pPr>
          </w:p>
          <w:p w14:paraId="446E6F73" w14:textId="0B6CD30B" w:rsidR="00352D8D" w:rsidRPr="000269CF" w:rsidRDefault="00352D8D" w:rsidP="00F87367">
            <w:pPr>
              <w:pStyle w:val="ExhibitText"/>
              <w:rPr>
                <w:rFonts w:eastAsia="Arial Unicode MS"/>
                <w:u w:color="000000"/>
                <w:bdr w:val="nil"/>
                <w:lang w:val="en-GB"/>
              </w:rPr>
            </w:pPr>
            <w:r w:rsidRPr="000269CF">
              <w:rPr>
                <w:rFonts w:eastAsia="Calibri"/>
                <w:u w:color="000000"/>
                <w:bdr w:val="nil"/>
                <w:lang w:val="en-GB"/>
              </w:rPr>
              <w:t xml:space="preserve">These </w:t>
            </w:r>
            <w:r w:rsidR="001C0BCA">
              <w:rPr>
                <w:rFonts w:eastAsia="Calibri"/>
                <w:u w:color="000000"/>
                <w:bdr w:val="nil"/>
                <w:lang w:val="en-GB"/>
              </w:rPr>
              <w:t xml:space="preserve">companies </w:t>
            </w:r>
            <w:r w:rsidRPr="000269CF">
              <w:rPr>
                <w:rFonts w:eastAsia="Calibri"/>
                <w:u w:color="000000"/>
                <w:bdr w:val="nil"/>
                <w:lang w:val="en-GB"/>
              </w:rPr>
              <w:t>were indirect competitors with similar offerings</w:t>
            </w:r>
            <w:r w:rsidR="001C0BCA">
              <w:rPr>
                <w:rFonts w:eastAsia="Calibri"/>
                <w:u w:color="000000"/>
                <w:bdr w:val="nil"/>
                <w:lang w:val="en-GB"/>
              </w:rPr>
              <w:t>. T</w:t>
            </w:r>
            <w:r w:rsidRPr="000269CF">
              <w:rPr>
                <w:rFonts w:eastAsia="Calibri"/>
                <w:u w:color="000000"/>
                <w:bdr w:val="nil"/>
                <w:lang w:val="en-GB"/>
              </w:rPr>
              <w:t xml:space="preserve">heir </w:t>
            </w:r>
            <w:r w:rsidR="001C0BCA">
              <w:rPr>
                <w:rFonts w:eastAsia="Calibri"/>
                <w:u w:color="000000"/>
                <w:bdr w:val="nil"/>
                <w:lang w:val="en-GB"/>
              </w:rPr>
              <w:t>I</w:t>
            </w:r>
            <w:r w:rsidRPr="000269CF">
              <w:rPr>
                <w:rFonts w:eastAsia="Calibri"/>
                <w:u w:color="000000"/>
                <w:bdr w:val="nil"/>
                <w:lang w:val="en-GB"/>
              </w:rPr>
              <w:t xml:space="preserve">nternet connection speeds were much lower than </w:t>
            </w:r>
            <w:r w:rsidR="001C0BCA">
              <w:rPr>
                <w:rFonts w:eastAsia="Calibri"/>
                <w:u w:color="000000"/>
                <w:bdr w:val="nil"/>
                <w:lang w:val="en-GB"/>
              </w:rPr>
              <w:t xml:space="preserve">a </w:t>
            </w:r>
            <w:r w:rsidRPr="000269CF">
              <w:rPr>
                <w:rFonts w:eastAsia="Calibri"/>
                <w:u w:color="000000"/>
                <w:bdr w:val="nil"/>
                <w:lang w:val="en-GB"/>
              </w:rPr>
              <w:t xml:space="preserve">wired cable </w:t>
            </w:r>
            <w:r w:rsidR="001C0BCA">
              <w:rPr>
                <w:rFonts w:eastAsia="Calibri"/>
                <w:u w:color="000000"/>
                <w:bdr w:val="nil"/>
                <w:lang w:val="en-GB"/>
              </w:rPr>
              <w:t>television connection</w:t>
            </w:r>
            <w:r w:rsidRPr="000269CF">
              <w:rPr>
                <w:rFonts w:eastAsia="Calibri"/>
                <w:u w:color="000000"/>
                <w:bdr w:val="nil"/>
                <w:lang w:val="en-GB"/>
              </w:rPr>
              <w:t>. They often served rural markets</w:t>
            </w:r>
            <w:r w:rsidR="001C0BCA">
              <w:rPr>
                <w:rFonts w:eastAsia="Calibri"/>
                <w:u w:color="000000"/>
                <w:bdr w:val="nil"/>
                <w:lang w:val="en-GB"/>
              </w:rPr>
              <w:t>,</w:t>
            </w:r>
            <w:r w:rsidRPr="000269CF">
              <w:rPr>
                <w:rFonts w:eastAsia="Calibri"/>
                <w:u w:color="000000"/>
                <w:bdr w:val="nil"/>
                <w:lang w:val="en-GB"/>
              </w:rPr>
              <w:t xml:space="preserve"> where cable </w:t>
            </w:r>
            <w:r w:rsidR="001C0BCA">
              <w:rPr>
                <w:rFonts w:eastAsia="Calibri"/>
                <w:u w:color="000000"/>
                <w:bdr w:val="nil"/>
                <w:lang w:val="en-GB"/>
              </w:rPr>
              <w:t>television</w:t>
            </w:r>
            <w:r w:rsidRPr="000269CF">
              <w:rPr>
                <w:rFonts w:eastAsia="Calibri"/>
                <w:u w:color="000000"/>
                <w:bdr w:val="nil"/>
                <w:lang w:val="en-GB"/>
              </w:rPr>
              <w:t xml:space="preserve"> was not available. DirecTV was </w:t>
            </w:r>
            <w:r w:rsidR="001C0BCA">
              <w:rPr>
                <w:rFonts w:eastAsia="Calibri"/>
                <w:u w:color="000000"/>
                <w:bdr w:val="nil"/>
                <w:lang w:val="en-GB"/>
              </w:rPr>
              <w:t>a very</w:t>
            </w:r>
            <w:r w:rsidRPr="000269CF">
              <w:rPr>
                <w:rFonts w:eastAsia="Calibri"/>
                <w:u w:color="000000"/>
                <w:bdr w:val="nil"/>
                <w:lang w:val="en-GB"/>
              </w:rPr>
              <w:t xml:space="preserve"> large</w:t>
            </w:r>
            <w:r w:rsidR="001C0BCA">
              <w:rPr>
                <w:rFonts w:eastAsia="Calibri"/>
                <w:u w:color="000000"/>
                <w:bdr w:val="nil"/>
                <w:lang w:val="en-GB"/>
              </w:rPr>
              <w:t xml:space="preserve"> company</w:t>
            </w:r>
            <w:r w:rsidRPr="000269CF">
              <w:rPr>
                <w:rFonts w:eastAsia="Calibri"/>
                <w:u w:color="000000"/>
                <w:bdr w:val="nil"/>
                <w:lang w:val="en-GB"/>
              </w:rPr>
              <w:t xml:space="preserve">. </w:t>
            </w:r>
          </w:p>
        </w:tc>
      </w:tr>
      <w:tr w:rsidR="00352D8D" w:rsidRPr="000269CF" w14:paraId="0076A8ED" w14:textId="77777777" w:rsidTr="00352D8D">
        <w:trPr>
          <w:jc w:val="center"/>
        </w:trPr>
        <w:tc>
          <w:tcPr>
            <w:tcW w:w="9350" w:type="dxa"/>
          </w:tcPr>
          <w:p w14:paraId="6344BBAA" w14:textId="5B88D426" w:rsidR="00352D8D" w:rsidRDefault="00352D8D" w:rsidP="00352D8D">
            <w:pPr>
              <w:pStyle w:val="ExhibitText"/>
              <w:rPr>
                <w:rFonts w:eastAsia="Calibri"/>
                <w:i/>
                <w:u w:color="000000"/>
                <w:bdr w:val="nil"/>
                <w:lang w:val="en-GB"/>
              </w:rPr>
            </w:pPr>
            <w:r w:rsidRPr="000269CF">
              <w:rPr>
                <w:rFonts w:eastAsia="Calibri"/>
                <w:b/>
                <w:u w:color="000000"/>
                <w:bdr w:val="nil"/>
                <w:lang w:val="en-GB"/>
              </w:rPr>
              <w:t xml:space="preserve">New </w:t>
            </w:r>
            <w:r w:rsidR="002626D9">
              <w:rPr>
                <w:rFonts w:eastAsia="Calibri"/>
                <w:b/>
                <w:u w:color="000000"/>
                <w:bdr w:val="nil"/>
                <w:lang w:val="en-GB"/>
              </w:rPr>
              <w:t>e</w:t>
            </w:r>
            <w:r w:rsidRPr="000269CF">
              <w:rPr>
                <w:rFonts w:eastAsia="Calibri"/>
                <w:b/>
                <w:u w:color="000000"/>
                <w:bdr w:val="nil"/>
                <w:lang w:val="en-GB"/>
              </w:rPr>
              <w:t>ntrants:</w:t>
            </w:r>
            <w:r w:rsidRPr="000269CF">
              <w:rPr>
                <w:rFonts w:eastAsia="Calibri"/>
                <w:u w:color="000000"/>
                <w:bdr w:val="nil"/>
                <w:lang w:val="en-GB"/>
              </w:rPr>
              <w:t xml:space="preserve"> </w:t>
            </w:r>
            <w:r w:rsidRPr="00C16E0B">
              <w:rPr>
                <w:rFonts w:eastAsia="Calibri"/>
                <w:i/>
                <w:u w:color="000000"/>
                <w:bdr w:val="nil"/>
                <w:lang w:val="en-GB"/>
              </w:rPr>
              <w:t>Verizon and AT&amp;T</w:t>
            </w:r>
          </w:p>
          <w:p w14:paraId="2B3F9018" w14:textId="77777777" w:rsidR="00F87367" w:rsidRPr="000269CF" w:rsidRDefault="00F87367" w:rsidP="00352D8D">
            <w:pPr>
              <w:pStyle w:val="ExhibitText"/>
              <w:rPr>
                <w:rFonts w:eastAsia="Calibri"/>
                <w:u w:color="000000"/>
                <w:bdr w:val="nil"/>
                <w:lang w:val="en-GB"/>
              </w:rPr>
            </w:pPr>
          </w:p>
          <w:p w14:paraId="5DC0A9BC" w14:textId="68E9039E" w:rsidR="00352D8D" w:rsidRPr="000269CF" w:rsidRDefault="00352D8D" w:rsidP="00F87367">
            <w:pPr>
              <w:pStyle w:val="ExhibitText"/>
              <w:rPr>
                <w:rFonts w:eastAsia="Arial Unicode MS"/>
                <w:u w:color="000000"/>
                <w:bdr w:val="nil"/>
                <w:lang w:val="en-GB"/>
              </w:rPr>
            </w:pPr>
            <w:r w:rsidRPr="000269CF">
              <w:rPr>
                <w:rFonts w:eastAsia="Calibri"/>
                <w:u w:color="000000"/>
                <w:bdr w:val="nil"/>
                <w:lang w:val="en-GB"/>
              </w:rPr>
              <w:t>Wired and wireless telecom</w:t>
            </w:r>
            <w:r w:rsidR="00954739">
              <w:rPr>
                <w:rFonts w:eastAsia="Calibri"/>
                <w:u w:color="000000"/>
                <w:bdr w:val="nil"/>
                <w:lang w:val="en-GB"/>
              </w:rPr>
              <w:t>munications</w:t>
            </w:r>
            <w:r w:rsidRPr="000269CF">
              <w:rPr>
                <w:rFonts w:eastAsia="Calibri"/>
                <w:u w:color="000000"/>
                <w:bdr w:val="nil"/>
                <w:lang w:val="en-GB"/>
              </w:rPr>
              <w:t xml:space="preserve"> companies were new competitors pressuring cable </w:t>
            </w:r>
            <w:r w:rsidR="00954739">
              <w:rPr>
                <w:rFonts w:eastAsia="Calibri"/>
                <w:u w:color="000000"/>
                <w:bdr w:val="nil"/>
                <w:lang w:val="en-GB"/>
              </w:rPr>
              <w:t>television companies</w:t>
            </w:r>
            <w:r w:rsidRPr="000269CF">
              <w:rPr>
                <w:rFonts w:eastAsia="Calibri"/>
                <w:u w:color="000000"/>
                <w:bdr w:val="nil"/>
                <w:lang w:val="en-GB"/>
              </w:rPr>
              <w:t xml:space="preserve">. The popularity of mobile devices </w:t>
            </w:r>
            <w:r w:rsidR="00954739">
              <w:rPr>
                <w:rFonts w:eastAsia="Calibri"/>
                <w:u w:color="000000"/>
                <w:bdr w:val="nil"/>
                <w:lang w:val="en-GB"/>
              </w:rPr>
              <w:t>such as</w:t>
            </w:r>
            <w:r w:rsidRPr="000269CF">
              <w:rPr>
                <w:rFonts w:eastAsia="Calibri"/>
                <w:u w:color="000000"/>
                <w:bdr w:val="nil"/>
                <w:lang w:val="en-GB"/>
              </w:rPr>
              <w:t xml:space="preserve"> smart</w:t>
            </w:r>
            <w:r w:rsidR="00954739">
              <w:rPr>
                <w:rFonts w:eastAsia="Calibri"/>
                <w:u w:color="000000"/>
                <w:bdr w:val="nil"/>
                <w:lang w:val="en-GB"/>
              </w:rPr>
              <w:t xml:space="preserve"> </w:t>
            </w:r>
            <w:r w:rsidRPr="000269CF">
              <w:rPr>
                <w:rFonts w:eastAsia="Calibri"/>
                <w:u w:color="000000"/>
                <w:bdr w:val="nil"/>
                <w:lang w:val="en-GB"/>
              </w:rPr>
              <w:t xml:space="preserve">phones led to </w:t>
            </w:r>
            <w:r w:rsidR="00954739">
              <w:rPr>
                <w:rFonts w:eastAsia="Calibri"/>
                <w:u w:color="000000"/>
                <w:bdr w:val="nil"/>
                <w:lang w:val="en-GB"/>
              </w:rPr>
              <w:t>a shift to “</w:t>
            </w:r>
            <w:r w:rsidRPr="000269CF">
              <w:rPr>
                <w:rFonts w:eastAsia="Calibri"/>
                <w:u w:color="000000"/>
                <w:bdr w:val="nil"/>
                <w:lang w:val="en-GB"/>
              </w:rPr>
              <w:t>cord cutting</w:t>
            </w:r>
            <w:r w:rsidR="00954739">
              <w:rPr>
                <w:rFonts w:eastAsia="Calibri"/>
                <w:u w:color="000000"/>
                <w:bdr w:val="nil"/>
                <w:lang w:val="en-GB"/>
              </w:rPr>
              <w:t>”</w:t>
            </w:r>
            <w:r w:rsidRPr="000269CF">
              <w:rPr>
                <w:rFonts w:eastAsia="Calibri"/>
                <w:u w:color="000000"/>
                <w:bdr w:val="nil"/>
                <w:lang w:val="en-GB"/>
              </w:rPr>
              <w:t xml:space="preserve"> by cable </w:t>
            </w:r>
            <w:r w:rsidR="00954739">
              <w:rPr>
                <w:rFonts w:eastAsia="Calibri"/>
                <w:u w:color="000000"/>
                <w:bdr w:val="nil"/>
                <w:lang w:val="en-GB"/>
              </w:rPr>
              <w:t>television</w:t>
            </w:r>
            <w:r w:rsidRPr="000269CF">
              <w:rPr>
                <w:rFonts w:eastAsia="Calibri"/>
                <w:u w:color="000000"/>
                <w:bdr w:val="nil"/>
                <w:lang w:val="en-GB"/>
              </w:rPr>
              <w:t xml:space="preserve"> subscribers, making telecom</w:t>
            </w:r>
            <w:r w:rsidR="00954739">
              <w:rPr>
                <w:rFonts w:eastAsia="Calibri"/>
                <w:u w:color="000000"/>
                <w:bdr w:val="nil"/>
                <w:lang w:val="en-GB"/>
              </w:rPr>
              <w:t>munication</w:t>
            </w:r>
            <w:r w:rsidRPr="000269CF">
              <w:rPr>
                <w:rFonts w:eastAsia="Calibri"/>
                <w:u w:color="000000"/>
                <w:bdr w:val="nil"/>
                <w:lang w:val="en-GB"/>
              </w:rPr>
              <w:t xml:space="preserve"> a credible threat to cable </w:t>
            </w:r>
            <w:r w:rsidR="00954739">
              <w:rPr>
                <w:rFonts w:eastAsia="Calibri"/>
                <w:u w:color="000000"/>
                <w:bdr w:val="nil"/>
                <w:lang w:val="en-GB"/>
              </w:rPr>
              <w:t>television</w:t>
            </w:r>
            <w:r w:rsidRPr="000269CF">
              <w:rPr>
                <w:rFonts w:eastAsia="Calibri"/>
                <w:u w:color="000000"/>
                <w:bdr w:val="nil"/>
                <w:lang w:val="en-GB"/>
              </w:rPr>
              <w:t xml:space="preserve">. Verizon’s FiOS technology was superior to most cable </w:t>
            </w:r>
            <w:r w:rsidR="00954739">
              <w:rPr>
                <w:rFonts w:eastAsia="Calibri"/>
                <w:u w:color="000000"/>
                <w:bdr w:val="nil"/>
                <w:lang w:val="en-GB"/>
              </w:rPr>
              <w:t>television</w:t>
            </w:r>
            <w:r w:rsidRPr="000269CF">
              <w:rPr>
                <w:rFonts w:eastAsia="Calibri"/>
                <w:u w:color="000000"/>
                <w:bdr w:val="nil"/>
                <w:lang w:val="en-GB"/>
              </w:rPr>
              <w:t xml:space="preserve"> companies’ technology</w:t>
            </w:r>
            <w:r w:rsidR="00954739">
              <w:rPr>
                <w:rFonts w:eastAsia="Calibri"/>
                <w:u w:color="000000"/>
                <w:bdr w:val="nil"/>
                <w:lang w:val="en-GB"/>
              </w:rPr>
              <w:t>,</w:t>
            </w:r>
            <w:r w:rsidRPr="000269CF">
              <w:rPr>
                <w:rFonts w:eastAsia="Calibri"/>
                <w:u w:color="000000"/>
                <w:bdr w:val="nil"/>
                <w:lang w:val="en-GB"/>
              </w:rPr>
              <w:t xml:space="preserve"> but </w:t>
            </w:r>
            <w:r w:rsidR="00954739">
              <w:rPr>
                <w:rFonts w:eastAsia="Calibri"/>
                <w:u w:color="000000"/>
                <w:bdr w:val="nil"/>
                <w:lang w:val="en-GB"/>
              </w:rPr>
              <w:t>had</w:t>
            </w:r>
            <w:r w:rsidRPr="000269CF">
              <w:rPr>
                <w:rFonts w:eastAsia="Calibri"/>
                <w:u w:color="000000"/>
                <w:bdr w:val="nil"/>
                <w:lang w:val="en-GB"/>
              </w:rPr>
              <w:t xml:space="preserve"> limited geographic market</w:t>
            </w:r>
            <w:r w:rsidR="00954739">
              <w:rPr>
                <w:rFonts w:eastAsia="Calibri"/>
                <w:u w:color="000000"/>
                <w:bdr w:val="nil"/>
                <w:lang w:val="en-GB"/>
              </w:rPr>
              <w:t xml:space="preserve"> coverage</w:t>
            </w:r>
            <w:r w:rsidRPr="000269CF">
              <w:rPr>
                <w:rFonts w:eastAsia="Calibri"/>
                <w:u w:color="000000"/>
                <w:bdr w:val="nil"/>
                <w:lang w:val="en-GB"/>
              </w:rPr>
              <w:t>.</w:t>
            </w:r>
          </w:p>
        </w:tc>
      </w:tr>
      <w:tr w:rsidR="00352D8D" w:rsidRPr="000269CF" w14:paraId="5573B617" w14:textId="77777777" w:rsidTr="00352D8D">
        <w:trPr>
          <w:jc w:val="center"/>
        </w:trPr>
        <w:tc>
          <w:tcPr>
            <w:tcW w:w="9350" w:type="dxa"/>
          </w:tcPr>
          <w:p w14:paraId="569498A3" w14:textId="61A22F71" w:rsidR="00352D8D" w:rsidRDefault="00352D8D" w:rsidP="00352D8D">
            <w:pPr>
              <w:pStyle w:val="ExhibitText"/>
              <w:rPr>
                <w:rFonts w:eastAsia="Calibri"/>
                <w:i/>
                <w:u w:color="000000"/>
                <w:bdr w:val="nil"/>
                <w:lang w:val="en-GB"/>
              </w:rPr>
            </w:pPr>
            <w:r w:rsidRPr="000269CF">
              <w:rPr>
                <w:rFonts w:eastAsia="Calibri"/>
                <w:b/>
                <w:u w:color="000000"/>
                <w:bdr w:val="nil"/>
                <w:lang w:val="en-GB"/>
              </w:rPr>
              <w:t>Substitutes:</w:t>
            </w:r>
            <w:r w:rsidRPr="000269CF">
              <w:rPr>
                <w:rFonts w:eastAsia="Calibri"/>
                <w:u w:color="000000"/>
                <w:bdr w:val="nil"/>
                <w:lang w:val="en-GB"/>
              </w:rPr>
              <w:t xml:space="preserve"> </w:t>
            </w:r>
            <w:r w:rsidRPr="00C16E0B">
              <w:rPr>
                <w:rFonts w:eastAsia="Calibri"/>
                <w:i/>
                <w:u w:color="000000"/>
                <w:bdr w:val="nil"/>
                <w:lang w:val="en-GB"/>
              </w:rPr>
              <w:t>O</w:t>
            </w:r>
            <w:r w:rsidR="00954739" w:rsidRPr="00C16E0B">
              <w:rPr>
                <w:rFonts w:eastAsia="Calibri"/>
                <w:i/>
                <w:u w:color="000000"/>
                <w:bdr w:val="nil"/>
                <w:lang w:val="en-GB"/>
              </w:rPr>
              <w:t>ver-the-top</w:t>
            </w:r>
            <w:r w:rsidRPr="00C16E0B">
              <w:rPr>
                <w:rFonts w:eastAsia="Calibri"/>
                <w:i/>
                <w:u w:color="000000"/>
                <w:bdr w:val="nil"/>
                <w:lang w:val="en-GB"/>
              </w:rPr>
              <w:t xml:space="preserve"> media companies</w:t>
            </w:r>
          </w:p>
          <w:p w14:paraId="2602FBF6" w14:textId="77777777" w:rsidR="00F87367" w:rsidRPr="000269CF" w:rsidRDefault="00F87367" w:rsidP="00352D8D">
            <w:pPr>
              <w:pStyle w:val="ExhibitText"/>
              <w:rPr>
                <w:rFonts w:eastAsia="Calibri"/>
                <w:u w:color="000000"/>
                <w:bdr w:val="nil"/>
                <w:lang w:val="en-GB"/>
              </w:rPr>
            </w:pPr>
          </w:p>
          <w:p w14:paraId="70CF556C" w14:textId="4E3CAE32" w:rsidR="00352D8D" w:rsidRPr="000269CF" w:rsidRDefault="00352D8D" w:rsidP="00F87367">
            <w:pPr>
              <w:pStyle w:val="ExhibitText"/>
              <w:rPr>
                <w:rFonts w:eastAsia="Arial Unicode MS"/>
                <w:u w:color="000000"/>
                <w:bdr w:val="nil"/>
                <w:lang w:val="en-GB"/>
              </w:rPr>
            </w:pPr>
            <w:r w:rsidRPr="000269CF">
              <w:rPr>
                <w:rFonts w:eastAsia="Calibri"/>
                <w:u w:color="000000"/>
                <w:bdr w:val="nil"/>
                <w:lang w:val="en-GB"/>
              </w:rPr>
              <w:t xml:space="preserve">Netflix, Amazon, and Hulu were the major </w:t>
            </w:r>
            <w:r w:rsidR="00954739">
              <w:rPr>
                <w:rFonts w:eastAsia="Calibri"/>
                <w:u w:color="000000"/>
                <w:bdr w:val="nil"/>
                <w:lang w:val="en-GB"/>
              </w:rPr>
              <w:t>competitors in this sector.</w:t>
            </w:r>
          </w:p>
        </w:tc>
      </w:tr>
      <w:tr w:rsidR="00352D8D" w:rsidRPr="000269CF" w14:paraId="34203505" w14:textId="77777777" w:rsidTr="00352D8D">
        <w:trPr>
          <w:jc w:val="center"/>
        </w:trPr>
        <w:tc>
          <w:tcPr>
            <w:tcW w:w="9350" w:type="dxa"/>
          </w:tcPr>
          <w:p w14:paraId="531D7F66" w14:textId="6A80AACC" w:rsidR="00352D8D" w:rsidRDefault="00352D8D" w:rsidP="00352D8D">
            <w:pPr>
              <w:pStyle w:val="ExhibitText"/>
              <w:rPr>
                <w:rFonts w:eastAsia="Calibri"/>
                <w:i/>
                <w:u w:color="000000"/>
                <w:bdr w:val="nil"/>
                <w:lang w:val="en-GB"/>
              </w:rPr>
            </w:pPr>
            <w:r w:rsidRPr="000269CF">
              <w:rPr>
                <w:rFonts w:eastAsia="Calibri"/>
                <w:b/>
                <w:u w:color="000000"/>
                <w:bdr w:val="nil"/>
                <w:lang w:val="en-GB"/>
              </w:rPr>
              <w:t>Customers:</w:t>
            </w:r>
            <w:r w:rsidRPr="000269CF">
              <w:rPr>
                <w:rFonts w:eastAsia="Calibri"/>
                <w:u w:color="000000"/>
                <w:bdr w:val="nil"/>
                <w:lang w:val="en-GB"/>
              </w:rPr>
              <w:t xml:space="preserve"> </w:t>
            </w:r>
            <w:r w:rsidRPr="00C16E0B">
              <w:rPr>
                <w:rFonts w:eastAsia="Calibri"/>
                <w:i/>
                <w:u w:color="000000"/>
                <w:bdr w:val="nil"/>
                <w:lang w:val="en-GB"/>
              </w:rPr>
              <w:t>Residential and business subscribers</w:t>
            </w:r>
          </w:p>
          <w:p w14:paraId="652543AD" w14:textId="77777777" w:rsidR="00F87367" w:rsidRPr="000269CF" w:rsidRDefault="00F87367" w:rsidP="00352D8D">
            <w:pPr>
              <w:pStyle w:val="ExhibitText"/>
              <w:rPr>
                <w:rFonts w:eastAsia="Calibri"/>
                <w:u w:color="000000"/>
                <w:bdr w:val="nil"/>
                <w:lang w:val="en-GB"/>
              </w:rPr>
            </w:pPr>
          </w:p>
          <w:p w14:paraId="6C78E730" w14:textId="08F3A04A" w:rsidR="00352D8D" w:rsidRPr="000269CF" w:rsidRDefault="00352D8D" w:rsidP="00F87367">
            <w:pPr>
              <w:pStyle w:val="ExhibitText"/>
              <w:rPr>
                <w:rFonts w:eastAsia="Arial Unicode MS"/>
                <w:u w:color="000000"/>
                <w:bdr w:val="nil"/>
                <w:lang w:val="en-GB"/>
              </w:rPr>
            </w:pPr>
            <w:r w:rsidRPr="000269CF">
              <w:rPr>
                <w:rFonts w:eastAsia="Calibri"/>
                <w:u w:color="000000"/>
                <w:bdr w:val="nil"/>
                <w:lang w:val="en-GB"/>
              </w:rPr>
              <w:t>Residential subscribers accounted for over 60</w:t>
            </w:r>
            <w:r w:rsidR="00954739">
              <w:rPr>
                <w:rFonts w:eastAsia="Calibri"/>
                <w:u w:color="000000"/>
                <w:bdr w:val="nil"/>
                <w:lang w:val="en-GB"/>
              </w:rPr>
              <w:t xml:space="preserve"> per cent</w:t>
            </w:r>
            <w:r w:rsidRPr="000269CF">
              <w:rPr>
                <w:rFonts w:eastAsia="Calibri"/>
                <w:u w:color="000000"/>
                <w:bdr w:val="nil"/>
                <w:lang w:val="en-GB"/>
              </w:rPr>
              <w:t xml:space="preserve"> of cable </w:t>
            </w:r>
            <w:r w:rsidR="00954739">
              <w:rPr>
                <w:rFonts w:eastAsia="Calibri"/>
                <w:u w:color="000000"/>
                <w:bdr w:val="nil"/>
                <w:lang w:val="en-GB"/>
              </w:rPr>
              <w:t>television</w:t>
            </w:r>
            <w:r w:rsidRPr="000269CF">
              <w:rPr>
                <w:rFonts w:eastAsia="Calibri"/>
                <w:u w:color="000000"/>
                <w:bdr w:val="nil"/>
                <w:lang w:val="en-GB"/>
              </w:rPr>
              <w:t xml:space="preserve"> industry revenues. Economic conditions, demographics, and improvements in cable </w:t>
            </w:r>
            <w:r w:rsidR="00954739">
              <w:rPr>
                <w:rFonts w:eastAsia="Calibri"/>
                <w:u w:color="000000"/>
                <w:bdr w:val="nil"/>
                <w:lang w:val="en-GB"/>
              </w:rPr>
              <w:t>television</w:t>
            </w:r>
            <w:r w:rsidRPr="000269CF">
              <w:rPr>
                <w:rFonts w:eastAsia="Calibri"/>
                <w:u w:color="000000"/>
                <w:bdr w:val="nil"/>
                <w:lang w:val="en-GB"/>
              </w:rPr>
              <w:t xml:space="preserve"> technology and </w:t>
            </w:r>
            <w:r w:rsidR="009470E6">
              <w:rPr>
                <w:rFonts w:eastAsia="Calibri"/>
                <w:u w:color="000000"/>
                <w:bdr w:val="nil"/>
                <w:lang w:val="en-GB"/>
              </w:rPr>
              <w:t>I</w:t>
            </w:r>
            <w:r w:rsidRPr="000269CF">
              <w:rPr>
                <w:rFonts w:eastAsia="Calibri"/>
                <w:u w:color="000000"/>
                <w:bdr w:val="nil"/>
                <w:lang w:val="en-GB"/>
              </w:rPr>
              <w:t xml:space="preserve">nternet connections influenced demand. Younger audiences preferred mobile devices to cable </w:t>
            </w:r>
            <w:r w:rsidR="00954739">
              <w:rPr>
                <w:rFonts w:eastAsia="Calibri"/>
                <w:u w:color="000000"/>
                <w:bdr w:val="nil"/>
                <w:lang w:val="en-GB"/>
              </w:rPr>
              <w:t>television</w:t>
            </w:r>
            <w:r w:rsidRPr="000269CF">
              <w:rPr>
                <w:rFonts w:eastAsia="Calibri"/>
                <w:u w:color="000000"/>
                <w:bdr w:val="nil"/>
                <w:lang w:val="en-GB"/>
              </w:rPr>
              <w:t xml:space="preserve">. </w:t>
            </w:r>
            <w:r w:rsidR="009470E6">
              <w:rPr>
                <w:rFonts w:eastAsia="Calibri"/>
                <w:u w:color="000000"/>
                <w:bdr w:val="nil"/>
                <w:lang w:val="en-GB"/>
              </w:rPr>
              <w:t>Major factors included q</w:t>
            </w:r>
            <w:r w:rsidRPr="000269CF">
              <w:rPr>
                <w:rFonts w:eastAsia="Calibri"/>
                <w:u w:color="000000"/>
                <w:bdr w:val="nil"/>
                <w:lang w:val="en-GB"/>
              </w:rPr>
              <w:t>uality and speed of connections, convenience of anywhere</w:t>
            </w:r>
            <w:r w:rsidR="009470E6">
              <w:rPr>
                <w:rFonts w:eastAsia="Calibri"/>
                <w:u w:color="000000"/>
                <w:bdr w:val="nil"/>
                <w:lang w:val="en-GB"/>
              </w:rPr>
              <w:t xml:space="preserve"> and</w:t>
            </w:r>
            <w:r w:rsidRPr="000269CF">
              <w:rPr>
                <w:rFonts w:eastAsia="Calibri"/>
                <w:u w:color="000000"/>
                <w:bdr w:val="nil"/>
                <w:lang w:val="en-GB"/>
              </w:rPr>
              <w:t xml:space="preserve"> anytime viewing, and availability of attractive programming in attractive price packages.</w:t>
            </w:r>
          </w:p>
        </w:tc>
      </w:tr>
      <w:tr w:rsidR="00352D8D" w:rsidRPr="000269CF" w14:paraId="053103E9" w14:textId="77777777" w:rsidTr="00352D8D">
        <w:trPr>
          <w:trHeight w:val="1691"/>
          <w:jc w:val="center"/>
        </w:trPr>
        <w:tc>
          <w:tcPr>
            <w:tcW w:w="9350" w:type="dxa"/>
          </w:tcPr>
          <w:p w14:paraId="3466C994" w14:textId="53F49B13" w:rsidR="009470E6" w:rsidRDefault="00352D8D" w:rsidP="00352D8D">
            <w:pPr>
              <w:pStyle w:val="ExhibitText"/>
              <w:rPr>
                <w:rFonts w:eastAsia="Calibri"/>
                <w:i/>
                <w:u w:color="000000"/>
                <w:bdr w:val="nil"/>
                <w:lang w:val="en-GB"/>
              </w:rPr>
            </w:pPr>
            <w:r w:rsidRPr="000269CF">
              <w:rPr>
                <w:rFonts w:eastAsia="Calibri"/>
                <w:b/>
                <w:u w:color="000000"/>
                <w:bdr w:val="nil"/>
                <w:lang w:val="en-GB"/>
              </w:rPr>
              <w:t>Suppliers (of content):</w:t>
            </w:r>
            <w:r w:rsidRPr="000269CF">
              <w:rPr>
                <w:rFonts w:eastAsia="Calibri"/>
                <w:u w:color="000000"/>
                <w:bdr w:val="nil"/>
                <w:lang w:val="en-GB"/>
              </w:rPr>
              <w:t xml:space="preserve"> </w:t>
            </w:r>
            <w:r w:rsidR="009470E6" w:rsidRPr="002626D9">
              <w:rPr>
                <w:rFonts w:eastAsia="Calibri"/>
                <w:i/>
                <w:u w:color="000000"/>
                <w:bdr w:val="nil"/>
                <w:lang w:val="en-GB"/>
              </w:rPr>
              <w:t>Content providers</w:t>
            </w:r>
          </w:p>
          <w:p w14:paraId="69EDFFF1" w14:textId="77777777" w:rsidR="00F87367" w:rsidRDefault="00F87367" w:rsidP="00352D8D">
            <w:pPr>
              <w:pStyle w:val="ExhibitText"/>
              <w:rPr>
                <w:rFonts w:eastAsia="Calibri"/>
                <w:u w:color="000000"/>
                <w:bdr w:val="nil"/>
                <w:lang w:val="en-GB"/>
              </w:rPr>
            </w:pPr>
          </w:p>
          <w:p w14:paraId="529ED3C3" w14:textId="4319BC87" w:rsidR="00352D8D" w:rsidRPr="000269CF" w:rsidRDefault="009470E6" w:rsidP="00352D8D">
            <w:pPr>
              <w:pStyle w:val="ExhibitText"/>
              <w:rPr>
                <w:rFonts w:eastAsia="Calibri"/>
                <w:u w:color="000000"/>
                <w:bdr w:val="nil"/>
                <w:lang w:val="en-GB"/>
              </w:rPr>
            </w:pPr>
            <w:r>
              <w:rPr>
                <w:rFonts w:eastAsia="Calibri"/>
                <w:u w:color="000000"/>
                <w:bdr w:val="nil"/>
                <w:lang w:val="en-GB"/>
              </w:rPr>
              <w:t>This list included c</w:t>
            </w:r>
            <w:r w:rsidR="00352D8D" w:rsidRPr="000269CF">
              <w:rPr>
                <w:rFonts w:eastAsia="Calibri"/>
                <w:u w:color="000000"/>
                <w:bdr w:val="nil"/>
                <w:lang w:val="en-GB"/>
              </w:rPr>
              <w:t xml:space="preserve">able program producers </w:t>
            </w:r>
            <w:r>
              <w:rPr>
                <w:rFonts w:eastAsia="Calibri"/>
                <w:u w:color="000000"/>
                <w:bdr w:val="nil"/>
                <w:lang w:val="en-GB"/>
              </w:rPr>
              <w:t>such as</w:t>
            </w:r>
            <w:r w:rsidR="00352D8D" w:rsidRPr="000269CF">
              <w:rPr>
                <w:rFonts w:eastAsia="Calibri"/>
                <w:u w:color="000000"/>
                <w:bdr w:val="nil"/>
                <w:lang w:val="en-GB"/>
              </w:rPr>
              <w:t xml:space="preserve"> Discovery, Viacom</w:t>
            </w:r>
            <w:r>
              <w:rPr>
                <w:rFonts w:eastAsia="Calibri"/>
                <w:u w:color="000000"/>
                <w:bdr w:val="nil"/>
                <w:lang w:val="en-GB"/>
              </w:rPr>
              <w:t>,</w:t>
            </w:r>
            <w:r w:rsidR="00352D8D" w:rsidRPr="000269CF">
              <w:rPr>
                <w:rFonts w:eastAsia="Calibri"/>
                <w:u w:color="000000"/>
                <w:bdr w:val="nil"/>
                <w:lang w:val="en-GB"/>
              </w:rPr>
              <w:t xml:space="preserve"> and Time Warner</w:t>
            </w:r>
            <w:r>
              <w:rPr>
                <w:rFonts w:eastAsia="Calibri"/>
                <w:u w:color="000000"/>
                <w:bdr w:val="nil"/>
                <w:lang w:val="en-GB"/>
              </w:rPr>
              <w:t xml:space="preserve"> Inc.</w:t>
            </w:r>
            <w:r w:rsidR="00352D8D" w:rsidRPr="000269CF">
              <w:rPr>
                <w:rFonts w:eastAsia="Calibri"/>
                <w:u w:color="000000"/>
                <w:bdr w:val="nil"/>
                <w:lang w:val="en-GB"/>
              </w:rPr>
              <w:t xml:space="preserve">; broadcast networks </w:t>
            </w:r>
            <w:r>
              <w:rPr>
                <w:rFonts w:eastAsia="Calibri"/>
                <w:u w:color="000000"/>
                <w:bdr w:val="nil"/>
                <w:lang w:val="en-GB"/>
              </w:rPr>
              <w:t xml:space="preserve">such as </w:t>
            </w:r>
            <w:r w:rsidR="00352D8D" w:rsidRPr="000269CF">
              <w:rPr>
                <w:rFonts w:eastAsia="Calibri"/>
                <w:u w:color="000000"/>
                <w:bdr w:val="nil"/>
                <w:lang w:val="en-GB"/>
              </w:rPr>
              <w:t xml:space="preserve">NBC Universal (owned by Comcast), ABC (owned by Disney), </w:t>
            </w:r>
            <w:r>
              <w:rPr>
                <w:rFonts w:eastAsia="Calibri"/>
                <w:u w:color="000000"/>
                <w:bdr w:val="nil"/>
                <w:lang w:val="en-GB"/>
              </w:rPr>
              <w:t xml:space="preserve">and </w:t>
            </w:r>
            <w:r w:rsidR="00352D8D" w:rsidRPr="000269CF">
              <w:rPr>
                <w:rFonts w:eastAsia="Calibri"/>
                <w:u w:color="000000"/>
                <w:bdr w:val="nil"/>
                <w:lang w:val="en-GB"/>
              </w:rPr>
              <w:t xml:space="preserve">CBS; and movie production companies </w:t>
            </w:r>
            <w:r>
              <w:rPr>
                <w:rFonts w:eastAsia="Calibri"/>
                <w:u w:color="000000"/>
                <w:bdr w:val="nil"/>
                <w:lang w:val="en-GB"/>
              </w:rPr>
              <w:t>such as</w:t>
            </w:r>
            <w:r w:rsidR="00352D8D" w:rsidRPr="000269CF">
              <w:rPr>
                <w:rFonts w:eastAsia="Calibri"/>
                <w:u w:color="000000"/>
                <w:bdr w:val="nil"/>
                <w:lang w:val="en-GB"/>
              </w:rPr>
              <w:t xml:space="preserve"> Disney, NBC Universal, 21</w:t>
            </w:r>
            <w:r>
              <w:rPr>
                <w:rFonts w:eastAsia="Calibri"/>
                <w:u w:color="000000"/>
                <w:bdr w:val="nil"/>
                <w:lang w:val="en-GB"/>
              </w:rPr>
              <w:t>st</w:t>
            </w:r>
            <w:r w:rsidR="00352D8D" w:rsidRPr="000269CF">
              <w:rPr>
                <w:rFonts w:eastAsia="Calibri"/>
                <w:u w:color="000000"/>
                <w:bdr w:val="nil"/>
                <w:lang w:val="en-GB"/>
              </w:rPr>
              <w:t xml:space="preserve"> Century Fox, and Viacom</w:t>
            </w:r>
            <w:r>
              <w:rPr>
                <w:rFonts w:eastAsia="Calibri"/>
                <w:u w:color="000000"/>
                <w:bdr w:val="nil"/>
                <w:lang w:val="en-GB"/>
              </w:rPr>
              <w:t>.</w:t>
            </w:r>
          </w:p>
          <w:p w14:paraId="7C3DA94D" w14:textId="77777777" w:rsidR="00352D8D" w:rsidRPr="000269CF" w:rsidRDefault="00352D8D" w:rsidP="00352D8D">
            <w:pPr>
              <w:pStyle w:val="ExhibitText"/>
              <w:rPr>
                <w:rFonts w:eastAsia="Calibri"/>
                <w:u w:color="000000"/>
                <w:bdr w:val="nil"/>
                <w:lang w:val="en-GB"/>
              </w:rPr>
            </w:pPr>
          </w:p>
          <w:p w14:paraId="460634D7" w14:textId="0558EE7C" w:rsidR="00352D8D" w:rsidRPr="000269CF" w:rsidRDefault="00352D8D" w:rsidP="00F87367">
            <w:pPr>
              <w:pStyle w:val="ExhibitText"/>
              <w:rPr>
                <w:rFonts w:eastAsia="Arial Unicode MS"/>
                <w:u w:color="000000"/>
                <w:bdr w:val="nil"/>
                <w:lang w:val="en-GB"/>
              </w:rPr>
            </w:pPr>
            <w:r w:rsidRPr="000269CF">
              <w:rPr>
                <w:rFonts w:eastAsia="Calibri"/>
                <w:u w:color="000000"/>
                <w:bdr w:val="nil"/>
                <w:lang w:val="en-GB"/>
              </w:rPr>
              <w:t>Program purchasing accounted for 22</w:t>
            </w:r>
            <w:r w:rsidR="009470E6">
              <w:rPr>
                <w:rFonts w:eastAsia="Calibri"/>
                <w:u w:color="000000"/>
                <w:bdr w:val="nil"/>
                <w:lang w:val="en-GB"/>
              </w:rPr>
              <w:t xml:space="preserve"> per cent</w:t>
            </w:r>
            <w:r w:rsidRPr="000269CF">
              <w:rPr>
                <w:rFonts w:eastAsia="Calibri"/>
                <w:u w:color="000000"/>
                <w:bdr w:val="nil"/>
                <w:lang w:val="en-GB"/>
              </w:rPr>
              <w:t xml:space="preserve"> of costs for cable </w:t>
            </w:r>
            <w:r w:rsidR="00954739">
              <w:rPr>
                <w:rFonts w:eastAsia="Calibri"/>
                <w:u w:color="000000"/>
                <w:bdr w:val="nil"/>
                <w:lang w:val="en-GB"/>
              </w:rPr>
              <w:t>television</w:t>
            </w:r>
            <w:r w:rsidR="009470E6">
              <w:rPr>
                <w:rFonts w:eastAsia="Calibri"/>
                <w:u w:color="000000"/>
                <w:bdr w:val="nil"/>
                <w:lang w:val="en-GB"/>
              </w:rPr>
              <w:t>. I</w:t>
            </w:r>
            <w:r w:rsidRPr="000269CF">
              <w:rPr>
                <w:rFonts w:eastAsia="Calibri"/>
                <w:u w:color="000000"/>
                <w:bdr w:val="nil"/>
                <w:lang w:val="en-GB"/>
              </w:rPr>
              <w:t xml:space="preserve">n 2014, content </w:t>
            </w:r>
            <w:r w:rsidR="009470E6">
              <w:rPr>
                <w:rFonts w:eastAsia="Calibri"/>
                <w:u w:color="000000"/>
                <w:bdr w:val="nil"/>
                <w:lang w:val="en-GB"/>
              </w:rPr>
              <w:t>providers</w:t>
            </w:r>
            <w:r w:rsidRPr="000269CF">
              <w:rPr>
                <w:rFonts w:eastAsia="Calibri"/>
                <w:u w:color="000000"/>
                <w:bdr w:val="nil"/>
                <w:lang w:val="en-GB"/>
              </w:rPr>
              <w:t xml:space="preserve"> successfully demanded sharply higher prices for programming. </w:t>
            </w:r>
            <w:r w:rsidR="009470E6">
              <w:rPr>
                <w:rFonts w:eastAsia="Calibri"/>
                <w:u w:color="000000"/>
                <w:bdr w:val="nil"/>
                <w:lang w:val="en-GB"/>
              </w:rPr>
              <w:t>However,</w:t>
            </w:r>
            <w:r w:rsidRPr="000269CF">
              <w:rPr>
                <w:rFonts w:eastAsia="Calibri"/>
                <w:u w:color="000000"/>
                <w:bdr w:val="nil"/>
                <w:lang w:val="en-GB"/>
              </w:rPr>
              <w:t xml:space="preserve"> attractive programming was </w:t>
            </w:r>
            <w:r w:rsidR="009470E6">
              <w:rPr>
                <w:rFonts w:eastAsia="Calibri"/>
                <w:u w:color="000000"/>
                <w:bdr w:val="nil"/>
                <w:lang w:val="en-GB"/>
              </w:rPr>
              <w:t xml:space="preserve">a </w:t>
            </w:r>
            <w:r w:rsidRPr="000269CF">
              <w:rPr>
                <w:rFonts w:eastAsia="Calibri"/>
                <w:u w:color="000000"/>
                <w:bdr w:val="nil"/>
                <w:lang w:val="en-GB"/>
              </w:rPr>
              <w:t xml:space="preserve">key </w:t>
            </w:r>
            <w:r w:rsidR="009470E6">
              <w:rPr>
                <w:rFonts w:eastAsia="Calibri"/>
                <w:u w:color="000000"/>
                <w:bdr w:val="nil"/>
                <w:lang w:val="en-GB"/>
              </w:rPr>
              <w:t>factor for</w:t>
            </w:r>
            <w:r w:rsidRPr="000269CF">
              <w:rPr>
                <w:rFonts w:eastAsia="Calibri"/>
                <w:u w:color="000000"/>
                <w:bdr w:val="nil"/>
                <w:lang w:val="en-GB"/>
              </w:rPr>
              <w:t xml:space="preserve"> price-sensitive customers, </w:t>
            </w:r>
            <w:r w:rsidR="009470E6">
              <w:rPr>
                <w:rFonts w:eastAsia="Calibri"/>
                <w:u w:color="000000"/>
                <w:bdr w:val="nil"/>
                <w:lang w:val="en-GB"/>
              </w:rPr>
              <w:t xml:space="preserve">so </w:t>
            </w:r>
            <w:r w:rsidRPr="000269CF">
              <w:rPr>
                <w:rFonts w:eastAsia="Calibri"/>
                <w:u w:color="000000"/>
                <w:bdr w:val="nil"/>
                <w:lang w:val="en-GB"/>
              </w:rPr>
              <w:t xml:space="preserve">cable </w:t>
            </w:r>
            <w:r w:rsidR="00954739">
              <w:rPr>
                <w:rFonts w:eastAsia="Calibri"/>
                <w:u w:color="000000"/>
                <w:bdr w:val="nil"/>
                <w:lang w:val="en-GB"/>
              </w:rPr>
              <w:t>television</w:t>
            </w:r>
            <w:r w:rsidRPr="000269CF">
              <w:rPr>
                <w:rFonts w:eastAsia="Calibri"/>
                <w:u w:color="000000"/>
                <w:bdr w:val="nil"/>
                <w:lang w:val="en-GB"/>
              </w:rPr>
              <w:t xml:space="preserve"> companies mostly absorbed the increases,</w:t>
            </w:r>
            <w:r w:rsidR="009470E6">
              <w:rPr>
                <w:rFonts w:eastAsia="Calibri"/>
                <w:u w:color="000000"/>
                <w:bdr w:val="nil"/>
                <w:lang w:val="en-GB"/>
              </w:rPr>
              <w:t xml:space="preserve"> which</w:t>
            </w:r>
            <w:r w:rsidRPr="000269CF">
              <w:rPr>
                <w:rFonts w:eastAsia="Calibri"/>
                <w:u w:color="000000"/>
                <w:bdr w:val="nil"/>
                <w:lang w:val="en-GB"/>
              </w:rPr>
              <w:t xml:space="preserve"> hurt</w:t>
            </w:r>
            <w:r w:rsidR="009470E6">
              <w:rPr>
                <w:rFonts w:eastAsia="Calibri"/>
                <w:u w:color="000000"/>
                <w:bdr w:val="nil"/>
                <w:lang w:val="en-GB"/>
              </w:rPr>
              <w:t xml:space="preserve"> their</w:t>
            </w:r>
            <w:r w:rsidRPr="000269CF">
              <w:rPr>
                <w:rFonts w:eastAsia="Calibri"/>
                <w:u w:color="000000"/>
                <w:bdr w:val="nil"/>
                <w:lang w:val="en-GB"/>
              </w:rPr>
              <w:t xml:space="preserve"> margins, particularly for the smaller cable </w:t>
            </w:r>
            <w:r w:rsidR="00954739">
              <w:rPr>
                <w:rFonts w:eastAsia="Calibri"/>
                <w:u w:color="000000"/>
                <w:bdr w:val="nil"/>
                <w:lang w:val="en-GB"/>
              </w:rPr>
              <w:t>television</w:t>
            </w:r>
            <w:r w:rsidRPr="000269CF">
              <w:rPr>
                <w:rFonts w:eastAsia="Calibri"/>
                <w:u w:color="000000"/>
                <w:bdr w:val="nil"/>
                <w:lang w:val="en-GB"/>
              </w:rPr>
              <w:t xml:space="preserve"> companies.</w:t>
            </w:r>
          </w:p>
        </w:tc>
      </w:tr>
      <w:tr w:rsidR="00352D8D" w:rsidRPr="000269CF" w14:paraId="465E3457" w14:textId="77777777" w:rsidTr="00352D8D">
        <w:trPr>
          <w:jc w:val="center"/>
        </w:trPr>
        <w:tc>
          <w:tcPr>
            <w:tcW w:w="9350" w:type="dxa"/>
          </w:tcPr>
          <w:p w14:paraId="446FB738" w14:textId="3B5D1D9C" w:rsidR="00352D8D" w:rsidRDefault="00352D8D" w:rsidP="00352D8D">
            <w:pPr>
              <w:pStyle w:val="ExhibitText"/>
              <w:rPr>
                <w:rFonts w:eastAsia="Calibri"/>
                <w:i/>
                <w:u w:color="000000"/>
                <w:bdr w:val="nil"/>
                <w:lang w:val="en-GB"/>
              </w:rPr>
            </w:pPr>
            <w:r w:rsidRPr="000269CF">
              <w:rPr>
                <w:rFonts w:eastAsia="Calibri"/>
                <w:b/>
                <w:u w:color="000000"/>
                <w:bdr w:val="nil"/>
                <w:lang w:val="en-GB"/>
              </w:rPr>
              <w:t>Government:</w:t>
            </w:r>
            <w:r w:rsidR="004A0856">
              <w:rPr>
                <w:rFonts w:eastAsia="Calibri"/>
                <w:b/>
                <w:u w:color="000000"/>
                <w:bdr w:val="nil"/>
                <w:lang w:val="en-GB"/>
              </w:rPr>
              <w:t xml:space="preserve"> </w:t>
            </w:r>
            <w:r w:rsidR="004A0856" w:rsidRPr="002626D9">
              <w:rPr>
                <w:rFonts w:eastAsia="Calibri"/>
                <w:i/>
                <w:u w:color="000000"/>
                <w:bdr w:val="nil"/>
                <w:lang w:val="en-GB"/>
              </w:rPr>
              <w:t xml:space="preserve">Local and </w:t>
            </w:r>
            <w:r w:rsidR="002626D9">
              <w:rPr>
                <w:rFonts w:eastAsia="Calibri"/>
                <w:i/>
                <w:u w:color="000000"/>
                <w:bdr w:val="nil"/>
                <w:lang w:val="en-GB"/>
              </w:rPr>
              <w:t>f</w:t>
            </w:r>
            <w:r w:rsidR="004A0856" w:rsidRPr="002626D9">
              <w:rPr>
                <w:rFonts w:eastAsia="Calibri"/>
                <w:i/>
                <w:u w:color="000000"/>
                <w:bdr w:val="nil"/>
                <w:lang w:val="en-GB"/>
              </w:rPr>
              <w:t>ederal government</w:t>
            </w:r>
            <w:r w:rsidR="002626D9" w:rsidRPr="002626D9">
              <w:rPr>
                <w:rFonts w:eastAsia="Calibri"/>
                <w:i/>
                <w:u w:color="000000"/>
                <w:bdr w:val="nil"/>
                <w:lang w:val="en-GB"/>
              </w:rPr>
              <w:t xml:space="preserve"> regulators</w:t>
            </w:r>
          </w:p>
          <w:p w14:paraId="7E45B9C4" w14:textId="77777777" w:rsidR="00F87367" w:rsidRPr="000269CF" w:rsidRDefault="00F87367" w:rsidP="00352D8D">
            <w:pPr>
              <w:pStyle w:val="ExhibitText"/>
              <w:rPr>
                <w:rFonts w:eastAsia="Calibri"/>
                <w:b/>
                <w:u w:color="000000"/>
                <w:bdr w:val="nil"/>
                <w:lang w:val="en-GB"/>
              </w:rPr>
            </w:pPr>
          </w:p>
          <w:p w14:paraId="57163A27" w14:textId="3FC1B5FB" w:rsidR="00352D8D" w:rsidRPr="000269CF" w:rsidRDefault="00352D8D" w:rsidP="00F87367">
            <w:pPr>
              <w:pStyle w:val="ExhibitText"/>
              <w:rPr>
                <w:rFonts w:eastAsia="Arial Unicode MS"/>
                <w:u w:color="000000"/>
                <w:bdr w:val="nil"/>
                <w:lang w:val="en-GB"/>
              </w:rPr>
            </w:pPr>
            <w:r w:rsidRPr="000269CF">
              <w:rPr>
                <w:rFonts w:eastAsia="Calibri"/>
                <w:u w:color="000000"/>
                <w:bdr w:val="nil"/>
                <w:lang w:val="en-GB"/>
              </w:rPr>
              <w:t xml:space="preserve">Local governments determined which cable </w:t>
            </w:r>
            <w:r w:rsidR="00954739">
              <w:rPr>
                <w:rFonts w:eastAsia="Calibri"/>
                <w:u w:color="000000"/>
                <w:bdr w:val="nil"/>
                <w:lang w:val="en-GB"/>
              </w:rPr>
              <w:t>television</w:t>
            </w:r>
            <w:r w:rsidRPr="000269CF">
              <w:rPr>
                <w:rFonts w:eastAsia="Calibri"/>
                <w:u w:color="000000"/>
                <w:bdr w:val="nil"/>
                <w:lang w:val="en-GB"/>
              </w:rPr>
              <w:t xml:space="preserve"> companies could serve in their markets. The Federal Communications Commission monitored the industry for monopolistic behavio</w:t>
            </w:r>
            <w:r w:rsidR="002626D9">
              <w:rPr>
                <w:rFonts w:eastAsia="Calibri"/>
                <w:u w:color="000000"/>
                <w:bdr w:val="nil"/>
                <w:lang w:val="en-GB"/>
              </w:rPr>
              <w:t>u</w:t>
            </w:r>
            <w:r w:rsidRPr="000269CF">
              <w:rPr>
                <w:rFonts w:eastAsia="Calibri"/>
                <w:u w:color="000000"/>
                <w:bdr w:val="nil"/>
                <w:lang w:val="en-GB"/>
              </w:rPr>
              <w:t>r. In 2015</w:t>
            </w:r>
            <w:r w:rsidR="00B0488A" w:rsidRPr="000269CF">
              <w:rPr>
                <w:rFonts w:eastAsia="Calibri"/>
                <w:u w:color="000000"/>
                <w:bdr w:val="nil"/>
                <w:lang w:val="en-GB"/>
              </w:rPr>
              <w:t>,</w:t>
            </w:r>
            <w:r w:rsidRPr="000269CF">
              <w:rPr>
                <w:rFonts w:eastAsia="Calibri"/>
                <w:u w:color="000000"/>
                <w:bdr w:val="nil"/>
                <w:lang w:val="en-GB"/>
              </w:rPr>
              <w:t xml:space="preserve"> it imposed the </w:t>
            </w:r>
            <w:r w:rsidR="002626D9">
              <w:rPr>
                <w:rFonts w:eastAsia="Calibri"/>
                <w:u w:color="000000"/>
                <w:bdr w:val="nil"/>
                <w:lang w:val="en-GB"/>
              </w:rPr>
              <w:t>“</w:t>
            </w:r>
            <w:r w:rsidRPr="000269CF">
              <w:rPr>
                <w:rFonts w:eastAsia="Calibri"/>
                <w:u w:color="000000"/>
                <w:bdr w:val="nil"/>
                <w:lang w:val="en-GB"/>
              </w:rPr>
              <w:t>net neutrality</w:t>
            </w:r>
            <w:r w:rsidR="002626D9">
              <w:rPr>
                <w:rFonts w:eastAsia="Calibri"/>
                <w:u w:color="000000"/>
                <w:bdr w:val="nil"/>
                <w:lang w:val="en-GB"/>
              </w:rPr>
              <w:t>”</w:t>
            </w:r>
            <w:r w:rsidRPr="000269CF">
              <w:rPr>
                <w:rFonts w:eastAsia="Calibri"/>
                <w:u w:color="000000"/>
                <w:bdr w:val="nil"/>
                <w:lang w:val="en-GB"/>
              </w:rPr>
              <w:t xml:space="preserve"> rule barring cable </w:t>
            </w:r>
            <w:r w:rsidR="00954739">
              <w:rPr>
                <w:rFonts w:eastAsia="Calibri"/>
                <w:u w:color="000000"/>
                <w:bdr w:val="nil"/>
                <w:lang w:val="en-GB"/>
              </w:rPr>
              <w:t>television</w:t>
            </w:r>
            <w:r w:rsidRPr="000269CF">
              <w:rPr>
                <w:rFonts w:eastAsia="Calibri"/>
                <w:u w:color="000000"/>
                <w:bdr w:val="nil"/>
                <w:lang w:val="en-GB"/>
              </w:rPr>
              <w:t xml:space="preserve"> companies from charging different prices to different users of their distribution services. </w:t>
            </w:r>
            <w:r w:rsidR="002626D9">
              <w:rPr>
                <w:rFonts w:eastAsia="Calibri"/>
                <w:u w:color="000000"/>
                <w:bdr w:val="nil"/>
                <w:lang w:val="en-GB"/>
              </w:rPr>
              <w:t>For example</w:t>
            </w:r>
            <w:r w:rsidRPr="000269CF">
              <w:rPr>
                <w:rFonts w:eastAsia="Calibri"/>
                <w:u w:color="000000"/>
                <w:bdr w:val="nil"/>
                <w:lang w:val="en-GB"/>
              </w:rPr>
              <w:t xml:space="preserve">, cable </w:t>
            </w:r>
            <w:r w:rsidR="00954739">
              <w:rPr>
                <w:rFonts w:eastAsia="Calibri"/>
                <w:u w:color="000000"/>
                <w:bdr w:val="nil"/>
                <w:lang w:val="en-GB"/>
              </w:rPr>
              <w:t>television</w:t>
            </w:r>
            <w:r w:rsidRPr="000269CF">
              <w:rPr>
                <w:rFonts w:eastAsia="Calibri"/>
                <w:u w:color="000000"/>
                <w:bdr w:val="nil"/>
                <w:lang w:val="en-GB"/>
              </w:rPr>
              <w:t xml:space="preserve"> companies could not charge higher fees to </w:t>
            </w:r>
            <w:r w:rsidR="002626D9">
              <w:rPr>
                <w:rFonts w:eastAsia="Calibri"/>
                <w:u w:color="000000"/>
                <w:bdr w:val="nil"/>
                <w:lang w:val="en-GB"/>
              </w:rPr>
              <w:t>over-the-top</w:t>
            </w:r>
            <w:r w:rsidRPr="000269CF">
              <w:rPr>
                <w:rFonts w:eastAsia="Calibri"/>
                <w:u w:color="000000"/>
                <w:bdr w:val="nil"/>
                <w:lang w:val="en-GB"/>
              </w:rPr>
              <w:t xml:space="preserve"> companies like Netflix</w:t>
            </w:r>
            <w:r w:rsidR="002626D9">
              <w:rPr>
                <w:rFonts w:eastAsia="Calibri"/>
                <w:u w:color="000000"/>
                <w:bdr w:val="nil"/>
                <w:lang w:val="en-GB"/>
              </w:rPr>
              <w:t>, who</w:t>
            </w:r>
            <w:r w:rsidRPr="000269CF">
              <w:rPr>
                <w:rFonts w:eastAsia="Calibri"/>
                <w:u w:color="000000"/>
                <w:bdr w:val="nil"/>
                <w:lang w:val="en-GB"/>
              </w:rPr>
              <w:t xml:space="preserve"> were heavy users of the fastest </w:t>
            </w:r>
            <w:r w:rsidR="002626D9">
              <w:rPr>
                <w:rFonts w:eastAsia="Calibri"/>
                <w:u w:color="000000"/>
                <w:bdr w:val="nil"/>
                <w:lang w:val="en-GB"/>
              </w:rPr>
              <w:t>I</w:t>
            </w:r>
            <w:r w:rsidRPr="000269CF">
              <w:rPr>
                <w:rFonts w:eastAsia="Calibri"/>
                <w:u w:color="000000"/>
                <w:bdr w:val="nil"/>
                <w:lang w:val="en-GB"/>
              </w:rPr>
              <w:t>nternet connections.</w:t>
            </w:r>
          </w:p>
        </w:tc>
      </w:tr>
      <w:tr w:rsidR="00352D8D" w:rsidRPr="000269CF" w14:paraId="1C0DF743" w14:textId="77777777" w:rsidTr="00352D8D">
        <w:trPr>
          <w:jc w:val="center"/>
        </w:trPr>
        <w:tc>
          <w:tcPr>
            <w:tcW w:w="9350" w:type="dxa"/>
          </w:tcPr>
          <w:p w14:paraId="270AB816" w14:textId="7D4437EE" w:rsidR="00352D8D" w:rsidRPr="000269CF" w:rsidRDefault="00352D8D" w:rsidP="00352D8D">
            <w:pPr>
              <w:pStyle w:val="ExhibitText"/>
              <w:rPr>
                <w:rFonts w:eastAsia="Arial Unicode MS"/>
                <w:u w:color="000000"/>
                <w:bdr w:val="nil"/>
                <w:lang w:val="en-GB"/>
              </w:rPr>
            </w:pPr>
            <w:r w:rsidRPr="000269CF">
              <w:rPr>
                <w:rFonts w:eastAsia="Arial Unicode MS"/>
                <w:b/>
                <w:u w:color="000000"/>
                <w:bdr w:val="nil"/>
                <w:lang w:val="en-GB"/>
              </w:rPr>
              <w:t xml:space="preserve">Incumbents </w:t>
            </w:r>
            <w:r w:rsidR="002626D9">
              <w:rPr>
                <w:rFonts w:eastAsia="Arial Unicode MS"/>
                <w:b/>
                <w:u w:color="000000"/>
                <w:bdr w:val="nil"/>
                <w:lang w:val="en-GB"/>
              </w:rPr>
              <w:t>and</w:t>
            </w:r>
            <w:r w:rsidRPr="000269CF">
              <w:rPr>
                <w:rFonts w:eastAsia="Arial Unicode MS"/>
                <w:b/>
                <w:u w:color="000000"/>
                <w:bdr w:val="nil"/>
                <w:lang w:val="en-GB"/>
              </w:rPr>
              <w:t xml:space="preserve"> industry rivals:</w:t>
            </w:r>
            <w:r w:rsidRPr="000269CF">
              <w:rPr>
                <w:rFonts w:eastAsia="Arial Unicode MS"/>
                <w:u w:color="000000"/>
                <w:bdr w:val="nil"/>
                <w:lang w:val="en-GB"/>
              </w:rPr>
              <w:t xml:space="preserve"> </w:t>
            </w:r>
            <w:r w:rsidRPr="00C16E0B">
              <w:rPr>
                <w:rFonts w:eastAsia="Arial Unicode MS"/>
                <w:i/>
                <w:u w:color="000000"/>
                <w:bdr w:val="nil"/>
                <w:lang w:val="en-GB"/>
              </w:rPr>
              <w:t xml:space="preserve">Comcast Corporation, Time Warner Cable, Cox </w:t>
            </w:r>
            <w:r w:rsidR="007D2D1F" w:rsidRPr="00C16E0B">
              <w:rPr>
                <w:rFonts w:eastAsia="Arial Unicode MS"/>
                <w:i/>
                <w:u w:color="000000"/>
                <w:bdr w:val="nil"/>
                <w:lang w:val="en-GB"/>
              </w:rPr>
              <w:t>Communications</w:t>
            </w:r>
            <w:r w:rsidRPr="00C16E0B">
              <w:rPr>
                <w:rFonts w:eastAsia="Arial Unicode MS"/>
                <w:i/>
                <w:u w:color="000000"/>
                <w:bdr w:val="nil"/>
                <w:lang w:val="en-GB"/>
              </w:rPr>
              <w:t>, Charter Communications, and Cablevision Systems</w:t>
            </w:r>
          </w:p>
          <w:p w14:paraId="6494F64B" w14:textId="77777777" w:rsidR="00352D8D" w:rsidRPr="000269CF" w:rsidRDefault="00352D8D" w:rsidP="00352D8D">
            <w:pPr>
              <w:pStyle w:val="ExhibitText"/>
              <w:rPr>
                <w:rFonts w:eastAsia="Arial Unicode MS"/>
                <w:u w:color="000000"/>
                <w:bdr w:val="nil"/>
                <w:lang w:val="en-GB"/>
              </w:rPr>
            </w:pPr>
          </w:p>
          <w:p w14:paraId="6144EC99" w14:textId="4AC9A0A4" w:rsidR="00352D8D" w:rsidRPr="000269CF" w:rsidRDefault="00352D8D" w:rsidP="00352D8D">
            <w:pPr>
              <w:pStyle w:val="ExhibitText"/>
              <w:rPr>
                <w:rFonts w:eastAsia="Arial Unicode MS"/>
                <w:u w:color="000000"/>
                <w:bdr w:val="nil"/>
                <w:lang w:val="en-GB"/>
              </w:rPr>
            </w:pPr>
            <w:r w:rsidRPr="000269CF">
              <w:rPr>
                <w:rFonts w:eastAsia="Arial Unicode MS"/>
                <w:u w:color="000000"/>
                <w:bdr w:val="nil"/>
                <w:lang w:val="en-GB"/>
              </w:rPr>
              <w:t xml:space="preserve">Each </w:t>
            </w:r>
            <w:r w:rsidR="002626D9">
              <w:rPr>
                <w:rFonts w:eastAsia="Arial Unicode MS"/>
                <w:u w:color="000000"/>
                <w:bdr w:val="nil"/>
                <w:lang w:val="en-GB"/>
              </w:rPr>
              <w:t xml:space="preserve">company </w:t>
            </w:r>
            <w:r w:rsidRPr="000269CF">
              <w:rPr>
                <w:rFonts w:eastAsia="Arial Unicode MS"/>
                <w:u w:color="000000"/>
                <w:bdr w:val="nil"/>
                <w:lang w:val="en-GB"/>
              </w:rPr>
              <w:t>provided a variety of bundled packages of voice, video</w:t>
            </w:r>
            <w:r w:rsidR="002626D9">
              <w:rPr>
                <w:rFonts w:eastAsia="Arial Unicode MS"/>
                <w:u w:color="000000"/>
                <w:bdr w:val="nil"/>
                <w:lang w:val="en-GB"/>
              </w:rPr>
              <w:t>,</w:t>
            </w:r>
            <w:r w:rsidRPr="000269CF">
              <w:rPr>
                <w:rFonts w:eastAsia="Arial Unicode MS"/>
                <w:u w:color="000000"/>
                <w:bdr w:val="nil"/>
                <w:lang w:val="en-GB"/>
              </w:rPr>
              <w:t xml:space="preserve"> and data services on a subscription basis. Firms frequently engaged in acquisitions of both industry rivals</w:t>
            </w:r>
            <w:r w:rsidR="002626D9">
              <w:rPr>
                <w:rFonts w:eastAsia="Arial Unicode MS"/>
                <w:u w:color="000000"/>
                <w:bdr w:val="nil"/>
                <w:lang w:val="en-GB"/>
              </w:rPr>
              <w:t xml:space="preserve"> </w:t>
            </w:r>
            <w:r w:rsidRPr="000269CF">
              <w:rPr>
                <w:rFonts w:eastAsia="Arial Unicode MS"/>
                <w:u w:color="000000"/>
                <w:bdr w:val="nil"/>
                <w:lang w:val="en-GB"/>
              </w:rPr>
              <w:t xml:space="preserve">in </w:t>
            </w:r>
            <w:r w:rsidR="002626D9">
              <w:rPr>
                <w:rFonts w:eastAsia="Arial Unicode MS"/>
                <w:u w:color="000000"/>
                <w:bdr w:val="nil"/>
                <w:lang w:val="en-GB"/>
              </w:rPr>
              <w:t xml:space="preserve">both </w:t>
            </w:r>
            <w:r w:rsidRPr="000269CF">
              <w:rPr>
                <w:rFonts w:eastAsia="Arial Unicode MS"/>
                <w:u w:color="000000"/>
                <w:bdr w:val="nil"/>
                <w:lang w:val="en-GB"/>
              </w:rPr>
              <w:t>horizontal and vertical acquisitions</w:t>
            </w:r>
            <w:r w:rsidR="002626D9">
              <w:rPr>
                <w:rFonts w:eastAsia="Arial Unicode MS"/>
                <w:u w:color="000000"/>
                <w:bdr w:val="nil"/>
                <w:lang w:val="en-GB"/>
              </w:rPr>
              <w:t xml:space="preserve"> (i.e.,</w:t>
            </w:r>
            <w:r w:rsidRPr="000269CF">
              <w:rPr>
                <w:rFonts w:eastAsia="Arial Unicode MS"/>
                <w:u w:color="000000"/>
                <w:bdr w:val="nil"/>
                <w:lang w:val="en-GB"/>
              </w:rPr>
              <w:t xml:space="preserve"> acquisitions of other </w:t>
            </w:r>
            <w:r w:rsidR="002626D9">
              <w:rPr>
                <w:rFonts w:eastAsia="Arial Unicode MS"/>
                <w:u w:color="000000"/>
                <w:bdr w:val="nil"/>
                <w:lang w:val="en-GB"/>
              </w:rPr>
              <w:t>companies</w:t>
            </w:r>
            <w:r w:rsidRPr="000269CF">
              <w:rPr>
                <w:rFonts w:eastAsia="Arial Unicode MS"/>
                <w:u w:color="000000"/>
                <w:bdr w:val="nil"/>
                <w:lang w:val="en-GB"/>
              </w:rPr>
              <w:t xml:space="preserve"> in the industry</w:t>
            </w:r>
            <w:r w:rsidR="002626D9">
              <w:rPr>
                <w:rFonts w:eastAsia="Arial Unicode MS"/>
                <w:u w:color="000000"/>
                <w:bdr w:val="nil"/>
                <w:lang w:val="en-GB"/>
              </w:rPr>
              <w:t>,</w:t>
            </w:r>
            <w:r w:rsidRPr="000269CF">
              <w:rPr>
                <w:rFonts w:eastAsia="Arial Unicode MS"/>
                <w:u w:color="000000"/>
                <w:bdr w:val="nil"/>
                <w:lang w:val="en-GB"/>
              </w:rPr>
              <w:t xml:space="preserve"> such as content providers</w:t>
            </w:r>
            <w:r w:rsidR="002626D9">
              <w:rPr>
                <w:rFonts w:eastAsia="Arial Unicode MS"/>
                <w:u w:color="000000"/>
                <w:bdr w:val="nil"/>
                <w:lang w:val="en-GB"/>
              </w:rPr>
              <w:t>)</w:t>
            </w:r>
            <w:r w:rsidRPr="000269CF">
              <w:rPr>
                <w:rFonts w:eastAsia="Arial Unicode MS"/>
                <w:u w:color="000000"/>
                <w:bdr w:val="nil"/>
                <w:lang w:val="en-GB"/>
              </w:rPr>
              <w:t>. With similar product offerings, industry rivalry was intense</w:t>
            </w:r>
            <w:r w:rsidR="002626D9">
              <w:rPr>
                <w:rFonts w:eastAsia="Arial Unicode MS"/>
                <w:u w:color="000000"/>
                <w:bdr w:val="nil"/>
                <w:lang w:val="en-GB"/>
              </w:rPr>
              <w:t>. C</w:t>
            </w:r>
            <w:r w:rsidRPr="000269CF">
              <w:rPr>
                <w:rFonts w:eastAsia="Arial Unicode MS"/>
                <w:u w:color="000000"/>
                <w:bdr w:val="nil"/>
                <w:lang w:val="en-GB"/>
              </w:rPr>
              <w:t xml:space="preserve">able </w:t>
            </w:r>
            <w:r w:rsidR="00954739">
              <w:rPr>
                <w:rFonts w:eastAsia="Arial Unicode MS"/>
                <w:u w:color="000000"/>
                <w:bdr w:val="nil"/>
                <w:lang w:val="en-GB"/>
              </w:rPr>
              <w:t>television</w:t>
            </w:r>
            <w:r w:rsidRPr="000269CF">
              <w:rPr>
                <w:rFonts w:eastAsia="Arial Unicode MS"/>
                <w:u w:color="000000"/>
                <w:bdr w:val="nil"/>
                <w:lang w:val="en-GB"/>
              </w:rPr>
              <w:t xml:space="preserve"> companies </w:t>
            </w:r>
            <w:r w:rsidR="00C73187">
              <w:rPr>
                <w:rFonts w:eastAsia="Arial Unicode MS"/>
                <w:u w:color="000000"/>
                <w:bdr w:val="nil"/>
                <w:lang w:val="en-GB"/>
              </w:rPr>
              <w:t xml:space="preserve">were </w:t>
            </w:r>
            <w:r w:rsidR="002626D9">
              <w:rPr>
                <w:rFonts w:eastAsia="Arial Unicode MS"/>
                <w:u w:color="000000"/>
                <w:bdr w:val="nil"/>
                <w:lang w:val="en-GB"/>
              </w:rPr>
              <w:t>also</w:t>
            </w:r>
            <w:r w:rsidRPr="000269CF">
              <w:rPr>
                <w:rFonts w:eastAsia="Arial Unicode MS"/>
                <w:u w:color="000000"/>
                <w:bdr w:val="nil"/>
                <w:lang w:val="en-GB"/>
              </w:rPr>
              <w:t xml:space="preserve"> pressured by other industry </w:t>
            </w:r>
            <w:r w:rsidR="002626D9">
              <w:rPr>
                <w:rFonts w:eastAsia="Arial Unicode MS"/>
                <w:u w:color="000000"/>
                <w:bdr w:val="nil"/>
                <w:lang w:val="en-GB"/>
              </w:rPr>
              <w:t>organizations</w:t>
            </w:r>
            <w:r w:rsidRPr="000269CF">
              <w:rPr>
                <w:rFonts w:eastAsia="Arial Unicode MS"/>
                <w:u w:color="000000"/>
                <w:bdr w:val="nil"/>
                <w:lang w:val="en-GB"/>
              </w:rPr>
              <w:t>.</w:t>
            </w:r>
          </w:p>
        </w:tc>
      </w:tr>
    </w:tbl>
    <w:p w14:paraId="5ED38A1F" w14:textId="77777777" w:rsidR="001A23EF" w:rsidRPr="000269CF" w:rsidRDefault="001A23EF" w:rsidP="001A23EF">
      <w:pPr>
        <w:pBdr>
          <w:top w:val="nil"/>
          <w:left w:val="nil"/>
          <w:bottom w:val="nil"/>
          <w:right w:val="nil"/>
          <w:between w:val="nil"/>
          <w:bar w:val="nil"/>
        </w:pBdr>
        <w:rPr>
          <w:rFonts w:eastAsia="Arial Unicode MS" w:cs="Arial Unicode MS"/>
          <w:bCs/>
          <w:color w:val="000000"/>
          <w:sz w:val="24"/>
          <w:szCs w:val="24"/>
          <w:u w:color="000000"/>
          <w:bdr w:val="nil"/>
          <w:lang w:val="en-GB"/>
        </w:rPr>
      </w:pPr>
    </w:p>
    <w:p w14:paraId="7466BDB8" w14:textId="52D4CE80" w:rsidR="001A23EF" w:rsidRPr="000269CF" w:rsidRDefault="001A23EF" w:rsidP="00352D8D">
      <w:pPr>
        <w:pStyle w:val="Footnote"/>
        <w:rPr>
          <w:rFonts w:eastAsia="Calibri"/>
          <w:u w:color="000000"/>
          <w:bdr w:val="nil"/>
          <w:lang w:val="en-GB"/>
        </w:rPr>
      </w:pPr>
      <w:r w:rsidRPr="000269CF">
        <w:rPr>
          <w:rFonts w:eastAsia="Arial Unicode MS"/>
          <w:u w:color="000000"/>
          <w:bdr w:val="nil"/>
          <w:lang w:val="en-GB"/>
        </w:rPr>
        <w:t>Source: Nick Petrillo</w:t>
      </w:r>
      <w:r w:rsidR="002C4678">
        <w:rPr>
          <w:rFonts w:eastAsia="Arial Unicode MS"/>
          <w:u w:color="000000"/>
          <w:bdr w:val="nil"/>
          <w:lang w:val="en-GB"/>
        </w:rPr>
        <w:t>,</w:t>
      </w:r>
      <w:r w:rsidRPr="000269CF">
        <w:rPr>
          <w:rFonts w:eastAsia="Arial Unicode MS"/>
          <w:u w:color="000000"/>
          <w:bdr w:val="nil"/>
          <w:lang w:val="en-GB"/>
        </w:rPr>
        <w:t xml:space="preserve"> </w:t>
      </w:r>
      <w:r w:rsidRPr="000269CF">
        <w:rPr>
          <w:rFonts w:eastAsia="Arial Unicode MS"/>
          <w:i/>
          <w:iCs/>
          <w:u w:color="000000"/>
          <w:bdr w:val="nil"/>
          <w:lang w:val="en-GB"/>
        </w:rPr>
        <w:t>Cable Providers in the US</w:t>
      </w:r>
      <w:r w:rsidR="002C4678">
        <w:rPr>
          <w:rFonts w:eastAsia="Arial Unicode MS"/>
          <w:i/>
          <w:iCs/>
          <w:u w:color="000000"/>
          <w:bdr w:val="nil"/>
          <w:lang w:val="en-GB"/>
        </w:rPr>
        <w:t>,</w:t>
      </w:r>
      <w:r w:rsidRPr="000269CF">
        <w:rPr>
          <w:rFonts w:eastAsia="Arial Unicode MS"/>
          <w:u w:color="000000"/>
          <w:bdr w:val="nil"/>
          <w:lang w:val="en-GB"/>
        </w:rPr>
        <w:t xml:space="preserve"> IBISWorld Industry Reports 2016</w:t>
      </w:r>
      <w:r w:rsidR="002C4678">
        <w:rPr>
          <w:rFonts w:eastAsia="Times"/>
          <w:u w:color="000000"/>
          <w:bdr w:val="nil"/>
          <w:lang w:val="en-GB"/>
        </w:rPr>
        <w:t xml:space="preserve">, </w:t>
      </w:r>
      <w:r w:rsidR="002C4678" w:rsidRPr="00E9312D">
        <w:rPr>
          <w:rFonts w:eastAsia="Times"/>
          <w:u w:color="000000"/>
          <w:bdr w:val="nil"/>
          <w:lang w:val="en-GB"/>
        </w:rPr>
        <w:t xml:space="preserve">accessed </w:t>
      </w:r>
      <w:r w:rsidR="002C4678">
        <w:rPr>
          <w:rFonts w:eastAsia="Times"/>
          <w:u w:color="000000"/>
          <w:bdr w:val="nil"/>
          <w:lang w:val="en-GB"/>
        </w:rPr>
        <w:t xml:space="preserve">October </w:t>
      </w:r>
      <w:r w:rsidR="002C4678" w:rsidRPr="00E9312D">
        <w:rPr>
          <w:rFonts w:eastAsia="Times"/>
          <w:u w:color="000000"/>
          <w:bdr w:val="nil"/>
          <w:lang w:val="en-GB"/>
        </w:rPr>
        <w:t>3</w:t>
      </w:r>
      <w:r w:rsidR="002C4678">
        <w:rPr>
          <w:rFonts w:eastAsia="Times"/>
          <w:u w:color="000000"/>
          <w:bdr w:val="nil"/>
          <w:lang w:val="en-GB"/>
        </w:rPr>
        <w:t xml:space="preserve">, </w:t>
      </w:r>
      <w:r w:rsidR="002C4678" w:rsidRPr="00E9312D">
        <w:rPr>
          <w:rFonts w:eastAsia="Times"/>
          <w:u w:color="000000"/>
          <w:bdr w:val="nil"/>
          <w:lang w:val="en-GB"/>
        </w:rPr>
        <w:t>2017</w:t>
      </w:r>
      <w:r w:rsidRPr="000269CF">
        <w:rPr>
          <w:rFonts w:eastAsia="Arial Unicode MS"/>
          <w:u w:color="000000"/>
          <w:bdr w:val="nil"/>
          <w:lang w:val="en-GB"/>
        </w:rPr>
        <w:t>.</w:t>
      </w:r>
    </w:p>
    <w:p w14:paraId="248942B7" w14:textId="4902EE86" w:rsidR="001A23EF" w:rsidRPr="000269CF" w:rsidRDefault="001A23EF" w:rsidP="002723E8">
      <w:pPr>
        <w:pStyle w:val="ExhibitHeading"/>
        <w:rPr>
          <w:rFonts w:eastAsia="Arial Unicode MS"/>
          <w:bdr w:val="nil"/>
          <w:lang w:val="en-GB"/>
        </w:rPr>
      </w:pPr>
      <w:r w:rsidRPr="000269CF">
        <w:rPr>
          <w:rFonts w:eastAsia="Arial Unicode MS"/>
          <w:bdr w:val="nil"/>
          <w:lang w:val="en-GB"/>
        </w:rPr>
        <w:br w:type="page"/>
      </w:r>
      <w:r w:rsidRPr="000269CF">
        <w:rPr>
          <w:rFonts w:eastAsia="Arial Unicode MS"/>
          <w:bdr w:val="nil"/>
          <w:lang w:val="en-GB"/>
        </w:rPr>
        <w:lastRenderedPageBreak/>
        <w:t>Exhibit 2: Comparison of Comcast</w:t>
      </w:r>
      <w:r w:rsidR="002C4678">
        <w:rPr>
          <w:rFonts w:eastAsia="Arial Unicode MS"/>
          <w:bdr w:val="nil"/>
          <w:lang w:val="en-GB"/>
        </w:rPr>
        <w:t xml:space="preserve"> </w:t>
      </w:r>
      <w:r w:rsidR="002C4678" w:rsidRPr="00BD7D15">
        <w:rPr>
          <w:rFonts w:eastAsia="Arial Unicode MS"/>
          <w:u w:color="000000"/>
          <w:bdr w:val="nil"/>
          <w:lang w:val="en-GB"/>
        </w:rPr>
        <w:t>Corporation</w:t>
      </w:r>
      <w:r w:rsidR="002C4678" w:rsidRPr="00E9312D">
        <w:rPr>
          <w:rFonts w:eastAsia="Arial Unicode MS"/>
          <w:u w:color="000000"/>
          <w:bdr w:val="nil"/>
          <w:lang w:val="en-GB"/>
        </w:rPr>
        <w:t xml:space="preserve">, </w:t>
      </w:r>
      <w:r w:rsidR="002C4678" w:rsidRPr="00BD7D15">
        <w:rPr>
          <w:rFonts w:eastAsia="Arial Unicode MS"/>
          <w:u w:color="000000"/>
          <w:bdr w:val="nil"/>
          <w:lang w:val="en-GB"/>
        </w:rPr>
        <w:t>Time Warner Cable</w:t>
      </w:r>
      <w:r w:rsidRPr="000269CF">
        <w:rPr>
          <w:rFonts w:eastAsia="Arial Unicode MS"/>
          <w:bdr w:val="nil"/>
          <w:lang w:val="en-GB"/>
        </w:rPr>
        <w:t>, and Charter Communications</w:t>
      </w:r>
    </w:p>
    <w:p w14:paraId="40D13E86" w14:textId="77777777" w:rsidR="001A23EF" w:rsidRPr="000269CF" w:rsidRDefault="001A23EF" w:rsidP="001A23EF">
      <w:pPr>
        <w:pBdr>
          <w:top w:val="nil"/>
          <w:left w:val="nil"/>
          <w:bottom w:val="nil"/>
          <w:right w:val="nil"/>
          <w:between w:val="nil"/>
          <w:bar w:val="nil"/>
        </w:pBdr>
        <w:jc w:val="center"/>
        <w:rPr>
          <w:rFonts w:eastAsia="Arial Unicode MS"/>
          <w:bCs/>
          <w:sz w:val="22"/>
          <w:szCs w:val="22"/>
          <w:bdr w:val="nil"/>
          <w:lang w:val="en-GB"/>
        </w:rPr>
      </w:pPr>
    </w:p>
    <w:tbl>
      <w:tblPr>
        <w:tblStyle w:val="TableGrid"/>
        <w:tblW w:w="9360" w:type="dxa"/>
        <w:tblInd w:w="-5" w:type="dxa"/>
        <w:tblLayout w:type="fixed"/>
        <w:tblCellMar>
          <w:left w:w="85" w:type="dxa"/>
          <w:right w:w="85" w:type="dxa"/>
        </w:tblCellMar>
        <w:tblLook w:val="04A0" w:firstRow="1" w:lastRow="0" w:firstColumn="1" w:lastColumn="0" w:noHBand="0" w:noVBand="1"/>
      </w:tblPr>
      <w:tblGrid>
        <w:gridCol w:w="1276"/>
        <w:gridCol w:w="3119"/>
        <w:gridCol w:w="2445"/>
        <w:gridCol w:w="2520"/>
      </w:tblGrid>
      <w:tr w:rsidR="002723E8" w:rsidRPr="000269CF" w14:paraId="36AD1ED7" w14:textId="77777777" w:rsidTr="00F70BD3">
        <w:trPr>
          <w:trHeight w:val="290"/>
        </w:trPr>
        <w:tc>
          <w:tcPr>
            <w:tcW w:w="1276" w:type="dxa"/>
          </w:tcPr>
          <w:p w14:paraId="5D261D5C" w14:textId="77777777" w:rsidR="002723E8" w:rsidRPr="000269CF" w:rsidRDefault="002723E8" w:rsidP="002723E8">
            <w:pPr>
              <w:pStyle w:val="ExhibitText"/>
              <w:rPr>
                <w:rFonts w:eastAsia="Arial Unicode MS"/>
                <w:b/>
                <w:u w:color="000000"/>
                <w:bdr w:val="nil"/>
                <w:lang w:val="en-GB"/>
              </w:rPr>
            </w:pPr>
            <w:r w:rsidRPr="000269CF">
              <w:rPr>
                <w:rFonts w:eastAsia="Calibri"/>
                <w:b/>
                <w:u w:color="000000"/>
                <w:bdr w:val="nil"/>
                <w:lang w:val="en-GB"/>
              </w:rPr>
              <w:t>Market Share</w:t>
            </w:r>
          </w:p>
        </w:tc>
        <w:tc>
          <w:tcPr>
            <w:tcW w:w="3119" w:type="dxa"/>
            <w:vAlign w:val="center"/>
          </w:tcPr>
          <w:p w14:paraId="1A414A9C" w14:textId="5601151F" w:rsidR="002723E8" w:rsidRPr="000269CF" w:rsidRDefault="002723E8" w:rsidP="002723E8">
            <w:pPr>
              <w:pStyle w:val="ExhibitText"/>
              <w:jc w:val="center"/>
              <w:rPr>
                <w:rFonts w:eastAsia="Arial Unicode MS"/>
                <w:b/>
                <w:u w:color="000000"/>
                <w:bdr w:val="nil"/>
                <w:lang w:val="en-GB"/>
              </w:rPr>
            </w:pPr>
            <w:r w:rsidRPr="000269CF">
              <w:rPr>
                <w:rFonts w:eastAsia="Calibri"/>
                <w:b/>
                <w:u w:color="000000"/>
                <w:bdr w:val="nil"/>
                <w:lang w:val="en-GB"/>
              </w:rPr>
              <w:t>Rank 1: Comcast</w:t>
            </w:r>
            <w:r w:rsidR="002C4678">
              <w:rPr>
                <w:rFonts w:eastAsia="Calibri"/>
                <w:b/>
                <w:u w:color="000000"/>
                <w:bdr w:val="nil"/>
                <w:lang w:val="en-GB"/>
              </w:rPr>
              <w:t xml:space="preserve"> Corporation</w:t>
            </w:r>
          </w:p>
        </w:tc>
        <w:tc>
          <w:tcPr>
            <w:tcW w:w="2445" w:type="dxa"/>
            <w:vAlign w:val="center"/>
          </w:tcPr>
          <w:p w14:paraId="55D803A2" w14:textId="3B8A3308" w:rsidR="002723E8" w:rsidRPr="000269CF" w:rsidRDefault="002723E8" w:rsidP="002723E8">
            <w:pPr>
              <w:pStyle w:val="ExhibitText"/>
              <w:jc w:val="center"/>
              <w:rPr>
                <w:rFonts w:eastAsia="Arial Unicode MS"/>
                <w:b/>
                <w:u w:color="000000"/>
                <w:bdr w:val="nil"/>
                <w:lang w:val="en-GB"/>
              </w:rPr>
            </w:pPr>
            <w:r w:rsidRPr="000269CF">
              <w:rPr>
                <w:rFonts w:eastAsia="Calibri"/>
                <w:b/>
                <w:u w:color="000000"/>
                <w:bdr w:val="nil"/>
                <w:lang w:val="en-GB"/>
              </w:rPr>
              <w:t>Rank 2: T</w:t>
            </w:r>
            <w:r w:rsidR="002C4678">
              <w:rPr>
                <w:rFonts w:eastAsia="Calibri"/>
                <w:b/>
                <w:u w:color="000000"/>
                <w:bdr w:val="nil"/>
                <w:lang w:val="en-GB"/>
              </w:rPr>
              <w:t xml:space="preserve">ime </w:t>
            </w:r>
            <w:r w:rsidRPr="000269CF">
              <w:rPr>
                <w:rFonts w:eastAsia="Calibri"/>
                <w:b/>
                <w:u w:color="000000"/>
                <w:bdr w:val="nil"/>
                <w:lang w:val="en-GB"/>
              </w:rPr>
              <w:t>W</w:t>
            </w:r>
            <w:r w:rsidR="002C4678">
              <w:rPr>
                <w:rFonts w:eastAsia="Calibri"/>
                <w:b/>
                <w:u w:color="000000"/>
                <w:bdr w:val="nil"/>
                <w:lang w:val="en-GB"/>
              </w:rPr>
              <w:t xml:space="preserve">arner </w:t>
            </w:r>
            <w:r w:rsidRPr="000269CF">
              <w:rPr>
                <w:rFonts w:eastAsia="Calibri"/>
                <w:b/>
                <w:u w:color="000000"/>
                <w:bdr w:val="nil"/>
                <w:lang w:val="en-GB"/>
              </w:rPr>
              <w:t>C</w:t>
            </w:r>
            <w:r w:rsidR="002C4678">
              <w:rPr>
                <w:rFonts w:eastAsia="Calibri"/>
                <w:b/>
                <w:u w:color="000000"/>
                <w:bdr w:val="nil"/>
                <w:lang w:val="en-GB"/>
              </w:rPr>
              <w:t>able</w:t>
            </w:r>
          </w:p>
        </w:tc>
        <w:tc>
          <w:tcPr>
            <w:tcW w:w="2520" w:type="dxa"/>
            <w:vAlign w:val="center"/>
          </w:tcPr>
          <w:p w14:paraId="1AFB5308" w14:textId="7808EEF7" w:rsidR="002723E8" w:rsidRPr="000269CF" w:rsidRDefault="002723E8" w:rsidP="002723E8">
            <w:pPr>
              <w:pStyle w:val="ExhibitText"/>
              <w:jc w:val="center"/>
              <w:rPr>
                <w:rFonts w:eastAsia="Arial Unicode MS"/>
                <w:b/>
                <w:u w:color="000000"/>
                <w:bdr w:val="nil"/>
                <w:lang w:val="en-GB"/>
              </w:rPr>
            </w:pPr>
            <w:r w:rsidRPr="000269CF">
              <w:rPr>
                <w:rFonts w:eastAsia="Calibri"/>
                <w:b/>
                <w:u w:color="000000"/>
                <w:bdr w:val="nil"/>
                <w:lang w:val="en-GB"/>
              </w:rPr>
              <w:t>Rank 4: Charter</w:t>
            </w:r>
            <w:r w:rsidR="002C4678">
              <w:rPr>
                <w:rFonts w:eastAsia="Calibri"/>
                <w:b/>
                <w:u w:color="000000"/>
                <w:bdr w:val="nil"/>
                <w:lang w:val="en-GB"/>
              </w:rPr>
              <w:t xml:space="preserve"> Communications</w:t>
            </w:r>
          </w:p>
        </w:tc>
      </w:tr>
      <w:tr w:rsidR="002723E8" w:rsidRPr="000269CF" w14:paraId="711435EE" w14:textId="77777777" w:rsidTr="00F70BD3">
        <w:trPr>
          <w:trHeight w:val="836"/>
        </w:trPr>
        <w:tc>
          <w:tcPr>
            <w:tcW w:w="1276" w:type="dxa"/>
            <w:vAlign w:val="center"/>
          </w:tcPr>
          <w:p w14:paraId="2A84FC24" w14:textId="77777777"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 xml:space="preserve">Businesses </w:t>
            </w:r>
          </w:p>
        </w:tc>
        <w:tc>
          <w:tcPr>
            <w:tcW w:w="3119" w:type="dxa"/>
            <w:vAlign w:val="center"/>
          </w:tcPr>
          <w:p w14:paraId="4AC9C958" w14:textId="056F3B19"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 xml:space="preserve">Cable </w:t>
            </w:r>
            <w:r w:rsidR="00954739">
              <w:rPr>
                <w:rFonts w:eastAsia="Calibri"/>
                <w:u w:color="000000"/>
                <w:bdr w:val="nil"/>
                <w:lang w:val="en-GB"/>
              </w:rPr>
              <w:t>television</w:t>
            </w:r>
            <w:r w:rsidRPr="000269CF">
              <w:rPr>
                <w:rFonts w:eastAsia="Calibri"/>
                <w:u w:color="000000"/>
                <w:bdr w:val="nil"/>
                <w:lang w:val="en-GB"/>
              </w:rPr>
              <w:t>, high</w:t>
            </w:r>
            <w:r w:rsidR="00C96841">
              <w:rPr>
                <w:rFonts w:eastAsia="Calibri"/>
                <w:u w:color="000000"/>
                <w:bdr w:val="nil"/>
                <w:lang w:val="en-GB"/>
              </w:rPr>
              <w:t>-</w:t>
            </w:r>
            <w:r w:rsidRPr="000269CF">
              <w:rPr>
                <w:rFonts w:eastAsia="Calibri"/>
                <w:u w:color="000000"/>
                <w:bdr w:val="nil"/>
                <w:lang w:val="en-GB"/>
              </w:rPr>
              <w:t xml:space="preserve">speed </w:t>
            </w:r>
            <w:r w:rsidR="002C4678">
              <w:rPr>
                <w:rFonts w:eastAsia="Calibri"/>
                <w:u w:color="000000"/>
                <w:bdr w:val="nil"/>
                <w:lang w:val="en-GB"/>
              </w:rPr>
              <w:t>I</w:t>
            </w:r>
            <w:r w:rsidRPr="000269CF">
              <w:rPr>
                <w:rFonts w:eastAsia="Calibri"/>
                <w:u w:color="000000"/>
                <w:bdr w:val="nil"/>
                <w:lang w:val="en-GB"/>
              </w:rPr>
              <w:t>nternet, N</w:t>
            </w:r>
            <w:r w:rsidR="002C4678">
              <w:rPr>
                <w:rFonts w:eastAsia="Calibri"/>
                <w:u w:color="000000"/>
                <w:bdr w:val="nil"/>
                <w:lang w:val="en-GB"/>
              </w:rPr>
              <w:t xml:space="preserve">ational </w:t>
            </w:r>
            <w:r w:rsidRPr="000269CF">
              <w:rPr>
                <w:rFonts w:eastAsia="Calibri"/>
                <w:u w:color="000000"/>
                <w:bdr w:val="nil"/>
                <w:lang w:val="en-GB"/>
              </w:rPr>
              <w:t>B</w:t>
            </w:r>
            <w:r w:rsidR="002C4678">
              <w:rPr>
                <w:rFonts w:eastAsia="Calibri"/>
                <w:u w:color="000000"/>
                <w:bdr w:val="nil"/>
                <w:lang w:val="en-GB"/>
              </w:rPr>
              <w:t xml:space="preserve">roadcasting </w:t>
            </w:r>
            <w:r w:rsidRPr="000269CF">
              <w:rPr>
                <w:rFonts w:eastAsia="Calibri"/>
                <w:u w:color="000000"/>
                <w:bdr w:val="nil"/>
                <w:lang w:val="en-GB"/>
              </w:rPr>
              <w:t>C</w:t>
            </w:r>
            <w:r w:rsidR="002C4678">
              <w:rPr>
                <w:rFonts w:eastAsia="Calibri"/>
                <w:u w:color="000000"/>
                <w:bdr w:val="nil"/>
                <w:lang w:val="en-GB"/>
              </w:rPr>
              <w:t>ompany</w:t>
            </w:r>
            <w:r w:rsidRPr="000269CF">
              <w:rPr>
                <w:rFonts w:eastAsia="Calibri"/>
                <w:u w:color="000000"/>
                <w:bdr w:val="nil"/>
                <w:lang w:val="en-GB"/>
              </w:rPr>
              <w:t>, and NBC Universal Studios</w:t>
            </w:r>
            <w:r w:rsidR="00F87367">
              <w:rPr>
                <w:rFonts w:eastAsia="Calibri"/>
                <w:u w:color="000000"/>
                <w:bdr w:val="nil"/>
                <w:lang w:val="en-GB"/>
              </w:rPr>
              <w:t>.</w:t>
            </w:r>
            <w:r w:rsidRPr="000269CF">
              <w:rPr>
                <w:rFonts w:eastAsia="Calibri"/>
                <w:u w:color="000000"/>
                <w:bdr w:val="nil"/>
                <w:lang w:val="en-GB"/>
              </w:rPr>
              <w:t xml:space="preserve"> </w:t>
            </w:r>
          </w:p>
        </w:tc>
        <w:tc>
          <w:tcPr>
            <w:tcW w:w="2445" w:type="dxa"/>
            <w:vAlign w:val="center"/>
          </w:tcPr>
          <w:p w14:paraId="3A3E0DC2" w14:textId="173AEA8D"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 xml:space="preserve">Cable </w:t>
            </w:r>
            <w:r w:rsidR="00954739">
              <w:rPr>
                <w:rFonts w:eastAsia="Calibri"/>
                <w:u w:color="000000"/>
                <w:bdr w:val="nil"/>
                <w:lang w:val="en-GB"/>
              </w:rPr>
              <w:t>television</w:t>
            </w:r>
            <w:r w:rsidRPr="000269CF">
              <w:rPr>
                <w:rFonts w:eastAsia="Calibri"/>
                <w:u w:color="000000"/>
                <w:bdr w:val="nil"/>
                <w:lang w:val="en-GB"/>
              </w:rPr>
              <w:t>, video, voice</w:t>
            </w:r>
            <w:r w:rsidR="002C4678">
              <w:rPr>
                <w:rFonts w:eastAsia="Calibri"/>
                <w:u w:color="000000"/>
                <w:bdr w:val="nil"/>
                <w:lang w:val="en-GB"/>
              </w:rPr>
              <w:t>,</w:t>
            </w:r>
            <w:r w:rsidRPr="000269CF">
              <w:rPr>
                <w:rFonts w:eastAsia="Calibri"/>
                <w:u w:color="000000"/>
                <w:bdr w:val="nil"/>
                <w:lang w:val="en-GB"/>
              </w:rPr>
              <w:t xml:space="preserve"> and data services, high-speed </w:t>
            </w:r>
            <w:r w:rsidR="002C4678">
              <w:rPr>
                <w:rFonts w:eastAsia="Calibri"/>
                <w:u w:color="000000"/>
                <w:bdr w:val="nil"/>
                <w:lang w:val="en-GB"/>
              </w:rPr>
              <w:t>I</w:t>
            </w:r>
            <w:r w:rsidRPr="000269CF">
              <w:rPr>
                <w:rFonts w:eastAsia="Calibri"/>
                <w:u w:color="000000"/>
                <w:bdr w:val="nil"/>
                <w:lang w:val="en-GB"/>
              </w:rPr>
              <w:t>nternet services</w:t>
            </w:r>
            <w:r w:rsidR="00F87367">
              <w:rPr>
                <w:rFonts w:eastAsia="Calibri"/>
                <w:u w:color="000000"/>
                <w:bdr w:val="nil"/>
                <w:lang w:val="en-GB"/>
              </w:rPr>
              <w:t>.</w:t>
            </w:r>
          </w:p>
        </w:tc>
        <w:tc>
          <w:tcPr>
            <w:tcW w:w="2520" w:type="dxa"/>
            <w:vAlign w:val="center"/>
          </w:tcPr>
          <w:p w14:paraId="79A2AEAE" w14:textId="4A44ED1A" w:rsidR="002723E8" w:rsidRPr="000269CF" w:rsidRDefault="002C4678" w:rsidP="002723E8">
            <w:pPr>
              <w:pStyle w:val="ExhibitText"/>
              <w:jc w:val="left"/>
              <w:rPr>
                <w:rFonts w:eastAsia="Arial Unicode MS"/>
                <w:u w:color="000000"/>
                <w:bdr w:val="nil"/>
                <w:lang w:val="en-GB"/>
              </w:rPr>
            </w:pPr>
            <w:r>
              <w:rPr>
                <w:rFonts w:eastAsia="Calibri"/>
                <w:u w:color="000000"/>
                <w:bdr w:val="nil"/>
                <w:lang w:val="en-GB"/>
              </w:rPr>
              <w:t>V</w:t>
            </w:r>
            <w:r w:rsidR="002723E8" w:rsidRPr="000269CF">
              <w:rPr>
                <w:rFonts w:eastAsia="Calibri"/>
                <w:u w:color="000000"/>
                <w:bdr w:val="nil"/>
                <w:lang w:val="en-GB"/>
              </w:rPr>
              <w:t>ideo, voice, and data packages</w:t>
            </w:r>
            <w:r>
              <w:rPr>
                <w:rFonts w:eastAsia="Calibri"/>
                <w:u w:color="000000"/>
                <w:bdr w:val="nil"/>
                <w:lang w:val="en-GB"/>
              </w:rPr>
              <w:t>;</w:t>
            </w:r>
            <w:r w:rsidR="002723E8" w:rsidRPr="000269CF">
              <w:rPr>
                <w:rFonts w:eastAsia="Calibri"/>
                <w:u w:color="000000"/>
                <w:bdr w:val="nil"/>
                <w:lang w:val="en-GB"/>
              </w:rPr>
              <w:t xml:space="preserve"> high-speed </w:t>
            </w:r>
            <w:r>
              <w:rPr>
                <w:rFonts w:eastAsia="Calibri"/>
                <w:u w:color="000000"/>
                <w:bdr w:val="nil"/>
                <w:lang w:val="en-GB"/>
              </w:rPr>
              <w:t>I</w:t>
            </w:r>
            <w:r w:rsidR="002723E8" w:rsidRPr="000269CF">
              <w:rPr>
                <w:rFonts w:eastAsia="Calibri"/>
                <w:u w:color="000000"/>
                <w:bdr w:val="nil"/>
                <w:lang w:val="en-GB"/>
              </w:rPr>
              <w:t>nternet services</w:t>
            </w:r>
            <w:r w:rsidR="00F87367">
              <w:rPr>
                <w:rFonts w:eastAsia="Calibri"/>
                <w:u w:color="000000"/>
                <w:bdr w:val="nil"/>
                <w:lang w:val="en-GB"/>
              </w:rPr>
              <w:t>.</w:t>
            </w:r>
          </w:p>
        </w:tc>
      </w:tr>
      <w:tr w:rsidR="002723E8" w:rsidRPr="000269CF" w14:paraId="4530B7DA" w14:textId="77777777" w:rsidTr="00F70BD3">
        <w:trPr>
          <w:trHeight w:val="980"/>
        </w:trPr>
        <w:tc>
          <w:tcPr>
            <w:tcW w:w="1276" w:type="dxa"/>
            <w:vAlign w:val="center"/>
          </w:tcPr>
          <w:p w14:paraId="2F65DAE1" w14:textId="77777777"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Subscriber Base</w:t>
            </w:r>
          </w:p>
        </w:tc>
        <w:tc>
          <w:tcPr>
            <w:tcW w:w="3119" w:type="dxa"/>
            <w:vAlign w:val="center"/>
          </w:tcPr>
          <w:p w14:paraId="718AC779" w14:textId="1CDF319E"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 xml:space="preserve">27.7 million cable </w:t>
            </w:r>
            <w:r w:rsidR="00954739">
              <w:rPr>
                <w:rFonts w:eastAsia="Calibri"/>
                <w:u w:color="000000"/>
                <w:bdr w:val="nil"/>
                <w:lang w:val="en-GB"/>
              </w:rPr>
              <w:t>television</w:t>
            </w:r>
            <w:r w:rsidRPr="000269CF">
              <w:rPr>
                <w:rFonts w:eastAsia="Calibri"/>
                <w:u w:color="000000"/>
                <w:bdr w:val="nil"/>
                <w:lang w:val="en-GB"/>
              </w:rPr>
              <w:t xml:space="preserve"> </w:t>
            </w:r>
            <w:r w:rsidR="000F18E0">
              <w:rPr>
                <w:rFonts w:eastAsia="Calibri"/>
                <w:u w:color="000000"/>
                <w:bdr w:val="nil"/>
                <w:lang w:val="en-GB"/>
              </w:rPr>
              <w:t xml:space="preserve">subscribers </w:t>
            </w:r>
            <w:r w:rsidRPr="000269CF">
              <w:rPr>
                <w:rFonts w:eastAsia="Calibri"/>
                <w:u w:color="000000"/>
                <w:bdr w:val="nil"/>
                <w:lang w:val="en-GB"/>
              </w:rPr>
              <w:t xml:space="preserve">and 23 million broadband </w:t>
            </w:r>
            <w:r w:rsidR="000F18E0">
              <w:rPr>
                <w:rFonts w:eastAsia="Calibri"/>
                <w:u w:color="000000"/>
                <w:bdr w:val="nil"/>
                <w:lang w:val="en-GB"/>
              </w:rPr>
              <w:t>I</w:t>
            </w:r>
            <w:r w:rsidRPr="000269CF">
              <w:rPr>
                <w:rFonts w:eastAsia="Calibri"/>
                <w:u w:color="000000"/>
                <w:bdr w:val="nil"/>
                <w:lang w:val="en-GB"/>
              </w:rPr>
              <w:t>nternet subscribers in 29 states</w:t>
            </w:r>
            <w:r w:rsidR="00F87367">
              <w:rPr>
                <w:rFonts w:eastAsia="Calibri"/>
                <w:u w:color="000000"/>
                <w:bdr w:val="nil"/>
                <w:lang w:val="en-GB"/>
              </w:rPr>
              <w:t>.</w:t>
            </w:r>
          </w:p>
        </w:tc>
        <w:tc>
          <w:tcPr>
            <w:tcW w:w="2445" w:type="dxa"/>
            <w:vAlign w:val="center"/>
          </w:tcPr>
          <w:p w14:paraId="74134FB6" w14:textId="732DF3B9"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15 million customers in 5 states</w:t>
            </w:r>
            <w:r w:rsidR="000F18E0">
              <w:rPr>
                <w:rFonts w:eastAsia="Calibri"/>
                <w:u w:color="000000"/>
                <w:bdr w:val="nil"/>
                <w:lang w:val="en-GB"/>
              </w:rPr>
              <w:t>,</w:t>
            </w:r>
            <w:r w:rsidRPr="000269CF">
              <w:rPr>
                <w:rFonts w:eastAsia="Calibri"/>
                <w:u w:color="000000"/>
                <w:bdr w:val="nil"/>
                <w:lang w:val="en-GB"/>
              </w:rPr>
              <w:t xml:space="preserve"> 80</w:t>
            </w:r>
            <w:r w:rsidR="000F18E0">
              <w:rPr>
                <w:rFonts w:eastAsia="Calibri"/>
                <w:u w:color="000000"/>
                <w:bdr w:val="nil"/>
                <w:lang w:val="en-GB"/>
              </w:rPr>
              <w:t xml:space="preserve"> per cent</w:t>
            </w:r>
            <w:r w:rsidRPr="000269CF">
              <w:rPr>
                <w:rFonts w:eastAsia="Calibri"/>
                <w:u w:color="000000"/>
                <w:bdr w:val="nil"/>
                <w:lang w:val="en-GB"/>
              </w:rPr>
              <w:t xml:space="preserve"> of </w:t>
            </w:r>
            <w:r w:rsidR="000F18E0">
              <w:rPr>
                <w:rFonts w:eastAsia="Calibri"/>
                <w:u w:color="000000"/>
                <w:bdr w:val="nil"/>
                <w:lang w:val="en-GB"/>
              </w:rPr>
              <w:t>which</w:t>
            </w:r>
            <w:r w:rsidRPr="000269CF">
              <w:rPr>
                <w:rFonts w:eastAsia="Calibri"/>
                <w:u w:color="000000"/>
                <w:bdr w:val="nil"/>
                <w:lang w:val="en-GB"/>
              </w:rPr>
              <w:t xml:space="preserve"> were residential users</w:t>
            </w:r>
            <w:r w:rsidR="00F87367">
              <w:rPr>
                <w:rFonts w:eastAsia="Calibri"/>
                <w:u w:color="000000"/>
                <w:bdr w:val="nil"/>
                <w:lang w:val="en-GB"/>
              </w:rPr>
              <w:t>.</w:t>
            </w:r>
          </w:p>
        </w:tc>
        <w:tc>
          <w:tcPr>
            <w:tcW w:w="2520" w:type="dxa"/>
            <w:vAlign w:val="center"/>
          </w:tcPr>
          <w:p w14:paraId="23E5E28B" w14:textId="5148DC08"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6 million customers in 25 states in Midwest, West, and New England</w:t>
            </w:r>
            <w:r w:rsidR="00F87367">
              <w:rPr>
                <w:rFonts w:eastAsia="Calibri"/>
                <w:u w:color="000000"/>
                <w:bdr w:val="nil"/>
                <w:lang w:val="en-GB"/>
              </w:rPr>
              <w:t>.</w:t>
            </w:r>
          </w:p>
        </w:tc>
      </w:tr>
      <w:tr w:rsidR="002723E8" w:rsidRPr="000269CF" w14:paraId="6A81A6DD" w14:textId="77777777" w:rsidTr="00F70BD3">
        <w:trPr>
          <w:trHeight w:val="290"/>
        </w:trPr>
        <w:tc>
          <w:tcPr>
            <w:tcW w:w="1276" w:type="dxa"/>
            <w:vAlign w:val="center"/>
          </w:tcPr>
          <w:p w14:paraId="7909F95D" w14:textId="77777777"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Operating Margin</w:t>
            </w:r>
          </w:p>
        </w:tc>
        <w:tc>
          <w:tcPr>
            <w:tcW w:w="3119" w:type="dxa"/>
            <w:vAlign w:val="center"/>
          </w:tcPr>
          <w:p w14:paraId="0EB05674" w14:textId="397F47CD"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27 per cent in 2015</w:t>
            </w:r>
            <w:r w:rsidR="00F87367">
              <w:rPr>
                <w:rFonts w:eastAsia="Calibri"/>
                <w:u w:color="000000"/>
                <w:bdr w:val="nil"/>
                <w:lang w:val="en-GB"/>
              </w:rPr>
              <w:t>.</w:t>
            </w:r>
          </w:p>
        </w:tc>
        <w:tc>
          <w:tcPr>
            <w:tcW w:w="2445" w:type="dxa"/>
            <w:vAlign w:val="center"/>
          </w:tcPr>
          <w:p w14:paraId="1DF168C0" w14:textId="62F24F4C"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20 per cent in 2015</w:t>
            </w:r>
            <w:r w:rsidR="00F87367">
              <w:rPr>
                <w:rFonts w:eastAsia="Calibri"/>
                <w:u w:color="000000"/>
                <w:bdr w:val="nil"/>
                <w:lang w:val="en-GB"/>
              </w:rPr>
              <w:t>.</w:t>
            </w:r>
          </w:p>
        </w:tc>
        <w:tc>
          <w:tcPr>
            <w:tcW w:w="2520" w:type="dxa"/>
            <w:vAlign w:val="center"/>
          </w:tcPr>
          <w:p w14:paraId="757D7F18" w14:textId="04D90FEC"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9.9 per cent in 2015</w:t>
            </w:r>
            <w:r w:rsidR="00F87367">
              <w:rPr>
                <w:rFonts w:eastAsia="Calibri"/>
                <w:u w:color="000000"/>
                <w:bdr w:val="nil"/>
                <w:lang w:val="en-GB"/>
              </w:rPr>
              <w:t>.</w:t>
            </w:r>
          </w:p>
        </w:tc>
      </w:tr>
      <w:tr w:rsidR="002723E8" w:rsidRPr="000269CF" w14:paraId="71B58258" w14:textId="77777777" w:rsidTr="00F70BD3">
        <w:trPr>
          <w:trHeight w:val="2033"/>
        </w:trPr>
        <w:tc>
          <w:tcPr>
            <w:tcW w:w="1276" w:type="dxa"/>
            <w:vAlign w:val="center"/>
          </w:tcPr>
          <w:p w14:paraId="0AEB62E6" w14:textId="77777777" w:rsidR="002723E8" w:rsidRPr="000269CF" w:rsidRDefault="002723E8" w:rsidP="002723E8">
            <w:pPr>
              <w:pStyle w:val="ExhibitText"/>
              <w:jc w:val="left"/>
              <w:rPr>
                <w:rFonts w:eastAsia="Arial Unicode MS"/>
                <w:u w:color="000000"/>
                <w:bdr w:val="nil"/>
                <w:lang w:val="en-GB"/>
              </w:rPr>
            </w:pPr>
            <w:r w:rsidRPr="000269CF">
              <w:rPr>
                <w:rFonts w:eastAsia="Calibri"/>
                <w:u w:color="000000"/>
                <w:bdr w:val="nil"/>
                <w:lang w:val="en-GB"/>
              </w:rPr>
              <w:t>Other Comments</w:t>
            </w:r>
          </w:p>
        </w:tc>
        <w:tc>
          <w:tcPr>
            <w:tcW w:w="3119" w:type="dxa"/>
            <w:vAlign w:val="center"/>
          </w:tcPr>
          <w:p w14:paraId="76D31203" w14:textId="62DBE3BA" w:rsidR="002723E8" w:rsidRPr="000269CF" w:rsidRDefault="000F18E0" w:rsidP="0061757A">
            <w:pPr>
              <w:pStyle w:val="ExhibitText"/>
              <w:jc w:val="left"/>
              <w:rPr>
                <w:rFonts w:eastAsia="Arial Unicode MS"/>
                <w:u w:color="000000"/>
                <w:bdr w:val="nil"/>
                <w:lang w:val="en-GB"/>
              </w:rPr>
            </w:pPr>
            <w:r>
              <w:rPr>
                <w:rFonts w:eastAsia="Calibri"/>
                <w:u w:color="000000"/>
                <w:bdr w:val="nil"/>
                <w:lang w:val="en-GB"/>
              </w:rPr>
              <w:t>The c</w:t>
            </w:r>
            <w:r w:rsidR="002723E8" w:rsidRPr="000269CF">
              <w:rPr>
                <w:rFonts w:eastAsia="Calibri"/>
                <w:u w:color="000000"/>
                <w:bdr w:val="nil"/>
                <w:lang w:val="en-GB"/>
              </w:rPr>
              <w:t xml:space="preserve">able </w:t>
            </w:r>
            <w:r w:rsidR="00954739">
              <w:rPr>
                <w:rFonts w:eastAsia="Calibri"/>
                <w:u w:color="000000"/>
                <w:bdr w:val="nil"/>
                <w:lang w:val="en-GB"/>
              </w:rPr>
              <w:t>television</w:t>
            </w:r>
            <w:r w:rsidR="002723E8" w:rsidRPr="000269CF">
              <w:rPr>
                <w:rFonts w:eastAsia="Calibri"/>
                <w:u w:color="000000"/>
                <w:bdr w:val="nil"/>
                <w:lang w:val="en-GB"/>
              </w:rPr>
              <w:t xml:space="preserve"> subscription base was declining in 2014</w:t>
            </w:r>
            <w:r>
              <w:rPr>
                <w:rFonts w:eastAsia="Calibri"/>
                <w:u w:color="000000"/>
                <w:bdr w:val="nil"/>
                <w:lang w:val="en-GB"/>
              </w:rPr>
              <w:t>,</w:t>
            </w:r>
            <w:r w:rsidR="002723E8" w:rsidRPr="000269CF">
              <w:rPr>
                <w:rFonts w:eastAsia="Calibri"/>
                <w:u w:color="000000"/>
                <w:bdr w:val="nil"/>
                <w:lang w:val="en-GB"/>
              </w:rPr>
              <w:t xml:space="preserve"> while </w:t>
            </w:r>
            <w:r>
              <w:rPr>
                <w:rFonts w:eastAsia="Calibri"/>
                <w:u w:color="000000"/>
                <w:bdr w:val="nil"/>
                <w:lang w:val="en-GB"/>
              </w:rPr>
              <w:t xml:space="preserve">the </w:t>
            </w:r>
            <w:r w:rsidR="002723E8" w:rsidRPr="000269CF">
              <w:rPr>
                <w:rFonts w:eastAsia="Calibri"/>
                <w:u w:color="000000"/>
                <w:bdr w:val="nil"/>
                <w:lang w:val="en-GB"/>
              </w:rPr>
              <w:t xml:space="preserve">broadband subscription base was growing. </w:t>
            </w:r>
            <w:r>
              <w:rPr>
                <w:rFonts w:eastAsia="Calibri"/>
                <w:u w:color="000000"/>
                <w:bdr w:val="nil"/>
                <w:lang w:val="en-GB"/>
              </w:rPr>
              <w:t>Comcast Corporation was a</w:t>
            </w:r>
            <w:r w:rsidR="002723E8" w:rsidRPr="000269CF">
              <w:rPr>
                <w:rFonts w:eastAsia="Calibri"/>
                <w:u w:color="000000"/>
                <w:bdr w:val="nil"/>
                <w:lang w:val="en-GB"/>
              </w:rPr>
              <w:t xml:space="preserve"> technology leader </w:t>
            </w:r>
            <w:r>
              <w:rPr>
                <w:rFonts w:eastAsia="Calibri"/>
                <w:u w:color="000000"/>
                <w:bdr w:val="nil"/>
                <w:lang w:val="en-GB"/>
              </w:rPr>
              <w:t>(</w:t>
            </w:r>
            <w:r w:rsidR="002723E8" w:rsidRPr="000269CF">
              <w:rPr>
                <w:rFonts w:eastAsia="Calibri"/>
                <w:u w:color="000000"/>
                <w:bdr w:val="nil"/>
                <w:lang w:val="en-GB"/>
              </w:rPr>
              <w:t xml:space="preserve">e.g., </w:t>
            </w:r>
            <w:r>
              <w:rPr>
                <w:rFonts w:eastAsia="Calibri"/>
                <w:u w:color="000000"/>
                <w:bdr w:val="nil"/>
                <w:lang w:val="en-GB"/>
              </w:rPr>
              <w:t xml:space="preserve">Xfinity </w:t>
            </w:r>
            <w:r w:rsidR="002723E8" w:rsidRPr="000269CF">
              <w:rPr>
                <w:rFonts w:eastAsia="Calibri"/>
                <w:u w:color="000000"/>
                <w:bdr w:val="nil"/>
                <w:lang w:val="en-GB"/>
              </w:rPr>
              <w:t>X1 platform</w:t>
            </w:r>
            <w:r>
              <w:rPr>
                <w:rFonts w:eastAsia="Calibri"/>
                <w:u w:color="000000"/>
                <w:bdr w:val="nil"/>
                <w:lang w:val="en-GB"/>
              </w:rPr>
              <w:t>)</w:t>
            </w:r>
            <w:r w:rsidR="002723E8" w:rsidRPr="000269CF">
              <w:rPr>
                <w:rFonts w:eastAsia="Calibri"/>
                <w:u w:color="000000"/>
                <w:bdr w:val="nil"/>
                <w:lang w:val="en-GB"/>
              </w:rPr>
              <w:t>.</w:t>
            </w:r>
            <w:r>
              <w:rPr>
                <w:rFonts w:eastAsia="Calibri"/>
                <w:u w:color="000000"/>
                <w:bdr w:val="nil"/>
                <w:lang w:val="en-GB"/>
              </w:rPr>
              <w:t xml:space="preserve"> It was also d</w:t>
            </w:r>
            <w:r w:rsidR="002723E8" w:rsidRPr="000269CF">
              <w:rPr>
                <w:rFonts w:eastAsia="Calibri"/>
                <w:u w:color="000000"/>
                <w:bdr w:val="nil"/>
                <w:lang w:val="en-GB"/>
              </w:rPr>
              <w:t>iversified</w:t>
            </w:r>
            <w:r>
              <w:rPr>
                <w:rFonts w:eastAsia="Calibri"/>
                <w:u w:color="000000"/>
                <w:bdr w:val="nil"/>
                <w:lang w:val="en-GB"/>
              </w:rPr>
              <w:t>,</w:t>
            </w:r>
            <w:r w:rsidR="002723E8" w:rsidRPr="000269CF">
              <w:rPr>
                <w:rFonts w:eastAsia="Calibri"/>
                <w:u w:color="000000"/>
                <w:bdr w:val="nil"/>
                <w:lang w:val="en-GB"/>
              </w:rPr>
              <w:t xml:space="preserve"> with horizontal acquisitions and </w:t>
            </w:r>
            <w:r>
              <w:rPr>
                <w:rFonts w:eastAsia="Calibri"/>
                <w:u w:color="000000"/>
                <w:bdr w:val="nil"/>
                <w:lang w:val="en-GB"/>
              </w:rPr>
              <w:t xml:space="preserve">with the </w:t>
            </w:r>
            <w:r w:rsidR="002723E8" w:rsidRPr="000269CF">
              <w:rPr>
                <w:rFonts w:eastAsia="Calibri"/>
                <w:u w:color="000000"/>
                <w:bdr w:val="nil"/>
                <w:lang w:val="en-GB"/>
              </w:rPr>
              <w:t xml:space="preserve">vertical acquisition of NBC Universal. </w:t>
            </w:r>
          </w:p>
        </w:tc>
        <w:tc>
          <w:tcPr>
            <w:tcW w:w="2445" w:type="dxa"/>
            <w:vAlign w:val="center"/>
          </w:tcPr>
          <w:p w14:paraId="274514DF" w14:textId="0E893B6C" w:rsidR="002723E8" w:rsidRPr="000269CF" w:rsidRDefault="000F18E0" w:rsidP="0061757A">
            <w:pPr>
              <w:pStyle w:val="ExhibitText"/>
              <w:jc w:val="left"/>
              <w:rPr>
                <w:rFonts w:eastAsia="Arial Unicode MS"/>
                <w:u w:color="000000"/>
                <w:bdr w:val="nil"/>
                <w:lang w:val="en-GB"/>
              </w:rPr>
            </w:pPr>
            <w:r>
              <w:rPr>
                <w:rFonts w:eastAsia="Calibri"/>
                <w:u w:color="000000"/>
                <w:bdr w:val="nil"/>
                <w:lang w:val="en-GB"/>
              </w:rPr>
              <w:t>Time Warner Cable’s o</w:t>
            </w:r>
            <w:r w:rsidR="002723E8" w:rsidRPr="000269CF">
              <w:rPr>
                <w:rFonts w:eastAsia="Calibri"/>
                <w:u w:color="000000"/>
                <w:bdr w:val="nil"/>
                <w:lang w:val="en-GB"/>
              </w:rPr>
              <w:t>verall subscription base was declining in 2014.</w:t>
            </w:r>
            <w:r>
              <w:rPr>
                <w:rFonts w:eastAsia="Calibri"/>
                <w:u w:color="000000"/>
                <w:bdr w:val="nil"/>
                <w:lang w:val="en-GB"/>
              </w:rPr>
              <w:t xml:space="preserve"> It was n</w:t>
            </w:r>
            <w:r w:rsidR="002723E8" w:rsidRPr="000269CF">
              <w:rPr>
                <w:rFonts w:eastAsia="Calibri"/>
                <w:u w:color="000000"/>
                <w:bdr w:val="nil"/>
                <w:lang w:val="en-GB"/>
              </w:rPr>
              <w:t>ot a technology leader</w:t>
            </w:r>
            <w:r>
              <w:rPr>
                <w:rFonts w:eastAsia="Calibri"/>
                <w:u w:color="000000"/>
                <w:bdr w:val="nil"/>
                <w:lang w:val="en-GB"/>
              </w:rPr>
              <w:t xml:space="preserve"> and was n</w:t>
            </w:r>
            <w:r w:rsidR="002723E8" w:rsidRPr="000269CF">
              <w:rPr>
                <w:rFonts w:eastAsia="Calibri"/>
                <w:u w:color="000000"/>
                <w:bdr w:val="nil"/>
                <w:lang w:val="en-GB"/>
              </w:rPr>
              <w:t>ot diversified.</w:t>
            </w:r>
          </w:p>
        </w:tc>
        <w:tc>
          <w:tcPr>
            <w:tcW w:w="2520" w:type="dxa"/>
            <w:vAlign w:val="center"/>
          </w:tcPr>
          <w:p w14:paraId="203E8329" w14:textId="7E8BD8C2" w:rsidR="002723E8" w:rsidRPr="000269CF" w:rsidRDefault="000F18E0" w:rsidP="002723E8">
            <w:pPr>
              <w:pStyle w:val="ExhibitText"/>
              <w:jc w:val="left"/>
              <w:rPr>
                <w:rFonts w:eastAsia="Calibri"/>
                <w:u w:color="000000"/>
                <w:bdr w:val="nil"/>
                <w:lang w:val="en-GB"/>
              </w:rPr>
            </w:pPr>
            <w:r>
              <w:rPr>
                <w:rFonts w:eastAsia="Calibri"/>
                <w:u w:color="000000"/>
                <w:bdr w:val="nil"/>
                <w:lang w:val="en-GB"/>
              </w:rPr>
              <w:t>Charter Communications i</w:t>
            </w:r>
            <w:r w:rsidR="002723E8" w:rsidRPr="000269CF">
              <w:rPr>
                <w:rFonts w:eastAsia="Calibri"/>
                <w:u w:color="000000"/>
                <w:bdr w:val="nil"/>
                <w:lang w:val="en-GB"/>
              </w:rPr>
              <w:t>nvested in technology</w:t>
            </w:r>
            <w:r w:rsidR="00F70BD3">
              <w:rPr>
                <w:rFonts w:eastAsia="Calibri"/>
                <w:u w:color="000000"/>
                <w:bdr w:val="nil"/>
                <w:lang w:val="en-GB"/>
              </w:rPr>
              <w:t xml:space="preserve"> and its b</w:t>
            </w:r>
            <w:r w:rsidR="002723E8" w:rsidRPr="000269CF">
              <w:rPr>
                <w:rFonts w:eastAsia="Calibri"/>
                <w:u w:color="000000"/>
                <w:bdr w:val="nil"/>
                <w:lang w:val="en-GB"/>
              </w:rPr>
              <w:t>roadband subscriptions</w:t>
            </w:r>
            <w:r w:rsidR="00F70BD3">
              <w:rPr>
                <w:rFonts w:eastAsia="Calibri"/>
                <w:u w:color="000000"/>
                <w:bdr w:val="nil"/>
                <w:lang w:val="en-GB"/>
              </w:rPr>
              <w:t xml:space="preserve"> were</w:t>
            </w:r>
            <w:r w:rsidR="002723E8" w:rsidRPr="000269CF">
              <w:rPr>
                <w:rFonts w:eastAsia="Calibri"/>
                <w:u w:color="000000"/>
                <w:bdr w:val="nil"/>
                <w:lang w:val="en-GB"/>
              </w:rPr>
              <w:t xml:space="preserve"> increasing. Due to excessive debt from acquisitions, </w:t>
            </w:r>
            <w:r w:rsidR="00F70BD3">
              <w:rPr>
                <w:rFonts w:eastAsia="Calibri"/>
                <w:u w:color="000000"/>
                <w:bdr w:val="nil"/>
                <w:lang w:val="en-GB"/>
              </w:rPr>
              <w:t xml:space="preserve">however, it </w:t>
            </w:r>
            <w:r w:rsidR="002723E8" w:rsidRPr="000269CF">
              <w:rPr>
                <w:rFonts w:eastAsia="Calibri"/>
                <w:u w:color="000000"/>
                <w:bdr w:val="nil"/>
                <w:lang w:val="en-GB"/>
              </w:rPr>
              <w:t xml:space="preserve">filed for bankruptcy in 2009 and </w:t>
            </w:r>
            <w:r w:rsidR="00F70BD3">
              <w:rPr>
                <w:rFonts w:eastAsia="Calibri"/>
                <w:u w:color="000000"/>
                <w:bdr w:val="nil"/>
                <w:lang w:val="en-GB"/>
              </w:rPr>
              <w:t xml:space="preserve">then </w:t>
            </w:r>
            <w:r w:rsidR="002723E8" w:rsidRPr="000269CF">
              <w:rPr>
                <w:rFonts w:eastAsia="Calibri"/>
                <w:u w:color="000000"/>
                <w:bdr w:val="nil"/>
                <w:lang w:val="en-GB"/>
              </w:rPr>
              <w:t>re-emerged the same year.</w:t>
            </w:r>
          </w:p>
          <w:p w14:paraId="193A6EB3" w14:textId="56078A9A" w:rsidR="002723E8" w:rsidRPr="000269CF" w:rsidRDefault="00F70BD3" w:rsidP="002723E8">
            <w:pPr>
              <w:pStyle w:val="ExhibitText"/>
              <w:jc w:val="left"/>
              <w:rPr>
                <w:rFonts w:eastAsia="Arial Unicode MS"/>
                <w:u w:color="000000"/>
                <w:bdr w:val="nil"/>
                <w:lang w:val="en-GB"/>
              </w:rPr>
            </w:pPr>
            <w:r>
              <w:rPr>
                <w:rFonts w:eastAsia="Calibri"/>
                <w:u w:color="000000"/>
                <w:bdr w:val="nil"/>
                <w:lang w:val="en-GB"/>
              </w:rPr>
              <w:t>It was also n</w:t>
            </w:r>
            <w:r w:rsidR="002723E8" w:rsidRPr="000269CF">
              <w:rPr>
                <w:rFonts w:eastAsia="Calibri"/>
                <w:u w:color="000000"/>
                <w:bdr w:val="nil"/>
                <w:lang w:val="en-GB"/>
              </w:rPr>
              <w:t>ot diversified.</w:t>
            </w:r>
          </w:p>
        </w:tc>
      </w:tr>
    </w:tbl>
    <w:p w14:paraId="5D8EF6B5" w14:textId="77777777" w:rsidR="001A23EF" w:rsidRPr="00C16E0B" w:rsidRDefault="001A23EF" w:rsidP="002723E8">
      <w:pPr>
        <w:pStyle w:val="BodyTextMain"/>
        <w:rPr>
          <w:rFonts w:eastAsia="Calibri"/>
          <w:sz w:val="14"/>
          <w:szCs w:val="14"/>
          <w:u w:color="000000"/>
          <w:bdr w:val="nil"/>
          <w:lang w:val="en-GB"/>
        </w:rPr>
      </w:pPr>
    </w:p>
    <w:p w14:paraId="509B5B57" w14:textId="375564BA" w:rsidR="001A23EF" w:rsidRPr="000269CF" w:rsidRDefault="001A23EF" w:rsidP="002723E8">
      <w:pPr>
        <w:pStyle w:val="Footnote"/>
        <w:rPr>
          <w:rFonts w:eastAsia="Arial Unicode MS"/>
          <w:u w:color="000000"/>
          <w:bdr w:val="nil"/>
          <w:lang w:val="en-GB"/>
        </w:rPr>
      </w:pPr>
      <w:r w:rsidRPr="000269CF">
        <w:rPr>
          <w:rFonts w:eastAsia="Arial Unicode MS"/>
          <w:u w:color="000000"/>
          <w:bdr w:val="nil"/>
          <w:lang w:val="en-GB"/>
        </w:rPr>
        <w:t>Source: Nick Petrillo</w:t>
      </w:r>
      <w:r w:rsidR="000F18E0">
        <w:rPr>
          <w:rFonts w:eastAsia="Arial Unicode MS"/>
          <w:u w:color="000000"/>
          <w:bdr w:val="nil"/>
          <w:lang w:val="en-GB"/>
        </w:rPr>
        <w:t>,</w:t>
      </w:r>
      <w:r w:rsidRPr="000269CF">
        <w:rPr>
          <w:rFonts w:eastAsia="Arial Unicode MS"/>
          <w:u w:color="000000"/>
          <w:bdr w:val="nil"/>
          <w:lang w:val="en-GB"/>
        </w:rPr>
        <w:t xml:space="preserve"> </w:t>
      </w:r>
      <w:r w:rsidRPr="000269CF">
        <w:rPr>
          <w:rFonts w:eastAsia="Arial Unicode MS"/>
          <w:i/>
          <w:iCs/>
          <w:u w:color="000000"/>
          <w:bdr w:val="nil"/>
          <w:lang w:val="en-GB"/>
        </w:rPr>
        <w:t>Cable Providers in the US</w:t>
      </w:r>
      <w:r w:rsidR="000F18E0">
        <w:rPr>
          <w:rFonts w:eastAsia="Arial Unicode MS"/>
          <w:i/>
          <w:iCs/>
          <w:u w:color="000000"/>
          <w:bdr w:val="nil"/>
          <w:lang w:val="en-GB"/>
        </w:rPr>
        <w:t>,</w:t>
      </w:r>
      <w:r w:rsidRPr="000269CF">
        <w:rPr>
          <w:rFonts w:eastAsia="Arial Unicode MS"/>
          <w:u w:color="000000"/>
          <w:bdr w:val="nil"/>
          <w:lang w:val="en-GB"/>
        </w:rPr>
        <w:t xml:space="preserve"> IBISWorld Industry Reports 2016</w:t>
      </w:r>
      <w:r w:rsidR="000F18E0">
        <w:rPr>
          <w:rFonts w:eastAsia="Arial Unicode MS"/>
          <w:u w:color="000000"/>
          <w:bdr w:val="nil"/>
          <w:lang w:val="en-GB"/>
        </w:rPr>
        <w:t xml:space="preserve">, </w:t>
      </w:r>
      <w:r w:rsidR="000F18E0" w:rsidRPr="00E9312D">
        <w:rPr>
          <w:rFonts w:eastAsia="Times"/>
          <w:u w:color="000000"/>
          <w:bdr w:val="nil"/>
          <w:lang w:val="en-GB"/>
        </w:rPr>
        <w:t xml:space="preserve">accessed </w:t>
      </w:r>
      <w:r w:rsidR="000F18E0">
        <w:rPr>
          <w:rFonts w:eastAsia="Times"/>
          <w:u w:color="000000"/>
          <w:bdr w:val="nil"/>
          <w:lang w:val="en-GB"/>
        </w:rPr>
        <w:t xml:space="preserve">October </w:t>
      </w:r>
      <w:r w:rsidR="000F18E0" w:rsidRPr="00E9312D">
        <w:rPr>
          <w:rFonts w:eastAsia="Times"/>
          <w:u w:color="000000"/>
          <w:bdr w:val="nil"/>
          <w:lang w:val="en-GB"/>
        </w:rPr>
        <w:t>3</w:t>
      </w:r>
      <w:r w:rsidR="000F18E0">
        <w:rPr>
          <w:rFonts w:eastAsia="Times"/>
          <w:u w:color="000000"/>
          <w:bdr w:val="nil"/>
          <w:lang w:val="en-GB"/>
        </w:rPr>
        <w:t xml:space="preserve">, </w:t>
      </w:r>
      <w:r w:rsidR="000F18E0" w:rsidRPr="00E9312D">
        <w:rPr>
          <w:rFonts w:eastAsia="Times"/>
          <w:u w:color="000000"/>
          <w:bdr w:val="nil"/>
          <w:lang w:val="en-GB"/>
        </w:rPr>
        <w:t>2017</w:t>
      </w:r>
      <w:r w:rsidRPr="000269CF">
        <w:rPr>
          <w:rFonts w:eastAsia="Arial Unicode MS"/>
          <w:u w:color="000000"/>
          <w:bdr w:val="nil"/>
          <w:lang w:val="en-GB"/>
        </w:rPr>
        <w:t>.</w:t>
      </w:r>
    </w:p>
    <w:p w14:paraId="730BED6C" w14:textId="002D4F0F" w:rsidR="001A23EF" w:rsidRPr="00F70BD3" w:rsidRDefault="001A23EF" w:rsidP="001A23EF">
      <w:pPr>
        <w:pBdr>
          <w:top w:val="nil"/>
          <w:left w:val="nil"/>
          <w:bottom w:val="nil"/>
          <w:right w:val="nil"/>
          <w:between w:val="nil"/>
          <w:bar w:val="nil"/>
        </w:pBdr>
        <w:rPr>
          <w:rFonts w:eastAsia="Arial Unicode MS"/>
          <w:bdr w:val="nil"/>
          <w:lang w:val="en-GB"/>
        </w:rPr>
      </w:pPr>
    </w:p>
    <w:p w14:paraId="653E90DE" w14:textId="77777777" w:rsidR="006A1D32" w:rsidRPr="00F70BD3" w:rsidRDefault="006A1D32" w:rsidP="001A23EF">
      <w:pPr>
        <w:pBdr>
          <w:top w:val="nil"/>
          <w:left w:val="nil"/>
          <w:bottom w:val="nil"/>
          <w:right w:val="nil"/>
          <w:between w:val="nil"/>
          <w:bar w:val="nil"/>
        </w:pBdr>
        <w:rPr>
          <w:rFonts w:eastAsia="Arial Unicode MS" w:cs="Arial Unicode MS"/>
          <w:color w:val="000000"/>
          <w:u w:color="000000"/>
          <w:bdr w:val="nil"/>
          <w:lang w:val="en-GB"/>
        </w:rPr>
      </w:pPr>
    </w:p>
    <w:p w14:paraId="4C9075B0" w14:textId="2060B5F0" w:rsidR="002723E8" w:rsidRPr="000269CF" w:rsidRDefault="002723E8" w:rsidP="002723E8">
      <w:pPr>
        <w:pStyle w:val="ExhibitHeading"/>
        <w:rPr>
          <w:rFonts w:eastAsia="Arial Unicode MS"/>
          <w:bdr w:val="nil"/>
          <w:lang w:val="en-GB"/>
        </w:rPr>
      </w:pPr>
      <w:r w:rsidRPr="000269CF">
        <w:rPr>
          <w:rFonts w:eastAsia="Arial Unicode MS"/>
          <w:bdr w:val="nil"/>
          <w:lang w:val="en-GB"/>
        </w:rPr>
        <w:t>Exhibit 3: Comcast Corporation Key Financials</w:t>
      </w:r>
    </w:p>
    <w:p w14:paraId="1496BB8C" w14:textId="1DDB5FB5" w:rsidR="001A23EF" w:rsidRPr="000269CF" w:rsidRDefault="002723E8" w:rsidP="002723E8">
      <w:pPr>
        <w:pStyle w:val="ExhibitHeading"/>
        <w:rPr>
          <w:rFonts w:eastAsia="Arial Unicode MS"/>
          <w:bdr w:val="nil"/>
          <w:lang w:val="en-GB"/>
        </w:rPr>
      </w:pPr>
      <w:r w:rsidRPr="000269CF">
        <w:rPr>
          <w:rFonts w:eastAsia="Arial Unicode MS"/>
          <w:bdr w:val="nil"/>
          <w:lang w:val="en-GB"/>
        </w:rPr>
        <w:t xml:space="preserve">(in </w:t>
      </w:r>
      <w:r w:rsidR="00D240FF">
        <w:rPr>
          <w:rFonts w:eastAsia="Arial Unicode MS"/>
          <w:bdr w:val="nil"/>
          <w:lang w:val="en-GB"/>
        </w:rPr>
        <w:t xml:space="preserve">US$ </w:t>
      </w:r>
      <w:r w:rsidRPr="000269CF">
        <w:rPr>
          <w:rFonts w:eastAsia="Arial Unicode MS"/>
          <w:bdr w:val="nil"/>
          <w:lang w:val="en-GB"/>
        </w:rPr>
        <w:t>million, excluding per share data and financial ratios)</w:t>
      </w:r>
    </w:p>
    <w:p w14:paraId="69C0E33B" w14:textId="77777777" w:rsidR="008B0E13" w:rsidRPr="000269CF" w:rsidRDefault="008B0E13" w:rsidP="002723E8">
      <w:pPr>
        <w:pStyle w:val="ExhibitHeading"/>
        <w:rPr>
          <w:rFonts w:eastAsia="Arial Unicode MS"/>
          <w:bdr w:val="nil"/>
          <w:lang w:val="en-GB"/>
        </w:rPr>
      </w:pPr>
    </w:p>
    <w:tbl>
      <w:tblPr>
        <w:tblStyle w:val="TableGrid"/>
        <w:tblW w:w="9148" w:type="dxa"/>
        <w:jc w:val="center"/>
        <w:tblLayout w:type="fixed"/>
        <w:tblLook w:val="04A0" w:firstRow="1" w:lastRow="0" w:firstColumn="1" w:lastColumn="0" w:noHBand="0" w:noVBand="1"/>
      </w:tblPr>
      <w:tblGrid>
        <w:gridCol w:w="3618"/>
        <w:gridCol w:w="1106"/>
        <w:gridCol w:w="1106"/>
        <w:gridCol w:w="1106"/>
        <w:gridCol w:w="1106"/>
        <w:gridCol w:w="1106"/>
      </w:tblGrid>
      <w:tr w:rsidR="002723E8" w:rsidRPr="000269CF" w14:paraId="6BD74D81" w14:textId="77777777" w:rsidTr="00D240FF">
        <w:trPr>
          <w:jc w:val="center"/>
        </w:trPr>
        <w:tc>
          <w:tcPr>
            <w:tcW w:w="3618" w:type="dxa"/>
            <w:noWrap/>
            <w:hideMark/>
          </w:tcPr>
          <w:p w14:paraId="54379294" w14:textId="77777777" w:rsidR="002723E8" w:rsidRPr="000269CF" w:rsidRDefault="002723E8" w:rsidP="008B0E13">
            <w:pPr>
              <w:pStyle w:val="ExhibitText"/>
              <w:rPr>
                <w:rFonts w:eastAsia="Arial Unicode MS"/>
                <w:bdr w:val="nil"/>
                <w:lang w:val="en-GB"/>
              </w:rPr>
            </w:pPr>
            <w:r w:rsidRPr="000269CF">
              <w:rPr>
                <w:rFonts w:eastAsia="Arial Unicode MS"/>
                <w:bdr w:val="nil"/>
                <w:lang w:val="en-GB"/>
              </w:rPr>
              <w:t> </w:t>
            </w:r>
          </w:p>
        </w:tc>
        <w:tc>
          <w:tcPr>
            <w:tcW w:w="1106" w:type="dxa"/>
            <w:noWrap/>
            <w:vAlign w:val="center"/>
            <w:hideMark/>
          </w:tcPr>
          <w:p w14:paraId="72FF0850" w14:textId="0570A575" w:rsidR="002723E8" w:rsidRPr="000269CF" w:rsidRDefault="002723E8" w:rsidP="008B0E13">
            <w:pPr>
              <w:pStyle w:val="ExhibitText"/>
              <w:jc w:val="center"/>
              <w:rPr>
                <w:rFonts w:eastAsia="Arial Unicode MS"/>
                <w:b/>
                <w:bdr w:val="nil"/>
                <w:lang w:val="en-GB"/>
              </w:rPr>
            </w:pPr>
            <w:r w:rsidRPr="000269CF">
              <w:rPr>
                <w:rFonts w:eastAsia="Arial Unicode MS"/>
                <w:b/>
                <w:bdr w:val="nil"/>
                <w:lang w:val="en-GB"/>
              </w:rPr>
              <w:t>2015</w:t>
            </w:r>
          </w:p>
        </w:tc>
        <w:tc>
          <w:tcPr>
            <w:tcW w:w="1106" w:type="dxa"/>
            <w:noWrap/>
            <w:vAlign w:val="center"/>
            <w:hideMark/>
          </w:tcPr>
          <w:p w14:paraId="3CEEC904" w14:textId="4D882AE2" w:rsidR="002723E8" w:rsidRPr="000269CF" w:rsidRDefault="002723E8" w:rsidP="008B0E13">
            <w:pPr>
              <w:pStyle w:val="ExhibitText"/>
              <w:jc w:val="center"/>
              <w:rPr>
                <w:rFonts w:eastAsia="Arial Unicode MS"/>
                <w:b/>
                <w:bdr w:val="nil"/>
                <w:lang w:val="en-GB"/>
              </w:rPr>
            </w:pPr>
            <w:r w:rsidRPr="000269CF">
              <w:rPr>
                <w:rFonts w:eastAsia="Arial Unicode MS"/>
                <w:b/>
                <w:bdr w:val="nil"/>
                <w:lang w:val="en-GB"/>
              </w:rPr>
              <w:t>2014</w:t>
            </w:r>
          </w:p>
        </w:tc>
        <w:tc>
          <w:tcPr>
            <w:tcW w:w="1106" w:type="dxa"/>
            <w:noWrap/>
            <w:vAlign w:val="center"/>
            <w:hideMark/>
          </w:tcPr>
          <w:p w14:paraId="2FA28448" w14:textId="7BE1EE79" w:rsidR="002723E8" w:rsidRPr="000269CF" w:rsidRDefault="002723E8" w:rsidP="008B0E13">
            <w:pPr>
              <w:pStyle w:val="ExhibitText"/>
              <w:jc w:val="center"/>
              <w:rPr>
                <w:rFonts w:eastAsia="Arial Unicode MS"/>
                <w:b/>
                <w:bdr w:val="nil"/>
                <w:lang w:val="en-GB"/>
              </w:rPr>
            </w:pPr>
            <w:r w:rsidRPr="000269CF">
              <w:rPr>
                <w:rFonts w:eastAsia="Arial Unicode MS"/>
                <w:b/>
                <w:bdr w:val="nil"/>
                <w:lang w:val="en-GB"/>
              </w:rPr>
              <w:t>2013</w:t>
            </w:r>
          </w:p>
        </w:tc>
        <w:tc>
          <w:tcPr>
            <w:tcW w:w="1106" w:type="dxa"/>
            <w:noWrap/>
            <w:vAlign w:val="center"/>
            <w:hideMark/>
          </w:tcPr>
          <w:p w14:paraId="08B9923B" w14:textId="25869803" w:rsidR="002723E8" w:rsidRPr="000269CF" w:rsidRDefault="002723E8" w:rsidP="008B0E13">
            <w:pPr>
              <w:pStyle w:val="ExhibitText"/>
              <w:jc w:val="center"/>
              <w:rPr>
                <w:rFonts w:eastAsia="Arial Unicode MS"/>
                <w:b/>
                <w:bdr w:val="nil"/>
                <w:lang w:val="en-GB"/>
              </w:rPr>
            </w:pPr>
            <w:r w:rsidRPr="000269CF">
              <w:rPr>
                <w:rFonts w:eastAsia="Arial Unicode MS"/>
                <w:b/>
                <w:bdr w:val="nil"/>
                <w:lang w:val="en-GB"/>
              </w:rPr>
              <w:t>2012</w:t>
            </w:r>
          </w:p>
        </w:tc>
        <w:tc>
          <w:tcPr>
            <w:tcW w:w="1106" w:type="dxa"/>
            <w:noWrap/>
            <w:vAlign w:val="center"/>
            <w:hideMark/>
          </w:tcPr>
          <w:p w14:paraId="522B8D44" w14:textId="37826EE7" w:rsidR="002723E8" w:rsidRPr="000269CF" w:rsidRDefault="002723E8" w:rsidP="008B0E13">
            <w:pPr>
              <w:pStyle w:val="ExhibitText"/>
              <w:jc w:val="center"/>
              <w:rPr>
                <w:rFonts w:eastAsia="Arial Unicode MS"/>
                <w:b/>
                <w:bdr w:val="nil"/>
                <w:lang w:val="en-GB"/>
              </w:rPr>
            </w:pPr>
            <w:r w:rsidRPr="000269CF">
              <w:rPr>
                <w:rFonts w:eastAsia="Arial Unicode MS"/>
                <w:b/>
                <w:bdr w:val="nil"/>
                <w:lang w:val="en-GB"/>
              </w:rPr>
              <w:t>2011</w:t>
            </w:r>
          </w:p>
        </w:tc>
      </w:tr>
      <w:tr w:rsidR="002723E8" w:rsidRPr="000269CF" w14:paraId="707BB67C" w14:textId="77777777" w:rsidTr="00D240FF">
        <w:trPr>
          <w:jc w:val="center"/>
        </w:trPr>
        <w:tc>
          <w:tcPr>
            <w:tcW w:w="3618" w:type="dxa"/>
            <w:noWrap/>
            <w:hideMark/>
          </w:tcPr>
          <w:p w14:paraId="3DC54BF8" w14:textId="6785D25E"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 xml:space="preserve">Cash and </w:t>
            </w:r>
            <w:r w:rsidR="007D4AA2">
              <w:rPr>
                <w:rFonts w:eastAsia="Arial Unicode MS"/>
                <w:bdr w:val="nil"/>
                <w:lang w:val="en-GB"/>
              </w:rPr>
              <w:t>s</w:t>
            </w:r>
            <w:r w:rsidRPr="000269CF">
              <w:rPr>
                <w:rFonts w:eastAsia="Arial Unicode MS"/>
                <w:bdr w:val="nil"/>
                <w:lang w:val="en-GB"/>
              </w:rPr>
              <w:t>hort-</w:t>
            </w:r>
            <w:r w:rsidR="007D4AA2">
              <w:rPr>
                <w:rFonts w:eastAsia="Arial Unicode MS"/>
                <w:bdr w:val="nil"/>
                <w:lang w:val="en-GB"/>
              </w:rPr>
              <w:t>t</w:t>
            </w:r>
            <w:r w:rsidRPr="000269CF">
              <w:rPr>
                <w:rFonts w:eastAsia="Arial Unicode MS"/>
                <w:bdr w:val="nil"/>
                <w:lang w:val="en-GB"/>
              </w:rPr>
              <w:t xml:space="preserve">erm </w:t>
            </w:r>
            <w:r w:rsidR="007D4AA2">
              <w:rPr>
                <w:rFonts w:eastAsia="Arial Unicode MS"/>
                <w:bdr w:val="nil"/>
                <w:lang w:val="en-GB"/>
              </w:rPr>
              <w:t>i</w:t>
            </w:r>
            <w:r w:rsidRPr="000269CF">
              <w:rPr>
                <w:rFonts w:eastAsia="Arial Unicode MS"/>
                <w:bdr w:val="nil"/>
                <w:lang w:val="en-GB"/>
              </w:rPr>
              <w:t>nvestments</w:t>
            </w:r>
          </w:p>
        </w:tc>
        <w:tc>
          <w:tcPr>
            <w:tcW w:w="1106" w:type="dxa"/>
            <w:noWrap/>
            <w:vAlign w:val="center"/>
            <w:hideMark/>
          </w:tcPr>
          <w:p w14:paraId="5500378B"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2,401 </w:t>
            </w:r>
          </w:p>
        </w:tc>
        <w:tc>
          <w:tcPr>
            <w:tcW w:w="1106" w:type="dxa"/>
            <w:noWrap/>
            <w:vAlign w:val="center"/>
            <w:hideMark/>
          </w:tcPr>
          <w:p w14:paraId="045FB028"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4,512 </w:t>
            </w:r>
          </w:p>
        </w:tc>
        <w:tc>
          <w:tcPr>
            <w:tcW w:w="1106" w:type="dxa"/>
            <w:noWrap/>
            <w:vAlign w:val="center"/>
            <w:hideMark/>
          </w:tcPr>
          <w:p w14:paraId="65F5AE25"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5,291 </w:t>
            </w:r>
          </w:p>
        </w:tc>
        <w:tc>
          <w:tcPr>
            <w:tcW w:w="1106" w:type="dxa"/>
            <w:noWrap/>
            <w:vAlign w:val="center"/>
            <w:hideMark/>
          </w:tcPr>
          <w:p w14:paraId="1D26A373"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12,415 </w:t>
            </w:r>
          </w:p>
        </w:tc>
        <w:tc>
          <w:tcPr>
            <w:tcW w:w="1106" w:type="dxa"/>
            <w:noWrap/>
            <w:vAlign w:val="center"/>
            <w:hideMark/>
          </w:tcPr>
          <w:p w14:paraId="6E593CBB"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1,620 </w:t>
            </w:r>
          </w:p>
        </w:tc>
      </w:tr>
      <w:tr w:rsidR="002723E8" w:rsidRPr="000269CF" w14:paraId="63AF530A" w14:textId="77777777" w:rsidTr="00D240FF">
        <w:trPr>
          <w:jc w:val="center"/>
        </w:trPr>
        <w:tc>
          <w:tcPr>
            <w:tcW w:w="3618" w:type="dxa"/>
            <w:noWrap/>
            <w:hideMark/>
          </w:tcPr>
          <w:p w14:paraId="14D47F85" w14:textId="13E43C2A" w:rsidR="002723E8" w:rsidRPr="000269CF" w:rsidRDefault="002723E8" w:rsidP="008B0E13">
            <w:pPr>
              <w:pStyle w:val="ExhibitText"/>
              <w:jc w:val="left"/>
              <w:rPr>
                <w:rFonts w:eastAsia="Arial Unicode MS"/>
                <w:b/>
                <w:bdr w:val="nil"/>
                <w:lang w:val="en-GB"/>
              </w:rPr>
            </w:pPr>
            <w:r w:rsidRPr="000269CF">
              <w:rPr>
                <w:rFonts w:eastAsia="Arial Unicode MS"/>
                <w:b/>
                <w:bdr w:val="nil"/>
                <w:lang w:val="en-GB"/>
              </w:rPr>
              <w:t>Assets (</w:t>
            </w:r>
            <w:r w:rsidR="007D4AA2">
              <w:rPr>
                <w:rFonts w:eastAsia="Arial Unicode MS"/>
                <w:b/>
                <w:bdr w:val="nil"/>
                <w:lang w:val="en-GB"/>
              </w:rPr>
              <w:t>t</w:t>
            </w:r>
            <w:r w:rsidRPr="000269CF">
              <w:rPr>
                <w:rFonts w:eastAsia="Arial Unicode MS"/>
                <w:b/>
                <w:bdr w:val="nil"/>
                <w:lang w:val="en-GB"/>
              </w:rPr>
              <w:t>otal)</w:t>
            </w:r>
          </w:p>
        </w:tc>
        <w:tc>
          <w:tcPr>
            <w:tcW w:w="1106" w:type="dxa"/>
            <w:noWrap/>
            <w:vAlign w:val="center"/>
            <w:hideMark/>
          </w:tcPr>
          <w:p w14:paraId="372CC71E" w14:textId="5958E608"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166,574 </w:t>
            </w:r>
          </w:p>
        </w:tc>
        <w:tc>
          <w:tcPr>
            <w:tcW w:w="1106" w:type="dxa"/>
            <w:noWrap/>
            <w:vAlign w:val="center"/>
            <w:hideMark/>
          </w:tcPr>
          <w:p w14:paraId="4BDF8D69" w14:textId="427D9C78"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159,339 </w:t>
            </w:r>
          </w:p>
        </w:tc>
        <w:tc>
          <w:tcPr>
            <w:tcW w:w="1106" w:type="dxa"/>
            <w:noWrap/>
            <w:vAlign w:val="center"/>
            <w:hideMark/>
          </w:tcPr>
          <w:p w14:paraId="5A40C1DF" w14:textId="67E88B8C"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158,813 </w:t>
            </w:r>
          </w:p>
        </w:tc>
        <w:tc>
          <w:tcPr>
            <w:tcW w:w="1106" w:type="dxa"/>
            <w:noWrap/>
            <w:vAlign w:val="center"/>
            <w:hideMark/>
          </w:tcPr>
          <w:p w14:paraId="015A61DB" w14:textId="5F3E5F89"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164,971 </w:t>
            </w:r>
          </w:p>
        </w:tc>
        <w:tc>
          <w:tcPr>
            <w:tcW w:w="1106" w:type="dxa"/>
            <w:noWrap/>
            <w:vAlign w:val="center"/>
            <w:hideMark/>
          </w:tcPr>
          <w:p w14:paraId="0368B9DF" w14:textId="76E3F743"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157,818 </w:t>
            </w:r>
          </w:p>
        </w:tc>
      </w:tr>
      <w:tr w:rsidR="002723E8" w:rsidRPr="000269CF" w14:paraId="73FF5C76" w14:textId="77777777" w:rsidTr="00D240FF">
        <w:trPr>
          <w:jc w:val="center"/>
        </w:trPr>
        <w:tc>
          <w:tcPr>
            <w:tcW w:w="3618" w:type="dxa"/>
            <w:noWrap/>
            <w:hideMark/>
          </w:tcPr>
          <w:p w14:paraId="3275F5DB" w14:textId="2592DC59"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Long-</w:t>
            </w:r>
            <w:r w:rsidR="007D4AA2">
              <w:rPr>
                <w:rFonts w:eastAsia="Arial Unicode MS"/>
                <w:bdr w:val="nil"/>
                <w:lang w:val="en-GB"/>
              </w:rPr>
              <w:t>t</w:t>
            </w:r>
            <w:r w:rsidRPr="000269CF">
              <w:rPr>
                <w:rFonts w:eastAsia="Arial Unicode MS"/>
                <w:bdr w:val="nil"/>
                <w:lang w:val="en-GB"/>
              </w:rPr>
              <w:t xml:space="preserve">erm </w:t>
            </w:r>
            <w:r w:rsidR="007D4AA2">
              <w:rPr>
                <w:rFonts w:eastAsia="Arial Unicode MS"/>
                <w:bdr w:val="nil"/>
                <w:lang w:val="en-GB"/>
              </w:rPr>
              <w:t>d</w:t>
            </w:r>
            <w:r w:rsidRPr="000269CF">
              <w:rPr>
                <w:rFonts w:eastAsia="Arial Unicode MS"/>
                <w:bdr w:val="nil"/>
                <w:lang w:val="en-GB"/>
              </w:rPr>
              <w:t>ebt</w:t>
            </w:r>
          </w:p>
        </w:tc>
        <w:tc>
          <w:tcPr>
            <w:tcW w:w="1106" w:type="dxa"/>
            <w:noWrap/>
            <w:vAlign w:val="center"/>
            <w:hideMark/>
          </w:tcPr>
          <w:p w14:paraId="7265A161" w14:textId="37048D55"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52,621 </w:t>
            </w:r>
          </w:p>
        </w:tc>
        <w:tc>
          <w:tcPr>
            <w:tcW w:w="1106" w:type="dxa"/>
            <w:noWrap/>
            <w:vAlign w:val="center"/>
            <w:hideMark/>
          </w:tcPr>
          <w:p w14:paraId="3FED09BD" w14:textId="43949AD4"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48,234 </w:t>
            </w:r>
          </w:p>
        </w:tc>
        <w:tc>
          <w:tcPr>
            <w:tcW w:w="1106" w:type="dxa"/>
            <w:noWrap/>
            <w:vAlign w:val="center"/>
            <w:hideMark/>
          </w:tcPr>
          <w:p w14:paraId="039B691C" w14:textId="250B7502"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47,847 </w:t>
            </w:r>
          </w:p>
        </w:tc>
        <w:tc>
          <w:tcPr>
            <w:tcW w:w="1106" w:type="dxa"/>
            <w:noWrap/>
            <w:vAlign w:val="center"/>
            <w:hideMark/>
          </w:tcPr>
          <w:p w14:paraId="7C1C1BA7" w14:textId="4D6B3635"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40,458 </w:t>
            </w:r>
          </w:p>
        </w:tc>
        <w:tc>
          <w:tcPr>
            <w:tcW w:w="1106" w:type="dxa"/>
            <w:noWrap/>
            <w:vAlign w:val="center"/>
            <w:hideMark/>
          </w:tcPr>
          <w:p w14:paraId="5D5DD69E" w14:textId="2291C625"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39,309 </w:t>
            </w:r>
          </w:p>
        </w:tc>
      </w:tr>
      <w:tr w:rsidR="002723E8" w:rsidRPr="000269CF" w14:paraId="3D005D51" w14:textId="77777777" w:rsidTr="00D240FF">
        <w:trPr>
          <w:jc w:val="center"/>
        </w:trPr>
        <w:tc>
          <w:tcPr>
            <w:tcW w:w="3618" w:type="dxa"/>
            <w:noWrap/>
            <w:hideMark/>
          </w:tcPr>
          <w:p w14:paraId="42272CE0" w14:textId="0E1C1B6D"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 xml:space="preserve">Total </w:t>
            </w:r>
            <w:r w:rsidR="007D4AA2">
              <w:rPr>
                <w:rFonts w:eastAsia="Arial Unicode MS"/>
                <w:bdr w:val="nil"/>
                <w:lang w:val="en-GB"/>
              </w:rPr>
              <w:t>l</w:t>
            </w:r>
            <w:r w:rsidRPr="000269CF">
              <w:rPr>
                <w:rFonts w:eastAsia="Arial Unicode MS"/>
                <w:bdr w:val="nil"/>
                <w:lang w:val="en-GB"/>
              </w:rPr>
              <w:t>iabilities</w:t>
            </w:r>
          </w:p>
        </w:tc>
        <w:tc>
          <w:tcPr>
            <w:tcW w:w="1106" w:type="dxa"/>
            <w:noWrap/>
            <w:vAlign w:val="center"/>
            <w:hideMark/>
          </w:tcPr>
          <w:p w14:paraId="73F15CA5" w14:textId="44AED94F"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112,596 </w:t>
            </w:r>
          </w:p>
        </w:tc>
        <w:tc>
          <w:tcPr>
            <w:tcW w:w="1106" w:type="dxa"/>
            <w:noWrap/>
            <w:vAlign w:val="center"/>
            <w:hideMark/>
          </w:tcPr>
          <w:p w14:paraId="0D7C2CE4" w14:textId="02D386F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106,271 </w:t>
            </w:r>
          </w:p>
        </w:tc>
        <w:tc>
          <w:tcPr>
            <w:tcW w:w="1106" w:type="dxa"/>
            <w:noWrap/>
            <w:vAlign w:val="center"/>
            <w:hideMark/>
          </w:tcPr>
          <w:p w14:paraId="6FD2DF8C" w14:textId="07ED6E5A"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107,755 </w:t>
            </w:r>
          </w:p>
        </w:tc>
        <w:tc>
          <w:tcPr>
            <w:tcW w:w="1106" w:type="dxa"/>
            <w:noWrap/>
            <w:vAlign w:val="center"/>
            <w:hideMark/>
          </w:tcPr>
          <w:p w14:paraId="07D6EAF5" w14:textId="3AAF242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115,175 </w:t>
            </w:r>
          </w:p>
        </w:tc>
        <w:tc>
          <w:tcPr>
            <w:tcW w:w="1106" w:type="dxa"/>
            <w:noWrap/>
            <w:vAlign w:val="center"/>
            <w:hideMark/>
          </w:tcPr>
          <w:p w14:paraId="5B007E76" w14:textId="6C0AB224"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110,163 </w:t>
            </w:r>
          </w:p>
        </w:tc>
      </w:tr>
      <w:tr w:rsidR="002723E8" w:rsidRPr="000269CF" w14:paraId="645506D5" w14:textId="77777777" w:rsidTr="00D240FF">
        <w:trPr>
          <w:jc w:val="center"/>
        </w:trPr>
        <w:tc>
          <w:tcPr>
            <w:tcW w:w="3618" w:type="dxa"/>
            <w:noWrap/>
            <w:hideMark/>
          </w:tcPr>
          <w:p w14:paraId="36DBA2AB" w14:textId="3CC70484" w:rsidR="002723E8" w:rsidRPr="000269CF" w:rsidRDefault="002723E8" w:rsidP="008B0E13">
            <w:pPr>
              <w:pStyle w:val="ExhibitText"/>
              <w:jc w:val="left"/>
              <w:rPr>
                <w:rFonts w:eastAsia="Arial Unicode MS"/>
                <w:b/>
                <w:bdr w:val="nil"/>
                <w:lang w:val="en-GB"/>
              </w:rPr>
            </w:pPr>
            <w:r w:rsidRPr="000269CF">
              <w:rPr>
                <w:rFonts w:eastAsia="Arial Unicode MS"/>
                <w:b/>
                <w:bdr w:val="nil"/>
                <w:lang w:val="en-GB"/>
              </w:rPr>
              <w:t>Stockholder</w:t>
            </w:r>
            <w:r w:rsidR="00F70BD3">
              <w:rPr>
                <w:rFonts w:eastAsia="Arial Unicode MS"/>
                <w:b/>
                <w:bdr w:val="nil"/>
                <w:lang w:val="en-GB"/>
              </w:rPr>
              <w:t>’</w:t>
            </w:r>
            <w:r w:rsidRPr="000269CF">
              <w:rPr>
                <w:rFonts w:eastAsia="Arial Unicode MS"/>
                <w:b/>
                <w:bdr w:val="nil"/>
                <w:lang w:val="en-GB"/>
              </w:rPr>
              <w:t xml:space="preserve">s </w:t>
            </w:r>
            <w:r w:rsidR="007D4AA2">
              <w:rPr>
                <w:rFonts w:eastAsia="Arial Unicode MS"/>
                <w:b/>
                <w:bdr w:val="nil"/>
                <w:lang w:val="en-GB"/>
              </w:rPr>
              <w:t>e</w:t>
            </w:r>
            <w:r w:rsidRPr="000269CF">
              <w:rPr>
                <w:rFonts w:eastAsia="Arial Unicode MS"/>
                <w:b/>
                <w:bdr w:val="nil"/>
                <w:lang w:val="en-GB"/>
              </w:rPr>
              <w:t>quity (</w:t>
            </w:r>
            <w:r w:rsidR="007D4AA2">
              <w:rPr>
                <w:rFonts w:eastAsia="Arial Unicode MS"/>
                <w:b/>
                <w:bdr w:val="nil"/>
                <w:lang w:val="en-GB"/>
              </w:rPr>
              <w:t>t</w:t>
            </w:r>
            <w:r w:rsidRPr="000269CF">
              <w:rPr>
                <w:rFonts w:eastAsia="Arial Unicode MS"/>
                <w:b/>
                <w:bdr w:val="nil"/>
                <w:lang w:val="en-GB"/>
              </w:rPr>
              <w:t>otal)</w:t>
            </w:r>
          </w:p>
        </w:tc>
        <w:tc>
          <w:tcPr>
            <w:tcW w:w="1106" w:type="dxa"/>
            <w:noWrap/>
            <w:vAlign w:val="center"/>
            <w:hideMark/>
          </w:tcPr>
          <w:p w14:paraId="22FC44AD" w14:textId="18491B9E"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53,978 </w:t>
            </w:r>
          </w:p>
        </w:tc>
        <w:tc>
          <w:tcPr>
            <w:tcW w:w="1106" w:type="dxa"/>
            <w:noWrap/>
            <w:vAlign w:val="center"/>
            <w:hideMark/>
          </w:tcPr>
          <w:p w14:paraId="42E3706C" w14:textId="5BC4644F"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53,068 </w:t>
            </w:r>
          </w:p>
        </w:tc>
        <w:tc>
          <w:tcPr>
            <w:tcW w:w="1106" w:type="dxa"/>
            <w:noWrap/>
            <w:vAlign w:val="center"/>
            <w:hideMark/>
          </w:tcPr>
          <w:p w14:paraId="2A5CB554" w14:textId="44FA921E"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51,058 </w:t>
            </w:r>
          </w:p>
        </w:tc>
        <w:tc>
          <w:tcPr>
            <w:tcW w:w="1106" w:type="dxa"/>
            <w:noWrap/>
            <w:vAlign w:val="center"/>
            <w:hideMark/>
          </w:tcPr>
          <w:p w14:paraId="41A5260A" w14:textId="2F4A004F"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49,796 </w:t>
            </w:r>
          </w:p>
        </w:tc>
        <w:tc>
          <w:tcPr>
            <w:tcW w:w="1106" w:type="dxa"/>
            <w:noWrap/>
            <w:vAlign w:val="center"/>
            <w:hideMark/>
          </w:tcPr>
          <w:p w14:paraId="77B13541" w14:textId="7160F2A8"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47,655 </w:t>
            </w:r>
          </w:p>
        </w:tc>
      </w:tr>
      <w:tr w:rsidR="002723E8" w:rsidRPr="000269CF" w14:paraId="691BC427" w14:textId="77777777" w:rsidTr="00D240FF">
        <w:trPr>
          <w:jc w:val="center"/>
        </w:trPr>
        <w:tc>
          <w:tcPr>
            <w:tcW w:w="3618" w:type="dxa"/>
            <w:noWrap/>
            <w:hideMark/>
          </w:tcPr>
          <w:p w14:paraId="2713EE04" w14:textId="77777777"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Revenues</w:t>
            </w:r>
          </w:p>
        </w:tc>
        <w:tc>
          <w:tcPr>
            <w:tcW w:w="1106" w:type="dxa"/>
            <w:noWrap/>
            <w:vAlign w:val="center"/>
            <w:hideMark/>
          </w:tcPr>
          <w:p w14:paraId="429ED729" w14:textId="47B54BF9"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74,510 </w:t>
            </w:r>
          </w:p>
        </w:tc>
        <w:tc>
          <w:tcPr>
            <w:tcW w:w="1106" w:type="dxa"/>
            <w:noWrap/>
            <w:vAlign w:val="center"/>
            <w:hideMark/>
          </w:tcPr>
          <w:p w14:paraId="62B11337" w14:textId="1130658E"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68,775 </w:t>
            </w:r>
          </w:p>
        </w:tc>
        <w:tc>
          <w:tcPr>
            <w:tcW w:w="1106" w:type="dxa"/>
            <w:noWrap/>
            <w:vAlign w:val="center"/>
            <w:hideMark/>
          </w:tcPr>
          <w:p w14:paraId="3E3AFE38" w14:textId="08B4A0C0"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64,657 </w:t>
            </w:r>
          </w:p>
        </w:tc>
        <w:tc>
          <w:tcPr>
            <w:tcW w:w="1106" w:type="dxa"/>
            <w:noWrap/>
            <w:vAlign w:val="center"/>
            <w:hideMark/>
          </w:tcPr>
          <w:p w14:paraId="783790FE" w14:textId="1487A704"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62,570 </w:t>
            </w:r>
          </w:p>
        </w:tc>
        <w:tc>
          <w:tcPr>
            <w:tcW w:w="1106" w:type="dxa"/>
            <w:noWrap/>
            <w:vAlign w:val="center"/>
            <w:hideMark/>
          </w:tcPr>
          <w:p w14:paraId="06C25AA3" w14:textId="331EFFF3"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55,842 </w:t>
            </w:r>
          </w:p>
        </w:tc>
      </w:tr>
      <w:tr w:rsidR="002723E8" w:rsidRPr="000269CF" w14:paraId="47B427B3" w14:textId="77777777" w:rsidTr="00D240FF">
        <w:trPr>
          <w:jc w:val="center"/>
        </w:trPr>
        <w:tc>
          <w:tcPr>
            <w:tcW w:w="3618" w:type="dxa"/>
            <w:noWrap/>
            <w:hideMark/>
          </w:tcPr>
          <w:p w14:paraId="7CEC680E" w14:textId="0FFBBCAE"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 xml:space="preserve">Program, </w:t>
            </w:r>
            <w:r w:rsidR="007D4AA2">
              <w:rPr>
                <w:rFonts w:eastAsia="Arial Unicode MS"/>
                <w:bdr w:val="nil"/>
                <w:lang w:val="en-GB"/>
              </w:rPr>
              <w:t>p</w:t>
            </w:r>
            <w:r w:rsidRPr="000269CF">
              <w:rPr>
                <w:rFonts w:eastAsia="Arial Unicode MS"/>
                <w:bdr w:val="nil"/>
                <w:lang w:val="en-GB"/>
              </w:rPr>
              <w:t>roduction</w:t>
            </w:r>
            <w:r w:rsidR="00F70BD3">
              <w:rPr>
                <w:rFonts w:eastAsia="Arial Unicode MS"/>
                <w:bdr w:val="nil"/>
                <w:lang w:val="en-GB"/>
              </w:rPr>
              <w:t>,</w:t>
            </w:r>
            <w:r w:rsidRPr="000269CF">
              <w:rPr>
                <w:rFonts w:eastAsia="Arial Unicode MS"/>
                <w:bdr w:val="nil"/>
                <w:lang w:val="en-GB"/>
              </w:rPr>
              <w:t xml:space="preserve"> and </w:t>
            </w:r>
            <w:r w:rsidR="007D4AA2">
              <w:rPr>
                <w:rFonts w:eastAsia="Arial Unicode MS"/>
                <w:bdr w:val="nil"/>
                <w:lang w:val="en-GB"/>
              </w:rPr>
              <w:t>r</w:t>
            </w:r>
            <w:r w:rsidRPr="000269CF">
              <w:rPr>
                <w:rFonts w:eastAsia="Arial Unicode MS"/>
                <w:bdr w:val="nil"/>
                <w:lang w:val="en-GB"/>
              </w:rPr>
              <w:t xml:space="preserve">elated </w:t>
            </w:r>
            <w:r w:rsidR="007D4AA2">
              <w:rPr>
                <w:rFonts w:eastAsia="Arial Unicode MS"/>
                <w:bdr w:val="nil"/>
                <w:lang w:val="en-GB"/>
              </w:rPr>
              <w:t>e</w:t>
            </w:r>
            <w:r w:rsidRPr="000269CF">
              <w:rPr>
                <w:rFonts w:eastAsia="Arial Unicode MS"/>
                <w:bdr w:val="nil"/>
                <w:lang w:val="en-GB"/>
              </w:rPr>
              <w:t>xpenses</w:t>
            </w:r>
          </w:p>
        </w:tc>
        <w:tc>
          <w:tcPr>
            <w:tcW w:w="1106" w:type="dxa"/>
            <w:noWrap/>
            <w:vAlign w:val="center"/>
            <w:hideMark/>
          </w:tcPr>
          <w:p w14:paraId="1460D9B9" w14:textId="239C3B55"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22,550 </w:t>
            </w:r>
          </w:p>
        </w:tc>
        <w:tc>
          <w:tcPr>
            <w:tcW w:w="1106" w:type="dxa"/>
            <w:noWrap/>
            <w:vAlign w:val="center"/>
            <w:hideMark/>
          </w:tcPr>
          <w:p w14:paraId="628D52C4" w14:textId="5C577E7C"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20,912 </w:t>
            </w:r>
          </w:p>
        </w:tc>
        <w:tc>
          <w:tcPr>
            <w:tcW w:w="1106" w:type="dxa"/>
            <w:noWrap/>
            <w:vAlign w:val="center"/>
            <w:hideMark/>
          </w:tcPr>
          <w:p w14:paraId="62AD0AC2" w14:textId="698988F1"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19,670 </w:t>
            </w:r>
          </w:p>
        </w:tc>
        <w:tc>
          <w:tcPr>
            <w:tcW w:w="1106" w:type="dxa"/>
            <w:noWrap/>
            <w:vAlign w:val="center"/>
            <w:hideMark/>
          </w:tcPr>
          <w:p w14:paraId="2382A159" w14:textId="0E302F0C"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19,929 </w:t>
            </w:r>
          </w:p>
        </w:tc>
        <w:tc>
          <w:tcPr>
            <w:tcW w:w="1106" w:type="dxa"/>
            <w:noWrap/>
            <w:vAlign w:val="center"/>
            <w:hideMark/>
          </w:tcPr>
          <w:p w14:paraId="6574AA3F" w14:textId="474DC94B"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20,758 </w:t>
            </w:r>
          </w:p>
        </w:tc>
      </w:tr>
      <w:tr w:rsidR="002723E8" w:rsidRPr="000269CF" w14:paraId="2650DC9F" w14:textId="77777777" w:rsidTr="00D240FF">
        <w:trPr>
          <w:jc w:val="center"/>
        </w:trPr>
        <w:tc>
          <w:tcPr>
            <w:tcW w:w="3618" w:type="dxa"/>
            <w:noWrap/>
            <w:hideMark/>
          </w:tcPr>
          <w:p w14:paraId="4362C58D" w14:textId="77777777"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EBITDA</w:t>
            </w:r>
          </w:p>
        </w:tc>
        <w:tc>
          <w:tcPr>
            <w:tcW w:w="1106" w:type="dxa"/>
            <w:noWrap/>
            <w:vAlign w:val="center"/>
            <w:hideMark/>
          </w:tcPr>
          <w:p w14:paraId="3F41943B" w14:textId="3B9CEF04"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24,678 </w:t>
            </w:r>
          </w:p>
        </w:tc>
        <w:tc>
          <w:tcPr>
            <w:tcW w:w="1106" w:type="dxa"/>
            <w:noWrap/>
            <w:vAlign w:val="center"/>
            <w:hideMark/>
          </w:tcPr>
          <w:p w14:paraId="51E06563" w14:textId="0E8A3CB4"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22,923 </w:t>
            </w:r>
          </w:p>
        </w:tc>
        <w:tc>
          <w:tcPr>
            <w:tcW w:w="1106" w:type="dxa"/>
            <w:noWrap/>
            <w:vAlign w:val="center"/>
            <w:hideMark/>
          </w:tcPr>
          <w:p w14:paraId="289E6B85" w14:textId="68478D78"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21,434 </w:t>
            </w:r>
          </w:p>
        </w:tc>
        <w:tc>
          <w:tcPr>
            <w:tcW w:w="1106" w:type="dxa"/>
            <w:noWrap/>
            <w:vAlign w:val="center"/>
            <w:hideMark/>
          </w:tcPr>
          <w:p w14:paraId="608F9E03" w14:textId="1C0B2AC2"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19,977 </w:t>
            </w:r>
          </w:p>
        </w:tc>
        <w:tc>
          <w:tcPr>
            <w:tcW w:w="1106" w:type="dxa"/>
            <w:noWrap/>
            <w:vAlign w:val="center"/>
            <w:hideMark/>
          </w:tcPr>
          <w:p w14:paraId="00ADCAFC" w14:textId="7374191C"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18,357 </w:t>
            </w:r>
          </w:p>
        </w:tc>
      </w:tr>
      <w:tr w:rsidR="002723E8" w:rsidRPr="000269CF" w14:paraId="47DB6FC7" w14:textId="77777777" w:rsidTr="00D240FF">
        <w:trPr>
          <w:jc w:val="center"/>
        </w:trPr>
        <w:tc>
          <w:tcPr>
            <w:tcW w:w="3618" w:type="dxa"/>
            <w:noWrap/>
            <w:hideMark/>
          </w:tcPr>
          <w:p w14:paraId="523646D6" w14:textId="62534FC8"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 xml:space="preserve">EBIT </w:t>
            </w:r>
            <w:r w:rsidR="00F70BD3">
              <w:rPr>
                <w:rFonts w:eastAsia="Arial Unicode MS"/>
                <w:bdr w:val="nil"/>
                <w:lang w:val="en-GB"/>
              </w:rPr>
              <w:t>(</w:t>
            </w:r>
            <w:r w:rsidRPr="000269CF">
              <w:rPr>
                <w:rFonts w:eastAsia="Arial Unicode MS"/>
                <w:bdr w:val="nil"/>
                <w:lang w:val="en-GB"/>
              </w:rPr>
              <w:t xml:space="preserve">or </w:t>
            </w:r>
            <w:r w:rsidR="007D4AA2">
              <w:rPr>
                <w:rFonts w:eastAsia="Arial Unicode MS"/>
                <w:bdr w:val="nil"/>
                <w:lang w:val="en-GB"/>
              </w:rPr>
              <w:t>o</w:t>
            </w:r>
            <w:r w:rsidRPr="000269CF">
              <w:rPr>
                <w:rFonts w:eastAsia="Arial Unicode MS"/>
                <w:bdr w:val="nil"/>
                <w:lang w:val="en-GB"/>
              </w:rPr>
              <w:t xml:space="preserve">perating </w:t>
            </w:r>
            <w:r w:rsidR="007D4AA2">
              <w:rPr>
                <w:rFonts w:eastAsia="Arial Unicode MS"/>
                <w:bdr w:val="nil"/>
                <w:lang w:val="en-GB"/>
              </w:rPr>
              <w:t>i</w:t>
            </w:r>
            <w:r w:rsidRPr="000269CF">
              <w:rPr>
                <w:rFonts w:eastAsia="Arial Unicode MS"/>
                <w:bdr w:val="nil"/>
                <w:lang w:val="en-GB"/>
              </w:rPr>
              <w:t>ncome</w:t>
            </w:r>
            <w:r w:rsidR="00F70BD3">
              <w:rPr>
                <w:rFonts w:eastAsia="Arial Unicode MS"/>
                <w:bdr w:val="nil"/>
                <w:lang w:val="en-GB"/>
              </w:rPr>
              <w:t>)</w:t>
            </w:r>
          </w:p>
        </w:tc>
        <w:tc>
          <w:tcPr>
            <w:tcW w:w="1106" w:type="dxa"/>
            <w:noWrap/>
            <w:vAlign w:val="center"/>
            <w:hideMark/>
          </w:tcPr>
          <w:p w14:paraId="07486E9A" w14:textId="18426B6B"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15,998 </w:t>
            </w:r>
          </w:p>
        </w:tc>
        <w:tc>
          <w:tcPr>
            <w:tcW w:w="1106" w:type="dxa"/>
            <w:noWrap/>
            <w:vAlign w:val="center"/>
            <w:hideMark/>
          </w:tcPr>
          <w:p w14:paraId="00C7C67E" w14:textId="45E90A71"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14,904 </w:t>
            </w:r>
          </w:p>
        </w:tc>
        <w:tc>
          <w:tcPr>
            <w:tcW w:w="1106" w:type="dxa"/>
            <w:noWrap/>
            <w:vAlign w:val="center"/>
            <w:hideMark/>
          </w:tcPr>
          <w:p w14:paraId="0B167A43" w14:textId="2F0AA1AC"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13,563 </w:t>
            </w:r>
          </w:p>
        </w:tc>
        <w:tc>
          <w:tcPr>
            <w:tcW w:w="1106" w:type="dxa"/>
            <w:noWrap/>
            <w:vAlign w:val="center"/>
            <w:hideMark/>
          </w:tcPr>
          <w:p w14:paraId="785D0F70" w14:textId="7DD6A87C"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12,179 </w:t>
            </w:r>
          </w:p>
        </w:tc>
        <w:tc>
          <w:tcPr>
            <w:tcW w:w="1106" w:type="dxa"/>
            <w:noWrap/>
            <w:vAlign w:val="center"/>
            <w:hideMark/>
          </w:tcPr>
          <w:p w14:paraId="252642BF" w14:textId="47F42FB2"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10,721 </w:t>
            </w:r>
          </w:p>
        </w:tc>
      </w:tr>
      <w:tr w:rsidR="002723E8" w:rsidRPr="000269CF" w14:paraId="7CBFE159" w14:textId="77777777" w:rsidTr="00D240FF">
        <w:trPr>
          <w:jc w:val="center"/>
        </w:trPr>
        <w:tc>
          <w:tcPr>
            <w:tcW w:w="3618" w:type="dxa"/>
            <w:noWrap/>
            <w:hideMark/>
          </w:tcPr>
          <w:p w14:paraId="0ED2D072" w14:textId="7EE03967" w:rsidR="002723E8" w:rsidRPr="000269CF" w:rsidRDefault="002723E8" w:rsidP="008B0E13">
            <w:pPr>
              <w:pStyle w:val="ExhibitText"/>
              <w:jc w:val="left"/>
              <w:rPr>
                <w:rFonts w:eastAsia="Arial Unicode MS"/>
                <w:b/>
                <w:bdr w:val="nil"/>
                <w:lang w:val="en-GB"/>
              </w:rPr>
            </w:pPr>
            <w:r w:rsidRPr="000269CF">
              <w:rPr>
                <w:rFonts w:eastAsia="Arial Unicode MS"/>
                <w:b/>
                <w:bdr w:val="nil"/>
                <w:lang w:val="en-GB"/>
              </w:rPr>
              <w:t xml:space="preserve">Net </w:t>
            </w:r>
            <w:r w:rsidR="007D4AA2">
              <w:rPr>
                <w:rFonts w:eastAsia="Arial Unicode MS"/>
                <w:b/>
                <w:bdr w:val="nil"/>
                <w:lang w:val="en-GB"/>
              </w:rPr>
              <w:t>i</w:t>
            </w:r>
            <w:r w:rsidRPr="000269CF">
              <w:rPr>
                <w:rFonts w:eastAsia="Arial Unicode MS"/>
                <w:b/>
                <w:bdr w:val="nil"/>
                <w:lang w:val="en-GB"/>
              </w:rPr>
              <w:t>ncome (</w:t>
            </w:r>
            <w:r w:rsidR="007D4AA2">
              <w:rPr>
                <w:rFonts w:eastAsia="Arial Unicode MS"/>
                <w:b/>
                <w:bdr w:val="nil"/>
                <w:lang w:val="en-GB"/>
              </w:rPr>
              <w:t>l</w:t>
            </w:r>
            <w:r w:rsidRPr="000269CF">
              <w:rPr>
                <w:rFonts w:eastAsia="Arial Unicode MS"/>
                <w:b/>
                <w:bdr w:val="nil"/>
                <w:lang w:val="en-GB"/>
              </w:rPr>
              <w:t>oss)</w:t>
            </w:r>
          </w:p>
        </w:tc>
        <w:tc>
          <w:tcPr>
            <w:tcW w:w="1106" w:type="dxa"/>
            <w:noWrap/>
            <w:vAlign w:val="center"/>
            <w:hideMark/>
          </w:tcPr>
          <w:p w14:paraId="48936268" w14:textId="471F9D98"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8,413 </w:t>
            </w:r>
          </w:p>
        </w:tc>
        <w:tc>
          <w:tcPr>
            <w:tcW w:w="1106" w:type="dxa"/>
            <w:noWrap/>
            <w:vAlign w:val="center"/>
            <w:hideMark/>
          </w:tcPr>
          <w:p w14:paraId="59330413" w14:textId="22EDB320"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8,592 </w:t>
            </w:r>
          </w:p>
        </w:tc>
        <w:tc>
          <w:tcPr>
            <w:tcW w:w="1106" w:type="dxa"/>
            <w:noWrap/>
            <w:vAlign w:val="center"/>
            <w:hideMark/>
          </w:tcPr>
          <w:p w14:paraId="15303402" w14:textId="13FDA37A"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7,135 </w:t>
            </w:r>
          </w:p>
        </w:tc>
        <w:tc>
          <w:tcPr>
            <w:tcW w:w="1106" w:type="dxa"/>
            <w:noWrap/>
            <w:vAlign w:val="center"/>
            <w:hideMark/>
          </w:tcPr>
          <w:p w14:paraId="7547E1CD" w14:textId="0475326D"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7,865 </w:t>
            </w:r>
          </w:p>
        </w:tc>
        <w:tc>
          <w:tcPr>
            <w:tcW w:w="1106" w:type="dxa"/>
            <w:noWrap/>
            <w:vAlign w:val="center"/>
            <w:hideMark/>
          </w:tcPr>
          <w:p w14:paraId="61AE74B3" w14:textId="1F1C2E6E" w:rsidR="002723E8" w:rsidRPr="000269CF" w:rsidRDefault="002723E8" w:rsidP="008B0E13">
            <w:pPr>
              <w:pStyle w:val="ExhibitText"/>
              <w:jc w:val="right"/>
              <w:rPr>
                <w:rFonts w:eastAsia="Arial Unicode MS"/>
                <w:b/>
                <w:bdr w:val="nil"/>
                <w:lang w:val="en-GB"/>
              </w:rPr>
            </w:pPr>
            <w:r w:rsidRPr="000269CF">
              <w:rPr>
                <w:rFonts w:eastAsia="Arial Unicode MS"/>
                <w:b/>
                <w:bdr w:val="nil"/>
                <w:lang w:val="en-GB"/>
              </w:rPr>
              <w:t xml:space="preserve">5,157 </w:t>
            </w:r>
          </w:p>
        </w:tc>
      </w:tr>
      <w:tr w:rsidR="002723E8" w:rsidRPr="000269CF" w14:paraId="5CE7ADC8" w14:textId="77777777" w:rsidTr="00D240FF">
        <w:trPr>
          <w:jc w:val="center"/>
        </w:trPr>
        <w:tc>
          <w:tcPr>
            <w:tcW w:w="3618" w:type="dxa"/>
            <w:noWrap/>
            <w:hideMark/>
          </w:tcPr>
          <w:p w14:paraId="20156C06" w14:textId="4B83A348"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 xml:space="preserve">Net </w:t>
            </w:r>
            <w:r w:rsidR="007D4AA2">
              <w:rPr>
                <w:rFonts w:eastAsia="Arial Unicode MS"/>
                <w:bdr w:val="nil"/>
                <w:lang w:val="en-GB"/>
              </w:rPr>
              <w:t>i</w:t>
            </w:r>
            <w:r w:rsidRPr="000269CF">
              <w:rPr>
                <w:rFonts w:eastAsia="Arial Unicode MS"/>
                <w:bdr w:val="nil"/>
                <w:lang w:val="en-GB"/>
              </w:rPr>
              <w:t xml:space="preserve">ncome </w:t>
            </w:r>
            <w:r w:rsidR="00F70BD3">
              <w:rPr>
                <w:rFonts w:eastAsia="Arial Unicode MS"/>
                <w:bdr w:val="nil"/>
                <w:lang w:val="en-GB"/>
              </w:rPr>
              <w:t>to</w:t>
            </w:r>
            <w:r w:rsidRPr="000269CF">
              <w:rPr>
                <w:rFonts w:eastAsia="Arial Unicode MS"/>
                <w:bdr w:val="nil"/>
                <w:lang w:val="en-GB"/>
              </w:rPr>
              <w:t xml:space="preserve"> </w:t>
            </w:r>
            <w:r w:rsidR="007D4AA2">
              <w:rPr>
                <w:rFonts w:eastAsia="Arial Unicode MS"/>
                <w:bdr w:val="nil"/>
                <w:lang w:val="en-GB"/>
              </w:rPr>
              <w:t>r</w:t>
            </w:r>
            <w:r w:rsidRPr="000269CF">
              <w:rPr>
                <w:rFonts w:eastAsia="Arial Unicode MS"/>
                <w:bdr w:val="nil"/>
                <w:lang w:val="en-GB"/>
              </w:rPr>
              <w:t>evenue</w:t>
            </w:r>
            <w:r w:rsidR="00F70BD3">
              <w:rPr>
                <w:rFonts w:eastAsia="Arial Unicode MS"/>
                <w:bdr w:val="nil"/>
                <w:lang w:val="en-GB"/>
              </w:rPr>
              <w:t xml:space="preserve"> </w:t>
            </w:r>
            <w:r w:rsidR="007D4AA2">
              <w:rPr>
                <w:rFonts w:eastAsia="Arial Unicode MS"/>
                <w:bdr w:val="nil"/>
                <w:lang w:val="en-GB"/>
              </w:rPr>
              <w:t>r</w:t>
            </w:r>
            <w:r w:rsidR="00F70BD3">
              <w:rPr>
                <w:rFonts w:eastAsia="Arial Unicode MS"/>
                <w:bdr w:val="nil"/>
                <w:lang w:val="en-GB"/>
              </w:rPr>
              <w:t>atio</w:t>
            </w:r>
          </w:p>
        </w:tc>
        <w:tc>
          <w:tcPr>
            <w:tcW w:w="1106" w:type="dxa"/>
            <w:noWrap/>
            <w:vAlign w:val="center"/>
            <w:hideMark/>
          </w:tcPr>
          <w:p w14:paraId="70DDF340"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11.3%</w:t>
            </w:r>
          </w:p>
        </w:tc>
        <w:tc>
          <w:tcPr>
            <w:tcW w:w="1106" w:type="dxa"/>
            <w:noWrap/>
            <w:vAlign w:val="center"/>
            <w:hideMark/>
          </w:tcPr>
          <w:p w14:paraId="0DC9CC9F"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12.5%</w:t>
            </w:r>
          </w:p>
        </w:tc>
        <w:tc>
          <w:tcPr>
            <w:tcW w:w="1106" w:type="dxa"/>
            <w:noWrap/>
            <w:vAlign w:val="center"/>
            <w:hideMark/>
          </w:tcPr>
          <w:p w14:paraId="11BBB8AC"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11.0%</w:t>
            </w:r>
          </w:p>
        </w:tc>
        <w:tc>
          <w:tcPr>
            <w:tcW w:w="1106" w:type="dxa"/>
            <w:noWrap/>
            <w:vAlign w:val="center"/>
            <w:hideMark/>
          </w:tcPr>
          <w:p w14:paraId="69A847D8"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12.6%</w:t>
            </w:r>
          </w:p>
        </w:tc>
        <w:tc>
          <w:tcPr>
            <w:tcW w:w="1106" w:type="dxa"/>
            <w:noWrap/>
            <w:vAlign w:val="center"/>
            <w:hideMark/>
          </w:tcPr>
          <w:p w14:paraId="77D90D7F" w14:textId="7777777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9.2%</w:t>
            </w:r>
          </w:p>
        </w:tc>
      </w:tr>
      <w:tr w:rsidR="002723E8" w:rsidRPr="000269CF" w14:paraId="78152BAD" w14:textId="77777777" w:rsidTr="00D240FF">
        <w:trPr>
          <w:jc w:val="center"/>
        </w:trPr>
        <w:tc>
          <w:tcPr>
            <w:tcW w:w="3618" w:type="dxa"/>
            <w:noWrap/>
            <w:hideMark/>
          </w:tcPr>
          <w:p w14:paraId="66AD5F75" w14:textId="7CF6E257"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Long</w:t>
            </w:r>
            <w:r w:rsidR="00F70BD3">
              <w:rPr>
                <w:rFonts w:eastAsia="Arial Unicode MS"/>
                <w:bdr w:val="nil"/>
                <w:lang w:val="en-GB"/>
              </w:rPr>
              <w:t>-</w:t>
            </w:r>
            <w:r w:rsidR="007D4AA2">
              <w:rPr>
                <w:rFonts w:eastAsia="Arial Unicode MS"/>
                <w:bdr w:val="nil"/>
                <w:lang w:val="en-GB"/>
              </w:rPr>
              <w:t>t</w:t>
            </w:r>
            <w:r w:rsidRPr="000269CF">
              <w:rPr>
                <w:rFonts w:eastAsia="Arial Unicode MS"/>
                <w:bdr w:val="nil"/>
                <w:lang w:val="en-GB"/>
              </w:rPr>
              <w:t xml:space="preserve">erm </w:t>
            </w:r>
            <w:r w:rsidR="007D4AA2">
              <w:rPr>
                <w:rFonts w:eastAsia="Arial Unicode MS"/>
                <w:bdr w:val="nil"/>
                <w:lang w:val="en-GB"/>
              </w:rPr>
              <w:t>d</w:t>
            </w:r>
            <w:r w:rsidRPr="000269CF">
              <w:rPr>
                <w:rFonts w:eastAsia="Arial Unicode MS"/>
                <w:bdr w:val="nil"/>
                <w:lang w:val="en-GB"/>
              </w:rPr>
              <w:t xml:space="preserve">ebt </w:t>
            </w:r>
            <w:r w:rsidR="00F70BD3">
              <w:rPr>
                <w:rFonts w:eastAsia="Arial Unicode MS"/>
                <w:bdr w:val="nil"/>
                <w:lang w:val="en-GB"/>
              </w:rPr>
              <w:t xml:space="preserve">to </w:t>
            </w:r>
            <w:r w:rsidR="007D4AA2">
              <w:rPr>
                <w:rFonts w:eastAsia="Arial Unicode MS"/>
                <w:bdr w:val="nil"/>
                <w:lang w:val="en-GB"/>
              </w:rPr>
              <w:t>a</w:t>
            </w:r>
            <w:r w:rsidR="00F70BD3">
              <w:rPr>
                <w:rFonts w:eastAsia="Arial Unicode MS"/>
                <w:bdr w:val="nil"/>
                <w:lang w:val="en-GB"/>
              </w:rPr>
              <w:t xml:space="preserve">ssets </w:t>
            </w:r>
            <w:r w:rsidR="007D4AA2">
              <w:rPr>
                <w:rFonts w:eastAsia="Arial Unicode MS"/>
                <w:bdr w:val="nil"/>
                <w:lang w:val="en-GB"/>
              </w:rPr>
              <w:t>r</w:t>
            </w:r>
            <w:r w:rsidRPr="000269CF">
              <w:rPr>
                <w:rFonts w:eastAsia="Arial Unicode MS"/>
                <w:bdr w:val="nil"/>
                <w:lang w:val="en-GB"/>
              </w:rPr>
              <w:t>atio</w:t>
            </w:r>
          </w:p>
        </w:tc>
        <w:tc>
          <w:tcPr>
            <w:tcW w:w="1106" w:type="dxa"/>
            <w:noWrap/>
            <w:vAlign w:val="center"/>
            <w:hideMark/>
          </w:tcPr>
          <w:p w14:paraId="7B5034D2" w14:textId="000ECEF4"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32</w:t>
            </w:r>
            <w:r w:rsidR="007D4AA2">
              <w:rPr>
                <w:rFonts w:eastAsia="Arial Unicode MS"/>
                <w:bdr w:val="nil"/>
                <w:lang w:val="en-GB"/>
              </w:rPr>
              <w:t>.0</w:t>
            </w:r>
            <w:r w:rsidRPr="000269CF">
              <w:rPr>
                <w:rFonts w:eastAsia="Arial Unicode MS"/>
                <w:bdr w:val="nil"/>
                <w:lang w:val="en-GB"/>
              </w:rPr>
              <w:t>%</w:t>
            </w:r>
          </w:p>
        </w:tc>
        <w:tc>
          <w:tcPr>
            <w:tcW w:w="1106" w:type="dxa"/>
            <w:noWrap/>
            <w:vAlign w:val="center"/>
            <w:hideMark/>
          </w:tcPr>
          <w:p w14:paraId="66633750" w14:textId="53261ACA"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30</w:t>
            </w:r>
            <w:r w:rsidR="007D4AA2">
              <w:rPr>
                <w:rFonts w:eastAsia="Arial Unicode MS"/>
                <w:bdr w:val="nil"/>
                <w:lang w:val="en-GB"/>
              </w:rPr>
              <w:t>.0</w:t>
            </w:r>
            <w:r w:rsidRPr="000269CF">
              <w:rPr>
                <w:rFonts w:eastAsia="Arial Unicode MS"/>
                <w:bdr w:val="nil"/>
                <w:lang w:val="en-GB"/>
              </w:rPr>
              <w:t>%</w:t>
            </w:r>
          </w:p>
        </w:tc>
        <w:tc>
          <w:tcPr>
            <w:tcW w:w="1106" w:type="dxa"/>
            <w:noWrap/>
            <w:vAlign w:val="center"/>
            <w:hideMark/>
          </w:tcPr>
          <w:p w14:paraId="54DB3EA4" w14:textId="77DEA168"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30</w:t>
            </w:r>
            <w:r w:rsidR="007D4AA2">
              <w:rPr>
                <w:rFonts w:eastAsia="Arial Unicode MS"/>
                <w:bdr w:val="nil"/>
                <w:lang w:val="en-GB"/>
              </w:rPr>
              <w:t>.0</w:t>
            </w:r>
            <w:r w:rsidRPr="000269CF">
              <w:rPr>
                <w:rFonts w:eastAsia="Arial Unicode MS"/>
                <w:bdr w:val="nil"/>
                <w:lang w:val="en-GB"/>
              </w:rPr>
              <w:t>%</w:t>
            </w:r>
          </w:p>
        </w:tc>
        <w:tc>
          <w:tcPr>
            <w:tcW w:w="1106" w:type="dxa"/>
            <w:noWrap/>
            <w:vAlign w:val="center"/>
            <w:hideMark/>
          </w:tcPr>
          <w:p w14:paraId="47DDDE3D" w14:textId="32E2FB15"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25</w:t>
            </w:r>
            <w:r w:rsidR="007D4AA2">
              <w:rPr>
                <w:rFonts w:eastAsia="Arial Unicode MS"/>
                <w:bdr w:val="nil"/>
                <w:lang w:val="en-GB"/>
              </w:rPr>
              <w:t>.0</w:t>
            </w:r>
            <w:r w:rsidRPr="000269CF">
              <w:rPr>
                <w:rFonts w:eastAsia="Arial Unicode MS"/>
                <w:bdr w:val="nil"/>
                <w:lang w:val="en-GB"/>
              </w:rPr>
              <w:t>%</w:t>
            </w:r>
          </w:p>
        </w:tc>
        <w:tc>
          <w:tcPr>
            <w:tcW w:w="1106" w:type="dxa"/>
            <w:noWrap/>
            <w:vAlign w:val="center"/>
            <w:hideMark/>
          </w:tcPr>
          <w:p w14:paraId="0FE8FBEB" w14:textId="48C72879"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25</w:t>
            </w:r>
            <w:r w:rsidR="007D4AA2">
              <w:rPr>
                <w:rFonts w:eastAsia="Arial Unicode MS"/>
                <w:bdr w:val="nil"/>
                <w:lang w:val="en-GB"/>
              </w:rPr>
              <w:t>.0</w:t>
            </w:r>
            <w:r w:rsidRPr="000269CF">
              <w:rPr>
                <w:rFonts w:eastAsia="Arial Unicode MS"/>
                <w:bdr w:val="nil"/>
                <w:lang w:val="en-GB"/>
              </w:rPr>
              <w:t>%</w:t>
            </w:r>
          </w:p>
        </w:tc>
      </w:tr>
      <w:tr w:rsidR="002723E8" w:rsidRPr="000269CF" w14:paraId="3126EF00" w14:textId="77777777" w:rsidTr="00D240FF">
        <w:trPr>
          <w:jc w:val="center"/>
        </w:trPr>
        <w:tc>
          <w:tcPr>
            <w:tcW w:w="3618" w:type="dxa"/>
            <w:noWrap/>
            <w:hideMark/>
          </w:tcPr>
          <w:p w14:paraId="7FE7B0FD" w14:textId="26560C5B"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 xml:space="preserve">Stock </w:t>
            </w:r>
            <w:r w:rsidR="007D4AA2">
              <w:rPr>
                <w:rFonts w:eastAsia="Arial Unicode MS"/>
                <w:bdr w:val="nil"/>
                <w:lang w:val="en-GB"/>
              </w:rPr>
              <w:t>p</w:t>
            </w:r>
            <w:r w:rsidRPr="000269CF">
              <w:rPr>
                <w:rFonts w:eastAsia="Arial Unicode MS"/>
                <w:bdr w:val="nil"/>
                <w:lang w:val="en-GB"/>
              </w:rPr>
              <w:t xml:space="preserve">rice </w:t>
            </w:r>
            <w:r w:rsidR="00D240FF">
              <w:rPr>
                <w:rFonts w:eastAsia="Arial Unicode MS"/>
                <w:bdr w:val="nil"/>
                <w:lang w:val="en-GB"/>
              </w:rPr>
              <w:t>(</w:t>
            </w:r>
            <w:r w:rsidRPr="000269CF">
              <w:rPr>
                <w:rFonts w:eastAsia="Arial Unicode MS"/>
                <w:bdr w:val="nil"/>
                <w:lang w:val="en-GB"/>
              </w:rPr>
              <w:t xml:space="preserve">as of </w:t>
            </w:r>
            <w:r w:rsidR="00D240FF">
              <w:rPr>
                <w:rFonts w:eastAsia="Arial Unicode MS"/>
                <w:bdr w:val="nil"/>
                <w:lang w:val="en-GB"/>
              </w:rPr>
              <w:t xml:space="preserve">December </w:t>
            </w:r>
            <w:r w:rsidRPr="000269CF">
              <w:rPr>
                <w:rFonts w:eastAsia="Arial Unicode MS"/>
                <w:bdr w:val="nil"/>
                <w:lang w:val="en-GB"/>
              </w:rPr>
              <w:t>31</w:t>
            </w:r>
            <w:r w:rsidR="00D240FF">
              <w:rPr>
                <w:rFonts w:eastAsia="Arial Unicode MS"/>
                <w:bdr w:val="nil"/>
                <w:lang w:val="en-GB"/>
              </w:rPr>
              <w:t>)</w:t>
            </w:r>
          </w:p>
        </w:tc>
        <w:tc>
          <w:tcPr>
            <w:tcW w:w="1106" w:type="dxa"/>
            <w:noWrap/>
            <w:vAlign w:val="center"/>
            <w:hideMark/>
          </w:tcPr>
          <w:p w14:paraId="767DE892" w14:textId="18D251CF"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28.22 </w:t>
            </w:r>
          </w:p>
        </w:tc>
        <w:tc>
          <w:tcPr>
            <w:tcW w:w="1106" w:type="dxa"/>
            <w:noWrap/>
            <w:vAlign w:val="center"/>
            <w:hideMark/>
          </w:tcPr>
          <w:p w14:paraId="5750233F" w14:textId="57992C58"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29.00 </w:t>
            </w:r>
          </w:p>
        </w:tc>
        <w:tc>
          <w:tcPr>
            <w:tcW w:w="1106" w:type="dxa"/>
            <w:noWrap/>
            <w:vAlign w:val="center"/>
            <w:hideMark/>
          </w:tcPr>
          <w:p w14:paraId="38650B9E" w14:textId="2A470403"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25.98 </w:t>
            </w:r>
          </w:p>
        </w:tc>
        <w:tc>
          <w:tcPr>
            <w:tcW w:w="1106" w:type="dxa"/>
            <w:noWrap/>
            <w:vAlign w:val="center"/>
            <w:hideMark/>
          </w:tcPr>
          <w:p w14:paraId="177B7D2D" w14:textId="0171AAFB"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18.27 </w:t>
            </w:r>
          </w:p>
        </w:tc>
        <w:tc>
          <w:tcPr>
            <w:tcW w:w="1106" w:type="dxa"/>
            <w:noWrap/>
            <w:vAlign w:val="center"/>
            <w:hideMark/>
          </w:tcPr>
          <w:p w14:paraId="777DD37A" w14:textId="00B90208"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11.86 </w:t>
            </w:r>
          </w:p>
        </w:tc>
      </w:tr>
      <w:tr w:rsidR="002723E8" w:rsidRPr="000269CF" w14:paraId="0F04D2B3" w14:textId="77777777" w:rsidTr="00D240FF">
        <w:trPr>
          <w:jc w:val="center"/>
        </w:trPr>
        <w:tc>
          <w:tcPr>
            <w:tcW w:w="3618" w:type="dxa"/>
            <w:noWrap/>
            <w:hideMark/>
          </w:tcPr>
          <w:p w14:paraId="7B49A5D9" w14:textId="7645C55D" w:rsidR="002723E8" w:rsidRPr="000269CF" w:rsidRDefault="002723E8" w:rsidP="008B0E13">
            <w:pPr>
              <w:pStyle w:val="ExhibitText"/>
              <w:jc w:val="left"/>
              <w:rPr>
                <w:rFonts w:eastAsia="Arial Unicode MS"/>
                <w:bdr w:val="nil"/>
                <w:lang w:val="en-GB"/>
              </w:rPr>
            </w:pPr>
            <w:r w:rsidRPr="000269CF">
              <w:rPr>
                <w:rFonts w:eastAsia="Arial Unicode MS"/>
                <w:bdr w:val="nil"/>
                <w:lang w:val="en-GB"/>
              </w:rPr>
              <w:t xml:space="preserve">Earnings per </w:t>
            </w:r>
            <w:r w:rsidR="007D4AA2">
              <w:rPr>
                <w:rFonts w:eastAsia="Arial Unicode MS"/>
                <w:bdr w:val="nil"/>
                <w:lang w:val="en-GB"/>
              </w:rPr>
              <w:t>s</w:t>
            </w:r>
            <w:r w:rsidRPr="000269CF">
              <w:rPr>
                <w:rFonts w:eastAsia="Arial Unicode MS"/>
                <w:bdr w:val="nil"/>
                <w:lang w:val="en-GB"/>
              </w:rPr>
              <w:t>hare (</w:t>
            </w:r>
            <w:r w:rsidR="007D4AA2">
              <w:rPr>
                <w:rFonts w:eastAsia="Arial Unicode MS"/>
                <w:bdr w:val="nil"/>
                <w:lang w:val="en-GB"/>
              </w:rPr>
              <w:t>b</w:t>
            </w:r>
            <w:r w:rsidRPr="000269CF">
              <w:rPr>
                <w:rFonts w:eastAsia="Arial Unicode MS"/>
                <w:bdr w:val="nil"/>
                <w:lang w:val="en-GB"/>
              </w:rPr>
              <w:t>asic)</w:t>
            </w:r>
          </w:p>
        </w:tc>
        <w:tc>
          <w:tcPr>
            <w:tcW w:w="1106" w:type="dxa"/>
            <w:noWrap/>
            <w:vAlign w:val="center"/>
            <w:hideMark/>
          </w:tcPr>
          <w:p w14:paraId="536C67CC" w14:textId="748AA1DE"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1.64 </w:t>
            </w:r>
          </w:p>
        </w:tc>
        <w:tc>
          <w:tcPr>
            <w:tcW w:w="1106" w:type="dxa"/>
            <w:noWrap/>
            <w:vAlign w:val="center"/>
            <w:hideMark/>
          </w:tcPr>
          <w:p w14:paraId="00D6E198" w14:textId="0BDB3B9D"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1.62 </w:t>
            </w:r>
          </w:p>
        </w:tc>
        <w:tc>
          <w:tcPr>
            <w:tcW w:w="1106" w:type="dxa"/>
            <w:noWrap/>
            <w:vAlign w:val="center"/>
            <w:hideMark/>
          </w:tcPr>
          <w:p w14:paraId="4E992796" w14:textId="63353911"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1.30 </w:t>
            </w:r>
          </w:p>
        </w:tc>
        <w:tc>
          <w:tcPr>
            <w:tcW w:w="1106" w:type="dxa"/>
            <w:noWrap/>
            <w:vAlign w:val="center"/>
            <w:hideMark/>
          </w:tcPr>
          <w:p w14:paraId="64907524" w14:textId="21F2305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1.16 </w:t>
            </w:r>
          </w:p>
        </w:tc>
        <w:tc>
          <w:tcPr>
            <w:tcW w:w="1106" w:type="dxa"/>
            <w:noWrap/>
            <w:vAlign w:val="center"/>
            <w:hideMark/>
          </w:tcPr>
          <w:p w14:paraId="14EACE9B" w14:textId="548F8BC7" w:rsidR="002723E8" w:rsidRPr="000269CF" w:rsidRDefault="002723E8" w:rsidP="008B0E13">
            <w:pPr>
              <w:pStyle w:val="ExhibitText"/>
              <w:jc w:val="right"/>
              <w:rPr>
                <w:rFonts w:eastAsia="Arial Unicode MS"/>
                <w:bdr w:val="nil"/>
                <w:lang w:val="en-GB"/>
              </w:rPr>
            </w:pPr>
            <w:r w:rsidRPr="000269CF">
              <w:rPr>
                <w:rFonts w:eastAsia="Arial Unicode MS"/>
                <w:bdr w:val="nil"/>
                <w:lang w:val="en-GB"/>
              </w:rPr>
              <w:t xml:space="preserve">0.76 </w:t>
            </w:r>
          </w:p>
        </w:tc>
      </w:tr>
    </w:tbl>
    <w:p w14:paraId="4713CDF5" w14:textId="77777777" w:rsidR="002723E8" w:rsidRPr="00C16E0B" w:rsidRDefault="002723E8" w:rsidP="006A1D32">
      <w:pPr>
        <w:pStyle w:val="BodyTextMain"/>
        <w:rPr>
          <w:rFonts w:eastAsia="Arial Unicode MS"/>
          <w:sz w:val="14"/>
          <w:szCs w:val="14"/>
          <w:bdr w:val="nil"/>
          <w:lang w:val="en-GB"/>
        </w:rPr>
      </w:pPr>
    </w:p>
    <w:p w14:paraId="54524B2E" w14:textId="2976D8D4" w:rsidR="00D240FF" w:rsidRDefault="00D240FF" w:rsidP="006A1D32">
      <w:pPr>
        <w:pStyle w:val="Footnote"/>
        <w:rPr>
          <w:rFonts w:eastAsia="Arial Unicode MS"/>
          <w:bdr w:val="nil"/>
          <w:lang w:val="en-GB"/>
        </w:rPr>
      </w:pPr>
      <w:r>
        <w:rPr>
          <w:rFonts w:eastAsia="Arial Unicode MS"/>
          <w:bdr w:val="nil"/>
          <w:lang w:val="en-GB"/>
        </w:rPr>
        <w:t>Note: EBIT = earnings before interest and taxes; EBITDA = earnings before interest, taxes, depreciation, and amortization</w:t>
      </w:r>
      <w:r w:rsidR="007D4AA2">
        <w:rPr>
          <w:rFonts w:eastAsia="Arial Unicode MS"/>
          <w:bdr w:val="nil"/>
          <w:lang w:val="en-GB"/>
        </w:rPr>
        <w:t>.</w:t>
      </w:r>
    </w:p>
    <w:p w14:paraId="6C780A96" w14:textId="7843140D" w:rsidR="001A23EF" w:rsidRPr="000269CF" w:rsidRDefault="001A23EF" w:rsidP="006A1D32">
      <w:pPr>
        <w:pStyle w:val="Footnote"/>
        <w:rPr>
          <w:rFonts w:eastAsia="Calibri"/>
          <w:color w:val="000000"/>
          <w:sz w:val="22"/>
          <w:szCs w:val="22"/>
          <w:u w:color="000000"/>
          <w:bdr w:val="nil"/>
          <w:lang w:val="en-GB"/>
        </w:rPr>
      </w:pPr>
      <w:r w:rsidRPr="000269CF">
        <w:rPr>
          <w:rFonts w:eastAsia="Arial Unicode MS"/>
          <w:bdr w:val="nil"/>
          <w:lang w:val="en-GB"/>
        </w:rPr>
        <w:t>Source: Comcast Corp.</w:t>
      </w:r>
      <w:r w:rsidR="00F70BD3">
        <w:rPr>
          <w:rFonts w:eastAsia="Arial Unicode MS"/>
          <w:bdr w:val="nil"/>
          <w:lang w:val="en-GB"/>
        </w:rPr>
        <w:t>,</w:t>
      </w:r>
      <w:r w:rsidRPr="000269CF">
        <w:rPr>
          <w:rFonts w:eastAsia="Arial Unicode MS"/>
          <w:bdr w:val="nil"/>
          <w:lang w:val="en-GB"/>
        </w:rPr>
        <w:t xml:space="preserve"> </w:t>
      </w:r>
      <w:r w:rsidR="00D240FF">
        <w:rPr>
          <w:rFonts w:eastAsia="Arial Unicode MS"/>
          <w:bdr w:val="nil"/>
          <w:lang w:val="en-GB"/>
        </w:rPr>
        <w:t>“</w:t>
      </w:r>
      <w:r w:rsidRPr="000269CF">
        <w:rPr>
          <w:rFonts w:eastAsia="Arial Unicode MS"/>
          <w:bdr w:val="nil"/>
          <w:lang w:val="en-GB"/>
        </w:rPr>
        <w:t>Annual Report</w:t>
      </w:r>
      <w:r w:rsidR="00B25874">
        <w:rPr>
          <w:rFonts w:eastAsia="Arial Unicode MS"/>
          <w:bdr w:val="nil"/>
          <w:lang w:val="en-GB"/>
        </w:rPr>
        <w:t xml:space="preserve"> </w:t>
      </w:r>
      <w:r w:rsidR="00B25874" w:rsidRPr="0062224A">
        <w:rPr>
          <w:rFonts w:eastAsia="Arial Unicode MS"/>
          <w:bdr w:val="nil"/>
          <w:lang w:val="en-GB"/>
        </w:rPr>
        <w:t>2016</w:t>
      </w:r>
      <w:r w:rsidRPr="0062224A">
        <w:rPr>
          <w:rFonts w:eastAsia="Arial Unicode MS"/>
          <w:bdr w:val="nil"/>
          <w:lang w:val="en-GB"/>
        </w:rPr>
        <w:t>,</w:t>
      </w:r>
      <w:r w:rsidR="00D240FF" w:rsidRPr="0062224A">
        <w:rPr>
          <w:rFonts w:eastAsia="Arial Unicode MS"/>
          <w:bdr w:val="nil"/>
          <w:lang w:val="en-GB"/>
        </w:rPr>
        <w:t>”</w:t>
      </w:r>
      <w:r w:rsidRPr="000269CF">
        <w:rPr>
          <w:rFonts w:eastAsia="Arial Unicode MS"/>
          <w:bdr w:val="nil"/>
          <w:lang w:val="en-GB"/>
        </w:rPr>
        <w:t xml:space="preserve"> </w:t>
      </w:r>
      <w:proofErr w:type="spellStart"/>
      <w:r w:rsidRPr="000269CF">
        <w:rPr>
          <w:rFonts w:eastAsia="Arial Unicode MS"/>
          <w:bdr w:val="nil"/>
          <w:lang w:val="en-GB"/>
        </w:rPr>
        <w:t>Mergent</w:t>
      </w:r>
      <w:proofErr w:type="spellEnd"/>
      <w:r w:rsidRPr="000269CF">
        <w:rPr>
          <w:rFonts w:eastAsia="Arial Unicode MS"/>
          <w:bdr w:val="nil"/>
          <w:lang w:val="en-GB"/>
        </w:rPr>
        <w:t xml:space="preserve"> Online </w:t>
      </w:r>
      <w:r w:rsidR="00B25874">
        <w:rPr>
          <w:rFonts w:eastAsia="Arial Unicode MS"/>
          <w:bdr w:val="nil"/>
          <w:lang w:val="en-GB"/>
        </w:rPr>
        <w:t>(</w:t>
      </w:r>
      <w:r w:rsidRPr="000269CF">
        <w:rPr>
          <w:rFonts w:eastAsia="Arial Unicode MS"/>
          <w:bdr w:val="nil"/>
          <w:lang w:val="en-GB"/>
        </w:rPr>
        <w:t>Company Analysis</w:t>
      </w:r>
      <w:r w:rsidR="00B25874" w:rsidRPr="0062224A">
        <w:rPr>
          <w:rFonts w:eastAsia="Arial Unicode MS"/>
          <w:bdr w:val="nil"/>
          <w:lang w:val="en-GB"/>
        </w:rPr>
        <w:t>)</w:t>
      </w:r>
      <w:r w:rsidR="00D240FF" w:rsidRPr="0062224A">
        <w:rPr>
          <w:rFonts w:eastAsia="Arial Unicode MS"/>
          <w:bdr w:val="nil"/>
          <w:lang w:val="en-GB"/>
        </w:rPr>
        <w:t>,</w:t>
      </w:r>
      <w:r w:rsidRPr="0062224A">
        <w:rPr>
          <w:rFonts w:eastAsia="Arial Unicode MS"/>
          <w:bdr w:val="nil"/>
          <w:lang w:val="en-GB"/>
        </w:rPr>
        <w:t xml:space="preserve"> </w:t>
      </w:r>
      <w:r w:rsidR="00B25874" w:rsidRPr="0062224A">
        <w:rPr>
          <w:rFonts w:eastAsia="Arial Unicode MS"/>
          <w:bdr w:val="nil"/>
          <w:lang w:val="en-GB"/>
        </w:rPr>
        <w:t xml:space="preserve">FTSE Russell, </w:t>
      </w:r>
      <w:r w:rsidRPr="0062224A">
        <w:rPr>
          <w:rFonts w:eastAsia="Arial Unicode MS"/>
          <w:bdr w:val="nil"/>
          <w:lang w:val="en-GB"/>
        </w:rPr>
        <w:t xml:space="preserve">January 2017, accessed </w:t>
      </w:r>
      <w:r w:rsidR="002723E8" w:rsidRPr="0062224A">
        <w:rPr>
          <w:rFonts w:eastAsia="Arial Unicode MS"/>
          <w:bdr w:val="nil"/>
          <w:lang w:val="en-GB"/>
        </w:rPr>
        <w:t xml:space="preserve">March 10, </w:t>
      </w:r>
      <w:r w:rsidRPr="0062224A">
        <w:rPr>
          <w:rFonts w:eastAsia="Arial Unicode MS"/>
          <w:bdr w:val="nil"/>
          <w:lang w:val="en-GB"/>
        </w:rPr>
        <w:t>2017</w:t>
      </w:r>
      <w:r w:rsidR="00F70BD3" w:rsidRPr="0062224A">
        <w:rPr>
          <w:rFonts w:eastAsia="Arial Unicode MS"/>
          <w:bdr w:val="nil"/>
          <w:lang w:val="en-GB"/>
        </w:rPr>
        <w:t>.</w:t>
      </w:r>
      <w:r w:rsidRPr="000269CF">
        <w:rPr>
          <w:rFonts w:eastAsia="Calibri"/>
          <w:sz w:val="22"/>
          <w:szCs w:val="22"/>
          <w:bdr w:val="nil"/>
          <w:lang w:val="en-GB"/>
        </w:rPr>
        <w:br w:type="page"/>
      </w:r>
    </w:p>
    <w:p w14:paraId="50FB4B05" w14:textId="77777777" w:rsidR="005C0F19" w:rsidRPr="000269CF" w:rsidRDefault="005C0F19" w:rsidP="005C0F19">
      <w:pPr>
        <w:pStyle w:val="ExhibitHeading"/>
        <w:rPr>
          <w:rFonts w:eastAsia="Arial Unicode MS"/>
          <w:bdr w:val="nil"/>
          <w:lang w:val="en-GB"/>
        </w:rPr>
      </w:pPr>
      <w:r w:rsidRPr="000269CF">
        <w:rPr>
          <w:rFonts w:eastAsia="Arial Unicode MS"/>
          <w:bdr w:val="nil"/>
          <w:lang w:val="en-GB"/>
        </w:rPr>
        <w:lastRenderedPageBreak/>
        <w:t>Exhibit 4: Time Warner Cable Company’s Key Financials</w:t>
      </w:r>
    </w:p>
    <w:p w14:paraId="0426076E" w14:textId="6988BFAC" w:rsidR="001A23EF" w:rsidRPr="000269CF" w:rsidRDefault="005C0F19" w:rsidP="005C0F19">
      <w:pPr>
        <w:pStyle w:val="ExhibitHeading"/>
        <w:rPr>
          <w:rFonts w:eastAsia="Arial Unicode MS"/>
          <w:bdr w:val="nil"/>
          <w:lang w:val="en-GB"/>
        </w:rPr>
      </w:pPr>
      <w:r w:rsidRPr="000269CF">
        <w:rPr>
          <w:rFonts w:eastAsia="Arial Unicode MS"/>
          <w:bdr w:val="nil"/>
          <w:lang w:val="en-GB"/>
        </w:rPr>
        <w:t xml:space="preserve">(in </w:t>
      </w:r>
      <w:r w:rsidR="00FD5754">
        <w:rPr>
          <w:rFonts w:eastAsia="Arial Unicode MS"/>
          <w:bdr w:val="nil"/>
          <w:lang w:val="en-GB"/>
        </w:rPr>
        <w:t xml:space="preserve">US$ </w:t>
      </w:r>
      <w:r w:rsidRPr="000269CF">
        <w:rPr>
          <w:rFonts w:eastAsia="Arial Unicode MS"/>
          <w:bdr w:val="nil"/>
          <w:lang w:val="en-GB"/>
        </w:rPr>
        <w:t>million, excluding per share data and financial ratios)</w:t>
      </w:r>
    </w:p>
    <w:p w14:paraId="5EF34549" w14:textId="77777777" w:rsidR="00352D8D" w:rsidRPr="00141D0C" w:rsidRDefault="00352D8D" w:rsidP="00141D0C">
      <w:pPr>
        <w:pStyle w:val="BodyTextMain"/>
        <w:rPr>
          <w:rFonts w:eastAsia="Arial Unicode MS"/>
        </w:rPr>
      </w:pPr>
    </w:p>
    <w:tbl>
      <w:tblPr>
        <w:tblStyle w:val="TableGrid"/>
        <w:tblW w:w="9313" w:type="dxa"/>
        <w:jc w:val="center"/>
        <w:tblLayout w:type="fixed"/>
        <w:tblLook w:val="04A0" w:firstRow="1" w:lastRow="0" w:firstColumn="1" w:lastColumn="0" w:noHBand="0" w:noVBand="1"/>
      </w:tblPr>
      <w:tblGrid>
        <w:gridCol w:w="4383"/>
        <w:gridCol w:w="986"/>
        <w:gridCol w:w="986"/>
        <w:gridCol w:w="986"/>
        <w:gridCol w:w="986"/>
        <w:gridCol w:w="986"/>
      </w:tblGrid>
      <w:tr w:rsidR="005C0F19" w:rsidRPr="000269CF" w14:paraId="7EB9E1CF" w14:textId="77777777" w:rsidTr="0062224A">
        <w:trPr>
          <w:trHeight w:val="70"/>
          <w:jc w:val="center"/>
        </w:trPr>
        <w:tc>
          <w:tcPr>
            <w:tcW w:w="4383" w:type="dxa"/>
            <w:noWrap/>
            <w:hideMark/>
          </w:tcPr>
          <w:p w14:paraId="336E2682" w14:textId="77777777" w:rsidR="005C0F19" w:rsidRPr="000269CF" w:rsidRDefault="005C0F19" w:rsidP="00352D8D">
            <w:pPr>
              <w:pStyle w:val="ExhibitText"/>
              <w:rPr>
                <w:bdr w:val="nil"/>
                <w:lang w:val="en-GB"/>
              </w:rPr>
            </w:pPr>
            <w:r w:rsidRPr="000269CF">
              <w:rPr>
                <w:bdr w:val="nil"/>
                <w:lang w:val="en-GB"/>
              </w:rPr>
              <w:t> </w:t>
            </w:r>
          </w:p>
        </w:tc>
        <w:tc>
          <w:tcPr>
            <w:tcW w:w="986" w:type="dxa"/>
            <w:noWrap/>
            <w:vAlign w:val="center"/>
            <w:hideMark/>
          </w:tcPr>
          <w:p w14:paraId="23C82637" w14:textId="5FA93613" w:rsidR="005C0F19" w:rsidRPr="000269CF" w:rsidRDefault="005C0F19" w:rsidP="00352D8D">
            <w:pPr>
              <w:pStyle w:val="ExhibitText"/>
              <w:jc w:val="center"/>
              <w:rPr>
                <w:b/>
                <w:bCs/>
                <w:bdr w:val="nil"/>
                <w:lang w:val="en-GB"/>
              </w:rPr>
            </w:pPr>
            <w:r w:rsidRPr="000269CF">
              <w:rPr>
                <w:b/>
                <w:bCs/>
                <w:bdr w:val="nil"/>
                <w:lang w:val="en-GB"/>
              </w:rPr>
              <w:t>2015</w:t>
            </w:r>
          </w:p>
        </w:tc>
        <w:tc>
          <w:tcPr>
            <w:tcW w:w="986" w:type="dxa"/>
            <w:noWrap/>
            <w:vAlign w:val="center"/>
            <w:hideMark/>
          </w:tcPr>
          <w:p w14:paraId="506ECF6A" w14:textId="798C70F3" w:rsidR="005C0F19" w:rsidRPr="000269CF" w:rsidRDefault="005C0F19" w:rsidP="00352D8D">
            <w:pPr>
              <w:pStyle w:val="ExhibitText"/>
              <w:jc w:val="center"/>
              <w:rPr>
                <w:b/>
                <w:bCs/>
                <w:bdr w:val="nil"/>
                <w:lang w:val="en-GB"/>
              </w:rPr>
            </w:pPr>
            <w:r w:rsidRPr="000269CF">
              <w:rPr>
                <w:b/>
                <w:bCs/>
                <w:bdr w:val="nil"/>
                <w:lang w:val="en-GB"/>
              </w:rPr>
              <w:t>2014</w:t>
            </w:r>
          </w:p>
        </w:tc>
        <w:tc>
          <w:tcPr>
            <w:tcW w:w="986" w:type="dxa"/>
            <w:noWrap/>
            <w:vAlign w:val="center"/>
            <w:hideMark/>
          </w:tcPr>
          <w:p w14:paraId="461801A1" w14:textId="1BD60713" w:rsidR="005C0F19" w:rsidRPr="000269CF" w:rsidRDefault="005C0F19" w:rsidP="00352D8D">
            <w:pPr>
              <w:pStyle w:val="ExhibitText"/>
              <w:jc w:val="center"/>
              <w:rPr>
                <w:b/>
                <w:bCs/>
                <w:bdr w:val="nil"/>
                <w:lang w:val="en-GB"/>
              </w:rPr>
            </w:pPr>
            <w:r w:rsidRPr="000269CF">
              <w:rPr>
                <w:b/>
                <w:bCs/>
                <w:bdr w:val="nil"/>
                <w:lang w:val="en-GB"/>
              </w:rPr>
              <w:t>2013</w:t>
            </w:r>
          </w:p>
        </w:tc>
        <w:tc>
          <w:tcPr>
            <w:tcW w:w="986" w:type="dxa"/>
            <w:noWrap/>
            <w:vAlign w:val="center"/>
            <w:hideMark/>
          </w:tcPr>
          <w:p w14:paraId="22035B73" w14:textId="7CDA33D9" w:rsidR="005C0F19" w:rsidRPr="000269CF" w:rsidRDefault="005C0F19" w:rsidP="00352D8D">
            <w:pPr>
              <w:pStyle w:val="ExhibitText"/>
              <w:jc w:val="center"/>
              <w:rPr>
                <w:b/>
                <w:bCs/>
                <w:bdr w:val="nil"/>
                <w:lang w:val="en-GB"/>
              </w:rPr>
            </w:pPr>
            <w:r w:rsidRPr="000269CF">
              <w:rPr>
                <w:b/>
                <w:bCs/>
                <w:bdr w:val="nil"/>
                <w:lang w:val="en-GB"/>
              </w:rPr>
              <w:t>2012</w:t>
            </w:r>
          </w:p>
        </w:tc>
        <w:tc>
          <w:tcPr>
            <w:tcW w:w="986" w:type="dxa"/>
            <w:noWrap/>
            <w:vAlign w:val="center"/>
            <w:hideMark/>
          </w:tcPr>
          <w:p w14:paraId="75D81C12" w14:textId="5A0404C4" w:rsidR="005C0F19" w:rsidRPr="000269CF" w:rsidRDefault="005C0F19" w:rsidP="00352D8D">
            <w:pPr>
              <w:pStyle w:val="ExhibitText"/>
              <w:jc w:val="center"/>
              <w:rPr>
                <w:b/>
                <w:bCs/>
                <w:bdr w:val="nil"/>
                <w:lang w:val="en-GB"/>
              </w:rPr>
            </w:pPr>
            <w:r w:rsidRPr="000269CF">
              <w:rPr>
                <w:b/>
                <w:bCs/>
                <w:bdr w:val="nil"/>
                <w:lang w:val="en-GB"/>
              </w:rPr>
              <w:t>2011</w:t>
            </w:r>
          </w:p>
        </w:tc>
      </w:tr>
      <w:tr w:rsidR="005C0F19" w:rsidRPr="000269CF" w14:paraId="35D509D2" w14:textId="77777777" w:rsidTr="00141D0C">
        <w:trPr>
          <w:trHeight w:val="70"/>
          <w:jc w:val="center"/>
        </w:trPr>
        <w:tc>
          <w:tcPr>
            <w:tcW w:w="4383" w:type="dxa"/>
            <w:noWrap/>
            <w:hideMark/>
          </w:tcPr>
          <w:p w14:paraId="3C18CB65" w14:textId="0B55E09D" w:rsidR="005C0F19" w:rsidRPr="000269CF" w:rsidRDefault="005C0F19" w:rsidP="00352D8D">
            <w:pPr>
              <w:pStyle w:val="ExhibitText"/>
              <w:jc w:val="left"/>
              <w:rPr>
                <w:bdr w:val="nil"/>
                <w:lang w:val="en-GB"/>
              </w:rPr>
            </w:pPr>
            <w:r w:rsidRPr="000269CF">
              <w:rPr>
                <w:bdr w:val="nil"/>
                <w:lang w:val="en-GB"/>
              </w:rPr>
              <w:t xml:space="preserve">Cash and </w:t>
            </w:r>
            <w:r w:rsidR="00BC52E4">
              <w:rPr>
                <w:bdr w:val="nil"/>
                <w:lang w:val="en-GB"/>
              </w:rPr>
              <w:t>s</w:t>
            </w:r>
            <w:r w:rsidRPr="000269CF">
              <w:rPr>
                <w:bdr w:val="nil"/>
                <w:lang w:val="en-GB"/>
              </w:rPr>
              <w:t>hort-</w:t>
            </w:r>
            <w:r w:rsidR="00BC52E4">
              <w:rPr>
                <w:bdr w:val="nil"/>
                <w:lang w:val="en-GB"/>
              </w:rPr>
              <w:t>t</w:t>
            </w:r>
            <w:r w:rsidRPr="000269CF">
              <w:rPr>
                <w:bdr w:val="nil"/>
                <w:lang w:val="en-GB"/>
              </w:rPr>
              <w:t xml:space="preserve">erm </w:t>
            </w:r>
            <w:r w:rsidR="00BC52E4">
              <w:rPr>
                <w:bdr w:val="nil"/>
                <w:lang w:val="en-GB"/>
              </w:rPr>
              <w:t>i</w:t>
            </w:r>
            <w:r w:rsidRPr="000269CF">
              <w:rPr>
                <w:bdr w:val="nil"/>
                <w:lang w:val="en-GB"/>
              </w:rPr>
              <w:t>nvestments</w:t>
            </w:r>
          </w:p>
        </w:tc>
        <w:tc>
          <w:tcPr>
            <w:tcW w:w="986" w:type="dxa"/>
            <w:noWrap/>
            <w:hideMark/>
          </w:tcPr>
          <w:p w14:paraId="1E3FABA6" w14:textId="77777777" w:rsidR="005C0F19" w:rsidRPr="000269CF" w:rsidRDefault="005C0F19" w:rsidP="00352D8D">
            <w:pPr>
              <w:pStyle w:val="ExhibitText"/>
              <w:jc w:val="right"/>
              <w:rPr>
                <w:bdr w:val="nil"/>
                <w:lang w:val="en-GB"/>
              </w:rPr>
            </w:pPr>
            <w:r w:rsidRPr="000269CF">
              <w:rPr>
                <w:bdr w:val="nil"/>
                <w:lang w:val="en-GB"/>
              </w:rPr>
              <w:t xml:space="preserve">1,170 </w:t>
            </w:r>
          </w:p>
        </w:tc>
        <w:tc>
          <w:tcPr>
            <w:tcW w:w="986" w:type="dxa"/>
            <w:noWrap/>
            <w:hideMark/>
          </w:tcPr>
          <w:p w14:paraId="0BA8BD80" w14:textId="77777777" w:rsidR="005C0F19" w:rsidRPr="000269CF" w:rsidRDefault="005C0F19" w:rsidP="00352D8D">
            <w:pPr>
              <w:pStyle w:val="ExhibitText"/>
              <w:jc w:val="right"/>
              <w:rPr>
                <w:bdr w:val="nil"/>
                <w:lang w:val="en-GB"/>
              </w:rPr>
            </w:pPr>
            <w:r w:rsidRPr="000269CF">
              <w:rPr>
                <w:bdr w:val="nil"/>
                <w:lang w:val="en-GB"/>
              </w:rPr>
              <w:t xml:space="preserve">707 </w:t>
            </w:r>
          </w:p>
        </w:tc>
        <w:tc>
          <w:tcPr>
            <w:tcW w:w="986" w:type="dxa"/>
            <w:noWrap/>
            <w:hideMark/>
          </w:tcPr>
          <w:p w14:paraId="637A81D5" w14:textId="77777777" w:rsidR="005C0F19" w:rsidRPr="000269CF" w:rsidRDefault="005C0F19" w:rsidP="00352D8D">
            <w:pPr>
              <w:pStyle w:val="ExhibitText"/>
              <w:jc w:val="right"/>
              <w:rPr>
                <w:bdr w:val="nil"/>
                <w:lang w:val="en-GB"/>
              </w:rPr>
            </w:pPr>
            <w:r w:rsidRPr="000269CF">
              <w:rPr>
                <w:bdr w:val="nil"/>
                <w:lang w:val="en-GB"/>
              </w:rPr>
              <w:t xml:space="preserve">525 </w:t>
            </w:r>
          </w:p>
        </w:tc>
        <w:tc>
          <w:tcPr>
            <w:tcW w:w="986" w:type="dxa"/>
            <w:noWrap/>
            <w:hideMark/>
          </w:tcPr>
          <w:p w14:paraId="6DD3BA44" w14:textId="77777777" w:rsidR="005C0F19" w:rsidRPr="000269CF" w:rsidRDefault="005C0F19" w:rsidP="00352D8D">
            <w:pPr>
              <w:pStyle w:val="ExhibitText"/>
              <w:jc w:val="right"/>
              <w:rPr>
                <w:bdr w:val="nil"/>
                <w:lang w:val="en-GB"/>
              </w:rPr>
            </w:pPr>
            <w:r w:rsidRPr="000269CF">
              <w:rPr>
                <w:bdr w:val="nil"/>
                <w:lang w:val="en-GB"/>
              </w:rPr>
              <w:t xml:space="preserve">3,304 </w:t>
            </w:r>
          </w:p>
        </w:tc>
        <w:tc>
          <w:tcPr>
            <w:tcW w:w="986" w:type="dxa"/>
            <w:noWrap/>
            <w:hideMark/>
          </w:tcPr>
          <w:p w14:paraId="6E9DC680" w14:textId="77777777" w:rsidR="005C0F19" w:rsidRPr="000269CF" w:rsidRDefault="005C0F19" w:rsidP="00352D8D">
            <w:pPr>
              <w:pStyle w:val="ExhibitText"/>
              <w:jc w:val="right"/>
              <w:rPr>
                <w:bdr w:val="nil"/>
                <w:lang w:val="en-GB"/>
              </w:rPr>
            </w:pPr>
            <w:r w:rsidRPr="000269CF">
              <w:rPr>
                <w:bdr w:val="nil"/>
                <w:lang w:val="en-GB"/>
              </w:rPr>
              <w:t xml:space="preserve">5,177 </w:t>
            </w:r>
          </w:p>
        </w:tc>
      </w:tr>
      <w:tr w:rsidR="005C0F19" w:rsidRPr="000269CF" w14:paraId="2F7B2980" w14:textId="77777777" w:rsidTr="00141D0C">
        <w:trPr>
          <w:trHeight w:val="70"/>
          <w:jc w:val="center"/>
        </w:trPr>
        <w:tc>
          <w:tcPr>
            <w:tcW w:w="4383" w:type="dxa"/>
            <w:noWrap/>
            <w:hideMark/>
          </w:tcPr>
          <w:p w14:paraId="51579DA0" w14:textId="789696B0" w:rsidR="005C0F19" w:rsidRPr="000269CF" w:rsidRDefault="005C0F19" w:rsidP="00352D8D">
            <w:pPr>
              <w:pStyle w:val="ExhibitText"/>
              <w:jc w:val="left"/>
              <w:rPr>
                <w:b/>
                <w:bdr w:val="nil"/>
                <w:lang w:val="en-GB"/>
              </w:rPr>
            </w:pPr>
            <w:r w:rsidRPr="000269CF">
              <w:rPr>
                <w:b/>
                <w:bdr w:val="nil"/>
                <w:lang w:val="en-GB"/>
              </w:rPr>
              <w:t>Assets (</w:t>
            </w:r>
            <w:r w:rsidR="00BC52E4">
              <w:rPr>
                <w:b/>
                <w:bdr w:val="nil"/>
                <w:lang w:val="en-GB"/>
              </w:rPr>
              <w:t>t</w:t>
            </w:r>
            <w:r w:rsidRPr="000269CF">
              <w:rPr>
                <w:b/>
                <w:bdr w:val="nil"/>
                <w:lang w:val="en-GB"/>
              </w:rPr>
              <w:t>otal)</w:t>
            </w:r>
          </w:p>
        </w:tc>
        <w:tc>
          <w:tcPr>
            <w:tcW w:w="986" w:type="dxa"/>
            <w:noWrap/>
            <w:hideMark/>
          </w:tcPr>
          <w:p w14:paraId="2946E1E9" w14:textId="2176EB89" w:rsidR="005C0F19" w:rsidRPr="000269CF" w:rsidRDefault="005C0F19" w:rsidP="00352D8D">
            <w:pPr>
              <w:pStyle w:val="ExhibitText"/>
              <w:jc w:val="right"/>
              <w:rPr>
                <w:b/>
                <w:bdr w:val="nil"/>
                <w:lang w:val="en-GB"/>
              </w:rPr>
            </w:pPr>
            <w:r w:rsidRPr="000269CF">
              <w:rPr>
                <w:b/>
                <w:bdr w:val="nil"/>
                <w:lang w:val="en-GB"/>
              </w:rPr>
              <w:t xml:space="preserve">49,277 </w:t>
            </w:r>
          </w:p>
        </w:tc>
        <w:tc>
          <w:tcPr>
            <w:tcW w:w="986" w:type="dxa"/>
            <w:noWrap/>
            <w:hideMark/>
          </w:tcPr>
          <w:p w14:paraId="1F5578DE" w14:textId="6A36B97D" w:rsidR="005C0F19" w:rsidRPr="000269CF" w:rsidRDefault="005C0F19" w:rsidP="00352D8D">
            <w:pPr>
              <w:pStyle w:val="ExhibitText"/>
              <w:jc w:val="right"/>
              <w:rPr>
                <w:b/>
                <w:bdr w:val="nil"/>
                <w:lang w:val="en-GB"/>
              </w:rPr>
            </w:pPr>
            <w:r w:rsidRPr="000269CF">
              <w:rPr>
                <w:b/>
                <w:bdr w:val="nil"/>
                <w:lang w:val="en-GB"/>
              </w:rPr>
              <w:t xml:space="preserve">48,501 </w:t>
            </w:r>
          </w:p>
        </w:tc>
        <w:tc>
          <w:tcPr>
            <w:tcW w:w="986" w:type="dxa"/>
            <w:noWrap/>
            <w:hideMark/>
          </w:tcPr>
          <w:p w14:paraId="2D0AB298" w14:textId="5076DEA1" w:rsidR="005C0F19" w:rsidRPr="000269CF" w:rsidRDefault="005C0F19" w:rsidP="00352D8D">
            <w:pPr>
              <w:pStyle w:val="ExhibitText"/>
              <w:jc w:val="right"/>
              <w:rPr>
                <w:b/>
                <w:bdr w:val="nil"/>
                <w:lang w:val="en-GB"/>
              </w:rPr>
            </w:pPr>
            <w:r w:rsidRPr="000269CF">
              <w:rPr>
                <w:b/>
                <w:bdr w:val="nil"/>
                <w:lang w:val="en-GB"/>
              </w:rPr>
              <w:t xml:space="preserve">48,273 </w:t>
            </w:r>
          </w:p>
        </w:tc>
        <w:tc>
          <w:tcPr>
            <w:tcW w:w="986" w:type="dxa"/>
            <w:noWrap/>
            <w:hideMark/>
          </w:tcPr>
          <w:p w14:paraId="0E7231CF" w14:textId="7B47A7BE" w:rsidR="005C0F19" w:rsidRPr="000269CF" w:rsidRDefault="005C0F19" w:rsidP="00352D8D">
            <w:pPr>
              <w:pStyle w:val="ExhibitText"/>
              <w:jc w:val="right"/>
              <w:rPr>
                <w:b/>
                <w:bdr w:val="nil"/>
                <w:lang w:val="en-GB"/>
              </w:rPr>
            </w:pPr>
            <w:r w:rsidRPr="000269CF">
              <w:rPr>
                <w:b/>
                <w:bdr w:val="nil"/>
                <w:lang w:val="en-GB"/>
              </w:rPr>
              <w:t xml:space="preserve">49,809 </w:t>
            </w:r>
          </w:p>
        </w:tc>
        <w:tc>
          <w:tcPr>
            <w:tcW w:w="986" w:type="dxa"/>
            <w:noWrap/>
            <w:hideMark/>
          </w:tcPr>
          <w:p w14:paraId="4DED9BB4" w14:textId="06FB1B63" w:rsidR="005C0F19" w:rsidRPr="000269CF" w:rsidRDefault="005C0F19" w:rsidP="00352D8D">
            <w:pPr>
              <w:pStyle w:val="ExhibitText"/>
              <w:jc w:val="right"/>
              <w:rPr>
                <w:b/>
                <w:bdr w:val="nil"/>
                <w:lang w:val="en-GB"/>
              </w:rPr>
            </w:pPr>
            <w:r w:rsidRPr="000269CF">
              <w:rPr>
                <w:b/>
                <w:bdr w:val="nil"/>
                <w:lang w:val="en-GB"/>
              </w:rPr>
              <w:t xml:space="preserve">48,276 </w:t>
            </w:r>
          </w:p>
        </w:tc>
      </w:tr>
      <w:tr w:rsidR="005C0F19" w:rsidRPr="000269CF" w14:paraId="7CB6DD28" w14:textId="77777777" w:rsidTr="00141D0C">
        <w:trPr>
          <w:trHeight w:val="70"/>
          <w:jc w:val="center"/>
        </w:trPr>
        <w:tc>
          <w:tcPr>
            <w:tcW w:w="4383" w:type="dxa"/>
            <w:noWrap/>
            <w:hideMark/>
          </w:tcPr>
          <w:p w14:paraId="7F7B1B97" w14:textId="12DC7C62" w:rsidR="005C0F19" w:rsidRPr="000269CF" w:rsidRDefault="005C0F19" w:rsidP="00352D8D">
            <w:pPr>
              <w:pStyle w:val="ExhibitText"/>
              <w:jc w:val="left"/>
              <w:rPr>
                <w:bdr w:val="nil"/>
                <w:lang w:val="en-GB"/>
              </w:rPr>
            </w:pPr>
            <w:r w:rsidRPr="000269CF">
              <w:rPr>
                <w:bdr w:val="nil"/>
                <w:lang w:val="en-GB"/>
              </w:rPr>
              <w:t>Long-</w:t>
            </w:r>
            <w:r w:rsidR="00BC52E4">
              <w:rPr>
                <w:bdr w:val="nil"/>
                <w:lang w:val="en-GB"/>
              </w:rPr>
              <w:t>t</w:t>
            </w:r>
            <w:r w:rsidRPr="000269CF">
              <w:rPr>
                <w:bdr w:val="nil"/>
                <w:lang w:val="en-GB"/>
              </w:rPr>
              <w:t xml:space="preserve">erm </w:t>
            </w:r>
            <w:r w:rsidR="00BC52E4">
              <w:rPr>
                <w:bdr w:val="nil"/>
                <w:lang w:val="en-GB"/>
              </w:rPr>
              <w:t>d</w:t>
            </w:r>
            <w:r w:rsidRPr="000269CF">
              <w:rPr>
                <w:bdr w:val="nil"/>
                <w:lang w:val="en-GB"/>
              </w:rPr>
              <w:t>ebt</w:t>
            </w:r>
          </w:p>
        </w:tc>
        <w:tc>
          <w:tcPr>
            <w:tcW w:w="986" w:type="dxa"/>
            <w:noWrap/>
            <w:hideMark/>
          </w:tcPr>
          <w:p w14:paraId="30DE626C" w14:textId="4361171C" w:rsidR="005C0F19" w:rsidRPr="000269CF" w:rsidRDefault="005C0F19" w:rsidP="00352D8D">
            <w:pPr>
              <w:pStyle w:val="ExhibitText"/>
              <w:jc w:val="right"/>
              <w:rPr>
                <w:bdr w:val="nil"/>
                <w:lang w:val="en-GB"/>
              </w:rPr>
            </w:pPr>
            <w:r w:rsidRPr="000269CF">
              <w:rPr>
                <w:bdr w:val="nil"/>
                <w:lang w:val="en-GB"/>
              </w:rPr>
              <w:t xml:space="preserve">22,497 </w:t>
            </w:r>
          </w:p>
        </w:tc>
        <w:tc>
          <w:tcPr>
            <w:tcW w:w="986" w:type="dxa"/>
            <w:noWrap/>
            <w:hideMark/>
          </w:tcPr>
          <w:p w14:paraId="5E7298BB" w14:textId="685942B5" w:rsidR="005C0F19" w:rsidRPr="000269CF" w:rsidRDefault="005C0F19" w:rsidP="00352D8D">
            <w:pPr>
              <w:pStyle w:val="ExhibitText"/>
              <w:jc w:val="right"/>
              <w:rPr>
                <w:bdr w:val="nil"/>
                <w:lang w:val="en-GB"/>
              </w:rPr>
            </w:pPr>
            <w:r w:rsidRPr="000269CF">
              <w:rPr>
                <w:bdr w:val="nil"/>
                <w:lang w:val="en-GB"/>
              </w:rPr>
              <w:t xml:space="preserve">22,701 </w:t>
            </w:r>
          </w:p>
        </w:tc>
        <w:tc>
          <w:tcPr>
            <w:tcW w:w="986" w:type="dxa"/>
            <w:noWrap/>
            <w:hideMark/>
          </w:tcPr>
          <w:p w14:paraId="6D5A336B" w14:textId="2A49B2B3" w:rsidR="005C0F19" w:rsidRPr="000269CF" w:rsidRDefault="005C0F19" w:rsidP="00352D8D">
            <w:pPr>
              <w:pStyle w:val="ExhibitText"/>
              <w:jc w:val="right"/>
              <w:rPr>
                <w:bdr w:val="nil"/>
                <w:lang w:val="en-GB"/>
              </w:rPr>
            </w:pPr>
            <w:r w:rsidRPr="000269CF">
              <w:rPr>
                <w:bdr w:val="nil"/>
                <w:lang w:val="en-GB"/>
              </w:rPr>
              <w:t xml:space="preserve">23,285 </w:t>
            </w:r>
          </w:p>
        </w:tc>
        <w:tc>
          <w:tcPr>
            <w:tcW w:w="986" w:type="dxa"/>
            <w:noWrap/>
            <w:hideMark/>
          </w:tcPr>
          <w:p w14:paraId="387388E2" w14:textId="0F96E130" w:rsidR="005C0F19" w:rsidRPr="000269CF" w:rsidRDefault="005C0F19" w:rsidP="00352D8D">
            <w:pPr>
              <w:pStyle w:val="ExhibitText"/>
              <w:jc w:val="right"/>
              <w:rPr>
                <w:bdr w:val="nil"/>
                <w:lang w:val="en-GB"/>
              </w:rPr>
            </w:pPr>
            <w:r w:rsidRPr="000269CF">
              <w:rPr>
                <w:bdr w:val="nil"/>
                <w:lang w:val="en-GB"/>
              </w:rPr>
              <w:t xml:space="preserve">25,171 </w:t>
            </w:r>
          </w:p>
        </w:tc>
        <w:tc>
          <w:tcPr>
            <w:tcW w:w="986" w:type="dxa"/>
            <w:noWrap/>
            <w:hideMark/>
          </w:tcPr>
          <w:p w14:paraId="43570711" w14:textId="6A566613" w:rsidR="005C0F19" w:rsidRPr="000269CF" w:rsidRDefault="005C0F19" w:rsidP="00352D8D">
            <w:pPr>
              <w:pStyle w:val="ExhibitText"/>
              <w:jc w:val="right"/>
              <w:rPr>
                <w:bdr w:val="nil"/>
                <w:lang w:val="en-GB"/>
              </w:rPr>
            </w:pPr>
            <w:r w:rsidRPr="000269CF">
              <w:rPr>
                <w:bdr w:val="nil"/>
                <w:lang w:val="en-GB"/>
              </w:rPr>
              <w:t xml:space="preserve">24,320 </w:t>
            </w:r>
          </w:p>
        </w:tc>
      </w:tr>
      <w:tr w:rsidR="005C0F19" w:rsidRPr="000269CF" w14:paraId="41C297AC" w14:textId="77777777" w:rsidTr="00141D0C">
        <w:trPr>
          <w:trHeight w:val="70"/>
          <w:jc w:val="center"/>
        </w:trPr>
        <w:tc>
          <w:tcPr>
            <w:tcW w:w="4383" w:type="dxa"/>
            <w:noWrap/>
            <w:hideMark/>
          </w:tcPr>
          <w:p w14:paraId="10802011" w14:textId="2F9C7DB1" w:rsidR="005C0F19" w:rsidRPr="000269CF" w:rsidRDefault="005C0F19" w:rsidP="00352D8D">
            <w:pPr>
              <w:pStyle w:val="ExhibitText"/>
              <w:jc w:val="left"/>
              <w:rPr>
                <w:b/>
                <w:bdr w:val="nil"/>
                <w:lang w:val="en-GB"/>
              </w:rPr>
            </w:pPr>
            <w:r w:rsidRPr="000269CF">
              <w:rPr>
                <w:b/>
                <w:bdr w:val="nil"/>
                <w:lang w:val="en-GB"/>
              </w:rPr>
              <w:t xml:space="preserve">Total </w:t>
            </w:r>
            <w:r w:rsidR="00BC52E4">
              <w:rPr>
                <w:b/>
                <w:bdr w:val="nil"/>
                <w:lang w:val="en-GB"/>
              </w:rPr>
              <w:t>l</w:t>
            </w:r>
            <w:r w:rsidRPr="000269CF">
              <w:rPr>
                <w:b/>
                <w:bdr w:val="nil"/>
                <w:lang w:val="en-GB"/>
              </w:rPr>
              <w:t>iabilities</w:t>
            </w:r>
          </w:p>
        </w:tc>
        <w:tc>
          <w:tcPr>
            <w:tcW w:w="986" w:type="dxa"/>
            <w:noWrap/>
            <w:hideMark/>
          </w:tcPr>
          <w:p w14:paraId="1E5AEAD1" w14:textId="7EC06296" w:rsidR="005C0F19" w:rsidRPr="000269CF" w:rsidRDefault="005C0F19" w:rsidP="00352D8D">
            <w:pPr>
              <w:pStyle w:val="ExhibitText"/>
              <w:jc w:val="right"/>
              <w:rPr>
                <w:b/>
                <w:bdr w:val="nil"/>
                <w:lang w:val="en-GB"/>
              </w:rPr>
            </w:pPr>
            <w:r w:rsidRPr="000269CF">
              <w:rPr>
                <w:b/>
                <w:bdr w:val="nil"/>
                <w:lang w:val="en-GB"/>
              </w:rPr>
              <w:t xml:space="preserve">40,278 </w:t>
            </w:r>
          </w:p>
        </w:tc>
        <w:tc>
          <w:tcPr>
            <w:tcW w:w="986" w:type="dxa"/>
            <w:noWrap/>
            <w:hideMark/>
          </w:tcPr>
          <w:p w14:paraId="20EF2813" w14:textId="35931765" w:rsidR="005C0F19" w:rsidRPr="000269CF" w:rsidRDefault="005C0F19" w:rsidP="00352D8D">
            <w:pPr>
              <w:pStyle w:val="ExhibitText"/>
              <w:jc w:val="right"/>
              <w:rPr>
                <w:b/>
                <w:bdr w:val="nil"/>
                <w:lang w:val="en-GB"/>
              </w:rPr>
            </w:pPr>
            <w:r w:rsidRPr="000269CF">
              <w:rPr>
                <w:b/>
                <w:bdr w:val="nil"/>
                <w:lang w:val="en-GB"/>
              </w:rPr>
              <w:t xml:space="preserve">40,484 </w:t>
            </w:r>
          </w:p>
        </w:tc>
        <w:tc>
          <w:tcPr>
            <w:tcW w:w="986" w:type="dxa"/>
            <w:noWrap/>
            <w:hideMark/>
          </w:tcPr>
          <w:p w14:paraId="11E113B5" w14:textId="66F53DC1" w:rsidR="005C0F19" w:rsidRPr="000269CF" w:rsidRDefault="005C0F19" w:rsidP="00352D8D">
            <w:pPr>
              <w:pStyle w:val="ExhibitText"/>
              <w:jc w:val="right"/>
              <w:rPr>
                <w:b/>
                <w:bdr w:val="nil"/>
                <w:lang w:val="en-GB"/>
              </w:rPr>
            </w:pPr>
            <w:r w:rsidRPr="000269CF">
              <w:rPr>
                <w:b/>
                <w:bdr w:val="nil"/>
                <w:lang w:val="en-GB"/>
              </w:rPr>
              <w:t xml:space="preserve">41,326 </w:t>
            </w:r>
          </w:p>
        </w:tc>
        <w:tc>
          <w:tcPr>
            <w:tcW w:w="986" w:type="dxa"/>
            <w:noWrap/>
            <w:hideMark/>
          </w:tcPr>
          <w:p w14:paraId="02BDC014" w14:textId="694EFA90" w:rsidR="005C0F19" w:rsidRPr="000269CF" w:rsidRDefault="005C0F19" w:rsidP="00352D8D">
            <w:pPr>
              <w:pStyle w:val="ExhibitText"/>
              <w:jc w:val="right"/>
              <w:rPr>
                <w:b/>
                <w:bdr w:val="nil"/>
                <w:lang w:val="en-GB"/>
              </w:rPr>
            </w:pPr>
            <w:r w:rsidRPr="000269CF">
              <w:rPr>
                <w:b/>
                <w:bdr w:val="nil"/>
                <w:lang w:val="en-GB"/>
              </w:rPr>
              <w:t xml:space="preserve">42,526 </w:t>
            </w:r>
          </w:p>
        </w:tc>
        <w:tc>
          <w:tcPr>
            <w:tcW w:w="986" w:type="dxa"/>
            <w:noWrap/>
            <w:hideMark/>
          </w:tcPr>
          <w:p w14:paraId="447E7105" w14:textId="15EF6445" w:rsidR="005C0F19" w:rsidRPr="000269CF" w:rsidRDefault="005C0F19" w:rsidP="00352D8D">
            <w:pPr>
              <w:pStyle w:val="ExhibitText"/>
              <w:jc w:val="right"/>
              <w:rPr>
                <w:b/>
                <w:bdr w:val="nil"/>
                <w:lang w:val="en-GB"/>
              </w:rPr>
            </w:pPr>
            <w:r w:rsidRPr="000269CF">
              <w:rPr>
                <w:b/>
                <w:bdr w:val="nil"/>
                <w:lang w:val="en-GB"/>
              </w:rPr>
              <w:t xml:space="preserve">40,739 </w:t>
            </w:r>
          </w:p>
        </w:tc>
      </w:tr>
      <w:tr w:rsidR="005C0F19" w:rsidRPr="000269CF" w14:paraId="49B442E9" w14:textId="77777777" w:rsidTr="00141D0C">
        <w:trPr>
          <w:trHeight w:val="70"/>
          <w:jc w:val="center"/>
        </w:trPr>
        <w:tc>
          <w:tcPr>
            <w:tcW w:w="4383" w:type="dxa"/>
            <w:noWrap/>
            <w:hideMark/>
          </w:tcPr>
          <w:p w14:paraId="287B2CF2" w14:textId="79383041" w:rsidR="005C0F19" w:rsidRPr="000269CF" w:rsidRDefault="005C0F19" w:rsidP="00352D8D">
            <w:pPr>
              <w:pStyle w:val="ExhibitText"/>
              <w:jc w:val="left"/>
              <w:rPr>
                <w:bdr w:val="nil"/>
                <w:lang w:val="en-GB"/>
              </w:rPr>
            </w:pPr>
            <w:r w:rsidRPr="000269CF">
              <w:rPr>
                <w:bdr w:val="nil"/>
                <w:lang w:val="en-GB"/>
              </w:rPr>
              <w:t xml:space="preserve">Stockholder's </w:t>
            </w:r>
            <w:r w:rsidR="00BC52E4">
              <w:rPr>
                <w:bdr w:val="nil"/>
                <w:lang w:val="en-GB"/>
              </w:rPr>
              <w:t>e</w:t>
            </w:r>
            <w:r w:rsidRPr="000269CF">
              <w:rPr>
                <w:bdr w:val="nil"/>
                <w:lang w:val="en-GB"/>
              </w:rPr>
              <w:t>quity (</w:t>
            </w:r>
            <w:r w:rsidR="00BC52E4">
              <w:rPr>
                <w:bdr w:val="nil"/>
                <w:lang w:val="en-GB"/>
              </w:rPr>
              <w:t>t</w:t>
            </w:r>
            <w:r w:rsidRPr="000269CF">
              <w:rPr>
                <w:bdr w:val="nil"/>
                <w:lang w:val="en-GB"/>
              </w:rPr>
              <w:t>otal)</w:t>
            </w:r>
          </w:p>
        </w:tc>
        <w:tc>
          <w:tcPr>
            <w:tcW w:w="986" w:type="dxa"/>
            <w:noWrap/>
            <w:hideMark/>
          </w:tcPr>
          <w:p w14:paraId="187810C4" w14:textId="3108B5C2" w:rsidR="005C0F19" w:rsidRPr="000269CF" w:rsidRDefault="005C0F19" w:rsidP="00352D8D">
            <w:pPr>
              <w:pStyle w:val="ExhibitText"/>
              <w:jc w:val="right"/>
              <w:rPr>
                <w:bdr w:val="nil"/>
                <w:lang w:val="en-GB"/>
              </w:rPr>
            </w:pPr>
            <w:r w:rsidRPr="000269CF">
              <w:rPr>
                <w:bdr w:val="nil"/>
                <w:lang w:val="en-GB"/>
              </w:rPr>
              <w:t xml:space="preserve">8,999 </w:t>
            </w:r>
          </w:p>
        </w:tc>
        <w:tc>
          <w:tcPr>
            <w:tcW w:w="986" w:type="dxa"/>
            <w:noWrap/>
            <w:hideMark/>
          </w:tcPr>
          <w:p w14:paraId="5127E24E" w14:textId="06ACDF8C" w:rsidR="005C0F19" w:rsidRPr="000269CF" w:rsidRDefault="005C0F19" w:rsidP="00352D8D">
            <w:pPr>
              <w:pStyle w:val="ExhibitText"/>
              <w:jc w:val="right"/>
              <w:rPr>
                <w:bdr w:val="nil"/>
                <w:lang w:val="en-GB"/>
              </w:rPr>
            </w:pPr>
            <w:r w:rsidRPr="000269CF">
              <w:rPr>
                <w:bdr w:val="nil"/>
                <w:lang w:val="en-GB"/>
              </w:rPr>
              <w:t xml:space="preserve">8,017 </w:t>
            </w:r>
          </w:p>
        </w:tc>
        <w:tc>
          <w:tcPr>
            <w:tcW w:w="986" w:type="dxa"/>
            <w:noWrap/>
            <w:hideMark/>
          </w:tcPr>
          <w:p w14:paraId="02219F89" w14:textId="17CBF619" w:rsidR="005C0F19" w:rsidRPr="000269CF" w:rsidRDefault="005C0F19" w:rsidP="00352D8D">
            <w:pPr>
              <w:pStyle w:val="ExhibitText"/>
              <w:jc w:val="right"/>
              <w:rPr>
                <w:bdr w:val="nil"/>
                <w:lang w:val="en-GB"/>
              </w:rPr>
            </w:pPr>
            <w:r w:rsidRPr="000269CF">
              <w:rPr>
                <w:bdr w:val="nil"/>
                <w:lang w:val="en-GB"/>
              </w:rPr>
              <w:t xml:space="preserve">6,947 </w:t>
            </w:r>
          </w:p>
        </w:tc>
        <w:tc>
          <w:tcPr>
            <w:tcW w:w="986" w:type="dxa"/>
            <w:noWrap/>
            <w:hideMark/>
          </w:tcPr>
          <w:p w14:paraId="5EF1EC09" w14:textId="71B715CB" w:rsidR="005C0F19" w:rsidRPr="000269CF" w:rsidRDefault="005C0F19" w:rsidP="00352D8D">
            <w:pPr>
              <w:pStyle w:val="ExhibitText"/>
              <w:jc w:val="right"/>
              <w:rPr>
                <w:bdr w:val="nil"/>
                <w:lang w:val="en-GB"/>
              </w:rPr>
            </w:pPr>
            <w:r w:rsidRPr="000269CF">
              <w:rPr>
                <w:bdr w:val="nil"/>
                <w:lang w:val="en-GB"/>
              </w:rPr>
              <w:t xml:space="preserve">7,283 </w:t>
            </w:r>
          </w:p>
        </w:tc>
        <w:tc>
          <w:tcPr>
            <w:tcW w:w="986" w:type="dxa"/>
            <w:noWrap/>
            <w:hideMark/>
          </w:tcPr>
          <w:p w14:paraId="01F907FE" w14:textId="1BE66B82" w:rsidR="005C0F19" w:rsidRPr="000269CF" w:rsidRDefault="005C0F19" w:rsidP="00352D8D">
            <w:pPr>
              <w:pStyle w:val="ExhibitText"/>
              <w:jc w:val="right"/>
              <w:rPr>
                <w:bdr w:val="nil"/>
                <w:lang w:val="en-GB"/>
              </w:rPr>
            </w:pPr>
            <w:r w:rsidRPr="000269CF">
              <w:rPr>
                <w:bdr w:val="nil"/>
                <w:lang w:val="en-GB"/>
              </w:rPr>
              <w:t xml:space="preserve">7,537 </w:t>
            </w:r>
          </w:p>
        </w:tc>
      </w:tr>
      <w:tr w:rsidR="005C0F19" w:rsidRPr="000269CF" w14:paraId="1C2EE68A" w14:textId="77777777" w:rsidTr="00141D0C">
        <w:trPr>
          <w:trHeight w:val="70"/>
          <w:jc w:val="center"/>
        </w:trPr>
        <w:tc>
          <w:tcPr>
            <w:tcW w:w="4383" w:type="dxa"/>
            <w:noWrap/>
            <w:hideMark/>
          </w:tcPr>
          <w:p w14:paraId="4454DDE7" w14:textId="77777777" w:rsidR="005C0F19" w:rsidRPr="000269CF" w:rsidRDefault="005C0F19" w:rsidP="00352D8D">
            <w:pPr>
              <w:pStyle w:val="ExhibitText"/>
              <w:jc w:val="left"/>
              <w:rPr>
                <w:bdr w:val="nil"/>
                <w:lang w:val="en-GB"/>
              </w:rPr>
            </w:pPr>
            <w:r w:rsidRPr="000269CF">
              <w:rPr>
                <w:bdr w:val="nil"/>
                <w:lang w:val="en-GB"/>
              </w:rPr>
              <w:t>Revenues</w:t>
            </w:r>
          </w:p>
        </w:tc>
        <w:tc>
          <w:tcPr>
            <w:tcW w:w="986" w:type="dxa"/>
            <w:noWrap/>
            <w:hideMark/>
          </w:tcPr>
          <w:p w14:paraId="06D1BD9D" w14:textId="36319A49" w:rsidR="005C0F19" w:rsidRPr="000269CF" w:rsidRDefault="005C0F19" w:rsidP="00352D8D">
            <w:pPr>
              <w:pStyle w:val="ExhibitText"/>
              <w:jc w:val="right"/>
              <w:rPr>
                <w:bdr w:val="nil"/>
                <w:lang w:val="en-GB"/>
              </w:rPr>
            </w:pPr>
            <w:r w:rsidRPr="000269CF">
              <w:rPr>
                <w:bdr w:val="nil"/>
                <w:lang w:val="en-GB"/>
              </w:rPr>
              <w:t xml:space="preserve">23,697 </w:t>
            </w:r>
          </w:p>
        </w:tc>
        <w:tc>
          <w:tcPr>
            <w:tcW w:w="986" w:type="dxa"/>
            <w:noWrap/>
            <w:hideMark/>
          </w:tcPr>
          <w:p w14:paraId="3763E995" w14:textId="27F8AEF3" w:rsidR="005C0F19" w:rsidRPr="000269CF" w:rsidRDefault="005C0F19" w:rsidP="00352D8D">
            <w:pPr>
              <w:pStyle w:val="ExhibitText"/>
              <w:jc w:val="right"/>
              <w:rPr>
                <w:bdr w:val="nil"/>
                <w:lang w:val="en-GB"/>
              </w:rPr>
            </w:pPr>
            <w:r w:rsidRPr="000269CF">
              <w:rPr>
                <w:bdr w:val="nil"/>
                <w:lang w:val="en-GB"/>
              </w:rPr>
              <w:t xml:space="preserve">22,812 </w:t>
            </w:r>
          </w:p>
        </w:tc>
        <w:tc>
          <w:tcPr>
            <w:tcW w:w="986" w:type="dxa"/>
            <w:noWrap/>
            <w:hideMark/>
          </w:tcPr>
          <w:p w14:paraId="0F04BFCA" w14:textId="0A5C5E3F" w:rsidR="005C0F19" w:rsidRPr="000269CF" w:rsidRDefault="005C0F19" w:rsidP="00352D8D">
            <w:pPr>
              <w:pStyle w:val="ExhibitText"/>
              <w:jc w:val="right"/>
              <w:rPr>
                <w:bdr w:val="nil"/>
                <w:lang w:val="en-GB"/>
              </w:rPr>
            </w:pPr>
            <w:r w:rsidRPr="000269CF">
              <w:rPr>
                <w:bdr w:val="nil"/>
                <w:lang w:val="en-GB"/>
              </w:rPr>
              <w:t xml:space="preserve">22,120 </w:t>
            </w:r>
          </w:p>
        </w:tc>
        <w:tc>
          <w:tcPr>
            <w:tcW w:w="986" w:type="dxa"/>
            <w:noWrap/>
            <w:hideMark/>
          </w:tcPr>
          <w:p w14:paraId="443E66E0" w14:textId="149852AF" w:rsidR="005C0F19" w:rsidRPr="000269CF" w:rsidRDefault="005C0F19" w:rsidP="00352D8D">
            <w:pPr>
              <w:pStyle w:val="ExhibitText"/>
              <w:jc w:val="right"/>
              <w:rPr>
                <w:bdr w:val="nil"/>
                <w:lang w:val="en-GB"/>
              </w:rPr>
            </w:pPr>
            <w:r w:rsidRPr="000269CF">
              <w:rPr>
                <w:bdr w:val="nil"/>
                <w:lang w:val="en-GB"/>
              </w:rPr>
              <w:t xml:space="preserve">21,386 </w:t>
            </w:r>
          </w:p>
        </w:tc>
        <w:tc>
          <w:tcPr>
            <w:tcW w:w="986" w:type="dxa"/>
            <w:noWrap/>
            <w:hideMark/>
          </w:tcPr>
          <w:p w14:paraId="28FD6596" w14:textId="32A8B51A" w:rsidR="005C0F19" w:rsidRPr="000269CF" w:rsidRDefault="005C0F19" w:rsidP="00352D8D">
            <w:pPr>
              <w:pStyle w:val="ExhibitText"/>
              <w:jc w:val="right"/>
              <w:rPr>
                <w:bdr w:val="nil"/>
                <w:lang w:val="en-GB"/>
              </w:rPr>
            </w:pPr>
            <w:r w:rsidRPr="000269CF">
              <w:rPr>
                <w:bdr w:val="nil"/>
                <w:lang w:val="en-GB"/>
              </w:rPr>
              <w:t xml:space="preserve">19,675 </w:t>
            </w:r>
          </w:p>
        </w:tc>
      </w:tr>
      <w:tr w:rsidR="005C0F19" w:rsidRPr="000269CF" w14:paraId="0486CCC3" w14:textId="77777777" w:rsidTr="00141D0C">
        <w:trPr>
          <w:trHeight w:val="70"/>
          <w:jc w:val="center"/>
        </w:trPr>
        <w:tc>
          <w:tcPr>
            <w:tcW w:w="4383" w:type="dxa"/>
            <w:noWrap/>
            <w:hideMark/>
          </w:tcPr>
          <w:p w14:paraId="460E7C8D" w14:textId="0C41513A" w:rsidR="005C0F19" w:rsidRPr="000269CF" w:rsidRDefault="005C0F19" w:rsidP="00352D8D">
            <w:pPr>
              <w:pStyle w:val="ExhibitText"/>
              <w:jc w:val="left"/>
              <w:rPr>
                <w:bdr w:val="nil"/>
                <w:vertAlign w:val="superscript"/>
                <w:lang w:val="en-GB"/>
              </w:rPr>
            </w:pPr>
            <w:r w:rsidRPr="000269CF">
              <w:rPr>
                <w:bdr w:val="nil"/>
                <w:lang w:val="en-GB"/>
              </w:rPr>
              <w:t xml:space="preserve">Program, </w:t>
            </w:r>
            <w:r w:rsidR="00BC52E4">
              <w:rPr>
                <w:bdr w:val="nil"/>
                <w:lang w:val="en-GB"/>
              </w:rPr>
              <w:t>p</w:t>
            </w:r>
            <w:r w:rsidRPr="000269CF">
              <w:rPr>
                <w:bdr w:val="nil"/>
                <w:lang w:val="en-GB"/>
              </w:rPr>
              <w:t>roduction</w:t>
            </w:r>
            <w:r w:rsidR="0061757A">
              <w:rPr>
                <w:bdr w:val="nil"/>
                <w:lang w:val="en-GB"/>
              </w:rPr>
              <w:t>,</w:t>
            </w:r>
            <w:r w:rsidRPr="000269CF">
              <w:rPr>
                <w:bdr w:val="nil"/>
                <w:lang w:val="en-GB"/>
              </w:rPr>
              <w:t xml:space="preserve"> and </w:t>
            </w:r>
            <w:r w:rsidR="00BC52E4">
              <w:rPr>
                <w:bdr w:val="nil"/>
                <w:lang w:val="en-GB"/>
              </w:rPr>
              <w:t>r</w:t>
            </w:r>
            <w:r w:rsidRPr="000269CF">
              <w:rPr>
                <w:bdr w:val="nil"/>
                <w:lang w:val="en-GB"/>
              </w:rPr>
              <w:t xml:space="preserve">elated </w:t>
            </w:r>
            <w:r w:rsidR="00BC52E4">
              <w:rPr>
                <w:bdr w:val="nil"/>
                <w:lang w:val="en-GB"/>
              </w:rPr>
              <w:t>e</w:t>
            </w:r>
            <w:r w:rsidRPr="000269CF">
              <w:rPr>
                <w:bdr w:val="nil"/>
                <w:lang w:val="en-GB"/>
              </w:rPr>
              <w:t>xpenses</w:t>
            </w:r>
            <w:r w:rsidR="00FD5754">
              <w:rPr>
                <w:bdr w:val="nil"/>
                <w:lang w:val="en-GB"/>
              </w:rPr>
              <w:t>*</w:t>
            </w:r>
          </w:p>
        </w:tc>
        <w:tc>
          <w:tcPr>
            <w:tcW w:w="986" w:type="dxa"/>
            <w:noWrap/>
            <w:hideMark/>
          </w:tcPr>
          <w:p w14:paraId="34CCFAED" w14:textId="4BFD1DEC" w:rsidR="005C0F19" w:rsidRPr="000269CF" w:rsidRDefault="005C0F19" w:rsidP="00352D8D">
            <w:pPr>
              <w:pStyle w:val="ExhibitText"/>
              <w:jc w:val="right"/>
              <w:rPr>
                <w:bdr w:val="nil"/>
                <w:lang w:val="en-GB"/>
              </w:rPr>
            </w:pPr>
            <w:r w:rsidRPr="000269CF">
              <w:rPr>
                <w:bdr w:val="nil"/>
                <w:lang w:val="en-GB"/>
              </w:rPr>
              <w:t xml:space="preserve">5,815 </w:t>
            </w:r>
          </w:p>
        </w:tc>
        <w:tc>
          <w:tcPr>
            <w:tcW w:w="986" w:type="dxa"/>
            <w:noWrap/>
            <w:hideMark/>
          </w:tcPr>
          <w:p w14:paraId="36C31770" w14:textId="0D3882C3" w:rsidR="005C0F19" w:rsidRPr="000269CF" w:rsidRDefault="005C0F19" w:rsidP="00352D8D">
            <w:pPr>
              <w:pStyle w:val="ExhibitText"/>
              <w:jc w:val="right"/>
              <w:rPr>
                <w:bdr w:val="nil"/>
                <w:lang w:val="en-GB"/>
              </w:rPr>
            </w:pPr>
            <w:r w:rsidRPr="000269CF">
              <w:rPr>
                <w:bdr w:val="nil"/>
                <w:lang w:val="en-GB"/>
              </w:rPr>
              <w:t xml:space="preserve">5,294 </w:t>
            </w:r>
          </w:p>
        </w:tc>
        <w:tc>
          <w:tcPr>
            <w:tcW w:w="986" w:type="dxa"/>
            <w:noWrap/>
            <w:hideMark/>
          </w:tcPr>
          <w:p w14:paraId="07981E11" w14:textId="40D5C914" w:rsidR="005C0F19" w:rsidRPr="000269CF" w:rsidRDefault="005C0F19" w:rsidP="00352D8D">
            <w:pPr>
              <w:pStyle w:val="ExhibitText"/>
              <w:jc w:val="right"/>
              <w:rPr>
                <w:bdr w:val="nil"/>
                <w:lang w:val="en-GB"/>
              </w:rPr>
            </w:pPr>
            <w:r w:rsidRPr="000269CF">
              <w:rPr>
                <w:bdr w:val="nil"/>
                <w:lang w:val="en-GB"/>
              </w:rPr>
              <w:t xml:space="preserve"> </w:t>
            </w:r>
            <w:r w:rsidR="00BC52E4">
              <w:rPr>
                <w:bdr w:val="nil"/>
                <w:lang w:val="en-GB"/>
              </w:rPr>
              <w:t>–</w:t>
            </w:r>
          </w:p>
        </w:tc>
        <w:tc>
          <w:tcPr>
            <w:tcW w:w="986" w:type="dxa"/>
            <w:noWrap/>
            <w:hideMark/>
          </w:tcPr>
          <w:p w14:paraId="5C8AA7B7" w14:textId="648FE825" w:rsidR="005C0F19" w:rsidRPr="000269CF" w:rsidRDefault="005C0F19" w:rsidP="00352D8D">
            <w:pPr>
              <w:pStyle w:val="ExhibitText"/>
              <w:jc w:val="right"/>
              <w:rPr>
                <w:bdr w:val="nil"/>
                <w:lang w:val="en-GB"/>
              </w:rPr>
            </w:pPr>
            <w:r w:rsidRPr="000269CF">
              <w:rPr>
                <w:bdr w:val="nil"/>
                <w:lang w:val="en-GB"/>
              </w:rPr>
              <w:t xml:space="preserve"> </w:t>
            </w:r>
            <w:r w:rsidR="00BC52E4">
              <w:rPr>
                <w:bdr w:val="nil"/>
                <w:lang w:val="en-GB"/>
              </w:rPr>
              <w:t>–</w:t>
            </w:r>
            <w:r w:rsidRPr="000269CF">
              <w:rPr>
                <w:bdr w:val="nil"/>
                <w:lang w:val="en-GB"/>
              </w:rPr>
              <w:t xml:space="preserve"> </w:t>
            </w:r>
          </w:p>
        </w:tc>
        <w:tc>
          <w:tcPr>
            <w:tcW w:w="986" w:type="dxa"/>
            <w:noWrap/>
            <w:hideMark/>
          </w:tcPr>
          <w:p w14:paraId="12A2A453" w14:textId="7FC9B226" w:rsidR="005C0F19" w:rsidRPr="000269CF" w:rsidRDefault="00BC52E4" w:rsidP="00352D8D">
            <w:pPr>
              <w:pStyle w:val="ExhibitText"/>
              <w:jc w:val="right"/>
              <w:rPr>
                <w:bdr w:val="nil"/>
                <w:lang w:val="en-GB"/>
              </w:rPr>
            </w:pPr>
            <w:r>
              <w:rPr>
                <w:bdr w:val="nil"/>
                <w:lang w:val="en-GB"/>
              </w:rPr>
              <w:t>–</w:t>
            </w:r>
            <w:r w:rsidR="005C0F19" w:rsidRPr="000269CF">
              <w:rPr>
                <w:bdr w:val="nil"/>
                <w:lang w:val="en-GB"/>
              </w:rPr>
              <w:t xml:space="preserve"> </w:t>
            </w:r>
          </w:p>
        </w:tc>
      </w:tr>
      <w:tr w:rsidR="005C0F19" w:rsidRPr="000269CF" w14:paraId="2B46CA47" w14:textId="77777777" w:rsidTr="00141D0C">
        <w:trPr>
          <w:trHeight w:val="70"/>
          <w:jc w:val="center"/>
        </w:trPr>
        <w:tc>
          <w:tcPr>
            <w:tcW w:w="4383" w:type="dxa"/>
            <w:noWrap/>
            <w:hideMark/>
          </w:tcPr>
          <w:p w14:paraId="78DC3C73" w14:textId="77777777" w:rsidR="005C0F19" w:rsidRPr="000269CF" w:rsidRDefault="005C0F19" w:rsidP="00352D8D">
            <w:pPr>
              <w:pStyle w:val="ExhibitText"/>
              <w:jc w:val="left"/>
              <w:rPr>
                <w:bdr w:val="nil"/>
                <w:lang w:val="en-GB"/>
              </w:rPr>
            </w:pPr>
            <w:r w:rsidRPr="000269CF">
              <w:rPr>
                <w:bdr w:val="nil"/>
                <w:lang w:val="en-GB"/>
              </w:rPr>
              <w:t>EBITDA</w:t>
            </w:r>
          </w:p>
        </w:tc>
        <w:tc>
          <w:tcPr>
            <w:tcW w:w="986" w:type="dxa"/>
            <w:noWrap/>
            <w:hideMark/>
          </w:tcPr>
          <w:p w14:paraId="3407F2ED" w14:textId="4871D195" w:rsidR="005C0F19" w:rsidRPr="000269CF" w:rsidRDefault="005C0F19" w:rsidP="00352D8D">
            <w:pPr>
              <w:pStyle w:val="ExhibitText"/>
              <w:jc w:val="right"/>
              <w:rPr>
                <w:bdr w:val="nil"/>
                <w:lang w:val="en-GB"/>
              </w:rPr>
            </w:pPr>
            <w:r w:rsidRPr="000269CF">
              <w:rPr>
                <w:bdr w:val="nil"/>
                <w:lang w:val="en-GB"/>
              </w:rPr>
              <w:t xml:space="preserve">7,935 </w:t>
            </w:r>
          </w:p>
        </w:tc>
        <w:tc>
          <w:tcPr>
            <w:tcW w:w="986" w:type="dxa"/>
            <w:noWrap/>
            <w:hideMark/>
          </w:tcPr>
          <w:p w14:paraId="2FFF3E59" w14:textId="51821BB7" w:rsidR="005C0F19" w:rsidRPr="000269CF" w:rsidRDefault="005C0F19" w:rsidP="00352D8D">
            <w:pPr>
              <w:pStyle w:val="ExhibitText"/>
              <w:jc w:val="right"/>
              <w:rPr>
                <w:bdr w:val="nil"/>
                <w:lang w:val="en-GB"/>
              </w:rPr>
            </w:pPr>
            <w:r w:rsidRPr="000269CF">
              <w:rPr>
                <w:bdr w:val="nil"/>
                <w:lang w:val="en-GB"/>
              </w:rPr>
              <w:t xml:space="preserve">8,003 </w:t>
            </w:r>
          </w:p>
        </w:tc>
        <w:tc>
          <w:tcPr>
            <w:tcW w:w="986" w:type="dxa"/>
            <w:noWrap/>
            <w:hideMark/>
          </w:tcPr>
          <w:p w14:paraId="6E07A469" w14:textId="076E2C7A" w:rsidR="005C0F19" w:rsidRPr="000269CF" w:rsidRDefault="005C0F19" w:rsidP="00352D8D">
            <w:pPr>
              <w:pStyle w:val="ExhibitText"/>
              <w:jc w:val="right"/>
              <w:rPr>
                <w:bdr w:val="nil"/>
                <w:lang w:val="en-GB"/>
              </w:rPr>
            </w:pPr>
            <w:r w:rsidRPr="000269CF">
              <w:rPr>
                <w:bdr w:val="nil"/>
                <w:lang w:val="en-GB"/>
              </w:rPr>
              <w:t xml:space="preserve">7,861 </w:t>
            </w:r>
          </w:p>
        </w:tc>
        <w:tc>
          <w:tcPr>
            <w:tcW w:w="986" w:type="dxa"/>
            <w:noWrap/>
            <w:hideMark/>
          </w:tcPr>
          <w:p w14:paraId="363B464F" w14:textId="28ACF480" w:rsidR="005C0F19" w:rsidRPr="000269CF" w:rsidRDefault="005C0F19" w:rsidP="00352D8D">
            <w:pPr>
              <w:pStyle w:val="ExhibitText"/>
              <w:jc w:val="right"/>
              <w:rPr>
                <w:bdr w:val="nil"/>
                <w:lang w:val="en-GB"/>
              </w:rPr>
            </w:pPr>
            <w:r w:rsidRPr="000269CF">
              <w:rPr>
                <w:bdr w:val="nil"/>
                <w:lang w:val="en-GB"/>
              </w:rPr>
              <w:t xml:space="preserve">7,709 </w:t>
            </w:r>
          </w:p>
        </w:tc>
        <w:tc>
          <w:tcPr>
            <w:tcW w:w="986" w:type="dxa"/>
            <w:noWrap/>
            <w:hideMark/>
          </w:tcPr>
          <w:p w14:paraId="1B050969" w14:textId="0E2CA47A" w:rsidR="005C0F19" w:rsidRPr="000269CF" w:rsidRDefault="005C0F19" w:rsidP="00352D8D">
            <w:pPr>
              <w:pStyle w:val="ExhibitText"/>
              <w:jc w:val="right"/>
              <w:rPr>
                <w:bdr w:val="nil"/>
                <w:lang w:val="en-GB"/>
              </w:rPr>
            </w:pPr>
            <w:r w:rsidRPr="000269CF">
              <w:rPr>
                <w:bdr w:val="nil"/>
                <w:lang w:val="en-GB"/>
              </w:rPr>
              <w:t xml:space="preserve">7,096 </w:t>
            </w:r>
          </w:p>
        </w:tc>
      </w:tr>
      <w:tr w:rsidR="005C0F19" w:rsidRPr="000269CF" w14:paraId="5B0EEFFE" w14:textId="77777777" w:rsidTr="00141D0C">
        <w:trPr>
          <w:trHeight w:val="70"/>
          <w:jc w:val="center"/>
        </w:trPr>
        <w:tc>
          <w:tcPr>
            <w:tcW w:w="4383" w:type="dxa"/>
            <w:noWrap/>
            <w:hideMark/>
          </w:tcPr>
          <w:p w14:paraId="5ED04B1D" w14:textId="40B4A560" w:rsidR="005C0F19" w:rsidRPr="000269CF" w:rsidRDefault="005C0F19" w:rsidP="00352D8D">
            <w:pPr>
              <w:pStyle w:val="ExhibitText"/>
              <w:jc w:val="left"/>
              <w:rPr>
                <w:bdr w:val="nil"/>
                <w:lang w:val="en-GB"/>
              </w:rPr>
            </w:pPr>
            <w:r w:rsidRPr="000269CF">
              <w:rPr>
                <w:bdr w:val="nil"/>
                <w:lang w:val="en-GB"/>
              </w:rPr>
              <w:t xml:space="preserve">EBIT </w:t>
            </w:r>
            <w:r w:rsidR="0061757A">
              <w:rPr>
                <w:bdr w:val="nil"/>
                <w:lang w:val="en-GB"/>
              </w:rPr>
              <w:t>(</w:t>
            </w:r>
            <w:r w:rsidRPr="000269CF">
              <w:rPr>
                <w:bdr w:val="nil"/>
                <w:lang w:val="en-GB"/>
              </w:rPr>
              <w:t xml:space="preserve">or </w:t>
            </w:r>
            <w:r w:rsidR="00BC52E4">
              <w:rPr>
                <w:bdr w:val="nil"/>
                <w:lang w:val="en-GB"/>
              </w:rPr>
              <w:t>o</w:t>
            </w:r>
            <w:r w:rsidRPr="000269CF">
              <w:rPr>
                <w:bdr w:val="nil"/>
                <w:lang w:val="en-GB"/>
              </w:rPr>
              <w:t xml:space="preserve">perating </w:t>
            </w:r>
            <w:r w:rsidR="00BC52E4">
              <w:rPr>
                <w:bdr w:val="nil"/>
                <w:lang w:val="en-GB"/>
              </w:rPr>
              <w:t>i</w:t>
            </w:r>
            <w:r w:rsidRPr="000269CF">
              <w:rPr>
                <w:bdr w:val="nil"/>
                <w:lang w:val="en-GB"/>
              </w:rPr>
              <w:t>ncome</w:t>
            </w:r>
            <w:r w:rsidR="0061757A">
              <w:rPr>
                <w:bdr w:val="nil"/>
                <w:lang w:val="en-GB"/>
              </w:rPr>
              <w:t>)</w:t>
            </w:r>
          </w:p>
        </w:tc>
        <w:tc>
          <w:tcPr>
            <w:tcW w:w="986" w:type="dxa"/>
            <w:noWrap/>
            <w:hideMark/>
          </w:tcPr>
          <w:p w14:paraId="77DE854D" w14:textId="537AD43E" w:rsidR="005C0F19" w:rsidRPr="000269CF" w:rsidRDefault="005C0F19" w:rsidP="00352D8D">
            <w:pPr>
              <w:pStyle w:val="ExhibitText"/>
              <w:jc w:val="right"/>
              <w:rPr>
                <w:bdr w:val="nil"/>
                <w:lang w:val="en-GB"/>
              </w:rPr>
            </w:pPr>
            <w:r w:rsidRPr="000269CF">
              <w:rPr>
                <w:bdr w:val="nil"/>
                <w:lang w:val="en-GB"/>
              </w:rPr>
              <w:t xml:space="preserve">4,239 </w:t>
            </w:r>
          </w:p>
        </w:tc>
        <w:tc>
          <w:tcPr>
            <w:tcW w:w="986" w:type="dxa"/>
            <w:noWrap/>
            <w:hideMark/>
          </w:tcPr>
          <w:p w14:paraId="2EACDF26" w14:textId="528BAD0E" w:rsidR="005C0F19" w:rsidRPr="000269CF" w:rsidRDefault="005C0F19" w:rsidP="00352D8D">
            <w:pPr>
              <w:pStyle w:val="ExhibitText"/>
              <w:jc w:val="right"/>
              <w:rPr>
                <w:bdr w:val="nil"/>
                <w:lang w:val="en-GB"/>
              </w:rPr>
            </w:pPr>
            <w:r w:rsidRPr="000269CF">
              <w:rPr>
                <w:bdr w:val="nil"/>
                <w:lang w:val="en-GB"/>
              </w:rPr>
              <w:t xml:space="preserve">4,632 </w:t>
            </w:r>
          </w:p>
        </w:tc>
        <w:tc>
          <w:tcPr>
            <w:tcW w:w="986" w:type="dxa"/>
            <w:noWrap/>
            <w:hideMark/>
          </w:tcPr>
          <w:p w14:paraId="38F9782A" w14:textId="4918AC02" w:rsidR="005C0F19" w:rsidRPr="000269CF" w:rsidRDefault="005C0F19" w:rsidP="00352D8D">
            <w:pPr>
              <w:pStyle w:val="ExhibitText"/>
              <w:jc w:val="right"/>
              <w:rPr>
                <w:bdr w:val="nil"/>
                <w:lang w:val="en-GB"/>
              </w:rPr>
            </w:pPr>
            <w:r w:rsidRPr="000269CF">
              <w:rPr>
                <w:bdr w:val="nil"/>
                <w:lang w:val="en-GB"/>
              </w:rPr>
              <w:t xml:space="preserve">4,580 </w:t>
            </w:r>
          </w:p>
        </w:tc>
        <w:tc>
          <w:tcPr>
            <w:tcW w:w="986" w:type="dxa"/>
            <w:noWrap/>
            <w:hideMark/>
          </w:tcPr>
          <w:p w14:paraId="5583C869" w14:textId="7F2BA9A9" w:rsidR="005C0F19" w:rsidRPr="000269CF" w:rsidRDefault="005C0F19" w:rsidP="00352D8D">
            <w:pPr>
              <w:pStyle w:val="ExhibitText"/>
              <w:jc w:val="right"/>
              <w:rPr>
                <w:bdr w:val="nil"/>
                <w:lang w:val="en-GB"/>
              </w:rPr>
            </w:pPr>
            <w:r w:rsidRPr="000269CF">
              <w:rPr>
                <w:bdr w:val="nil"/>
                <w:lang w:val="en-GB"/>
              </w:rPr>
              <w:t xml:space="preserve">4,445 </w:t>
            </w:r>
          </w:p>
        </w:tc>
        <w:tc>
          <w:tcPr>
            <w:tcW w:w="986" w:type="dxa"/>
            <w:noWrap/>
            <w:hideMark/>
          </w:tcPr>
          <w:p w14:paraId="3BAC463A" w14:textId="61AE84DB" w:rsidR="005C0F19" w:rsidRPr="000269CF" w:rsidRDefault="005C0F19" w:rsidP="00352D8D">
            <w:pPr>
              <w:pStyle w:val="ExhibitText"/>
              <w:jc w:val="right"/>
              <w:rPr>
                <w:bdr w:val="nil"/>
                <w:lang w:val="en-GB"/>
              </w:rPr>
            </w:pPr>
            <w:r w:rsidRPr="000269CF">
              <w:rPr>
                <w:bdr w:val="nil"/>
                <w:lang w:val="en-GB"/>
              </w:rPr>
              <w:t xml:space="preserve">4,069 </w:t>
            </w:r>
          </w:p>
        </w:tc>
      </w:tr>
      <w:tr w:rsidR="005C0F19" w:rsidRPr="000269CF" w14:paraId="414C1505" w14:textId="77777777" w:rsidTr="00141D0C">
        <w:trPr>
          <w:trHeight w:val="70"/>
          <w:jc w:val="center"/>
        </w:trPr>
        <w:tc>
          <w:tcPr>
            <w:tcW w:w="4383" w:type="dxa"/>
            <w:noWrap/>
            <w:hideMark/>
          </w:tcPr>
          <w:p w14:paraId="6275C7D3" w14:textId="42D2B73A" w:rsidR="005C0F19" w:rsidRPr="000269CF" w:rsidRDefault="005C0F19" w:rsidP="00352D8D">
            <w:pPr>
              <w:pStyle w:val="ExhibitText"/>
              <w:jc w:val="left"/>
              <w:rPr>
                <w:b/>
                <w:bdr w:val="nil"/>
                <w:lang w:val="en-GB"/>
              </w:rPr>
            </w:pPr>
            <w:r w:rsidRPr="000269CF">
              <w:rPr>
                <w:b/>
                <w:bdr w:val="nil"/>
                <w:lang w:val="en-GB"/>
              </w:rPr>
              <w:t xml:space="preserve">Net </w:t>
            </w:r>
            <w:r w:rsidR="00BC52E4">
              <w:rPr>
                <w:b/>
                <w:bdr w:val="nil"/>
                <w:lang w:val="en-GB"/>
              </w:rPr>
              <w:t>i</w:t>
            </w:r>
            <w:r w:rsidRPr="000269CF">
              <w:rPr>
                <w:b/>
                <w:bdr w:val="nil"/>
                <w:lang w:val="en-GB"/>
              </w:rPr>
              <w:t>ncome (</w:t>
            </w:r>
            <w:r w:rsidR="00BC52E4">
              <w:rPr>
                <w:b/>
                <w:bdr w:val="nil"/>
                <w:lang w:val="en-GB"/>
              </w:rPr>
              <w:t>l</w:t>
            </w:r>
            <w:r w:rsidRPr="000269CF">
              <w:rPr>
                <w:b/>
                <w:bdr w:val="nil"/>
                <w:lang w:val="en-GB"/>
              </w:rPr>
              <w:t>oss)</w:t>
            </w:r>
          </w:p>
        </w:tc>
        <w:tc>
          <w:tcPr>
            <w:tcW w:w="986" w:type="dxa"/>
            <w:noWrap/>
            <w:hideMark/>
          </w:tcPr>
          <w:p w14:paraId="5B7FD805" w14:textId="2A2D266A" w:rsidR="005C0F19" w:rsidRPr="000269CF" w:rsidRDefault="005C0F19" w:rsidP="00352D8D">
            <w:pPr>
              <w:pStyle w:val="ExhibitText"/>
              <w:jc w:val="right"/>
              <w:rPr>
                <w:b/>
                <w:bdr w:val="nil"/>
                <w:lang w:val="en-GB"/>
              </w:rPr>
            </w:pPr>
            <w:r w:rsidRPr="000269CF">
              <w:rPr>
                <w:b/>
                <w:bdr w:val="nil"/>
                <w:lang w:val="en-GB"/>
              </w:rPr>
              <w:t xml:space="preserve">1,844 </w:t>
            </w:r>
          </w:p>
        </w:tc>
        <w:tc>
          <w:tcPr>
            <w:tcW w:w="986" w:type="dxa"/>
            <w:noWrap/>
            <w:hideMark/>
          </w:tcPr>
          <w:p w14:paraId="528F2702" w14:textId="21278CD2" w:rsidR="005C0F19" w:rsidRPr="000269CF" w:rsidRDefault="005C0F19" w:rsidP="00352D8D">
            <w:pPr>
              <w:pStyle w:val="ExhibitText"/>
              <w:jc w:val="right"/>
              <w:rPr>
                <w:b/>
                <w:bdr w:val="nil"/>
                <w:lang w:val="en-GB"/>
              </w:rPr>
            </w:pPr>
            <w:r w:rsidRPr="000269CF">
              <w:rPr>
                <w:b/>
                <w:bdr w:val="nil"/>
                <w:lang w:val="en-GB"/>
              </w:rPr>
              <w:t xml:space="preserve">2,031 </w:t>
            </w:r>
          </w:p>
        </w:tc>
        <w:tc>
          <w:tcPr>
            <w:tcW w:w="986" w:type="dxa"/>
            <w:noWrap/>
            <w:hideMark/>
          </w:tcPr>
          <w:p w14:paraId="58D866D8" w14:textId="055225BD" w:rsidR="005C0F19" w:rsidRPr="000269CF" w:rsidRDefault="005C0F19" w:rsidP="00352D8D">
            <w:pPr>
              <w:pStyle w:val="ExhibitText"/>
              <w:jc w:val="right"/>
              <w:rPr>
                <w:b/>
                <w:bdr w:val="nil"/>
                <w:lang w:val="en-GB"/>
              </w:rPr>
            </w:pPr>
            <w:r w:rsidRPr="000269CF">
              <w:rPr>
                <w:b/>
                <w:bdr w:val="nil"/>
                <w:lang w:val="en-GB"/>
              </w:rPr>
              <w:t xml:space="preserve">1,954 </w:t>
            </w:r>
          </w:p>
        </w:tc>
        <w:tc>
          <w:tcPr>
            <w:tcW w:w="986" w:type="dxa"/>
            <w:noWrap/>
            <w:hideMark/>
          </w:tcPr>
          <w:p w14:paraId="00EE54A0" w14:textId="3B7E8825" w:rsidR="005C0F19" w:rsidRPr="000269CF" w:rsidRDefault="005C0F19" w:rsidP="00352D8D">
            <w:pPr>
              <w:pStyle w:val="ExhibitText"/>
              <w:jc w:val="right"/>
              <w:rPr>
                <w:b/>
                <w:bdr w:val="nil"/>
                <w:lang w:val="en-GB"/>
              </w:rPr>
            </w:pPr>
            <w:r w:rsidRPr="000269CF">
              <w:rPr>
                <w:b/>
                <w:bdr w:val="nil"/>
                <w:lang w:val="en-GB"/>
              </w:rPr>
              <w:t xml:space="preserve">2,159 </w:t>
            </w:r>
          </w:p>
        </w:tc>
        <w:tc>
          <w:tcPr>
            <w:tcW w:w="986" w:type="dxa"/>
            <w:noWrap/>
            <w:hideMark/>
          </w:tcPr>
          <w:p w14:paraId="52311DAB" w14:textId="0039CE09" w:rsidR="005C0F19" w:rsidRPr="000269CF" w:rsidRDefault="005C0F19" w:rsidP="00352D8D">
            <w:pPr>
              <w:pStyle w:val="ExhibitText"/>
              <w:jc w:val="right"/>
              <w:rPr>
                <w:b/>
                <w:bdr w:val="nil"/>
                <w:lang w:val="en-GB"/>
              </w:rPr>
            </w:pPr>
            <w:r w:rsidRPr="000269CF">
              <w:rPr>
                <w:b/>
                <w:bdr w:val="nil"/>
                <w:lang w:val="en-GB"/>
              </w:rPr>
              <w:t xml:space="preserve">1,667 </w:t>
            </w:r>
          </w:p>
        </w:tc>
      </w:tr>
      <w:tr w:rsidR="005C0F19" w:rsidRPr="000269CF" w14:paraId="605FC099" w14:textId="77777777" w:rsidTr="00141D0C">
        <w:trPr>
          <w:trHeight w:val="70"/>
          <w:jc w:val="center"/>
        </w:trPr>
        <w:tc>
          <w:tcPr>
            <w:tcW w:w="4383" w:type="dxa"/>
            <w:noWrap/>
            <w:hideMark/>
          </w:tcPr>
          <w:p w14:paraId="41FD2FDA" w14:textId="7883725E" w:rsidR="005C0F19" w:rsidRPr="000269CF" w:rsidRDefault="005C0F19" w:rsidP="00352D8D">
            <w:pPr>
              <w:pStyle w:val="ExhibitText"/>
              <w:jc w:val="left"/>
              <w:rPr>
                <w:bdr w:val="nil"/>
                <w:lang w:val="en-GB"/>
              </w:rPr>
            </w:pPr>
            <w:r w:rsidRPr="000269CF">
              <w:rPr>
                <w:bdr w:val="nil"/>
                <w:lang w:val="en-GB"/>
              </w:rPr>
              <w:t xml:space="preserve">Net </w:t>
            </w:r>
            <w:r w:rsidR="00BC52E4">
              <w:rPr>
                <w:bdr w:val="nil"/>
                <w:lang w:val="en-GB"/>
              </w:rPr>
              <w:t>i</w:t>
            </w:r>
            <w:r w:rsidRPr="000269CF">
              <w:rPr>
                <w:bdr w:val="nil"/>
                <w:lang w:val="en-GB"/>
              </w:rPr>
              <w:t xml:space="preserve">ncome </w:t>
            </w:r>
            <w:r w:rsidR="00FD5754">
              <w:rPr>
                <w:bdr w:val="nil"/>
                <w:lang w:val="en-GB"/>
              </w:rPr>
              <w:t>to</w:t>
            </w:r>
            <w:r w:rsidRPr="000269CF">
              <w:rPr>
                <w:bdr w:val="nil"/>
                <w:lang w:val="en-GB"/>
              </w:rPr>
              <w:t xml:space="preserve"> </w:t>
            </w:r>
            <w:r w:rsidR="00BC52E4">
              <w:rPr>
                <w:bdr w:val="nil"/>
                <w:lang w:val="en-GB"/>
              </w:rPr>
              <w:t>r</w:t>
            </w:r>
            <w:r w:rsidRPr="000269CF">
              <w:rPr>
                <w:bdr w:val="nil"/>
                <w:lang w:val="en-GB"/>
              </w:rPr>
              <w:t>evenue</w:t>
            </w:r>
            <w:r w:rsidR="00FD5754">
              <w:rPr>
                <w:bdr w:val="nil"/>
                <w:lang w:val="en-GB"/>
              </w:rPr>
              <w:t xml:space="preserve"> </w:t>
            </w:r>
            <w:r w:rsidR="00BC52E4">
              <w:rPr>
                <w:bdr w:val="nil"/>
                <w:lang w:val="en-GB"/>
              </w:rPr>
              <w:t>r</w:t>
            </w:r>
            <w:r w:rsidR="00FD5754">
              <w:rPr>
                <w:bdr w:val="nil"/>
                <w:lang w:val="en-GB"/>
              </w:rPr>
              <w:t>atio</w:t>
            </w:r>
          </w:p>
        </w:tc>
        <w:tc>
          <w:tcPr>
            <w:tcW w:w="986" w:type="dxa"/>
            <w:noWrap/>
            <w:hideMark/>
          </w:tcPr>
          <w:p w14:paraId="292183CE" w14:textId="77777777" w:rsidR="005C0F19" w:rsidRPr="000269CF" w:rsidRDefault="005C0F19" w:rsidP="00352D8D">
            <w:pPr>
              <w:pStyle w:val="ExhibitText"/>
              <w:jc w:val="right"/>
              <w:rPr>
                <w:bdr w:val="nil"/>
                <w:lang w:val="en-GB"/>
              </w:rPr>
            </w:pPr>
            <w:r w:rsidRPr="000269CF">
              <w:rPr>
                <w:bdr w:val="nil"/>
                <w:lang w:val="en-GB"/>
              </w:rPr>
              <w:t>7.8%</w:t>
            </w:r>
          </w:p>
        </w:tc>
        <w:tc>
          <w:tcPr>
            <w:tcW w:w="986" w:type="dxa"/>
            <w:noWrap/>
            <w:hideMark/>
          </w:tcPr>
          <w:p w14:paraId="05CA45DD" w14:textId="77777777" w:rsidR="005C0F19" w:rsidRPr="000269CF" w:rsidRDefault="005C0F19" w:rsidP="00352D8D">
            <w:pPr>
              <w:pStyle w:val="ExhibitText"/>
              <w:jc w:val="right"/>
              <w:rPr>
                <w:bdr w:val="nil"/>
                <w:lang w:val="en-GB"/>
              </w:rPr>
            </w:pPr>
            <w:r w:rsidRPr="000269CF">
              <w:rPr>
                <w:bdr w:val="nil"/>
                <w:lang w:val="en-GB"/>
              </w:rPr>
              <w:t>8.9%</w:t>
            </w:r>
          </w:p>
        </w:tc>
        <w:tc>
          <w:tcPr>
            <w:tcW w:w="986" w:type="dxa"/>
            <w:noWrap/>
            <w:hideMark/>
          </w:tcPr>
          <w:p w14:paraId="3BE6E276" w14:textId="77777777" w:rsidR="005C0F19" w:rsidRPr="000269CF" w:rsidRDefault="005C0F19" w:rsidP="00352D8D">
            <w:pPr>
              <w:pStyle w:val="ExhibitText"/>
              <w:jc w:val="right"/>
              <w:rPr>
                <w:bdr w:val="nil"/>
                <w:lang w:val="en-GB"/>
              </w:rPr>
            </w:pPr>
            <w:r w:rsidRPr="000269CF">
              <w:rPr>
                <w:bdr w:val="nil"/>
                <w:lang w:val="en-GB"/>
              </w:rPr>
              <w:t>8.8%</w:t>
            </w:r>
          </w:p>
        </w:tc>
        <w:tc>
          <w:tcPr>
            <w:tcW w:w="986" w:type="dxa"/>
            <w:noWrap/>
            <w:hideMark/>
          </w:tcPr>
          <w:p w14:paraId="238AA508" w14:textId="77777777" w:rsidR="005C0F19" w:rsidRPr="000269CF" w:rsidRDefault="005C0F19" w:rsidP="00352D8D">
            <w:pPr>
              <w:pStyle w:val="ExhibitText"/>
              <w:jc w:val="right"/>
              <w:rPr>
                <w:bdr w:val="nil"/>
                <w:lang w:val="en-GB"/>
              </w:rPr>
            </w:pPr>
            <w:r w:rsidRPr="000269CF">
              <w:rPr>
                <w:bdr w:val="nil"/>
                <w:lang w:val="en-GB"/>
              </w:rPr>
              <w:t>10.1%</w:t>
            </w:r>
          </w:p>
        </w:tc>
        <w:tc>
          <w:tcPr>
            <w:tcW w:w="986" w:type="dxa"/>
            <w:noWrap/>
            <w:hideMark/>
          </w:tcPr>
          <w:p w14:paraId="18E9E76B" w14:textId="77777777" w:rsidR="005C0F19" w:rsidRPr="000269CF" w:rsidRDefault="005C0F19" w:rsidP="00352D8D">
            <w:pPr>
              <w:pStyle w:val="ExhibitText"/>
              <w:jc w:val="right"/>
              <w:rPr>
                <w:bdr w:val="nil"/>
                <w:lang w:val="en-GB"/>
              </w:rPr>
            </w:pPr>
            <w:r w:rsidRPr="000269CF">
              <w:rPr>
                <w:bdr w:val="nil"/>
                <w:lang w:val="en-GB"/>
              </w:rPr>
              <w:t>8.5%</w:t>
            </w:r>
          </w:p>
        </w:tc>
      </w:tr>
      <w:tr w:rsidR="005C0F19" w:rsidRPr="000269CF" w14:paraId="3E2180BE" w14:textId="77777777" w:rsidTr="00141D0C">
        <w:trPr>
          <w:trHeight w:val="70"/>
          <w:jc w:val="center"/>
        </w:trPr>
        <w:tc>
          <w:tcPr>
            <w:tcW w:w="4383" w:type="dxa"/>
            <w:noWrap/>
            <w:hideMark/>
          </w:tcPr>
          <w:p w14:paraId="62940BE8" w14:textId="475CCEF6" w:rsidR="005C0F19" w:rsidRPr="000269CF" w:rsidRDefault="005C0F19" w:rsidP="00352D8D">
            <w:pPr>
              <w:pStyle w:val="ExhibitText"/>
              <w:jc w:val="left"/>
              <w:rPr>
                <w:bdr w:val="nil"/>
                <w:lang w:val="en-GB"/>
              </w:rPr>
            </w:pPr>
            <w:r w:rsidRPr="000269CF">
              <w:rPr>
                <w:bdr w:val="nil"/>
                <w:lang w:val="en-GB"/>
              </w:rPr>
              <w:t>Long</w:t>
            </w:r>
            <w:r w:rsidR="00FD5754">
              <w:rPr>
                <w:bdr w:val="nil"/>
                <w:lang w:val="en-GB"/>
              </w:rPr>
              <w:t>-</w:t>
            </w:r>
            <w:r w:rsidR="00BC52E4">
              <w:rPr>
                <w:bdr w:val="nil"/>
                <w:lang w:val="en-GB"/>
              </w:rPr>
              <w:t>t</w:t>
            </w:r>
            <w:r w:rsidRPr="000269CF">
              <w:rPr>
                <w:bdr w:val="nil"/>
                <w:lang w:val="en-GB"/>
              </w:rPr>
              <w:t xml:space="preserve">erm </w:t>
            </w:r>
            <w:r w:rsidR="00BC52E4">
              <w:rPr>
                <w:bdr w:val="nil"/>
                <w:lang w:val="en-GB"/>
              </w:rPr>
              <w:t>d</w:t>
            </w:r>
            <w:r w:rsidRPr="000269CF">
              <w:rPr>
                <w:bdr w:val="nil"/>
                <w:lang w:val="en-GB"/>
              </w:rPr>
              <w:t xml:space="preserve">ebt </w:t>
            </w:r>
            <w:r w:rsidR="00FD5754">
              <w:rPr>
                <w:bdr w:val="nil"/>
                <w:lang w:val="en-GB"/>
              </w:rPr>
              <w:t xml:space="preserve">to </w:t>
            </w:r>
            <w:r w:rsidR="00BC52E4">
              <w:rPr>
                <w:bdr w:val="nil"/>
                <w:lang w:val="en-GB"/>
              </w:rPr>
              <w:t>a</w:t>
            </w:r>
            <w:r w:rsidR="00FD5754">
              <w:rPr>
                <w:bdr w:val="nil"/>
                <w:lang w:val="en-GB"/>
              </w:rPr>
              <w:t xml:space="preserve">ssets </w:t>
            </w:r>
            <w:r w:rsidR="00BC52E4">
              <w:rPr>
                <w:bdr w:val="nil"/>
                <w:lang w:val="en-GB"/>
              </w:rPr>
              <w:t>r</w:t>
            </w:r>
            <w:r w:rsidRPr="000269CF">
              <w:rPr>
                <w:bdr w:val="nil"/>
                <w:lang w:val="en-GB"/>
              </w:rPr>
              <w:t>atio</w:t>
            </w:r>
          </w:p>
        </w:tc>
        <w:tc>
          <w:tcPr>
            <w:tcW w:w="986" w:type="dxa"/>
            <w:noWrap/>
            <w:hideMark/>
          </w:tcPr>
          <w:p w14:paraId="741C40B5" w14:textId="03556808" w:rsidR="005C0F19" w:rsidRPr="000269CF" w:rsidRDefault="005C0F19" w:rsidP="00352D8D">
            <w:pPr>
              <w:pStyle w:val="ExhibitText"/>
              <w:jc w:val="right"/>
              <w:rPr>
                <w:bdr w:val="nil"/>
                <w:lang w:val="en-GB"/>
              </w:rPr>
            </w:pPr>
            <w:r w:rsidRPr="000269CF">
              <w:rPr>
                <w:bdr w:val="nil"/>
                <w:lang w:val="en-GB"/>
              </w:rPr>
              <w:t>46</w:t>
            </w:r>
            <w:r w:rsidR="00BC52E4">
              <w:rPr>
                <w:bdr w:val="nil"/>
                <w:lang w:val="en-GB"/>
              </w:rPr>
              <w:t>.0</w:t>
            </w:r>
            <w:r w:rsidRPr="000269CF">
              <w:rPr>
                <w:bdr w:val="nil"/>
                <w:lang w:val="en-GB"/>
              </w:rPr>
              <w:t>%</w:t>
            </w:r>
          </w:p>
        </w:tc>
        <w:tc>
          <w:tcPr>
            <w:tcW w:w="986" w:type="dxa"/>
            <w:noWrap/>
            <w:hideMark/>
          </w:tcPr>
          <w:p w14:paraId="30B0A411" w14:textId="7E84AE01" w:rsidR="005C0F19" w:rsidRPr="000269CF" w:rsidRDefault="005C0F19" w:rsidP="00352D8D">
            <w:pPr>
              <w:pStyle w:val="ExhibitText"/>
              <w:jc w:val="right"/>
              <w:rPr>
                <w:bdr w:val="nil"/>
                <w:lang w:val="en-GB"/>
              </w:rPr>
            </w:pPr>
            <w:r w:rsidRPr="000269CF">
              <w:rPr>
                <w:bdr w:val="nil"/>
                <w:lang w:val="en-GB"/>
              </w:rPr>
              <w:t>47</w:t>
            </w:r>
            <w:r w:rsidR="00BC52E4">
              <w:rPr>
                <w:bdr w:val="nil"/>
                <w:lang w:val="en-GB"/>
              </w:rPr>
              <w:t>.0</w:t>
            </w:r>
            <w:r w:rsidRPr="000269CF">
              <w:rPr>
                <w:bdr w:val="nil"/>
                <w:lang w:val="en-GB"/>
              </w:rPr>
              <w:t>%</w:t>
            </w:r>
          </w:p>
        </w:tc>
        <w:tc>
          <w:tcPr>
            <w:tcW w:w="986" w:type="dxa"/>
            <w:noWrap/>
            <w:hideMark/>
          </w:tcPr>
          <w:p w14:paraId="34EAE707" w14:textId="431457EC" w:rsidR="005C0F19" w:rsidRPr="000269CF" w:rsidRDefault="005C0F19" w:rsidP="00352D8D">
            <w:pPr>
              <w:pStyle w:val="ExhibitText"/>
              <w:jc w:val="right"/>
              <w:rPr>
                <w:bdr w:val="nil"/>
                <w:lang w:val="en-GB"/>
              </w:rPr>
            </w:pPr>
            <w:r w:rsidRPr="000269CF">
              <w:rPr>
                <w:bdr w:val="nil"/>
                <w:lang w:val="en-GB"/>
              </w:rPr>
              <w:t>48</w:t>
            </w:r>
            <w:r w:rsidR="00BC52E4">
              <w:rPr>
                <w:bdr w:val="nil"/>
                <w:lang w:val="en-GB"/>
              </w:rPr>
              <w:t>.0</w:t>
            </w:r>
            <w:r w:rsidRPr="000269CF">
              <w:rPr>
                <w:bdr w:val="nil"/>
                <w:lang w:val="en-GB"/>
              </w:rPr>
              <w:t>%</w:t>
            </w:r>
          </w:p>
        </w:tc>
        <w:tc>
          <w:tcPr>
            <w:tcW w:w="986" w:type="dxa"/>
            <w:noWrap/>
            <w:hideMark/>
          </w:tcPr>
          <w:p w14:paraId="5015BBFB" w14:textId="7E7DD75E" w:rsidR="005C0F19" w:rsidRPr="000269CF" w:rsidRDefault="005C0F19" w:rsidP="00352D8D">
            <w:pPr>
              <w:pStyle w:val="ExhibitText"/>
              <w:jc w:val="right"/>
              <w:rPr>
                <w:bdr w:val="nil"/>
                <w:lang w:val="en-GB"/>
              </w:rPr>
            </w:pPr>
            <w:r w:rsidRPr="000269CF">
              <w:rPr>
                <w:bdr w:val="nil"/>
                <w:lang w:val="en-GB"/>
              </w:rPr>
              <w:t>51</w:t>
            </w:r>
            <w:r w:rsidR="00BC52E4">
              <w:rPr>
                <w:bdr w:val="nil"/>
                <w:lang w:val="en-GB"/>
              </w:rPr>
              <w:t>.0</w:t>
            </w:r>
            <w:r w:rsidRPr="000269CF">
              <w:rPr>
                <w:bdr w:val="nil"/>
                <w:lang w:val="en-GB"/>
              </w:rPr>
              <w:t>%</w:t>
            </w:r>
          </w:p>
        </w:tc>
        <w:tc>
          <w:tcPr>
            <w:tcW w:w="986" w:type="dxa"/>
            <w:noWrap/>
            <w:hideMark/>
          </w:tcPr>
          <w:p w14:paraId="6D53AD05" w14:textId="3CBC1ACC" w:rsidR="005C0F19" w:rsidRPr="000269CF" w:rsidRDefault="005C0F19" w:rsidP="00352D8D">
            <w:pPr>
              <w:pStyle w:val="ExhibitText"/>
              <w:jc w:val="right"/>
              <w:rPr>
                <w:bdr w:val="nil"/>
                <w:lang w:val="en-GB"/>
              </w:rPr>
            </w:pPr>
            <w:r w:rsidRPr="000269CF">
              <w:rPr>
                <w:bdr w:val="nil"/>
                <w:lang w:val="en-GB"/>
              </w:rPr>
              <w:t>50</w:t>
            </w:r>
            <w:r w:rsidR="00BC52E4">
              <w:rPr>
                <w:bdr w:val="nil"/>
                <w:lang w:val="en-GB"/>
              </w:rPr>
              <w:t>.0</w:t>
            </w:r>
            <w:r w:rsidRPr="000269CF">
              <w:rPr>
                <w:bdr w:val="nil"/>
                <w:lang w:val="en-GB"/>
              </w:rPr>
              <w:t>%</w:t>
            </w:r>
          </w:p>
        </w:tc>
      </w:tr>
      <w:tr w:rsidR="005C0F19" w:rsidRPr="000269CF" w14:paraId="1D820EFF" w14:textId="77777777" w:rsidTr="00141D0C">
        <w:trPr>
          <w:trHeight w:val="70"/>
          <w:jc w:val="center"/>
        </w:trPr>
        <w:tc>
          <w:tcPr>
            <w:tcW w:w="4383" w:type="dxa"/>
            <w:noWrap/>
            <w:hideMark/>
          </w:tcPr>
          <w:p w14:paraId="1ECE3E19" w14:textId="4E7C930D" w:rsidR="005C0F19" w:rsidRPr="000269CF" w:rsidRDefault="005C0F19" w:rsidP="00352D8D">
            <w:pPr>
              <w:pStyle w:val="ExhibitText"/>
              <w:jc w:val="left"/>
              <w:rPr>
                <w:bdr w:val="nil"/>
                <w:lang w:val="en-GB"/>
              </w:rPr>
            </w:pPr>
            <w:r w:rsidRPr="000269CF">
              <w:rPr>
                <w:bdr w:val="nil"/>
                <w:lang w:val="en-GB"/>
              </w:rPr>
              <w:t xml:space="preserve">Stock </w:t>
            </w:r>
            <w:r w:rsidR="00BC52E4">
              <w:rPr>
                <w:bdr w:val="nil"/>
                <w:lang w:val="en-GB"/>
              </w:rPr>
              <w:t>p</w:t>
            </w:r>
            <w:r w:rsidRPr="000269CF">
              <w:rPr>
                <w:bdr w:val="nil"/>
                <w:lang w:val="en-GB"/>
              </w:rPr>
              <w:t xml:space="preserve">rice </w:t>
            </w:r>
            <w:r w:rsidR="00FD5754">
              <w:rPr>
                <w:bdr w:val="nil"/>
                <w:lang w:val="en-GB"/>
              </w:rPr>
              <w:t>(</w:t>
            </w:r>
            <w:r w:rsidRPr="000269CF">
              <w:rPr>
                <w:bdr w:val="nil"/>
                <w:lang w:val="en-GB"/>
              </w:rPr>
              <w:t xml:space="preserve">as of </w:t>
            </w:r>
            <w:r w:rsidR="00FD5754">
              <w:rPr>
                <w:bdr w:val="nil"/>
                <w:lang w:val="en-GB"/>
              </w:rPr>
              <w:t xml:space="preserve">December </w:t>
            </w:r>
            <w:r w:rsidRPr="000269CF">
              <w:rPr>
                <w:bdr w:val="nil"/>
                <w:lang w:val="en-GB"/>
              </w:rPr>
              <w:t>31</w:t>
            </w:r>
            <w:r w:rsidR="00FD5754">
              <w:rPr>
                <w:bdr w:val="nil"/>
                <w:lang w:val="en-GB"/>
              </w:rPr>
              <w:t>)</w:t>
            </w:r>
          </w:p>
        </w:tc>
        <w:tc>
          <w:tcPr>
            <w:tcW w:w="986" w:type="dxa"/>
            <w:noWrap/>
            <w:hideMark/>
          </w:tcPr>
          <w:p w14:paraId="693108E4" w14:textId="30006EC1" w:rsidR="005C0F19" w:rsidRPr="000269CF" w:rsidRDefault="005C0F19" w:rsidP="00352D8D">
            <w:pPr>
              <w:pStyle w:val="ExhibitText"/>
              <w:jc w:val="right"/>
              <w:rPr>
                <w:bdr w:val="nil"/>
                <w:lang w:val="en-GB"/>
              </w:rPr>
            </w:pPr>
            <w:r w:rsidRPr="000269CF">
              <w:rPr>
                <w:bdr w:val="nil"/>
                <w:lang w:val="en-GB"/>
              </w:rPr>
              <w:t xml:space="preserve">185.59 </w:t>
            </w:r>
          </w:p>
        </w:tc>
        <w:tc>
          <w:tcPr>
            <w:tcW w:w="986" w:type="dxa"/>
            <w:noWrap/>
            <w:hideMark/>
          </w:tcPr>
          <w:p w14:paraId="192EFB6E" w14:textId="1BA5BB35" w:rsidR="005C0F19" w:rsidRPr="000269CF" w:rsidRDefault="005C0F19" w:rsidP="00352D8D">
            <w:pPr>
              <w:pStyle w:val="ExhibitText"/>
              <w:jc w:val="right"/>
              <w:rPr>
                <w:bdr w:val="nil"/>
                <w:lang w:val="en-GB"/>
              </w:rPr>
            </w:pPr>
            <w:r w:rsidRPr="000269CF">
              <w:rPr>
                <w:bdr w:val="nil"/>
                <w:lang w:val="en-GB"/>
              </w:rPr>
              <w:t xml:space="preserve">152.06 </w:t>
            </w:r>
          </w:p>
        </w:tc>
        <w:tc>
          <w:tcPr>
            <w:tcW w:w="986" w:type="dxa"/>
            <w:noWrap/>
            <w:hideMark/>
          </w:tcPr>
          <w:p w14:paraId="3A707451" w14:textId="400B929B" w:rsidR="005C0F19" w:rsidRPr="000269CF" w:rsidRDefault="005C0F19" w:rsidP="00352D8D">
            <w:pPr>
              <w:pStyle w:val="ExhibitText"/>
              <w:jc w:val="right"/>
              <w:rPr>
                <w:bdr w:val="nil"/>
                <w:lang w:val="en-GB"/>
              </w:rPr>
            </w:pPr>
            <w:r w:rsidRPr="000269CF">
              <w:rPr>
                <w:bdr w:val="nil"/>
                <w:lang w:val="en-GB"/>
              </w:rPr>
              <w:t xml:space="preserve">135.50 </w:t>
            </w:r>
          </w:p>
        </w:tc>
        <w:tc>
          <w:tcPr>
            <w:tcW w:w="986" w:type="dxa"/>
            <w:noWrap/>
            <w:hideMark/>
          </w:tcPr>
          <w:p w14:paraId="072B1A9A" w14:textId="1704208C" w:rsidR="005C0F19" w:rsidRPr="000269CF" w:rsidRDefault="005C0F19" w:rsidP="00352D8D">
            <w:pPr>
              <w:pStyle w:val="ExhibitText"/>
              <w:jc w:val="right"/>
              <w:rPr>
                <w:bdr w:val="nil"/>
                <w:lang w:val="en-GB"/>
              </w:rPr>
            </w:pPr>
            <w:r w:rsidRPr="000269CF">
              <w:rPr>
                <w:bdr w:val="nil"/>
                <w:lang w:val="en-GB"/>
              </w:rPr>
              <w:t xml:space="preserve">95.18 </w:t>
            </w:r>
          </w:p>
        </w:tc>
        <w:tc>
          <w:tcPr>
            <w:tcW w:w="986" w:type="dxa"/>
            <w:noWrap/>
            <w:hideMark/>
          </w:tcPr>
          <w:p w14:paraId="1BA82AE3" w14:textId="14616557" w:rsidR="005C0F19" w:rsidRPr="000269CF" w:rsidRDefault="005C0F19" w:rsidP="00352D8D">
            <w:pPr>
              <w:pStyle w:val="ExhibitText"/>
              <w:jc w:val="right"/>
              <w:rPr>
                <w:bdr w:val="nil"/>
                <w:lang w:val="en-GB"/>
              </w:rPr>
            </w:pPr>
            <w:r w:rsidRPr="000269CF">
              <w:rPr>
                <w:bdr w:val="nil"/>
                <w:lang w:val="en-GB"/>
              </w:rPr>
              <w:t xml:space="preserve">63.57 </w:t>
            </w:r>
          </w:p>
        </w:tc>
      </w:tr>
      <w:tr w:rsidR="005C0F19" w:rsidRPr="000269CF" w14:paraId="796D8A2D" w14:textId="77777777" w:rsidTr="00141D0C">
        <w:trPr>
          <w:trHeight w:val="70"/>
          <w:jc w:val="center"/>
        </w:trPr>
        <w:tc>
          <w:tcPr>
            <w:tcW w:w="4383" w:type="dxa"/>
            <w:noWrap/>
            <w:hideMark/>
          </w:tcPr>
          <w:p w14:paraId="3181F360" w14:textId="0CDCD574" w:rsidR="005C0F19" w:rsidRPr="000269CF" w:rsidRDefault="005C0F19" w:rsidP="00352D8D">
            <w:pPr>
              <w:pStyle w:val="ExhibitText"/>
              <w:jc w:val="left"/>
              <w:rPr>
                <w:bdr w:val="nil"/>
                <w:lang w:val="en-GB"/>
              </w:rPr>
            </w:pPr>
            <w:r w:rsidRPr="000269CF">
              <w:rPr>
                <w:bdr w:val="nil"/>
                <w:lang w:val="en-GB"/>
              </w:rPr>
              <w:t xml:space="preserve">Number of </w:t>
            </w:r>
            <w:r w:rsidR="00BC52E4">
              <w:rPr>
                <w:bdr w:val="nil"/>
                <w:lang w:val="en-GB"/>
              </w:rPr>
              <w:t>s</w:t>
            </w:r>
            <w:r w:rsidRPr="000269CF">
              <w:rPr>
                <w:bdr w:val="nil"/>
                <w:lang w:val="en-GB"/>
              </w:rPr>
              <w:t xml:space="preserve">hares </w:t>
            </w:r>
            <w:r w:rsidR="00BC52E4">
              <w:rPr>
                <w:bdr w:val="nil"/>
                <w:lang w:val="en-GB"/>
              </w:rPr>
              <w:t>o</w:t>
            </w:r>
            <w:r w:rsidRPr="000269CF">
              <w:rPr>
                <w:bdr w:val="nil"/>
                <w:lang w:val="en-GB"/>
              </w:rPr>
              <w:t>utstanding (</w:t>
            </w:r>
            <w:r w:rsidR="00FD5754">
              <w:rPr>
                <w:bdr w:val="nil"/>
                <w:lang w:val="en-GB"/>
              </w:rPr>
              <w:t xml:space="preserve">in </w:t>
            </w:r>
            <w:r w:rsidR="00BC52E4">
              <w:rPr>
                <w:bdr w:val="nil"/>
                <w:lang w:val="en-GB"/>
              </w:rPr>
              <w:t>m</w:t>
            </w:r>
            <w:r w:rsidRPr="000269CF">
              <w:rPr>
                <w:bdr w:val="nil"/>
                <w:lang w:val="en-GB"/>
              </w:rPr>
              <w:t>illion)</w:t>
            </w:r>
          </w:p>
        </w:tc>
        <w:tc>
          <w:tcPr>
            <w:tcW w:w="986" w:type="dxa"/>
            <w:noWrap/>
            <w:hideMark/>
          </w:tcPr>
          <w:p w14:paraId="61626E48" w14:textId="0D89FE11" w:rsidR="005C0F19" w:rsidRPr="000269CF" w:rsidRDefault="005C0F19" w:rsidP="00352D8D">
            <w:pPr>
              <w:pStyle w:val="ExhibitText"/>
              <w:jc w:val="right"/>
              <w:rPr>
                <w:bdr w:val="nil"/>
                <w:lang w:val="en-GB"/>
              </w:rPr>
            </w:pPr>
            <w:r w:rsidRPr="000269CF">
              <w:rPr>
                <w:bdr w:val="nil"/>
                <w:lang w:val="en-GB"/>
              </w:rPr>
              <w:t xml:space="preserve">283.30 </w:t>
            </w:r>
          </w:p>
        </w:tc>
        <w:tc>
          <w:tcPr>
            <w:tcW w:w="986" w:type="dxa"/>
            <w:noWrap/>
            <w:hideMark/>
          </w:tcPr>
          <w:p w14:paraId="182DBA24" w14:textId="180EDEE7" w:rsidR="005C0F19" w:rsidRPr="000269CF" w:rsidRDefault="005C0F19" w:rsidP="00352D8D">
            <w:pPr>
              <w:pStyle w:val="ExhibitText"/>
              <w:jc w:val="right"/>
              <w:rPr>
                <w:bdr w:val="nil"/>
                <w:lang w:val="en-GB"/>
              </w:rPr>
            </w:pPr>
            <w:r w:rsidRPr="000269CF">
              <w:rPr>
                <w:bdr w:val="nil"/>
                <w:lang w:val="en-GB"/>
              </w:rPr>
              <w:t xml:space="preserve">280.80 </w:t>
            </w:r>
          </w:p>
        </w:tc>
        <w:tc>
          <w:tcPr>
            <w:tcW w:w="986" w:type="dxa"/>
            <w:noWrap/>
            <w:hideMark/>
          </w:tcPr>
          <w:p w14:paraId="2D4AC5D4" w14:textId="4EAD2187" w:rsidR="005C0F19" w:rsidRPr="000269CF" w:rsidRDefault="005C0F19" w:rsidP="00352D8D">
            <w:pPr>
              <w:pStyle w:val="ExhibitText"/>
              <w:jc w:val="right"/>
              <w:rPr>
                <w:bdr w:val="nil"/>
                <w:lang w:val="en-GB"/>
              </w:rPr>
            </w:pPr>
            <w:r w:rsidRPr="000269CF">
              <w:rPr>
                <w:bdr w:val="nil"/>
                <w:lang w:val="en-GB"/>
              </w:rPr>
              <w:t xml:space="preserve">277.90 </w:t>
            </w:r>
          </w:p>
        </w:tc>
        <w:tc>
          <w:tcPr>
            <w:tcW w:w="986" w:type="dxa"/>
            <w:noWrap/>
            <w:hideMark/>
          </w:tcPr>
          <w:p w14:paraId="28942C2F" w14:textId="62EC2330" w:rsidR="005C0F19" w:rsidRPr="000269CF" w:rsidRDefault="005C0F19" w:rsidP="00352D8D">
            <w:pPr>
              <w:pStyle w:val="ExhibitText"/>
              <w:jc w:val="right"/>
              <w:rPr>
                <w:bdr w:val="nil"/>
                <w:lang w:val="en-GB"/>
              </w:rPr>
            </w:pPr>
            <w:r w:rsidRPr="000269CF">
              <w:rPr>
                <w:bdr w:val="nil"/>
                <w:lang w:val="en-GB"/>
              </w:rPr>
              <w:t xml:space="preserve">297.70 </w:t>
            </w:r>
          </w:p>
        </w:tc>
        <w:tc>
          <w:tcPr>
            <w:tcW w:w="986" w:type="dxa"/>
            <w:noWrap/>
            <w:hideMark/>
          </w:tcPr>
          <w:p w14:paraId="576FDC91" w14:textId="77798335" w:rsidR="005C0F19" w:rsidRPr="000269CF" w:rsidRDefault="005C0F19" w:rsidP="00352D8D">
            <w:pPr>
              <w:pStyle w:val="ExhibitText"/>
              <w:jc w:val="right"/>
              <w:rPr>
                <w:bdr w:val="nil"/>
                <w:lang w:val="en-GB"/>
              </w:rPr>
            </w:pPr>
            <w:r w:rsidRPr="000269CF">
              <w:rPr>
                <w:bdr w:val="nil"/>
                <w:lang w:val="en-GB"/>
              </w:rPr>
              <w:t xml:space="preserve">315.00 </w:t>
            </w:r>
          </w:p>
        </w:tc>
      </w:tr>
      <w:tr w:rsidR="005C0F19" w:rsidRPr="000269CF" w14:paraId="6486C66B" w14:textId="77777777" w:rsidTr="0061757A">
        <w:trPr>
          <w:trHeight w:val="67"/>
          <w:jc w:val="center"/>
        </w:trPr>
        <w:tc>
          <w:tcPr>
            <w:tcW w:w="4383" w:type="dxa"/>
            <w:noWrap/>
            <w:hideMark/>
          </w:tcPr>
          <w:p w14:paraId="0CA7447D" w14:textId="7C8BFDC5" w:rsidR="005C0F19" w:rsidRPr="000269CF" w:rsidRDefault="005C0F19" w:rsidP="00352D8D">
            <w:pPr>
              <w:pStyle w:val="ExhibitText"/>
              <w:jc w:val="left"/>
              <w:rPr>
                <w:bdr w:val="nil"/>
                <w:lang w:val="en-GB"/>
              </w:rPr>
            </w:pPr>
            <w:r w:rsidRPr="000269CF">
              <w:rPr>
                <w:bdr w:val="nil"/>
                <w:lang w:val="en-GB"/>
              </w:rPr>
              <w:t xml:space="preserve">Earnings per </w:t>
            </w:r>
            <w:r w:rsidR="00BC52E4">
              <w:rPr>
                <w:bdr w:val="nil"/>
                <w:lang w:val="en-GB"/>
              </w:rPr>
              <w:t>s</w:t>
            </w:r>
            <w:r w:rsidRPr="000269CF">
              <w:rPr>
                <w:bdr w:val="nil"/>
                <w:lang w:val="en-GB"/>
              </w:rPr>
              <w:t>hare (</w:t>
            </w:r>
            <w:r w:rsidR="00BC52E4">
              <w:rPr>
                <w:bdr w:val="nil"/>
                <w:lang w:val="en-GB"/>
              </w:rPr>
              <w:t>b</w:t>
            </w:r>
            <w:r w:rsidRPr="000269CF">
              <w:rPr>
                <w:bdr w:val="nil"/>
                <w:lang w:val="en-GB"/>
              </w:rPr>
              <w:t>asic)</w:t>
            </w:r>
          </w:p>
        </w:tc>
        <w:tc>
          <w:tcPr>
            <w:tcW w:w="986" w:type="dxa"/>
            <w:noWrap/>
            <w:hideMark/>
          </w:tcPr>
          <w:p w14:paraId="07FB2849" w14:textId="3269E47B" w:rsidR="005C0F19" w:rsidRPr="000269CF" w:rsidRDefault="005C0F19" w:rsidP="00352D8D">
            <w:pPr>
              <w:pStyle w:val="ExhibitText"/>
              <w:jc w:val="right"/>
              <w:rPr>
                <w:bdr w:val="nil"/>
                <w:lang w:val="en-GB"/>
              </w:rPr>
            </w:pPr>
            <w:r w:rsidRPr="000269CF">
              <w:rPr>
                <w:bdr w:val="nil"/>
                <w:lang w:val="en-GB"/>
              </w:rPr>
              <w:t xml:space="preserve">6.46 </w:t>
            </w:r>
          </w:p>
        </w:tc>
        <w:tc>
          <w:tcPr>
            <w:tcW w:w="986" w:type="dxa"/>
            <w:noWrap/>
            <w:hideMark/>
          </w:tcPr>
          <w:p w14:paraId="494526D3" w14:textId="236F0B4B" w:rsidR="005C0F19" w:rsidRPr="000269CF" w:rsidRDefault="005C0F19" w:rsidP="00352D8D">
            <w:pPr>
              <w:pStyle w:val="ExhibitText"/>
              <w:jc w:val="right"/>
              <w:rPr>
                <w:bdr w:val="nil"/>
                <w:lang w:val="en-GB"/>
              </w:rPr>
            </w:pPr>
            <w:r w:rsidRPr="000269CF">
              <w:rPr>
                <w:bdr w:val="nil"/>
                <w:lang w:val="en-GB"/>
              </w:rPr>
              <w:t xml:space="preserve">7.21 </w:t>
            </w:r>
          </w:p>
        </w:tc>
        <w:tc>
          <w:tcPr>
            <w:tcW w:w="986" w:type="dxa"/>
            <w:noWrap/>
            <w:hideMark/>
          </w:tcPr>
          <w:p w14:paraId="7CEF503B" w14:textId="7610F018" w:rsidR="005C0F19" w:rsidRPr="000269CF" w:rsidRDefault="005C0F19" w:rsidP="00352D8D">
            <w:pPr>
              <w:pStyle w:val="ExhibitText"/>
              <w:jc w:val="right"/>
              <w:rPr>
                <w:bdr w:val="nil"/>
                <w:lang w:val="en-GB"/>
              </w:rPr>
            </w:pPr>
            <w:r w:rsidRPr="000269CF">
              <w:rPr>
                <w:bdr w:val="nil"/>
                <w:lang w:val="en-GB"/>
              </w:rPr>
              <w:t xml:space="preserve">6.76 </w:t>
            </w:r>
          </w:p>
        </w:tc>
        <w:tc>
          <w:tcPr>
            <w:tcW w:w="986" w:type="dxa"/>
            <w:noWrap/>
            <w:hideMark/>
          </w:tcPr>
          <w:p w14:paraId="03E5D0A3" w14:textId="02D7BD3C" w:rsidR="005C0F19" w:rsidRPr="000269CF" w:rsidRDefault="005C0F19" w:rsidP="00352D8D">
            <w:pPr>
              <w:pStyle w:val="ExhibitText"/>
              <w:jc w:val="right"/>
              <w:rPr>
                <w:bdr w:val="nil"/>
                <w:lang w:val="en-GB"/>
              </w:rPr>
            </w:pPr>
            <w:r w:rsidRPr="000269CF">
              <w:rPr>
                <w:bdr w:val="nil"/>
                <w:lang w:val="en-GB"/>
              </w:rPr>
              <w:t xml:space="preserve">6.97 </w:t>
            </w:r>
          </w:p>
        </w:tc>
        <w:tc>
          <w:tcPr>
            <w:tcW w:w="986" w:type="dxa"/>
            <w:noWrap/>
            <w:hideMark/>
          </w:tcPr>
          <w:p w14:paraId="2281B198" w14:textId="29836BA8" w:rsidR="005C0F19" w:rsidRPr="000269CF" w:rsidRDefault="005C0F19" w:rsidP="00352D8D">
            <w:pPr>
              <w:pStyle w:val="ExhibitText"/>
              <w:jc w:val="right"/>
              <w:rPr>
                <w:bdr w:val="nil"/>
                <w:lang w:val="en-GB"/>
              </w:rPr>
            </w:pPr>
            <w:r w:rsidRPr="000269CF">
              <w:rPr>
                <w:bdr w:val="nil"/>
                <w:lang w:val="en-GB"/>
              </w:rPr>
              <w:t xml:space="preserve">5.02 </w:t>
            </w:r>
          </w:p>
        </w:tc>
      </w:tr>
    </w:tbl>
    <w:p w14:paraId="1D31A838" w14:textId="77777777" w:rsidR="00352D8D" w:rsidRPr="00141D0C" w:rsidRDefault="00352D8D" w:rsidP="00141D0C">
      <w:pPr>
        <w:pStyle w:val="BodyTextMain"/>
        <w:rPr>
          <w:rFonts w:eastAsia="Calibri"/>
        </w:rPr>
      </w:pPr>
    </w:p>
    <w:p w14:paraId="6A431A5F" w14:textId="3775916F" w:rsidR="00352D8D" w:rsidRPr="000269CF" w:rsidRDefault="00FD5754" w:rsidP="00352D8D">
      <w:pPr>
        <w:pStyle w:val="Footnote"/>
        <w:rPr>
          <w:lang w:val="en-GB"/>
        </w:rPr>
      </w:pPr>
      <w:r>
        <w:rPr>
          <w:rFonts w:eastAsia="Calibri"/>
          <w:lang w:val="en-GB"/>
        </w:rPr>
        <w:t xml:space="preserve">Note: * </w:t>
      </w:r>
      <w:r w:rsidR="00352D8D" w:rsidRPr="000269CF">
        <w:rPr>
          <w:rFonts w:eastAsia="Calibri"/>
          <w:lang w:val="en-GB"/>
        </w:rPr>
        <w:t xml:space="preserve">Cost categories restated starting </w:t>
      </w:r>
      <w:r>
        <w:rPr>
          <w:rFonts w:eastAsia="Calibri"/>
          <w:lang w:val="en-GB"/>
        </w:rPr>
        <w:t>in 2013;</w:t>
      </w:r>
      <w:r w:rsidR="00352D8D" w:rsidRPr="000269CF">
        <w:rPr>
          <w:rFonts w:eastAsia="Calibri"/>
          <w:lang w:val="en-GB"/>
        </w:rPr>
        <w:t xml:space="preserve"> </w:t>
      </w:r>
      <w:r>
        <w:rPr>
          <w:rFonts w:eastAsia="Calibri"/>
          <w:lang w:val="en-GB"/>
        </w:rPr>
        <w:t>t</w:t>
      </w:r>
      <w:r w:rsidR="00352D8D" w:rsidRPr="000269CF">
        <w:rPr>
          <w:rFonts w:eastAsia="Calibri"/>
          <w:lang w:val="en-GB"/>
        </w:rPr>
        <w:t>he</w:t>
      </w:r>
      <w:r>
        <w:rPr>
          <w:rFonts w:eastAsia="Calibri"/>
          <w:lang w:val="en-GB"/>
        </w:rPr>
        <w:t>refore,</w:t>
      </w:r>
      <w:r w:rsidR="00352D8D" w:rsidRPr="000269CF">
        <w:rPr>
          <w:rFonts w:eastAsia="Calibri"/>
          <w:lang w:val="en-GB"/>
        </w:rPr>
        <w:t xml:space="preserve"> </w:t>
      </w:r>
      <w:r>
        <w:rPr>
          <w:rFonts w:eastAsia="Calibri"/>
          <w:lang w:val="en-GB"/>
        </w:rPr>
        <w:t>previous years</w:t>
      </w:r>
      <w:r w:rsidR="00BC52E4">
        <w:rPr>
          <w:rFonts w:eastAsia="Calibri"/>
          <w:lang w:val="en-GB"/>
        </w:rPr>
        <w:t>’</w:t>
      </w:r>
      <w:r>
        <w:rPr>
          <w:rFonts w:eastAsia="Calibri"/>
          <w:lang w:val="en-GB"/>
        </w:rPr>
        <w:t xml:space="preserve"> </w:t>
      </w:r>
      <w:r w:rsidR="00352D8D" w:rsidRPr="000269CF">
        <w:rPr>
          <w:rFonts w:eastAsia="Calibri"/>
          <w:lang w:val="en-GB"/>
        </w:rPr>
        <w:t>data not available</w:t>
      </w:r>
      <w:r w:rsidR="0061757A">
        <w:rPr>
          <w:rFonts w:eastAsia="Calibri"/>
          <w:lang w:val="en-GB"/>
        </w:rPr>
        <w:t xml:space="preserve">; </w:t>
      </w:r>
      <w:r w:rsidR="0061757A">
        <w:rPr>
          <w:rFonts w:eastAsia="Arial Unicode MS"/>
          <w:bdr w:val="nil"/>
          <w:lang w:val="en-GB"/>
        </w:rPr>
        <w:t>EBIT = earnings before interest and taxes; EBITDA = earnings before interest, taxes, depreciation, and amortization</w:t>
      </w:r>
      <w:r w:rsidR="00141D0C">
        <w:rPr>
          <w:rFonts w:eastAsia="Arial Unicode MS"/>
          <w:bdr w:val="nil"/>
          <w:lang w:val="en-GB"/>
        </w:rPr>
        <w:t>.</w:t>
      </w:r>
    </w:p>
    <w:p w14:paraId="41F7B8A3" w14:textId="34590E1D" w:rsidR="001A23EF" w:rsidRPr="0062224A" w:rsidRDefault="001A23EF" w:rsidP="00352D8D">
      <w:pPr>
        <w:pStyle w:val="Footnote"/>
        <w:rPr>
          <w:rFonts w:eastAsia="Calibri"/>
          <w:lang w:val="en-GB"/>
        </w:rPr>
      </w:pPr>
      <w:r w:rsidRPr="0062224A">
        <w:rPr>
          <w:lang w:val="en-GB"/>
        </w:rPr>
        <w:t xml:space="preserve">Source: Time Warner Cable, Inc., </w:t>
      </w:r>
      <w:r w:rsidR="0061757A" w:rsidRPr="0062224A">
        <w:rPr>
          <w:lang w:val="en-GB"/>
        </w:rPr>
        <w:t>“</w:t>
      </w:r>
      <w:r w:rsidRPr="0062224A">
        <w:rPr>
          <w:lang w:val="en-GB"/>
        </w:rPr>
        <w:t>Annual Report,</w:t>
      </w:r>
      <w:r w:rsidR="00B25874" w:rsidRPr="0062224A">
        <w:rPr>
          <w:lang w:val="en-GB"/>
        </w:rPr>
        <w:t xml:space="preserve"> 2016</w:t>
      </w:r>
      <w:r w:rsidR="00BC52E4">
        <w:rPr>
          <w:lang w:val="en-GB"/>
        </w:rPr>
        <w:t>,</w:t>
      </w:r>
      <w:r w:rsidR="0061757A" w:rsidRPr="0062224A">
        <w:rPr>
          <w:lang w:val="en-GB"/>
        </w:rPr>
        <w:t>”</w:t>
      </w:r>
      <w:r w:rsidRPr="0062224A">
        <w:rPr>
          <w:lang w:val="en-GB"/>
        </w:rPr>
        <w:t xml:space="preserve"> </w:t>
      </w:r>
      <w:proofErr w:type="spellStart"/>
      <w:r w:rsidRPr="0062224A">
        <w:rPr>
          <w:lang w:val="en-GB"/>
        </w:rPr>
        <w:t>Mergent</w:t>
      </w:r>
      <w:proofErr w:type="spellEnd"/>
      <w:r w:rsidRPr="0062224A">
        <w:rPr>
          <w:lang w:val="en-GB"/>
        </w:rPr>
        <w:t xml:space="preserve"> Online</w:t>
      </w:r>
      <w:r w:rsidR="00B25874" w:rsidRPr="0062224A">
        <w:rPr>
          <w:lang w:val="en-GB"/>
        </w:rPr>
        <w:t xml:space="preserve"> (Company analysis) FTSE Russell</w:t>
      </w:r>
      <w:r w:rsidRPr="0062224A">
        <w:rPr>
          <w:lang w:val="en-GB"/>
        </w:rPr>
        <w:t xml:space="preserve">, </w:t>
      </w:r>
      <w:r w:rsidR="00352D8D" w:rsidRPr="0062224A">
        <w:rPr>
          <w:lang w:val="en-GB"/>
        </w:rPr>
        <w:t>accessed March 10, 2017.</w:t>
      </w:r>
    </w:p>
    <w:p w14:paraId="0E826348" w14:textId="659F80BE" w:rsidR="001A23EF" w:rsidRPr="00141D0C" w:rsidRDefault="001A23EF" w:rsidP="00141D0C">
      <w:pPr>
        <w:pStyle w:val="BodyTextMain"/>
        <w:rPr>
          <w:rFonts w:eastAsia="Calibri"/>
          <w:bdr w:val="nil"/>
          <w:lang w:val="en-GB"/>
        </w:rPr>
      </w:pPr>
    </w:p>
    <w:p w14:paraId="331AEFF0" w14:textId="77777777" w:rsidR="0061757A" w:rsidRPr="00141D0C" w:rsidRDefault="0061757A" w:rsidP="00141D0C">
      <w:pPr>
        <w:pStyle w:val="BodyTextMain"/>
        <w:rPr>
          <w:rFonts w:eastAsia="Calibri"/>
          <w:bdr w:val="nil"/>
          <w:lang w:val="en-GB"/>
        </w:rPr>
      </w:pPr>
    </w:p>
    <w:p w14:paraId="4DEEB631" w14:textId="77777777" w:rsidR="001A23EF" w:rsidRPr="000269CF" w:rsidRDefault="001A23EF" w:rsidP="001A23EF">
      <w:pPr>
        <w:pStyle w:val="ExhibitHeading"/>
        <w:rPr>
          <w:rFonts w:eastAsia="Arial Unicode MS"/>
          <w:bdr w:val="nil"/>
          <w:lang w:val="en-GB"/>
        </w:rPr>
      </w:pPr>
      <w:r w:rsidRPr="000269CF">
        <w:rPr>
          <w:rFonts w:eastAsia="Arial Unicode MS"/>
          <w:bdr w:val="nil"/>
          <w:lang w:val="en-GB"/>
        </w:rPr>
        <w:t>Exhibit 5: Charter Communications Inc. Key Financials</w:t>
      </w:r>
    </w:p>
    <w:p w14:paraId="31459C68" w14:textId="41437220" w:rsidR="001A23EF" w:rsidRPr="000269CF" w:rsidRDefault="001A23EF" w:rsidP="001A23EF">
      <w:pPr>
        <w:pStyle w:val="ExhibitHeading"/>
        <w:rPr>
          <w:rFonts w:eastAsia="Arial Unicode MS"/>
          <w:bdr w:val="nil"/>
          <w:lang w:val="en-GB"/>
        </w:rPr>
      </w:pPr>
      <w:r w:rsidRPr="000269CF">
        <w:rPr>
          <w:rFonts w:eastAsia="Arial Unicode MS"/>
          <w:bdr w:val="nil"/>
          <w:lang w:val="en-GB"/>
        </w:rPr>
        <w:t xml:space="preserve">(in </w:t>
      </w:r>
      <w:r w:rsidR="0061757A">
        <w:rPr>
          <w:rFonts w:eastAsia="Arial Unicode MS"/>
          <w:bdr w:val="nil"/>
          <w:lang w:val="en-GB"/>
        </w:rPr>
        <w:t xml:space="preserve">US$ </w:t>
      </w:r>
      <w:r w:rsidRPr="000269CF">
        <w:rPr>
          <w:rFonts w:eastAsia="Arial Unicode MS"/>
          <w:bdr w:val="nil"/>
          <w:lang w:val="en-GB"/>
        </w:rPr>
        <w:t>million, excluding per share data and financial ratios)</w:t>
      </w:r>
    </w:p>
    <w:p w14:paraId="18719D60" w14:textId="77777777" w:rsidR="008B0E13" w:rsidRPr="00141D0C" w:rsidRDefault="008B0E13" w:rsidP="00141D0C">
      <w:pPr>
        <w:pStyle w:val="BodyTextMain"/>
        <w:rPr>
          <w:rFonts w:eastAsia="Arial Unicode MS"/>
        </w:rPr>
      </w:pPr>
    </w:p>
    <w:tbl>
      <w:tblPr>
        <w:tblStyle w:val="TableGrid"/>
        <w:tblW w:w="9349" w:type="dxa"/>
        <w:jc w:val="center"/>
        <w:tblLook w:val="04A0" w:firstRow="1" w:lastRow="0" w:firstColumn="1" w:lastColumn="0" w:noHBand="0" w:noVBand="1"/>
      </w:tblPr>
      <w:tblGrid>
        <w:gridCol w:w="4374"/>
        <w:gridCol w:w="995"/>
        <w:gridCol w:w="995"/>
        <w:gridCol w:w="995"/>
        <w:gridCol w:w="995"/>
        <w:gridCol w:w="995"/>
      </w:tblGrid>
      <w:tr w:rsidR="001A23EF" w:rsidRPr="000269CF" w14:paraId="00A55648" w14:textId="77777777" w:rsidTr="0062224A">
        <w:trPr>
          <w:trHeight w:val="70"/>
          <w:jc w:val="center"/>
        </w:trPr>
        <w:tc>
          <w:tcPr>
            <w:tcW w:w="4374" w:type="dxa"/>
            <w:noWrap/>
            <w:hideMark/>
          </w:tcPr>
          <w:p w14:paraId="040F4064" w14:textId="4AA1E76B" w:rsidR="001A23EF" w:rsidRPr="000269CF" w:rsidRDefault="001A23EF" w:rsidP="00352D8D">
            <w:pPr>
              <w:pStyle w:val="ExhibitText"/>
              <w:rPr>
                <w:bdr w:val="nil"/>
                <w:lang w:val="en-GB"/>
              </w:rPr>
            </w:pPr>
          </w:p>
        </w:tc>
        <w:tc>
          <w:tcPr>
            <w:tcW w:w="995" w:type="dxa"/>
            <w:noWrap/>
            <w:vAlign w:val="center"/>
            <w:hideMark/>
          </w:tcPr>
          <w:p w14:paraId="5825E9CF" w14:textId="78611796" w:rsidR="001A23EF" w:rsidRPr="000269CF" w:rsidRDefault="001A23EF" w:rsidP="00352D8D">
            <w:pPr>
              <w:pStyle w:val="ExhibitText"/>
              <w:jc w:val="center"/>
              <w:rPr>
                <w:b/>
                <w:bCs/>
                <w:bdr w:val="nil"/>
                <w:lang w:val="en-GB"/>
              </w:rPr>
            </w:pPr>
            <w:r w:rsidRPr="000269CF">
              <w:rPr>
                <w:b/>
                <w:bCs/>
                <w:bdr w:val="nil"/>
                <w:lang w:val="en-GB"/>
              </w:rPr>
              <w:t>2015</w:t>
            </w:r>
          </w:p>
        </w:tc>
        <w:tc>
          <w:tcPr>
            <w:tcW w:w="995" w:type="dxa"/>
            <w:noWrap/>
            <w:vAlign w:val="center"/>
            <w:hideMark/>
          </w:tcPr>
          <w:p w14:paraId="41878DDB" w14:textId="3FD2D1F3" w:rsidR="001A23EF" w:rsidRPr="000269CF" w:rsidRDefault="001A23EF" w:rsidP="00352D8D">
            <w:pPr>
              <w:pStyle w:val="ExhibitText"/>
              <w:jc w:val="center"/>
              <w:rPr>
                <w:b/>
                <w:bCs/>
                <w:bdr w:val="nil"/>
                <w:lang w:val="en-GB"/>
              </w:rPr>
            </w:pPr>
            <w:r w:rsidRPr="000269CF">
              <w:rPr>
                <w:b/>
                <w:bCs/>
                <w:bdr w:val="nil"/>
                <w:lang w:val="en-GB"/>
              </w:rPr>
              <w:t>2014</w:t>
            </w:r>
          </w:p>
        </w:tc>
        <w:tc>
          <w:tcPr>
            <w:tcW w:w="995" w:type="dxa"/>
            <w:noWrap/>
            <w:vAlign w:val="center"/>
            <w:hideMark/>
          </w:tcPr>
          <w:p w14:paraId="0859D45E" w14:textId="15CD25E1" w:rsidR="001A23EF" w:rsidRPr="000269CF" w:rsidRDefault="001A23EF" w:rsidP="00352D8D">
            <w:pPr>
              <w:pStyle w:val="ExhibitText"/>
              <w:jc w:val="center"/>
              <w:rPr>
                <w:b/>
                <w:bCs/>
                <w:bdr w:val="nil"/>
                <w:lang w:val="en-GB"/>
              </w:rPr>
            </w:pPr>
            <w:r w:rsidRPr="000269CF">
              <w:rPr>
                <w:b/>
                <w:bCs/>
                <w:bdr w:val="nil"/>
                <w:lang w:val="en-GB"/>
              </w:rPr>
              <w:t>2013</w:t>
            </w:r>
          </w:p>
        </w:tc>
        <w:tc>
          <w:tcPr>
            <w:tcW w:w="995" w:type="dxa"/>
            <w:noWrap/>
            <w:vAlign w:val="center"/>
            <w:hideMark/>
          </w:tcPr>
          <w:p w14:paraId="7934CA66" w14:textId="7A32F0F7" w:rsidR="001A23EF" w:rsidRPr="000269CF" w:rsidRDefault="001A23EF" w:rsidP="00352D8D">
            <w:pPr>
              <w:pStyle w:val="ExhibitText"/>
              <w:jc w:val="center"/>
              <w:rPr>
                <w:b/>
                <w:bCs/>
                <w:bdr w:val="nil"/>
                <w:lang w:val="en-GB"/>
              </w:rPr>
            </w:pPr>
            <w:r w:rsidRPr="000269CF">
              <w:rPr>
                <w:b/>
                <w:bCs/>
                <w:bdr w:val="nil"/>
                <w:lang w:val="en-GB"/>
              </w:rPr>
              <w:t>2012</w:t>
            </w:r>
          </w:p>
        </w:tc>
        <w:tc>
          <w:tcPr>
            <w:tcW w:w="995" w:type="dxa"/>
            <w:noWrap/>
            <w:vAlign w:val="center"/>
            <w:hideMark/>
          </w:tcPr>
          <w:p w14:paraId="7945AA5B" w14:textId="0F5337D5" w:rsidR="001A23EF" w:rsidRPr="000269CF" w:rsidRDefault="001A23EF" w:rsidP="00352D8D">
            <w:pPr>
              <w:pStyle w:val="ExhibitText"/>
              <w:jc w:val="center"/>
              <w:rPr>
                <w:b/>
                <w:bCs/>
                <w:bdr w:val="nil"/>
                <w:lang w:val="en-GB"/>
              </w:rPr>
            </w:pPr>
            <w:r w:rsidRPr="000269CF">
              <w:rPr>
                <w:b/>
                <w:bCs/>
                <w:bdr w:val="nil"/>
                <w:lang w:val="en-GB"/>
              </w:rPr>
              <w:t>2011</w:t>
            </w:r>
          </w:p>
        </w:tc>
      </w:tr>
      <w:tr w:rsidR="001A23EF" w:rsidRPr="000269CF" w14:paraId="1B3787E5" w14:textId="77777777" w:rsidTr="00141D0C">
        <w:trPr>
          <w:trHeight w:val="70"/>
          <w:jc w:val="center"/>
        </w:trPr>
        <w:tc>
          <w:tcPr>
            <w:tcW w:w="4374" w:type="dxa"/>
            <w:noWrap/>
            <w:hideMark/>
          </w:tcPr>
          <w:p w14:paraId="61EBA6F3" w14:textId="50422EDB" w:rsidR="001A23EF" w:rsidRPr="000269CF" w:rsidRDefault="001A23EF" w:rsidP="00352D8D">
            <w:pPr>
              <w:pStyle w:val="ExhibitText"/>
              <w:jc w:val="left"/>
              <w:rPr>
                <w:bdr w:val="nil"/>
                <w:lang w:val="en-GB"/>
              </w:rPr>
            </w:pPr>
            <w:r w:rsidRPr="000269CF">
              <w:rPr>
                <w:bdr w:val="nil"/>
                <w:lang w:val="en-GB"/>
              </w:rPr>
              <w:t xml:space="preserve">Cash and </w:t>
            </w:r>
            <w:r w:rsidR="00EF4CB4">
              <w:rPr>
                <w:bdr w:val="nil"/>
                <w:lang w:val="en-GB"/>
              </w:rPr>
              <w:t>s</w:t>
            </w:r>
            <w:r w:rsidRPr="000269CF">
              <w:rPr>
                <w:bdr w:val="nil"/>
                <w:lang w:val="en-GB"/>
              </w:rPr>
              <w:t>hort-</w:t>
            </w:r>
            <w:r w:rsidR="00EF4CB4">
              <w:rPr>
                <w:bdr w:val="nil"/>
                <w:lang w:val="en-GB"/>
              </w:rPr>
              <w:t>t</w:t>
            </w:r>
            <w:r w:rsidRPr="000269CF">
              <w:rPr>
                <w:bdr w:val="nil"/>
                <w:lang w:val="en-GB"/>
              </w:rPr>
              <w:t xml:space="preserve">erm </w:t>
            </w:r>
            <w:r w:rsidR="00EF4CB4">
              <w:rPr>
                <w:bdr w:val="nil"/>
                <w:lang w:val="en-GB"/>
              </w:rPr>
              <w:t>i</w:t>
            </w:r>
            <w:r w:rsidRPr="000269CF">
              <w:rPr>
                <w:bdr w:val="nil"/>
                <w:lang w:val="en-GB"/>
              </w:rPr>
              <w:t>nvestments</w:t>
            </w:r>
          </w:p>
        </w:tc>
        <w:tc>
          <w:tcPr>
            <w:tcW w:w="995" w:type="dxa"/>
            <w:noWrap/>
            <w:hideMark/>
          </w:tcPr>
          <w:p w14:paraId="2870AB38" w14:textId="4037D1AE" w:rsidR="001A23EF" w:rsidRPr="000269CF" w:rsidRDefault="001A23EF" w:rsidP="00352D8D">
            <w:pPr>
              <w:pStyle w:val="ExhibitText"/>
              <w:jc w:val="right"/>
              <w:rPr>
                <w:bdr w:val="nil"/>
                <w:lang w:val="en-GB"/>
              </w:rPr>
            </w:pPr>
            <w:r w:rsidRPr="000269CF">
              <w:rPr>
                <w:bdr w:val="nil"/>
                <w:lang w:val="en-GB"/>
              </w:rPr>
              <w:t>5</w:t>
            </w:r>
          </w:p>
        </w:tc>
        <w:tc>
          <w:tcPr>
            <w:tcW w:w="995" w:type="dxa"/>
            <w:noWrap/>
            <w:hideMark/>
          </w:tcPr>
          <w:p w14:paraId="05655AB7" w14:textId="79C70FB9" w:rsidR="001A23EF" w:rsidRPr="000269CF" w:rsidRDefault="001A23EF" w:rsidP="00352D8D">
            <w:pPr>
              <w:pStyle w:val="ExhibitText"/>
              <w:jc w:val="right"/>
              <w:rPr>
                <w:bdr w:val="nil"/>
                <w:lang w:val="en-GB"/>
              </w:rPr>
            </w:pPr>
            <w:r w:rsidRPr="000269CF">
              <w:rPr>
                <w:bdr w:val="nil"/>
                <w:lang w:val="en-GB"/>
              </w:rPr>
              <w:t>3</w:t>
            </w:r>
          </w:p>
        </w:tc>
        <w:tc>
          <w:tcPr>
            <w:tcW w:w="995" w:type="dxa"/>
            <w:noWrap/>
            <w:hideMark/>
          </w:tcPr>
          <w:p w14:paraId="1C55CA04" w14:textId="64B327C3" w:rsidR="001A23EF" w:rsidRPr="000269CF" w:rsidRDefault="001A23EF" w:rsidP="00352D8D">
            <w:pPr>
              <w:pStyle w:val="ExhibitText"/>
              <w:jc w:val="right"/>
              <w:rPr>
                <w:bdr w:val="nil"/>
                <w:lang w:val="en-GB"/>
              </w:rPr>
            </w:pPr>
            <w:r w:rsidRPr="000269CF">
              <w:rPr>
                <w:bdr w:val="nil"/>
                <w:lang w:val="en-GB"/>
              </w:rPr>
              <w:t>21</w:t>
            </w:r>
          </w:p>
        </w:tc>
        <w:tc>
          <w:tcPr>
            <w:tcW w:w="995" w:type="dxa"/>
            <w:noWrap/>
            <w:hideMark/>
          </w:tcPr>
          <w:p w14:paraId="2233C363" w14:textId="3B0FACA6" w:rsidR="001A23EF" w:rsidRPr="000269CF" w:rsidRDefault="001A23EF" w:rsidP="00352D8D">
            <w:pPr>
              <w:pStyle w:val="ExhibitText"/>
              <w:jc w:val="right"/>
              <w:rPr>
                <w:bdr w:val="nil"/>
                <w:lang w:val="en-GB"/>
              </w:rPr>
            </w:pPr>
            <w:r w:rsidRPr="000269CF">
              <w:rPr>
                <w:bdr w:val="nil"/>
                <w:lang w:val="en-GB"/>
              </w:rPr>
              <w:t>34</w:t>
            </w:r>
          </w:p>
        </w:tc>
        <w:tc>
          <w:tcPr>
            <w:tcW w:w="995" w:type="dxa"/>
            <w:noWrap/>
            <w:hideMark/>
          </w:tcPr>
          <w:p w14:paraId="36DB6ED4" w14:textId="635F36E4" w:rsidR="001A23EF" w:rsidRPr="000269CF" w:rsidRDefault="001A23EF" w:rsidP="00352D8D">
            <w:pPr>
              <w:pStyle w:val="ExhibitText"/>
              <w:jc w:val="right"/>
              <w:rPr>
                <w:bdr w:val="nil"/>
                <w:lang w:val="en-GB"/>
              </w:rPr>
            </w:pPr>
            <w:r w:rsidRPr="000269CF">
              <w:rPr>
                <w:bdr w:val="nil"/>
                <w:lang w:val="en-GB"/>
              </w:rPr>
              <w:t>29</w:t>
            </w:r>
          </w:p>
        </w:tc>
      </w:tr>
      <w:tr w:rsidR="001A23EF" w:rsidRPr="000269CF" w14:paraId="3FF3DF21" w14:textId="77777777" w:rsidTr="00141D0C">
        <w:trPr>
          <w:trHeight w:val="70"/>
          <w:jc w:val="center"/>
        </w:trPr>
        <w:tc>
          <w:tcPr>
            <w:tcW w:w="4374" w:type="dxa"/>
            <w:noWrap/>
            <w:hideMark/>
          </w:tcPr>
          <w:p w14:paraId="0E2D8CBE" w14:textId="160C7688" w:rsidR="001A23EF" w:rsidRPr="000269CF" w:rsidRDefault="001A23EF" w:rsidP="00352D8D">
            <w:pPr>
              <w:pStyle w:val="ExhibitText"/>
              <w:jc w:val="left"/>
              <w:rPr>
                <w:b/>
                <w:bdr w:val="nil"/>
                <w:lang w:val="en-GB"/>
              </w:rPr>
            </w:pPr>
            <w:r w:rsidRPr="000269CF">
              <w:rPr>
                <w:b/>
                <w:bdr w:val="nil"/>
                <w:lang w:val="en-GB"/>
              </w:rPr>
              <w:t>Assets (</w:t>
            </w:r>
            <w:r w:rsidR="00EF4CB4">
              <w:rPr>
                <w:b/>
                <w:bdr w:val="nil"/>
                <w:lang w:val="en-GB"/>
              </w:rPr>
              <w:t>t</w:t>
            </w:r>
            <w:r w:rsidRPr="000269CF">
              <w:rPr>
                <w:b/>
                <w:bdr w:val="nil"/>
                <w:lang w:val="en-GB"/>
              </w:rPr>
              <w:t>otal)</w:t>
            </w:r>
          </w:p>
        </w:tc>
        <w:tc>
          <w:tcPr>
            <w:tcW w:w="995" w:type="dxa"/>
            <w:noWrap/>
            <w:hideMark/>
          </w:tcPr>
          <w:p w14:paraId="047D08CE" w14:textId="3873E9EF" w:rsidR="001A23EF" w:rsidRPr="000269CF" w:rsidRDefault="001A23EF" w:rsidP="00352D8D">
            <w:pPr>
              <w:pStyle w:val="ExhibitText"/>
              <w:jc w:val="right"/>
              <w:rPr>
                <w:b/>
                <w:bdr w:val="nil"/>
                <w:lang w:val="en-GB"/>
              </w:rPr>
            </w:pPr>
            <w:r w:rsidRPr="000269CF">
              <w:rPr>
                <w:b/>
                <w:bdr w:val="nil"/>
                <w:lang w:val="en-GB"/>
              </w:rPr>
              <w:t>39,316</w:t>
            </w:r>
          </w:p>
        </w:tc>
        <w:tc>
          <w:tcPr>
            <w:tcW w:w="995" w:type="dxa"/>
            <w:noWrap/>
            <w:hideMark/>
          </w:tcPr>
          <w:p w14:paraId="4BC767A7" w14:textId="52F0C51F" w:rsidR="001A23EF" w:rsidRPr="000269CF" w:rsidRDefault="001A23EF" w:rsidP="00352D8D">
            <w:pPr>
              <w:pStyle w:val="ExhibitText"/>
              <w:jc w:val="right"/>
              <w:rPr>
                <w:b/>
                <w:bdr w:val="nil"/>
                <w:lang w:val="en-GB"/>
              </w:rPr>
            </w:pPr>
            <w:r w:rsidRPr="000269CF">
              <w:rPr>
                <w:b/>
                <w:bdr w:val="nil"/>
                <w:lang w:val="en-GB"/>
              </w:rPr>
              <w:t>24,550</w:t>
            </w:r>
          </w:p>
        </w:tc>
        <w:tc>
          <w:tcPr>
            <w:tcW w:w="995" w:type="dxa"/>
            <w:noWrap/>
            <w:hideMark/>
          </w:tcPr>
          <w:p w14:paraId="3BE060F0" w14:textId="480951E9" w:rsidR="001A23EF" w:rsidRPr="000269CF" w:rsidRDefault="001A23EF" w:rsidP="00352D8D">
            <w:pPr>
              <w:pStyle w:val="ExhibitText"/>
              <w:jc w:val="right"/>
              <w:rPr>
                <w:b/>
                <w:bdr w:val="nil"/>
                <w:lang w:val="en-GB"/>
              </w:rPr>
            </w:pPr>
            <w:r w:rsidRPr="000269CF">
              <w:rPr>
                <w:b/>
                <w:bdr w:val="nil"/>
                <w:lang w:val="en-GB"/>
              </w:rPr>
              <w:t>17,295</w:t>
            </w:r>
          </w:p>
        </w:tc>
        <w:tc>
          <w:tcPr>
            <w:tcW w:w="995" w:type="dxa"/>
            <w:noWrap/>
            <w:hideMark/>
          </w:tcPr>
          <w:p w14:paraId="29F3A6EA" w14:textId="501E7231" w:rsidR="001A23EF" w:rsidRPr="000269CF" w:rsidRDefault="001A23EF" w:rsidP="00352D8D">
            <w:pPr>
              <w:pStyle w:val="ExhibitText"/>
              <w:jc w:val="right"/>
              <w:rPr>
                <w:b/>
                <w:bdr w:val="nil"/>
                <w:lang w:val="en-GB"/>
              </w:rPr>
            </w:pPr>
            <w:r w:rsidRPr="000269CF">
              <w:rPr>
                <w:b/>
                <w:bdr w:val="nil"/>
                <w:lang w:val="en-GB"/>
              </w:rPr>
              <w:t>15,599</w:t>
            </w:r>
          </w:p>
        </w:tc>
        <w:tc>
          <w:tcPr>
            <w:tcW w:w="995" w:type="dxa"/>
            <w:noWrap/>
            <w:hideMark/>
          </w:tcPr>
          <w:p w14:paraId="03571CAE" w14:textId="56C9B9D2" w:rsidR="001A23EF" w:rsidRPr="000269CF" w:rsidRDefault="001A23EF" w:rsidP="00352D8D">
            <w:pPr>
              <w:pStyle w:val="ExhibitText"/>
              <w:jc w:val="right"/>
              <w:rPr>
                <w:b/>
                <w:bdr w:val="nil"/>
                <w:lang w:val="en-GB"/>
              </w:rPr>
            </w:pPr>
            <w:r w:rsidRPr="000269CF">
              <w:rPr>
                <w:b/>
                <w:bdr w:val="nil"/>
                <w:lang w:val="en-GB"/>
              </w:rPr>
              <w:t>15,605</w:t>
            </w:r>
          </w:p>
        </w:tc>
      </w:tr>
      <w:tr w:rsidR="001A23EF" w:rsidRPr="000269CF" w14:paraId="53B49BF4" w14:textId="77777777" w:rsidTr="00141D0C">
        <w:trPr>
          <w:trHeight w:val="70"/>
          <w:jc w:val="center"/>
        </w:trPr>
        <w:tc>
          <w:tcPr>
            <w:tcW w:w="4374" w:type="dxa"/>
            <w:noWrap/>
            <w:hideMark/>
          </w:tcPr>
          <w:p w14:paraId="3A101399" w14:textId="6C1FF920" w:rsidR="001A23EF" w:rsidRPr="000269CF" w:rsidRDefault="001A23EF" w:rsidP="00352D8D">
            <w:pPr>
              <w:pStyle w:val="ExhibitText"/>
              <w:jc w:val="left"/>
              <w:rPr>
                <w:bdr w:val="nil"/>
                <w:lang w:val="en-GB"/>
              </w:rPr>
            </w:pPr>
            <w:r w:rsidRPr="000269CF">
              <w:rPr>
                <w:bdr w:val="nil"/>
                <w:lang w:val="en-GB"/>
              </w:rPr>
              <w:t>Long-</w:t>
            </w:r>
            <w:r w:rsidR="00EF4CB4">
              <w:rPr>
                <w:bdr w:val="nil"/>
                <w:lang w:val="en-GB"/>
              </w:rPr>
              <w:t>t</w:t>
            </w:r>
            <w:r w:rsidRPr="000269CF">
              <w:rPr>
                <w:bdr w:val="nil"/>
                <w:lang w:val="en-GB"/>
              </w:rPr>
              <w:t xml:space="preserve">erm </w:t>
            </w:r>
            <w:r w:rsidR="00EF4CB4">
              <w:rPr>
                <w:bdr w:val="nil"/>
                <w:lang w:val="en-GB"/>
              </w:rPr>
              <w:t>d</w:t>
            </w:r>
            <w:r w:rsidRPr="000269CF">
              <w:rPr>
                <w:bdr w:val="nil"/>
                <w:lang w:val="en-GB"/>
              </w:rPr>
              <w:t>ebt</w:t>
            </w:r>
          </w:p>
        </w:tc>
        <w:tc>
          <w:tcPr>
            <w:tcW w:w="995" w:type="dxa"/>
            <w:noWrap/>
            <w:hideMark/>
          </w:tcPr>
          <w:p w14:paraId="15CCB41E" w14:textId="51E25AFA" w:rsidR="001A23EF" w:rsidRPr="000269CF" w:rsidRDefault="001A23EF" w:rsidP="00352D8D">
            <w:pPr>
              <w:pStyle w:val="ExhibitText"/>
              <w:jc w:val="right"/>
              <w:rPr>
                <w:bdr w:val="nil"/>
                <w:lang w:val="en-GB"/>
              </w:rPr>
            </w:pPr>
            <w:r w:rsidRPr="000269CF">
              <w:rPr>
                <w:bdr w:val="nil"/>
                <w:lang w:val="en-GB"/>
              </w:rPr>
              <w:t>35,723</w:t>
            </w:r>
          </w:p>
        </w:tc>
        <w:tc>
          <w:tcPr>
            <w:tcW w:w="995" w:type="dxa"/>
            <w:noWrap/>
            <w:hideMark/>
          </w:tcPr>
          <w:p w14:paraId="6926AD13" w14:textId="2A8F34FE" w:rsidR="001A23EF" w:rsidRPr="000269CF" w:rsidRDefault="001A23EF" w:rsidP="00352D8D">
            <w:pPr>
              <w:pStyle w:val="ExhibitText"/>
              <w:jc w:val="right"/>
              <w:rPr>
                <w:bdr w:val="nil"/>
                <w:lang w:val="en-GB"/>
              </w:rPr>
            </w:pPr>
            <w:r w:rsidRPr="000269CF">
              <w:rPr>
                <w:bdr w:val="nil"/>
                <w:lang w:val="en-GB"/>
              </w:rPr>
              <w:t>21</w:t>
            </w:r>
          </w:p>
        </w:tc>
        <w:tc>
          <w:tcPr>
            <w:tcW w:w="995" w:type="dxa"/>
            <w:noWrap/>
            <w:hideMark/>
          </w:tcPr>
          <w:p w14:paraId="0BCAAB5D" w14:textId="28982AF7" w:rsidR="001A23EF" w:rsidRPr="000269CF" w:rsidRDefault="001A23EF" w:rsidP="00352D8D">
            <w:pPr>
              <w:pStyle w:val="ExhibitText"/>
              <w:jc w:val="right"/>
              <w:rPr>
                <w:bdr w:val="nil"/>
                <w:lang w:val="en-GB"/>
              </w:rPr>
            </w:pPr>
            <w:r w:rsidRPr="000269CF">
              <w:rPr>
                <w:bdr w:val="nil"/>
                <w:lang w:val="en-GB"/>
              </w:rPr>
              <w:t>14,181</w:t>
            </w:r>
          </w:p>
        </w:tc>
        <w:tc>
          <w:tcPr>
            <w:tcW w:w="995" w:type="dxa"/>
            <w:noWrap/>
            <w:hideMark/>
          </w:tcPr>
          <w:p w14:paraId="791CD31E" w14:textId="3682B9CB" w:rsidR="001A23EF" w:rsidRPr="000269CF" w:rsidRDefault="001A23EF" w:rsidP="00352D8D">
            <w:pPr>
              <w:pStyle w:val="ExhibitText"/>
              <w:jc w:val="right"/>
              <w:rPr>
                <w:bdr w:val="nil"/>
                <w:lang w:val="en-GB"/>
              </w:rPr>
            </w:pPr>
            <w:r w:rsidRPr="000269CF">
              <w:rPr>
                <w:bdr w:val="nil"/>
                <w:lang w:val="en-GB"/>
              </w:rPr>
              <w:t>12,808</w:t>
            </w:r>
          </w:p>
        </w:tc>
        <w:tc>
          <w:tcPr>
            <w:tcW w:w="995" w:type="dxa"/>
            <w:noWrap/>
            <w:hideMark/>
          </w:tcPr>
          <w:p w14:paraId="61DC18E9" w14:textId="13EA83D6" w:rsidR="001A23EF" w:rsidRPr="000269CF" w:rsidRDefault="001A23EF" w:rsidP="00352D8D">
            <w:pPr>
              <w:pStyle w:val="ExhibitText"/>
              <w:jc w:val="right"/>
              <w:rPr>
                <w:bdr w:val="nil"/>
                <w:lang w:val="en-GB"/>
              </w:rPr>
            </w:pPr>
            <w:r w:rsidRPr="000269CF">
              <w:rPr>
                <w:bdr w:val="nil"/>
                <w:lang w:val="en-GB"/>
              </w:rPr>
              <w:t>12,856</w:t>
            </w:r>
          </w:p>
        </w:tc>
      </w:tr>
      <w:tr w:rsidR="001A23EF" w:rsidRPr="000269CF" w14:paraId="1F1AB180" w14:textId="77777777" w:rsidTr="00141D0C">
        <w:trPr>
          <w:trHeight w:val="70"/>
          <w:jc w:val="center"/>
        </w:trPr>
        <w:tc>
          <w:tcPr>
            <w:tcW w:w="4374" w:type="dxa"/>
            <w:noWrap/>
            <w:hideMark/>
          </w:tcPr>
          <w:p w14:paraId="067B9051" w14:textId="21A52BD9" w:rsidR="001A23EF" w:rsidRPr="000269CF" w:rsidRDefault="001A23EF" w:rsidP="00352D8D">
            <w:pPr>
              <w:pStyle w:val="ExhibitText"/>
              <w:jc w:val="left"/>
              <w:rPr>
                <w:b/>
                <w:bdr w:val="nil"/>
                <w:lang w:val="en-GB"/>
              </w:rPr>
            </w:pPr>
            <w:r w:rsidRPr="000269CF">
              <w:rPr>
                <w:b/>
                <w:bdr w:val="nil"/>
                <w:lang w:val="en-GB"/>
              </w:rPr>
              <w:t xml:space="preserve">Total </w:t>
            </w:r>
            <w:r w:rsidR="00EF4CB4">
              <w:rPr>
                <w:b/>
                <w:bdr w:val="nil"/>
                <w:lang w:val="en-GB"/>
              </w:rPr>
              <w:t>l</w:t>
            </w:r>
            <w:r w:rsidRPr="000269CF">
              <w:rPr>
                <w:b/>
                <w:bdr w:val="nil"/>
                <w:lang w:val="en-GB"/>
              </w:rPr>
              <w:t>iabilities</w:t>
            </w:r>
          </w:p>
        </w:tc>
        <w:tc>
          <w:tcPr>
            <w:tcW w:w="995" w:type="dxa"/>
            <w:noWrap/>
            <w:hideMark/>
          </w:tcPr>
          <w:p w14:paraId="4D5C1F2F" w14:textId="73C90AE6" w:rsidR="001A23EF" w:rsidRPr="000269CF" w:rsidRDefault="001A23EF" w:rsidP="00352D8D">
            <w:pPr>
              <w:pStyle w:val="ExhibitText"/>
              <w:jc w:val="right"/>
              <w:rPr>
                <w:b/>
                <w:bdr w:val="nil"/>
                <w:lang w:val="en-GB"/>
              </w:rPr>
            </w:pPr>
            <w:r w:rsidRPr="000269CF">
              <w:rPr>
                <w:b/>
                <w:bdr w:val="nil"/>
                <w:lang w:val="en-GB"/>
              </w:rPr>
              <w:t>39,362</w:t>
            </w:r>
          </w:p>
        </w:tc>
        <w:tc>
          <w:tcPr>
            <w:tcW w:w="995" w:type="dxa"/>
            <w:noWrap/>
            <w:hideMark/>
          </w:tcPr>
          <w:p w14:paraId="62252AE9" w14:textId="1FEB8D0F" w:rsidR="001A23EF" w:rsidRPr="000269CF" w:rsidRDefault="001A23EF" w:rsidP="00352D8D">
            <w:pPr>
              <w:pStyle w:val="ExhibitText"/>
              <w:jc w:val="right"/>
              <w:rPr>
                <w:b/>
                <w:bdr w:val="nil"/>
                <w:lang w:val="en-GB"/>
              </w:rPr>
            </w:pPr>
            <w:r w:rsidRPr="000269CF">
              <w:rPr>
                <w:b/>
                <w:bdr w:val="nil"/>
                <w:lang w:val="en-GB"/>
              </w:rPr>
              <w:t>24,404</w:t>
            </w:r>
          </w:p>
        </w:tc>
        <w:tc>
          <w:tcPr>
            <w:tcW w:w="995" w:type="dxa"/>
            <w:noWrap/>
            <w:hideMark/>
          </w:tcPr>
          <w:p w14:paraId="46EC0882" w14:textId="70B51EF8" w:rsidR="001A23EF" w:rsidRPr="000269CF" w:rsidRDefault="001A23EF" w:rsidP="00352D8D">
            <w:pPr>
              <w:pStyle w:val="ExhibitText"/>
              <w:jc w:val="right"/>
              <w:rPr>
                <w:b/>
                <w:bdr w:val="nil"/>
                <w:lang w:val="en-GB"/>
              </w:rPr>
            </w:pPr>
            <w:r w:rsidRPr="000269CF">
              <w:rPr>
                <w:b/>
                <w:bdr w:val="nil"/>
                <w:lang w:val="en-GB"/>
              </w:rPr>
              <w:t>17,144</w:t>
            </w:r>
          </w:p>
        </w:tc>
        <w:tc>
          <w:tcPr>
            <w:tcW w:w="995" w:type="dxa"/>
            <w:noWrap/>
            <w:hideMark/>
          </w:tcPr>
          <w:p w14:paraId="680F313A" w14:textId="121B25B8" w:rsidR="001A23EF" w:rsidRPr="000269CF" w:rsidRDefault="001A23EF" w:rsidP="00352D8D">
            <w:pPr>
              <w:pStyle w:val="ExhibitText"/>
              <w:jc w:val="right"/>
              <w:rPr>
                <w:b/>
                <w:bdr w:val="nil"/>
                <w:lang w:val="en-GB"/>
              </w:rPr>
            </w:pPr>
            <w:r w:rsidRPr="000269CF">
              <w:rPr>
                <w:b/>
                <w:bdr w:val="nil"/>
                <w:lang w:val="en-GB"/>
              </w:rPr>
              <w:t>15,450</w:t>
            </w:r>
          </w:p>
        </w:tc>
        <w:tc>
          <w:tcPr>
            <w:tcW w:w="995" w:type="dxa"/>
            <w:noWrap/>
            <w:hideMark/>
          </w:tcPr>
          <w:p w14:paraId="29E05B48" w14:textId="26D0545A" w:rsidR="001A23EF" w:rsidRPr="000269CF" w:rsidRDefault="001A23EF" w:rsidP="00352D8D">
            <w:pPr>
              <w:pStyle w:val="ExhibitText"/>
              <w:jc w:val="right"/>
              <w:rPr>
                <w:b/>
                <w:bdr w:val="nil"/>
                <w:lang w:val="en-GB"/>
              </w:rPr>
            </w:pPr>
            <w:r w:rsidRPr="000269CF">
              <w:rPr>
                <w:b/>
                <w:bdr w:val="nil"/>
                <w:lang w:val="en-GB"/>
              </w:rPr>
              <w:t>15,605</w:t>
            </w:r>
          </w:p>
        </w:tc>
      </w:tr>
      <w:tr w:rsidR="001A23EF" w:rsidRPr="000269CF" w14:paraId="39418AD7" w14:textId="77777777" w:rsidTr="00141D0C">
        <w:trPr>
          <w:trHeight w:val="70"/>
          <w:jc w:val="center"/>
        </w:trPr>
        <w:tc>
          <w:tcPr>
            <w:tcW w:w="4374" w:type="dxa"/>
            <w:noWrap/>
            <w:hideMark/>
          </w:tcPr>
          <w:p w14:paraId="61B21446" w14:textId="4A97D0DB" w:rsidR="001A23EF" w:rsidRPr="000269CF" w:rsidRDefault="001A23EF" w:rsidP="00352D8D">
            <w:pPr>
              <w:pStyle w:val="ExhibitText"/>
              <w:jc w:val="left"/>
              <w:rPr>
                <w:b/>
                <w:bdr w:val="nil"/>
                <w:lang w:val="en-GB"/>
              </w:rPr>
            </w:pPr>
            <w:r w:rsidRPr="000269CF">
              <w:rPr>
                <w:b/>
                <w:bdr w:val="nil"/>
                <w:lang w:val="en-GB"/>
              </w:rPr>
              <w:t>Stockholders</w:t>
            </w:r>
            <w:r w:rsidR="00EF4CB4">
              <w:rPr>
                <w:b/>
                <w:bdr w:val="nil"/>
                <w:lang w:val="en-GB"/>
              </w:rPr>
              <w:t>’</w:t>
            </w:r>
            <w:r w:rsidRPr="000269CF">
              <w:rPr>
                <w:b/>
                <w:bdr w:val="nil"/>
                <w:lang w:val="en-GB"/>
              </w:rPr>
              <w:t xml:space="preserve"> </w:t>
            </w:r>
            <w:r w:rsidR="00EF4CB4">
              <w:rPr>
                <w:b/>
                <w:bdr w:val="nil"/>
                <w:lang w:val="en-GB"/>
              </w:rPr>
              <w:t>e</w:t>
            </w:r>
            <w:r w:rsidRPr="000269CF">
              <w:rPr>
                <w:b/>
                <w:bdr w:val="nil"/>
                <w:lang w:val="en-GB"/>
              </w:rPr>
              <w:t>quity (</w:t>
            </w:r>
            <w:r w:rsidR="00EF4CB4">
              <w:rPr>
                <w:b/>
                <w:bdr w:val="nil"/>
                <w:lang w:val="en-GB"/>
              </w:rPr>
              <w:t>t</w:t>
            </w:r>
            <w:r w:rsidRPr="000269CF">
              <w:rPr>
                <w:b/>
                <w:bdr w:val="nil"/>
                <w:lang w:val="en-GB"/>
              </w:rPr>
              <w:t>otal)</w:t>
            </w:r>
          </w:p>
        </w:tc>
        <w:tc>
          <w:tcPr>
            <w:tcW w:w="995" w:type="dxa"/>
            <w:noWrap/>
            <w:hideMark/>
          </w:tcPr>
          <w:p w14:paraId="07C0AE87" w14:textId="29EDFD7E" w:rsidR="001A23EF" w:rsidRPr="000269CF" w:rsidRDefault="001A23EF" w:rsidP="00352D8D">
            <w:pPr>
              <w:pStyle w:val="ExhibitText"/>
              <w:jc w:val="right"/>
              <w:rPr>
                <w:b/>
                <w:bdr w:val="nil"/>
                <w:lang w:val="en-GB"/>
              </w:rPr>
            </w:pPr>
            <w:r w:rsidRPr="000269CF">
              <w:rPr>
                <w:b/>
                <w:bdr w:val="nil"/>
                <w:lang w:val="en-GB"/>
              </w:rPr>
              <w:t>(46)</w:t>
            </w:r>
          </w:p>
        </w:tc>
        <w:tc>
          <w:tcPr>
            <w:tcW w:w="995" w:type="dxa"/>
            <w:noWrap/>
            <w:hideMark/>
          </w:tcPr>
          <w:p w14:paraId="05F43681" w14:textId="59DD7558" w:rsidR="001A23EF" w:rsidRPr="000269CF" w:rsidRDefault="001A23EF" w:rsidP="00352D8D">
            <w:pPr>
              <w:pStyle w:val="ExhibitText"/>
              <w:jc w:val="right"/>
              <w:rPr>
                <w:b/>
                <w:bdr w:val="nil"/>
                <w:lang w:val="en-GB"/>
              </w:rPr>
            </w:pPr>
            <w:r w:rsidRPr="000269CF">
              <w:rPr>
                <w:b/>
                <w:bdr w:val="nil"/>
                <w:lang w:val="en-GB"/>
              </w:rPr>
              <w:t>146</w:t>
            </w:r>
          </w:p>
        </w:tc>
        <w:tc>
          <w:tcPr>
            <w:tcW w:w="995" w:type="dxa"/>
            <w:noWrap/>
            <w:hideMark/>
          </w:tcPr>
          <w:p w14:paraId="04DBB4F4" w14:textId="6F71F6BE" w:rsidR="001A23EF" w:rsidRPr="000269CF" w:rsidRDefault="001A23EF" w:rsidP="00352D8D">
            <w:pPr>
              <w:pStyle w:val="ExhibitText"/>
              <w:jc w:val="right"/>
              <w:rPr>
                <w:b/>
                <w:bdr w:val="nil"/>
                <w:lang w:val="en-GB"/>
              </w:rPr>
            </w:pPr>
            <w:r w:rsidRPr="000269CF">
              <w:rPr>
                <w:b/>
                <w:bdr w:val="nil"/>
                <w:lang w:val="en-GB"/>
              </w:rPr>
              <w:t>151</w:t>
            </w:r>
          </w:p>
        </w:tc>
        <w:tc>
          <w:tcPr>
            <w:tcW w:w="995" w:type="dxa"/>
            <w:noWrap/>
            <w:hideMark/>
          </w:tcPr>
          <w:p w14:paraId="7BB9B00E" w14:textId="1952A1F0" w:rsidR="001A23EF" w:rsidRPr="000269CF" w:rsidRDefault="001A23EF" w:rsidP="00352D8D">
            <w:pPr>
              <w:pStyle w:val="ExhibitText"/>
              <w:jc w:val="right"/>
              <w:rPr>
                <w:b/>
                <w:bdr w:val="nil"/>
                <w:lang w:val="en-GB"/>
              </w:rPr>
            </w:pPr>
            <w:r w:rsidRPr="000269CF">
              <w:rPr>
                <w:b/>
                <w:bdr w:val="nil"/>
                <w:lang w:val="en-GB"/>
              </w:rPr>
              <w:t>149</w:t>
            </w:r>
          </w:p>
        </w:tc>
        <w:tc>
          <w:tcPr>
            <w:tcW w:w="995" w:type="dxa"/>
            <w:noWrap/>
            <w:hideMark/>
          </w:tcPr>
          <w:p w14:paraId="1DA40ADD" w14:textId="3D3448A9" w:rsidR="001A23EF" w:rsidRPr="000269CF" w:rsidRDefault="00EF4CB4" w:rsidP="00352D8D">
            <w:pPr>
              <w:pStyle w:val="ExhibitText"/>
              <w:jc w:val="right"/>
              <w:rPr>
                <w:b/>
                <w:bdr w:val="nil"/>
                <w:lang w:val="en-GB"/>
              </w:rPr>
            </w:pPr>
            <w:r>
              <w:rPr>
                <w:b/>
                <w:bdr w:val="nil"/>
                <w:lang w:val="en-GB"/>
              </w:rPr>
              <w:t>–</w:t>
            </w:r>
          </w:p>
        </w:tc>
      </w:tr>
      <w:tr w:rsidR="001A23EF" w:rsidRPr="000269CF" w14:paraId="557093CB" w14:textId="77777777" w:rsidTr="00141D0C">
        <w:trPr>
          <w:trHeight w:val="70"/>
          <w:jc w:val="center"/>
        </w:trPr>
        <w:tc>
          <w:tcPr>
            <w:tcW w:w="4374" w:type="dxa"/>
            <w:noWrap/>
            <w:hideMark/>
          </w:tcPr>
          <w:p w14:paraId="76E3CE4D" w14:textId="77777777" w:rsidR="001A23EF" w:rsidRPr="000269CF" w:rsidRDefault="001A23EF" w:rsidP="00352D8D">
            <w:pPr>
              <w:pStyle w:val="ExhibitText"/>
              <w:jc w:val="left"/>
              <w:rPr>
                <w:bdr w:val="nil"/>
                <w:lang w:val="en-GB"/>
              </w:rPr>
            </w:pPr>
            <w:r w:rsidRPr="000269CF">
              <w:rPr>
                <w:bdr w:val="nil"/>
                <w:lang w:val="en-GB"/>
              </w:rPr>
              <w:t>Revenues</w:t>
            </w:r>
          </w:p>
        </w:tc>
        <w:tc>
          <w:tcPr>
            <w:tcW w:w="995" w:type="dxa"/>
            <w:noWrap/>
            <w:hideMark/>
          </w:tcPr>
          <w:p w14:paraId="1C6E54DD" w14:textId="02B410D8" w:rsidR="001A23EF" w:rsidRPr="000269CF" w:rsidRDefault="001A23EF" w:rsidP="00352D8D">
            <w:pPr>
              <w:pStyle w:val="ExhibitText"/>
              <w:jc w:val="right"/>
              <w:rPr>
                <w:bdr w:val="nil"/>
                <w:lang w:val="en-GB"/>
              </w:rPr>
            </w:pPr>
            <w:r w:rsidRPr="000269CF">
              <w:rPr>
                <w:bdr w:val="nil"/>
                <w:lang w:val="en-GB"/>
              </w:rPr>
              <w:t>9,754</w:t>
            </w:r>
          </w:p>
        </w:tc>
        <w:tc>
          <w:tcPr>
            <w:tcW w:w="995" w:type="dxa"/>
            <w:noWrap/>
            <w:hideMark/>
          </w:tcPr>
          <w:p w14:paraId="4FBA638C" w14:textId="4B0A0137" w:rsidR="001A23EF" w:rsidRPr="000269CF" w:rsidRDefault="001A23EF" w:rsidP="00352D8D">
            <w:pPr>
              <w:pStyle w:val="ExhibitText"/>
              <w:jc w:val="right"/>
              <w:rPr>
                <w:bdr w:val="nil"/>
                <w:lang w:val="en-GB"/>
              </w:rPr>
            </w:pPr>
            <w:r w:rsidRPr="000269CF">
              <w:rPr>
                <w:bdr w:val="nil"/>
                <w:lang w:val="en-GB"/>
              </w:rPr>
              <w:t>9,108</w:t>
            </w:r>
          </w:p>
        </w:tc>
        <w:tc>
          <w:tcPr>
            <w:tcW w:w="995" w:type="dxa"/>
            <w:noWrap/>
            <w:hideMark/>
          </w:tcPr>
          <w:p w14:paraId="3C89D3B7" w14:textId="0213D189" w:rsidR="001A23EF" w:rsidRPr="000269CF" w:rsidRDefault="001A23EF" w:rsidP="00352D8D">
            <w:pPr>
              <w:pStyle w:val="ExhibitText"/>
              <w:jc w:val="right"/>
              <w:rPr>
                <w:bdr w:val="nil"/>
                <w:lang w:val="en-GB"/>
              </w:rPr>
            </w:pPr>
            <w:r w:rsidRPr="000269CF">
              <w:rPr>
                <w:bdr w:val="nil"/>
                <w:lang w:val="en-GB"/>
              </w:rPr>
              <w:t>8,155</w:t>
            </w:r>
          </w:p>
        </w:tc>
        <w:tc>
          <w:tcPr>
            <w:tcW w:w="995" w:type="dxa"/>
            <w:noWrap/>
            <w:hideMark/>
          </w:tcPr>
          <w:p w14:paraId="0E8BF5DD" w14:textId="22365474" w:rsidR="001A23EF" w:rsidRPr="000269CF" w:rsidRDefault="001A23EF" w:rsidP="00352D8D">
            <w:pPr>
              <w:pStyle w:val="ExhibitText"/>
              <w:jc w:val="right"/>
              <w:rPr>
                <w:bdr w:val="nil"/>
                <w:lang w:val="en-GB"/>
              </w:rPr>
            </w:pPr>
            <w:r w:rsidRPr="000269CF">
              <w:rPr>
                <w:bdr w:val="nil"/>
                <w:lang w:val="en-GB"/>
              </w:rPr>
              <w:t>7,504</w:t>
            </w:r>
          </w:p>
        </w:tc>
        <w:tc>
          <w:tcPr>
            <w:tcW w:w="995" w:type="dxa"/>
            <w:noWrap/>
            <w:hideMark/>
          </w:tcPr>
          <w:p w14:paraId="2A63E5B8" w14:textId="5091CAAC" w:rsidR="001A23EF" w:rsidRPr="000269CF" w:rsidRDefault="001A23EF" w:rsidP="00352D8D">
            <w:pPr>
              <w:pStyle w:val="ExhibitText"/>
              <w:jc w:val="right"/>
              <w:rPr>
                <w:bdr w:val="nil"/>
                <w:lang w:val="en-GB"/>
              </w:rPr>
            </w:pPr>
            <w:r w:rsidRPr="000269CF">
              <w:rPr>
                <w:bdr w:val="nil"/>
                <w:lang w:val="en-GB"/>
              </w:rPr>
              <w:t>7,204</w:t>
            </w:r>
          </w:p>
        </w:tc>
      </w:tr>
      <w:tr w:rsidR="001A23EF" w:rsidRPr="000269CF" w14:paraId="252C2A31" w14:textId="77777777" w:rsidTr="00141D0C">
        <w:trPr>
          <w:trHeight w:val="70"/>
          <w:jc w:val="center"/>
        </w:trPr>
        <w:tc>
          <w:tcPr>
            <w:tcW w:w="4374" w:type="dxa"/>
            <w:noWrap/>
            <w:hideMark/>
          </w:tcPr>
          <w:p w14:paraId="43ECF4B5" w14:textId="5B6F887B" w:rsidR="001A23EF" w:rsidRPr="000269CF" w:rsidRDefault="001A23EF" w:rsidP="00352D8D">
            <w:pPr>
              <w:pStyle w:val="ExhibitText"/>
              <w:jc w:val="left"/>
              <w:rPr>
                <w:bdr w:val="nil"/>
                <w:lang w:val="en-GB"/>
              </w:rPr>
            </w:pPr>
            <w:r w:rsidRPr="000269CF">
              <w:rPr>
                <w:bdr w:val="nil"/>
                <w:lang w:val="en-GB"/>
              </w:rPr>
              <w:t xml:space="preserve">Program, </w:t>
            </w:r>
            <w:r w:rsidR="00EF4CB4">
              <w:rPr>
                <w:bdr w:val="nil"/>
                <w:lang w:val="en-GB"/>
              </w:rPr>
              <w:t>p</w:t>
            </w:r>
            <w:r w:rsidRPr="000269CF">
              <w:rPr>
                <w:bdr w:val="nil"/>
                <w:lang w:val="en-GB"/>
              </w:rPr>
              <w:t>roduction</w:t>
            </w:r>
            <w:r w:rsidR="0061757A">
              <w:rPr>
                <w:bdr w:val="nil"/>
                <w:lang w:val="en-GB"/>
              </w:rPr>
              <w:t>,</w:t>
            </w:r>
            <w:r w:rsidRPr="000269CF">
              <w:rPr>
                <w:bdr w:val="nil"/>
                <w:lang w:val="en-GB"/>
              </w:rPr>
              <w:t xml:space="preserve"> and </w:t>
            </w:r>
            <w:r w:rsidR="00EF4CB4">
              <w:rPr>
                <w:bdr w:val="nil"/>
                <w:lang w:val="en-GB"/>
              </w:rPr>
              <w:t>r</w:t>
            </w:r>
            <w:r w:rsidRPr="000269CF">
              <w:rPr>
                <w:bdr w:val="nil"/>
                <w:lang w:val="en-GB"/>
              </w:rPr>
              <w:t xml:space="preserve">elated </w:t>
            </w:r>
            <w:r w:rsidR="00EF4CB4">
              <w:rPr>
                <w:bdr w:val="nil"/>
                <w:lang w:val="en-GB"/>
              </w:rPr>
              <w:t>e</w:t>
            </w:r>
            <w:r w:rsidRPr="000269CF">
              <w:rPr>
                <w:bdr w:val="nil"/>
                <w:lang w:val="en-GB"/>
              </w:rPr>
              <w:t>xpenses</w:t>
            </w:r>
          </w:p>
        </w:tc>
        <w:tc>
          <w:tcPr>
            <w:tcW w:w="995" w:type="dxa"/>
            <w:noWrap/>
            <w:hideMark/>
          </w:tcPr>
          <w:p w14:paraId="7474AD40" w14:textId="50F6E88A" w:rsidR="001A23EF" w:rsidRPr="000269CF" w:rsidRDefault="001A23EF" w:rsidP="00352D8D">
            <w:pPr>
              <w:pStyle w:val="ExhibitText"/>
              <w:jc w:val="right"/>
              <w:rPr>
                <w:bdr w:val="nil"/>
                <w:lang w:val="en-GB"/>
              </w:rPr>
            </w:pPr>
            <w:r w:rsidRPr="000269CF">
              <w:rPr>
                <w:bdr w:val="nil"/>
                <w:lang w:val="en-GB"/>
              </w:rPr>
              <w:t>2,678</w:t>
            </w:r>
          </w:p>
        </w:tc>
        <w:tc>
          <w:tcPr>
            <w:tcW w:w="995" w:type="dxa"/>
            <w:noWrap/>
            <w:hideMark/>
          </w:tcPr>
          <w:p w14:paraId="3B2766DD" w14:textId="22A5BB2A" w:rsidR="001A23EF" w:rsidRPr="000269CF" w:rsidRDefault="001A23EF" w:rsidP="00352D8D">
            <w:pPr>
              <w:pStyle w:val="ExhibitText"/>
              <w:jc w:val="right"/>
              <w:rPr>
                <w:bdr w:val="nil"/>
                <w:lang w:val="en-GB"/>
              </w:rPr>
            </w:pPr>
            <w:r w:rsidRPr="000269CF">
              <w:rPr>
                <w:bdr w:val="nil"/>
                <w:lang w:val="en-GB"/>
              </w:rPr>
              <w:t>2,459</w:t>
            </w:r>
          </w:p>
        </w:tc>
        <w:tc>
          <w:tcPr>
            <w:tcW w:w="995" w:type="dxa"/>
            <w:noWrap/>
            <w:hideMark/>
          </w:tcPr>
          <w:p w14:paraId="71A1F470" w14:textId="4D5A27A5" w:rsidR="001A23EF" w:rsidRPr="000269CF" w:rsidRDefault="001A23EF" w:rsidP="00352D8D">
            <w:pPr>
              <w:pStyle w:val="ExhibitText"/>
              <w:jc w:val="right"/>
              <w:rPr>
                <w:bdr w:val="nil"/>
                <w:lang w:val="en-GB"/>
              </w:rPr>
            </w:pPr>
            <w:r w:rsidRPr="000269CF">
              <w:rPr>
                <w:bdr w:val="nil"/>
                <w:lang w:val="en-GB"/>
              </w:rPr>
              <w:t>2,146</w:t>
            </w:r>
          </w:p>
        </w:tc>
        <w:tc>
          <w:tcPr>
            <w:tcW w:w="995" w:type="dxa"/>
            <w:noWrap/>
            <w:hideMark/>
          </w:tcPr>
          <w:p w14:paraId="6D2B69D1" w14:textId="38B210AB" w:rsidR="001A23EF" w:rsidRPr="000269CF" w:rsidRDefault="001A23EF" w:rsidP="00352D8D">
            <w:pPr>
              <w:pStyle w:val="ExhibitText"/>
              <w:jc w:val="right"/>
              <w:rPr>
                <w:bdr w:val="nil"/>
                <w:lang w:val="en-GB"/>
              </w:rPr>
            </w:pPr>
            <w:r w:rsidRPr="000269CF">
              <w:rPr>
                <w:bdr w:val="nil"/>
                <w:lang w:val="en-GB"/>
              </w:rPr>
              <w:t>1,979</w:t>
            </w:r>
          </w:p>
        </w:tc>
        <w:tc>
          <w:tcPr>
            <w:tcW w:w="995" w:type="dxa"/>
            <w:noWrap/>
            <w:hideMark/>
          </w:tcPr>
          <w:p w14:paraId="35875DF4" w14:textId="60D3BF48" w:rsidR="001A23EF" w:rsidRPr="000269CF" w:rsidRDefault="00EF4CB4" w:rsidP="00352D8D">
            <w:pPr>
              <w:pStyle w:val="ExhibitText"/>
              <w:jc w:val="right"/>
              <w:rPr>
                <w:bdr w:val="nil"/>
                <w:lang w:val="en-GB"/>
              </w:rPr>
            </w:pPr>
            <w:r>
              <w:rPr>
                <w:bdr w:val="nil"/>
                <w:lang w:val="en-GB"/>
              </w:rPr>
              <w:t>–</w:t>
            </w:r>
          </w:p>
        </w:tc>
      </w:tr>
      <w:tr w:rsidR="001A23EF" w:rsidRPr="000269CF" w14:paraId="180A9DDA" w14:textId="77777777" w:rsidTr="00141D0C">
        <w:trPr>
          <w:trHeight w:val="70"/>
          <w:jc w:val="center"/>
        </w:trPr>
        <w:tc>
          <w:tcPr>
            <w:tcW w:w="4374" w:type="dxa"/>
            <w:noWrap/>
            <w:hideMark/>
          </w:tcPr>
          <w:p w14:paraId="0D347D02" w14:textId="77777777" w:rsidR="001A23EF" w:rsidRPr="000269CF" w:rsidRDefault="001A23EF" w:rsidP="00352D8D">
            <w:pPr>
              <w:pStyle w:val="ExhibitText"/>
              <w:jc w:val="left"/>
              <w:rPr>
                <w:bdr w:val="nil"/>
                <w:lang w:val="en-GB"/>
              </w:rPr>
            </w:pPr>
            <w:r w:rsidRPr="000269CF">
              <w:rPr>
                <w:bdr w:val="nil"/>
                <w:lang w:val="en-GB"/>
              </w:rPr>
              <w:t>EBITDA</w:t>
            </w:r>
          </w:p>
        </w:tc>
        <w:tc>
          <w:tcPr>
            <w:tcW w:w="995" w:type="dxa"/>
            <w:noWrap/>
            <w:hideMark/>
          </w:tcPr>
          <w:p w14:paraId="31AC7BDC" w14:textId="2B43C736" w:rsidR="001A23EF" w:rsidRPr="000269CF" w:rsidRDefault="001A23EF" w:rsidP="00352D8D">
            <w:pPr>
              <w:pStyle w:val="ExhibitText"/>
              <w:jc w:val="right"/>
              <w:rPr>
                <w:bdr w:val="nil"/>
                <w:lang w:val="en-GB"/>
              </w:rPr>
            </w:pPr>
            <w:r w:rsidRPr="000269CF">
              <w:rPr>
                <w:bdr w:val="nil"/>
                <w:lang w:val="en-GB"/>
              </w:rPr>
              <w:t>3,239</w:t>
            </w:r>
          </w:p>
        </w:tc>
        <w:tc>
          <w:tcPr>
            <w:tcW w:w="995" w:type="dxa"/>
            <w:noWrap/>
            <w:hideMark/>
          </w:tcPr>
          <w:p w14:paraId="4118815C" w14:textId="6B2FC502" w:rsidR="001A23EF" w:rsidRPr="000269CF" w:rsidRDefault="001A23EF" w:rsidP="00352D8D">
            <w:pPr>
              <w:pStyle w:val="ExhibitText"/>
              <w:jc w:val="right"/>
              <w:rPr>
                <w:bdr w:val="nil"/>
                <w:lang w:val="en-GB"/>
              </w:rPr>
            </w:pPr>
            <w:r w:rsidRPr="000269CF">
              <w:rPr>
                <w:bdr w:val="nil"/>
                <w:lang w:val="en-GB"/>
              </w:rPr>
              <w:t>3,073</w:t>
            </w:r>
          </w:p>
        </w:tc>
        <w:tc>
          <w:tcPr>
            <w:tcW w:w="995" w:type="dxa"/>
            <w:noWrap/>
            <w:hideMark/>
          </w:tcPr>
          <w:p w14:paraId="6427897A" w14:textId="16AFCB99" w:rsidR="001A23EF" w:rsidRPr="000269CF" w:rsidRDefault="001A23EF" w:rsidP="00352D8D">
            <w:pPr>
              <w:pStyle w:val="ExhibitText"/>
              <w:jc w:val="right"/>
              <w:rPr>
                <w:bdr w:val="nil"/>
                <w:lang w:val="en-GB"/>
              </w:rPr>
            </w:pPr>
            <w:r w:rsidRPr="000269CF">
              <w:rPr>
                <w:bdr w:val="nil"/>
                <w:lang w:val="en-GB"/>
              </w:rPr>
              <w:t>2,779</w:t>
            </w:r>
          </w:p>
        </w:tc>
        <w:tc>
          <w:tcPr>
            <w:tcW w:w="995" w:type="dxa"/>
            <w:noWrap/>
            <w:hideMark/>
          </w:tcPr>
          <w:p w14:paraId="5BD1EC1A" w14:textId="1F91D556" w:rsidR="001A23EF" w:rsidRPr="000269CF" w:rsidRDefault="001A23EF" w:rsidP="00352D8D">
            <w:pPr>
              <w:pStyle w:val="ExhibitText"/>
              <w:jc w:val="right"/>
              <w:rPr>
                <w:bdr w:val="nil"/>
                <w:lang w:val="en-GB"/>
              </w:rPr>
            </w:pPr>
            <w:r w:rsidRPr="000269CF">
              <w:rPr>
                <w:bdr w:val="nil"/>
                <w:lang w:val="en-GB"/>
              </w:rPr>
              <w:t>2,629</w:t>
            </w:r>
          </w:p>
        </w:tc>
        <w:tc>
          <w:tcPr>
            <w:tcW w:w="995" w:type="dxa"/>
            <w:noWrap/>
            <w:hideMark/>
          </w:tcPr>
          <w:p w14:paraId="1F5B9908" w14:textId="7E41C2DE" w:rsidR="001A23EF" w:rsidRPr="000269CF" w:rsidRDefault="001A23EF" w:rsidP="00352D8D">
            <w:pPr>
              <w:pStyle w:val="ExhibitText"/>
              <w:jc w:val="right"/>
              <w:rPr>
                <w:bdr w:val="nil"/>
                <w:lang w:val="en-GB"/>
              </w:rPr>
            </w:pPr>
            <w:r w:rsidRPr="000269CF">
              <w:rPr>
                <w:bdr w:val="nil"/>
                <w:lang w:val="en-GB"/>
              </w:rPr>
              <w:t>2,633</w:t>
            </w:r>
          </w:p>
        </w:tc>
      </w:tr>
      <w:tr w:rsidR="001A23EF" w:rsidRPr="000269CF" w14:paraId="6EBBF80E" w14:textId="77777777" w:rsidTr="00141D0C">
        <w:trPr>
          <w:trHeight w:val="70"/>
          <w:jc w:val="center"/>
        </w:trPr>
        <w:tc>
          <w:tcPr>
            <w:tcW w:w="4374" w:type="dxa"/>
            <w:noWrap/>
            <w:hideMark/>
          </w:tcPr>
          <w:p w14:paraId="11CB0C87" w14:textId="553E5CC2" w:rsidR="001A23EF" w:rsidRPr="000269CF" w:rsidRDefault="001A23EF" w:rsidP="00352D8D">
            <w:pPr>
              <w:pStyle w:val="ExhibitText"/>
              <w:jc w:val="left"/>
              <w:rPr>
                <w:bdr w:val="nil"/>
                <w:lang w:val="en-GB"/>
              </w:rPr>
            </w:pPr>
            <w:r w:rsidRPr="000269CF">
              <w:rPr>
                <w:bdr w:val="nil"/>
                <w:lang w:val="en-GB"/>
              </w:rPr>
              <w:t xml:space="preserve">EBIT </w:t>
            </w:r>
            <w:r w:rsidR="0061757A">
              <w:rPr>
                <w:bdr w:val="nil"/>
                <w:lang w:val="en-GB"/>
              </w:rPr>
              <w:t>(</w:t>
            </w:r>
            <w:r w:rsidRPr="000269CF">
              <w:rPr>
                <w:bdr w:val="nil"/>
                <w:lang w:val="en-GB"/>
              </w:rPr>
              <w:t xml:space="preserve">or </w:t>
            </w:r>
            <w:r w:rsidR="00EF4CB4">
              <w:rPr>
                <w:bdr w:val="nil"/>
                <w:lang w:val="en-GB"/>
              </w:rPr>
              <w:t>o</w:t>
            </w:r>
            <w:r w:rsidRPr="000269CF">
              <w:rPr>
                <w:bdr w:val="nil"/>
                <w:lang w:val="en-GB"/>
              </w:rPr>
              <w:t xml:space="preserve">perating </w:t>
            </w:r>
            <w:r w:rsidR="00EF4CB4">
              <w:rPr>
                <w:bdr w:val="nil"/>
                <w:lang w:val="en-GB"/>
              </w:rPr>
              <w:t>i</w:t>
            </w:r>
            <w:r w:rsidRPr="000269CF">
              <w:rPr>
                <w:bdr w:val="nil"/>
                <w:lang w:val="en-GB"/>
              </w:rPr>
              <w:t>ncome</w:t>
            </w:r>
            <w:r w:rsidR="0061757A">
              <w:rPr>
                <w:bdr w:val="nil"/>
                <w:lang w:val="en-GB"/>
              </w:rPr>
              <w:t>)</w:t>
            </w:r>
          </w:p>
        </w:tc>
        <w:tc>
          <w:tcPr>
            <w:tcW w:w="995" w:type="dxa"/>
            <w:noWrap/>
            <w:hideMark/>
          </w:tcPr>
          <w:p w14:paraId="35AC51CA" w14:textId="623E1B43" w:rsidR="001A23EF" w:rsidRPr="000269CF" w:rsidRDefault="001A23EF" w:rsidP="00352D8D">
            <w:pPr>
              <w:pStyle w:val="ExhibitText"/>
              <w:jc w:val="right"/>
              <w:rPr>
                <w:bdr w:val="nil"/>
                <w:lang w:val="en-GB"/>
              </w:rPr>
            </w:pPr>
            <w:r w:rsidRPr="000269CF">
              <w:rPr>
                <w:bdr w:val="nil"/>
                <w:lang w:val="en-GB"/>
              </w:rPr>
              <w:t>1,114</w:t>
            </w:r>
          </w:p>
        </w:tc>
        <w:tc>
          <w:tcPr>
            <w:tcW w:w="995" w:type="dxa"/>
            <w:noWrap/>
            <w:hideMark/>
          </w:tcPr>
          <w:p w14:paraId="2ECA7572" w14:textId="08F2F1B8" w:rsidR="001A23EF" w:rsidRPr="000269CF" w:rsidRDefault="001A23EF" w:rsidP="00352D8D">
            <w:pPr>
              <w:pStyle w:val="ExhibitText"/>
              <w:jc w:val="right"/>
              <w:rPr>
                <w:bdr w:val="nil"/>
                <w:lang w:val="en-GB"/>
              </w:rPr>
            </w:pPr>
            <w:r w:rsidRPr="000269CF">
              <w:rPr>
                <w:bdr w:val="nil"/>
                <w:lang w:val="en-GB"/>
              </w:rPr>
              <w:t>971</w:t>
            </w:r>
          </w:p>
        </w:tc>
        <w:tc>
          <w:tcPr>
            <w:tcW w:w="995" w:type="dxa"/>
            <w:noWrap/>
            <w:hideMark/>
          </w:tcPr>
          <w:p w14:paraId="28085FB2" w14:textId="71227137" w:rsidR="001A23EF" w:rsidRPr="000269CF" w:rsidRDefault="001A23EF" w:rsidP="00352D8D">
            <w:pPr>
              <w:pStyle w:val="ExhibitText"/>
              <w:jc w:val="right"/>
              <w:rPr>
                <w:bdr w:val="nil"/>
                <w:lang w:val="en-GB"/>
              </w:rPr>
            </w:pPr>
            <w:r w:rsidRPr="000269CF">
              <w:rPr>
                <w:bdr w:val="nil"/>
                <w:lang w:val="en-GB"/>
              </w:rPr>
              <w:t>925</w:t>
            </w:r>
          </w:p>
        </w:tc>
        <w:tc>
          <w:tcPr>
            <w:tcW w:w="995" w:type="dxa"/>
            <w:noWrap/>
            <w:hideMark/>
          </w:tcPr>
          <w:p w14:paraId="644BFBDD" w14:textId="3A887233" w:rsidR="001A23EF" w:rsidRPr="000269CF" w:rsidRDefault="001A23EF" w:rsidP="00352D8D">
            <w:pPr>
              <w:pStyle w:val="ExhibitText"/>
              <w:jc w:val="right"/>
              <w:rPr>
                <w:bdr w:val="nil"/>
                <w:lang w:val="en-GB"/>
              </w:rPr>
            </w:pPr>
            <w:r w:rsidRPr="000269CF">
              <w:rPr>
                <w:bdr w:val="nil"/>
                <w:lang w:val="en-GB"/>
              </w:rPr>
              <w:t>916</w:t>
            </w:r>
          </w:p>
        </w:tc>
        <w:tc>
          <w:tcPr>
            <w:tcW w:w="995" w:type="dxa"/>
            <w:noWrap/>
            <w:hideMark/>
          </w:tcPr>
          <w:p w14:paraId="520A4312" w14:textId="3BDDBE1A" w:rsidR="001A23EF" w:rsidRPr="000269CF" w:rsidRDefault="001A23EF" w:rsidP="00352D8D">
            <w:pPr>
              <w:pStyle w:val="ExhibitText"/>
              <w:jc w:val="right"/>
              <w:rPr>
                <w:bdr w:val="nil"/>
                <w:lang w:val="en-GB"/>
              </w:rPr>
            </w:pPr>
            <w:r w:rsidRPr="000269CF">
              <w:rPr>
                <w:bdr w:val="nil"/>
                <w:lang w:val="en-GB"/>
              </w:rPr>
              <w:t>1,041</w:t>
            </w:r>
          </w:p>
        </w:tc>
      </w:tr>
      <w:tr w:rsidR="001A23EF" w:rsidRPr="000269CF" w14:paraId="2D5A8BAD" w14:textId="77777777" w:rsidTr="00141D0C">
        <w:trPr>
          <w:trHeight w:val="70"/>
          <w:jc w:val="center"/>
        </w:trPr>
        <w:tc>
          <w:tcPr>
            <w:tcW w:w="4374" w:type="dxa"/>
            <w:noWrap/>
            <w:hideMark/>
          </w:tcPr>
          <w:p w14:paraId="6C81DB01" w14:textId="4F4F00D0" w:rsidR="001A23EF" w:rsidRPr="000269CF" w:rsidRDefault="001A23EF" w:rsidP="00352D8D">
            <w:pPr>
              <w:pStyle w:val="ExhibitText"/>
              <w:jc w:val="left"/>
              <w:rPr>
                <w:b/>
                <w:bdr w:val="nil"/>
                <w:lang w:val="en-GB"/>
              </w:rPr>
            </w:pPr>
            <w:r w:rsidRPr="000269CF">
              <w:rPr>
                <w:b/>
                <w:bdr w:val="nil"/>
                <w:lang w:val="en-GB"/>
              </w:rPr>
              <w:t xml:space="preserve">Net </w:t>
            </w:r>
            <w:r w:rsidR="00EF4CB4">
              <w:rPr>
                <w:b/>
                <w:bdr w:val="nil"/>
                <w:lang w:val="en-GB"/>
              </w:rPr>
              <w:t>i</w:t>
            </w:r>
            <w:r w:rsidRPr="000269CF">
              <w:rPr>
                <w:b/>
                <w:bdr w:val="nil"/>
                <w:lang w:val="en-GB"/>
              </w:rPr>
              <w:t>ncome (</w:t>
            </w:r>
            <w:r w:rsidR="00EF4CB4">
              <w:rPr>
                <w:b/>
                <w:bdr w:val="nil"/>
                <w:lang w:val="en-GB"/>
              </w:rPr>
              <w:t>l</w:t>
            </w:r>
            <w:r w:rsidRPr="000269CF">
              <w:rPr>
                <w:b/>
                <w:bdr w:val="nil"/>
                <w:lang w:val="en-GB"/>
              </w:rPr>
              <w:t>oss)</w:t>
            </w:r>
          </w:p>
        </w:tc>
        <w:tc>
          <w:tcPr>
            <w:tcW w:w="995" w:type="dxa"/>
            <w:noWrap/>
            <w:hideMark/>
          </w:tcPr>
          <w:p w14:paraId="4CBBAC33" w14:textId="03A8BF79" w:rsidR="001A23EF" w:rsidRPr="000269CF" w:rsidRDefault="001A23EF" w:rsidP="00352D8D">
            <w:pPr>
              <w:pStyle w:val="ExhibitText"/>
              <w:jc w:val="right"/>
              <w:rPr>
                <w:b/>
                <w:bdr w:val="nil"/>
                <w:lang w:val="en-GB"/>
              </w:rPr>
            </w:pPr>
            <w:r w:rsidRPr="000269CF">
              <w:rPr>
                <w:b/>
                <w:bdr w:val="nil"/>
                <w:lang w:val="en-GB"/>
              </w:rPr>
              <w:t>(271)</w:t>
            </w:r>
          </w:p>
        </w:tc>
        <w:tc>
          <w:tcPr>
            <w:tcW w:w="995" w:type="dxa"/>
            <w:noWrap/>
            <w:hideMark/>
          </w:tcPr>
          <w:p w14:paraId="56C9FDAA" w14:textId="28420CD4" w:rsidR="001A23EF" w:rsidRPr="000269CF" w:rsidRDefault="001A23EF" w:rsidP="00352D8D">
            <w:pPr>
              <w:pStyle w:val="ExhibitText"/>
              <w:jc w:val="right"/>
              <w:rPr>
                <w:b/>
                <w:bdr w:val="nil"/>
                <w:lang w:val="en-GB"/>
              </w:rPr>
            </w:pPr>
            <w:r w:rsidRPr="000269CF">
              <w:rPr>
                <w:b/>
                <w:bdr w:val="nil"/>
                <w:lang w:val="en-GB"/>
              </w:rPr>
              <w:t>(183)</w:t>
            </w:r>
          </w:p>
        </w:tc>
        <w:tc>
          <w:tcPr>
            <w:tcW w:w="995" w:type="dxa"/>
            <w:noWrap/>
            <w:hideMark/>
          </w:tcPr>
          <w:p w14:paraId="1E153422" w14:textId="11958DB9" w:rsidR="001A23EF" w:rsidRPr="000269CF" w:rsidRDefault="001A23EF" w:rsidP="00352D8D">
            <w:pPr>
              <w:pStyle w:val="ExhibitText"/>
              <w:jc w:val="right"/>
              <w:rPr>
                <w:b/>
                <w:bdr w:val="nil"/>
                <w:lang w:val="en-GB"/>
              </w:rPr>
            </w:pPr>
            <w:r w:rsidRPr="000269CF">
              <w:rPr>
                <w:b/>
                <w:bdr w:val="nil"/>
                <w:lang w:val="en-GB"/>
              </w:rPr>
              <w:t>(169)</w:t>
            </w:r>
          </w:p>
        </w:tc>
        <w:tc>
          <w:tcPr>
            <w:tcW w:w="995" w:type="dxa"/>
            <w:noWrap/>
            <w:hideMark/>
          </w:tcPr>
          <w:p w14:paraId="2E7DB9DE" w14:textId="64BF1500" w:rsidR="001A23EF" w:rsidRPr="000269CF" w:rsidRDefault="001A23EF" w:rsidP="00352D8D">
            <w:pPr>
              <w:pStyle w:val="ExhibitText"/>
              <w:jc w:val="right"/>
              <w:rPr>
                <w:b/>
                <w:bdr w:val="nil"/>
                <w:lang w:val="en-GB"/>
              </w:rPr>
            </w:pPr>
            <w:r w:rsidRPr="000269CF">
              <w:rPr>
                <w:b/>
                <w:bdr w:val="nil"/>
                <w:lang w:val="en-GB"/>
              </w:rPr>
              <w:t>(304)</w:t>
            </w:r>
          </w:p>
        </w:tc>
        <w:tc>
          <w:tcPr>
            <w:tcW w:w="995" w:type="dxa"/>
            <w:noWrap/>
            <w:hideMark/>
          </w:tcPr>
          <w:p w14:paraId="2850585C" w14:textId="44D2C43C" w:rsidR="001A23EF" w:rsidRPr="000269CF" w:rsidRDefault="001A23EF" w:rsidP="00352D8D">
            <w:pPr>
              <w:pStyle w:val="ExhibitText"/>
              <w:jc w:val="right"/>
              <w:rPr>
                <w:b/>
                <w:bdr w:val="nil"/>
                <w:lang w:val="en-GB"/>
              </w:rPr>
            </w:pPr>
            <w:r w:rsidRPr="000269CF">
              <w:rPr>
                <w:b/>
                <w:bdr w:val="nil"/>
                <w:lang w:val="en-GB"/>
              </w:rPr>
              <w:t>(369)</w:t>
            </w:r>
          </w:p>
        </w:tc>
      </w:tr>
      <w:tr w:rsidR="001A23EF" w:rsidRPr="0061757A" w14:paraId="178F67E1" w14:textId="77777777" w:rsidTr="00141D0C">
        <w:trPr>
          <w:trHeight w:val="70"/>
          <w:jc w:val="center"/>
        </w:trPr>
        <w:tc>
          <w:tcPr>
            <w:tcW w:w="4374" w:type="dxa"/>
            <w:noWrap/>
            <w:hideMark/>
          </w:tcPr>
          <w:p w14:paraId="635FE238" w14:textId="2A3DEBE2" w:rsidR="001A23EF" w:rsidRPr="00C16E0B" w:rsidRDefault="001A23EF" w:rsidP="00352D8D">
            <w:pPr>
              <w:pStyle w:val="ExhibitText"/>
              <w:jc w:val="left"/>
              <w:rPr>
                <w:bdr w:val="nil"/>
                <w:lang w:val="en-GB"/>
              </w:rPr>
            </w:pPr>
            <w:r w:rsidRPr="00C16E0B">
              <w:rPr>
                <w:bdr w:val="nil"/>
                <w:lang w:val="en-GB"/>
              </w:rPr>
              <w:t xml:space="preserve">Net </w:t>
            </w:r>
            <w:r w:rsidR="00EF4CB4">
              <w:rPr>
                <w:bdr w:val="nil"/>
                <w:lang w:val="en-GB"/>
              </w:rPr>
              <w:t>i</w:t>
            </w:r>
            <w:r w:rsidRPr="00C16E0B">
              <w:rPr>
                <w:bdr w:val="nil"/>
                <w:lang w:val="en-GB"/>
              </w:rPr>
              <w:t xml:space="preserve">ncome </w:t>
            </w:r>
            <w:r w:rsidR="0061757A">
              <w:rPr>
                <w:bdr w:val="nil"/>
                <w:lang w:val="en-GB"/>
              </w:rPr>
              <w:t>to</w:t>
            </w:r>
            <w:r w:rsidRPr="00C16E0B">
              <w:rPr>
                <w:bdr w:val="nil"/>
                <w:lang w:val="en-GB"/>
              </w:rPr>
              <w:t xml:space="preserve"> </w:t>
            </w:r>
            <w:r w:rsidR="00EF4CB4">
              <w:rPr>
                <w:bdr w:val="nil"/>
                <w:lang w:val="en-GB"/>
              </w:rPr>
              <w:t>r</w:t>
            </w:r>
            <w:r w:rsidRPr="00C16E0B">
              <w:rPr>
                <w:bdr w:val="nil"/>
                <w:lang w:val="en-GB"/>
              </w:rPr>
              <w:t>evenue</w:t>
            </w:r>
            <w:r w:rsidR="0061757A">
              <w:rPr>
                <w:bdr w:val="nil"/>
                <w:lang w:val="en-GB"/>
              </w:rPr>
              <w:t xml:space="preserve"> </w:t>
            </w:r>
            <w:r w:rsidR="00EF4CB4">
              <w:rPr>
                <w:bdr w:val="nil"/>
                <w:lang w:val="en-GB"/>
              </w:rPr>
              <w:t>r</w:t>
            </w:r>
            <w:r w:rsidR="0061757A">
              <w:rPr>
                <w:bdr w:val="nil"/>
                <w:lang w:val="en-GB"/>
              </w:rPr>
              <w:t>atio</w:t>
            </w:r>
          </w:p>
        </w:tc>
        <w:tc>
          <w:tcPr>
            <w:tcW w:w="995" w:type="dxa"/>
            <w:noWrap/>
            <w:hideMark/>
          </w:tcPr>
          <w:p w14:paraId="0AF608A6" w14:textId="77777777" w:rsidR="001A23EF" w:rsidRPr="00C16E0B" w:rsidRDefault="001A23EF" w:rsidP="00352D8D">
            <w:pPr>
              <w:pStyle w:val="ExhibitText"/>
              <w:jc w:val="right"/>
              <w:rPr>
                <w:bdr w:val="nil"/>
                <w:lang w:val="en-GB"/>
              </w:rPr>
            </w:pPr>
            <w:r w:rsidRPr="00C16E0B">
              <w:rPr>
                <w:bdr w:val="nil"/>
                <w:lang w:val="en-GB"/>
              </w:rPr>
              <w:t>-2.8%</w:t>
            </w:r>
          </w:p>
        </w:tc>
        <w:tc>
          <w:tcPr>
            <w:tcW w:w="995" w:type="dxa"/>
            <w:noWrap/>
            <w:hideMark/>
          </w:tcPr>
          <w:p w14:paraId="44C86188" w14:textId="77777777" w:rsidR="001A23EF" w:rsidRPr="00C16E0B" w:rsidRDefault="001A23EF" w:rsidP="00352D8D">
            <w:pPr>
              <w:pStyle w:val="ExhibitText"/>
              <w:jc w:val="right"/>
              <w:rPr>
                <w:bdr w:val="nil"/>
                <w:lang w:val="en-GB"/>
              </w:rPr>
            </w:pPr>
            <w:r w:rsidRPr="00C16E0B">
              <w:rPr>
                <w:bdr w:val="nil"/>
                <w:lang w:val="en-GB"/>
              </w:rPr>
              <w:t>-2.0%</w:t>
            </w:r>
          </w:p>
        </w:tc>
        <w:tc>
          <w:tcPr>
            <w:tcW w:w="995" w:type="dxa"/>
            <w:noWrap/>
            <w:hideMark/>
          </w:tcPr>
          <w:p w14:paraId="36238BD1" w14:textId="77777777" w:rsidR="001A23EF" w:rsidRPr="00C16E0B" w:rsidRDefault="001A23EF" w:rsidP="00352D8D">
            <w:pPr>
              <w:pStyle w:val="ExhibitText"/>
              <w:jc w:val="right"/>
              <w:rPr>
                <w:bdr w:val="nil"/>
                <w:lang w:val="en-GB"/>
              </w:rPr>
            </w:pPr>
            <w:r w:rsidRPr="00C16E0B">
              <w:rPr>
                <w:bdr w:val="nil"/>
                <w:lang w:val="en-GB"/>
              </w:rPr>
              <w:t>-2.1%</w:t>
            </w:r>
          </w:p>
        </w:tc>
        <w:tc>
          <w:tcPr>
            <w:tcW w:w="995" w:type="dxa"/>
            <w:noWrap/>
            <w:hideMark/>
          </w:tcPr>
          <w:p w14:paraId="7BA383F1" w14:textId="77777777" w:rsidR="001A23EF" w:rsidRPr="00C16E0B" w:rsidRDefault="001A23EF" w:rsidP="00352D8D">
            <w:pPr>
              <w:pStyle w:val="ExhibitText"/>
              <w:jc w:val="right"/>
              <w:rPr>
                <w:bdr w:val="nil"/>
                <w:lang w:val="en-GB"/>
              </w:rPr>
            </w:pPr>
            <w:r w:rsidRPr="00C16E0B">
              <w:rPr>
                <w:bdr w:val="nil"/>
                <w:lang w:val="en-GB"/>
              </w:rPr>
              <w:t>-4.1%</w:t>
            </w:r>
          </w:p>
        </w:tc>
        <w:tc>
          <w:tcPr>
            <w:tcW w:w="995" w:type="dxa"/>
            <w:noWrap/>
            <w:hideMark/>
          </w:tcPr>
          <w:p w14:paraId="4F5F56BD" w14:textId="77777777" w:rsidR="001A23EF" w:rsidRPr="00C16E0B" w:rsidRDefault="001A23EF" w:rsidP="00352D8D">
            <w:pPr>
              <w:pStyle w:val="ExhibitText"/>
              <w:jc w:val="right"/>
              <w:rPr>
                <w:bdr w:val="nil"/>
                <w:lang w:val="en-GB"/>
              </w:rPr>
            </w:pPr>
            <w:r w:rsidRPr="00C16E0B">
              <w:rPr>
                <w:bdr w:val="nil"/>
                <w:lang w:val="en-GB"/>
              </w:rPr>
              <w:t>-5.1%</w:t>
            </w:r>
          </w:p>
        </w:tc>
      </w:tr>
      <w:tr w:rsidR="001A23EF" w:rsidRPr="000269CF" w14:paraId="4CDB6785" w14:textId="77777777" w:rsidTr="00141D0C">
        <w:trPr>
          <w:trHeight w:val="70"/>
          <w:jc w:val="center"/>
        </w:trPr>
        <w:tc>
          <w:tcPr>
            <w:tcW w:w="4374" w:type="dxa"/>
            <w:noWrap/>
            <w:hideMark/>
          </w:tcPr>
          <w:p w14:paraId="18EF3134" w14:textId="7E81EE28" w:rsidR="001A23EF" w:rsidRPr="000269CF" w:rsidRDefault="001A23EF" w:rsidP="00352D8D">
            <w:pPr>
              <w:pStyle w:val="ExhibitText"/>
              <w:jc w:val="left"/>
              <w:rPr>
                <w:bdr w:val="nil"/>
                <w:lang w:val="en-GB"/>
              </w:rPr>
            </w:pPr>
            <w:r w:rsidRPr="000269CF">
              <w:rPr>
                <w:bdr w:val="nil"/>
                <w:lang w:val="en-GB"/>
              </w:rPr>
              <w:t>Long</w:t>
            </w:r>
            <w:r w:rsidR="0061757A">
              <w:rPr>
                <w:bdr w:val="nil"/>
                <w:lang w:val="en-GB"/>
              </w:rPr>
              <w:t>-</w:t>
            </w:r>
            <w:r w:rsidR="00EF4CB4">
              <w:rPr>
                <w:bdr w:val="nil"/>
                <w:lang w:val="en-GB"/>
              </w:rPr>
              <w:t>t</w:t>
            </w:r>
            <w:r w:rsidRPr="000269CF">
              <w:rPr>
                <w:bdr w:val="nil"/>
                <w:lang w:val="en-GB"/>
              </w:rPr>
              <w:t xml:space="preserve">erm </w:t>
            </w:r>
            <w:r w:rsidR="00EF4CB4">
              <w:rPr>
                <w:bdr w:val="nil"/>
                <w:lang w:val="en-GB"/>
              </w:rPr>
              <w:t>d</w:t>
            </w:r>
            <w:r w:rsidRPr="000269CF">
              <w:rPr>
                <w:bdr w:val="nil"/>
                <w:lang w:val="en-GB"/>
              </w:rPr>
              <w:t xml:space="preserve">ebt </w:t>
            </w:r>
            <w:r w:rsidR="0061757A">
              <w:rPr>
                <w:bdr w:val="nil"/>
                <w:lang w:val="en-GB"/>
              </w:rPr>
              <w:t xml:space="preserve">to </w:t>
            </w:r>
            <w:r w:rsidR="00EF4CB4">
              <w:rPr>
                <w:bdr w:val="nil"/>
                <w:lang w:val="en-GB"/>
              </w:rPr>
              <w:t>a</w:t>
            </w:r>
            <w:r w:rsidR="0061757A">
              <w:rPr>
                <w:bdr w:val="nil"/>
                <w:lang w:val="en-GB"/>
              </w:rPr>
              <w:t xml:space="preserve">sset </w:t>
            </w:r>
            <w:r w:rsidR="00EF4CB4">
              <w:rPr>
                <w:bdr w:val="nil"/>
                <w:lang w:val="en-GB"/>
              </w:rPr>
              <w:t>r</w:t>
            </w:r>
            <w:r w:rsidRPr="000269CF">
              <w:rPr>
                <w:bdr w:val="nil"/>
                <w:lang w:val="en-GB"/>
              </w:rPr>
              <w:t>atio</w:t>
            </w:r>
          </w:p>
        </w:tc>
        <w:tc>
          <w:tcPr>
            <w:tcW w:w="995" w:type="dxa"/>
            <w:noWrap/>
            <w:hideMark/>
          </w:tcPr>
          <w:p w14:paraId="384C0F06" w14:textId="13C90F93" w:rsidR="001A23EF" w:rsidRPr="000269CF" w:rsidRDefault="001A23EF" w:rsidP="00352D8D">
            <w:pPr>
              <w:pStyle w:val="ExhibitText"/>
              <w:jc w:val="right"/>
              <w:rPr>
                <w:bdr w:val="nil"/>
                <w:lang w:val="en-GB"/>
              </w:rPr>
            </w:pPr>
            <w:r w:rsidRPr="000269CF">
              <w:rPr>
                <w:bdr w:val="nil"/>
                <w:lang w:val="en-GB"/>
              </w:rPr>
              <w:t>91</w:t>
            </w:r>
            <w:r w:rsidR="00EF4CB4">
              <w:rPr>
                <w:bdr w:val="nil"/>
                <w:lang w:val="en-GB"/>
              </w:rPr>
              <w:t>.0</w:t>
            </w:r>
            <w:r w:rsidRPr="000269CF">
              <w:rPr>
                <w:bdr w:val="nil"/>
                <w:lang w:val="en-GB"/>
              </w:rPr>
              <w:t>%</w:t>
            </w:r>
          </w:p>
        </w:tc>
        <w:tc>
          <w:tcPr>
            <w:tcW w:w="995" w:type="dxa"/>
            <w:noWrap/>
            <w:hideMark/>
          </w:tcPr>
          <w:p w14:paraId="069EC9C0" w14:textId="23672D95" w:rsidR="001A23EF" w:rsidRPr="000269CF" w:rsidRDefault="001A23EF" w:rsidP="00352D8D">
            <w:pPr>
              <w:pStyle w:val="ExhibitText"/>
              <w:jc w:val="right"/>
              <w:rPr>
                <w:bdr w:val="nil"/>
                <w:lang w:val="en-GB"/>
              </w:rPr>
            </w:pPr>
            <w:r w:rsidRPr="000269CF">
              <w:rPr>
                <w:bdr w:val="nil"/>
                <w:lang w:val="en-GB"/>
              </w:rPr>
              <w:t>0</w:t>
            </w:r>
            <w:r w:rsidR="00EF4CB4">
              <w:rPr>
                <w:bdr w:val="nil"/>
                <w:lang w:val="en-GB"/>
              </w:rPr>
              <w:t>.0</w:t>
            </w:r>
            <w:r w:rsidRPr="000269CF">
              <w:rPr>
                <w:bdr w:val="nil"/>
                <w:lang w:val="en-GB"/>
              </w:rPr>
              <w:t>%</w:t>
            </w:r>
          </w:p>
        </w:tc>
        <w:tc>
          <w:tcPr>
            <w:tcW w:w="995" w:type="dxa"/>
            <w:noWrap/>
            <w:hideMark/>
          </w:tcPr>
          <w:p w14:paraId="03B1D9D1" w14:textId="484C62ED" w:rsidR="001A23EF" w:rsidRPr="000269CF" w:rsidRDefault="001A23EF" w:rsidP="00352D8D">
            <w:pPr>
              <w:pStyle w:val="ExhibitText"/>
              <w:jc w:val="right"/>
              <w:rPr>
                <w:bdr w:val="nil"/>
                <w:lang w:val="en-GB"/>
              </w:rPr>
            </w:pPr>
            <w:r w:rsidRPr="000269CF">
              <w:rPr>
                <w:bdr w:val="nil"/>
                <w:lang w:val="en-GB"/>
              </w:rPr>
              <w:t>82</w:t>
            </w:r>
            <w:r w:rsidR="00EF4CB4">
              <w:rPr>
                <w:bdr w:val="nil"/>
                <w:lang w:val="en-GB"/>
              </w:rPr>
              <w:t>.0</w:t>
            </w:r>
            <w:r w:rsidRPr="000269CF">
              <w:rPr>
                <w:bdr w:val="nil"/>
                <w:lang w:val="en-GB"/>
              </w:rPr>
              <w:t>%</w:t>
            </w:r>
          </w:p>
        </w:tc>
        <w:tc>
          <w:tcPr>
            <w:tcW w:w="995" w:type="dxa"/>
            <w:noWrap/>
            <w:hideMark/>
          </w:tcPr>
          <w:p w14:paraId="1EA7A7F8" w14:textId="357C07F9" w:rsidR="001A23EF" w:rsidRPr="000269CF" w:rsidRDefault="001A23EF" w:rsidP="00352D8D">
            <w:pPr>
              <w:pStyle w:val="ExhibitText"/>
              <w:jc w:val="right"/>
              <w:rPr>
                <w:bdr w:val="nil"/>
                <w:lang w:val="en-GB"/>
              </w:rPr>
            </w:pPr>
            <w:r w:rsidRPr="000269CF">
              <w:rPr>
                <w:bdr w:val="nil"/>
                <w:lang w:val="en-GB"/>
              </w:rPr>
              <w:t>82</w:t>
            </w:r>
            <w:r w:rsidR="00EF4CB4">
              <w:rPr>
                <w:bdr w:val="nil"/>
                <w:lang w:val="en-GB"/>
              </w:rPr>
              <w:t>.0</w:t>
            </w:r>
            <w:r w:rsidRPr="000269CF">
              <w:rPr>
                <w:bdr w:val="nil"/>
                <w:lang w:val="en-GB"/>
              </w:rPr>
              <w:t>%</w:t>
            </w:r>
          </w:p>
        </w:tc>
        <w:tc>
          <w:tcPr>
            <w:tcW w:w="995" w:type="dxa"/>
            <w:noWrap/>
            <w:hideMark/>
          </w:tcPr>
          <w:p w14:paraId="584AE90C" w14:textId="724AA82E" w:rsidR="001A23EF" w:rsidRPr="000269CF" w:rsidRDefault="001A23EF" w:rsidP="00352D8D">
            <w:pPr>
              <w:pStyle w:val="ExhibitText"/>
              <w:jc w:val="right"/>
              <w:rPr>
                <w:bdr w:val="nil"/>
                <w:lang w:val="en-GB"/>
              </w:rPr>
            </w:pPr>
            <w:r w:rsidRPr="000269CF">
              <w:rPr>
                <w:bdr w:val="nil"/>
                <w:lang w:val="en-GB"/>
              </w:rPr>
              <w:t>82</w:t>
            </w:r>
            <w:r w:rsidR="00EF4CB4">
              <w:rPr>
                <w:bdr w:val="nil"/>
                <w:lang w:val="en-GB"/>
              </w:rPr>
              <w:t>.0</w:t>
            </w:r>
            <w:r w:rsidRPr="000269CF">
              <w:rPr>
                <w:bdr w:val="nil"/>
                <w:lang w:val="en-GB"/>
              </w:rPr>
              <w:t>%</w:t>
            </w:r>
          </w:p>
        </w:tc>
      </w:tr>
      <w:tr w:rsidR="001A23EF" w:rsidRPr="000269CF" w14:paraId="731471DB" w14:textId="77777777" w:rsidTr="00141D0C">
        <w:trPr>
          <w:trHeight w:val="70"/>
          <w:jc w:val="center"/>
        </w:trPr>
        <w:tc>
          <w:tcPr>
            <w:tcW w:w="4374" w:type="dxa"/>
            <w:noWrap/>
            <w:hideMark/>
          </w:tcPr>
          <w:p w14:paraId="028C9997" w14:textId="55E2B459" w:rsidR="001A23EF" w:rsidRPr="000269CF" w:rsidRDefault="001A23EF" w:rsidP="00352D8D">
            <w:pPr>
              <w:pStyle w:val="ExhibitText"/>
              <w:jc w:val="left"/>
              <w:rPr>
                <w:bdr w:val="nil"/>
                <w:lang w:val="en-GB"/>
              </w:rPr>
            </w:pPr>
            <w:r w:rsidRPr="000269CF">
              <w:rPr>
                <w:bdr w:val="nil"/>
                <w:lang w:val="en-GB"/>
              </w:rPr>
              <w:t xml:space="preserve">Stock price </w:t>
            </w:r>
            <w:r w:rsidR="0061757A">
              <w:rPr>
                <w:bdr w:val="nil"/>
                <w:lang w:val="en-GB"/>
              </w:rPr>
              <w:t>(</w:t>
            </w:r>
            <w:r w:rsidRPr="000269CF">
              <w:rPr>
                <w:bdr w:val="nil"/>
                <w:lang w:val="en-GB"/>
              </w:rPr>
              <w:t xml:space="preserve">as of </w:t>
            </w:r>
            <w:r w:rsidR="0061757A">
              <w:rPr>
                <w:bdr w:val="nil"/>
                <w:lang w:val="en-GB"/>
              </w:rPr>
              <w:t xml:space="preserve">December </w:t>
            </w:r>
            <w:r w:rsidRPr="000269CF">
              <w:rPr>
                <w:bdr w:val="nil"/>
                <w:lang w:val="en-GB"/>
              </w:rPr>
              <w:t>31</w:t>
            </w:r>
            <w:r w:rsidR="0061757A">
              <w:rPr>
                <w:bdr w:val="nil"/>
                <w:lang w:val="en-GB"/>
              </w:rPr>
              <w:t>)</w:t>
            </w:r>
            <w:r w:rsidR="0061757A">
              <w:rPr>
                <w:bdr w:val="nil"/>
                <w:vertAlign w:val="superscript"/>
                <w:lang w:val="en-GB"/>
              </w:rPr>
              <w:t>*</w:t>
            </w:r>
          </w:p>
        </w:tc>
        <w:tc>
          <w:tcPr>
            <w:tcW w:w="995" w:type="dxa"/>
            <w:noWrap/>
            <w:hideMark/>
          </w:tcPr>
          <w:p w14:paraId="2BFC39D2" w14:textId="77777777" w:rsidR="001A23EF" w:rsidRPr="000269CF" w:rsidRDefault="001A23EF" w:rsidP="00352D8D">
            <w:pPr>
              <w:pStyle w:val="ExhibitText"/>
              <w:jc w:val="right"/>
              <w:rPr>
                <w:bdr w:val="nil"/>
                <w:lang w:val="en-GB"/>
              </w:rPr>
            </w:pPr>
            <w:r w:rsidRPr="000269CF">
              <w:rPr>
                <w:bdr w:val="nil"/>
                <w:lang w:val="en-GB"/>
              </w:rPr>
              <w:t>183.10 </w:t>
            </w:r>
          </w:p>
        </w:tc>
        <w:tc>
          <w:tcPr>
            <w:tcW w:w="995" w:type="dxa"/>
            <w:noWrap/>
            <w:hideMark/>
          </w:tcPr>
          <w:p w14:paraId="4FEC02E8" w14:textId="77777777" w:rsidR="001A23EF" w:rsidRPr="000269CF" w:rsidRDefault="001A23EF" w:rsidP="00352D8D">
            <w:pPr>
              <w:pStyle w:val="ExhibitText"/>
              <w:jc w:val="right"/>
              <w:rPr>
                <w:bdr w:val="nil"/>
                <w:lang w:val="en-GB"/>
              </w:rPr>
            </w:pPr>
            <w:r w:rsidRPr="000269CF">
              <w:rPr>
                <w:bdr w:val="nil"/>
                <w:lang w:val="en-GB"/>
              </w:rPr>
              <w:t>166.62</w:t>
            </w:r>
          </w:p>
        </w:tc>
        <w:tc>
          <w:tcPr>
            <w:tcW w:w="995" w:type="dxa"/>
            <w:noWrap/>
            <w:hideMark/>
          </w:tcPr>
          <w:p w14:paraId="0AD29555" w14:textId="77777777" w:rsidR="001A23EF" w:rsidRPr="000269CF" w:rsidRDefault="001A23EF" w:rsidP="00352D8D">
            <w:pPr>
              <w:pStyle w:val="ExhibitText"/>
              <w:jc w:val="right"/>
              <w:rPr>
                <w:bdr w:val="nil"/>
                <w:lang w:val="en-GB"/>
              </w:rPr>
            </w:pPr>
            <w:r w:rsidRPr="000269CF">
              <w:rPr>
                <w:bdr w:val="nil"/>
                <w:lang w:val="en-GB"/>
              </w:rPr>
              <w:t>136.76</w:t>
            </w:r>
          </w:p>
        </w:tc>
        <w:tc>
          <w:tcPr>
            <w:tcW w:w="995" w:type="dxa"/>
            <w:noWrap/>
            <w:hideMark/>
          </w:tcPr>
          <w:p w14:paraId="5AB2345A" w14:textId="0A36445D" w:rsidR="001A23EF" w:rsidRPr="000269CF" w:rsidRDefault="001A23EF" w:rsidP="00352D8D">
            <w:pPr>
              <w:pStyle w:val="ExhibitText"/>
              <w:jc w:val="right"/>
              <w:rPr>
                <w:bdr w:val="nil"/>
                <w:lang w:val="en-GB"/>
              </w:rPr>
            </w:pPr>
            <w:r w:rsidRPr="000269CF">
              <w:rPr>
                <w:bdr w:val="nil"/>
                <w:lang w:val="en-GB"/>
              </w:rPr>
              <w:t>76.24</w:t>
            </w:r>
          </w:p>
        </w:tc>
        <w:tc>
          <w:tcPr>
            <w:tcW w:w="995" w:type="dxa"/>
            <w:noWrap/>
            <w:hideMark/>
          </w:tcPr>
          <w:p w14:paraId="71660D2D" w14:textId="77777777" w:rsidR="001A23EF" w:rsidRPr="000269CF" w:rsidRDefault="001A23EF" w:rsidP="00352D8D">
            <w:pPr>
              <w:pStyle w:val="ExhibitText"/>
              <w:jc w:val="right"/>
              <w:rPr>
                <w:bdr w:val="nil"/>
                <w:lang w:val="en-GB"/>
              </w:rPr>
            </w:pPr>
            <w:r w:rsidRPr="000269CF">
              <w:rPr>
                <w:bdr w:val="nil"/>
                <w:lang w:val="en-GB"/>
              </w:rPr>
              <w:t>56.84 </w:t>
            </w:r>
          </w:p>
        </w:tc>
      </w:tr>
      <w:tr w:rsidR="001A23EF" w:rsidRPr="000269CF" w14:paraId="6EA645E9" w14:textId="77777777" w:rsidTr="00141D0C">
        <w:trPr>
          <w:trHeight w:val="70"/>
          <w:jc w:val="center"/>
        </w:trPr>
        <w:tc>
          <w:tcPr>
            <w:tcW w:w="4374" w:type="dxa"/>
            <w:noWrap/>
            <w:hideMark/>
          </w:tcPr>
          <w:p w14:paraId="05329FEC" w14:textId="14636EB8" w:rsidR="001A23EF" w:rsidRPr="000269CF" w:rsidRDefault="001A23EF" w:rsidP="00352D8D">
            <w:pPr>
              <w:pStyle w:val="ExhibitText"/>
              <w:jc w:val="left"/>
              <w:rPr>
                <w:bdr w:val="nil"/>
                <w:lang w:val="en-GB"/>
              </w:rPr>
            </w:pPr>
            <w:r w:rsidRPr="000269CF">
              <w:rPr>
                <w:bdr w:val="nil"/>
                <w:lang w:val="en-GB"/>
              </w:rPr>
              <w:t xml:space="preserve">Earnings per </w:t>
            </w:r>
            <w:r w:rsidR="00EF4CB4">
              <w:rPr>
                <w:bdr w:val="nil"/>
                <w:lang w:val="en-GB"/>
              </w:rPr>
              <w:t>s</w:t>
            </w:r>
            <w:r w:rsidRPr="000269CF">
              <w:rPr>
                <w:bdr w:val="nil"/>
                <w:lang w:val="en-GB"/>
              </w:rPr>
              <w:t>hare (</w:t>
            </w:r>
            <w:r w:rsidR="00EF4CB4">
              <w:rPr>
                <w:bdr w:val="nil"/>
                <w:lang w:val="en-GB"/>
              </w:rPr>
              <w:t>b</w:t>
            </w:r>
            <w:r w:rsidRPr="000269CF">
              <w:rPr>
                <w:bdr w:val="nil"/>
                <w:lang w:val="en-GB"/>
              </w:rPr>
              <w:t>asic)</w:t>
            </w:r>
          </w:p>
        </w:tc>
        <w:tc>
          <w:tcPr>
            <w:tcW w:w="995" w:type="dxa"/>
            <w:noWrap/>
            <w:hideMark/>
          </w:tcPr>
          <w:p w14:paraId="022DE6F2" w14:textId="7BC6282C" w:rsidR="001A23EF" w:rsidRPr="000269CF" w:rsidRDefault="001A23EF" w:rsidP="00352D8D">
            <w:pPr>
              <w:pStyle w:val="ExhibitText"/>
              <w:jc w:val="right"/>
              <w:rPr>
                <w:bdr w:val="nil"/>
                <w:lang w:val="en-GB"/>
              </w:rPr>
            </w:pPr>
            <w:r w:rsidRPr="000269CF">
              <w:rPr>
                <w:bdr w:val="nil"/>
                <w:lang w:val="en-GB"/>
              </w:rPr>
              <w:t>(2.43)</w:t>
            </w:r>
          </w:p>
        </w:tc>
        <w:tc>
          <w:tcPr>
            <w:tcW w:w="995" w:type="dxa"/>
            <w:noWrap/>
            <w:hideMark/>
          </w:tcPr>
          <w:p w14:paraId="36018CF5" w14:textId="7C00080E" w:rsidR="001A23EF" w:rsidRPr="000269CF" w:rsidRDefault="001A23EF" w:rsidP="00352D8D">
            <w:pPr>
              <w:pStyle w:val="ExhibitText"/>
              <w:jc w:val="right"/>
              <w:rPr>
                <w:bdr w:val="nil"/>
                <w:lang w:val="en-GB"/>
              </w:rPr>
            </w:pPr>
            <w:r w:rsidRPr="000269CF">
              <w:rPr>
                <w:bdr w:val="nil"/>
                <w:lang w:val="en-GB"/>
              </w:rPr>
              <w:t>(1.70)</w:t>
            </w:r>
          </w:p>
        </w:tc>
        <w:tc>
          <w:tcPr>
            <w:tcW w:w="995" w:type="dxa"/>
            <w:noWrap/>
            <w:hideMark/>
          </w:tcPr>
          <w:p w14:paraId="748971F0" w14:textId="515E3381" w:rsidR="001A23EF" w:rsidRPr="000269CF" w:rsidRDefault="001A23EF" w:rsidP="00352D8D">
            <w:pPr>
              <w:pStyle w:val="ExhibitText"/>
              <w:jc w:val="right"/>
              <w:rPr>
                <w:bdr w:val="nil"/>
                <w:lang w:val="en-GB"/>
              </w:rPr>
            </w:pPr>
            <w:r w:rsidRPr="000269CF">
              <w:rPr>
                <w:bdr w:val="nil"/>
                <w:lang w:val="en-GB"/>
              </w:rPr>
              <w:t>(1.65)</w:t>
            </w:r>
          </w:p>
        </w:tc>
        <w:tc>
          <w:tcPr>
            <w:tcW w:w="995" w:type="dxa"/>
            <w:noWrap/>
            <w:hideMark/>
          </w:tcPr>
          <w:p w14:paraId="57E4FA59" w14:textId="25EAC4B1" w:rsidR="001A23EF" w:rsidRPr="000269CF" w:rsidRDefault="001A23EF" w:rsidP="00352D8D">
            <w:pPr>
              <w:pStyle w:val="ExhibitText"/>
              <w:jc w:val="right"/>
              <w:rPr>
                <w:bdr w:val="nil"/>
                <w:lang w:val="en-GB"/>
              </w:rPr>
            </w:pPr>
            <w:r w:rsidRPr="000269CF">
              <w:rPr>
                <w:bdr w:val="nil"/>
                <w:lang w:val="en-GB"/>
              </w:rPr>
              <w:t>(3.05)</w:t>
            </w:r>
          </w:p>
        </w:tc>
        <w:tc>
          <w:tcPr>
            <w:tcW w:w="995" w:type="dxa"/>
            <w:noWrap/>
            <w:hideMark/>
          </w:tcPr>
          <w:p w14:paraId="06651369" w14:textId="316ABB30" w:rsidR="001A23EF" w:rsidRPr="000269CF" w:rsidRDefault="001A23EF" w:rsidP="00352D8D">
            <w:pPr>
              <w:pStyle w:val="ExhibitText"/>
              <w:jc w:val="right"/>
              <w:rPr>
                <w:bdr w:val="nil"/>
                <w:lang w:val="en-GB"/>
              </w:rPr>
            </w:pPr>
            <w:r w:rsidRPr="000269CF">
              <w:rPr>
                <w:bdr w:val="nil"/>
                <w:lang w:val="en-GB"/>
              </w:rPr>
              <w:t>(3.39)</w:t>
            </w:r>
          </w:p>
        </w:tc>
      </w:tr>
    </w:tbl>
    <w:p w14:paraId="6352FF0A" w14:textId="77777777" w:rsidR="005C0F19" w:rsidRPr="00141D0C" w:rsidRDefault="005C0F19" w:rsidP="00141D0C">
      <w:pPr>
        <w:pStyle w:val="BodyTextMain"/>
        <w:rPr>
          <w:rStyle w:val="FootnoteChar"/>
          <w:rFonts w:ascii="Times New Roman" w:hAnsi="Times New Roman" w:cs="Times New Roman"/>
          <w:sz w:val="22"/>
          <w:szCs w:val="22"/>
        </w:rPr>
      </w:pPr>
    </w:p>
    <w:p w14:paraId="0BD5D136" w14:textId="77777777" w:rsidR="00141D0C" w:rsidRDefault="0061757A" w:rsidP="005C0F19">
      <w:pPr>
        <w:pStyle w:val="Footnote"/>
        <w:rPr>
          <w:rFonts w:eastAsia="Arial Unicode MS"/>
          <w:bdr w:val="nil"/>
          <w:lang w:val="en-GB"/>
        </w:rPr>
      </w:pPr>
      <w:r>
        <w:rPr>
          <w:lang w:val="en-GB"/>
        </w:rPr>
        <w:t>Note: * S</w:t>
      </w:r>
      <w:r w:rsidR="005C0F19" w:rsidRPr="000269CF">
        <w:rPr>
          <w:lang w:val="en-GB"/>
        </w:rPr>
        <w:t>tock prices for Charter</w:t>
      </w:r>
      <w:r>
        <w:rPr>
          <w:lang w:val="en-GB"/>
        </w:rPr>
        <w:t xml:space="preserve"> Communications</w:t>
      </w:r>
      <w:r w:rsidR="005C0F19" w:rsidRPr="000269CF">
        <w:rPr>
          <w:lang w:val="en-GB"/>
        </w:rPr>
        <w:t xml:space="preserve"> for information purposes only</w:t>
      </w:r>
      <w:r>
        <w:rPr>
          <w:lang w:val="en-GB"/>
        </w:rPr>
        <w:t xml:space="preserve">; cannot </w:t>
      </w:r>
      <w:r w:rsidR="005C0F19" w:rsidRPr="000269CF">
        <w:rPr>
          <w:lang w:val="en-GB"/>
        </w:rPr>
        <w:t xml:space="preserve">be used for value calculations </w:t>
      </w:r>
      <w:r>
        <w:rPr>
          <w:lang w:val="en-GB"/>
        </w:rPr>
        <w:t>due to the company’s</w:t>
      </w:r>
      <w:r w:rsidR="005C0F19" w:rsidRPr="000269CF">
        <w:rPr>
          <w:lang w:val="en-GB"/>
        </w:rPr>
        <w:t xml:space="preserve"> bankruptcy </w:t>
      </w:r>
      <w:r>
        <w:rPr>
          <w:lang w:val="en-GB"/>
        </w:rPr>
        <w:t xml:space="preserve">and re-emergence </w:t>
      </w:r>
      <w:r w:rsidR="005C0F19" w:rsidRPr="000269CF">
        <w:rPr>
          <w:lang w:val="en-GB"/>
        </w:rPr>
        <w:t xml:space="preserve">in 2009, </w:t>
      </w:r>
      <w:r>
        <w:rPr>
          <w:lang w:val="en-GB"/>
        </w:rPr>
        <w:t>near</w:t>
      </w:r>
      <w:r w:rsidR="005C0F19" w:rsidRPr="000269CF">
        <w:rPr>
          <w:lang w:val="en-GB"/>
        </w:rPr>
        <w:t xml:space="preserve"> the beginning of the </w:t>
      </w:r>
      <w:r>
        <w:rPr>
          <w:lang w:val="en-GB"/>
        </w:rPr>
        <w:t xml:space="preserve">2013 </w:t>
      </w:r>
      <w:r w:rsidR="005C0F19" w:rsidRPr="000269CF">
        <w:rPr>
          <w:lang w:val="en-GB"/>
        </w:rPr>
        <w:t>T</w:t>
      </w:r>
      <w:r>
        <w:rPr>
          <w:lang w:val="en-GB"/>
        </w:rPr>
        <w:t xml:space="preserve">ime </w:t>
      </w:r>
      <w:r w:rsidR="005C0F19" w:rsidRPr="000269CF">
        <w:rPr>
          <w:lang w:val="en-GB"/>
        </w:rPr>
        <w:t>W</w:t>
      </w:r>
      <w:r>
        <w:rPr>
          <w:lang w:val="en-GB"/>
        </w:rPr>
        <w:t xml:space="preserve">arner </w:t>
      </w:r>
      <w:r w:rsidR="005C0F19" w:rsidRPr="000269CF">
        <w:rPr>
          <w:lang w:val="en-GB"/>
        </w:rPr>
        <w:t>C</w:t>
      </w:r>
      <w:r>
        <w:rPr>
          <w:lang w:val="en-GB"/>
        </w:rPr>
        <w:t>able</w:t>
      </w:r>
      <w:r w:rsidR="005C0F19" w:rsidRPr="000269CF">
        <w:rPr>
          <w:lang w:val="en-GB"/>
        </w:rPr>
        <w:t xml:space="preserve"> acquisition process</w:t>
      </w:r>
      <w:r>
        <w:rPr>
          <w:lang w:val="en-GB"/>
        </w:rPr>
        <w:t xml:space="preserve">; </w:t>
      </w:r>
      <w:r>
        <w:rPr>
          <w:rFonts w:eastAsia="Arial Unicode MS"/>
          <w:bdr w:val="nil"/>
          <w:lang w:val="en-GB"/>
        </w:rPr>
        <w:t>EBIT = earnings before interest and taxes; EBITDA = earnings before interest, taxes, depreciation, and amortization</w:t>
      </w:r>
      <w:r w:rsidR="0062224A">
        <w:rPr>
          <w:rFonts w:eastAsia="Arial Unicode MS"/>
          <w:bdr w:val="nil"/>
          <w:lang w:val="en-GB"/>
        </w:rPr>
        <w:t>.</w:t>
      </w:r>
    </w:p>
    <w:p w14:paraId="568E1A32" w14:textId="11DAA417" w:rsidR="001A23EF" w:rsidRDefault="001A23EF" w:rsidP="005C0F19">
      <w:pPr>
        <w:pStyle w:val="Footnote"/>
        <w:rPr>
          <w:color w:val="000000"/>
          <w:sz w:val="22"/>
          <w:szCs w:val="22"/>
          <w:bdr w:val="nil"/>
          <w:lang w:val="en-GB"/>
        </w:rPr>
      </w:pPr>
      <w:r w:rsidRPr="000269CF">
        <w:rPr>
          <w:lang w:val="en-GB"/>
        </w:rPr>
        <w:t>Source: Charter Communications Inc.</w:t>
      </w:r>
      <w:r w:rsidR="0061757A">
        <w:rPr>
          <w:lang w:val="en-GB"/>
        </w:rPr>
        <w:t>,</w:t>
      </w:r>
      <w:r w:rsidRPr="000269CF">
        <w:rPr>
          <w:lang w:val="en-GB"/>
        </w:rPr>
        <w:t xml:space="preserve"> </w:t>
      </w:r>
      <w:r w:rsidR="0061757A">
        <w:rPr>
          <w:lang w:val="en-GB"/>
        </w:rPr>
        <w:t>“</w:t>
      </w:r>
      <w:r w:rsidRPr="000269CF">
        <w:rPr>
          <w:lang w:val="en-GB"/>
        </w:rPr>
        <w:t>Annual Report</w:t>
      </w:r>
      <w:r w:rsidR="00B25874">
        <w:rPr>
          <w:lang w:val="en-GB"/>
        </w:rPr>
        <w:t xml:space="preserve"> </w:t>
      </w:r>
      <w:r w:rsidR="00B25874" w:rsidRPr="0062224A">
        <w:rPr>
          <w:lang w:val="en-GB"/>
        </w:rPr>
        <w:t>2016</w:t>
      </w:r>
      <w:r w:rsidRPr="0062224A">
        <w:rPr>
          <w:lang w:val="en-GB"/>
        </w:rPr>
        <w:t>,</w:t>
      </w:r>
      <w:r w:rsidR="0061757A" w:rsidRPr="0062224A">
        <w:rPr>
          <w:lang w:val="en-GB"/>
        </w:rPr>
        <w:t>”</w:t>
      </w:r>
      <w:r w:rsidRPr="000269CF">
        <w:rPr>
          <w:lang w:val="en-GB"/>
        </w:rPr>
        <w:t xml:space="preserve"> </w:t>
      </w:r>
      <w:proofErr w:type="spellStart"/>
      <w:r w:rsidRPr="000269CF">
        <w:rPr>
          <w:lang w:val="en-GB"/>
        </w:rPr>
        <w:t>Mergent</w:t>
      </w:r>
      <w:proofErr w:type="spellEnd"/>
      <w:r w:rsidRPr="000269CF">
        <w:rPr>
          <w:lang w:val="en-GB"/>
        </w:rPr>
        <w:t xml:space="preserve"> Online</w:t>
      </w:r>
      <w:r w:rsidR="00B25874">
        <w:rPr>
          <w:lang w:val="en-GB"/>
        </w:rPr>
        <w:t xml:space="preserve"> </w:t>
      </w:r>
      <w:r w:rsidR="00B25874" w:rsidRPr="0062224A">
        <w:rPr>
          <w:lang w:val="en-GB"/>
        </w:rPr>
        <w:t>(Company analysis) FTSE Russell</w:t>
      </w:r>
      <w:r w:rsidRPr="000269CF">
        <w:rPr>
          <w:lang w:val="en-GB"/>
        </w:rPr>
        <w:t xml:space="preserve">, </w:t>
      </w:r>
      <w:r w:rsidR="005C0F19" w:rsidRPr="000269CF">
        <w:rPr>
          <w:lang w:val="en-GB"/>
        </w:rPr>
        <w:t>accessed March 10, 2017</w:t>
      </w:r>
      <w:r w:rsidRPr="000269CF">
        <w:rPr>
          <w:lang w:val="en-GB"/>
        </w:rPr>
        <w:t>.</w:t>
      </w:r>
      <w:r w:rsidRPr="000269CF">
        <w:rPr>
          <w:color w:val="000000"/>
          <w:sz w:val="22"/>
          <w:szCs w:val="22"/>
          <w:bdr w:val="nil"/>
          <w:lang w:val="en-GB"/>
        </w:rPr>
        <w:t xml:space="preserve"> </w:t>
      </w:r>
    </w:p>
    <w:p w14:paraId="60843805" w14:textId="77777777" w:rsidR="00141D0C" w:rsidRDefault="00141D0C">
      <w:pPr>
        <w:spacing w:after="200" w:line="276" w:lineRule="auto"/>
        <w:rPr>
          <w:rFonts w:ascii="Arial" w:hAnsi="Arial" w:cs="Arial"/>
          <w:b/>
          <w:caps/>
          <w:lang w:val="en-GB"/>
        </w:rPr>
      </w:pPr>
      <w:r>
        <w:rPr>
          <w:lang w:val="en-GB"/>
        </w:rPr>
        <w:br w:type="page"/>
      </w:r>
    </w:p>
    <w:p w14:paraId="1D08A7B4" w14:textId="47569AFA" w:rsidR="00EC6A26" w:rsidRPr="000269CF" w:rsidRDefault="00EC6A26" w:rsidP="001A23EF">
      <w:pPr>
        <w:pStyle w:val="Casehead1"/>
        <w:rPr>
          <w:lang w:val="en-GB"/>
        </w:rPr>
      </w:pPr>
      <w:r w:rsidRPr="000269CF">
        <w:rPr>
          <w:lang w:val="en-GB"/>
        </w:rPr>
        <w:lastRenderedPageBreak/>
        <w:t>ENDNOTES</w:t>
      </w:r>
    </w:p>
    <w:sectPr w:rsidR="00EC6A26" w:rsidRPr="000269CF"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E8264" w14:textId="77777777" w:rsidR="008C02CC" w:rsidRDefault="008C02CC" w:rsidP="00D75295">
      <w:r>
        <w:separator/>
      </w:r>
    </w:p>
  </w:endnote>
  <w:endnote w:type="continuationSeparator" w:id="0">
    <w:p w14:paraId="7C3F6341" w14:textId="77777777" w:rsidR="008C02CC" w:rsidRDefault="008C02CC" w:rsidP="00D75295">
      <w:r>
        <w:continuationSeparator/>
      </w:r>
    </w:p>
  </w:endnote>
  <w:endnote w:id="1">
    <w:p w14:paraId="19647D8F" w14:textId="6F8B6561" w:rsidR="008C02CC" w:rsidRPr="0047411A" w:rsidRDefault="008C02CC" w:rsidP="0047411A">
      <w:pPr>
        <w:pStyle w:val="Footnote"/>
      </w:pPr>
      <w:r w:rsidRPr="00F87367">
        <w:rPr>
          <w:rStyle w:val="EndnoteReference"/>
        </w:rPr>
        <w:endnoteRef/>
      </w:r>
      <w:r w:rsidRPr="0047411A">
        <w:t xml:space="preserve"> Shalini Ramachandran, Joe Flint, and Brent Kendall, “FCC Staff Recommends Hearing on Comcast-Time Warner Cable Merger,” Wall Street Journal, April 23, 2015, </w:t>
      </w:r>
      <w:r w:rsidRPr="0047411A">
        <w:rPr>
          <w:rStyle w:val="Hyperlink1"/>
          <w:color w:val="auto"/>
          <w:sz w:val="17"/>
          <w:szCs w:val="17"/>
          <w:u w:val="none"/>
          <w:shd w:val="clear" w:color="auto" w:fill="auto"/>
        </w:rPr>
        <w:t>accessed May 10, 2016,</w:t>
      </w:r>
      <w:r w:rsidRPr="0047411A">
        <w:t xml:space="preserve"> </w:t>
      </w:r>
      <w:r w:rsidRPr="0047411A">
        <w:rPr>
          <w:rStyle w:val="Hyperlink1"/>
          <w:color w:val="auto"/>
          <w:sz w:val="17"/>
          <w:szCs w:val="17"/>
          <w:u w:val="none"/>
          <w:shd w:val="clear" w:color="auto" w:fill="auto"/>
        </w:rPr>
        <w:t>www.wsj.com/articles/fcc-staff-recommends-hearing-on-comcast-time-warner-cable-merger-1429751499.</w:t>
      </w:r>
    </w:p>
  </w:endnote>
  <w:endnote w:id="2">
    <w:p w14:paraId="3F319DD5" w14:textId="5FA67EC4" w:rsidR="008C02CC" w:rsidRPr="0047411A" w:rsidRDefault="008C02CC" w:rsidP="0047411A">
      <w:pPr>
        <w:pStyle w:val="Footnote"/>
      </w:pPr>
      <w:r w:rsidRPr="00F87367">
        <w:rPr>
          <w:rStyle w:val="EndnoteReference"/>
        </w:rPr>
        <w:endnoteRef/>
      </w:r>
      <w:r w:rsidRPr="0047411A">
        <w:t xml:space="preserve"> “CBS, Time Warner’s $9 billion Cable Spinoff,” May 21, 2008, accessed May 20, 2016, www.cbsnews.com/news/time-warners-9-billion-cable-spinoff.</w:t>
      </w:r>
    </w:p>
  </w:endnote>
  <w:endnote w:id="3">
    <w:p w14:paraId="6D80C7C6" w14:textId="491406CC" w:rsidR="008C02CC" w:rsidRPr="0047411A" w:rsidRDefault="008C02CC" w:rsidP="0047411A">
      <w:pPr>
        <w:pStyle w:val="Footnote"/>
      </w:pPr>
      <w:r w:rsidRPr="00F87367">
        <w:rPr>
          <w:rStyle w:val="EndnoteReference"/>
        </w:rPr>
        <w:endnoteRef/>
      </w:r>
      <w:r w:rsidRPr="0047411A">
        <w:t xml:space="preserve"> David </w:t>
      </w:r>
      <w:r w:rsidRPr="0047411A">
        <w:t>Gelles, “The ‘King of Cable’ Behind a Charter-Time Warner Cable Deal,” New York Times, May 26, 2015, accessed July 12, 2016, www.nytimes.com/2015/05/27/business/dealbook/john-malone-charter-cable.html.</w:t>
      </w:r>
    </w:p>
  </w:endnote>
  <w:endnote w:id="4">
    <w:p w14:paraId="50563C3F" w14:textId="48E4E8C5" w:rsidR="008C02CC" w:rsidRPr="0047411A" w:rsidRDefault="008C02CC" w:rsidP="0047411A">
      <w:pPr>
        <w:pStyle w:val="Footnote"/>
      </w:pPr>
      <w:r w:rsidRPr="00F87367">
        <w:rPr>
          <w:rStyle w:val="EndnoteReference"/>
        </w:rPr>
        <w:endnoteRef/>
      </w:r>
      <w:r w:rsidRPr="0047411A">
        <w:t xml:space="preserve"> Part 1: Yao, Deborah, “John Malone’s Cable M&amp;A Options,” SNL Kagan Media and Communications Report, Charlottesville, July 11, 2013.</w:t>
      </w:r>
    </w:p>
  </w:endnote>
  <w:endnote w:id="5">
    <w:p w14:paraId="70BFDDCC" w14:textId="492534F5" w:rsidR="00D718E6" w:rsidRPr="00D718E6" w:rsidRDefault="00D718E6">
      <w:pPr>
        <w:pStyle w:val="EndnoteText"/>
        <w:rPr>
          <w:rFonts w:ascii="Arial" w:hAnsi="Arial" w:cs="Arial"/>
          <w:sz w:val="17"/>
          <w:szCs w:val="17"/>
          <w:lang w:val="en-CA"/>
        </w:rPr>
      </w:pPr>
      <w:r w:rsidRPr="00D718E6">
        <w:rPr>
          <w:rStyle w:val="EndnoteReference"/>
          <w:rFonts w:ascii="Arial" w:hAnsi="Arial" w:cs="Arial"/>
          <w:sz w:val="17"/>
          <w:szCs w:val="17"/>
        </w:rPr>
        <w:endnoteRef/>
      </w:r>
      <w:r w:rsidRPr="00D718E6">
        <w:rPr>
          <w:rFonts w:ascii="Arial" w:hAnsi="Arial" w:cs="Arial"/>
          <w:sz w:val="17"/>
          <w:szCs w:val="17"/>
        </w:rPr>
        <w:t xml:space="preserve"> </w:t>
      </w:r>
      <w:r w:rsidRPr="00D718E6">
        <w:rPr>
          <w:rFonts w:ascii="Arial" w:hAnsi="Arial" w:cs="Arial"/>
          <w:sz w:val="17"/>
          <w:szCs w:val="17"/>
          <w:lang w:val="en-CA"/>
        </w:rPr>
        <w:t xml:space="preserve">Roger Yu, “Charter Buys Time Warner Cable in $55B Deal,” USA Today, May 26, 2015, accessed July 22, 2019, </w:t>
      </w:r>
      <w:r w:rsidRPr="00D718E6">
        <w:rPr>
          <w:rFonts w:ascii="Arial" w:hAnsi="Arial" w:cs="Arial"/>
          <w:sz w:val="17"/>
          <w:szCs w:val="17"/>
        </w:rPr>
        <w:t>www.usatoday.com/story/money/2015/05/26/charter-buys-time-warner-cable-in-55b-deal/27940477/</w:t>
      </w:r>
      <w:r w:rsidRPr="00D718E6">
        <w:rPr>
          <w:rFonts w:ascii="Arial" w:hAnsi="Arial" w:cs="Arial"/>
          <w:sz w:val="17"/>
          <w:szCs w:val="17"/>
          <w:lang w:val="en-CA"/>
        </w:rPr>
        <w:t>.</w:t>
      </w:r>
    </w:p>
  </w:endnote>
  <w:endnote w:id="6">
    <w:p w14:paraId="17521143" w14:textId="5E6CBDE6" w:rsidR="008C02CC" w:rsidRPr="0047411A" w:rsidRDefault="008C02CC" w:rsidP="0047411A">
      <w:pPr>
        <w:pStyle w:val="Footnote"/>
      </w:pPr>
      <w:r w:rsidRPr="00F87367">
        <w:rPr>
          <w:rStyle w:val="EndnoteReference"/>
        </w:rPr>
        <w:endnoteRef/>
      </w:r>
      <w:r w:rsidRPr="0047411A">
        <w:t xml:space="preserve"> Shalini Ramachandran, Martin Peers, and Christopher S. Stewart, “Liberty Talks up Charter-Time Warner Cable Deal with Investors,” Wall Street Journal, June 28, 2013, </w:t>
      </w:r>
      <w:r w:rsidRPr="0047411A">
        <w:rPr>
          <w:rFonts w:eastAsia="Arial"/>
        </w:rPr>
        <w:t>accessed May 10, 2016,</w:t>
      </w:r>
      <w:r w:rsidRPr="0047411A">
        <w:rPr>
          <w:rStyle w:val="Hyperlink2"/>
          <w:color w:val="auto"/>
          <w:sz w:val="17"/>
          <w:szCs w:val="17"/>
          <w:u w:val="none"/>
          <w:shd w:val="clear" w:color="auto" w:fill="auto"/>
        </w:rPr>
        <w:t xml:space="preserve"> </w:t>
      </w:r>
      <w:r w:rsidRPr="0047411A">
        <w:rPr>
          <w:rFonts w:eastAsia="Arial"/>
        </w:rPr>
        <w:t>www.wsj.com/articles/SB10001424127887323689204578573763360891212</w:t>
      </w:r>
      <w:r w:rsidRPr="0047411A">
        <w:rPr>
          <w:rStyle w:val="Hyperlink2"/>
          <w:color w:val="auto"/>
          <w:sz w:val="17"/>
          <w:szCs w:val="17"/>
          <w:u w:val="none"/>
          <w:shd w:val="clear" w:color="auto" w:fill="auto"/>
        </w:rPr>
        <w:t>.</w:t>
      </w:r>
    </w:p>
  </w:endnote>
  <w:endnote w:id="7">
    <w:p w14:paraId="23CBD275" w14:textId="77777777" w:rsidR="00D718E6" w:rsidRPr="0047411A" w:rsidRDefault="00D718E6" w:rsidP="00D718E6">
      <w:pPr>
        <w:pStyle w:val="Footnote"/>
      </w:pPr>
      <w:r w:rsidRPr="00F87367">
        <w:rPr>
          <w:rStyle w:val="EndnoteReference"/>
        </w:rPr>
        <w:endnoteRef/>
      </w:r>
      <w:r w:rsidRPr="0047411A">
        <w:t xml:space="preserve"> Shalini Ramachandran, “Corporate Suite vs. Industry Lifer; Who Is Best Prepared to Run Time Warner Cable?” Wall Street Journal, December 19, 2013, </w:t>
      </w:r>
      <w:r w:rsidRPr="0047411A">
        <w:rPr>
          <w:rStyle w:val="Hyperlink2"/>
          <w:color w:val="auto"/>
          <w:sz w:val="17"/>
          <w:szCs w:val="17"/>
          <w:u w:val="none"/>
          <w:shd w:val="clear" w:color="auto" w:fill="auto"/>
        </w:rPr>
        <w:t>accessed May 10, 2016</w:t>
      </w:r>
      <w:r w:rsidRPr="0047411A">
        <w:rPr>
          <w:rFonts w:eastAsia="Arial"/>
        </w:rPr>
        <w:t xml:space="preserve">, www.wsj.com/articles/opposite-types-vie-to-lead-time-warner-cable-1387485903. </w:t>
      </w:r>
    </w:p>
  </w:endnote>
  <w:endnote w:id="8">
    <w:p w14:paraId="3A4F109E" w14:textId="6F99084D" w:rsidR="008C02CC" w:rsidRPr="0047411A" w:rsidRDefault="008C02CC" w:rsidP="0047411A">
      <w:pPr>
        <w:pStyle w:val="Footnote"/>
      </w:pPr>
      <w:r w:rsidRPr="00F87367">
        <w:rPr>
          <w:rStyle w:val="EndnoteReference"/>
        </w:rPr>
        <w:endnoteRef/>
      </w:r>
      <w:r w:rsidRPr="0047411A">
        <w:t xml:space="preserve"> All currency amounts are in US$ unless otherwise specified.</w:t>
      </w:r>
    </w:p>
  </w:endnote>
  <w:endnote w:id="9">
    <w:p w14:paraId="6A7C37A2" w14:textId="7DAA0E49" w:rsidR="008C02CC" w:rsidRPr="0047411A" w:rsidRDefault="008C02CC" w:rsidP="0047411A">
      <w:pPr>
        <w:pStyle w:val="Footnote"/>
      </w:pPr>
      <w:r w:rsidRPr="00F87367">
        <w:rPr>
          <w:rStyle w:val="EndnoteReference"/>
        </w:rPr>
        <w:endnoteRef/>
      </w:r>
      <w:r w:rsidRPr="0047411A">
        <w:t xml:space="preserve"> Dana </w:t>
      </w:r>
      <w:r w:rsidRPr="0047411A">
        <w:t>Cimilluca, Shalini Ramachandran, and Amol Sharma, “Charter Makes Offer for Time Warner Cable: Bid of $37.4 billion Aimed at Bringing Cable Company to the Table,” Wall Street Journal, January 13, 2014, accessed May 10, 2016, www.wsj.com/articles/charter</w:t>
      </w:r>
      <w:r w:rsidRPr="0047411A">
        <w:rPr>
          <w:rStyle w:val="Hyperlink2"/>
          <w:color w:val="auto"/>
          <w:sz w:val="17"/>
          <w:szCs w:val="17"/>
          <w:u w:val="none"/>
          <w:shd w:val="clear" w:color="auto" w:fill="auto"/>
        </w:rPr>
        <w:t>-makes-offer-for-time-warner-cable-1389648938.</w:t>
      </w:r>
    </w:p>
  </w:endnote>
  <w:endnote w:id="10">
    <w:p w14:paraId="3A6F3A7D" w14:textId="0AB127E8" w:rsidR="008C02CC" w:rsidRPr="0047411A" w:rsidRDefault="008C02CC" w:rsidP="0047411A">
      <w:pPr>
        <w:pStyle w:val="Footnote"/>
        <w:rPr>
          <w:rFonts w:eastAsia="Arial"/>
        </w:rPr>
      </w:pPr>
      <w:r w:rsidRPr="00F87367">
        <w:rPr>
          <w:rStyle w:val="EndnoteReference"/>
        </w:rPr>
        <w:endnoteRef/>
      </w:r>
      <w:r w:rsidRPr="0047411A">
        <w:t xml:space="preserve"> Ibid.</w:t>
      </w:r>
    </w:p>
  </w:endnote>
  <w:endnote w:id="11">
    <w:p w14:paraId="679DF8E8" w14:textId="0387CD92" w:rsidR="008C02CC" w:rsidRPr="0047411A" w:rsidRDefault="008C02CC" w:rsidP="0047411A">
      <w:pPr>
        <w:pStyle w:val="Footnote"/>
      </w:pPr>
      <w:r w:rsidRPr="00F87367">
        <w:rPr>
          <w:rStyle w:val="EndnoteReference"/>
        </w:rPr>
        <w:endnoteRef/>
      </w:r>
      <w:r w:rsidRPr="0047411A">
        <w:t xml:space="preserve"> David </w:t>
      </w:r>
      <w:r w:rsidRPr="0047411A">
        <w:t>Gelles, “Charter Readies Offer to Acquire Time Warner Cable,” New York Times, December 13, 2013, accessed May 10, 2016, https://dealbook.nytimes.com/2013/12/13/charter-prepares-takeover-offer-for-time-warner-cable.</w:t>
      </w:r>
    </w:p>
  </w:endnote>
  <w:endnote w:id="12">
    <w:p w14:paraId="3262D165" w14:textId="1525612B" w:rsidR="008C02CC" w:rsidRPr="0047411A" w:rsidRDefault="008C02CC" w:rsidP="0047411A">
      <w:pPr>
        <w:pStyle w:val="Footnote"/>
      </w:pPr>
      <w:r w:rsidRPr="00F87367">
        <w:rPr>
          <w:rStyle w:val="EndnoteReference"/>
        </w:rPr>
        <w:endnoteRef/>
      </w:r>
      <w:r w:rsidRPr="0047411A">
        <w:t xml:space="preserve"> Alex Sherman, “Charter Said to Prepare Offer for Time Warner Cable, Bloomberg News, December 17, 2013, accessed July 2, 2016, www.bloomberg.com/news/articles/2013-12-13/charter-said-to-prepare-offer-letter-to-buy-time-warner-cable.</w:t>
      </w:r>
    </w:p>
  </w:endnote>
  <w:endnote w:id="13">
    <w:p w14:paraId="623B1EB2" w14:textId="77777777" w:rsidR="00D718E6" w:rsidRPr="0047411A" w:rsidRDefault="00D718E6" w:rsidP="00D718E6">
      <w:pPr>
        <w:pStyle w:val="Footnote"/>
        <w:rPr>
          <w:rFonts w:eastAsia="Arial"/>
        </w:rPr>
      </w:pPr>
      <w:r w:rsidRPr="00F87367">
        <w:rPr>
          <w:rStyle w:val="EndnoteReference"/>
        </w:rPr>
        <w:endnoteRef/>
      </w:r>
      <w:r w:rsidRPr="0047411A">
        <w:rPr>
          <w:rStyle w:val="Hyperlink2"/>
          <w:color w:val="auto"/>
          <w:sz w:val="17"/>
          <w:szCs w:val="17"/>
          <w:u w:val="none"/>
          <w:shd w:val="clear" w:color="auto" w:fill="auto"/>
        </w:rPr>
        <w:t xml:space="preserve"> Ibid.</w:t>
      </w:r>
    </w:p>
  </w:endnote>
  <w:endnote w:id="14">
    <w:p w14:paraId="0E09FE6B" w14:textId="6B1F5136" w:rsidR="008C02CC" w:rsidRPr="0047411A" w:rsidRDefault="008C02CC" w:rsidP="0047411A">
      <w:pPr>
        <w:pStyle w:val="Footnote"/>
      </w:pPr>
      <w:r w:rsidRPr="00F87367">
        <w:rPr>
          <w:rStyle w:val="EndnoteReference"/>
        </w:rPr>
        <w:endnoteRef/>
      </w:r>
      <w:r w:rsidRPr="0047411A">
        <w:t xml:space="preserve"> Ibid.</w:t>
      </w:r>
    </w:p>
  </w:endnote>
  <w:endnote w:id="15">
    <w:p w14:paraId="30720C04" w14:textId="5DCAEEFD" w:rsidR="008C02CC" w:rsidRPr="0047411A" w:rsidRDefault="008C02CC" w:rsidP="0047411A">
      <w:pPr>
        <w:pStyle w:val="Footnote"/>
      </w:pPr>
      <w:r w:rsidRPr="00F87367">
        <w:rPr>
          <w:rStyle w:val="EndnoteReference"/>
        </w:rPr>
        <w:endnoteRef/>
      </w:r>
      <w:r w:rsidRPr="0047411A">
        <w:t xml:space="preserve"> David </w:t>
      </w:r>
      <w:r w:rsidRPr="0047411A">
        <w:t>Gelles: “How Much Time Warner May Be Worth to Suitor,” New York Times, January 14, 2014, accessed July 2, 2016, https://dealbook.nytimes.com/2014/01/14/a-look-at-how-much-time -warner-may-be-worth-to-a-suitor.</w:t>
      </w:r>
    </w:p>
  </w:endnote>
  <w:endnote w:id="16">
    <w:p w14:paraId="2243B153" w14:textId="0D01D326" w:rsidR="008C02CC" w:rsidRPr="0047411A" w:rsidRDefault="008C02CC" w:rsidP="0047411A">
      <w:pPr>
        <w:pStyle w:val="Footnote"/>
      </w:pPr>
      <w:r w:rsidRPr="00F87367">
        <w:rPr>
          <w:rStyle w:val="EndnoteReference"/>
        </w:rPr>
        <w:endnoteRef/>
      </w:r>
      <w:r w:rsidRPr="0047411A">
        <w:t xml:space="preserve"> Steven Davidoff Solomon, “What’s behind Time Warner’s Response to Charter’s Offer,” New York Times, January 23, 2014, accessed May 10, 2016, </w:t>
      </w:r>
      <w:r w:rsidRPr="0047411A">
        <w:rPr>
          <w:rStyle w:val="Hyperlink0"/>
          <w:color w:val="auto"/>
          <w:u w:val="none"/>
        </w:rPr>
        <w:t>https://dealbook.nytimes.com/2014/01/23/whats-behind-time-warners-response-to-charters-offer/?_r=0.</w:t>
      </w:r>
    </w:p>
  </w:endnote>
  <w:endnote w:id="17">
    <w:p w14:paraId="19F675A7" w14:textId="2B4711CF" w:rsidR="008C02CC" w:rsidRPr="0047411A" w:rsidRDefault="008C02CC" w:rsidP="0047411A">
      <w:pPr>
        <w:pStyle w:val="Footnote"/>
      </w:pPr>
      <w:r w:rsidRPr="00F87367">
        <w:rPr>
          <w:rStyle w:val="EndnoteReference"/>
        </w:rPr>
        <w:endnoteRef/>
      </w:r>
      <w:r w:rsidRPr="0047411A">
        <w:t xml:space="preserve"> David </w:t>
      </w:r>
      <w:r w:rsidRPr="0047411A">
        <w:t xml:space="preserve">Gelles, “Charter’s Bid for a Deal in Cable Heats Up,” New York Times, February 11, 2014, accessed May 10, 2016 </w:t>
      </w:r>
    </w:p>
    <w:p w14:paraId="1F0C397F" w14:textId="1B07D49F" w:rsidR="008C02CC" w:rsidRPr="0047411A" w:rsidRDefault="008C02CC" w:rsidP="0047411A">
      <w:pPr>
        <w:pStyle w:val="Footnote"/>
      </w:pPr>
      <w:r w:rsidRPr="0047411A">
        <w:rPr>
          <w:rStyle w:val="Hyperlink0"/>
          <w:color w:val="auto"/>
          <w:u w:val="none"/>
        </w:rPr>
        <w:t>https://dealbook.nytimes.com/2014/02/11/charter-names-its-13-nominees-for-time-warner-cable-board</w:t>
      </w:r>
      <w:r w:rsidRPr="0047411A">
        <w:t>.</w:t>
      </w:r>
    </w:p>
  </w:endnote>
  <w:endnote w:id="18">
    <w:p w14:paraId="7B259F07" w14:textId="77777777" w:rsidR="00D718E6" w:rsidRPr="0047411A" w:rsidRDefault="00D718E6" w:rsidP="00D718E6">
      <w:pPr>
        <w:pStyle w:val="Footnote"/>
      </w:pPr>
      <w:r w:rsidRPr="00F87367">
        <w:rPr>
          <w:rStyle w:val="EndnoteReference"/>
        </w:rPr>
        <w:endnoteRef/>
      </w:r>
      <w:r w:rsidRPr="0047411A">
        <w:t xml:space="preserve"> Shalini Ramachandran, Dana </w:t>
      </w:r>
      <w:r w:rsidRPr="0047411A">
        <w:t>Cimilluca, and Brent Kendall, “Rivals Circle Time Warner Cable for Possible Takeover,” Wall Street Journal, November 22, 2013, accessed May 10, 2016,</w:t>
      </w:r>
      <w:r w:rsidRPr="0047411A">
        <w:rPr>
          <w:rStyle w:val="Hyperlink0"/>
          <w:color w:val="auto"/>
          <w:u w:val="none"/>
        </w:rPr>
        <w:t xml:space="preserve"> www.wsj.com/articles/time-warner-cable-has-reached-out-to-comcast-to-discuss-deal-1385136089.</w:t>
      </w:r>
    </w:p>
  </w:endnote>
  <w:endnote w:id="19">
    <w:p w14:paraId="2F77D442" w14:textId="6CEFCCA7" w:rsidR="00D718E6" w:rsidRPr="00D718E6" w:rsidRDefault="00D718E6">
      <w:pPr>
        <w:pStyle w:val="EndnoteText"/>
        <w:rPr>
          <w:rFonts w:ascii="Arial" w:hAnsi="Arial" w:cs="Arial"/>
          <w:sz w:val="17"/>
          <w:szCs w:val="17"/>
          <w:lang w:val="en-CA"/>
        </w:rPr>
      </w:pPr>
      <w:r w:rsidRPr="00D718E6">
        <w:rPr>
          <w:rStyle w:val="EndnoteReference"/>
          <w:rFonts w:ascii="Arial" w:hAnsi="Arial" w:cs="Arial"/>
          <w:sz w:val="17"/>
          <w:szCs w:val="17"/>
        </w:rPr>
        <w:endnoteRef/>
      </w:r>
      <w:r w:rsidRPr="00D718E6">
        <w:rPr>
          <w:rFonts w:ascii="Arial" w:hAnsi="Arial" w:cs="Arial"/>
          <w:sz w:val="17"/>
          <w:szCs w:val="17"/>
        </w:rPr>
        <w:t xml:space="preserve"> </w:t>
      </w:r>
      <w:r w:rsidRPr="00D718E6">
        <w:rPr>
          <w:rFonts w:ascii="Arial" w:hAnsi="Arial" w:cs="Arial"/>
          <w:sz w:val="17"/>
          <w:szCs w:val="17"/>
          <w:lang w:val="en-CA"/>
        </w:rPr>
        <w:t>Ibid.</w:t>
      </w:r>
    </w:p>
  </w:endnote>
  <w:endnote w:id="20">
    <w:p w14:paraId="328F66DD" w14:textId="75BE3083" w:rsidR="008C02CC" w:rsidRPr="0047411A" w:rsidRDefault="008C02CC" w:rsidP="0047411A">
      <w:pPr>
        <w:pStyle w:val="Footnote"/>
      </w:pPr>
      <w:r w:rsidRPr="00F87367">
        <w:rPr>
          <w:rStyle w:val="EndnoteReference"/>
        </w:rPr>
        <w:endnoteRef/>
      </w:r>
      <w:r w:rsidRPr="0047411A">
        <w:t xml:space="preserve"> David </w:t>
      </w:r>
      <w:r w:rsidRPr="0047411A">
        <w:t>Gelles, “$80 Million Dollars for 6 Weeks for Cable Chief,” New York Times, March 20, 2014, accessed May 10, 2016, https://dealbook.nytimes.com/2014/03/20/for-time-warner-cable-executives-billowing-golden-parachutes.</w:t>
      </w:r>
    </w:p>
  </w:endnote>
  <w:endnote w:id="21">
    <w:p w14:paraId="4269F8CA" w14:textId="5F460E36" w:rsidR="008C02CC" w:rsidRPr="0047411A" w:rsidRDefault="008C02CC" w:rsidP="0047411A">
      <w:pPr>
        <w:pStyle w:val="Footnote"/>
      </w:pPr>
      <w:r w:rsidRPr="00F87367">
        <w:rPr>
          <w:rStyle w:val="EndnoteReference"/>
        </w:rPr>
        <w:endnoteRef/>
      </w:r>
      <w:r w:rsidRPr="0047411A">
        <w:t xml:space="preserve"> Shalini Ramachandran and Dan </w:t>
      </w:r>
      <w:r w:rsidRPr="0047411A">
        <w:t>Cimilluca, “Comcast Acquiring Time Warner Cable in All-Stock Deal Worth $45 Billion,” Wall Street Journal, February 13, 2014, accessed May 10, 2016, www.wsj.com/articles/comcast-acquiring-time-warner-cable-in-all-stock-deal-worth-452-billion-1392261264; William Alden, “The Comcast-Time Warner Deal, by Numbers,” New York Times, February 13, 2014, accessed July 2, 2016, http://dealbook.nytimes.com/2014/02/13/the-comcast-time-warner-deal-by-the-numbers/? r=0.</w:t>
      </w:r>
    </w:p>
  </w:endnote>
  <w:endnote w:id="22">
    <w:p w14:paraId="46835B76" w14:textId="2B7B79A8" w:rsidR="008C02CC" w:rsidRPr="0047411A" w:rsidRDefault="008C02CC" w:rsidP="0047411A">
      <w:pPr>
        <w:pStyle w:val="Footnote"/>
      </w:pPr>
      <w:r w:rsidRPr="00F87367">
        <w:rPr>
          <w:rStyle w:val="EndnoteReference"/>
        </w:rPr>
        <w:endnoteRef/>
      </w:r>
      <w:r w:rsidRPr="0047411A">
        <w:t xml:space="preserve"> Shalini Ramachandran and Dan </w:t>
      </w:r>
      <w:r w:rsidRPr="0047411A">
        <w:t>Cimilluca, op. cit.</w:t>
      </w:r>
    </w:p>
  </w:endnote>
  <w:endnote w:id="23">
    <w:p w14:paraId="38589635" w14:textId="60520776" w:rsidR="008C02CC" w:rsidRPr="0047411A" w:rsidRDefault="008C02CC" w:rsidP="0047411A">
      <w:pPr>
        <w:pStyle w:val="Footnote"/>
      </w:pPr>
      <w:r w:rsidRPr="00F87367">
        <w:rPr>
          <w:rStyle w:val="EndnoteReference"/>
        </w:rPr>
        <w:endnoteRef/>
      </w:r>
      <w:r w:rsidRPr="0047411A">
        <w:t xml:space="preserve"> Steven Davidoff, “Investors Eye Comcast’s Bid for Time Warner Cable with Caution,” New York Times, February 13, 2014, accessed July 2, 2016, </w:t>
      </w:r>
      <w:r w:rsidRPr="0047411A">
        <w:rPr>
          <w:rStyle w:val="Hyperlink0"/>
          <w:color w:val="auto"/>
          <w:u w:val="none"/>
        </w:rPr>
        <w:t>https://dealbook.nytimes.com/2014/02/13/lessons-learned-from-charters-previous-hostile-offer-for-time-warner</w:t>
      </w:r>
      <w:r w:rsidRPr="0047411A">
        <w:t>.</w:t>
      </w:r>
    </w:p>
  </w:endnote>
  <w:endnote w:id="24">
    <w:p w14:paraId="09FF552C" w14:textId="69C8C8FF" w:rsidR="00F87367" w:rsidRPr="00F87367" w:rsidRDefault="00F87367">
      <w:pPr>
        <w:pStyle w:val="EndnoteText"/>
        <w:rPr>
          <w:rFonts w:ascii="Arial" w:hAnsi="Arial" w:cs="Arial"/>
          <w:sz w:val="17"/>
          <w:szCs w:val="17"/>
          <w:lang w:val="en-CA"/>
        </w:rPr>
      </w:pPr>
      <w:r w:rsidRPr="00F87367">
        <w:rPr>
          <w:rStyle w:val="EndnoteReference"/>
          <w:rFonts w:ascii="Arial" w:hAnsi="Arial" w:cs="Arial"/>
          <w:sz w:val="17"/>
          <w:szCs w:val="17"/>
        </w:rPr>
        <w:endnoteRef/>
      </w:r>
      <w:r w:rsidRPr="00F87367">
        <w:rPr>
          <w:rFonts w:ascii="Arial" w:hAnsi="Arial" w:cs="Arial"/>
          <w:sz w:val="17"/>
          <w:szCs w:val="17"/>
        </w:rPr>
        <w:t xml:space="preserve"> David </w:t>
      </w:r>
      <w:r w:rsidRPr="00F87367">
        <w:rPr>
          <w:rFonts w:ascii="Arial" w:hAnsi="Arial" w:cs="Arial"/>
          <w:sz w:val="17"/>
          <w:szCs w:val="17"/>
        </w:rPr>
        <w:t>Carr, “Questions for Comcast as It Looks to Grow,” New York Times, April 6, 2014, accessed May 10, 2016, www.nytimes.com/2014/04/07/business/media/questions-for-comcast-as-it-looks-to-grow.html.</w:t>
      </w:r>
    </w:p>
  </w:endnote>
  <w:endnote w:id="25">
    <w:p w14:paraId="07AB06FD" w14:textId="77777777" w:rsidR="00F87367" w:rsidRPr="0047411A" w:rsidRDefault="00F87367" w:rsidP="00F87367">
      <w:pPr>
        <w:pStyle w:val="Footnote"/>
      </w:pPr>
      <w:r w:rsidRPr="00F87367">
        <w:rPr>
          <w:rStyle w:val="EndnoteReference"/>
        </w:rPr>
        <w:endnoteRef/>
      </w:r>
      <w:r w:rsidRPr="0047411A">
        <w:t xml:space="preserve"> </w:t>
      </w:r>
      <w:r w:rsidRPr="0047411A">
        <w:rPr>
          <w:rFonts w:eastAsia="Calibri"/>
        </w:rPr>
        <w:t xml:space="preserve">David </w:t>
      </w:r>
      <w:r w:rsidRPr="0047411A">
        <w:rPr>
          <w:rFonts w:eastAsia="Calibri"/>
        </w:rPr>
        <w:t>Gelles, “Why a Bigger Comcast May Beget More Deals, New York Times, February 14, 2014, accessed May 10, 2016, https://dealbook.nytimes.com/2014/02/14/a-bigger-comcast-may-beget-more-deals</w:t>
      </w:r>
      <w:r w:rsidRPr="0047411A">
        <w:rPr>
          <w:rStyle w:val="Hyperlink3"/>
          <w:rFonts w:ascii="Arial" w:hAnsi="Arial" w:cs="Arial"/>
          <w:color w:val="auto"/>
          <w:sz w:val="17"/>
          <w:szCs w:val="17"/>
          <w:u w:val="none"/>
        </w:rPr>
        <w:t>.</w:t>
      </w:r>
    </w:p>
  </w:endnote>
  <w:endnote w:id="26">
    <w:p w14:paraId="16EF052D" w14:textId="3AF6F162" w:rsidR="008C02CC" w:rsidRPr="0047411A" w:rsidRDefault="008C02CC" w:rsidP="0047411A">
      <w:pPr>
        <w:pStyle w:val="Footnote"/>
      </w:pPr>
      <w:r w:rsidRPr="00F87367">
        <w:rPr>
          <w:rFonts w:eastAsia="Calibri"/>
          <w:vertAlign w:val="superscript"/>
        </w:rPr>
        <w:endnoteRef/>
      </w:r>
      <w:r w:rsidRPr="0047411A">
        <w:t xml:space="preserve"> Ibid.</w:t>
      </w:r>
    </w:p>
  </w:endnote>
  <w:endnote w:id="27">
    <w:p w14:paraId="6AA65614" w14:textId="21DE4B2F" w:rsidR="008C02CC" w:rsidRPr="0047411A" w:rsidRDefault="008C02CC" w:rsidP="0047411A">
      <w:pPr>
        <w:pStyle w:val="Footnote"/>
      </w:pPr>
      <w:r w:rsidRPr="00F87367">
        <w:rPr>
          <w:rFonts w:eastAsia="Calibri"/>
          <w:vertAlign w:val="superscript"/>
        </w:rPr>
        <w:endnoteRef/>
      </w:r>
      <w:r w:rsidRPr="0047411A">
        <w:t xml:space="preserve"> </w:t>
      </w:r>
      <w:r w:rsidR="00F87367">
        <w:rPr>
          <w:rFonts w:eastAsia="Calibri"/>
        </w:rPr>
        <w:t>Carr, op. cit.</w:t>
      </w:r>
    </w:p>
  </w:endnote>
  <w:endnote w:id="28">
    <w:p w14:paraId="0A412917" w14:textId="0263079E" w:rsidR="008C02CC" w:rsidRPr="0047411A" w:rsidRDefault="008C02CC" w:rsidP="0047411A">
      <w:pPr>
        <w:pStyle w:val="Footnote"/>
      </w:pPr>
      <w:r w:rsidRPr="00F87367">
        <w:rPr>
          <w:rFonts w:eastAsia="Calibri"/>
          <w:vertAlign w:val="superscript"/>
        </w:rPr>
        <w:endnoteRef/>
      </w:r>
      <w:r w:rsidRPr="0047411A">
        <w:t xml:space="preserve"> </w:t>
      </w:r>
      <w:r w:rsidRPr="0047411A">
        <w:rPr>
          <w:rFonts w:eastAsia="Calibri"/>
        </w:rPr>
        <w:t xml:space="preserve">David Goldman, “Comcast Deal to Face Antitrust Hurdles,” CNNMoney, February 13, 2014, accessed May 10, 2016, http://money.cnn.com/2014/02/13/technology/comcast-time-warner-antitrust/index.html. </w:t>
      </w:r>
    </w:p>
  </w:endnote>
  <w:endnote w:id="29">
    <w:p w14:paraId="00D21972" w14:textId="0627871B" w:rsidR="008C02CC" w:rsidRPr="0047411A" w:rsidRDefault="008C02CC" w:rsidP="0047411A">
      <w:pPr>
        <w:pStyle w:val="Footnote"/>
      </w:pPr>
      <w:r w:rsidRPr="00F87367">
        <w:rPr>
          <w:rFonts w:eastAsia="Calibri"/>
          <w:vertAlign w:val="superscript"/>
        </w:rPr>
        <w:endnoteRef/>
      </w:r>
      <w:r w:rsidRPr="0047411A">
        <w:t xml:space="preserve"> </w:t>
      </w:r>
      <w:r w:rsidRPr="0047411A">
        <w:rPr>
          <w:rFonts w:eastAsia="Calibri"/>
        </w:rPr>
        <w:t>Edward Wyatt and Eric Lipton, “Comcast Gears up to Persuade Regulators,” New York Times, April 8, 2014, accessed July 12, 2016, www.nytimes.com/2014/04/09/business/media/proposed-merger-would-enhance-competition-say-comcast-and-time-warner-cable.html.</w:t>
      </w:r>
    </w:p>
  </w:endnote>
  <w:endnote w:id="30">
    <w:p w14:paraId="1726E5D6" w14:textId="3576CE68" w:rsidR="008C02CC" w:rsidRPr="0047411A" w:rsidRDefault="008C02CC" w:rsidP="0047411A">
      <w:pPr>
        <w:pStyle w:val="Footnote"/>
      </w:pPr>
      <w:r w:rsidRPr="00F87367">
        <w:rPr>
          <w:rStyle w:val="EndnoteReference"/>
        </w:rPr>
        <w:endnoteRef/>
      </w:r>
      <w:r w:rsidRPr="0047411A">
        <w:t xml:space="preserve"> </w:t>
      </w:r>
      <w:r w:rsidRPr="0047411A">
        <w:rPr>
          <w:rFonts w:eastAsia="Calibri"/>
        </w:rPr>
        <w:t xml:space="preserve">Michael J. de la Merced, “Netflix says it Opposes Comcast’s Merger Bid,” New York Times, April 18, 2014, accessed May 10, 2016, </w:t>
      </w:r>
      <w:r w:rsidRPr="0047411A">
        <w:t xml:space="preserve">www.nytimes.com/2014/04/22/business/media/netflix-says-it-opposes-comcasts-merger-bid.html; </w:t>
      </w:r>
      <w:r w:rsidRPr="0047411A">
        <w:rPr>
          <w:rFonts w:eastAsia="Calibri"/>
        </w:rPr>
        <w:t xml:space="preserve">Emily Steele, “Dish Asks FCC to Block Comcast-Time Warner Cable Merger,” New York Times, July 9, 2014, accessed May 10, 2016, </w:t>
      </w:r>
      <w:r w:rsidRPr="0047411A">
        <w:t>www.nytimes.com/2014/07/10/business/media/dish-asks-fcc-to-block-2-big-mergers.html.</w:t>
      </w:r>
      <w:r w:rsidRPr="0047411A">
        <w:rPr>
          <w:rFonts w:eastAsia="Calibri"/>
        </w:rPr>
        <w:t xml:space="preserve"> </w:t>
      </w:r>
    </w:p>
  </w:endnote>
  <w:endnote w:id="31">
    <w:p w14:paraId="5F6DFCCD" w14:textId="0B18722E" w:rsidR="008C02CC" w:rsidRPr="0047411A" w:rsidRDefault="008C02CC" w:rsidP="0047411A">
      <w:pPr>
        <w:pStyle w:val="Footnote"/>
      </w:pPr>
      <w:r w:rsidRPr="00F87367">
        <w:rPr>
          <w:rFonts w:eastAsia="Calibri"/>
          <w:vertAlign w:val="superscript"/>
        </w:rPr>
        <w:endnoteRef/>
      </w:r>
      <w:r w:rsidRPr="0047411A">
        <w:t xml:space="preserve"> </w:t>
      </w:r>
      <w:r w:rsidRPr="0047411A">
        <w:rPr>
          <w:rFonts w:eastAsia="Calibri"/>
        </w:rPr>
        <w:t xml:space="preserve">Edward Wyatt and Noam Cohen, “Comcast and Netflix Reach a Deal on Service,” New York Times, February 24, 2014, accessed July 12, 2016, </w:t>
      </w:r>
      <w:r w:rsidRPr="0047411A">
        <w:rPr>
          <w:rStyle w:val="Hyperlink4"/>
          <w:rFonts w:ascii="Arial" w:hAnsi="Arial" w:cs="Arial"/>
          <w:color w:val="auto"/>
          <w:sz w:val="17"/>
          <w:szCs w:val="17"/>
          <w:u w:val="none"/>
        </w:rPr>
        <w:t>www.nytimes.com/2014/02/24/business/media/comcast-and-netflix-reach-a-streaming-agreement.html.</w:t>
      </w:r>
    </w:p>
  </w:endnote>
  <w:endnote w:id="32">
    <w:p w14:paraId="198822BC" w14:textId="2C448904" w:rsidR="008C02CC" w:rsidRPr="0047411A" w:rsidRDefault="008C02CC" w:rsidP="0047411A">
      <w:pPr>
        <w:pStyle w:val="Footnote"/>
      </w:pPr>
      <w:r w:rsidRPr="00F87367">
        <w:rPr>
          <w:rStyle w:val="EndnoteReference"/>
        </w:rPr>
        <w:endnoteRef/>
      </w:r>
      <w:r w:rsidRPr="0047411A">
        <w:t xml:space="preserve"> Ibid.</w:t>
      </w:r>
    </w:p>
  </w:endnote>
  <w:endnote w:id="33">
    <w:p w14:paraId="16A94D1B" w14:textId="7B473D5C" w:rsidR="008C02CC" w:rsidRPr="0047411A" w:rsidRDefault="008C02CC" w:rsidP="0047411A">
      <w:pPr>
        <w:pStyle w:val="Footnote"/>
      </w:pPr>
      <w:r w:rsidRPr="00F87367">
        <w:rPr>
          <w:rFonts w:eastAsia="Calibri"/>
          <w:vertAlign w:val="superscript"/>
        </w:rPr>
        <w:endnoteRef/>
      </w:r>
      <w:r w:rsidRPr="0047411A">
        <w:t xml:space="preserve"> </w:t>
      </w:r>
      <w:r w:rsidRPr="0047411A">
        <w:rPr>
          <w:rFonts w:eastAsia="Calibri"/>
        </w:rPr>
        <w:t xml:space="preserve">David </w:t>
      </w:r>
      <w:r w:rsidRPr="0047411A">
        <w:rPr>
          <w:rFonts w:eastAsia="Calibri"/>
        </w:rPr>
        <w:t>Carr, op. cit.</w:t>
      </w:r>
    </w:p>
  </w:endnote>
  <w:endnote w:id="34">
    <w:p w14:paraId="77FFD13B" w14:textId="2EC3F337" w:rsidR="008C02CC" w:rsidRPr="0047411A" w:rsidRDefault="008C02CC" w:rsidP="0047411A">
      <w:pPr>
        <w:pStyle w:val="Footnote"/>
      </w:pPr>
      <w:r w:rsidRPr="00F87367">
        <w:rPr>
          <w:rFonts w:eastAsia="Calibri"/>
          <w:vertAlign w:val="superscript"/>
        </w:rPr>
        <w:endnoteRef/>
      </w:r>
      <w:r w:rsidRPr="0047411A">
        <w:t xml:space="preserve"> E</w:t>
      </w:r>
      <w:r w:rsidRPr="0047411A">
        <w:rPr>
          <w:rFonts w:eastAsia="Calibri"/>
        </w:rPr>
        <w:t xml:space="preserve">dward Wyatt, “Internet Choices Will Be Crucial Battlefield in Big Cable Merger,” New York Times, April 7, 2014, accessed May 10, 2016, </w:t>
      </w:r>
      <w:r w:rsidRPr="0047411A">
        <w:rPr>
          <w:rStyle w:val="Hyperlink3"/>
          <w:rFonts w:ascii="Arial" w:eastAsia="Arial Unicode MS" w:hAnsi="Arial" w:cs="Arial"/>
          <w:color w:val="auto"/>
          <w:sz w:val="17"/>
          <w:szCs w:val="17"/>
          <w:u w:val="none"/>
        </w:rPr>
        <w:t xml:space="preserve">www.nytimes.com/2014/04/08/business/in-scrutiny-of-cable-merger-internet-choice-will-be-crucial-battlefield.html; </w:t>
      </w:r>
      <w:r w:rsidRPr="0047411A">
        <w:t>“Who’s Afraid of the Comcast Time Warner Cable Merger?” YouTube video, 5:22, posted by “CNN,” May 14, 2014, accessed May 20, 2016, www.youtube.com/watch?v=R1Qkd8FM5e0</w:t>
      </w:r>
      <w:r w:rsidRPr="0047411A">
        <w:rPr>
          <w:rFonts w:eastAsia="Calibri"/>
        </w:rPr>
        <w:t xml:space="preserve">. </w:t>
      </w:r>
    </w:p>
  </w:endnote>
  <w:endnote w:id="35">
    <w:p w14:paraId="35B8E0DB" w14:textId="7F960A29" w:rsidR="008C02CC" w:rsidRPr="0047411A" w:rsidRDefault="008C02CC" w:rsidP="0047411A">
      <w:pPr>
        <w:pStyle w:val="Footnote"/>
      </w:pPr>
      <w:r w:rsidRPr="00F87367">
        <w:rPr>
          <w:rStyle w:val="EndnoteReference"/>
        </w:rPr>
        <w:endnoteRef/>
      </w:r>
      <w:r w:rsidRPr="0047411A">
        <w:t xml:space="preserve"> </w:t>
      </w:r>
      <w:r w:rsidRPr="0047411A">
        <w:rPr>
          <w:rFonts w:eastAsia="Calibri"/>
        </w:rPr>
        <w:t xml:space="preserve">Larry </w:t>
      </w:r>
      <w:r w:rsidRPr="0047411A">
        <w:rPr>
          <w:rFonts w:eastAsia="Calibri"/>
        </w:rPr>
        <w:t xml:space="preserve">Popelka, “Comcast-Time Warner Merger Is Good for Competition—and Consumers,” Bloomberg Business Week, February 18, 2014, accessed May 20, 2016, </w:t>
      </w:r>
      <w:r w:rsidRPr="0047411A">
        <w:rPr>
          <w:rStyle w:val="Hyperlink3"/>
          <w:rFonts w:ascii="Arial" w:eastAsia="Arial Unicode MS" w:hAnsi="Arial" w:cs="Arial"/>
          <w:color w:val="auto"/>
          <w:sz w:val="17"/>
          <w:szCs w:val="17"/>
          <w:u w:val="none"/>
        </w:rPr>
        <w:t>www.bloomberg.com/news/articles/2014-02-18/comcast-time-warner-merger-is-good-for-competition-and-consumers.</w:t>
      </w:r>
    </w:p>
  </w:endnote>
  <w:endnote w:id="36">
    <w:p w14:paraId="1097106C" w14:textId="7709FACA" w:rsidR="008C02CC" w:rsidRPr="0047411A" w:rsidRDefault="008C02CC" w:rsidP="0047411A">
      <w:pPr>
        <w:pStyle w:val="Footnote"/>
      </w:pPr>
      <w:r w:rsidRPr="00F87367">
        <w:rPr>
          <w:rStyle w:val="EndnoteReference"/>
        </w:rPr>
        <w:endnoteRef/>
      </w:r>
      <w:r w:rsidRPr="0047411A">
        <w:t xml:space="preserve"> Ibid.</w:t>
      </w:r>
    </w:p>
  </w:endnote>
  <w:endnote w:id="37">
    <w:p w14:paraId="0E5DB111" w14:textId="3E1F42A8" w:rsidR="008C02CC" w:rsidRPr="0047411A" w:rsidRDefault="008C02CC" w:rsidP="0047411A">
      <w:pPr>
        <w:pStyle w:val="Footnote"/>
      </w:pPr>
      <w:r w:rsidRPr="00F87367">
        <w:rPr>
          <w:rFonts w:eastAsia="Calibri"/>
          <w:vertAlign w:val="superscript"/>
        </w:rPr>
        <w:endnoteRef/>
      </w:r>
      <w:r w:rsidRPr="0047411A">
        <w:t xml:space="preserve"> </w:t>
      </w:r>
      <w:r w:rsidRPr="0047411A">
        <w:rPr>
          <w:rFonts w:eastAsia="Calibri"/>
        </w:rPr>
        <w:t xml:space="preserve">David </w:t>
      </w:r>
      <w:r w:rsidRPr="0047411A">
        <w:rPr>
          <w:rFonts w:eastAsia="Calibri"/>
        </w:rPr>
        <w:t>Gelles, “Charter Reaches Deal with Comcast for Subscribers,” New York Times, April 27, 2014, accessed May 20, 2016, https://dealbook.nytimes.com/2014/04/27/charter-said-to-finalize-deal-with-comcast-for-subscribers.</w:t>
      </w:r>
    </w:p>
  </w:endnote>
  <w:endnote w:id="38">
    <w:p w14:paraId="3B5E84A3" w14:textId="72A7A63F" w:rsidR="008C02CC" w:rsidRPr="0047411A" w:rsidRDefault="008C02CC" w:rsidP="0047411A">
      <w:pPr>
        <w:pStyle w:val="Footnote"/>
      </w:pPr>
      <w:r w:rsidRPr="00F87367">
        <w:rPr>
          <w:rStyle w:val="EndnoteReference"/>
        </w:rPr>
        <w:endnoteRef/>
      </w:r>
      <w:r w:rsidRPr="0047411A">
        <w:rPr>
          <w:rFonts w:eastAsia="Calibri"/>
        </w:rPr>
        <w:t xml:space="preserve"> Jeff Sommer, “The Stock Market Is on Edge about a Cable Merger,” New York Times, November 8, 2014, accessed May 20, 2016, </w:t>
      </w:r>
      <w:r w:rsidRPr="0047411A">
        <w:t>www.nytimes.com/2014/11/09/your-money/the-stock-market-is-on-edge-about-a-cable-merger.html</w:t>
      </w:r>
      <w:r w:rsidRPr="0047411A">
        <w:rPr>
          <w:rFonts w:eastAsia="Calibri"/>
        </w:rPr>
        <w:t>.</w:t>
      </w:r>
    </w:p>
  </w:endnote>
  <w:endnote w:id="39">
    <w:p w14:paraId="3413222E" w14:textId="45391AB5" w:rsidR="008C02CC" w:rsidRPr="0047411A" w:rsidRDefault="008C02CC" w:rsidP="0047411A">
      <w:pPr>
        <w:pStyle w:val="Footnote"/>
      </w:pPr>
      <w:r w:rsidRPr="00F87367">
        <w:rPr>
          <w:rStyle w:val="EndnoteReference"/>
        </w:rPr>
        <w:endnoteRef/>
      </w:r>
      <w:r w:rsidRPr="0047411A">
        <w:rPr>
          <w:rFonts w:eastAsia="Calibri"/>
        </w:rPr>
        <w:t xml:space="preserve"> Emily Steele, “Coalition Opposes Comcast Time Warner Cable Merger,” New York Times, December 3, 2014, accessed July 12, 2016, www.nytimes.com/2014/12/04/business/media/coalition-formed-to-oppose-comcast-time-warner-cable-merger.html.</w:t>
      </w:r>
    </w:p>
  </w:endnote>
  <w:endnote w:id="40">
    <w:p w14:paraId="5644B570" w14:textId="77777777" w:rsidR="00F87367" w:rsidRPr="0047411A" w:rsidRDefault="00F87367" w:rsidP="00F87367">
      <w:pPr>
        <w:pStyle w:val="Footnote"/>
      </w:pPr>
      <w:r w:rsidRPr="00F87367">
        <w:rPr>
          <w:rFonts w:eastAsia="Calibri"/>
          <w:vertAlign w:val="superscript"/>
        </w:rPr>
        <w:endnoteRef/>
      </w:r>
      <w:r w:rsidRPr="0047411A">
        <w:t xml:space="preserve"> </w:t>
      </w:r>
      <w:r w:rsidRPr="0047411A">
        <w:rPr>
          <w:rFonts w:eastAsia="Calibri"/>
        </w:rPr>
        <w:t xml:space="preserve">David </w:t>
      </w:r>
      <w:r w:rsidRPr="0047411A">
        <w:rPr>
          <w:rFonts w:eastAsia="Calibri"/>
        </w:rPr>
        <w:t xml:space="preserve">Gelles and Emily Steele, “Comcast-Timer Warner Cable Deal Is Still Up in the Air a Year Later,” New York Times, February 8, 2015, accessed May 20, 2016, </w:t>
      </w:r>
      <w:r w:rsidRPr="0047411A">
        <w:rPr>
          <w:rStyle w:val="Hyperlink3"/>
          <w:rFonts w:ascii="Arial" w:eastAsia="Arial Unicode MS" w:hAnsi="Arial" w:cs="Arial"/>
          <w:color w:val="auto"/>
          <w:sz w:val="17"/>
          <w:szCs w:val="17"/>
          <w:u w:val="none"/>
        </w:rPr>
        <w:t>https://dealbook.nytimes.com/2015/02/08/comcast-time-warner-cable-deal-still-up-in-the-air-a-year-later.</w:t>
      </w:r>
    </w:p>
  </w:endnote>
  <w:endnote w:id="41">
    <w:p w14:paraId="3DA7ED2B" w14:textId="504CFEB2" w:rsidR="008C02CC" w:rsidRPr="0047411A" w:rsidRDefault="008C02CC" w:rsidP="0047411A">
      <w:pPr>
        <w:pStyle w:val="Footnote"/>
      </w:pPr>
      <w:r w:rsidRPr="00F87367">
        <w:rPr>
          <w:rFonts w:eastAsia="Calibri"/>
          <w:vertAlign w:val="superscript"/>
        </w:rPr>
        <w:endnoteRef/>
      </w:r>
      <w:r w:rsidRPr="0047411A">
        <w:t xml:space="preserve"> </w:t>
      </w:r>
      <w:r w:rsidRPr="0047411A">
        <w:rPr>
          <w:rFonts w:eastAsia="Calibri"/>
        </w:rPr>
        <w:t>Ibid.</w:t>
      </w:r>
    </w:p>
  </w:endnote>
  <w:endnote w:id="42">
    <w:p w14:paraId="6E424F8D" w14:textId="2573399A" w:rsidR="008C02CC" w:rsidRPr="0047411A" w:rsidRDefault="008C02CC" w:rsidP="0047411A">
      <w:pPr>
        <w:pStyle w:val="Footnote"/>
      </w:pPr>
      <w:r w:rsidRPr="00F87367">
        <w:rPr>
          <w:rFonts w:eastAsia="Calibri"/>
          <w:vertAlign w:val="superscript"/>
        </w:rPr>
        <w:endnoteRef/>
      </w:r>
      <w:r w:rsidRPr="0047411A">
        <w:t xml:space="preserve"> </w:t>
      </w:r>
      <w:r w:rsidRPr="0047411A">
        <w:rPr>
          <w:rFonts w:eastAsia="Calibri"/>
        </w:rPr>
        <w:t xml:space="preserve">Shalini Ramachandran, Joe Flint, and Brett Kendall, “FCC Staff Recommends Hearing on Comcast-Time Warner Cable Merger,” Wall Street Journal, April 23, 2015, accessed May 20, 2016, </w:t>
      </w:r>
      <w:r w:rsidRPr="0047411A">
        <w:rPr>
          <w:rStyle w:val="Hyperlink3"/>
          <w:rFonts w:ascii="Arial" w:eastAsia="Arial Unicode MS" w:hAnsi="Arial" w:cs="Arial"/>
          <w:color w:val="auto"/>
          <w:sz w:val="17"/>
          <w:szCs w:val="17"/>
          <w:u w:val="none"/>
        </w:rPr>
        <w:t>www.wsj.com/articles/fcc-staff-recommends-hearing-on-comcast-time-warner-cable-merger-1429751499.</w:t>
      </w:r>
    </w:p>
  </w:endnote>
  <w:endnote w:id="43">
    <w:p w14:paraId="00F2D8A0" w14:textId="310C866A" w:rsidR="008C02CC" w:rsidRPr="0047411A" w:rsidRDefault="008C02CC" w:rsidP="0047411A">
      <w:pPr>
        <w:pStyle w:val="Footnote"/>
      </w:pPr>
      <w:r w:rsidRPr="00F87367">
        <w:rPr>
          <w:rStyle w:val="EndnoteReference"/>
        </w:rPr>
        <w:endnoteRef/>
      </w:r>
      <w:r w:rsidRPr="0047411A">
        <w:t xml:space="preserve"> </w:t>
      </w:r>
      <w:r w:rsidRPr="0047411A">
        <w:rPr>
          <w:rFonts w:eastAsia="Calibri"/>
        </w:rPr>
        <w:t xml:space="preserve">Emily Steel, David </w:t>
      </w:r>
      <w:r w:rsidRPr="0047411A">
        <w:rPr>
          <w:rFonts w:eastAsia="Calibri"/>
        </w:rPr>
        <w:t xml:space="preserve">Gelles, Rebecca R. Ruiz, and Eric Lipton, “Comcast Is Said to End $45 Billion Bid for Time Warner Cable,” New York Times, April 23 2015, accessed July 12, 2016, </w:t>
      </w:r>
      <w:r w:rsidRPr="0047411A">
        <w:rPr>
          <w:rStyle w:val="Hyperlink6"/>
          <w:rFonts w:ascii="Arial" w:hAnsi="Arial" w:cs="Arial"/>
          <w:color w:val="auto"/>
          <w:sz w:val="17"/>
          <w:szCs w:val="17"/>
          <w:u w:val="none"/>
        </w:rPr>
        <w:t xml:space="preserve">www.nytimes.com/2015/04/24/business/media/comcast-time-warner-cable-merger.html?_r=0; </w:t>
      </w:r>
      <w:r w:rsidRPr="0047411A">
        <w:rPr>
          <w:rFonts w:eastAsia="Calibri"/>
        </w:rPr>
        <w:t xml:space="preserve">“Comcast Ends Pursuit of Time Warner Cable Acquisition,” CNBC April 24, 2015, accessed July 12, 2016, </w:t>
      </w:r>
      <w:r w:rsidRPr="0047411A">
        <w:rPr>
          <w:rStyle w:val="Hyperlink6"/>
          <w:rFonts w:ascii="Arial" w:hAnsi="Arial" w:cs="Arial"/>
          <w:color w:val="auto"/>
          <w:sz w:val="17"/>
          <w:szCs w:val="17"/>
          <w:u w:val="none"/>
        </w:rPr>
        <w:t>https://finance.yahoo.com/news/comcast-ends-pursuit-time-warner-123653770.html.</w:t>
      </w:r>
    </w:p>
  </w:endnote>
  <w:endnote w:id="44">
    <w:p w14:paraId="190ED935" w14:textId="4039528C" w:rsidR="008C02CC" w:rsidRPr="0047411A" w:rsidRDefault="008C02CC" w:rsidP="0047411A">
      <w:pPr>
        <w:pStyle w:val="Footnote"/>
      </w:pPr>
      <w:r w:rsidRPr="00F87367">
        <w:rPr>
          <w:rStyle w:val="EndnoteReference"/>
        </w:rPr>
        <w:endnoteRef/>
      </w:r>
      <w:r w:rsidRPr="0047411A">
        <w:t xml:space="preserve"> “The Obstacles of the Comcast-TWC Deal Explained,” YouTube video, 1:45, posted by “Bloomberg News,” April 23, 2015, accessed July 12, 2016 www.youtube.com/watch?v=igzqeC9NErw.</w:t>
      </w:r>
    </w:p>
  </w:endnote>
  <w:endnote w:id="45">
    <w:p w14:paraId="69AF8A83" w14:textId="3BE87153" w:rsidR="008C02CC" w:rsidRPr="0047411A" w:rsidRDefault="008C02CC" w:rsidP="0047411A">
      <w:pPr>
        <w:pStyle w:val="Footnote"/>
      </w:pPr>
      <w:r w:rsidRPr="00F87367">
        <w:rPr>
          <w:rStyle w:val="EndnoteReference"/>
        </w:rPr>
        <w:endnoteRef/>
      </w:r>
      <w:r w:rsidRPr="0047411A">
        <w:t xml:space="preserve"> Charter Communications Newsroom, “Charter to Acquire Bright House Networks for $10.4 Billion,” March 31, 2015, </w:t>
      </w:r>
      <w:r w:rsidRPr="0047411A">
        <w:rPr>
          <w:rStyle w:val="Hyperlink"/>
          <w:color w:val="auto"/>
          <w:u w:val="none"/>
        </w:rPr>
        <w:t xml:space="preserve">accessed July 12, 2016, </w:t>
      </w:r>
      <w:r w:rsidRPr="0047411A">
        <w:t>https://newsroom.charter.com/press-releases/charter-to-acquire-bright-house-networks-for-10-4-billion.</w:t>
      </w:r>
    </w:p>
  </w:endnote>
  <w:endnote w:id="46">
    <w:p w14:paraId="0E61AFA4" w14:textId="5FCD16D5" w:rsidR="008C02CC" w:rsidRPr="0047411A" w:rsidRDefault="008C02CC" w:rsidP="0047411A">
      <w:pPr>
        <w:pStyle w:val="Footnote"/>
      </w:pPr>
      <w:r w:rsidRPr="00F87367">
        <w:rPr>
          <w:rStyle w:val="EndnoteReference"/>
        </w:rPr>
        <w:endnoteRef/>
      </w:r>
      <w:r w:rsidRPr="0047411A">
        <w:t xml:space="preserve"> </w:t>
      </w:r>
      <w:r w:rsidRPr="0047411A">
        <w:rPr>
          <w:rFonts w:eastAsia="Calibri"/>
        </w:rPr>
        <w:t>Shalini Ramachandran, “Charter Expresses Interest in Friendly Deal Talks with Time Warner Cable,” Wall Street Journal, May 3, 2015, accessed July 12, 2016, www.wsj.com/articles/charter-expresses-interest-in-friendly-deal-talks-with-time-warner-1430678237.</w:t>
      </w:r>
    </w:p>
  </w:endnote>
  <w:endnote w:id="47">
    <w:p w14:paraId="799BE1AB" w14:textId="5BEA915F" w:rsidR="008C02CC" w:rsidRPr="0047411A" w:rsidRDefault="008C02CC" w:rsidP="0047411A">
      <w:pPr>
        <w:pStyle w:val="Footnote"/>
      </w:pPr>
      <w:r w:rsidRPr="00F87367">
        <w:rPr>
          <w:rStyle w:val="EndnoteReference"/>
        </w:rPr>
        <w:endnoteRef/>
      </w:r>
      <w:r w:rsidRPr="0047411A">
        <w:t xml:space="preserve"> Shalini Ramachandran, “Charter Explores Bid for Time Warner Cable,” Wall Street Journal, April 24, 2015, accessed July 12, 2016, www.wsj.com/articles/charter-looks-at-possible-time-warner-cable-bid-1429899503?mod=article_inline.</w:t>
      </w:r>
    </w:p>
  </w:endnote>
  <w:endnote w:id="48">
    <w:p w14:paraId="6C2D6005" w14:textId="50D7C5BF" w:rsidR="008C02CC" w:rsidRPr="0047411A" w:rsidRDefault="008C02CC" w:rsidP="0047411A">
      <w:pPr>
        <w:pStyle w:val="Footnote"/>
      </w:pPr>
      <w:r w:rsidRPr="00F87367">
        <w:rPr>
          <w:rStyle w:val="EndnoteReference"/>
        </w:rPr>
        <w:endnoteRef/>
      </w:r>
      <w:r w:rsidRPr="0047411A">
        <w:t xml:space="preserve"> Reuters, “Charter to Buy Time Warner Cable for $56 billion,” Vox, May 26, 2016, accessed July 12, 2016, www.vox.com/2015/5/26/11562950/charter-to-buy-time-warner-cable-for-56-billion.</w:t>
      </w:r>
    </w:p>
  </w:endnote>
  <w:endnote w:id="49">
    <w:p w14:paraId="23C9863F" w14:textId="583E108B" w:rsidR="008C02CC" w:rsidRPr="0047411A" w:rsidRDefault="008C02CC" w:rsidP="0047411A">
      <w:pPr>
        <w:pStyle w:val="Footnote"/>
      </w:pPr>
      <w:r w:rsidRPr="00F87367">
        <w:rPr>
          <w:rStyle w:val="EndnoteReference"/>
        </w:rPr>
        <w:endnoteRef/>
      </w:r>
      <w:r w:rsidRPr="0047411A">
        <w:t xml:space="preserve"> Chelsea Dulaney and Shalini Ramachandran, “Time Warner Cable Seeks to Reassure after Failed Comcast Deal,” Wall Street Journal, April 30, 2015, accessed July 12, 2016, www.wsj.com/articles/time-warner-cable-earnings-disappoint-1430389329?KEYWORDS=time%20warner%20cable&amp;mod=article_inline.</w:t>
      </w:r>
    </w:p>
  </w:endnote>
  <w:endnote w:id="50">
    <w:p w14:paraId="0D9CDF0D" w14:textId="620B191E" w:rsidR="008C02CC" w:rsidRPr="0047411A" w:rsidRDefault="008C02CC" w:rsidP="0047411A">
      <w:pPr>
        <w:pStyle w:val="Footnote"/>
      </w:pPr>
      <w:r w:rsidRPr="00F87367">
        <w:rPr>
          <w:rStyle w:val="EndnoteReference"/>
        </w:rPr>
        <w:endnoteRef/>
      </w:r>
      <w:r w:rsidRPr="0047411A">
        <w:t xml:space="preserve"> Ticker Report: Research Analysts, “Weekly Ratings Updates for Time Warner Cable (TWC),” </w:t>
      </w:r>
      <w:r w:rsidRPr="0047411A">
        <w:t xml:space="preserve">Newstex Finance &amp; Accounting Blogs, Chatham: Newstex, May 18, 2015, accessed July 12, 2016.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C01B5" w14:textId="77777777" w:rsidR="008C02CC" w:rsidRDefault="008C02CC" w:rsidP="00D75295">
      <w:r>
        <w:separator/>
      </w:r>
    </w:p>
  </w:footnote>
  <w:footnote w:type="continuationSeparator" w:id="0">
    <w:p w14:paraId="0AD2F1CB" w14:textId="77777777" w:rsidR="008C02CC" w:rsidRDefault="008C02CC"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4681BB9" w:rsidR="008C02CC" w:rsidRPr="00C92CC4" w:rsidRDefault="008C02C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9B19M072</w:t>
    </w:r>
  </w:p>
  <w:p w14:paraId="2B53C0A0" w14:textId="77777777" w:rsidR="008C02CC" w:rsidRDefault="008C02CC" w:rsidP="00D13667">
    <w:pPr>
      <w:pStyle w:val="Header"/>
      <w:tabs>
        <w:tab w:val="clear" w:pos="4680"/>
      </w:tabs>
      <w:rPr>
        <w:sz w:val="18"/>
        <w:szCs w:val="18"/>
      </w:rPr>
    </w:pPr>
  </w:p>
  <w:p w14:paraId="47119730" w14:textId="77777777" w:rsidR="008C02CC" w:rsidRPr="00C92CC4" w:rsidRDefault="008C02C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269CF"/>
    <w:rsid w:val="00035F09"/>
    <w:rsid w:val="00044ECC"/>
    <w:rsid w:val="0004604E"/>
    <w:rsid w:val="000531D3"/>
    <w:rsid w:val="0005646B"/>
    <w:rsid w:val="000615D1"/>
    <w:rsid w:val="0008102D"/>
    <w:rsid w:val="000867C6"/>
    <w:rsid w:val="00086B26"/>
    <w:rsid w:val="00094C0E"/>
    <w:rsid w:val="000A146D"/>
    <w:rsid w:val="000D1712"/>
    <w:rsid w:val="000D2A2F"/>
    <w:rsid w:val="000D7091"/>
    <w:rsid w:val="000E5193"/>
    <w:rsid w:val="000F0C22"/>
    <w:rsid w:val="000F18E0"/>
    <w:rsid w:val="000F5C38"/>
    <w:rsid w:val="000F6B09"/>
    <w:rsid w:val="000F6FDC"/>
    <w:rsid w:val="00104567"/>
    <w:rsid w:val="00104916"/>
    <w:rsid w:val="00104AA7"/>
    <w:rsid w:val="0012732D"/>
    <w:rsid w:val="00141D0C"/>
    <w:rsid w:val="00143F25"/>
    <w:rsid w:val="00152682"/>
    <w:rsid w:val="00154FC9"/>
    <w:rsid w:val="00173E5D"/>
    <w:rsid w:val="001901C0"/>
    <w:rsid w:val="0019241A"/>
    <w:rsid w:val="00192A18"/>
    <w:rsid w:val="001A22D1"/>
    <w:rsid w:val="001A23EF"/>
    <w:rsid w:val="001A2B1E"/>
    <w:rsid w:val="001A752D"/>
    <w:rsid w:val="001A757E"/>
    <w:rsid w:val="001B5032"/>
    <w:rsid w:val="001C097B"/>
    <w:rsid w:val="001C0BCA"/>
    <w:rsid w:val="001C3FCB"/>
    <w:rsid w:val="001C7777"/>
    <w:rsid w:val="001D344B"/>
    <w:rsid w:val="001E364F"/>
    <w:rsid w:val="001F4222"/>
    <w:rsid w:val="00200C41"/>
    <w:rsid w:val="00203AA1"/>
    <w:rsid w:val="00213E98"/>
    <w:rsid w:val="00230150"/>
    <w:rsid w:val="0023081A"/>
    <w:rsid w:val="00233111"/>
    <w:rsid w:val="002569D4"/>
    <w:rsid w:val="002626D9"/>
    <w:rsid w:val="00265FA8"/>
    <w:rsid w:val="002723E8"/>
    <w:rsid w:val="002A5BB2"/>
    <w:rsid w:val="002B40FF"/>
    <w:rsid w:val="002C4678"/>
    <w:rsid w:val="002C4E29"/>
    <w:rsid w:val="002E3A2C"/>
    <w:rsid w:val="002F1794"/>
    <w:rsid w:val="002F460C"/>
    <w:rsid w:val="002F48D6"/>
    <w:rsid w:val="00317391"/>
    <w:rsid w:val="003207EB"/>
    <w:rsid w:val="0032174D"/>
    <w:rsid w:val="00326216"/>
    <w:rsid w:val="00336580"/>
    <w:rsid w:val="00341F2B"/>
    <w:rsid w:val="00352D8D"/>
    <w:rsid w:val="00354899"/>
    <w:rsid w:val="00355FD6"/>
    <w:rsid w:val="003611A3"/>
    <w:rsid w:val="00364A5C"/>
    <w:rsid w:val="003668AF"/>
    <w:rsid w:val="0037322B"/>
    <w:rsid w:val="00373FB1"/>
    <w:rsid w:val="00384D76"/>
    <w:rsid w:val="00396C76"/>
    <w:rsid w:val="003B30D8"/>
    <w:rsid w:val="003B454A"/>
    <w:rsid w:val="003B7EF2"/>
    <w:rsid w:val="003C08FA"/>
    <w:rsid w:val="003C3FA4"/>
    <w:rsid w:val="003D0BA1"/>
    <w:rsid w:val="003F2B0C"/>
    <w:rsid w:val="003F3656"/>
    <w:rsid w:val="004017C1"/>
    <w:rsid w:val="004073E5"/>
    <w:rsid w:val="004105B2"/>
    <w:rsid w:val="0041145A"/>
    <w:rsid w:val="00412900"/>
    <w:rsid w:val="004221E4"/>
    <w:rsid w:val="004256BF"/>
    <w:rsid w:val="004273F8"/>
    <w:rsid w:val="0043255E"/>
    <w:rsid w:val="004355A3"/>
    <w:rsid w:val="00446546"/>
    <w:rsid w:val="00452769"/>
    <w:rsid w:val="00454FA7"/>
    <w:rsid w:val="004601D0"/>
    <w:rsid w:val="00464CA0"/>
    <w:rsid w:val="00465348"/>
    <w:rsid w:val="00470146"/>
    <w:rsid w:val="00471C48"/>
    <w:rsid w:val="0047411A"/>
    <w:rsid w:val="00482AF5"/>
    <w:rsid w:val="00484AC0"/>
    <w:rsid w:val="004979A5"/>
    <w:rsid w:val="004A0856"/>
    <w:rsid w:val="004A25E0"/>
    <w:rsid w:val="004A4D8E"/>
    <w:rsid w:val="004B1CCB"/>
    <w:rsid w:val="004B632F"/>
    <w:rsid w:val="004D3FB1"/>
    <w:rsid w:val="004D6F21"/>
    <w:rsid w:val="004D73A5"/>
    <w:rsid w:val="004F2561"/>
    <w:rsid w:val="004F4F31"/>
    <w:rsid w:val="00507AB6"/>
    <w:rsid w:val="005160F1"/>
    <w:rsid w:val="00524F2F"/>
    <w:rsid w:val="00527E5C"/>
    <w:rsid w:val="00532CF5"/>
    <w:rsid w:val="00541C43"/>
    <w:rsid w:val="005528CB"/>
    <w:rsid w:val="00554425"/>
    <w:rsid w:val="00566771"/>
    <w:rsid w:val="00567B84"/>
    <w:rsid w:val="00573BA7"/>
    <w:rsid w:val="00581E2E"/>
    <w:rsid w:val="00582CBE"/>
    <w:rsid w:val="00584F15"/>
    <w:rsid w:val="0059514B"/>
    <w:rsid w:val="005A1B0F"/>
    <w:rsid w:val="005A1F23"/>
    <w:rsid w:val="005B1329"/>
    <w:rsid w:val="005B4CE6"/>
    <w:rsid w:val="005B5EFE"/>
    <w:rsid w:val="005C0F19"/>
    <w:rsid w:val="005D1963"/>
    <w:rsid w:val="005F4A83"/>
    <w:rsid w:val="006008A4"/>
    <w:rsid w:val="006163F7"/>
    <w:rsid w:val="0061757A"/>
    <w:rsid w:val="0062224A"/>
    <w:rsid w:val="00627C63"/>
    <w:rsid w:val="0063350B"/>
    <w:rsid w:val="00652606"/>
    <w:rsid w:val="006547C5"/>
    <w:rsid w:val="00657B34"/>
    <w:rsid w:val="00665201"/>
    <w:rsid w:val="006946EE"/>
    <w:rsid w:val="006A1D32"/>
    <w:rsid w:val="006A58A9"/>
    <w:rsid w:val="006A606D"/>
    <w:rsid w:val="006C0371"/>
    <w:rsid w:val="006C08B6"/>
    <w:rsid w:val="006C0B1A"/>
    <w:rsid w:val="006C6065"/>
    <w:rsid w:val="006C7F9F"/>
    <w:rsid w:val="006D346D"/>
    <w:rsid w:val="006E2F6D"/>
    <w:rsid w:val="006E58F6"/>
    <w:rsid w:val="006E62CC"/>
    <w:rsid w:val="006E77E1"/>
    <w:rsid w:val="006F131D"/>
    <w:rsid w:val="00711642"/>
    <w:rsid w:val="0071713E"/>
    <w:rsid w:val="00736692"/>
    <w:rsid w:val="007507C6"/>
    <w:rsid w:val="00751E0B"/>
    <w:rsid w:val="00752BCD"/>
    <w:rsid w:val="00766DA1"/>
    <w:rsid w:val="00774245"/>
    <w:rsid w:val="00780D94"/>
    <w:rsid w:val="007866A6"/>
    <w:rsid w:val="007A130D"/>
    <w:rsid w:val="007A4563"/>
    <w:rsid w:val="007D1A2D"/>
    <w:rsid w:val="007D2D1F"/>
    <w:rsid w:val="007D32E6"/>
    <w:rsid w:val="007D4102"/>
    <w:rsid w:val="007D4AA2"/>
    <w:rsid w:val="007E54A7"/>
    <w:rsid w:val="007F43B7"/>
    <w:rsid w:val="00821FFC"/>
    <w:rsid w:val="00823DE3"/>
    <w:rsid w:val="008271CA"/>
    <w:rsid w:val="008467D5"/>
    <w:rsid w:val="00857E65"/>
    <w:rsid w:val="008844F0"/>
    <w:rsid w:val="00892020"/>
    <w:rsid w:val="0089435F"/>
    <w:rsid w:val="0089695D"/>
    <w:rsid w:val="008A00FA"/>
    <w:rsid w:val="008A30E3"/>
    <w:rsid w:val="008A4DC4"/>
    <w:rsid w:val="008B0E13"/>
    <w:rsid w:val="008B120F"/>
    <w:rsid w:val="008B438C"/>
    <w:rsid w:val="008C02CC"/>
    <w:rsid w:val="008D06CA"/>
    <w:rsid w:val="008D3A46"/>
    <w:rsid w:val="008E7A06"/>
    <w:rsid w:val="008F2385"/>
    <w:rsid w:val="009067A4"/>
    <w:rsid w:val="00930885"/>
    <w:rsid w:val="00933D68"/>
    <w:rsid w:val="009340DB"/>
    <w:rsid w:val="009413F1"/>
    <w:rsid w:val="0094618C"/>
    <w:rsid w:val="009470E6"/>
    <w:rsid w:val="00953EF3"/>
    <w:rsid w:val="00954739"/>
    <w:rsid w:val="0095684B"/>
    <w:rsid w:val="00972498"/>
    <w:rsid w:val="0097481F"/>
    <w:rsid w:val="00974CC6"/>
    <w:rsid w:val="00976AD4"/>
    <w:rsid w:val="00995547"/>
    <w:rsid w:val="009A312F"/>
    <w:rsid w:val="009A5348"/>
    <w:rsid w:val="009B0AB7"/>
    <w:rsid w:val="009C76D5"/>
    <w:rsid w:val="009E7AFD"/>
    <w:rsid w:val="009F7AA4"/>
    <w:rsid w:val="00A10AD7"/>
    <w:rsid w:val="00A323B0"/>
    <w:rsid w:val="00A559DB"/>
    <w:rsid w:val="00A569EA"/>
    <w:rsid w:val="00A676A0"/>
    <w:rsid w:val="00A82E37"/>
    <w:rsid w:val="00AC2B9A"/>
    <w:rsid w:val="00AF35FC"/>
    <w:rsid w:val="00AF5556"/>
    <w:rsid w:val="00B03639"/>
    <w:rsid w:val="00B0488A"/>
    <w:rsid w:val="00B0652A"/>
    <w:rsid w:val="00B0736C"/>
    <w:rsid w:val="00B0775B"/>
    <w:rsid w:val="00B25874"/>
    <w:rsid w:val="00B25F49"/>
    <w:rsid w:val="00B301B1"/>
    <w:rsid w:val="00B40937"/>
    <w:rsid w:val="00B423EF"/>
    <w:rsid w:val="00B453DE"/>
    <w:rsid w:val="00B45CB5"/>
    <w:rsid w:val="00B5728A"/>
    <w:rsid w:val="00B62497"/>
    <w:rsid w:val="00B65587"/>
    <w:rsid w:val="00B72597"/>
    <w:rsid w:val="00B87DC0"/>
    <w:rsid w:val="00B901F9"/>
    <w:rsid w:val="00BC4D98"/>
    <w:rsid w:val="00BC52E4"/>
    <w:rsid w:val="00BD16BA"/>
    <w:rsid w:val="00BD6EFB"/>
    <w:rsid w:val="00BE3DF5"/>
    <w:rsid w:val="00BE5056"/>
    <w:rsid w:val="00BF0899"/>
    <w:rsid w:val="00BF5EAB"/>
    <w:rsid w:val="00C02410"/>
    <w:rsid w:val="00C147BD"/>
    <w:rsid w:val="00C1584D"/>
    <w:rsid w:val="00C15BE2"/>
    <w:rsid w:val="00C16E0B"/>
    <w:rsid w:val="00C174C9"/>
    <w:rsid w:val="00C3447F"/>
    <w:rsid w:val="00C44714"/>
    <w:rsid w:val="00C531B8"/>
    <w:rsid w:val="00C62371"/>
    <w:rsid w:val="00C64BEA"/>
    <w:rsid w:val="00C67102"/>
    <w:rsid w:val="00C73187"/>
    <w:rsid w:val="00C81491"/>
    <w:rsid w:val="00C81676"/>
    <w:rsid w:val="00C84F4D"/>
    <w:rsid w:val="00C85C5D"/>
    <w:rsid w:val="00C92CC4"/>
    <w:rsid w:val="00C96841"/>
    <w:rsid w:val="00CA0AFB"/>
    <w:rsid w:val="00CA2CE1"/>
    <w:rsid w:val="00CA3480"/>
    <w:rsid w:val="00CA3976"/>
    <w:rsid w:val="00CA42DF"/>
    <w:rsid w:val="00CA50E3"/>
    <w:rsid w:val="00CA757B"/>
    <w:rsid w:val="00CC1787"/>
    <w:rsid w:val="00CC182C"/>
    <w:rsid w:val="00CD0824"/>
    <w:rsid w:val="00CD2908"/>
    <w:rsid w:val="00CE1C42"/>
    <w:rsid w:val="00CE578E"/>
    <w:rsid w:val="00D03A82"/>
    <w:rsid w:val="00D13667"/>
    <w:rsid w:val="00D15344"/>
    <w:rsid w:val="00D23F57"/>
    <w:rsid w:val="00D240FF"/>
    <w:rsid w:val="00D31BEC"/>
    <w:rsid w:val="00D339D6"/>
    <w:rsid w:val="00D35B78"/>
    <w:rsid w:val="00D4441B"/>
    <w:rsid w:val="00D63150"/>
    <w:rsid w:val="00D636BA"/>
    <w:rsid w:val="00D64A32"/>
    <w:rsid w:val="00D64EFC"/>
    <w:rsid w:val="00D718E6"/>
    <w:rsid w:val="00D75295"/>
    <w:rsid w:val="00D76CE9"/>
    <w:rsid w:val="00D97F12"/>
    <w:rsid w:val="00DA6095"/>
    <w:rsid w:val="00DB42E7"/>
    <w:rsid w:val="00DB7E5D"/>
    <w:rsid w:val="00DB7FD1"/>
    <w:rsid w:val="00DC09D8"/>
    <w:rsid w:val="00DC3AAE"/>
    <w:rsid w:val="00DC5312"/>
    <w:rsid w:val="00DE01A6"/>
    <w:rsid w:val="00DE7A98"/>
    <w:rsid w:val="00DF32C2"/>
    <w:rsid w:val="00E214B4"/>
    <w:rsid w:val="00E35412"/>
    <w:rsid w:val="00E471A7"/>
    <w:rsid w:val="00E600E1"/>
    <w:rsid w:val="00E635CF"/>
    <w:rsid w:val="00E91350"/>
    <w:rsid w:val="00EB1E3B"/>
    <w:rsid w:val="00EC380A"/>
    <w:rsid w:val="00EC6A26"/>
    <w:rsid w:val="00EC6E0A"/>
    <w:rsid w:val="00ED4E18"/>
    <w:rsid w:val="00ED5534"/>
    <w:rsid w:val="00ED7922"/>
    <w:rsid w:val="00EE02C4"/>
    <w:rsid w:val="00EE1F37"/>
    <w:rsid w:val="00EF19F0"/>
    <w:rsid w:val="00EF4CB4"/>
    <w:rsid w:val="00F0159C"/>
    <w:rsid w:val="00F105B7"/>
    <w:rsid w:val="00F13220"/>
    <w:rsid w:val="00F15824"/>
    <w:rsid w:val="00F17A21"/>
    <w:rsid w:val="00F2172A"/>
    <w:rsid w:val="00F274D0"/>
    <w:rsid w:val="00F33389"/>
    <w:rsid w:val="00F36FC2"/>
    <w:rsid w:val="00F375A2"/>
    <w:rsid w:val="00F37B27"/>
    <w:rsid w:val="00F410F5"/>
    <w:rsid w:val="00F414B6"/>
    <w:rsid w:val="00F46556"/>
    <w:rsid w:val="00F50E91"/>
    <w:rsid w:val="00F56799"/>
    <w:rsid w:val="00F57D29"/>
    <w:rsid w:val="00F60786"/>
    <w:rsid w:val="00F70BD3"/>
    <w:rsid w:val="00F71922"/>
    <w:rsid w:val="00F75A15"/>
    <w:rsid w:val="00F81F9B"/>
    <w:rsid w:val="00F87367"/>
    <w:rsid w:val="00F91BC7"/>
    <w:rsid w:val="00F96201"/>
    <w:rsid w:val="00FA1A26"/>
    <w:rsid w:val="00FA1BBC"/>
    <w:rsid w:val="00FB6AB7"/>
    <w:rsid w:val="00FD0B18"/>
    <w:rsid w:val="00FD2FAD"/>
    <w:rsid w:val="00FD5754"/>
    <w:rsid w:val="00FE6F29"/>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Body">
    <w:name w:val="Body"/>
    <w:rsid w:val="00EC6A2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Hyperlink0">
    <w:name w:val="Hyperlink.0"/>
    <w:basedOn w:val="Hyperlink"/>
    <w:rsid w:val="00EC6A26"/>
    <w:rPr>
      <w:color w:val="0000FF"/>
      <w:u w:val="single" w:color="0000FF"/>
    </w:rPr>
  </w:style>
  <w:style w:type="character" w:customStyle="1" w:styleId="Hyperlink1">
    <w:name w:val="Hyperlink.1"/>
    <w:basedOn w:val="Hyperlink0"/>
    <w:rsid w:val="00EC6A26"/>
    <w:rPr>
      <w:color w:val="0000FF"/>
      <w:sz w:val="24"/>
      <w:szCs w:val="24"/>
      <w:u w:val="single" w:color="0000FF"/>
      <w:shd w:val="clear" w:color="auto" w:fill="FFFFFF"/>
    </w:rPr>
  </w:style>
  <w:style w:type="character" w:customStyle="1" w:styleId="Hyperlink2">
    <w:name w:val="Hyperlink.2"/>
    <w:basedOn w:val="Hyperlink0"/>
    <w:rsid w:val="00EC6A26"/>
    <w:rPr>
      <w:rFonts w:ascii="Arial" w:eastAsia="Arial" w:hAnsi="Arial" w:cs="Arial"/>
      <w:color w:val="0000FF"/>
      <w:sz w:val="21"/>
      <w:szCs w:val="21"/>
      <w:u w:val="single" w:color="0000FF"/>
      <w:shd w:val="clear" w:color="auto" w:fill="FFFFFF"/>
    </w:rPr>
  </w:style>
  <w:style w:type="character" w:customStyle="1" w:styleId="Hyperlink3">
    <w:name w:val="Hyperlink.3"/>
    <w:basedOn w:val="Hyperlink0"/>
    <w:rsid w:val="00EC6A26"/>
    <w:rPr>
      <w:rFonts w:ascii="Calibri" w:eastAsia="Calibri" w:hAnsi="Calibri" w:cs="Calibri"/>
      <w:color w:val="0000FF"/>
      <w:sz w:val="22"/>
      <w:szCs w:val="22"/>
      <w:u w:val="single" w:color="0000FF"/>
    </w:rPr>
  </w:style>
  <w:style w:type="character" w:customStyle="1" w:styleId="Hyperlink4">
    <w:name w:val="Hyperlink.4"/>
    <w:basedOn w:val="Hyperlink0"/>
    <w:rsid w:val="00EC6A26"/>
    <w:rPr>
      <w:rFonts w:ascii="Calibri" w:eastAsia="Calibri" w:hAnsi="Calibri" w:cs="Calibri"/>
      <w:color w:val="0000FF"/>
      <w:sz w:val="24"/>
      <w:szCs w:val="24"/>
      <w:u w:val="single" w:color="0000FF"/>
    </w:rPr>
  </w:style>
  <w:style w:type="character" w:customStyle="1" w:styleId="Hyperlink6">
    <w:name w:val="Hyperlink.6"/>
    <w:basedOn w:val="Hyperlink0"/>
    <w:rsid w:val="00EC6A26"/>
    <w:rPr>
      <w:rFonts w:ascii="Calibri" w:eastAsia="Calibri" w:hAnsi="Calibri" w:cs="Calibri"/>
      <w:color w:val="0000FF"/>
      <w:kern w:val="0"/>
      <w:sz w:val="22"/>
      <w:szCs w:val="22"/>
      <w:u w:val="single" w:color="0000FF"/>
    </w:rPr>
  </w:style>
  <w:style w:type="table" w:customStyle="1" w:styleId="PlainTable41">
    <w:name w:val="Plain Table 41"/>
    <w:basedOn w:val="TableNormal"/>
    <w:next w:val="PlainTable4"/>
    <w:uiPriority w:val="44"/>
    <w:rsid w:val="001A23EF"/>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1A23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6D3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4546-8F6B-4488-8237-26249807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4782</Words>
  <Characters>27261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Rajeswarar S. Chaganti</dc:creator>
  <cp:keywords/>
  <cp:lastModifiedBy>Bojmelgrin, Alex</cp:lastModifiedBy>
  <cp:revision>4</cp:revision>
  <cp:lastPrinted>2019-06-28T13:01:00Z</cp:lastPrinted>
  <dcterms:created xsi:type="dcterms:W3CDTF">2019-07-22T15:50:00Z</dcterms:created>
  <dcterms:modified xsi:type="dcterms:W3CDTF">2019-07-22T17:04:00Z</dcterms:modified>
</cp:coreProperties>
</file>