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63B5C2C" w:rsidR="00C02410" w:rsidRDefault="00F66071" w:rsidP="00C02410">
      <w:pPr>
        <w:pStyle w:val="ProductNumber"/>
      </w:pPr>
      <w:r>
        <w:t>9B19M076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3975ADE" w:rsidR="00013360" w:rsidRDefault="00F66071" w:rsidP="00013360">
      <w:pPr>
        <w:pStyle w:val="CaseTitle"/>
        <w:spacing w:after="0" w:line="240" w:lineRule="auto"/>
        <w:rPr>
          <w:sz w:val="20"/>
          <w:szCs w:val="20"/>
        </w:rPr>
      </w:pPr>
      <w:r w:rsidRPr="00F66071">
        <w:rPr>
          <w:lang w:val="en-GB"/>
        </w:rPr>
        <w:t>PFIZER AND THE CHALLENGES OF THE PHARMACEUTICAL INDUSTRY (A)</w:t>
      </w:r>
      <w:r>
        <w:rPr>
          <w:rStyle w:val="EndnoteReference"/>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2A0B59C5" w:rsidR="00086B26" w:rsidRPr="00287D6F" w:rsidRDefault="00F66071" w:rsidP="00086B26">
      <w:pPr>
        <w:pStyle w:val="StyleCopyrightStatementAfter0ptBottomSinglesolidline1"/>
        <w:rPr>
          <w:lang w:val="en-GB"/>
        </w:rPr>
      </w:pPr>
      <w:r w:rsidRPr="0030399D">
        <w:rPr>
          <w:lang w:val="en-CA"/>
        </w:rPr>
        <w:t>Renate Kratochvil and Phillip C. Nell</w:t>
      </w:r>
      <w:r w:rsidRPr="00287D6F">
        <w:rPr>
          <w:lang w:val="en-GB"/>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0EB78E16" w:rsidR="00751E0B" w:rsidRPr="00C02410" w:rsidRDefault="00F66071"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Pr>
          <w:rFonts w:cs="Arial"/>
          <w:iCs w:val="0"/>
          <w:color w:val="auto"/>
          <w:szCs w:val="16"/>
        </w:rPr>
        <w:t>Version: 2019-07-</w:t>
      </w:r>
      <w:r w:rsidR="007C129D">
        <w:rPr>
          <w:rFonts w:cs="Arial"/>
          <w:iCs w:val="0"/>
          <w:color w:val="auto"/>
          <w:szCs w:val="16"/>
        </w:rPr>
        <w:t>31</w:t>
      </w:r>
    </w:p>
    <w:p w14:paraId="0A2A54E4" w14:textId="53A4EBA2" w:rsidR="00751E0B" w:rsidRDefault="00751E0B" w:rsidP="00751E0B">
      <w:pPr>
        <w:pStyle w:val="StyleCopyrightStatementAfter0ptBottomSinglesolidline1"/>
        <w:rPr>
          <w:rFonts w:ascii="Times New Roman" w:hAnsi="Times New Roman"/>
          <w:sz w:val="20"/>
        </w:rPr>
      </w:pPr>
    </w:p>
    <w:p w14:paraId="78F090FF" w14:textId="3FF77D19" w:rsidR="00F66071" w:rsidRDefault="00F66071" w:rsidP="00751E0B">
      <w:pPr>
        <w:pStyle w:val="StyleCopyrightStatementAfter0ptBottomSinglesolidline1"/>
        <w:rPr>
          <w:rFonts w:ascii="Times New Roman" w:hAnsi="Times New Roman"/>
          <w:sz w:val="20"/>
        </w:rPr>
      </w:pPr>
    </w:p>
    <w:p w14:paraId="791E0C7A" w14:textId="64D1874E" w:rsidR="00F66071" w:rsidRPr="00F53351" w:rsidRDefault="007C129D" w:rsidP="00F66071">
      <w:pPr>
        <w:pStyle w:val="BodyTextMain"/>
        <w:rPr>
          <w:spacing w:val="-4"/>
          <w:kern w:val="22"/>
          <w:lang w:val="en-CA"/>
        </w:rPr>
      </w:pPr>
      <w:r>
        <w:rPr>
          <w:spacing w:val="-4"/>
          <w:kern w:val="22"/>
          <w:lang w:val="en-CA"/>
        </w:rPr>
        <w:t>In July 2018, one of the US</w:t>
      </w:r>
      <w:r w:rsidR="00F66071" w:rsidRPr="00F53351">
        <w:rPr>
          <w:spacing w:val="-4"/>
          <w:kern w:val="22"/>
          <w:lang w:val="en-CA"/>
        </w:rPr>
        <w:t xml:space="preserve"> president’s tweets created turmoil among managers of pharmaceutical companies:</w:t>
      </w:r>
    </w:p>
    <w:p w14:paraId="10D1A37A" w14:textId="77777777" w:rsidR="00F66071" w:rsidRPr="0030399D" w:rsidRDefault="00F66071" w:rsidP="00F66071">
      <w:pPr>
        <w:pStyle w:val="BodyTextMain"/>
        <w:rPr>
          <w:lang w:val="en-CA"/>
        </w:rPr>
      </w:pPr>
    </w:p>
    <w:p w14:paraId="55793C3C" w14:textId="77777777" w:rsidR="00F66071" w:rsidRPr="0030399D" w:rsidRDefault="00F66071" w:rsidP="00F66071">
      <w:pPr>
        <w:pStyle w:val="BodyTextMain"/>
        <w:ind w:left="720"/>
        <w:rPr>
          <w:lang w:val="en-CA"/>
        </w:rPr>
      </w:pPr>
      <w:r w:rsidRPr="0030399D">
        <w:rPr>
          <w:lang w:val="en-CA"/>
        </w:rPr>
        <w:t>Pfizer &amp; others should be ashamed that they have raised drug prices for no reason. They are merely taking advantage of the poor &amp; others unable to defend themselves, while at the same time giving bargain basement prices to other countries in Europe &amp; elsewhere. We will respond!</w:t>
      </w:r>
      <w:r w:rsidRPr="0030399D">
        <w:rPr>
          <w:rStyle w:val="EndnoteReference"/>
          <w:lang w:val="en-CA"/>
        </w:rPr>
        <w:endnoteReference w:id="2"/>
      </w:r>
    </w:p>
    <w:p w14:paraId="2708BD7D" w14:textId="77777777" w:rsidR="00F66071" w:rsidRPr="0030399D" w:rsidRDefault="00F66071" w:rsidP="00F66071">
      <w:pPr>
        <w:pStyle w:val="IVEYText"/>
        <w:ind w:left="567" w:right="963"/>
        <w:rPr>
          <w:noProof w:val="0"/>
          <w:color w:val="000000" w:themeColor="text1"/>
          <w:lang w:val="en-CA"/>
        </w:rPr>
      </w:pPr>
    </w:p>
    <w:p w14:paraId="155A2946" w14:textId="77777777" w:rsidR="00F66071" w:rsidRPr="0030399D" w:rsidRDefault="00F66071" w:rsidP="00F66071">
      <w:pPr>
        <w:pStyle w:val="IVEYText"/>
        <w:rPr>
          <w:noProof w:val="0"/>
          <w:color w:val="000000" w:themeColor="text1"/>
          <w:lang w:val="en-CA"/>
        </w:rPr>
      </w:pPr>
      <w:r w:rsidRPr="0030399D">
        <w:rPr>
          <w:noProof w:val="0"/>
          <w:color w:val="000000" w:themeColor="text1"/>
          <w:lang w:val="en-CA"/>
        </w:rPr>
        <w:t>This sounded like a threat, which it was presumably intended to be. However, only weeks before, the picture had looked rosier for Pfizer Inc. (Pfizer) and its chief executive officer (CEO), Ian Read. In the fiscal year 2017, Pfizer had successfully maintained its position as the leading global pharmaceutical corporation in terms of its revenue from pharmaceutical products of US$52.8 billion</w:t>
      </w:r>
      <w:r w:rsidRPr="0030399D">
        <w:rPr>
          <w:rStyle w:val="EndnoteReference"/>
          <w:noProof w:val="0"/>
          <w:color w:val="000000" w:themeColor="text1"/>
          <w:lang w:val="en-CA"/>
        </w:rPr>
        <w:endnoteReference w:id="3"/>
      </w:r>
      <w:r w:rsidRPr="0030399D">
        <w:rPr>
          <w:noProof w:val="0"/>
          <w:color w:val="000000" w:themeColor="text1"/>
          <w:vertAlign w:val="superscript"/>
          <w:lang w:val="en-CA"/>
        </w:rPr>
        <w:t xml:space="preserve"> </w:t>
      </w:r>
      <w:r w:rsidRPr="0030399D">
        <w:rPr>
          <w:noProof w:val="0"/>
          <w:color w:val="000000" w:themeColor="text1"/>
          <w:lang w:val="en-CA"/>
        </w:rPr>
        <w:t xml:space="preserve">(see Exhibit 1). </w:t>
      </w:r>
    </w:p>
    <w:p w14:paraId="3EEE1322" w14:textId="77777777" w:rsidR="00F66071" w:rsidRPr="0030399D" w:rsidRDefault="00F66071" w:rsidP="00F66071">
      <w:pPr>
        <w:pStyle w:val="IVEYText"/>
        <w:rPr>
          <w:noProof w:val="0"/>
          <w:color w:val="000000" w:themeColor="text1"/>
          <w:lang w:val="en-CA"/>
        </w:rPr>
      </w:pPr>
    </w:p>
    <w:p w14:paraId="4E60DBBD" w14:textId="5DD4DF3F" w:rsidR="00F66071" w:rsidRPr="007C129D" w:rsidRDefault="00F66071" w:rsidP="00F66071">
      <w:pPr>
        <w:pStyle w:val="IVEYText"/>
        <w:rPr>
          <w:noProof w:val="0"/>
          <w:spacing w:val="-2"/>
          <w:kern w:val="22"/>
          <w:lang w:val="en-CA"/>
        </w:rPr>
      </w:pPr>
      <w:r w:rsidRPr="007C129D">
        <w:rPr>
          <w:noProof w:val="0"/>
          <w:color w:val="000000" w:themeColor="text1"/>
          <w:spacing w:val="-2"/>
          <w:kern w:val="22"/>
          <w:lang w:val="en-CA"/>
        </w:rPr>
        <w:t xml:space="preserve">Nevertheless, in the last few years, Pfizer had had many setbacks other than </w:t>
      </w:r>
      <w:r w:rsidR="007C129D" w:rsidRPr="007C129D">
        <w:rPr>
          <w:noProof w:val="0"/>
          <w:color w:val="000000" w:themeColor="text1"/>
          <w:spacing w:val="-2"/>
          <w:kern w:val="22"/>
          <w:lang w:val="en-CA"/>
        </w:rPr>
        <w:t>those</w:t>
      </w:r>
      <w:r w:rsidRPr="007C129D">
        <w:rPr>
          <w:noProof w:val="0"/>
          <w:color w:val="000000" w:themeColor="text1"/>
          <w:spacing w:val="-2"/>
          <w:kern w:val="22"/>
          <w:lang w:val="en-CA"/>
        </w:rPr>
        <w:t xml:space="preserve"> generated by the president’s threat. For example, a comprehensively planned merger with Allergan Plc (Allergan) had to be stopped, and competitors were closing in on Pfizer’s leading position (see Exhibit 2). In addition, drug patents were about to expire, and the company’s entrance into new emerging markets was creating many problems. However, the entire pharmaceutical industry, not just Pfizer, was being challenged by various issues. While corporations were recording decreasing global average returns on investment (10.1 per cent in 2010 and 3.2 per cent in 2018), they were also experiencing increased research and development (R&amp;D) costs ($1.2 billion in 2010 and $2.0 billion in 2017).</w:t>
      </w:r>
      <w:r w:rsidRPr="007C129D">
        <w:rPr>
          <w:rStyle w:val="EndnoteReference"/>
          <w:noProof w:val="0"/>
          <w:color w:val="000000" w:themeColor="text1"/>
          <w:spacing w:val="-2"/>
          <w:kern w:val="22"/>
          <w:lang w:val="en-CA"/>
        </w:rPr>
        <w:endnoteReference w:id="4"/>
      </w:r>
      <w:r w:rsidRPr="007C129D">
        <w:rPr>
          <w:noProof w:val="0"/>
          <w:color w:val="000000" w:themeColor="text1"/>
          <w:spacing w:val="-2"/>
          <w:kern w:val="22"/>
          <w:lang w:val="en-CA"/>
        </w:rPr>
        <w:t xml:space="preserve"> Furthermore, companies from other industries</w:t>
      </w:r>
      <w:r w:rsidRPr="007C129D">
        <w:rPr>
          <w:rFonts w:eastAsia="Calibri"/>
          <w:noProof w:val="0"/>
          <w:spacing w:val="-2"/>
          <w:kern w:val="22"/>
          <w:lang w:val="en-CA"/>
        </w:rPr>
        <w:t xml:space="preserve">—such as </w:t>
      </w:r>
      <w:r w:rsidRPr="007C129D">
        <w:rPr>
          <w:noProof w:val="0"/>
          <w:color w:val="000000" w:themeColor="text1"/>
          <w:spacing w:val="-2"/>
          <w:kern w:val="22"/>
          <w:lang w:val="en-CA"/>
        </w:rPr>
        <w:t>the electronic device producer, Philips</w:t>
      </w:r>
      <w:r w:rsidRPr="007C129D">
        <w:rPr>
          <w:rFonts w:eastAsia="Calibri"/>
          <w:noProof w:val="0"/>
          <w:spacing w:val="-2"/>
          <w:kern w:val="22"/>
          <w:lang w:val="en-CA"/>
        </w:rPr>
        <w:t>—</w:t>
      </w:r>
      <w:r w:rsidRPr="007C129D">
        <w:rPr>
          <w:noProof w:val="0"/>
          <w:color w:val="000000" w:themeColor="text1"/>
          <w:spacing w:val="-2"/>
          <w:kern w:val="22"/>
          <w:lang w:val="en-CA"/>
        </w:rPr>
        <w:t>were entering the market, and some emerging-market companies were becoming unexpectedly strong.</w:t>
      </w:r>
      <w:r w:rsidRPr="007C129D">
        <w:rPr>
          <w:rStyle w:val="EndnoteReference"/>
          <w:noProof w:val="0"/>
          <w:color w:val="000000" w:themeColor="text1"/>
          <w:spacing w:val="-2"/>
          <w:kern w:val="22"/>
          <w:lang w:val="en-CA"/>
        </w:rPr>
        <w:endnoteReference w:id="5"/>
      </w:r>
      <w:r w:rsidRPr="007C129D">
        <w:rPr>
          <w:noProof w:val="0"/>
          <w:color w:val="000000" w:themeColor="text1"/>
          <w:spacing w:val="-2"/>
          <w:kern w:val="22"/>
          <w:lang w:val="en-CA"/>
        </w:rPr>
        <w:t xml:space="preserve"> </w:t>
      </w:r>
      <w:r w:rsidRPr="007C129D">
        <w:rPr>
          <w:noProof w:val="0"/>
          <w:spacing w:val="-2"/>
          <w:kern w:val="22"/>
          <w:lang w:val="en-CA"/>
        </w:rPr>
        <w:t xml:space="preserve">Given these challenges, Read needed answers to some key questions: Do these changes mark a turning point for the whole industry? Does Pfizer need to act, and if so, how? </w:t>
      </w:r>
    </w:p>
    <w:p w14:paraId="74DABA13" w14:textId="77777777" w:rsidR="00F66071" w:rsidRPr="0030399D" w:rsidRDefault="00F66071" w:rsidP="00F66071">
      <w:pPr>
        <w:pStyle w:val="IVEYText"/>
        <w:rPr>
          <w:noProof w:val="0"/>
          <w:lang w:val="en-CA"/>
        </w:rPr>
      </w:pPr>
    </w:p>
    <w:p w14:paraId="062151A2" w14:textId="77777777" w:rsidR="00F66071" w:rsidRPr="0030399D" w:rsidRDefault="00F66071" w:rsidP="00F66071">
      <w:pPr>
        <w:pStyle w:val="IVEYText"/>
        <w:rPr>
          <w:noProof w:val="0"/>
          <w:lang w:val="en-CA"/>
        </w:rPr>
      </w:pPr>
    </w:p>
    <w:p w14:paraId="47456887" w14:textId="77777777" w:rsidR="00F66071" w:rsidRPr="0030399D" w:rsidRDefault="00F66071" w:rsidP="00F66071">
      <w:pPr>
        <w:pStyle w:val="IVEYTitle"/>
        <w:rPr>
          <w:lang w:val="en-CA"/>
        </w:rPr>
      </w:pPr>
      <w:r w:rsidRPr="0030399D">
        <w:rPr>
          <w:lang w:val="en-CA"/>
        </w:rPr>
        <w:t>The pharmaceutical INDUSTRY</w:t>
      </w:r>
    </w:p>
    <w:p w14:paraId="4CC7D11E" w14:textId="77777777" w:rsidR="00F66071" w:rsidRPr="0030399D" w:rsidRDefault="00F66071" w:rsidP="00F66071">
      <w:pPr>
        <w:pStyle w:val="IVEYText"/>
        <w:rPr>
          <w:noProof w:val="0"/>
          <w:lang w:val="en-CA"/>
        </w:rPr>
      </w:pPr>
    </w:p>
    <w:p w14:paraId="28AE5014" w14:textId="59192A59" w:rsidR="00F66071" w:rsidRPr="0030399D" w:rsidRDefault="00F66071" w:rsidP="00F66071">
      <w:pPr>
        <w:pStyle w:val="IVEYText"/>
        <w:rPr>
          <w:noProof w:val="0"/>
          <w:spacing w:val="-2"/>
          <w:kern w:val="22"/>
          <w:lang w:val="en-CA"/>
        </w:rPr>
      </w:pPr>
      <w:r w:rsidRPr="0030399D">
        <w:rPr>
          <w:noProof w:val="0"/>
          <w:spacing w:val="-2"/>
          <w:kern w:val="22"/>
          <w:lang w:val="en-CA"/>
        </w:rPr>
        <w:t>The pharmaceutical industry was complex, with some important trends. Globally, in 2018, pharmaceuticals represented more than 16 per cent of health expenditures.</w:t>
      </w:r>
      <w:r w:rsidRPr="0030399D">
        <w:rPr>
          <w:rStyle w:val="EndnoteReference"/>
          <w:noProof w:val="0"/>
          <w:spacing w:val="-2"/>
          <w:kern w:val="22"/>
          <w:lang w:val="en-CA"/>
        </w:rPr>
        <w:endnoteReference w:id="6"/>
      </w:r>
      <w:r w:rsidRPr="0030399D">
        <w:rPr>
          <w:noProof w:val="0"/>
          <w:spacing w:val="-2"/>
          <w:kern w:val="22"/>
          <w:lang w:val="en-CA"/>
        </w:rPr>
        <w:t xml:space="preserve"> In 2017, global sales were recorded at $1.2 trillion (see Exhibits 3 and 4) and the demand for pharmaceuticals was rising.</w:t>
      </w:r>
      <w:r w:rsidRPr="0030399D">
        <w:rPr>
          <w:rStyle w:val="EndnoteReference"/>
          <w:noProof w:val="0"/>
          <w:spacing w:val="-2"/>
          <w:kern w:val="22"/>
          <w:lang w:val="en-CA"/>
        </w:rPr>
        <w:endnoteReference w:id="7"/>
      </w:r>
      <w:r w:rsidRPr="0030399D">
        <w:rPr>
          <w:noProof w:val="0"/>
          <w:spacing w:val="-2"/>
          <w:kern w:val="22"/>
          <w:lang w:val="en-CA"/>
        </w:rPr>
        <w:t xml:space="preserve"> Historically, the </w:t>
      </w:r>
      <w:r w:rsidR="007C129D">
        <w:rPr>
          <w:noProof w:val="0"/>
          <w:spacing w:val="-2"/>
          <w:kern w:val="22"/>
          <w:lang w:val="en-CA"/>
        </w:rPr>
        <w:t>United States</w:t>
      </w:r>
      <w:r w:rsidRPr="0030399D">
        <w:rPr>
          <w:noProof w:val="0"/>
          <w:spacing w:val="-2"/>
          <w:kern w:val="22"/>
          <w:lang w:val="en-CA"/>
        </w:rPr>
        <w:t xml:space="preserve"> has been the country with the highest spending on pharmaceuticals, with an average per-person spend of $1,162 in 2017. Viewed with respect to global pharmaceutical sales in 2018, the United States was the biggest market </w:t>
      </w:r>
      <w:r w:rsidRPr="0030399D">
        <w:rPr>
          <w:noProof w:val="0"/>
          <w:spacing w:val="-2"/>
          <w:kern w:val="22"/>
          <w:lang w:val="en-CA"/>
        </w:rPr>
        <w:lastRenderedPageBreak/>
        <w:t>with a share of 48 per cent. Europe (including Russia and Turkey) accounted for 22 per cent; Japan accounted for 8 per cent; Latin America accounted for 5 per cent; and the regions of Africa, Asia (excluding Japan), and Australia accounted for 17 per cent</w:t>
      </w:r>
      <w:r w:rsidR="007C129D">
        <w:rPr>
          <w:noProof w:val="0"/>
          <w:spacing w:val="-2"/>
          <w:kern w:val="22"/>
          <w:lang w:val="en-CA"/>
        </w:rPr>
        <w:t xml:space="preserve"> </w:t>
      </w:r>
      <w:r w:rsidR="007C129D" w:rsidRPr="0030399D">
        <w:rPr>
          <w:noProof w:val="0"/>
          <w:spacing w:val="-2"/>
          <w:kern w:val="22"/>
          <w:lang w:val="en-CA"/>
        </w:rPr>
        <w:t>(see Exhibit 5)</w:t>
      </w:r>
      <w:r w:rsidRPr="0030399D">
        <w:rPr>
          <w:noProof w:val="0"/>
          <w:spacing w:val="-2"/>
          <w:kern w:val="22"/>
          <w:lang w:val="en-CA"/>
        </w:rPr>
        <w:t xml:space="preserve">. </w:t>
      </w:r>
    </w:p>
    <w:p w14:paraId="4242E37C" w14:textId="77777777" w:rsidR="00F66071" w:rsidRPr="0030399D" w:rsidRDefault="00F66071" w:rsidP="00F66071">
      <w:pPr>
        <w:pStyle w:val="IVEYText"/>
        <w:rPr>
          <w:noProof w:val="0"/>
          <w:lang w:val="en-CA"/>
        </w:rPr>
      </w:pPr>
    </w:p>
    <w:p w14:paraId="1B1DEC2F" w14:textId="77777777" w:rsidR="00F66071" w:rsidRPr="0030399D" w:rsidRDefault="00F66071" w:rsidP="00F66071">
      <w:pPr>
        <w:pStyle w:val="IVEYText"/>
        <w:rPr>
          <w:noProof w:val="0"/>
          <w:lang w:val="en-CA"/>
        </w:rPr>
      </w:pPr>
      <w:r w:rsidRPr="0030399D">
        <w:rPr>
          <w:noProof w:val="0"/>
          <w:lang w:val="en-CA"/>
        </w:rPr>
        <w:t>Health-care spending was known to be increasing for a variety of reasons, and this increase suggested that demand for pharmaceuticals was likely also to be rising.</w:t>
      </w:r>
    </w:p>
    <w:p w14:paraId="65FA7C45" w14:textId="77777777" w:rsidR="00F66071" w:rsidRPr="0030399D" w:rsidRDefault="00F66071" w:rsidP="00F66071">
      <w:pPr>
        <w:pStyle w:val="IVEYText"/>
        <w:rPr>
          <w:noProof w:val="0"/>
          <w:lang w:val="en-CA"/>
        </w:rPr>
      </w:pPr>
    </w:p>
    <w:p w14:paraId="557E61EB" w14:textId="77777777" w:rsidR="00F66071" w:rsidRPr="0030399D" w:rsidRDefault="00F66071" w:rsidP="00F66071">
      <w:pPr>
        <w:pStyle w:val="IVEYText"/>
        <w:rPr>
          <w:noProof w:val="0"/>
          <w:lang w:val="en-CA"/>
        </w:rPr>
      </w:pPr>
      <w:r w:rsidRPr="0030399D">
        <w:rPr>
          <w:noProof w:val="0"/>
          <w:lang w:val="en-CA"/>
        </w:rPr>
        <w:t xml:space="preserve">First, an ageing population led to increased demand (see Exhibit 6). </w:t>
      </w:r>
    </w:p>
    <w:p w14:paraId="6C7F6210" w14:textId="77777777" w:rsidR="00F66071" w:rsidRPr="0030399D" w:rsidRDefault="00F66071" w:rsidP="00F66071">
      <w:pPr>
        <w:pStyle w:val="IVEYText"/>
        <w:rPr>
          <w:noProof w:val="0"/>
          <w:lang w:val="en-CA"/>
        </w:rPr>
      </w:pPr>
    </w:p>
    <w:p w14:paraId="6DE1FD04" w14:textId="77777777" w:rsidR="00F66071" w:rsidRPr="00F53351" w:rsidRDefault="00F66071" w:rsidP="00F66071">
      <w:pPr>
        <w:pStyle w:val="IVEYText"/>
        <w:rPr>
          <w:noProof w:val="0"/>
          <w:spacing w:val="-4"/>
          <w:kern w:val="22"/>
          <w:lang w:val="en-CA"/>
        </w:rPr>
      </w:pPr>
      <w:r w:rsidRPr="00F53351">
        <w:rPr>
          <w:noProof w:val="0"/>
          <w:spacing w:val="-4"/>
          <w:kern w:val="22"/>
          <w:lang w:val="en-CA"/>
        </w:rPr>
        <w:t xml:space="preserve">Second, the supply of biologics had increased substantially, amounting to </w:t>
      </w:r>
      <w:r w:rsidRPr="00F53351">
        <w:rPr>
          <w:noProof w:val="0"/>
          <w:color w:val="000000" w:themeColor="text1"/>
          <w:spacing w:val="-4"/>
          <w:kern w:val="22"/>
          <w:lang w:val="en-CA"/>
        </w:rPr>
        <w:t xml:space="preserve">25 per cent of the total pharmaceutical market in 2017 </w:t>
      </w:r>
      <w:r w:rsidRPr="00F53351">
        <w:rPr>
          <w:noProof w:val="0"/>
          <w:spacing w:val="-4"/>
          <w:kern w:val="22"/>
          <w:lang w:val="en-CA"/>
        </w:rPr>
        <w:t>(see Exhibit 7)</w:t>
      </w:r>
      <w:r w:rsidRPr="00F53351">
        <w:rPr>
          <w:noProof w:val="0"/>
          <w:color w:val="000000" w:themeColor="text1"/>
          <w:spacing w:val="-4"/>
          <w:kern w:val="22"/>
          <w:lang w:val="en-CA"/>
        </w:rPr>
        <w:t xml:space="preserve">. Biologics were highly effective drugs for </w:t>
      </w:r>
      <w:r w:rsidRPr="00F53351">
        <w:rPr>
          <w:noProof w:val="0"/>
          <w:spacing w:val="-4"/>
          <w:kern w:val="22"/>
          <w:lang w:val="en-CA"/>
        </w:rPr>
        <w:t>certain classes of disease such as cancers, rheumatism, infectious diseases such as HIV and hepatitis, diabetes, and neurological disorders. They represented a very expensive form of treatment, usually lasting around a year and with costs averaging $25,000 per patient. Biologic drugs were produced using animal cells or microorganisms, and the molecule sizes were many times those of conventionally synthesized drugs. A study by the consultancy company McKinsey concluded that the development and production costs for biologics, as well as the complexity of a biologic drug, equated with those of building a business jet.</w:t>
      </w:r>
      <w:r w:rsidRPr="00F53351">
        <w:rPr>
          <w:rStyle w:val="EndnoteReference"/>
          <w:noProof w:val="0"/>
          <w:spacing w:val="-4"/>
          <w:kern w:val="22"/>
          <w:lang w:val="en-CA"/>
        </w:rPr>
        <w:endnoteReference w:id="8"/>
      </w:r>
      <w:r w:rsidRPr="00F53351">
        <w:rPr>
          <w:noProof w:val="0"/>
          <w:spacing w:val="-4"/>
          <w:kern w:val="22"/>
          <w:lang w:val="en-CA"/>
        </w:rPr>
        <w:t xml:space="preserve"> Due to their efficacy, biologics were in high demand. </w:t>
      </w:r>
    </w:p>
    <w:p w14:paraId="11B47060" w14:textId="77777777" w:rsidR="00F66071" w:rsidRPr="0030399D" w:rsidRDefault="00F66071" w:rsidP="00F66071">
      <w:pPr>
        <w:pStyle w:val="IVEYText"/>
        <w:rPr>
          <w:noProof w:val="0"/>
          <w:lang w:val="en-CA"/>
        </w:rPr>
      </w:pPr>
    </w:p>
    <w:p w14:paraId="5247D855" w14:textId="77777777" w:rsidR="00F66071" w:rsidRPr="0030399D" w:rsidRDefault="00F66071" w:rsidP="00F66071">
      <w:pPr>
        <w:pStyle w:val="IVEYText"/>
        <w:rPr>
          <w:noProof w:val="0"/>
          <w:lang w:val="en-CA"/>
        </w:rPr>
      </w:pPr>
      <w:r w:rsidRPr="0030399D">
        <w:rPr>
          <w:noProof w:val="0"/>
          <w:lang w:val="en-CA"/>
        </w:rPr>
        <w:t>Third, globally increasing awareness of the importance of early health checks, the use of prophylactic drugs (e.g., vaccinations), and better information availability had all further increased demand.</w:t>
      </w:r>
      <w:r w:rsidRPr="0030399D">
        <w:rPr>
          <w:rStyle w:val="EndnoteReference"/>
          <w:noProof w:val="0"/>
          <w:lang w:val="en-CA"/>
        </w:rPr>
        <w:endnoteReference w:id="9"/>
      </w:r>
    </w:p>
    <w:p w14:paraId="29431D55" w14:textId="77777777" w:rsidR="00F66071" w:rsidRPr="0030399D" w:rsidRDefault="00F66071" w:rsidP="00F66071">
      <w:pPr>
        <w:pStyle w:val="IVEYText"/>
        <w:rPr>
          <w:noProof w:val="0"/>
          <w:lang w:val="en-CA"/>
        </w:rPr>
      </w:pPr>
    </w:p>
    <w:p w14:paraId="0EC9014D" w14:textId="77777777" w:rsidR="00F66071" w:rsidRPr="0030399D" w:rsidRDefault="00F66071" w:rsidP="00F66071">
      <w:pPr>
        <w:pStyle w:val="IVEYText"/>
        <w:rPr>
          <w:noProof w:val="0"/>
          <w:color w:val="000000" w:themeColor="text1"/>
          <w:lang w:val="en-CA"/>
        </w:rPr>
      </w:pPr>
      <w:r w:rsidRPr="0030399D">
        <w:rPr>
          <w:noProof w:val="0"/>
          <w:lang w:val="en-CA"/>
        </w:rPr>
        <w:t>Finally, favourable growth rates in pharmaceutical product purchases had been predicted several years ago for developing markets (see Exhibit 8). However,</w:t>
      </w:r>
      <w:r w:rsidRPr="0030399D">
        <w:rPr>
          <w:noProof w:val="0"/>
          <w:color w:val="000000" w:themeColor="text1"/>
          <w:lang w:val="en-CA"/>
        </w:rPr>
        <w:t xml:space="preserve"> the road to success in developing countries had in fact been bumpy for Western pharmaceutical companies. Local producers (mainly generics producers) often retained a higher market share and more power in these developing markets than Western pharmaceutical companies. Furthermore, relatively weak patent law, slowing economic growth, intense local competition, and government efforts to reduce health-care costs (or at least to prevent their growth) had reduced company expectations of rapid success.</w:t>
      </w:r>
      <w:r w:rsidRPr="0030399D">
        <w:rPr>
          <w:rStyle w:val="EndnoteReference"/>
          <w:noProof w:val="0"/>
          <w:color w:val="000000" w:themeColor="text1"/>
          <w:lang w:val="en-CA"/>
        </w:rPr>
        <w:endnoteReference w:id="10"/>
      </w:r>
      <w:r w:rsidRPr="0030399D">
        <w:rPr>
          <w:noProof w:val="0"/>
          <w:color w:val="000000" w:themeColor="text1"/>
          <w:lang w:val="en-CA"/>
        </w:rPr>
        <w:t xml:space="preserve"> </w:t>
      </w:r>
    </w:p>
    <w:p w14:paraId="50439C05" w14:textId="77777777" w:rsidR="00F66071" w:rsidRPr="0030399D" w:rsidRDefault="00F66071" w:rsidP="00F66071">
      <w:pPr>
        <w:pStyle w:val="IVEYText"/>
        <w:rPr>
          <w:noProof w:val="0"/>
          <w:color w:val="000000" w:themeColor="text1"/>
          <w:lang w:val="en-CA"/>
        </w:rPr>
      </w:pPr>
    </w:p>
    <w:p w14:paraId="4CC55CBC" w14:textId="77777777" w:rsidR="00F66071" w:rsidRPr="0030399D" w:rsidRDefault="00F66071" w:rsidP="00F66071">
      <w:pPr>
        <w:pStyle w:val="IVEYText"/>
        <w:rPr>
          <w:noProof w:val="0"/>
          <w:color w:val="000000" w:themeColor="text1"/>
          <w:lang w:val="en-CA"/>
        </w:rPr>
      </w:pPr>
    </w:p>
    <w:p w14:paraId="4A8367DF" w14:textId="77777777" w:rsidR="00F66071" w:rsidRPr="0030399D" w:rsidRDefault="00F66071" w:rsidP="00F66071">
      <w:pPr>
        <w:pStyle w:val="IVEYTitle"/>
        <w:rPr>
          <w:lang w:val="en-CA"/>
        </w:rPr>
      </w:pPr>
      <w:bookmarkStart w:id="0" w:name="_Toc149911766"/>
      <w:r w:rsidRPr="0030399D">
        <w:rPr>
          <w:lang w:val="en-CA"/>
        </w:rPr>
        <w:t>Competition</w:t>
      </w:r>
    </w:p>
    <w:p w14:paraId="2E34AC1B" w14:textId="77777777" w:rsidR="00F66071" w:rsidRPr="0030399D" w:rsidRDefault="00F66071" w:rsidP="00F66071">
      <w:pPr>
        <w:pStyle w:val="IVEYText"/>
        <w:rPr>
          <w:noProof w:val="0"/>
          <w:lang w:val="en-CA"/>
        </w:rPr>
      </w:pPr>
    </w:p>
    <w:p w14:paraId="35BB5656" w14:textId="77777777" w:rsidR="00F66071" w:rsidRPr="00F53351" w:rsidRDefault="00F66071" w:rsidP="00F66071">
      <w:pPr>
        <w:pStyle w:val="IVEYText"/>
        <w:rPr>
          <w:noProof w:val="0"/>
          <w:spacing w:val="-2"/>
          <w:kern w:val="22"/>
          <w:lang w:val="en-CA"/>
        </w:rPr>
      </w:pPr>
      <w:r w:rsidRPr="00F53351">
        <w:rPr>
          <w:noProof w:val="0"/>
          <w:spacing w:val="-2"/>
          <w:kern w:val="22"/>
          <w:lang w:val="en-CA"/>
        </w:rPr>
        <w:t>In general, the pharmaceuticals market could be divided into two main categories:</w:t>
      </w:r>
      <w:r w:rsidRPr="00F53351">
        <w:rPr>
          <w:rFonts w:eastAsia="Calibri"/>
          <w:noProof w:val="0"/>
          <w:spacing w:val="-2"/>
          <w:kern w:val="22"/>
          <w:lang w:val="en-CA"/>
        </w:rPr>
        <w:t xml:space="preserve"> </w:t>
      </w:r>
      <w:r w:rsidRPr="00F53351">
        <w:rPr>
          <w:noProof w:val="0"/>
          <w:spacing w:val="-2"/>
          <w:kern w:val="22"/>
          <w:lang w:val="en-CA"/>
        </w:rPr>
        <w:t>prescription drugs, which could only be prescribed by doctors; and over-the-counter (OTC) drugs, which could be purchased without prescription because they were considered comparatively safe in terms of self-diagnosis and self-medication. The latter included products such as painkillers, nasal sprays, food supplements, and vitamins. Under some jurisdictions, these could also be sold in supermarkets and drugstores.</w:t>
      </w:r>
      <w:r w:rsidRPr="00F53351">
        <w:rPr>
          <w:rStyle w:val="EndnoteReference"/>
          <w:noProof w:val="0"/>
          <w:spacing w:val="-2"/>
          <w:kern w:val="22"/>
          <w:lang w:val="en-CA"/>
        </w:rPr>
        <w:endnoteReference w:id="11"/>
      </w:r>
      <w:r w:rsidRPr="00F53351">
        <w:rPr>
          <w:noProof w:val="0"/>
          <w:spacing w:val="-2"/>
          <w:kern w:val="22"/>
          <w:lang w:val="en-CA"/>
        </w:rPr>
        <w:t xml:space="preserve"> In the United States, OTCs made up 16 per cent of the total market in 2013, similar to the percentage in other major markets (see Exhibit 9).</w:t>
      </w:r>
    </w:p>
    <w:p w14:paraId="6EEBE281" w14:textId="77777777" w:rsidR="00F66071" w:rsidRPr="0030399D" w:rsidRDefault="00F66071" w:rsidP="00F66071">
      <w:pPr>
        <w:pStyle w:val="IVEYText"/>
        <w:rPr>
          <w:noProof w:val="0"/>
          <w:lang w:val="en-CA"/>
        </w:rPr>
      </w:pPr>
    </w:p>
    <w:p w14:paraId="6A5D50B8" w14:textId="77777777" w:rsidR="00F66071" w:rsidRPr="0030399D" w:rsidRDefault="00F66071" w:rsidP="00F66071">
      <w:pPr>
        <w:pStyle w:val="IVEYText"/>
        <w:rPr>
          <w:noProof w:val="0"/>
          <w:lang w:val="en-CA"/>
        </w:rPr>
      </w:pPr>
      <w:r w:rsidRPr="0030399D">
        <w:rPr>
          <w:noProof w:val="0"/>
          <w:lang w:val="en-CA"/>
        </w:rPr>
        <w:t xml:space="preserve">Within the prescription drug market, a further distinction was usually made between “innovative” drugs (also called “branded” drugs) and “generics.” Innovative drugs underwent extensive R&amp;D processes and clinical trials using humans and animals. In the United States, once they were approved by the Federal Drug Agency (FDA), innovative drugs were patent protected, giving the developer firm the exclusive right to market the product for several years (20 years in the United States). In rare cases, extensions were requested; for instance, if a molecule had been substantially modified. Patents protected the particular chemical structure only. Other innovative pharmaceutical companies that had developed a different drug treating the same disease could thus apply for a distinct patent, and this resulted in “between-patent competition.” </w:t>
      </w:r>
    </w:p>
    <w:p w14:paraId="18EE8561" w14:textId="77777777" w:rsidR="00F66071" w:rsidRPr="0030399D" w:rsidRDefault="00F66071" w:rsidP="00F66071">
      <w:pPr>
        <w:pStyle w:val="IVEYText"/>
        <w:rPr>
          <w:noProof w:val="0"/>
          <w:lang w:val="en-CA"/>
        </w:rPr>
      </w:pPr>
    </w:p>
    <w:p w14:paraId="117F883F" w14:textId="77777777" w:rsidR="00F66071" w:rsidRPr="0030399D" w:rsidRDefault="00F66071" w:rsidP="00F66071">
      <w:pPr>
        <w:pStyle w:val="IVEYText"/>
        <w:rPr>
          <w:noProof w:val="0"/>
          <w:lang w:val="en-CA"/>
        </w:rPr>
      </w:pPr>
      <w:r w:rsidRPr="0030399D">
        <w:rPr>
          <w:noProof w:val="0"/>
          <w:lang w:val="en-CA"/>
        </w:rPr>
        <w:lastRenderedPageBreak/>
        <w:t>As soon as a firm lost patent protection for a drug (i.e., for the active ingredient), other firms could market a product based on the same active ingredient, as long as FDA approval and bioequivalence standards were met. Such drugs were called generics,</w:t>
      </w:r>
      <w:r w:rsidRPr="0030399D">
        <w:rPr>
          <w:i/>
          <w:noProof w:val="0"/>
          <w:lang w:val="en-CA"/>
        </w:rPr>
        <w:t xml:space="preserve"> </w:t>
      </w:r>
      <w:r w:rsidRPr="0030399D">
        <w:rPr>
          <w:noProof w:val="0"/>
          <w:lang w:val="en-CA"/>
        </w:rPr>
        <w:t>and they resulted in “within-patent competition.”</w:t>
      </w:r>
      <w:r w:rsidRPr="007C129D">
        <w:rPr>
          <w:rStyle w:val="EndnoteReference"/>
          <w:rFonts w:cs="Times New Roman"/>
          <w:noProof w:val="0"/>
          <w:szCs w:val="22"/>
          <w:lang w:val="en-CA"/>
        </w:rPr>
        <w:endnoteReference w:id="12"/>
      </w:r>
      <w:r w:rsidRPr="0030399D">
        <w:rPr>
          <w:noProof w:val="0"/>
          <w:lang w:val="en-CA"/>
        </w:rPr>
        <w:t xml:space="preserve"> Generics were marketed under different names from those of the original branded products. </w:t>
      </w:r>
      <w:bookmarkEnd w:id="0"/>
    </w:p>
    <w:p w14:paraId="649AA097" w14:textId="77777777" w:rsidR="00F66071" w:rsidRPr="0030399D" w:rsidRDefault="00F66071" w:rsidP="00F66071">
      <w:pPr>
        <w:pStyle w:val="IVEYText"/>
        <w:rPr>
          <w:noProof w:val="0"/>
          <w:lang w:val="en-CA"/>
        </w:rPr>
      </w:pPr>
    </w:p>
    <w:p w14:paraId="1B0FBA8B" w14:textId="77777777" w:rsidR="00F66071" w:rsidRPr="0030399D" w:rsidRDefault="00F66071" w:rsidP="00F66071">
      <w:pPr>
        <w:pStyle w:val="IVEYText"/>
        <w:rPr>
          <w:noProof w:val="0"/>
          <w:lang w:val="en-CA"/>
        </w:rPr>
      </w:pPr>
      <w:r w:rsidRPr="0030399D">
        <w:rPr>
          <w:noProof w:val="0"/>
          <w:lang w:val="en-CA"/>
        </w:rPr>
        <w:t>Generic copies of biologics were called biosimilars; due to the specifics of biologic manufacture, it was not possible to copy them precisely (as could be done relatively easily in the case of conventional or synthetic drugs). Copying biologics could only result in similar, but not identical, drugs.</w:t>
      </w:r>
      <w:r w:rsidRPr="007C129D">
        <w:rPr>
          <w:rStyle w:val="EndnoteReference"/>
          <w:rFonts w:cs="Times New Roman"/>
          <w:noProof w:val="0"/>
          <w:szCs w:val="22"/>
          <w:lang w:val="en-CA"/>
        </w:rPr>
        <w:endnoteReference w:id="13"/>
      </w:r>
    </w:p>
    <w:p w14:paraId="4574195F" w14:textId="77777777" w:rsidR="00F66071" w:rsidRPr="0030399D" w:rsidRDefault="00F66071" w:rsidP="00F66071">
      <w:pPr>
        <w:pStyle w:val="IVEYText"/>
        <w:rPr>
          <w:noProof w:val="0"/>
          <w:lang w:val="en-CA"/>
        </w:rPr>
      </w:pPr>
    </w:p>
    <w:p w14:paraId="11FE382B" w14:textId="77777777" w:rsidR="00F66071" w:rsidRPr="0030399D" w:rsidRDefault="00F66071" w:rsidP="00F66071">
      <w:pPr>
        <w:pStyle w:val="IVEYText"/>
        <w:rPr>
          <w:noProof w:val="0"/>
          <w:lang w:val="en-CA"/>
        </w:rPr>
      </w:pPr>
    </w:p>
    <w:p w14:paraId="60BD7740" w14:textId="77777777" w:rsidR="00F66071" w:rsidRPr="0030399D" w:rsidRDefault="00F66071" w:rsidP="00F66071">
      <w:pPr>
        <w:pStyle w:val="IVEYTitle"/>
        <w:rPr>
          <w:lang w:val="en-CA"/>
        </w:rPr>
      </w:pPr>
      <w:r w:rsidRPr="0030399D">
        <w:rPr>
          <w:lang w:val="en-CA"/>
        </w:rPr>
        <w:t>The roles of doctors and patients</w:t>
      </w:r>
    </w:p>
    <w:p w14:paraId="5F94C3D7" w14:textId="77777777" w:rsidR="00F66071" w:rsidRPr="0030399D" w:rsidRDefault="00F66071" w:rsidP="00F66071">
      <w:pPr>
        <w:pStyle w:val="IVEYText"/>
        <w:rPr>
          <w:noProof w:val="0"/>
          <w:lang w:val="en-CA"/>
        </w:rPr>
      </w:pPr>
    </w:p>
    <w:p w14:paraId="6929F707" w14:textId="77777777" w:rsidR="00F66071" w:rsidRPr="0030399D" w:rsidRDefault="00F66071" w:rsidP="00F66071">
      <w:pPr>
        <w:pStyle w:val="IVEYText"/>
        <w:rPr>
          <w:noProof w:val="0"/>
          <w:lang w:val="en-CA"/>
        </w:rPr>
      </w:pPr>
      <w:r w:rsidRPr="0030399D">
        <w:rPr>
          <w:noProof w:val="0"/>
          <w:lang w:val="en-CA"/>
        </w:rPr>
        <w:t>Because self-medication with prescription drugs was illegal, patients needed to go to doctors or hospitals to obtain them. In most health-care systems, doctors were relatively free to decide on treatment and medication. They normally had the choice between different substances and would suggest a particular drug depending on availability. To save on costs, many countries encouraged the prescription of generics. In 2017, these made up only 10 per cent of total prescription sales (in $), but generics had been outgrowing branded drugs for many years (see Exhibit 10).</w:t>
      </w:r>
      <w:r w:rsidRPr="0030399D" w:rsidDel="00A82043">
        <w:rPr>
          <w:noProof w:val="0"/>
          <w:lang w:val="en-CA"/>
        </w:rPr>
        <w:t xml:space="preserve"> </w:t>
      </w:r>
    </w:p>
    <w:p w14:paraId="09F6C547" w14:textId="77777777" w:rsidR="00F66071" w:rsidRPr="0030399D" w:rsidRDefault="00F66071" w:rsidP="00F66071">
      <w:pPr>
        <w:pStyle w:val="IVEYText"/>
        <w:rPr>
          <w:noProof w:val="0"/>
          <w:lang w:val="en-CA"/>
        </w:rPr>
      </w:pPr>
    </w:p>
    <w:p w14:paraId="5AFAE053" w14:textId="77777777" w:rsidR="00F66071" w:rsidRPr="0030399D" w:rsidRDefault="00F66071" w:rsidP="00F66071">
      <w:pPr>
        <w:pStyle w:val="IVEYText"/>
        <w:rPr>
          <w:noProof w:val="0"/>
          <w:lang w:val="en-CA"/>
        </w:rPr>
      </w:pPr>
      <w:r w:rsidRPr="0030399D">
        <w:rPr>
          <w:noProof w:val="0"/>
          <w:lang w:val="en-CA"/>
        </w:rPr>
        <w:t xml:space="preserve">In general, doctors tended to choose products that they feel provided the best treatment for a given patient. The market power of expensive innovative drugs was sustained by the fact that, in most countries, there were no regulations concerning cost cutting or a preference for generics. Moreover, depending on country and disease, patients were frequently not required to pay for drugs because the state or private insurance schemes covered this expense. </w:t>
      </w:r>
    </w:p>
    <w:p w14:paraId="657CBE72" w14:textId="77777777" w:rsidR="00F66071" w:rsidRPr="0030399D" w:rsidRDefault="00F66071" w:rsidP="00F66071">
      <w:pPr>
        <w:pStyle w:val="IVEYText"/>
        <w:rPr>
          <w:noProof w:val="0"/>
          <w:lang w:val="en-CA"/>
        </w:rPr>
      </w:pPr>
    </w:p>
    <w:p w14:paraId="7DA303A3" w14:textId="77777777" w:rsidR="00F66071" w:rsidRPr="0030399D" w:rsidRDefault="00F66071" w:rsidP="00F66071">
      <w:pPr>
        <w:pStyle w:val="IVEYText"/>
        <w:rPr>
          <w:noProof w:val="0"/>
          <w:lang w:val="en-CA"/>
        </w:rPr>
      </w:pPr>
      <w:r w:rsidRPr="0030399D">
        <w:rPr>
          <w:noProof w:val="0"/>
          <w:lang w:val="en-CA"/>
        </w:rPr>
        <w:t>As doctors had a large influence on which brand was purchased, pharmaceutical firms’ marketing activities tended to be targeted at doctors. Moreover, depending on the law, the extent to which direct customer marketing of prescription drugs was permitted varied. Sales representatives had always been the main communication channel between pharmaceutical firms and doctors,</w:t>
      </w:r>
      <w:r w:rsidRPr="0030399D">
        <w:rPr>
          <w:rStyle w:val="EndnoteReference"/>
          <w:noProof w:val="0"/>
          <w:lang w:val="en-CA"/>
        </w:rPr>
        <w:endnoteReference w:id="14"/>
      </w:r>
      <w:r w:rsidRPr="0030399D">
        <w:rPr>
          <w:noProof w:val="0"/>
          <w:lang w:val="en-CA"/>
        </w:rPr>
        <w:t xml:space="preserve"> and firms invested in sales to such a considerable extent that doctors from time to time complained about over-marketing. Many firms, however, were not prepared to reduce the size of their sales forces unless the competition did the same: they were trapped in a “marketing-and-sales arms race.”</w:t>
      </w:r>
      <w:r w:rsidRPr="0030399D">
        <w:rPr>
          <w:rStyle w:val="EndnoteReference"/>
          <w:noProof w:val="0"/>
          <w:lang w:val="en-CA"/>
        </w:rPr>
        <w:endnoteReference w:id="15"/>
      </w:r>
      <w:r w:rsidRPr="0030399D">
        <w:rPr>
          <w:noProof w:val="0"/>
          <w:lang w:val="en-CA"/>
        </w:rPr>
        <w:t xml:space="preserve"> As a result, pharmaceutical firms had in recent years spent significantly more on prescription sales activities (including expenditure on sales, marketing, and administrative costs) than on R&amp;D. For instance, in 2017, Pfizer spent $7.6 billion on R&amp;D but an enormous $45.4 billion on prescription sales (see Exhibit 11).</w:t>
      </w:r>
    </w:p>
    <w:p w14:paraId="71CF7774" w14:textId="77777777" w:rsidR="00F66071" w:rsidRPr="0030399D" w:rsidRDefault="00F66071" w:rsidP="00F66071">
      <w:pPr>
        <w:pStyle w:val="IVEYText"/>
        <w:rPr>
          <w:noProof w:val="0"/>
          <w:lang w:val="en-CA"/>
        </w:rPr>
      </w:pPr>
    </w:p>
    <w:p w14:paraId="3F268511" w14:textId="1D33B6AE" w:rsidR="00F66071" w:rsidRPr="0030399D" w:rsidRDefault="00F66071" w:rsidP="00F66071">
      <w:pPr>
        <w:pStyle w:val="IVEYText"/>
        <w:rPr>
          <w:noProof w:val="0"/>
          <w:lang w:val="en-CA"/>
        </w:rPr>
      </w:pPr>
      <w:r w:rsidRPr="0030399D">
        <w:rPr>
          <w:noProof w:val="0"/>
          <w:lang w:val="en-CA"/>
        </w:rPr>
        <w:t xml:space="preserve">In 2010, the </w:t>
      </w:r>
      <w:r w:rsidR="007C129D">
        <w:rPr>
          <w:noProof w:val="0"/>
          <w:lang w:val="en-CA"/>
        </w:rPr>
        <w:t>US</w:t>
      </w:r>
      <w:r w:rsidRPr="0030399D">
        <w:rPr>
          <w:noProof w:val="0"/>
          <w:lang w:val="en-CA"/>
        </w:rPr>
        <w:t xml:space="preserve"> Congress demanded greater transparency in marketing activities in order to reduce the number of corruption allegations. In response to the demands of Congress, Pfizer cut down on payments to </w:t>
      </w:r>
      <w:r w:rsidR="007C129D">
        <w:rPr>
          <w:noProof w:val="0"/>
          <w:lang w:val="en-CA"/>
        </w:rPr>
        <w:t>US</w:t>
      </w:r>
      <w:r w:rsidRPr="0030399D">
        <w:rPr>
          <w:noProof w:val="0"/>
          <w:lang w:val="en-CA"/>
        </w:rPr>
        <w:t xml:space="preserve"> health-care professionals</w:t>
      </w:r>
      <w:r w:rsidRPr="0030399D">
        <w:rPr>
          <w:rFonts w:eastAsia="Calibri"/>
          <w:noProof w:val="0"/>
          <w:lang w:val="en-CA"/>
        </w:rPr>
        <w:t>—</w:t>
      </w:r>
      <w:r w:rsidRPr="0030399D">
        <w:rPr>
          <w:noProof w:val="0"/>
          <w:lang w:val="en-CA"/>
        </w:rPr>
        <w:t>by 11 per cent in 2012</w:t>
      </w:r>
      <w:r w:rsidRPr="0030399D">
        <w:rPr>
          <w:rFonts w:eastAsia="Calibri"/>
          <w:noProof w:val="0"/>
          <w:lang w:val="en-CA"/>
        </w:rPr>
        <w:t>—</w:t>
      </w:r>
      <w:r w:rsidRPr="0030399D">
        <w:rPr>
          <w:noProof w:val="0"/>
          <w:lang w:val="en-CA"/>
        </w:rPr>
        <w:t>and reduced spending on company-sponsored dinners by more than half.</w:t>
      </w:r>
      <w:r w:rsidRPr="0030399D">
        <w:rPr>
          <w:rStyle w:val="EndnoteReference"/>
          <w:noProof w:val="0"/>
          <w:lang w:val="en-CA"/>
        </w:rPr>
        <w:endnoteReference w:id="16"/>
      </w:r>
      <w:r w:rsidRPr="0030399D">
        <w:rPr>
          <w:noProof w:val="0"/>
          <w:lang w:val="en-CA"/>
        </w:rPr>
        <w:t xml:space="preserve"> Since 2014, firms in the United States had been required to enter payments to doctors into a public database.</w:t>
      </w:r>
      <w:r w:rsidRPr="0030399D">
        <w:rPr>
          <w:rStyle w:val="EndnoteReference"/>
          <w:noProof w:val="0"/>
          <w:lang w:val="en-CA"/>
        </w:rPr>
        <w:endnoteReference w:id="17"/>
      </w:r>
      <w:r w:rsidRPr="0030399D">
        <w:rPr>
          <w:noProof w:val="0"/>
          <w:lang w:val="en-CA"/>
        </w:rPr>
        <w:t xml:space="preserve"> In addition to these tighter regulations, doctors had become less welcoming towards sales representatives; they said they did not feel well informed by them and so the doctors instead tended to favour online information. A recent study revealed that 65 per cent of physicians were interested in getting clinical information online.</w:t>
      </w:r>
      <w:r w:rsidRPr="0030399D">
        <w:rPr>
          <w:rStyle w:val="EndnoteReference"/>
          <w:noProof w:val="0"/>
          <w:lang w:val="en-CA"/>
        </w:rPr>
        <w:endnoteReference w:id="18"/>
      </w:r>
      <w:r w:rsidRPr="0030399D">
        <w:rPr>
          <w:noProof w:val="0"/>
          <w:lang w:val="en-CA"/>
        </w:rPr>
        <w:t xml:space="preserve"> Doctors also generally lacked the time to meet with sales representatives because they were under pressure to see increasing numbers of patients.</w:t>
      </w:r>
      <w:r w:rsidRPr="0030399D">
        <w:rPr>
          <w:rStyle w:val="EndnoteReference"/>
          <w:noProof w:val="0"/>
          <w:lang w:val="en-CA"/>
        </w:rPr>
        <w:endnoteReference w:id="19"/>
      </w:r>
    </w:p>
    <w:p w14:paraId="43CBB49E" w14:textId="77777777" w:rsidR="00F66071" w:rsidRPr="0030399D" w:rsidRDefault="00F66071" w:rsidP="00F66071">
      <w:pPr>
        <w:pStyle w:val="IVEYText"/>
        <w:rPr>
          <w:noProof w:val="0"/>
          <w:sz w:val="18"/>
          <w:lang w:val="en-CA"/>
        </w:rPr>
      </w:pPr>
    </w:p>
    <w:p w14:paraId="78DCEA43" w14:textId="77777777" w:rsidR="00F66071" w:rsidRPr="0030399D" w:rsidRDefault="00F66071" w:rsidP="00F66071">
      <w:pPr>
        <w:pStyle w:val="IVEYText"/>
        <w:rPr>
          <w:noProof w:val="0"/>
          <w:lang w:val="en-CA"/>
        </w:rPr>
      </w:pPr>
      <w:r w:rsidRPr="0030399D">
        <w:rPr>
          <w:noProof w:val="0"/>
          <w:lang w:val="en-CA"/>
        </w:rPr>
        <w:t>In Europe, such marketing activities were also limited by governments. For example, in Switzerland, each pharmaceutical company could only target a given doctor once a year. In Slovakia, the government introduced a law that stated that doctors were required to pay a 19 per cent tax on both financial and in-kind benefits (e.g., meals, events, hotels) received from pharmaceutical companies.</w:t>
      </w:r>
    </w:p>
    <w:p w14:paraId="4E13F683" w14:textId="77777777" w:rsidR="00F66071" w:rsidRPr="0030399D" w:rsidRDefault="00F66071" w:rsidP="00F66071">
      <w:pPr>
        <w:pStyle w:val="IVEYText"/>
        <w:rPr>
          <w:noProof w:val="0"/>
          <w:lang w:val="en-CA"/>
        </w:rPr>
      </w:pPr>
      <w:r w:rsidRPr="0030399D">
        <w:rPr>
          <w:noProof w:val="0"/>
          <w:lang w:val="en-CA"/>
        </w:rPr>
        <w:lastRenderedPageBreak/>
        <w:t>Yet the need for marketing activities became more important, in particular as the trend of self-medication was increasing. This was also related to the growing amount of information available online</w:t>
      </w:r>
      <w:r w:rsidRPr="0030399D">
        <w:rPr>
          <w:rFonts w:eastAsia="Calibri"/>
          <w:noProof w:val="0"/>
          <w:lang w:val="en-CA"/>
        </w:rPr>
        <w:t>—</w:t>
      </w:r>
      <w:r w:rsidRPr="0030399D">
        <w:rPr>
          <w:noProof w:val="0"/>
          <w:lang w:val="en-CA"/>
        </w:rPr>
        <w:t>a source frequently used by patients in addition to, or even in preference to, their doctors’ advice. This was a delicate issue for pharmaceutical firms because, in Europe, direct marketing could not be targeted at patients.</w:t>
      </w:r>
      <w:r w:rsidRPr="0030399D">
        <w:rPr>
          <w:rStyle w:val="EndnoteReference"/>
          <w:noProof w:val="0"/>
          <w:lang w:val="en-CA"/>
        </w:rPr>
        <w:endnoteReference w:id="20"/>
      </w:r>
      <w:r w:rsidRPr="0030399D">
        <w:rPr>
          <w:noProof w:val="0"/>
          <w:lang w:val="en-CA"/>
        </w:rPr>
        <w:t xml:space="preserve"> Pharmaceutical companies could circumvent such regulations by using new digital tools such as patient and physician portals and by promoting social-media posts. Extensive information about specific drugs was offered online, and pharmaceutical companies also provided information during discussions on various online health platforms.</w:t>
      </w:r>
      <w:r w:rsidRPr="0030399D">
        <w:rPr>
          <w:rStyle w:val="EndnoteReference"/>
          <w:noProof w:val="0"/>
          <w:lang w:val="en-CA"/>
        </w:rPr>
        <w:endnoteReference w:id="21"/>
      </w:r>
      <w:r w:rsidRPr="0030399D">
        <w:rPr>
          <w:noProof w:val="0"/>
          <w:lang w:val="en-CA"/>
        </w:rPr>
        <w:t xml:space="preserve"> Nevertheless, when compared to some other industries, by 2018, pharmaceutical companies had not yet taken full advantage of social and other online media.</w:t>
      </w:r>
      <w:r w:rsidRPr="0030399D">
        <w:rPr>
          <w:rStyle w:val="EndnoteReference"/>
          <w:noProof w:val="0"/>
          <w:lang w:val="en-CA"/>
        </w:rPr>
        <w:endnoteReference w:id="22"/>
      </w:r>
      <w:r w:rsidRPr="0030399D">
        <w:rPr>
          <w:noProof w:val="0"/>
          <w:lang w:val="en-CA"/>
        </w:rPr>
        <w:t xml:space="preserve"> </w:t>
      </w:r>
    </w:p>
    <w:p w14:paraId="6EE4E843" w14:textId="77777777" w:rsidR="00F66071" w:rsidRPr="00F53351" w:rsidRDefault="00F66071" w:rsidP="00F66071">
      <w:pPr>
        <w:pStyle w:val="IVEYText"/>
        <w:rPr>
          <w:noProof w:val="0"/>
          <w:sz w:val="14"/>
          <w:szCs w:val="14"/>
          <w:lang w:val="en-CA"/>
        </w:rPr>
      </w:pPr>
    </w:p>
    <w:p w14:paraId="5EAF4906" w14:textId="77777777" w:rsidR="00F66071" w:rsidRPr="00F53351" w:rsidRDefault="00F66071" w:rsidP="00F66071">
      <w:pPr>
        <w:pStyle w:val="IVEYText"/>
        <w:rPr>
          <w:noProof w:val="0"/>
          <w:sz w:val="14"/>
          <w:szCs w:val="14"/>
          <w:lang w:val="en-CA"/>
        </w:rPr>
      </w:pPr>
    </w:p>
    <w:p w14:paraId="05916099" w14:textId="77777777" w:rsidR="00F66071" w:rsidRPr="0030399D" w:rsidRDefault="00F66071" w:rsidP="00F66071">
      <w:pPr>
        <w:pStyle w:val="IVEYTitle"/>
        <w:rPr>
          <w:lang w:val="en-CA"/>
        </w:rPr>
      </w:pPr>
      <w:bookmarkStart w:id="2" w:name="_Toc242072338"/>
      <w:r w:rsidRPr="0030399D">
        <w:rPr>
          <w:lang w:val="en-CA"/>
        </w:rPr>
        <w:t>The development of drugs and the patenting process</w:t>
      </w:r>
      <w:bookmarkEnd w:id="2"/>
    </w:p>
    <w:p w14:paraId="353372E6" w14:textId="77777777" w:rsidR="00F66071" w:rsidRPr="00F53351" w:rsidRDefault="00F66071" w:rsidP="00F66071">
      <w:pPr>
        <w:pStyle w:val="IVEYText"/>
        <w:rPr>
          <w:noProof w:val="0"/>
          <w:color w:val="000000" w:themeColor="text1"/>
          <w:sz w:val="14"/>
          <w:szCs w:val="14"/>
          <w:lang w:val="en-CA"/>
        </w:rPr>
      </w:pPr>
    </w:p>
    <w:p w14:paraId="11CBA691" w14:textId="77777777" w:rsidR="00F66071" w:rsidRPr="0030399D" w:rsidRDefault="00F66071" w:rsidP="00F66071">
      <w:pPr>
        <w:pStyle w:val="IVEYText"/>
        <w:rPr>
          <w:noProof w:val="0"/>
          <w:spacing w:val="-2"/>
          <w:kern w:val="22"/>
          <w:lang w:val="en-CA"/>
        </w:rPr>
      </w:pPr>
      <w:r w:rsidRPr="0030399D">
        <w:rPr>
          <w:noProof w:val="0"/>
          <w:color w:val="000000" w:themeColor="text1"/>
          <w:spacing w:val="-2"/>
          <w:kern w:val="22"/>
          <w:lang w:val="en-CA"/>
        </w:rPr>
        <w:t xml:space="preserve">In 2018, most pharmaceutical companies were highly vertically integrated compared to other industries and so were carrying out </w:t>
      </w:r>
      <w:r w:rsidRPr="0030399D">
        <w:rPr>
          <w:rFonts w:eastAsia="Times New Roman" w:cs="Times New Roman"/>
          <w:noProof w:val="0"/>
          <w:color w:val="000000" w:themeColor="text1"/>
          <w:spacing w:val="-2"/>
          <w:kern w:val="22"/>
          <w:szCs w:val="22"/>
          <w:lang w:val="en-CA" w:eastAsia="de-DE"/>
        </w:rPr>
        <w:t xml:space="preserve">R&amp;D, drug production, and marketing and sales </w:t>
      </w:r>
      <w:r w:rsidRPr="0030399D">
        <w:rPr>
          <w:noProof w:val="0"/>
          <w:color w:val="000000" w:themeColor="text1"/>
          <w:spacing w:val="-2"/>
          <w:kern w:val="22"/>
          <w:lang w:val="en-CA"/>
        </w:rPr>
        <w:t xml:space="preserve">activities themselves. In terms of its R&amp;D, the innovative sector of the </w:t>
      </w:r>
      <w:r w:rsidRPr="0030399D">
        <w:rPr>
          <w:noProof w:val="0"/>
          <w:spacing w:val="-2"/>
          <w:kern w:val="22"/>
          <w:lang w:val="en-CA"/>
        </w:rPr>
        <w:t>pharmaceutical industry was, like the oil industry, a “self-liquidating” industry:</w:t>
      </w:r>
      <w:r w:rsidRPr="0030399D">
        <w:rPr>
          <w:rFonts w:eastAsia="Calibri"/>
          <w:noProof w:val="0"/>
          <w:spacing w:val="-2"/>
          <w:kern w:val="22"/>
          <w:lang w:val="en-CA"/>
        </w:rPr>
        <w:t xml:space="preserve"> </w:t>
      </w:r>
      <w:r w:rsidRPr="0030399D">
        <w:rPr>
          <w:noProof w:val="0"/>
          <w:spacing w:val="-2"/>
          <w:kern w:val="22"/>
          <w:lang w:val="en-CA"/>
        </w:rPr>
        <w:t xml:space="preserve">both had to continually develop new products, and both experienced long product lead times. </w:t>
      </w:r>
    </w:p>
    <w:p w14:paraId="4CC1C751" w14:textId="77777777" w:rsidR="00F66071" w:rsidRPr="00F53351" w:rsidRDefault="00F66071" w:rsidP="00F66071">
      <w:pPr>
        <w:pStyle w:val="IVEYText"/>
        <w:rPr>
          <w:noProof w:val="0"/>
          <w:sz w:val="14"/>
          <w:szCs w:val="14"/>
          <w:lang w:val="en-CA"/>
        </w:rPr>
      </w:pPr>
    </w:p>
    <w:p w14:paraId="41084292" w14:textId="77777777" w:rsidR="00F66071" w:rsidRPr="0030399D" w:rsidRDefault="00F66071" w:rsidP="00F66071">
      <w:pPr>
        <w:pStyle w:val="IVEYText"/>
        <w:rPr>
          <w:noProof w:val="0"/>
          <w:lang w:val="en-CA"/>
        </w:rPr>
      </w:pPr>
      <w:r w:rsidRPr="0030399D">
        <w:rPr>
          <w:noProof w:val="0"/>
          <w:lang w:val="en-CA"/>
        </w:rPr>
        <w:t>In 2015, the pharmaceutical industry dedicated 15 per cent of its net sales to R&amp;D (see Exhibit 12). In the United States alone, more than $48 billion was spent in 2015 on pharmaceutical R&amp;D (see Exhibit 13), a long and resource-intensive process involving several phases. In 2016, the European Federation of Pharmaceutical Industries and Associations (EFPIA) estimated that it took, on average, 12 years for a product to reach the market (see Exhibit 15).</w:t>
      </w:r>
    </w:p>
    <w:p w14:paraId="74EEB433" w14:textId="77777777" w:rsidR="00F66071" w:rsidRPr="00F53351" w:rsidRDefault="00F66071" w:rsidP="00F66071">
      <w:pPr>
        <w:pStyle w:val="IVEYText"/>
        <w:rPr>
          <w:noProof w:val="0"/>
          <w:sz w:val="14"/>
          <w:szCs w:val="14"/>
          <w:lang w:val="en-CA"/>
        </w:rPr>
      </w:pPr>
    </w:p>
    <w:p w14:paraId="04840E94" w14:textId="77777777" w:rsidR="00F66071" w:rsidRPr="00F53351" w:rsidRDefault="00F66071" w:rsidP="00F66071">
      <w:pPr>
        <w:pStyle w:val="IVEYText"/>
        <w:rPr>
          <w:noProof w:val="0"/>
          <w:spacing w:val="-4"/>
          <w:kern w:val="22"/>
          <w:lang w:val="en-CA"/>
        </w:rPr>
      </w:pPr>
      <w:r w:rsidRPr="00F53351">
        <w:rPr>
          <w:noProof w:val="0"/>
          <w:spacing w:val="-4"/>
          <w:kern w:val="22"/>
          <w:lang w:val="en-CA"/>
        </w:rPr>
        <w:t>In general, the process started with the identification of a target (e.g., a protein) in the human body upon which the drug would be required to act and the development of an initial formulation (preparation). These preparations were then repeatedly tested and modified (up to 10,000 times) in order to achieve the desired effect and minimize side effects. If preliminary results were promising, a patent</w:t>
      </w:r>
      <w:r w:rsidRPr="00F53351">
        <w:rPr>
          <w:rStyle w:val="EndnoteReference"/>
          <w:noProof w:val="0"/>
          <w:spacing w:val="-4"/>
          <w:kern w:val="22"/>
          <w:lang w:val="en-CA"/>
        </w:rPr>
        <w:endnoteReference w:id="23"/>
      </w:r>
      <w:r w:rsidRPr="00F53351">
        <w:rPr>
          <w:noProof w:val="0"/>
          <w:spacing w:val="-4"/>
          <w:kern w:val="22"/>
          <w:lang w:val="en-CA"/>
        </w:rPr>
        <w:t xml:space="preserve"> was registered in order to obviate potential competition. These new chemical entities (NCEs) were subject to pre-clinical testing, often on animals. The objective was to investigate the drug’s effectiveness and any possible side effects. This process of laboratory testing would take about three and a half years. The pre-clinical test results would subsequently be evaluated by the relevant health authority and if appropriate, permission would be given for further (clinical) tests. In the United States, the regulatory agency was the FDA, comparable to the European Drug Agency (EDA). </w:t>
      </w:r>
    </w:p>
    <w:p w14:paraId="592FF597" w14:textId="77777777" w:rsidR="00F66071" w:rsidRPr="00F53351" w:rsidRDefault="00F66071" w:rsidP="00F66071">
      <w:pPr>
        <w:pStyle w:val="IVEYText"/>
        <w:rPr>
          <w:noProof w:val="0"/>
          <w:sz w:val="14"/>
          <w:szCs w:val="14"/>
          <w:lang w:val="en-CA"/>
        </w:rPr>
      </w:pPr>
    </w:p>
    <w:p w14:paraId="1FED9A0B" w14:textId="77777777" w:rsidR="00F66071" w:rsidRPr="0030399D" w:rsidRDefault="00F66071" w:rsidP="00F66071">
      <w:pPr>
        <w:pStyle w:val="IVEYText"/>
        <w:rPr>
          <w:noProof w:val="0"/>
          <w:lang w:val="en-CA"/>
        </w:rPr>
      </w:pPr>
      <w:r w:rsidRPr="0030399D">
        <w:rPr>
          <w:noProof w:val="0"/>
          <w:lang w:val="en-CA"/>
        </w:rPr>
        <w:t>On average, only five out of every 10,000 NCEs would make it to the clinical testing stage, from which point on they would be designated “investigational new drugs.”</w:t>
      </w:r>
      <w:r w:rsidRPr="0030399D">
        <w:rPr>
          <w:rStyle w:val="EndnoteReference"/>
          <w:noProof w:val="0"/>
          <w:lang w:val="en-CA"/>
        </w:rPr>
        <w:endnoteReference w:id="24"/>
      </w:r>
      <w:r w:rsidRPr="0030399D">
        <w:rPr>
          <w:noProof w:val="0"/>
          <w:lang w:val="en-CA"/>
        </w:rPr>
        <w:t xml:space="preserve"> In 2016, the average cost of finding and developing a new drug amounted to approximately $1.9 billion.</w:t>
      </w:r>
      <w:r w:rsidRPr="0030399D">
        <w:rPr>
          <w:rStyle w:val="EndnoteReference"/>
          <w:noProof w:val="0"/>
          <w:lang w:val="en-CA"/>
        </w:rPr>
        <w:endnoteReference w:id="25"/>
      </w:r>
      <w:r w:rsidRPr="0030399D">
        <w:rPr>
          <w:noProof w:val="0"/>
          <w:lang w:val="en-CA"/>
        </w:rPr>
        <w:t xml:space="preserve"> </w:t>
      </w:r>
    </w:p>
    <w:p w14:paraId="793B58F5" w14:textId="77777777" w:rsidR="00F66071" w:rsidRPr="00F53351" w:rsidRDefault="00F66071" w:rsidP="00F66071">
      <w:pPr>
        <w:pStyle w:val="IVEYText"/>
        <w:rPr>
          <w:noProof w:val="0"/>
          <w:sz w:val="14"/>
          <w:szCs w:val="14"/>
          <w:lang w:val="en-CA"/>
        </w:rPr>
      </w:pPr>
    </w:p>
    <w:p w14:paraId="74D09B59" w14:textId="23087287" w:rsidR="00F66071" w:rsidRPr="00F53351" w:rsidRDefault="00F66071" w:rsidP="00F66071">
      <w:pPr>
        <w:pStyle w:val="IVEYText"/>
        <w:rPr>
          <w:noProof w:val="0"/>
          <w:spacing w:val="-2"/>
          <w:kern w:val="22"/>
          <w:lang w:val="en-CA"/>
        </w:rPr>
      </w:pPr>
      <w:r w:rsidRPr="00F53351">
        <w:rPr>
          <w:noProof w:val="0"/>
          <w:spacing w:val="-2"/>
          <w:kern w:val="22"/>
          <w:lang w:val="en-CA"/>
        </w:rPr>
        <w:t>If Phases I to III of clinical testing (duration about 6 years) showed positive results in terms of effectiveness and side effects, a new drug would be approved for marketing; this last stage could take up to two and a half further years.</w:t>
      </w:r>
      <w:r w:rsidRPr="00F53351">
        <w:rPr>
          <w:rStyle w:val="EndnoteReference"/>
          <w:noProof w:val="0"/>
          <w:spacing w:val="-2"/>
          <w:kern w:val="22"/>
          <w:lang w:val="en-CA"/>
        </w:rPr>
        <w:endnoteReference w:id="26"/>
      </w:r>
      <w:r w:rsidRPr="00F53351">
        <w:rPr>
          <w:noProof w:val="0"/>
          <w:spacing w:val="-2"/>
          <w:kern w:val="22"/>
          <w:lang w:val="en-CA"/>
        </w:rPr>
        <w:t xml:space="preserve"> However, reaching this stage did not necessarily mean that the drug would stay on the market in its current form. It continued to be subject to further tests, the results of which might require the drug to be modified or, in some cases, taken off the market completely. The new-product success rate was one or two per 10,000.</w:t>
      </w:r>
      <w:r w:rsidRPr="00F53351">
        <w:rPr>
          <w:rStyle w:val="EndnoteReference"/>
          <w:noProof w:val="0"/>
          <w:spacing w:val="-2"/>
          <w:kern w:val="22"/>
          <w:lang w:val="en-CA"/>
        </w:rPr>
        <w:endnoteReference w:id="27"/>
      </w:r>
      <w:r w:rsidRPr="00F53351">
        <w:rPr>
          <w:noProof w:val="0"/>
          <w:spacing w:val="-2"/>
          <w:kern w:val="22"/>
          <w:lang w:val="en-CA"/>
        </w:rPr>
        <w:t xml:space="preserve"> The lengthy launch period for new drugs was the subject of an ongoing debate, and in 2017, the </w:t>
      </w:r>
      <w:r w:rsidR="007C129D">
        <w:rPr>
          <w:noProof w:val="0"/>
          <w:spacing w:val="-2"/>
          <w:kern w:val="22"/>
          <w:lang w:val="en-CA"/>
        </w:rPr>
        <w:t>US</w:t>
      </w:r>
      <w:r w:rsidRPr="00F53351">
        <w:rPr>
          <w:noProof w:val="0"/>
          <w:spacing w:val="-2"/>
          <w:kern w:val="22"/>
          <w:lang w:val="en-CA"/>
        </w:rPr>
        <w:t xml:space="preserve"> president announced the government’s intention to speed up the FDA approval process.</w:t>
      </w:r>
      <w:r w:rsidRPr="00F53351">
        <w:rPr>
          <w:noProof w:val="0"/>
          <w:spacing w:val="-2"/>
          <w:kern w:val="22"/>
          <w:vertAlign w:val="superscript"/>
          <w:lang w:val="en-CA"/>
        </w:rPr>
        <w:endnoteReference w:id="28"/>
      </w:r>
    </w:p>
    <w:p w14:paraId="01E4985A" w14:textId="77777777" w:rsidR="00F66071" w:rsidRPr="00F53351" w:rsidRDefault="00F66071" w:rsidP="00F66071">
      <w:pPr>
        <w:pStyle w:val="IVEYText"/>
        <w:rPr>
          <w:noProof w:val="0"/>
          <w:sz w:val="14"/>
          <w:szCs w:val="14"/>
          <w:lang w:val="en-CA"/>
        </w:rPr>
      </w:pPr>
    </w:p>
    <w:p w14:paraId="39B56147" w14:textId="77777777" w:rsidR="00F66071" w:rsidRPr="0030399D" w:rsidRDefault="00F66071" w:rsidP="00F66071">
      <w:pPr>
        <w:pStyle w:val="IVEYText"/>
        <w:rPr>
          <w:noProof w:val="0"/>
          <w:spacing w:val="-2"/>
          <w:kern w:val="22"/>
          <w:lang w:val="en-CA"/>
        </w:rPr>
      </w:pPr>
      <w:r w:rsidRPr="0030399D">
        <w:rPr>
          <w:noProof w:val="0"/>
          <w:spacing w:val="-2"/>
          <w:kern w:val="22"/>
          <w:lang w:val="en-CA"/>
        </w:rPr>
        <w:t xml:space="preserve">In the past, patent law had made it possible for many pharmaceutical firms to earn high revenues from just a few popular products. The development of these so-called “blockbuster” drugs (drugs with more than $1 billion in yearly revenues) had long been considered essential for the success of global pharmaceutical firms (see Exhibits 16 and 17). Firms would naturally try to make maximum use of patent protection, and new, globally standardized products tended to be patented and brought to market simultaneously worldwide. In </w:t>
      </w:r>
      <w:r w:rsidRPr="0030399D">
        <w:rPr>
          <w:noProof w:val="0"/>
          <w:spacing w:val="-2"/>
          <w:kern w:val="22"/>
          <w:lang w:val="en-CA"/>
        </w:rPr>
        <w:lastRenderedPageBreak/>
        <w:t>exceptional situations, governments would use a patent without the consent of the patent holder in order to produce a drug and make it available to patients (a process known as “compulsory licensing”).</w:t>
      </w:r>
    </w:p>
    <w:p w14:paraId="7E61BD8E" w14:textId="77777777" w:rsidR="00F66071" w:rsidRPr="00F53351" w:rsidRDefault="00F66071" w:rsidP="00F66071">
      <w:pPr>
        <w:pStyle w:val="IVEYText"/>
        <w:rPr>
          <w:noProof w:val="0"/>
          <w:sz w:val="14"/>
          <w:szCs w:val="14"/>
          <w:lang w:val="en-CA"/>
        </w:rPr>
      </w:pPr>
    </w:p>
    <w:p w14:paraId="06B1DC7D" w14:textId="77777777" w:rsidR="00F66071" w:rsidRPr="0030399D" w:rsidRDefault="00F66071" w:rsidP="00F66071">
      <w:pPr>
        <w:pStyle w:val="IVEYText"/>
        <w:rPr>
          <w:noProof w:val="0"/>
          <w:spacing w:val="-2"/>
          <w:kern w:val="22"/>
          <w:lang w:val="en-CA"/>
        </w:rPr>
      </w:pPr>
      <w:r w:rsidRPr="0030399D">
        <w:rPr>
          <w:noProof w:val="0"/>
          <w:spacing w:val="-2"/>
          <w:kern w:val="22"/>
          <w:lang w:val="en-CA"/>
        </w:rPr>
        <w:t>An innovative branded drug in a new therapeutic area was known as a “breakthrough” or “first-in-class” drug. New drugs in existing therapeutic areas were known as “follow-ons” or “me-too” drugs. Pfizer’s Viagra, for example, was a breakthrough drug when it was launched in 1998, and the company profited substantially from it until 2003, when Bayer introduced a similar product, Levitra (an example of between-patent competition).</w:t>
      </w:r>
    </w:p>
    <w:p w14:paraId="70644A19" w14:textId="77777777" w:rsidR="00F66071" w:rsidRPr="00F53351" w:rsidRDefault="00F66071" w:rsidP="00F66071">
      <w:pPr>
        <w:pStyle w:val="IVEYText"/>
        <w:rPr>
          <w:noProof w:val="0"/>
          <w:sz w:val="14"/>
          <w:szCs w:val="14"/>
          <w:lang w:val="en-CA"/>
        </w:rPr>
      </w:pPr>
    </w:p>
    <w:p w14:paraId="527BA51B" w14:textId="77777777" w:rsidR="00F66071" w:rsidRPr="0030399D" w:rsidRDefault="00F66071" w:rsidP="00F66071">
      <w:pPr>
        <w:pStyle w:val="IVEYText"/>
        <w:rPr>
          <w:noProof w:val="0"/>
          <w:color w:val="000000" w:themeColor="text1"/>
          <w:spacing w:val="-2"/>
          <w:kern w:val="2"/>
          <w:lang w:val="en-CA"/>
        </w:rPr>
      </w:pPr>
      <w:r w:rsidRPr="0030399D">
        <w:rPr>
          <w:noProof w:val="0"/>
          <w:color w:val="000000" w:themeColor="text1"/>
          <w:spacing w:val="-2"/>
          <w:kern w:val="2"/>
          <w:lang w:val="en-CA"/>
        </w:rPr>
        <w:t xml:space="preserve">When patent protection ended, other firms were free to start selling </w:t>
      </w:r>
      <w:r w:rsidRPr="0030399D">
        <w:rPr>
          <w:noProof w:val="0"/>
          <w:spacing w:val="-2"/>
          <w:kern w:val="2"/>
          <w:lang w:val="en-CA"/>
        </w:rPr>
        <w:t>generic copies of the same chemical. Usually, patent expiry led to a dramatic drop in revenue, referred to as the “patent cliff.”</w:t>
      </w:r>
      <w:r w:rsidRPr="0030399D">
        <w:rPr>
          <w:rStyle w:val="EndnoteReference"/>
          <w:noProof w:val="0"/>
          <w:spacing w:val="-2"/>
          <w:kern w:val="2"/>
          <w:lang w:val="en-CA"/>
        </w:rPr>
        <w:endnoteReference w:id="29"/>
      </w:r>
      <w:r w:rsidRPr="0030399D">
        <w:rPr>
          <w:noProof w:val="0"/>
          <w:spacing w:val="-2"/>
          <w:kern w:val="2"/>
          <w:lang w:val="en-CA"/>
        </w:rPr>
        <w:t xml:space="preserve"> Within-patent competition was initiated when generics producers started selling the generic copy at much lower prices. </w:t>
      </w:r>
      <w:r w:rsidRPr="0030399D">
        <w:rPr>
          <w:noProof w:val="0"/>
          <w:color w:val="000000" w:themeColor="text1"/>
          <w:spacing w:val="-2"/>
          <w:kern w:val="2"/>
          <w:lang w:val="en-CA"/>
        </w:rPr>
        <w:t>Patent expiry could have devastating effects. Between 2003 and 2011, Pfizer’s blockbuster Lipitor yielded annual revenues of $10</w:t>
      </w:r>
      <w:r w:rsidRPr="0030399D">
        <w:rPr>
          <w:rFonts w:ascii="Arial" w:hAnsi="Arial" w:cs="Arial"/>
          <w:noProof w:val="0"/>
          <w:spacing w:val="-2"/>
          <w:kern w:val="2"/>
          <w:sz w:val="17"/>
          <w:szCs w:val="17"/>
          <w:lang w:val="en-CA"/>
        </w:rPr>
        <w:t>–</w:t>
      </w:r>
      <w:r w:rsidRPr="0030399D">
        <w:rPr>
          <w:noProof w:val="0"/>
          <w:color w:val="000000" w:themeColor="text1"/>
          <w:spacing w:val="-2"/>
          <w:kern w:val="2"/>
          <w:lang w:val="en-CA"/>
        </w:rPr>
        <w:t>12 billion, but when Pfizer lost Lipitor’s patent protection in 2010, sales dropped to $4 billion in 2012 and reached a low of $1.7 billion in 2016. In 2017 alone, Pfizer lost patents for several key products, including Lyrica and Viagra. Global-pharmaceuticals forecasts anticipated that, in 2023, across all companies, $67 billion of sales would be at risk due to patent expiries. In 2017, the figure was $32 billion.</w:t>
      </w:r>
      <w:r w:rsidRPr="0030399D">
        <w:rPr>
          <w:rStyle w:val="EndnoteReference"/>
          <w:noProof w:val="0"/>
          <w:color w:val="000000" w:themeColor="text1"/>
          <w:spacing w:val="-2"/>
          <w:kern w:val="2"/>
          <w:lang w:val="en-CA"/>
        </w:rPr>
        <w:endnoteReference w:id="30"/>
      </w:r>
      <w:r w:rsidRPr="0030399D">
        <w:rPr>
          <w:noProof w:val="0"/>
          <w:color w:val="000000" w:themeColor="text1"/>
          <w:spacing w:val="-2"/>
          <w:kern w:val="2"/>
          <w:lang w:val="en-CA"/>
        </w:rPr>
        <w:t xml:space="preserve"> </w:t>
      </w:r>
    </w:p>
    <w:p w14:paraId="6C79D8BE" w14:textId="77777777" w:rsidR="00F66071" w:rsidRPr="00F53351" w:rsidRDefault="00F66071" w:rsidP="00F66071">
      <w:pPr>
        <w:pStyle w:val="IVEYText"/>
        <w:rPr>
          <w:noProof w:val="0"/>
          <w:color w:val="000000" w:themeColor="text1"/>
          <w:sz w:val="14"/>
          <w:szCs w:val="14"/>
          <w:lang w:val="en-CA"/>
        </w:rPr>
      </w:pPr>
    </w:p>
    <w:p w14:paraId="197CEC5C" w14:textId="77777777" w:rsidR="00F66071" w:rsidRPr="00F53351" w:rsidRDefault="00F66071" w:rsidP="00F66071">
      <w:pPr>
        <w:pStyle w:val="IVEYText"/>
        <w:rPr>
          <w:noProof w:val="0"/>
          <w:spacing w:val="-4"/>
          <w:kern w:val="22"/>
          <w:lang w:val="en-CA"/>
        </w:rPr>
      </w:pPr>
      <w:r w:rsidRPr="00F53351">
        <w:rPr>
          <w:noProof w:val="0"/>
          <w:spacing w:val="-4"/>
          <w:kern w:val="22"/>
          <w:lang w:val="en-CA"/>
        </w:rPr>
        <w:t xml:space="preserve">The biggest generics producer was Teva Pharmaceutical Industries Ltd. (Teva), and other big players were Mylan NV (Mylan), Cipla Ltd. (Cipla), Sun Pharmaceutical Industries Ltd. (Sun), and Sandoz International GmbH (Sandoz). Often, generics manufacturers tried to make use of any scientific progress that had taken place since the development of the original patented drug. Consequently, generics could sometimes be substantially superior to the originally branded products in terms of effectiveness and side effects. In contrast to branded products, generics were profitable despite lower price levels because their manufacture sidestepped a large proportion of the expensive development and test phases. Due to their lower prices, many governments had taken steps to improve the market position of generics, resulting in a rising proportion of generics in the global drugs market. </w:t>
      </w:r>
    </w:p>
    <w:p w14:paraId="6884384C" w14:textId="77777777" w:rsidR="00F66071" w:rsidRPr="00F53351" w:rsidRDefault="00F66071" w:rsidP="00F66071">
      <w:pPr>
        <w:pStyle w:val="IVEYText"/>
        <w:rPr>
          <w:noProof w:val="0"/>
          <w:sz w:val="14"/>
          <w:szCs w:val="14"/>
          <w:lang w:val="en-CA"/>
        </w:rPr>
      </w:pPr>
    </w:p>
    <w:p w14:paraId="3370A243" w14:textId="77777777" w:rsidR="00F66071" w:rsidRPr="0030399D" w:rsidRDefault="00F66071" w:rsidP="00F66071">
      <w:pPr>
        <w:pStyle w:val="IVEYText"/>
        <w:rPr>
          <w:noProof w:val="0"/>
          <w:color w:val="000000" w:themeColor="text1"/>
          <w:spacing w:val="-2"/>
          <w:kern w:val="22"/>
          <w:lang w:val="en-CA"/>
        </w:rPr>
      </w:pPr>
      <w:r w:rsidRPr="0030399D">
        <w:rPr>
          <w:noProof w:val="0"/>
          <w:spacing w:val="-2"/>
          <w:kern w:val="22"/>
          <w:lang w:val="en-CA"/>
        </w:rPr>
        <w:t>Recent patent disputes in emerging markets such as Brazil and India were considered a threat to the traditional patent system. In 2018, India was the biggest global generics market in terms of the export of, and demand for, generics. Although India adopted new patent law after its accession to the World Trade Organization (WTO) in 1995, the way in which the new ruling was interpreted made it unfavourable to innovative (international) pharmaceutical companies. In 2012, for example, the Indian national court upheld the position of the Indian government and refused requests from Novartis International AG (Novartis) and Bayer AG (Bayer) for patent exclusivity for two drugs, stating that these could not be classified as “new inventions” under Indian patent law. Under compulsory licensing, Indian generics producers were then allowed to produce generics for these products by paying a license fee of about 6–8 per cent of the annual revenue to the innovator firm.</w:t>
      </w:r>
      <w:r w:rsidRPr="0030399D">
        <w:rPr>
          <w:rStyle w:val="EndnoteReference"/>
          <w:noProof w:val="0"/>
          <w:spacing w:val="-2"/>
          <w:kern w:val="22"/>
          <w:lang w:val="en-CA"/>
        </w:rPr>
        <w:endnoteReference w:id="31"/>
      </w:r>
      <w:r w:rsidRPr="0030399D">
        <w:rPr>
          <w:noProof w:val="0"/>
          <w:spacing w:val="-2"/>
          <w:kern w:val="22"/>
          <w:lang w:val="en-CA"/>
        </w:rPr>
        <w:t xml:space="preserve"> In 2013, the Indian Patent Office granted the generics drugs producer Cipla the right to produce Pfizer’s patent-expiring cancer drug Sutent.</w:t>
      </w:r>
      <w:r w:rsidRPr="0030399D">
        <w:rPr>
          <w:rStyle w:val="EndnoteReference"/>
          <w:noProof w:val="0"/>
          <w:spacing w:val="-2"/>
          <w:kern w:val="22"/>
          <w:lang w:val="en-CA"/>
        </w:rPr>
        <w:endnoteReference w:id="32"/>
      </w:r>
      <w:r w:rsidRPr="0030399D">
        <w:rPr>
          <w:noProof w:val="0"/>
          <w:spacing w:val="-2"/>
          <w:kern w:val="22"/>
          <w:vertAlign w:val="superscript"/>
          <w:lang w:val="en-CA"/>
        </w:rPr>
        <w:t xml:space="preserve"> </w:t>
      </w:r>
      <w:r w:rsidRPr="0030399D">
        <w:rPr>
          <w:noProof w:val="0"/>
          <w:spacing w:val="-2"/>
          <w:kern w:val="22"/>
          <w:lang w:val="en-CA"/>
        </w:rPr>
        <w:t>These cases were decisive to the future of Indian patent law, and pharmaceutical firms feared spillover effects into other markets.</w:t>
      </w:r>
      <w:r w:rsidRPr="0030399D">
        <w:rPr>
          <w:rStyle w:val="EndnoteReference"/>
          <w:noProof w:val="0"/>
          <w:spacing w:val="-2"/>
          <w:kern w:val="22"/>
          <w:lang w:val="en-CA"/>
        </w:rPr>
        <w:endnoteReference w:id="33"/>
      </w:r>
      <w:r w:rsidRPr="0030399D">
        <w:rPr>
          <w:noProof w:val="0"/>
          <w:spacing w:val="-2"/>
          <w:kern w:val="22"/>
          <w:lang w:val="en-CA"/>
        </w:rPr>
        <w:t xml:space="preserve"> </w:t>
      </w:r>
      <w:r w:rsidRPr="0030399D">
        <w:rPr>
          <w:noProof w:val="0"/>
          <w:color w:val="000000" w:themeColor="text1"/>
          <w:spacing w:val="-2"/>
          <w:kern w:val="22"/>
          <w:lang w:val="en-CA"/>
        </w:rPr>
        <w:t>Because many important patents had expired, sales of Indian generics surged. But problems, such as poor hygiene and defective processes in many Indian plants, hampered the country’s generics exports.</w:t>
      </w:r>
      <w:r w:rsidRPr="0030399D">
        <w:rPr>
          <w:rStyle w:val="EndnoteReference"/>
          <w:noProof w:val="0"/>
          <w:color w:val="000000" w:themeColor="text1"/>
          <w:spacing w:val="-2"/>
          <w:kern w:val="22"/>
          <w:lang w:val="en-CA"/>
        </w:rPr>
        <w:endnoteReference w:id="34"/>
      </w:r>
    </w:p>
    <w:p w14:paraId="030DB857" w14:textId="77777777" w:rsidR="00F66071" w:rsidRPr="0030399D" w:rsidRDefault="00F66071" w:rsidP="00F66071">
      <w:pPr>
        <w:pStyle w:val="IVEYText"/>
        <w:rPr>
          <w:noProof w:val="0"/>
          <w:color w:val="000000" w:themeColor="text1"/>
          <w:sz w:val="14"/>
          <w:szCs w:val="14"/>
          <w:lang w:val="en-CA"/>
        </w:rPr>
      </w:pPr>
    </w:p>
    <w:p w14:paraId="40658678" w14:textId="77777777" w:rsidR="00F66071" w:rsidRPr="0030399D" w:rsidRDefault="00F66071" w:rsidP="00F66071">
      <w:pPr>
        <w:pStyle w:val="IVEYText"/>
        <w:rPr>
          <w:noProof w:val="0"/>
          <w:color w:val="000000" w:themeColor="text1"/>
          <w:sz w:val="14"/>
          <w:szCs w:val="14"/>
          <w:lang w:val="en-CA"/>
        </w:rPr>
      </w:pPr>
    </w:p>
    <w:p w14:paraId="11E49186" w14:textId="77777777" w:rsidR="00F66071" w:rsidRPr="0030399D" w:rsidRDefault="00F66071" w:rsidP="00F66071">
      <w:pPr>
        <w:pStyle w:val="IVEYTitle"/>
        <w:rPr>
          <w:lang w:val="en-CA"/>
        </w:rPr>
      </w:pPr>
      <w:bookmarkStart w:id="3" w:name="_Toc242072339"/>
      <w:r w:rsidRPr="0030399D">
        <w:rPr>
          <w:lang w:val="en-CA"/>
        </w:rPr>
        <w:t>The supply chain</w:t>
      </w:r>
      <w:bookmarkEnd w:id="3"/>
    </w:p>
    <w:p w14:paraId="08AF89B1" w14:textId="77777777" w:rsidR="00F66071" w:rsidRPr="0030399D" w:rsidRDefault="00F66071" w:rsidP="00F66071">
      <w:pPr>
        <w:pStyle w:val="IVEYText"/>
        <w:rPr>
          <w:noProof w:val="0"/>
          <w:sz w:val="14"/>
          <w:szCs w:val="14"/>
          <w:lang w:val="en-CA"/>
        </w:rPr>
      </w:pPr>
    </w:p>
    <w:p w14:paraId="5141EDC4" w14:textId="77777777" w:rsidR="00F66071" w:rsidRPr="0030399D" w:rsidRDefault="00F66071" w:rsidP="00F66071">
      <w:pPr>
        <w:pStyle w:val="IVEYText"/>
        <w:rPr>
          <w:noProof w:val="0"/>
          <w:lang w:val="en-CA"/>
        </w:rPr>
      </w:pPr>
      <w:r w:rsidRPr="0030399D">
        <w:rPr>
          <w:noProof w:val="0"/>
          <w:lang w:val="en-CA"/>
        </w:rPr>
        <w:t>From manufacturing through to use by the patient, drugs in development went through a number of steps.</w:t>
      </w:r>
    </w:p>
    <w:p w14:paraId="694B6752" w14:textId="77777777" w:rsidR="00F66071" w:rsidRPr="0030399D" w:rsidRDefault="00F66071" w:rsidP="00F66071">
      <w:pPr>
        <w:pStyle w:val="IVEYText"/>
        <w:rPr>
          <w:noProof w:val="0"/>
          <w:sz w:val="14"/>
          <w:szCs w:val="14"/>
          <w:lang w:val="en-CA"/>
        </w:rPr>
      </w:pPr>
    </w:p>
    <w:p w14:paraId="0CC79CF1" w14:textId="77777777" w:rsidR="00F66071" w:rsidRPr="0030399D" w:rsidRDefault="00F66071" w:rsidP="00F66071">
      <w:pPr>
        <w:pStyle w:val="IVEYText"/>
        <w:rPr>
          <w:noProof w:val="0"/>
          <w:sz w:val="14"/>
          <w:szCs w:val="14"/>
          <w:lang w:val="en-CA"/>
        </w:rPr>
      </w:pPr>
    </w:p>
    <w:p w14:paraId="60DC8F75" w14:textId="77777777" w:rsidR="00F66071" w:rsidRPr="0030399D" w:rsidRDefault="00F66071" w:rsidP="007C129D">
      <w:pPr>
        <w:pStyle w:val="Casehead2"/>
        <w:rPr>
          <w:lang w:val="en-CA"/>
        </w:rPr>
      </w:pPr>
      <w:r w:rsidRPr="0030399D">
        <w:rPr>
          <w:lang w:val="en-CA"/>
        </w:rPr>
        <w:t>Production</w:t>
      </w:r>
    </w:p>
    <w:p w14:paraId="08786768" w14:textId="77777777" w:rsidR="00F66071" w:rsidRPr="0030399D" w:rsidRDefault="00F66071" w:rsidP="00F66071">
      <w:pPr>
        <w:pStyle w:val="IVEYText"/>
        <w:rPr>
          <w:noProof w:val="0"/>
          <w:sz w:val="14"/>
          <w:szCs w:val="14"/>
          <w:lang w:val="en-CA"/>
        </w:rPr>
      </w:pPr>
    </w:p>
    <w:p w14:paraId="0E23A37A" w14:textId="77777777" w:rsidR="00F66071" w:rsidRPr="0030399D" w:rsidRDefault="00F66071" w:rsidP="00F66071">
      <w:pPr>
        <w:pStyle w:val="IVEYText"/>
        <w:rPr>
          <w:noProof w:val="0"/>
          <w:lang w:val="en-CA"/>
        </w:rPr>
      </w:pPr>
      <w:r w:rsidRPr="0030399D">
        <w:rPr>
          <w:noProof w:val="0"/>
          <w:lang w:val="en-CA"/>
        </w:rPr>
        <w:t>The production base for most drugs consisted of fine chemicals. For branded products, fine chemicals accounted for 10</w:t>
      </w:r>
      <w:r w:rsidRPr="0030399D">
        <w:rPr>
          <w:rFonts w:eastAsia="Calibri"/>
          <w:noProof w:val="0"/>
          <w:spacing w:val="-2"/>
          <w:kern w:val="22"/>
          <w:lang w:val="en-CA"/>
        </w:rPr>
        <w:t>–</w:t>
      </w:r>
      <w:r w:rsidRPr="0030399D">
        <w:rPr>
          <w:noProof w:val="0"/>
          <w:lang w:val="en-CA"/>
        </w:rPr>
        <w:t>15 per cent of the final price; for generics, it accounted for up to 30 per cent. On average, half of all pharmaceutical products globally were manufactured by the pharmaceutical firms themselves; the other half were produced by firms in the fine-chemicals industry.</w:t>
      </w:r>
      <w:r w:rsidRPr="0030399D">
        <w:rPr>
          <w:rStyle w:val="EndnoteReference"/>
          <w:noProof w:val="0"/>
          <w:lang w:val="en-CA"/>
        </w:rPr>
        <w:endnoteReference w:id="35"/>
      </w:r>
      <w:r w:rsidRPr="0030399D">
        <w:rPr>
          <w:noProof w:val="0"/>
          <w:lang w:val="en-CA"/>
        </w:rPr>
        <w:t xml:space="preserve"> </w:t>
      </w:r>
    </w:p>
    <w:p w14:paraId="0843369F" w14:textId="77777777" w:rsidR="00F66071" w:rsidRPr="0030399D" w:rsidRDefault="00F66071" w:rsidP="00F66071">
      <w:pPr>
        <w:pStyle w:val="IVEYText"/>
        <w:rPr>
          <w:noProof w:val="0"/>
          <w:lang w:val="en-CA"/>
        </w:rPr>
      </w:pPr>
      <w:r w:rsidRPr="0030399D">
        <w:rPr>
          <w:noProof w:val="0"/>
          <w:lang w:val="en-CA"/>
        </w:rPr>
        <w:lastRenderedPageBreak/>
        <w:t>The chemicals consisted of standardized or customized molecules plus active agents that were processed into the final drug in tablet or fluid form. Fine chemicals were essentially raw materials or mass-produced products, generally made to a high standard by a variety of firms. As such, there were many potential suppliers. No single chemical firm had achieved a dominant market position. The pharmaceuticals industry was by far the largest buyer of fine chemicals, and frequently, a substantial percentage of a chemical company’s revenue depended on just a few pharmaceutical customers. Drugs manufacturers, for their part, had to be able to guarantee high product quality. A given drug required every factory to have precisely defined processes and permissions that were checked regularly. If a given health authority judged that there were variations in quality, safety, or effectiveness, product authorization was immediately withdrawn.</w:t>
      </w:r>
    </w:p>
    <w:p w14:paraId="15932730" w14:textId="77777777" w:rsidR="00F66071" w:rsidRPr="00F53351" w:rsidRDefault="00F66071" w:rsidP="00F66071">
      <w:pPr>
        <w:pStyle w:val="IVEYText"/>
        <w:rPr>
          <w:noProof w:val="0"/>
          <w:sz w:val="14"/>
          <w:szCs w:val="14"/>
          <w:lang w:val="en-CA"/>
        </w:rPr>
      </w:pPr>
    </w:p>
    <w:p w14:paraId="49532378" w14:textId="77777777" w:rsidR="00F66071" w:rsidRPr="00F53351" w:rsidRDefault="00F66071" w:rsidP="00F66071">
      <w:pPr>
        <w:pStyle w:val="IVEYText"/>
        <w:rPr>
          <w:noProof w:val="0"/>
          <w:sz w:val="14"/>
          <w:szCs w:val="14"/>
          <w:lang w:val="en-CA"/>
        </w:rPr>
      </w:pPr>
    </w:p>
    <w:p w14:paraId="158493EE" w14:textId="77777777" w:rsidR="00F66071" w:rsidRPr="0030399D" w:rsidRDefault="00F66071" w:rsidP="007C129D">
      <w:pPr>
        <w:pStyle w:val="Casehead2"/>
        <w:rPr>
          <w:lang w:val="en-CA"/>
        </w:rPr>
      </w:pPr>
      <w:r w:rsidRPr="0030399D">
        <w:rPr>
          <w:lang w:val="en-CA"/>
        </w:rPr>
        <w:t>Distribution and Pricing</w:t>
      </w:r>
    </w:p>
    <w:p w14:paraId="1A2BC311" w14:textId="77777777" w:rsidR="00F66071" w:rsidRPr="00F53351" w:rsidRDefault="00F66071" w:rsidP="00F66071">
      <w:pPr>
        <w:pStyle w:val="BodyTextMain"/>
        <w:rPr>
          <w:sz w:val="14"/>
          <w:szCs w:val="14"/>
          <w:lang w:val="en-CA"/>
        </w:rPr>
      </w:pPr>
    </w:p>
    <w:p w14:paraId="1BE72018" w14:textId="60104A9E" w:rsidR="00F66071" w:rsidRPr="00F53351" w:rsidRDefault="00F66071" w:rsidP="00F66071">
      <w:pPr>
        <w:pStyle w:val="IVEYText"/>
        <w:rPr>
          <w:noProof w:val="0"/>
          <w:spacing w:val="-2"/>
          <w:kern w:val="22"/>
          <w:lang w:val="en-CA"/>
        </w:rPr>
      </w:pPr>
      <w:r w:rsidRPr="00F53351">
        <w:rPr>
          <w:noProof w:val="0"/>
          <w:spacing w:val="-2"/>
          <w:kern w:val="22"/>
          <w:lang w:val="en-CA"/>
        </w:rPr>
        <w:t xml:space="preserve">Wholesalers and pharmacies ensured that products reached patients. However, there were considerable differences between the </w:t>
      </w:r>
      <w:r w:rsidR="007C129D">
        <w:rPr>
          <w:noProof w:val="0"/>
          <w:spacing w:val="-2"/>
          <w:kern w:val="22"/>
          <w:lang w:val="en-CA"/>
        </w:rPr>
        <w:t>United States’</w:t>
      </w:r>
      <w:r w:rsidRPr="00F53351">
        <w:rPr>
          <w:noProof w:val="0"/>
          <w:spacing w:val="-2"/>
          <w:kern w:val="22"/>
          <w:lang w:val="en-CA"/>
        </w:rPr>
        <w:t xml:space="preserve"> and European markets. In most European markets, the health authorities set maximum mark-ups for pharmacies and wholesalers, whereas in the United States, there was more flexibility. On average, the drug manufacturer received around 66 per cent of the sale price, the wholesaler around </w:t>
      </w:r>
      <w:r w:rsidR="007C129D">
        <w:rPr>
          <w:noProof w:val="0"/>
          <w:spacing w:val="-2"/>
          <w:kern w:val="22"/>
          <w:lang w:val="en-CA"/>
        </w:rPr>
        <w:t>5</w:t>
      </w:r>
      <w:r w:rsidRPr="00F53351">
        <w:rPr>
          <w:noProof w:val="0"/>
          <w:spacing w:val="-2"/>
          <w:kern w:val="22"/>
          <w:lang w:val="en-CA"/>
        </w:rPr>
        <w:t xml:space="preserve"> per cent, the pharmacy about 20 per cent, and the state around 9 per cent (in value-added tax and other taxes). The wholesalers would buy directly from the drug manufacturers and distribute the products to hospitals and pharmacies.</w:t>
      </w:r>
      <w:r w:rsidR="007C129D" w:rsidRPr="00F53351">
        <w:rPr>
          <w:rStyle w:val="EndnoteReference"/>
          <w:noProof w:val="0"/>
          <w:spacing w:val="-2"/>
          <w:kern w:val="22"/>
          <w:lang w:val="en-CA"/>
        </w:rPr>
        <w:endnoteReference w:id="36"/>
      </w:r>
      <w:r w:rsidRPr="00F53351">
        <w:rPr>
          <w:noProof w:val="0"/>
          <w:spacing w:val="-2"/>
          <w:kern w:val="22"/>
          <w:lang w:val="en-CA"/>
        </w:rPr>
        <w:t xml:space="preserve"> To carry out this function, the wholesalers needed a license, and had to conform to certain criteria</w:t>
      </w:r>
      <w:r w:rsidRPr="00F53351">
        <w:rPr>
          <w:rFonts w:eastAsia="Calibri"/>
          <w:noProof w:val="0"/>
          <w:spacing w:val="-2"/>
          <w:kern w:val="22"/>
          <w:lang w:val="en-CA"/>
        </w:rPr>
        <w:t>—</w:t>
      </w:r>
      <w:r w:rsidRPr="00F53351">
        <w:rPr>
          <w:noProof w:val="0"/>
          <w:spacing w:val="-2"/>
          <w:kern w:val="22"/>
          <w:lang w:val="en-CA"/>
        </w:rPr>
        <w:t xml:space="preserve">such as keeping a safety stock so that they would be able to deliver within a short time frame. </w:t>
      </w:r>
    </w:p>
    <w:p w14:paraId="0CC7060C" w14:textId="77777777" w:rsidR="00F66071" w:rsidRPr="00F53351" w:rsidRDefault="00F66071" w:rsidP="00F66071">
      <w:pPr>
        <w:pStyle w:val="IVEYText"/>
        <w:rPr>
          <w:noProof w:val="0"/>
          <w:sz w:val="14"/>
          <w:szCs w:val="14"/>
          <w:lang w:val="en-CA"/>
        </w:rPr>
      </w:pPr>
    </w:p>
    <w:p w14:paraId="4A3FBF38" w14:textId="77777777" w:rsidR="00F66071" w:rsidRPr="00F53351" w:rsidRDefault="00F66071" w:rsidP="00F66071">
      <w:pPr>
        <w:pStyle w:val="IVEYText"/>
        <w:rPr>
          <w:noProof w:val="0"/>
          <w:spacing w:val="-4"/>
          <w:kern w:val="22"/>
          <w:lang w:val="en-CA"/>
        </w:rPr>
      </w:pPr>
      <w:r w:rsidRPr="00F53351">
        <w:rPr>
          <w:noProof w:val="0"/>
          <w:spacing w:val="-4"/>
          <w:kern w:val="22"/>
          <w:lang w:val="en-CA"/>
        </w:rPr>
        <w:t xml:space="preserve">Wholesalers, who organized the logistics of delivering drugs to pharmacies, hospitals, and health centres, delivered the majority of drugs. Europe was dominated by a multichannel system, in which multiple wholesalers would sell a given product. Large pharmacy chains, specialized pharmacies, and mail-order pharmacies were also able, to some extent, to buy drugs directly from the manufacturer. The growing importance of chains and mail-order houses in Europe, however, was leading to an increasing trend towards bypassing the distributor. </w:t>
      </w:r>
    </w:p>
    <w:p w14:paraId="0A979E6A" w14:textId="77777777" w:rsidR="00F66071" w:rsidRPr="00F53351" w:rsidRDefault="00F66071" w:rsidP="00F66071">
      <w:pPr>
        <w:pStyle w:val="IVEYText"/>
        <w:rPr>
          <w:noProof w:val="0"/>
          <w:sz w:val="14"/>
          <w:szCs w:val="14"/>
          <w:lang w:val="en-CA"/>
        </w:rPr>
      </w:pPr>
    </w:p>
    <w:p w14:paraId="75A4FE87" w14:textId="77777777" w:rsidR="00F66071" w:rsidRPr="00F53351" w:rsidRDefault="00F66071" w:rsidP="00F66071">
      <w:pPr>
        <w:pStyle w:val="IVEYText"/>
        <w:rPr>
          <w:noProof w:val="0"/>
          <w:spacing w:val="-2"/>
          <w:kern w:val="22"/>
          <w:lang w:val="en-CA"/>
        </w:rPr>
      </w:pPr>
      <w:r w:rsidRPr="00F53351">
        <w:rPr>
          <w:noProof w:val="0"/>
          <w:spacing w:val="-2"/>
          <w:kern w:val="22"/>
          <w:lang w:val="en-CA"/>
        </w:rPr>
        <w:t>Wholesalers had been experiencing increased price pressure, resulting in tighter competition. In Europe in 2014, the average wholesale margin was around 5</w:t>
      </w:r>
      <w:r w:rsidRPr="00F53351">
        <w:rPr>
          <w:rFonts w:eastAsia="Calibri"/>
          <w:noProof w:val="0"/>
          <w:spacing w:val="-2"/>
          <w:kern w:val="22"/>
          <w:lang w:val="en-CA"/>
        </w:rPr>
        <w:t>–</w:t>
      </w:r>
      <w:r w:rsidRPr="00F53351">
        <w:rPr>
          <w:noProof w:val="0"/>
          <w:spacing w:val="-2"/>
          <w:kern w:val="22"/>
          <w:lang w:val="en-CA"/>
        </w:rPr>
        <w:t>10 per cent, but this varied greatly between countries, (e.g., in Sweden, it was 3 per cent, and in the Netherlands, it was 23 per cent).</w:t>
      </w:r>
      <w:r w:rsidRPr="00F53351">
        <w:rPr>
          <w:noProof w:val="0"/>
          <w:spacing w:val="-2"/>
          <w:kern w:val="22"/>
          <w:vertAlign w:val="superscript"/>
          <w:lang w:val="en-CA"/>
        </w:rPr>
        <w:endnoteReference w:id="37"/>
      </w:r>
      <w:r w:rsidRPr="00F53351">
        <w:rPr>
          <w:noProof w:val="0"/>
          <w:spacing w:val="-2"/>
          <w:kern w:val="22"/>
          <w:lang w:val="en-CA"/>
        </w:rPr>
        <w:t xml:space="preserve"> This pressure was to some extent due to rising packaging, delivery, and transportation costs. Increased competition had also resulted from the tendency for drug manufacturers to establish just-in-time production systems, which had caused the industry both in the United States and Europe to undergo substantial consolidation over the last few decades. </w:t>
      </w:r>
    </w:p>
    <w:p w14:paraId="55C57FD2" w14:textId="77777777" w:rsidR="00F66071" w:rsidRPr="00F53351" w:rsidRDefault="00F66071" w:rsidP="00F66071">
      <w:pPr>
        <w:pStyle w:val="IVEYText"/>
        <w:rPr>
          <w:noProof w:val="0"/>
          <w:sz w:val="14"/>
          <w:szCs w:val="14"/>
          <w:highlight w:val="yellow"/>
          <w:lang w:val="en-CA"/>
        </w:rPr>
      </w:pPr>
    </w:p>
    <w:p w14:paraId="14C58205" w14:textId="5D9A20F5" w:rsidR="00F66071" w:rsidRPr="0030399D" w:rsidRDefault="00F66071" w:rsidP="00F66071">
      <w:pPr>
        <w:pStyle w:val="IVEYText"/>
        <w:rPr>
          <w:noProof w:val="0"/>
          <w:lang w:val="en-CA"/>
        </w:rPr>
      </w:pPr>
      <w:r w:rsidRPr="0030399D">
        <w:rPr>
          <w:noProof w:val="0"/>
          <w:lang w:val="en-CA"/>
        </w:rPr>
        <w:t xml:space="preserve">Pricing was more critical for generics manufacturers than for innovative pharmaceutical companies. The competitive generics environment played a major role in </w:t>
      </w:r>
      <w:r w:rsidR="007C129D">
        <w:rPr>
          <w:noProof w:val="0"/>
          <w:lang w:val="en-CA"/>
        </w:rPr>
        <w:t>pricing</w:t>
      </w:r>
      <w:r w:rsidRPr="0030399D">
        <w:rPr>
          <w:noProof w:val="0"/>
          <w:lang w:val="en-CA"/>
        </w:rPr>
        <w:t>. An example was the effect exerted by wholesalers and parallel imports: the wholesaler could promote the distribution of higher volumes of drugs. Some wholesalers added service activities, such as market data gathering, processing, and packaging, to their core business; some even integrated</w:t>
      </w:r>
      <w:r w:rsidRPr="0030399D" w:rsidDel="0088141F">
        <w:rPr>
          <w:noProof w:val="0"/>
          <w:lang w:val="en-CA"/>
        </w:rPr>
        <w:t xml:space="preserve"> </w:t>
      </w:r>
      <w:r w:rsidRPr="0030399D">
        <w:rPr>
          <w:noProof w:val="0"/>
          <w:lang w:val="en-CA"/>
        </w:rPr>
        <w:t xml:space="preserve">vertically, both downstream and upstream, and had taken over production and pharmacy functions. This strategy, however, was disliked by national health authorities and was therefore highly restricted in some countries. </w:t>
      </w:r>
    </w:p>
    <w:p w14:paraId="7819AE6A" w14:textId="77777777" w:rsidR="00F66071" w:rsidRPr="00F53351" w:rsidRDefault="00F66071" w:rsidP="00F66071">
      <w:pPr>
        <w:pStyle w:val="IVEYText"/>
        <w:rPr>
          <w:noProof w:val="0"/>
          <w:sz w:val="14"/>
          <w:szCs w:val="14"/>
          <w:lang w:val="en-CA"/>
        </w:rPr>
      </w:pPr>
    </w:p>
    <w:p w14:paraId="0C4505FB" w14:textId="77777777" w:rsidR="00F66071" w:rsidRPr="00F53351" w:rsidRDefault="00F66071" w:rsidP="00F66071">
      <w:pPr>
        <w:pStyle w:val="IVEYText"/>
        <w:rPr>
          <w:noProof w:val="0"/>
          <w:lang w:val="en-CA"/>
        </w:rPr>
      </w:pPr>
      <w:r w:rsidRPr="00F53351">
        <w:rPr>
          <w:noProof w:val="0"/>
          <w:lang w:val="en-CA"/>
        </w:rPr>
        <w:t xml:space="preserve">The preclusion of parallel imports also had an impact on prices and revenue. The fragmentation of the European Union (EU) pharmaceutical market (and with this its pricing levels) led to parallel trading, where firms could buy drugs in a country with lower price levels and resell them in countries with higher price levels. Parallel trading was estimated to amount to $4.5 billion in 2016. </w:t>
      </w:r>
      <w:r w:rsidRPr="00F53351">
        <w:rPr>
          <w:noProof w:val="0"/>
          <w:color w:val="000000" w:themeColor="text1"/>
          <w:lang w:val="en-CA"/>
        </w:rPr>
        <w:t>The sale of parallel imports in the pharmacy market amounted to 1.6 per cent in Belgium, 25.5 percent in Denmark, 8.5 per cent in Germany, and 1.9 per cent in Poland</w:t>
      </w:r>
      <w:r w:rsidRPr="00F53351">
        <w:rPr>
          <w:noProof w:val="0"/>
          <w:lang w:val="en-CA"/>
        </w:rPr>
        <w:t>.</w:t>
      </w:r>
      <w:r w:rsidRPr="00F53351">
        <w:rPr>
          <w:rStyle w:val="EndnoteReference"/>
          <w:noProof w:val="0"/>
          <w:lang w:val="en-CA"/>
        </w:rPr>
        <w:endnoteReference w:id="38"/>
      </w:r>
      <w:r w:rsidRPr="00F53351">
        <w:rPr>
          <w:noProof w:val="0"/>
          <w:lang w:val="en-CA"/>
        </w:rPr>
        <w:t xml:space="preserve"> </w:t>
      </w:r>
    </w:p>
    <w:p w14:paraId="4F033032" w14:textId="77777777" w:rsidR="00F66071" w:rsidRPr="00F53351" w:rsidRDefault="00F66071" w:rsidP="00F66071">
      <w:pPr>
        <w:pStyle w:val="IVEYText"/>
        <w:rPr>
          <w:noProof w:val="0"/>
          <w:spacing w:val="-2"/>
          <w:kern w:val="22"/>
          <w:sz w:val="14"/>
          <w:szCs w:val="14"/>
          <w:lang w:val="en-CA"/>
        </w:rPr>
      </w:pPr>
    </w:p>
    <w:p w14:paraId="485CC8FA" w14:textId="77777777" w:rsidR="00F66071" w:rsidRPr="0030399D" w:rsidRDefault="00F66071" w:rsidP="00F66071">
      <w:pPr>
        <w:pStyle w:val="IVEYText"/>
        <w:rPr>
          <w:noProof w:val="0"/>
          <w:lang w:val="en-CA"/>
        </w:rPr>
      </w:pPr>
      <w:r w:rsidRPr="0030399D">
        <w:rPr>
          <w:noProof w:val="0"/>
          <w:lang w:val="en-CA"/>
        </w:rPr>
        <w:lastRenderedPageBreak/>
        <w:t xml:space="preserve">The role of the pharmacy varied from country to country. Prescription drugs were generally available only through pharmacies, but the degree of influence of the pharmacist on the choice of drug or brand depended on the particular legal environment. Generally only doctors could decide on the drug prescribed, but in many countries, the pharmacist was allowed to replace a branded product with an unbranded one containing the same active ingredients. </w:t>
      </w:r>
    </w:p>
    <w:p w14:paraId="2A96FE5B" w14:textId="77777777" w:rsidR="00F66071" w:rsidRPr="00F53351" w:rsidRDefault="00F66071" w:rsidP="00F66071">
      <w:pPr>
        <w:pStyle w:val="IVEYText"/>
        <w:rPr>
          <w:noProof w:val="0"/>
          <w:sz w:val="14"/>
          <w:szCs w:val="14"/>
          <w:lang w:val="en-CA"/>
        </w:rPr>
      </w:pPr>
    </w:p>
    <w:p w14:paraId="7DA8B33C" w14:textId="77777777" w:rsidR="00F66071" w:rsidRPr="00F53351" w:rsidRDefault="00F66071" w:rsidP="00F66071">
      <w:pPr>
        <w:pStyle w:val="IVEYText"/>
        <w:rPr>
          <w:noProof w:val="0"/>
          <w:sz w:val="14"/>
          <w:szCs w:val="14"/>
          <w:lang w:val="en-CA"/>
        </w:rPr>
      </w:pPr>
    </w:p>
    <w:p w14:paraId="4BF0FE41" w14:textId="77777777" w:rsidR="00F66071" w:rsidRPr="0030399D" w:rsidRDefault="00F66071" w:rsidP="00F66071">
      <w:pPr>
        <w:pStyle w:val="IVEYText"/>
        <w:rPr>
          <w:rFonts w:ascii="Arial" w:hAnsi="Arial" w:cs="Arial"/>
          <w:b/>
          <w:noProof w:val="0"/>
          <w:sz w:val="18"/>
          <w:lang w:val="en-CA"/>
        </w:rPr>
      </w:pPr>
      <w:r w:rsidRPr="0030399D">
        <w:rPr>
          <w:rFonts w:ascii="Arial" w:hAnsi="Arial" w:cs="Arial"/>
          <w:b/>
          <w:noProof w:val="0"/>
          <w:sz w:val="18"/>
          <w:lang w:val="en-CA"/>
        </w:rPr>
        <w:t>Regional Differences</w:t>
      </w:r>
    </w:p>
    <w:p w14:paraId="7756EE62" w14:textId="77777777" w:rsidR="00F66071" w:rsidRPr="00F53351" w:rsidRDefault="00F66071" w:rsidP="00F66071">
      <w:pPr>
        <w:pStyle w:val="IVEYText"/>
        <w:rPr>
          <w:noProof w:val="0"/>
          <w:sz w:val="14"/>
          <w:szCs w:val="14"/>
          <w:lang w:val="en-CA"/>
        </w:rPr>
      </w:pPr>
    </w:p>
    <w:p w14:paraId="5D041F95" w14:textId="77777777" w:rsidR="00F66071" w:rsidRPr="0030399D" w:rsidRDefault="00F66071" w:rsidP="00F66071">
      <w:pPr>
        <w:pStyle w:val="IVEYText"/>
        <w:rPr>
          <w:noProof w:val="0"/>
          <w:spacing w:val="-2"/>
          <w:kern w:val="22"/>
          <w:lang w:val="en-CA"/>
        </w:rPr>
      </w:pPr>
      <w:r w:rsidRPr="0030399D">
        <w:rPr>
          <w:noProof w:val="0"/>
          <w:spacing w:val="-2"/>
          <w:kern w:val="22"/>
          <w:lang w:val="en-CA"/>
        </w:rPr>
        <w:t xml:space="preserve">In 2013, state-supported compulsory health insurance existed in the majority of Organisation for Economic Co-operation and Development (OECD) countries. On average, 58 per cent of medication expenses in OECD countries were financed publicly (e.g., in Germany, 77 per cent; in the United States, 48 per cent). Patients and/or private health insurance (see Exhibit 18) funded the other 42 per cent. </w:t>
      </w:r>
    </w:p>
    <w:p w14:paraId="023C8C3F" w14:textId="77777777" w:rsidR="00F66071" w:rsidRPr="00F53351" w:rsidRDefault="00F66071" w:rsidP="00F66071">
      <w:pPr>
        <w:pStyle w:val="IVEYText"/>
        <w:rPr>
          <w:noProof w:val="0"/>
          <w:sz w:val="14"/>
          <w:szCs w:val="14"/>
          <w:lang w:val="en-CA"/>
        </w:rPr>
      </w:pPr>
    </w:p>
    <w:p w14:paraId="67DCFCB0" w14:textId="27B1FE67" w:rsidR="00F66071" w:rsidRPr="007C129D" w:rsidRDefault="00F66071" w:rsidP="00F66071">
      <w:pPr>
        <w:pStyle w:val="IVEYText"/>
        <w:rPr>
          <w:noProof w:val="0"/>
          <w:lang w:val="en-CA"/>
        </w:rPr>
      </w:pPr>
      <w:r w:rsidRPr="007C129D">
        <w:rPr>
          <w:noProof w:val="0"/>
          <w:lang w:val="en-CA"/>
        </w:rPr>
        <w:t xml:space="preserve">Health systems in Europe and the United States were different. In the United States, the great majority of the population was privately insured, as there was no or little public health insurance. Moreover, until 2017 the </w:t>
      </w:r>
      <w:r w:rsidR="007C129D" w:rsidRPr="007C129D">
        <w:rPr>
          <w:noProof w:val="0"/>
          <w:lang w:val="en-CA"/>
        </w:rPr>
        <w:t>US</w:t>
      </w:r>
      <w:r w:rsidRPr="007C129D">
        <w:rPr>
          <w:noProof w:val="0"/>
          <w:lang w:val="en-CA"/>
        </w:rPr>
        <w:t xml:space="preserve"> government had rarely commented on drug price regulation. In 2018, however, the </w:t>
      </w:r>
      <w:r w:rsidR="007C129D" w:rsidRPr="007C129D">
        <w:rPr>
          <w:noProof w:val="0"/>
          <w:lang w:val="en-CA"/>
        </w:rPr>
        <w:t>US</w:t>
      </w:r>
      <w:r w:rsidRPr="007C129D">
        <w:rPr>
          <w:noProof w:val="0"/>
          <w:lang w:val="en-CA"/>
        </w:rPr>
        <w:t xml:space="preserve"> president announced, when meeting with </w:t>
      </w:r>
      <w:r w:rsidR="007C129D" w:rsidRPr="007C129D">
        <w:rPr>
          <w:noProof w:val="0"/>
          <w:lang w:val="en-CA"/>
        </w:rPr>
        <w:t>US</w:t>
      </w:r>
      <w:r w:rsidRPr="007C129D">
        <w:rPr>
          <w:noProof w:val="0"/>
          <w:lang w:val="en-CA"/>
        </w:rPr>
        <w:t>-based CEOs of pharmaceutical giants, “We have to get prices down for a lot of reasons.”</w:t>
      </w:r>
      <w:r w:rsidRPr="007C129D">
        <w:rPr>
          <w:rStyle w:val="EndnoteReference"/>
          <w:noProof w:val="0"/>
          <w:lang w:val="en-CA"/>
        </w:rPr>
        <w:endnoteReference w:id="39"/>
      </w:r>
    </w:p>
    <w:p w14:paraId="23D6E7CC" w14:textId="77777777" w:rsidR="00F66071" w:rsidRPr="00F53351" w:rsidRDefault="00F66071" w:rsidP="00F66071">
      <w:pPr>
        <w:pStyle w:val="IVEYText"/>
        <w:rPr>
          <w:noProof w:val="0"/>
          <w:sz w:val="14"/>
          <w:szCs w:val="14"/>
          <w:lang w:val="en-CA"/>
        </w:rPr>
      </w:pPr>
    </w:p>
    <w:p w14:paraId="06875142" w14:textId="39AB08FB" w:rsidR="00F66071" w:rsidRPr="007C129D" w:rsidRDefault="00F66071" w:rsidP="00F66071">
      <w:pPr>
        <w:pStyle w:val="IVEYText"/>
        <w:rPr>
          <w:noProof w:val="0"/>
          <w:spacing w:val="-4"/>
          <w:kern w:val="22"/>
          <w:lang w:val="en-CA"/>
        </w:rPr>
      </w:pPr>
      <w:r w:rsidRPr="007C129D">
        <w:rPr>
          <w:noProof w:val="0"/>
          <w:spacing w:val="-4"/>
          <w:kern w:val="22"/>
          <w:lang w:val="en-CA"/>
        </w:rPr>
        <w:t xml:space="preserve">Traditionally, the </w:t>
      </w:r>
      <w:r w:rsidR="007C129D" w:rsidRPr="007C129D">
        <w:rPr>
          <w:noProof w:val="0"/>
          <w:spacing w:val="-4"/>
          <w:kern w:val="22"/>
          <w:lang w:val="en-CA"/>
        </w:rPr>
        <w:t>US</w:t>
      </w:r>
      <w:r w:rsidRPr="007C129D">
        <w:rPr>
          <w:noProof w:val="0"/>
          <w:spacing w:val="-4"/>
          <w:kern w:val="22"/>
          <w:lang w:val="en-CA"/>
        </w:rPr>
        <w:t xml:space="preserve"> market had always been the most important market for the pharmaceutical industry worldwide, yielding high prices and margins.</w:t>
      </w:r>
      <w:r w:rsidRPr="007C129D">
        <w:rPr>
          <w:rStyle w:val="EndnoteReference"/>
          <w:noProof w:val="0"/>
          <w:spacing w:val="-4"/>
          <w:kern w:val="22"/>
          <w:lang w:val="en-CA"/>
        </w:rPr>
        <w:endnoteReference w:id="40"/>
      </w:r>
      <w:r w:rsidRPr="007C129D">
        <w:rPr>
          <w:noProof w:val="0"/>
          <w:spacing w:val="-4"/>
          <w:kern w:val="22"/>
          <w:lang w:val="en-CA"/>
        </w:rPr>
        <w:t xml:space="preserve"> In Europe, state health systems were the principal purchasers of drugs, but this was becoming less of a positive for the pharmaceutical industry than it used to be. Due to increasing public health-care spending and tight national budgets, European governments had in recent years become active in the areas of price regulation and negotiation. For the pharmaceutical industry, these measures had taken on vast proportions. Tom McKillop, the CEO of AstraZeneca Plc (Astra Zeneca) from 1999 to 2006, spoke of an “extortion-like” situation. Felix Raeber, at the time head of European media relations for Novartis, described the situation as one where the pharmaceutical companies were “without control” over pricing.</w:t>
      </w:r>
      <w:r w:rsidRPr="007C129D">
        <w:rPr>
          <w:rStyle w:val="EndnoteReference"/>
          <w:noProof w:val="0"/>
          <w:spacing w:val="-4"/>
          <w:kern w:val="22"/>
          <w:lang w:val="en-CA"/>
        </w:rPr>
        <w:endnoteReference w:id="41"/>
      </w:r>
      <w:r w:rsidRPr="007C129D">
        <w:rPr>
          <w:noProof w:val="0"/>
          <w:spacing w:val="-4"/>
          <w:kern w:val="22"/>
          <w:lang w:val="en-CA"/>
        </w:rPr>
        <w:t xml:space="preserve"> </w:t>
      </w:r>
    </w:p>
    <w:p w14:paraId="104503C8" w14:textId="77777777" w:rsidR="00F66071" w:rsidRPr="0030399D" w:rsidRDefault="00F66071" w:rsidP="00F66071">
      <w:pPr>
        <w:pStyle w:val="IVEYText"/>
        <w:rPr>
          <w:noProof w:val="0"/>
          <w:sz w:val="14"/>
          <w:szCs w:val="14"/>
          <w:lang w:val="en-CA"/>
        </w:rPr>
      </w:pPr>
    </w:p>
    <w:p w14:paraId="42AEC8FA" w14:textId="4C9FB768" w:rsidR="00F66071" w:rsidRPr="0030399D" w:rsidRDefault="00F66071" w:rsidP="00F66071">
      <w:pPr>
        <w:pStyle w:val="IVEYText"/>
        <w:rPr>
          <w:noProof w:val="0"/>
          <w:lang w:val="en-CA"/>
        </w:rPr>
      </w:pPr>
      <w:r w:rsidRPr="0030399D">
        <w:rPr>
          <w:noProof w:val="0"/>
          <w:lang w:val="en-CA"/>
        </w:rPr>
        <w:t xml:space="preserve">One regulation method involved the state and manufacturer agreeing to set fixed prices. This meant lengthy price and reimbursement negotiations, which could delay product launch significantly. The German government in 2005, for example, became involved in price regulation and demanded sweeping price reductions. </w:t>
      </w:r>
      <w:r w:rsidR="007C129D">
        <w:rPr>
          <w:noProof w:val="0"/>
          <w:lang w:val="en-CA"/>
        </w:rPr>
        <w:t xml:space="preserve">For example, </w:t>
      </w:r>
      <w:r w:rsidRPr="0030399D">
        <w:rPr>
          <w:noProof w:val="0"/>
          <w:lang w:val="en-CA"/>
        </w:rPr>
        <w:t xml:space="preserve">Lipitor patients would in future receive reimbursement up to a certain amount only. The government also asserted, however, that if the price of Lipitor were to be reduced by a further 38 per cent, patients would receive full reimbursement. Pfizer implemented the price reduction, which had a drastic effect on its profits. It did mean, though, that the product could be kept on the market. </w:t>
      </w:r>
      <w:r w:rsidRPr="0030399D">
        <w:rPr>
          <w:rStyle w:val="EndnoteReference"/>
          <w:noProof w:val="0"/>
          <w:lang w:val="en-CA"/>
        </w:rPr>
        <w:endnoteReference w:id="42"/>
      </w:r>
      <w:r w:rsidRPr="0030399D">
        <w:rPr>
          <w:noProof w:val="0"/>
          <w:lang w:val="en-CA"/>
        </w:rPr>
        <w:t xml:space="preserve"> </w:t>
      </w:r>
    </w:p>
    <w:p w14:paraId="4660F6F0" w14:textId="77777777" w:rsidR="00F66071" w:rsidRPr="0030399D" w:rsidRDefault="00F66071" w:rsidP="00F66071">
      <w:pPr>
        <w:pStyle w:val="IVEYText"/>
        <w:rPr>
          <w:noProof w:val="0"/>
          <w:sz w:val="14"/>
          <w:szCs w:val="14"/>
          <w:lang w:val="en-CA"/>
        </w:rPr>
      </w:pPr>
    </w:p>
    <w:p w14:paraId="6219B820" w14:textId="77777777" w:rsidR="00F66071" w:rsidRPr="007C129D" w:rsidRDefault="00F66071" w:rsidP="00F66071">
      <w:pPr>
        <w:pStyle w:val="IVEYText"/>
        <w:rPr>
          <w:noProof w:val="0"/>
          <w:spacing w:val="-6"/>
          <w:kern w:val="22"/>
          <w:lang w:val="en-CA"/>
        </w:rPr>
      </w:pPr>
      <w:r w:rsidRPr="007C129D">
        <w:rPr>
          <w:noProof w:val="0"/>
          <w:spacing w:val="-6"/>
          <w:kern w:val="22"/>
          <w:lang w:val="en-CA"/>
        </w:rPr>
        <w:t>Governments in Europe set prices by what was known as “referencing.” Products with similar therapeutic effects were grouped together, and a lower all-in price separately</w:t>
      </w:r>
      <w:r w:rsidRPr="007C129D" w:rsidDel="006C0716">
        <w:rPr>
          <w:noProof w:val="0"/>
          <w:spacing w:val="-6"/>
          <w:kern w:val="22"/>
          <w:lang w:val="en-CA"/>
        </w:rPr>
        <w:t xml:space="preserve"> </w:t>
      </w:r>
      <w:r w:rsidRPr="007C129D">
        <w:rPr>
          <w:noProof w:val="0"/>
          <w:spacing w:val="-6"/>
          <w:kern w:val="22"/>
          <w:lang w:val="en-CA"/>
        </w:rPr>
        <w:t>determined for each group. The reimbursement system was then aligned such that the patients paid for the drugs if the price was higher than the reference price. Another measure taken by governments was known as an “all-in price markdown” that limited a product’s profit margins</w:t>
      </w:r>
      <w:r w:rsidRPr="007C129D">
        <w:rPr>
          <w:rFonts w:eastAsia="Calibri"/>
          <w:noProof w:val="0"/>
          <w:spacing w:val="-6"/>
          <w:kern w:val="22"/>
          <w:lang w:val="en-CA"/>
        </w:rPr>
        <w:t>—</w:t>
      </w:r>
      <w:r w:rsidRPr="007C129D">
        <w:rPr>
          <w:noProof w:val="0"/>
          <w:spacing w:val="-6"/>
          <w:kern w:val="22"/>
          <w:lang w:val="en-CA"/>
        </w:rPr>
        <w:t>one such was the Pharmaceutical Price Regulation Scheme system developed in the United Kingdom.</w:t>
      </w:r>
      <w:r w:rsidRPr="007C129D">
        <w:rPr>
          <w:rStyle w:val="EndnoteReference"/>
          <w:noProof w:val="0"/>
          <w:spacing w:val="-6"/>
          <w:kern w:val="22"/>
          <w:lang w:val="en-CA"/>
        </w:rPr>
        <w:endnoteReference w:id="43"/>
      </w:r>
    </w:p>
    <w:p w14:paraId="0A778494" w14:textId="77777777" w:rsidR="00F66071" w:rsidRPr="007C129D" w:rsidRDefault="00F66071" w:rsidP="00F66071">
      <w:pPr>
        <w:pStyle w:val="IVEYText"/>
        <w:rPr>
          <w:noProof w:val="0"/>
          <w:sz w:val="14"/>
          <w:szCs w:val="14"/>
          <w:lang w:val="en-CA"/>
        </w:rPr>
      </w:pPr>
    </w:p>
    <w:p w14:paraId="468A74E3" w14:textId="762CC51B" w:rsidR="00F66071" w:rsidRDefault="00F66071" w:rsidP="00F66071">
      <w:pPr>
        <w:pStyle w:val="IVEYText"/>
        <w:rPr>
          <w:lang w:val="en-CA"/>
        </w:rPr>
      </w:pPr>
      <w:r w:rsidRPr="0030399D">
        <w:rPr>
          <w:lang w:val="en-CA"/>
        </w:rPr>
        <w:t>In 2012, an average price range of 30 per cent over or under the EU average price existed.</w:t>
      </w:r>
      <w:r w:rsidRPr="0030399D">
        <w:rPr>
          <w:rStyle w:val="EndnoteReference"/>
          <w:lang w:val="en-CA"/>
        </w:rPr>
        <w:endnoteReference w:id="44"/>
      </w:r>
      <w:r w:rsidRPr="0030399D">
        <w:rPr>
          <w:lang w:val="en-CA"/>
        </w:rPr>
        <w:t xml:space="preserve"> Each country set different prices; hence price control within the EU resulted in parallel imports and lost profits for pharmaceuticals corporations. Governments, via their respective health-care reimbursement systems, influenced not only prices but also product demand. Usually, patients would get drugs expenses paid for only if the drug was classified as reimbursable by their national health-care system. Many countries established so-called “positive lists,” where all products on the list were normally reimbursed, and/or “negative lists,” where all products on the list would not be reimbursed. When a prescription drug was not reimbursed, the demand for this drug was thereby automatically limited</w:t>
      </w:r>
      <w:r w:rsidRPr="0030399D">
        <w:rPr>
          <w:rFonts w:eastAsia="Calibri"/>
          <w:lang w:val="en-CA"/>
        </w:rPr>
        <w:t xml:space="preserve">—as </w:t>
      </w:r>
      <w:r w:rsidRPr="0030399D">
        <w:rPr>
          <w:lang w:val="en-CA"/>
        </w:rPr>
        <w:t>patients would shy away from drugs they had to finance out of their own pockets.</w:t>
      </w:r>
    </w:p>
    <w:p w14:paraId="3C70CEDD" w14:textId="77777777" w:rsidR="00F66071" w:rsidRPr="0030399D" w:rsidRDefault="00F66071" w:rsidP="00F66071">
      <w:pPr>
        <w:pStyle w:val="ExhibitHeading"/>
        <w:rPr>
          <w:lang w:val="en-CA"/>
        </w:rPr>
      </w:pPr>
      <w:r w:rsidRPr="0030399D">
        <w:rPr>
          <w:lang w:val="en-CA"/>
        </w:rPr>
        <w:lastRenderedPageBreak/>
        <w:t>Exhibit 1: Revenues of the Pharmaceutial SEgment of the top 10 Pharmaceutical Companies, 2007, 2012, and 2017 [in US$</w:t>
      </w:r>
      <w:r w:rsidRPr="0030399D">
        <w:rPr>
          <w:sz w:val="17"/>
          <w:szCs w:val="17"/>
          <w:lang w:val="en-CA"/>
        </w:rPr>
        <w:t xml:space="preserve"> </w:t>
      </w:r>
      <w:r w:rsidRPr="0030399D">
        <w:rPr>
          <w:lang w:val="en-CA"/>
        </w:rPr>
        <w:t>millions]</w:t>
      </w:r>
    </w:p>
    <w:p w14:paraId="4EBCD53E" w14:textId="77777777" w:rsidR="00F66071" w:rsidRPr="00F53351" w:rsidRDefault="00F66071" w:rsidP="00F66071">
      <w:pPr>
        <w:pStyle w:val="IVEYappTitel"/>
        <w:rPr>
          <w:noProof w:val="0"/>
          <w:sz w:val="12"/>
          <w:szCs w:val="12"/>
          <w:lang w:val="en-CA"/>
        </w:rPr>
      </w:pPr>
    </w:p>
    <w:tbl>
      <w:tblPr>
        <w:tblW w:w="7036" w:type="dxa"/>
        <w:jc w:val="center"/>
        <w:tblLayout w:type="fixed"/>
        <w:tblCellMar>
          <w:left w:w="58" w:type="dxa"/>
          <w:right w:w="58" w:type="dxa"/>
        </w:tblCellMar>
        <w:tblLook w:val="04A0" w:firstRow="1" w:lastRow="0" w:firstColumn="1" w:lastColumn="0" w:noHBand="0" w:noVBand="1"/>
      </w:tblPr>
      <w:tblGrid>
        <w:gridCol w:w="2268"/>
        <w:gridCol w:w="1591"/>
        <w:gridCol w:w="1587"/>
        <w:gridCol w:w="1590"/>
      </w:tblGrid>
      <w:tr w:rsidR="00F66071" w:rsidRPr="002403B2" w14:paraId="7E98057C" w14:textId="77777777" w:rsidTr="007C129D">
        <w:trPr>
          <w:trHeight w:val="56"/>
          <w:jc w:val="center"/>
        </w:trPr>
        <w:tc>
          <w:tcPr>
            <w:tcW w:w="2268" w:type="dxa"/>
            <w:tcBorders>
              <w:top w:val="single" w:sz="4" w:space="0" w:color="auto"/>
              <w:left w:val="single" w:sz="4" w:space="0" w:color="auto"/>
              <w:right w:val="single" w:sz="4" w:space="0" w:color="auto"/>
            </w:tcBorders>
            <w:shd w:val="clear" w:color="auto" w:fill="auto"/>
            <w:noWrap/>
            <w:vAlign w:val="center"/>
            <w:hideMark/>
          </w:tcPr>
          <w:p w14:paraId="3D4D8703" w14:textId="77777777" w:rsidR="00F66071" w:rsidRPr="002403B2" w:rsidRDefault="00F66071" w:rsidP="007C129D">
            <w:pPr>
              <w:jc w:val="center"/>
              <w:rPr>
                <w:rFonts w:ascii="Arial" w:eastAsia="Calibri" w:hAnsi="Arial" w:cs="Arial"/>
                <w:b/>
                <w:sz w:val="16"/>
                <w:szCs w:val="16"/>
                <w:lang w:val="en-CA"/>
              </w:rPr>
            </w:pPr>
            <w:r w:rsidRPr="002403B2">
              <w:rPr>
                <w:rFonts w:ascii="Arial" w:eastAsia="Calibri" w:hAnsi="Arial" w:cs="Arial"/>
                <w:b/>
                <w:sz w:val="16"/>
                <w:szCs w:val="16"/>
                <w:lang w:val="en-CA"/>
              </w:rPr>
              <w:t>Company</w:t>
            </w:r>
          </w:p>
        </w:tc>
        <w:tc>
          <w:tcPr>
            <w:tcW w:w="4768" w:type="dxa"/>
            <w:gridSpan w:val="3"/>
            <w:tcBorders>
              <w:top w:val="single" w:sz="4" w:space="0" w:color="auto"/>
              <w:left w:val="single" w:sz="4" w:space="0" w:color="auto"/>
              <w:right w:val="single" w:sz="4" w:space="0" w:color="auto"/>
            </w:tcBorders>
            <w:shd w:val="clear" w:color="auto" w:fill="auto"/>
            <w:vAlign w:val="center"/>
          </w:tcPr>
          <w:p w14:paraId="62414F9C" w14:textId="77777777" w:rsidR="00F66071" w:rsidRPr="002403B2" w:rsidRDefault="00F66071" w:rsidP="007C129D">
            <w:pPr>
              <w:jc w:val="center"/>
              <w:rPr>
                <w:rFonts w:ascii="Arial" w:eastAsia="Calibri" w:hAnsi="Arial" w:cs="Arial"/>
                <w:b/>
                <w:sz w:val="16"/>
                <w:szCs w:val="16"/>
                <w:lang w:val="en-CA"/>
              </w:rPr>
            </w:pPr>
            <w:r w:rsidRPr="002403B2">
              <w:rPr>
                <w:rFonts w:ascii="Arial" w:eastAsia="Calibri" w:hAnsi="Arial" w:cs="Arial"/>
                <w:b/>
                <w:sz w:val="16"/>
                <w:szCs w:val="16"/>
                <w:lang w:val="en-CA"/>
              </w:rPr>
              <w:t>Pharmaceutical Segment</w:t>
            </w:r>
          </w:p>
        </w:tc>
      </w:tr>
      <w:tr w:rsidR="00F66071" w:rsidRPr="002403B2" w14:paraId="5AE55940" w14:textId="77777777" w:rsidTr="007C129D">
        <w:trPr>
          <w:trHeight w:val="66"/>
          <w:jc w:val="center"/>
        </w:trPr>
        <w:tc>
          <w:tcPr>
            <w:tcW w:w="2268" w:type="dxa"/>
            <w:tcBorders>
              <w:left w:val="single" w:sz="4" w:space="0" w:color="auto"/>
              <w:bottom w:val="single" w:sz="4" w:space="0" w:color="auto"/>
              <w:right w:val="single" w:sz="4" w:space="0" w:color="auto"/>
            </w:tcBorders>
            <w:shd w:val="clear" w:color="auto" w:fill="auto"/>
            <w:noWrap/>
            <w:vAlign w:val="center"/>
          </w:tcPr>
          <w:p w14:paraId="291762E1" w14:textId="77777777" w:rsidR="00F66071" w:rsidRPr="002403B2" w:rsidRDefault="00F66071" w:rsidP="007C129D">
            <w:pPr>
              <w:jc w:val="center"/>
              <w:rPr>
                <w:rFonts w:ascii="Arial" w:eastAsia="Calibri" w:hAnsi="Arial" w:cs="Arial"/>
                <w:b/>
                <w:sz w:val="16"/>
                <w:szCs w:val="16"/>
                <w:lang w:val="en-CA"/>
              </w:rPr>
            </w:pPr>
          </w:p>
        </w:tc>
        <w:tc>
          <w:tcPr>
            <w:tcW w:w="1591" w:type="dxa"/>
            <w:tcBorders>
              <w:left w:val="single" w:sz="4" w:space="0" w:color="auto"/>
              <w:bottom w:val="single" w:sz="4" w:space="0" w:color="auto"/>
            </w:tcBorders>
            <w:shd w:val="clear" w:color="auto" w:fill="auto"/>
            <w:vAlign w:val="center"/>
          </w:tcPr>
          <w:p w14:paraId="01391CE5" w14:textId="77777777" w:rsidR="00F66071" w:rsidRPr="002403B2" w:rsidRDefault="00F66071" w:rsidP="007C129D">
            <w:pPr>
              <w:jc w:val="center"/>
              <w:rPr>
                <w:rFonts w:ascii="Arial" w:eastAsia="Calibri" w:hAnsi="Arial" w:cs="Arial"/>
                <w:b/>
                <w:sz w:val="16"/>
                <w:szCs w:val="16"/>
                <w:lang w:val="en-CA"/>
              </w:rPr>
            </w:pPr>
            <w:r w:rsidRPr="002403B2">
              <w:rPr>
                <w:rFonts w:ascii="Arial" w:eastAsia="Calibri" w:hAnsi="Arial" w:cs="Arial"/>
                <w:b/>
                <w:sz w:val="16"/>
                <w:szCs w:val="16"/>
                <w:lang w:val="en-CA"/>
              </w:rPr>
              <w:t>2017</w:t>
            </w:r>
          </w:p>
        </w:tc>
        <w:tc>
          <w:tcPr>
            <w:tcW w:w="1587" w:type="dxa"/>
            <w:tcBorders>
              <w:bottom w:val="single" w:sz="4" w:space="0" w:color="auto"/>
            </w:tcBorders>
            <w:shd w:val="clear" w:color="auto" w:fill="auto"/>
            <w:noWrap/>
            <w:vAlign w:val="center"/>
          </w:tcPr>
          <w:p w14:paraId="071637CA" w14:textId="77777777" w:rsidR="00F66071" w:rsidRPr="002403B2" w:rsidRDefault="00F66071" w:rsidP="007C129D">
            <w:pPr>
              <w:jc w:val="center"/>
              <w:rPr>
                <w:rFonts w:ascii="Arial" w:eastAsia="Calibri" w:hAnsi="Arial" w:cs="Arial"/>
                <w:b/>
                <w:sz w:val="16"/>
                <w:szCs w:val="16"/>
                <w:lang w:val="en-CA"/>
              </w:rPr>
            </w:pPr>
            <w:r w:rsidRPr="002403B2">
              <w:rPr>
                <w:rFonts w:ascii="Arial" w:eastAsia="Calibri" w:hAnsi="Arial" w:cs="Arial"/>
                <w:b/>
                <w:sz w:val="16"/>
                <w:szCs w:val="16"/>
                <w:lang w:val="en-CA"/>
              </w:rPr>
              <w:t>2012</w:t>
            </w:r>
          </w:p>
        </w:tc>
        <w:tc>
          <w:tcPr>
            <w:tcW w:w="1590" w:type="dxa"/>
            <w:tcBorders>
              <w:bottom w:val="single" w:sz="4" w:space="0" w:color="auto"/>
              <w:right w:val="single" w:sz="4" w:space="0" w:color="auto"/>
            </w:tcBorders>
            <w:shd w:val="clear" w:color="auto" w:fill="auto"/>
            <w:noWrap/>
            <w:vAlign w:val="center"/>
          </w:tcPr>
          <w:p w14:paraId="7A66F581" w14:textId="77777777" w:rsidR="00F66071" w:rsidRPr="002403B2" w:rsidRDefault="00F66071" w:rsidP="007C129D">
            <w:pPr>
              <w:jc w:val="center"/>
              <w:rPr>
                <w:rFonts w:ascii="Arial" w:eastAsia="Calibri" w:hAnsi="Arial" w:cs="Arial"/>
                <w:b/>
                <w:sz w:val="16"/>
                <w:szCs w:val="16"/>
                <w:lang w:val="en-CA"/>
              </w:rPr>
            </w:pPr>
            <w:r w:rsidRPr="002403B2">
              <w:rPr>
                <w:rFonts w:ascii="Arial" w:eastAsia="Calibri" w:hAnsi="Arial" w:cs="Arial"/>
                <w:b/>
                <w:sz w:val="16"/>
                <w:szCs w:val="16"/>
                <w:lang w:val="en-CA"/>
              </w:rPr>
              <w:t>2007</w:t>
            </w:r>
          </w:p>
        </w:tc>
      </w:tr>
      <w:tr w:rsidR="00F66071" w:rsidRPr="002403B2" w14:paraId="47B9A5F3" w14:textId="77777777" w:rsidTr="007C129D">
        <w:trPr>
          <w:trHeight w:val="80"/>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DC664"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Pfizer</w:t>
            </w:r>
            <w:r w:rsidRPr="002403B2">
              <w:rPr>
                <w:rFonts w:ascii="Arial" w:eastAsia="Calibri" w:hAnsi="Arial" w:cs="Arial"/>
                <w:sz w:val="16"/>
                <w:szCs w:val="16"/>
                <w:vertAlign w:val="superscript"/>
                <w:lang w:val="en-CA"/>
              </w:rPr>
              <w:t>*</w:t>
            </w:r>
          </w:p>
        </w:tc>
        <w:tc>
          <w:tcPr>
            <w:tcW w:w="1591" w:type="dxa"/>
            <w:tcBorders>
              <w:top w:val="single" w:sz="4" w:space="0" w:color="auto"/>
              <w:left w:val="single" w:sz="4" w:space="0" w:color="auto"/>
              <w:bottom w:val="single" w:sz="4" w:space="0" w:color="auto"/>
            </w:tcBorders>
            <w:shd w:val="clear" w:color="auto" w:fill="auto"/>
            <w:vAlign w:val="center"/>
          </w:tcPr>
          <w:p w14:paraId="5ED0B182"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52,800</w:t>
            </w:r>
          </w:p>
        </w:tc>
        <w:tc>
          <w:tcPr>
            <w:tcW w:w="1587" w:type="dxa"/>
            <w:tcBorders>
              <w:top w:val="single" w:sz="4" w:space="0" w:color="auto"/>
              <w:bottom w:val="single" w:sz="4" w:space="0" w:color="auto"/>
            </w:tcBorders>
            <w:shd w:val="clear" w:color="auto" w:fill="auto"/>
            <w:noWrap/>
            <w:vAlign w:val="center"/>
            <w:hideMark/>
          </w:tcPr>
          <w:p w14:paraId="0736B780"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67,425</w:t>
            </w:r>
          </w:p>
        </w:tc>
        <w:tc>
          <w:tcPr>
            <w:tcW w:w="1590" w:type="dxa"/>
            <w:tcBorders>
              <w:top w:val="single" w:sz="4" w:space="0" w:color="auto"/>
              <w:bottom w:val="single" w:sz="4" w:space="0" w:color="auto"/>
              <w:right w:val="single" w:sz="4" w:space="0" w:color="auto"/>
            </w:tcBorders>
            <w:shd w:val="clear" w:color="auto" w:fill="auto"/>
            <w:noWrap/>
            <w:vAlign w:val="center"/>
            <w:hideMark/>
          </w:tcPr>
          <w:p w14:paraId="592A52DC"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48,371</w:t>
            </w:r>
          </w:p>
        </w:tc>
      </w:tr>
      <w:tr w:rsidR="00F66071" w:rsidRPr="002403B2" w14:paraId="6A71E7CE" w14:textId="77777777" w:rsidTr="007C129D">
        <w:trPr>
          <w:trHeight w:val="56"/>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047ED"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Roche</w:t>
            </w:r>
            <w:r w:rsidRPr="002403B2">
              <w:rPr>
                <w:rFonts w:ascii="Arial" w:eastAsia="Calibri" w:hAnsi="Arial" w:cs="Arial"/>
                <w:sz w:val="16"/>
                <w:szCs w:val="16"/>
                <w:vertAlign w:val="superscript"/>
                <w:lang w:val="en-CA"/>
              </w:rPr>
              <w:t>*</w:t>
            </w:r>
          </w:p>
        </w:tc>
        <w:tc>
          <w:tcPr>
            <w:tcW w:w="1591" w:type="dxa"/>
            <w:tcBorders>
              <w:top w:val="single" w:sz="4" w:space="0" w:color="auto"/>
              <w:left w:val="single" w:sz="4" w:space="0" w:color="auto"/>
              <w:bottom w:val="single" w:sz="4" w:space="0" w:color="auto"/>
            </w:tcBorders>
            <w:shd w:val="clear" w:color="auto" w:fill="auto"/>
            <w:vAlign w:val="center"/>
          </w:tcPr>
          <w:p w14:paraId="4974111C"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44,300</w:t>
            </w:r>
          </w:p>
        </w:tc>
        <w:tc>
          <w:tcPr>
            <w:tcW w:w="1587" w:type="dxa"/>
            <w:tcBorders>
              <w:top w:val="single" w:sz="4" w:space="0" w:color="auto"/>
              <w:bottom w:val="single" w:sz="4" w:space="0" w:color="auto"/>
            </w:tcBorders>
            <w:shd w:val="clear" w:color="auto" w:fill="auto"/>
            <w:noWrap/>
            <w:vAlign w:val="center"/>
            <w:hideMark/>
          </w:tcPr>
          <w:p w14:paraId="04C139FD"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45,304</w:t>
            </w:r>
          </w:p>
        </w:tc>
        <w:tc>
          <w:tcPr>
            <w:tcW w:w="1590" w:type="dxa"/>
            <w:tcBorders>
              <w:top w:val="single" w:sz="4" w:space="0" w:color="auto"/>
              <w:bottom w:val="single" w:sz="4" w:space="0" w:color="auto"/>
              <w:right w:val="single" w:sz="4" w:space="0" w:color="auto"/>
            </w:tcBorders>
            <w:shd w:val="clear" w:color="auto" w:fill="auto"/>
            <w:noWrap/>
            <w:vAlign w:val="center"/>
            <w:hideMark/>
          </w:tcPr>
          <w:p w14:paraId="03DA5816"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34,483</w:t>
            </w:r>
          </w:p>
        </w:tc>
      </w:tr>
      <w:tr w:rsidR="00F66071" w:rsidRPr="002403B2" w14:paraId="2AAD9D4A" w14:textId="77777777" w:rsidTr="007C129D">
        <w:trPr>
          <w:trHeight w:val="56"/>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6C34C"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Sanofi</w:t>
            </w:r>
            <w:r w:rsidRPr="002403B2">
              <w:rPr>
                <w:rFonts w:ascii="Arial" w:eastAsia="Calibri" w:hAnsi="Arial" w:cs="Arial"/>
                <w:sz w:val="16"/>
                <w:szCs w:val="16"/>
                <w:vertAlign w:val="superscript"/>
                <w:lang w:val="en-CA"/>
              </w:rPr>
              <w:t>*</w:t>
            </w:r>
          </w:p>
        </w:tc>
        <w:tc>
          <w:tcPr>
            <w:tcW w:w="1591" w:type="dxa"/>
            <w:tcBorders>
              <w:top w:val="single" w:sz="4" w:space="0" w:color="auto"/>
              <w:left w:val="single" w:sz="4" w:space="0" w:color="auto"/>
              <w:bottom w:val="single" w:sz="4" w:space="0" w:color="auto"/>
            </w:tcBorders>
            <w:shd w:val="clear" w:color="auto" w:fill="auto"/>
            <w:vAlign w:val="center"/>
          </w:tcPr>
          <w:p w14:paraId="000EFEF3"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36,600</w:t>
            </w:r>
          </w:p>
        </w:tc>
        <w:tc>
          <w:tcPr>
            <w:tcW w:w="1587" w:type="dxa"/>
            <w:tcBorders>
              <w:top w:val="single" w:sz="4" w:space="0" w:color="auto"/>
              <w:bottom w:val="single" w:sz="4" w:space="0" w:color="auto"/>
            </w:tcBorders>
            <w:shd w:val="clear" w:color="auto" w:fill="auto"/>
            <w:noWrap/>
            <w:vAlign w:val="center"/>
            <w:hideMark/>
          </w:tcPr>
          <w:p w14:paraId="5A575690"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43,223</w:t>
            </w:r>
          </w:p>
        </w:tc>
        <w:tc>
          <w:tcPr>
            <w:tcW w:w="1590" w:type="dxa"/>
            <w:tcBorders>
              <w:top w:val="single" w:sz="4" w:space="0" w:color="auto"/>
              <w:bottom w:val="single" w:sz="4" w:space="0" w:color="auto"/>
              <w:right w:val="single" w:sz="4" w:space="0" w:color="auto"/>
            </w:tcBorders>
            <w:shd w:val="clear" w:color="auto" w:fill="auto"/>
            <w:noWrap/>
            <w:vAlign w:val="center"/>
            <w:hideMark/>
          </w:tcPr>
          <w:p w14:paraId="63A0CB8C"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37,333</w:t>
            </w:r>
          </w:p>
        </w:tc>
      </w:tr>
      <w:tr w:rsidR="00F66071" w:rsidRPr="002403B2" w14:paraId="625099BE" w14:textId="77777777" w:rsidTr="007C129D">
        <w:trPr>
          <w:trHeight w:val="56"/>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FB25"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Johnson &amp; Johnson</w:t>
            </w:r>
            <w:r w:rsidRPr="002403B2">
              <w:rPr>
                <w:rFonts w:ascii="Arial" w:eastAsia="Calibri" w:hAnsi="Arial" w:cs="Arial"/>
                <w:sz w:val="16"/>
                <w:szCs w:val="16"/>
                <w:vertAlign w:val="superscript"/>
                <w:lang w:val="en-CA"/>
              </w:rPr>
              <w:t>*</w:t>
            </w:r>
          </w:p>
        </w:tc>
        <w:tc>
          <w:tcPr>
            <w:tcW w:w="1591" w:type="dxa"/>
            <w:tcBorders>
              <w:top w:val="single" w:sz="4" w:space="0" w:color="auto"/>
              <w:left w:val="single" w:sz="4" w:space="0" w:color="auto"/>
              <w:bottom w:val="single" w:sz="4" w:space="0" w:color="auto"/>
            </w:tcBorders>
            <w:shd w:val="clear" w:color="auto" w:fill="auto"/>
            <w:vAlign w:val="center"/>
          </w:tcPr>
          <w:p w14:paraId="52EA9D6C"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36,300</w:t>
            </w:r>
          </w:p>
        </w:tc>
        <w:tc>
          <w:tcPr>
            <w:tcW w:w="1587" w:type="dxa"/>
            <w:tcBorders>
              <w:top w:val="single" w:sz="4" w:space="0" w:color="auto"/>
              <w:bottom w:val="single" w:sz="4" w:space="0" w:color="auto"/>
            </w:tcBorders>
            <w:shd w:val="clear" w:color="auto" w:fill="auto"/>
            <w:noWrap/>
            <w:vAlign w:val="center"/>
            <w:hideMark/>
          </w:tcPr>
          <w:p w14:paraId="0DA6100E"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24,368</w:t>
            </w:r>
          </w:p>
        </w:tc>
        <w:tc>
          <w:tcPr>
            <w:tcW w:w="1590" w:type="dxa"/>
            <w:tcBorders>
              <w:top w:val="single" w:sz="4" w:space="0" w:color="auto"/>
              <w:bottom w:val="single" w:sz="4" w:space="0" w:color="auto"/>
              <w:right w:val="single" w:sz="4" w:space="0" w:color="auto"/>
            </w:tcBorders>
            <w:shd w:val="clear" w:color="auto" w:fill="auto"/>
            <w:noWrap/>
            <w:vAlign w:val="center"/>
            <w:hideMark/>
          </w:tcPr>
          <w:p w14:paraId="36C29811"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23,200</w:t>
            </w:r>
          </w:p>
        </w:tc>
      </w:tr>
      <w:tr w:rsidR="00F66071" w:rsidRPr="002403B2" w14:paraId="61FF28FC" w14:textId="77777777" w:rsidTr="007C129D">
        <w:trPr>
          <w:trHeight w:val="56"/>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6F87F"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Merck &amp; Co</w:t>
            </w:r>
            <w:r w:rsidRPr="002403B2">
              <w:rPr>
                <w:rFonts w:ascii="Arial" w:eastAsia="Calibri" w:hAnsi="Arial" w:cs="Arial"/>
                <w:sz w:val="16"/>
                <w:szCs w:val="16"/>
                <w:vertAlign w:val="superscript"/>
                <w:lang w:val="en-CA"/>
              </w:rPr>
              <w:t>*</w:t>
            </w:r>
          </w:p>
        </w:tc>
        <w:tc>
          <w:tcPr>
            <w:tcW w:w="1591" w:type="dxa"/>
            <w:tcBorders>
              <w:top w:val="single" w:sz="4" w:space="0" w:color="auto"/>
              <w:left w:val="single" w:sz="4" w:space="0" w:color="auto"/>
              <w:bottom w:val="single" w:sz="4" w:space="0" w:color="auto"/>
            </w:tcBorders>
            <w:shd w:val="clear" w:color="auto" w:fill="auto"/>
            <w:vAlign w:val="center"/>
          </w:tcPr>
          <w:p w14:paraId="7717FE3E"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35,400</w:t>
            </w:r>
          </w:p>
        </w:tc>
        <w:tc>
          <w:tcPr>
            <w:tcW w:w="1587" w:type="dxa"/>
            <w:tcBorders>
              <w:top w:val="single" w:sz="4" w:space="0" w:color="auto"/>
              <w:bottom w:val="single" w:sz="4" w:space="0" w:color="auto"/>
            </w:tcBorders>
            <w:shd w:val="clear" w:color="auto" w:fill="auto"/>
            <w:noWrap/>
            <w:vAlign w:val="center"/>
            <w:hideMark/>
          </w:tcPr>
          <w:p w14:paraId="6E81961E"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48,047</w:t>
            </w:r>
          </w:p>
        </w:tc>
        <w:tc>
          <w:tcPr>
            <w:tcW w:w="1590" w:type="dxa"/>
            <w:tcBorders>
              <w:top w:val="single" w:sz="4" w:space="0" w:color="auto"/>
              <w:bottom w:val="single" w:sz="4" w:space="0" w:color="auto"/>
              <w:right w:val="single" w:sz="4" w:space="0" w:color="auto"/>
            </w:tcBorders>
            <w:shd w:val="clear" w:color="auto" w:fill="auto"/>
            <w:noWrap/>
            <w:vAlign w:val="center"/>
            <w:hideMark/>
          </w:tcPr>
          <w:p w14:paraId="7C68F801"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22,636</w:t>
            </w:r>
          </w:p>
        </w:tc>
      </w:tr>
      <w:tr w:rsidR="00F66071" w:rsidRPr="002403B2" w14:paraId="73BEEF8E" w14:textId="77777777" w:rsidTr="007C129D">
        <w:trPr>
          <w:trHeight w:val="56"/>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437AC"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Novartis</w:t>
            </w:r>
            <w:r w:rsidRPr="002403B2">
              <w:rPr>
                <w:rFonts w:ascii="Arial" w:eastAsia="Calibri" w:hAnsi="Arial" w:cs="Arial"/>
                <w:sz w:val="16"/>
                <w:szCs w:val="16"/>
                <w:vertAlign w:val="superscript"/>
                <w:lang w:val="en-CA"/>
              </w:rPr>
              <w:t>*</w:t>
            </w:r>
          </w:p>
        </w:tc>
        <w:tc>
          <w:tcPr>
            <w:tcW w:w="1591" w:type="dxa"/>
            <w:tcBorders>
              <w:top w:val="single" w:sz="4" w:space="0" w:color="auto"/>
              <w:left w:val="single" w:sz="4" w:space="0" w:color="auto"/>
              <w:bottom w:val="single" w:sz="4" w:space="0" w:color="auto"/>
            </w:tcBorders>
            <w:shd w:val="clear" w:color="auto" w:fill="auto"/>
            <w:vAlign w:val="center"/>
          </w:tcPr>
          <w:p w14:paraId="2C687915"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33,000</w:t>
            </w:r>
          </w:p>
        </w:tc>
        <w:tc>
          <w:tcPr>
            <w:tcW w:w="1587" w:type="dxa"/>
            <w:tcBorders>
              <w:top w:val="single" w:sz="4" w:space="0" w:color="auto"/>
              <w:bottom w:val="single" w:sz="4" w:space="0" w:color="auto"/>
            </w:tcBorders>
            <w:shd w:val="clear" w:color="auto" w:fill="auto"/>
            <w:noWrap/>
            <w:vAlign w:val="center"/>
            <w:hideMark/>
          </w:tcPr>
          <w:p w14:paraId="3EF9EBED"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32,508</w:t>
            </w:r>
          </w:p>
        </w:tc>
        <w:tc>
          <w:tcPr>
            <w:tcW w:w="1590" w:type="dxa"/>
            <w:tcBorders>
              <w:top w:val="single" w:sz="4" w:space="0" w:color="auto"/>
              <w:bottom w:val="single" w:sz="4" w:space="0" w:color="auto"/>
              <w:right w:val="single" w:sz="4" w:space="0" w:color="auto"/>
            </w:tcBorders>
            <w:shd w:val="clear" w:color="auto" w:fill="auto"/>
            <w:noWrap/>
            <w:vAlign w:val="center"/>
            <w:hideMark/>
          </w:tcPr>
          <w:p w14:paraId="14DCC003"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22,576</w:t>
            </w:r>
          </w:p>
        </w:tc>
      </w:tr>
      <w:tr w:rsidR="00F66071" w:rsidRPr="002403B2" w14:paraId="22C64C50" w14:textId="77777777" w:rsidTr="007C129D">
        <w:trPr>
          <w:trHeight w:val="56"/>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90AD3"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AbbVie</w:t>
            </w:r>
          </w:p>
        </w:tc>
        <w:tc>
          <w:tcPr>
            <w:tcW w:w="1591" w:type="dxa"/>
            <w:tcBorders>
              <w:top w:val="single" w:sz="4" w:space="0" w:color="auto"/>
              <w:left w:val="single" w:sz="4" w:space="0" w:color="auto"/>
              <w:bottom w:val="single" w:sz="4" w:space="0" w:color="auto"/>
            </w:tcBorders>
            <w:shd w:val="clear" w:color="auto" w:fill="auto"/>
            <w:vAlign w:val="center"/>
          </w:tcPr>
          <w:p w14:paraId="332144C1"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28,200</w:t>
            </w:r>
          </w:p>
        </w:tc>
        <w:tc>
          <w:tcPr>
            <w:tcW w:w="1587" w:type="dxa"/>
            <w:tcBorders>
              <w:top w:val="single" w:sz="4" w:space="0" w:color="auto"/>
              <w:bottom w:val="single" w:sz="4" w:space="0" w:color="auto"/>
            </w:tcBorders>
            <w:shd w:val="clear" w:color="auto" w:fill="auto"/>
            <w:noWrap/>
            <w:vAlign w:val="center"/>
            <w:hideMark/>
          </w:tcPr>
          <w:p w14:paraId="1E575C95"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(18,380)</w:t>
            </w:r>
            <w:r w:rsidRPr="002403B2">
              <w:rPr>
                <w:rFonts w:ascii="Arial" w:eastAsia="Calibri" w:hAnsi="Arial" w:cs="Arial"/>
                <w:sz w:val="16"/>
                <w:szCs w:val="16"/>
                <w:vertAlign w:val="superscript"/>
                <w:lang w:val="en-CA"/>
              </w:rPr>
              <w:t>**</w:t>
            </w:r>
          </w:p>
        </w:tc>
        <w:tc>
          <w:tcPr>
            <w:tcW w:w="1590" w:type="dxa"/>
            <w:tcBorders>
              <w:top w:val="single" w:sz="4" w:space="0" w:color="auto"/>
              <w:bottom w:val="single" w:sz="4" w:space="0" w:color="auto"/>
              <w:right w:val="single" w:sz="4" w:space="0" w:color="auto"/>
            </w:tcBorders>
            <w:shd w:val="clear" w:color="auto" w:fill="auto"/>
            <w:noWrap/>
            <w:vAlign w:val="center"/>
            <w:hideMark/>
          </w:tcPr>
          <w:p w14:paraId="18878A03"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N/A</w:t>
            </w:r>
            <w:r w:rsidRPr="002403B2">
              <w:rPr>
                <w:rFonts w:ascii="Arial" w:eastAsia="Calibri" w:hAnsi="Arial" w:cs="Arial"/>
                <w:sz w:val="16"/>
                <w:szCs w:val="16"/>
                <w:vertAlign w:val="superscript"/>
                <w:lang w:val="en-CA"/>
              </w:rPr>
              <w:t>**</w:t>
            </w:r>
          </w:p>
        </w:tc>
      </w:tr>
      <w:tr w:rsidR="00F66071" w:rsidRPr="002403B2" w14:paraId="73BEB090" w14:textId="77777777" w:rsidTr="007C129D">
        <w:trPr>
          <w:trHeight w:val="56"/>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A6DE2"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Gilead Sciences</w:t>
            </w:r>
            <w:r w:rsidRPr="002403B2">
              <w:rPr>
                <w:rFonts w:ascii="Arial" w:eastAsia="Calibri" w:hAnsi="Arial" w:cs="Arial"/>
                <w:sz w:val="16"/>
                <w:szCs w:val="16"/>
                <w:vertAlign w:val="superscript"/>
                <w:lang w:val="en-CA"/>
              </w:rPr>
              <w:t>*</w:t>
            </w:r>
          </w:p>
        </w:tc>
        <w:tc>
          <w:tcPr>
            <w:tcW w:w="1591" w:type="dxa"/>
            <w:tcBorders>
              <w:top w:val="single" w:sz="4" w:space="0" w:color="auto"/>
              <w:left w:val="single" w:sz="4" w:space="0" w:color="auto"/>
              <w:bottom w:val="single" w:sz="4" w:space="0" w:color="auto"/>
            </w:tcBorders>
            <w:shd w:val="clear" w:color="auto" w:fill="auto"/>
            <w:vAlign w:val="center"/>
          </w:tcPr>
          <w:p w14:paraId="0A064242"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26,700</w:t>
            </w:r>
          </w:p>
        </w:tc>
        <w:tc>
          <w:tcPr>
            <w:tcW w:w="1587" w:type="dxa"/>
            <w:tcBorders>
              <w:top w:val="single" w:sz="4" w:space="0" w:color="auto"/>
              <w:bottom w:val="single" w:sz="4" w:space="0" w:color="auto"/>
            </w:tcBorders>
            <w:shd w:val="clear" w:color="auto" w:fill="auto"/>
            <w:noWrap/>
            <w:vAlign w:val="center"/>
            <w:hideMark/>
          </w:tcPr>
          <w:p w14:paraId="2D289892"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8,385</w:t>
            </w:r>
          </w:p>
        </w:tc>
        <w:tc>
          <w:tcPr>
            <w:tcW w:w="1590" w:type="dxa"/>
            <w:tcBorders>
              <w:top w:val="single" w:sz="4" w:space="0" w:color="auto"/>
              <w:bottom w:val="single" w:sz="4" w:space="0" w:color="auto"/>
              <w:right w:val="single" w:sz="4" w:space="0" w:color="auto"/>
            </w:tcBorders>
            <w:shd w:val="clear" w:color="auto" w:fill="auto"/>
            <w:noWrap/>
            <w:vAlign w:val="center"/>
            <w:hideMark/>
          </w:tcPr>
          <w:p w14:paraId="0971F488"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3,026</w:t>
            </w:r>
          </w:p>
        </w:tc>
      </w:tr>
      <w:tr w:rsidR="00F66071" w:rsidRPr="002403B2" w14:paraId="2D8ACDB6" w14:textId="77777777" w:rsidTr="007C129D">
        <w:trPr>
          <w:trHeight w:val="56"/>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87620"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GlaxoSmithKline</w:t>
            </w:r>
          </w:p>
        </w:tc>
        <w:tc>
          <w:tcPr>
            <w:tcW w:w="1591" w:type="dxa"/>
            <w:tcBorders>
              <w:top w:val="single" w:sz="4" w:space="0" w:color="auto"/>
              <w:left w:val="single" w:sz="4" w:space="0" w:color="auto"/>
              <w:bottom w:val="single" w:sz="4" w:space="0" w:color="auto"/>
            </w:tcBorders>
            <w:shd w:val="clear" w:color="auto" w:fill="auto"/>
            <w:vAlign w:val="center"/>
          </w:tcPr>
          <w:p w14:paraId="0F28A689"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24,000</w:t>
            </w:r>
          </w:p>
        </w:tc>
        <w:tc>
          <w:tcPr>
            <w:tcW w:w="1587" w:type="dxa"/>
            <w:tcBorders>
              <w:top w:val="single" w:sz="4" w:space="0" w:color="auto"/>
              <w:bottom w:val="single" w:sz="4" w:space="0" w:color="auto"/>
            </w:tcBorders>
            <w:shd w:val="clear" w:color="auto" w:fill="auto"/>
            <w:noWrap/>
            <w:vAlign w:val="center"/>
          </w:tcPr>
          <w:p w14:paraId="25898174"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28,700</w:t>
            </w:r>
          </w:p>
        </w:tc>
        <w:tc>
          <w:tcPr>
            <w:tcW w:w="1590" w:type="dxa"/>
            <w:tcBorders>
              <w:top w:val="single" w:sz="4" w:space="0" w:color="auto"/>
              <w:bottom w:val="single" w:sz="4" w:space="0" w:color="auto"/>
              <w:right w:val="single" w:sz="4" w:space="0" w:color="auto"/>
            </w:tcBorders>
            <w:shd w:val="clear" w:color="auto" w:fill="auto"/>
            <w:noWrap/>
            <w:vAlign w:val="center"/>
          </w:tcPr>
          <w:p w14:paraId="27381503"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30,700</w:t>
            </w:r>
          </w:p>
        </w:tc>
      </w:tr>
      <w:tr w:rsidR="00F66071" w:rsidRPr="002403B2" w14:paraId="17B4A0A6" w14:textId="77777777" w:rsidTr="007C129D">
        <w:trPr>
          <w:trHeight w:val="56"/>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28CBE" w14:textId="77777777" w:rsidR="00F66071" w:rsidRPr="002403B2" w:rsidRDefault="00F66071" w:rsidP="007C129D">
            <w:pPr>
              <w:rPr>
                <w:rFonts w:ascii="Arial" w:eastAsia="Calibri" w:hAnsi="Arial" w:cs="Arial"/>
                <w:sz w:val="16"/>
                <w:szCs w:val="16"/>
                <w:lang w:val="en-CA"/>
              </w:rPr>
            </w:pPr>
            <w:r w:rsidRPr="002403B2">
              <w:rPr>
                <w:rFonts w:ascii="Arial" w:eastAsia="Calibri" w:hAnsi="Arial" w:cs="Arial"/>
                <w:sz w:val="16"/>
                <w:szCs w:val="16"/>
                <w:lang w:val="en-CA"/>
              </w:rPr>
              <w:t>Amgen</w:t>
            </w:r>
          </w:p>
        </w:tc>
        <w:tc>
          <w:tcPr>
            <w:tcW w:w="1591" w:type="dxa"/>
            <w:tcBorders>
              <w:top w:val="single" w:sz="4" w:space="0" w:color="auto"/>
              <w:left w:val="single" w:sz="4" w:space="0" w:color="auto"/>
              <w:bottom w:val="single" w:sz="4" w:space="0" w:color="auto"/>
            </w:tcBorders>
            <w:shd w:val="clear" w:color="auto" w:fill="auto"/>
            <w:vAlign w:val="center"/>
          </w:tcPr>
          <w:p w14:paraId="19DE35C2" w14:textId="77777777" w:rsidR="00F66071" w:rsidRPr="002403B2" w:rsidRDefault="00F66071" w:rsidP="007C129D">
            <w:pPr>
              <w:jc w:val="right"/>
              <w:rPr>
                <w:rFonts w:ascii="Arial" w:eastAsia="Calibri" w:hAnsi="Arial" w:cs="Arial"/>
                <w:b/>
                <w:sz w:val="16"/>
                <w:szCs w:val="16"/>
                <w:lang w:val="en-CA"/>
              </w:rPr>
            </w:pPr>
            <w:r w:rsidRPr="002403B2">
              <w:rPr>
                <w:rFonts w:ascii="Arial" w:eastAsia="Calibri" w:hAnsi="Arial" w:cs="Arial"/>
                <w:sz w:val="16"/>
                <w:szCs w:val="16"/>
                <w:lang w:val="en-CA"/>
              </w:rPr>
              <w:t>22,900</w:t>
            </w:r>
          </w:p>
        </w:tc>
        <w:tc>
          <w:tcPr>
            <w:tcW w:w="1587" w:type="dxa"/>
            <w:tcBorders>
              <w:top w:val="single" w:sz="4" w:space="0" w:color="auto"/>
              <w:bottom w:val="single" w:sz="4" w:space="0" w:color="auto"/>
            </w:tcBorders>
            <w:shd w:val="clear" w:color="auto" w:fill="auto"/>
            <w:noWrap/>
            <w:vAlign w:val="center"/>
            <w:hideMark/>
          </w:tcPr>
          <w:p w14:paraId="7CC11A0E"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15,582</w:t>
            </w:r>
          </w:p>
        </w:tc>
        <w:tc>
          <w:tcPr>
            <w:tcW w:w="1590" w:type="dxa"/>
            <w:tcBorders>
              <w:top w:val="single" w:sz="4" w:space="0" w:color="auto"/>
              <w:bottom w:val="single" w:sz="4" w:space="0" w:color="auto"/>
              <w:right w:val="single" w:sz="4" w:space="0" w:color="auto"/>
            </w:tcBorders>
            <w:shd w:val="clear" w:color="auto" w:fill="auto"/>
            <w:noWrap/>
            <w:vAlign w:val="center"/>
            <w:hideMark/>
          </w:tcPr>
          <w:p w14:paraId="17118F56" w14:textId="77777777" w:rsidR="00F66071" w:rsidRPr="002403B2" w:rsidRDefault="00F66071" w:rsidP="007C129D">
            <w:pPr>
              <w:jc w:val="right"/>
              <w:rPr>
                <w:rFonts w:ascii="Arial" w:eastAsia="Calibri" w:hAnsi="Arial" w:cs="Arial"/>
                <w:sz w:val="16"/>
                <w:szCs w:val="16"/>
                <w:lang w:val="en-CA"/>
              </w:rPr>
            </w:pPr>
            <w:r w:rsidRPr="002403B2">
              <w:rPr>
                <w:rFonts w:ascii="Arial" w:eastAsia="Calibri" w:hAnsi="Arial" w:cs="Arial"/>
                <w:sz w:val="16"/>
                <w:szCs w:val="16"/>
                <w:lang w:val="en-CA"/>
              </w:rPr>
              <w:t>14,268</w:t>
            </w:r>
          </w:p>
        </w:tc>
      </w:tr>
    </w:tbl>
    <w:p w14:paraId="0783C1F2" w14:textId="77777777" w:rsidR="00F66071" w:rsidRPr="00F53351" w:rsidRDefault="00F66071" w:rsidP="00F66071">
      <w:pPr>
        <w:pStyle w:val="ExhibitText"/>
        <w:rPr>
          <w:sz w:val="12"/>
          <w:szCs w:val="12"/>
          <w:lang w:val="en-CA"/>
        </w:rPr>
      </w:pPr>
    </w:p>
    <w:p w14:paraId="64B418E2" w14:textId="77777777" w:rsidR="00F66071" w:rsidRPr="0030399D" w:rsidRDefault="00F66071" w:rsidP="00F66071">
      <w:pPr>
        <w:pStyle w:val="Footnote"/>
        <w:rPr>
          <w:rFonts w:eastAsia="Calibri"/>
          <w:lang w:val="en-CA"/>
        </w:rPr>
      </w:pPr>
      <w:r w:rsidRPr="0030399D">
        <w:rPr>
          <w:rFonts w:eastAsia="Calibri"/>
          <w:lang w:val="en-CA"/>
        </w:rPr>
        <w:t>Notes: *Including generic drugs. For example, Pfizer included innovative as well as generic drugs in its annual pharmaceutical segment revenue; **Abbott Laboratories: In January 2013, Abbott was separated into two companies: Abbott and AbbVie. Abbott was specializing on medical products, while AbbVie was responsible for research-based pharmaceuticals.</w:t>
      </w:r>
    </w:p>
    <w:p w14:paraId="6C2B8A3D" w14:textId="77777777" w:rsidR="00F66071" w:rsidRPr="0030399D" w:rsidRDefault="00F66071" w:rsidP="00F66071">
      <w:pPr>
        <w:pStyle w:val="Footnote"/>
        <w:rPr>
          <w:lang w:val="en-CA"/>
        </w:rPr>
      </w:pPr>
      <w:r w:rsidRPr="0030399D">
        <w:rPr>
          <w:lang w:val="en-CA"/>
        </w:rPr>
        <w:t>Source: Created by case authors based on data from company annual reports</w:t>
      </w:r>
      <w:r>
        <w:rPr>
          <w:lang w:val="en-CA"/>
        </w:rPr>
        <w:t>.</w:t>
      </w:r>
    </w:p>
    <w:p w14:paraId="5D6334D4" w14:textId="77777777" w:rsidR="00F66071" w:rsidRPr="00F53351" w:rsidRDefault="00F66071" w:rsidP="00F66071">
      <w:pPr>
        <w:pStyle w:val="ExhibitText"/>
        <w:rPr>
          <w:sz w:val="12"/>
          <w:szCs w:val="12"/>
          <w:lang w:val="en-CA"/>
        </w:rPr>
      </w:pPr>
    </w:p>
    <w:p w14:paraId="41EE8DCB" w14:textId="77777777" w:rsidR="00F66071" w:rsidRPr="00F53351" w:rsidRDefault="00F66071" w:rsidP="00F66071">
      <w:pPr>
        <w:pStyle w:val="ExhibitText"/>
        <w:rPr>
          <w:b/>
          <w:caps/>
          <w:sz w:val="12"/>
          <w:szCs w:val="12"/>
          <w:lang w:val="en-CA"/>
        </w:rPr>
      </w:pPr>
    </w:p>
    <w:p w14:paraId="77C28A59" w14:textId="77777777" w:rsidR="00F66071" w:rsidRPr="0030399D" w:rsidRDefault="00F66071" w:rsidP="00F66071">
      <w:pPr>
        <w:pStyle w:val="ExhibitHeading"/>
        <w:rPr>
          <w:lang w:val="en-CA"/>
        </w:rPr>
      </w:pPr>
      <w:r w:rsidRPr="0030399D">
        <w:rPr>
          <w:lang w:val="en-CA"/>
        </w:rPr>
        <w:t>Exhibit 2: Selected pharmaceutical companies in a nutshell</w:t>
      </w:r>
    </w:p>
    <w:p w14:paraId="7D425DDB" w14:textId="77777777" w:rsidR="00F66071" w:rsidRPr="00F53351" w:rsidRDefault="00F66071" w:rsidP="00F66071">
      <w:pPr>
        <w:pStyle w:val="ExhibitText"/>
        <w:rPr>
          <w:sz w:val="12"/>
          <w:szCs w:val="12"/>
          <w:lang w:val="en-CA"/>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360"/>
      </w:tblGrid>
      <w:tr w:rsidR="00F66071" w:rsidRPr="00F53351" w14:paraId="0350F450" w14:textId="77777777" w:rsidTr="007C129D">
        <w:trPr>
          <w:trHeight w:val="62"/>
        </w:trPr>
        <w:tc>
          <w:tcPr>
            <w:tcW w:w="9360" w:type="dxa"/>
            <w:shd w:val="clear" w:color="auto" w:fill="auto"/>
            <w:noWrap/>
            <w:vAlign w:val="center"/>
          </w:tcPr>
          <w:p w14:paraId="76179F8E" w14:textId="77777777" w:rsidR="00F66071" w:rsidRPr="00F53351" w:rsidRDefault="00F66071" w:rsidP="007C129D">
            <w:pPr>
              <w:rPr>
                <w:rFonts w:ascii="Arial" w:eastAsia="Calibri" w:hAnsi="Arial" w:cs="Arial"/>
                <w:b/>
                <w:sz w:val="17"/>
                <w:szCs w:val="17"/>
                <w:lang w:val="en-CA"/>
              </w:rPr>
            </w:pPr>
            <w:r w:rsidRPr="00F53351">
              <w:rPr>
                <w:rFonts w:ascii="Arial" w:eastAsia="Calibri" w:hAnsi="Arial" w:cs="Arial"/>
                <w:b/>
                <w:sz w:val="17"/>
                <w:szCs w:val="17"/>
                <w:lang w:val="en-CA"/>
              </w:rPr>
              <w:t>Company</w:t>
            </w:r>
          </w:p>
        </w:tc>
      </w:tr>
      <w:tr w:rsidR="00F66071" w:rsidRPr="00F53351" w14:paraId="2486C59C" w14:textId="77777777" w:rsidTr="007C129D">
        <w:trPr>
          <w:trHeight w:val="227"/>
        </w:trPr>
        <w:tc>
          <w:tcPr>
            <w:tcW w:w="9360" w:type="dxa"/>
            <w:shd w:val="clear" w:color="auto" w:fill="auto"/>
            <w:noWrap/>
            <w:vAlign w:val="center"/>
          </w:tcPr>
          <w:p w14:paraId="53B95FED" w14:textId="3DA0E3E6" w:rsidR="00F66071" w:rsidRPr="00F53351" w:rsidRDefault="00F66071" w:rsidP="007C129D">
            <w:pPr>
              <w:pStyle w:val="IVEYText"/>
              <w:rPr>
                <w:rFonts w:ascii="Arial" w:hAnsi="Arial" w:cs="Arial"/>
                <w:noProof w:val="0"/>
                <w:sz w:val="17"/>
                <w:szCs w:val="17"/>
                <w:lang w:val="en-CA"/>
              </w:rPr>
            </w:pPr>
            <w:r w:rsidRPr="00F53351">
              <w:rPr>
                <w:rFonts w:ascii="Arial" w:hAnsi="Arial" w:cs="Arial"/>
                <w:b/>
                <w:bCs/>
                <w:noProof w:val="0"/>
                <w:sz w:val="17"/>
                <w:szCs w:val="17"/>
                <w:lang w:val="en-CA"/>
              </w:rPr>
              <w:t>Pfizer</w:t>
            </w:r>
            <w:r w:rsidRPr="00F53351">
              <w:rPr>
                <w:rFonts w:ascii="Arial" w:hAnsi="Arial" w:cs="Arial"/>
                <w:noProof w:val="0"/>
                <w:sz w:val="17"/>
                <w:szCs w:val="17"/>
                <w:lang w:val="en-CA"/>
              </w:rPr>
              <w:t xml:space="preserve"> had been the undisputed market leader (in terms of revenue) since 2006, except for the year 2014, when Novartis was ahead. The main reason for this was the loss of exclusivity of certain blockbuster drugs, including Lipitor. After a change in leadership in 2010 (CEO Ian Read), Pfizer focused on five high-priority therapeutic areas: immunology and inflammation, oncology, cardiovascular and metabolic diseases, neuroscience and pain, and vaccines. Its core business was prescription drugs for humans. Prevnar (pneumococcal vaccine) was the top selling drug for Pfizer in 2017 with sales of $5.6 billion; Lyrica (treating pain caused by neurological diseases) was the second highest-selling drug with sales in 2017 of </w:t>
            </w:r>
            <w:r w:rsidR="007C129D">
              <w:rPr>
                <w:rFonts w:ascii="Arial" w:hAnsi="Arial" w:cs="Arial"/>
                <w:noProof w:val="0"/>
                <w:sz w:val="17"/>
                <w:szCs w:val="17"/>
                <w:lang w:val="en-CA"/>
              </w:rPr>
              <w:t>US</w:t>
            </w:r>
            <w:r w:rsidRPr="00F53351">
              <w:rPr>
                <w:rFonts w:ascii="Arial" w:hAnsi="Arial" w:cs="Arial"/>
                <w:noProof w:val="0"/>
                <w:sz w:val="17"/>
                <w:szCs w:val="17"/>
                <w:lang w:val="en-CA"/>
              </w:rPr>
              <w:t xml:space="preserve">$5 billion. Even though Pfizer was struggling to deliver a promising pipeline, its focus on cancers was a great success. (A company’s “drug pipeline” contained all drugs that were under discovery or development.) The breast cancer treatment Ibrance was approved by the FDA in 2015, and sales jumped sharply to $0.75 billion in 2015, $2.1 billion in 2016, and $3.1 billion in 2017; revenue in 2018 was expected to rise to $3.8 billion (indicating blockbuster status). </w:t>
            </w:r>
          </w:p>
          <w:p w14:paraId="09A1F027" w14:textId="77777777" w:rsidR="00F66071" w:rsidRPr="002403B2" w:rsidRDefault="00F66071" w:rsidP="007C129D">
            <w:pPr>
              <w:pStyle w:val="IVEYText"/>
              <w:rPr>
                <w:rFonts w:ascii="Arial" w:hAnsi="Arial" w:cs="Arial"/>
                <w:noProof w:val="0"/>
                <w:spacing w:val="-4"/>
                <w:kern w:val="17"/>
                <w:sz w:val="17"/>
                <w:szCs w:val="17"/>
                <w:lang w:val="en-CA"/>
              </w:rPr>
            </w:pPr>
            <w:r w:rsidRPr="002403B2">
              <w:rPr>
                <w:rFonts w:ascii="Arial" w:hAnsi="Arial" w:cs="Arial"/>
                <w:noProof w:val="0"/>
                <w:spacing w:val="-4"/>
                <w:kern w:val="17"/>
                <w:sz w:val="17"/>
                <w:szCs w:val="17"/>
                <w:lang w:val="en-CA"/>
              </w:rPr>
              <w:t>Pfizer was vigorous in pursuing mergers and acquisitions (M&amp;As), pushing the company Pfizer to a global top position. In the year 2000, they closed their biggest deal when they acquired Warner-Lambart for $111.8 billion (mainly to gain control of Lipitor). In 2002, it paid $60 billion for Pharmacia. In 2009, it merged with Wyeth at a cost of $68 billion. Since then, Pfizer focused on the acquisition of companies, units, and smaller biotechs that boosted existing activities. Recent acquisitions included the vaccine division of Baxter, Hospira for $16.1 billion, Anacor for $4.9 billion, and Medivation for $14.3 billion (the biggest M&amp;A in the pharmaceutical industry in 2016).</w:t>
            </w:r>
            <w:r w:rsidRPr="002403B2">
              <w:rPr>
                <w:rFonts w:ascii="Arial" w:hAnsi="Arial" w:cs="Arial"/>
                <w:noProof w:val="0"/>
                <w:color w:val="000000" w:themeColor="text1"/>
                <w:spacing w:val="-4"/>
                <w:kern w:val="17"/>
                <w:sz w:val="17"/>
                <w:szCs w:val="17"/>
                <w:lang w:val="en-CA"/>
              </w:rPr>
              <w:t xml:space="preserve"> </w:t>
            </w:r>
            <w:r w:rsidRPr="002403B2">
              <w:rPr>
                <w:rFonts w:ascii="Arial" w:hAnsi="Arial" w:cs="Arial"/>
                <w:noProof w:val="0"/>
                <w:spacing w:val="-4"/>
                <w:kern w:val="17"/>
                <w:sz w:val="17"/>
                <w:szCs w:val="17"/>
                <w:lang w:val="en-CA"/>
              </w:rPr>
              <w:t>Unlike</w:t>
            </w:r>
            <w:r w:rsidRPr="002403B2">
              <w:rPr>
                <w:rFonts w:ascii="Arial" w:hAnsi="Arial" w:cs="Arial"/>
                <w:noProof w:val="0"/>
                <w:color w:val="000000" w:themeColor="text1"/>
                <w:spacing w:val="-4"/>
                <w:kern w:val="17"/>
                <w:sz w:val="17"/>
                <w:szCs w:val="17"/>
                <w:lang w:val="en-CA"/>
              </w:rPr>
              <w:t xml:space="preserve"> other major players, Pfizer had not separated its company into different legal entities.</w:t>
            </w:r>
            <w:r w:rsidRPr="002403B2">
              <w:rPr>
                <w:rFonts w:ascii="Arial" w:hAnsi="Arial" w:cs="Arial"/>
                <w:noProof w:val="0"/>
                <w:spacing w:val="-4"/>
                <w:kern w:val="17"/>
                <w:sz w:val="17"/>
                <w:szCs w:val="17"/>
                <w:lang w:val="en-CA"/>
              </w:rPr>
              <w:t xml:space="preserve"> </w:t>
            </w:r>
          </w:p>
        </w:tc>
      </w:tr>
      <w:tr w:rsidR="00F66071" w:rsidRPr="00F53351" w14:paraId="7FD6B5E1" w14:textId="77777777" w:rsidTr="007C129D">
        <w:trPr>
          <w:trHeight w:val="227"/>
        </w:trPr>
        <w:tc>
          <w:tcPr>
            <w:tcW w:w="9360" w:type="dxa"/>
            <w:shd w:val="clear" w:color="auto" w:fill="auto"/>
            <w:noWrap/>
            <w:vAlign w:val="center"/>
          </w:tcPr>
          <w:p w14:paraId="6157C969" w14:textId="77777777" w:rsidR="00F66071" w:rsidRPr="00F53351" w:rsidRDefault="00F66071" w:rsidP="007C129D">
            <w:pPr>
              <w:pStyle w:val="IVEYText"/>
              <w:rPr>
                <w:rFonts w:ascii="Arial" w:hAnsi="Arial" w:cs="Arial"/>
                <w:noProof w:val="0"/>
                <w:sz w:val="17"/>
                <w:szCs w:val="17"/>
                <w:lang w:val="en-CA"/>
              </w:rPr>
            </w:pPr>
            <w:r w:rsidRPr="00F53351">
              <w:rPr>
                <w:rFonts w:ascii="Arial" w:hAnsi="Arial" w:cs="Arial"/>
                <w:b/>
                <w:bCs/>
                <w:noProof w:val="0"/>
                <w:sz w:val="17"/>
                <w:szCs w:val="17"/>
                <w:lang w:val="en-CA"/>
              </w:rPr>
              <w:t xml:space="preserve">Johnson &amp; Johnson’s </w:t>
            </w:r>
            <w:r w:rsidRPr="00F53351">
              <w:rPr>
                <w:rFonts w:ascii="Arial" w:hAnsi="Arial" w:cs="Arial"/>
                <w:bCs/>
                <w:noProof w:val="0"/>
                <w:sz w:val="17"/>
                <w:szCs w:val="17"/>
                <w:lang w:val="en-CA"/>
              </w:rPr>
              <w:t>a</w:t>
            </w:r>
            <w:r w:rsidRPr="00F53351">
              <w:rPr>
                <w:rFonts w:ascii="Arial" w:hAnsi="Arial" w:cs="Arial"/>
                <w:noProof w:val="0"/>
                <w:sz w:val="17"/>
                <w:szCs w:val="17"/>
                <w:lang w:val="en-CA"/>
              </w:rPr>
              <w:t xml:space="preserve">chievements derived from a highly differentiated and decentralized conglomerate with three divisions: medical devices and diagnostics (35% of overall revenue in 2016), pharmaceuticals (47%), and consumer products (19%). Within the pharmaceutical division, the treatment focus was on neuroscience, immunology and infectious diseases. The consumer division encompassed over-the-counter (OTC) products, food products and supplements, skin care, and children’s products. The corporation had acquired firms for all of its business areas over the few last years. In the medical devices and diagnostics segments, </w:t>
            </w:r>
            <w:r w:rsidRPr="00F53351">
              <w:rPr>
                <w:rFonts w:ascii="Arial" w:hAnsi="Arial" w:cs="Arial"/>
                <w:bCs/>
                <w:noProof w:val="0"/>
                <w:sz w:val="17"/>
                <w:szCs w:val="17"/>
                <w:lang w:val="en-CA"/>
              </w:rPr>
              <w:t>Johnson &amp; Johnson</w:t>
            </w:r>
            <w:r w:rsidRPr="00F53351">
              <w:rPr>
                <w:rFonts w:ascii="Arial" w:hAnsi="Arial" w:cs="Arial"/>
                <w:noProof w:val="0"/>
                <w:sz w:val="17"/>
                <w:szCs w:val="17"/>
                <w:lang w:val="en-CA"/>
              </w:rPr>
              <w:t xml:space="preserve"> was the market leader; in pharmaceuticals, it was (with a revenue of $36.3 billion) among the five top players (see Exhibit 1).</w:t>
            </w:r>
          </w:p>
        </w:tc>
      </w:tr>
      <w:tr w:rsidR="00F66071" w:rsidRPr="00F53351" w14:paraId="5882C78E" w14:textId="77777777" w:rsidTr="007C129D">
        <w:trPr>
          <w:trHeight w:val="227"/>
        </w:trPr>
        <w:tc>
          <w:tcPr>
            <w:tcW w:w="9360" w:type="dxa"/>
            <w:shd w:val="clear" w:color="auto" w:fill="auto"/>
            <w:noWrap/>
            <w:vAlign w:val="center"/>
          </w:tcPr>
          <w:p w14:paraId="6B0C78CA" w14:textId="7D584532" w:rsidR="00F66071" w:rsidRPr="00F53351" w:rsidRDefault="00F66071" w:rsidP="007C129D">
            <w:pPr>
              <w:pStyle w:val="IVEYText"/>
              <w:rPr>
                <w:rFonts w:ascii="Arial" w:hAnsi="Arial" w:cs="Arial"/>
                <w:noProof w:val="0"/>
                <w:sz w:val="17"/>
                <w:szCs w:val="17"/>
                <w:lang w:val="en-CA"/>
              </w:rPr>
            </w:pPr>
            <w:r w:rsidRPr="00F53351">
              <w:rPr>
                <w:rFonts w:ascii="Arial" w:hAnsi="Arial" w:cs="Arial"/>
                <w:noProof w:val="0"/>
                <w:sz w:val="17"/>
                <w:szCs w:val="17"/>
                <w:lang w:val="en-CA"/>
              </w:rPr>
              <w:t xml:space="preserve">The </w:t>
            </w:r>
            <w:r w:rsidR="007C129D">
              <w:rPr>
                <w:rFonts w:ascii="Arial" w:hAnsi="Arial" w:cs="Arial"/>
                <w:noProof w:val="0"/>
                <w:sz w:val="17"/>
                <w:szCs w:val="17"/>
                <w:lang w:val="en-CA"/>
              </w:rPr>
              <w:t>US</w:t>
            </w:r>
            <w:r w:rsidRPr="00F53351">
              <w:rPr>
                <w:rFonts w:ascii="Arial" w:hAnsi="Arial" w:cs="Arial"/>
                <w:noProof w:val="0"/>
                <w:sz w:val="17"/>
                <w:szCs w:val="17"/>
                <w:lang w:val="en-CA"/>
              </w:rPr>
              <w:t xml:space="preserve"> firm </w:t>
            </w:r>
            <w:r w:rsidRPr="00F53351">
              <w:rPr>
                <w:rFonts w:ascii="Arial" w:hAnsi="Arial" w:cs="Arial"/>
                <w:b/>
                <w:bCs/>
                <w:noProof w:val="0"/>
                <w:sz w:val="17"/>
                <w:szCs w:val="17"/>
                <w:lang w:val="en-CA"/>
              </w:rPr>
              <w:t>Merck &amp; Co</w:t>
            </w:r>
            <w:r w:rsidRPr="00F53351">
              <w:rPr>
                <w:rFonts w:ascii="Arial" w:hAnsi="Arial" w:cs="Arial"/>
                <w:noProof w:val="0"/>
                <w:sz w:val="17"/>
                <w:szCs w:val="17"/>
                <w:lang w:val="en-CA"/>
              </w:rPr>
              <w:t xml:space="preserve"> (also known as MSD or Merck Sharp &amp; Dohme) operated almost exclusively in the area of prescription drugs (89% of revenues in 2016) and covered a wide range of therapeutic areas. The remaining 11% of revenue came mainly from animal health products. Merck &amp; Co had long been considered the largest pharmaceutical firm globally. It suffered from the premature market withdrawal in 2004 of the blockbuster Vioxx, an arthritis drug launched in 1999; Merck had made over $2.5 billion of revenue in 2003 from this drug alone. Ongoing tests had shown a heightened risk of heart attack for patients taking Vioxx, and this led to the immediate withdrawal of the license. In 2008, two important products lost patent protection, and in 2012, blockbuster Singulair’s patent expired. In 2009, Merck merged with Schering-Plough in a deal worth $41 billion, and in 2014, it acquired Cubist Pharmaceuticals. Besides this and a few other small deals, Merck &amp; Co was conservative with respect to M&amp;As. In October 2013, Merck announced substantial (approximately 8,500) job cuts in order to save $2.5 billion by 2015. These came on top of 7,500 earlier job cuts in 2011 and 2012.</w:t>
            </w:r>
          </w:p>
        </w:tc>
      </w:tr>
      <w:tr w:rsidR="00F66071" w:rsidRPr="00F53351" w14:paraId="0E3B89AB" w14:textId="77777777" w:rsidTr="007C129D">
        <w:trPr>
          <w:trHeight w:val="227"/>
        </w:trPr>
        <w:tc>
          <w:tcPr>
            <w:tcW w:w="9360" w:type="dxa"/>
            <w:shd w:val="clear" w:color="auto" w:fill="auto"/>
            <w:noWrap/>
            <w:vAlign w:val="center"/>
          </w:tcPr>
          <w:p w14:paraId="2C2E7B43" w14:textId="77777777" w:rsidR="00F66071" w:rsidRPr="00F53351" w:rsidRDefault="00F66071" w:rsidP="007C129D">
            <w:pPr>
              <w:pStyle w:val="IVEYText"/>
              <w:rPr>
                <w:rFonts w:ascii="Arial" w:hAnsi="Arial" w:cs="Arial"/>
                <w:noProof w:val="0"/>
                <w:sz w:val="17"/>
                <w:szCs w:val="17"/>
                <w:lang w:val="en-CA"/>
              </w:rPr>
            </w:pPr>
            <w:r w:rsidRPr="00F53351">
              <w:rPr>
                <w:rFonts w:ascii="Arial" w:hAnsi="Arial" w:cs="Arial"/>
                <w:b/>
                <w:noProof w:val="0"/>
                <w:sz w:val="17"/>
                <w:szCs w:val="17"/>
                <w:lang w:val="en-CA"/>
              </w:rPr>
              <w:t>Novartis</w:t>
            </w:r>
            <w:r w:rsidRPr="00F53351">
              <w:rPr>
                <w:rFonts w:ascii="Arial" w:hAnsi="Arial" w:cs="Arial"/>
                <w:noProof w:val="0"/>
                <w:sz w:val="17"/>
                <w:szCs w:val="17"/>
                <w:lang w:val="en-CA"/>
              </w:rPr>
              <w:t xml:space="preserve"> consisted of three main divisions, and its business focus was on health care. The biggest section, with $32.8 billion of revenue, was the pharmaceuticals (innovative/branded drugs) division (67% of overall revenue in 2016). The second largest, generics production, was managed within a separate firm, Sandoz (21% of overall revenue in 2016). Thirdly, the $39.3 billion acquisition in 2010 of global eye-care leader Alcon increased the size of its eye-care division significantly (12% of overall revenue in 2016); this was now run as a separate firm. In 2015, a joint venture between Novartis OTC and GlaxoSmithKine (GSK) Consumer Healthcare was created and, as a result, OTC revenues were separated from those of Novartis. Novartis sold its entire vaccines division to GSK (revenue of $1.5 billion in 2014) in 2015. </w:t>
            </w:r>
          </w:p>
        </w:tc>
      </w:tr>
    </w:tbl>
    <w:p w14:paraId="1D1D0DCF" w14:textId="77777777" w:rsidR="00F66071" w:rsidRDefault="00F66071" w:rsidP="00F66071">
      <w:pPr>
        <w:pStyle w:val="ExhibitHeading"/>
        <w:rPr>
          <w:lang w:val="en-CA"/>
        </w:rPr>
      </w:pPr>
      <w:r>
        <w:rPr>
          <w:lang w:val="en-CA"/>
        </w:rPr>
        <w:lastRenderedPageBreak/>
        <w:t>EXHIBIT 2 (CONTINUED)</w:t>
      </w:r>
    </w:p>
    <w:p w14:paraId="7EA789E0" w14:textId="77777777" w:rsidR="00F66071" w:rsidRPr="002403B2" w:rsidRDefault="00F66071" w:rsidP="00F66071">
      <w:pPr>
        <w:pStyle w:val="IVEYText"/>
        <w:ind w:left="70"/>
        <w:jc w:val="left"/>
        <w:rPr>
          <w:rFonts w:ascii="Arial" w:hAnsi="Arial" w:cs="Arial"/>
          <w:b/>
          <w:noProof w:val="0"/>
          <w:sz w:val="12"/>
          <w:szCs w:val="12"/>
          <w:lang w:val="en-CA"/>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360"/>
      </w:tblGrid>
      <w:tr w:rsidR="00F66071" w:rsidRPr="00F53351" w14:paraId="3A242177" w14:textId="77777777" w:rsidTr="007C129D">
        <w:trPr>
          <w:trHeight w:val="227"/>
        </w:trPr>
        <w:tc>
          <w:tcPr>
            <w:tcW w:w="9360" w:type="dxa"/>
            <w:shd w:val="clear" w:color="auto" w:fill="auto"/>
            <w:noWrap/>
            <w:vAlign w:val="center"/>
          </w:tcPr>
          <w:p w14:paraId="7C6141BE" w14:textId="77777777" w:rsidR="00F66071" w:rsidRPr="00F53351" w:rsidRDefault="00F66071" w:rsidP="007C129D">
            <w:pPr>
              <w:pStyle w:val="IVEYText"/>
              <w:rPr>
                <w:rFonts w:ascii="Arial" w:hAnsi="Arial" w:cs="Arial"/>
                <w:noProof w:val="0"/>
                <w:sz w:val="17"/>
                <w:szCs w:val="17"/>
                <w:lang w:val="en-CA"/>
              </w:rPr>
            </w:pPr>
            <w:r w:rsidRPr="00F53351">
              <w:rPr>
                <w:rFonts w:ascii="Arial" w:hAnsi="Arial" w:cs="Arial"/>
                <w:bCs/>
                <w:noProof w:val="0"/>
                <w:sz w:val="17"/>
                <w:szCs w:val="17"/>
                <w:lang w:val="en-CA"/>
              </w:rPr>
              <w:t xml:space="preserve">The present-day company </w:t>
            </w:r>
            <w:r w:rsidRPr="00F53351">
              <w:rPr>
                <w:rFonts w:ascii="Arial" w:hAnsi="Arial" w:cs="Arial"/>
                <w:b/>
                <w:bCs/>
                <w:noProof w:val="0"/>
                <w:sz w:val="17"/>
                <w:szCs w:val="17"/>
                <w:lang w:val="en-CA"/>
              </w:rPr>
              <w:t>Sanofi</w:t>
            </w:r>
            <w:r w:rsidRPr="00F53351">
              <w:rPr>
                <w:rFonts w:ascii="Arial" w:hAnsi="Arial" w:cs="Arial"/>
                <w:noProof w:val="0"/>
                <w:sz w:val="17"/>
                <w:szCs w:val="17"/>
                <w:lang w:val="en-CA"/>
              </w:rPr>
              <w:t xml:space="preserve"> resulted from Sanofi’s acquisition of Aventis in 2004. Aventis itself was the result of an earlier merger between Hoechst and Rhône-Poulenc. Sanofi was dominated by its pharmaceuticals division (80% of revenues) and operated in a highly diversified range of therapeutic areas (e.g., diabetes, oncology, multiple sclerosis, and rare diseases). Another 13% of revenue derived from vaccines and 7% from the animal health segment. To compensate for the expiry of patents, the firm had undertaken several major deals. In 2009 it expanded into the generics market through its acquisition of Zentiva and Medley. The Medley deal turned Sanofi into the top Latin American generics drug producer. Merial, a previous joint venture with Merck &amp; Co., was wholly acquired and became Sanofi’s animal health division in 2011. Around the same time, it also bought Genzyme, a biotech company specializing in rare diseases. About one third of Sanofi’s yearly revenue derived from drugs which were out of patent.</w:t>
            </w:r>
          </w:p>
        </w:tc>
      </w:tr>
      <w:tr w:rsidR="00F66071" w:rsidRPr="00F53351" w14:paraId="110A630B" w14:textId="77777777" w:rsidTr="007C129D">
        <w:trPr>
          <w:trHeight w:val="227"/>
        </w:trPr>
        <w:tc>
          <w:tcPr>
            <w:tcW w:w="9360" w:type="dxa"/>
            <w:shd w:val="clear" w:color="auto" w:fill="auto"/>
            <w:noWrap/>
            <w:vAlign w:val="center"/>
          </w:tcPr>
          <w:p w14:paraId="1724AD6C" w14:textId="77777777" w:rsidR="00F66071" w:rsidRPr="00F53351" w:rsidRDefault="00F66071" w:rsidP="007C129D">
            <w:pPr>
              <w:pStyle w:val="IVEYText"/>
              <w:rPr>
                <w:rFonts w:ascii="Arial" w:hAnsi="Arial" w:cs="Arial"/>
                <w:noProof w:val="0"/>
                <w:sz w:val="17"/>
                <w:szCs w:val="17"/>
                <w:lang w:val="en-CA"/>
              </w:rPr>
            </w:pPr>
            <w:r w:rsidRPr="00F53351">
              <w:rPr>
                <w:rFonts w:ascii="Arial" w:hAnsi="Arial" w:cs="Arial"/>
                <w:b/>
                <w:bCs/>
                <w:noProof w:val="0"/>
                <w:sz w:val="17"/>
                <w:szCs w:val="17"/>
                <w:lang w:val="en-CA"/>
              </w:rPr>
              <w:t>Roche</w:t>
            </w:r>
            <w:r w:rsidRPr="00F53351">
              <w:rPr>
                <w:rFonts w:ascii="Arial" w:hAnsi="Arial" w:cs="Arial"/>
                <w:noProof w:val="0"/>
                <w:sz w:val="17"/>
                <w:szCs w:val="17"/>
                <w:lang w:val="en-CA"/>
              </w:rPr>
              <w:t xml:space="preserve">’s pharmaceuticals division generated 77% of its total revenue; the diagnostic division contributed the rest. Roche was a market leader in the area of oncology, which was responsible for 65% of pharmaceutical sales in 2016. Immunology accounted for just 18% of revenue. Roche’s partnership with Chugai emphasized its belief in the importance of the biotechnology sector. The $46.8 billion mega-deal with Genentech in 2009 turned Roche into a top biotech company. Apart from carefully pinpointed acquisitions of innovative diagnostic and biotech firms such as Genentech and InterMune (in 2014 for $8.3 billion), Roche tended to favour organic growth. The company saw its future in innovation (in particular in biotechnology) rather than generics. </w:t>
            </w:r>
          </w:p>
          <w:p w14:paraId="751DBDE1" w14:textId="7DA7CAD7" w:rsidR="00F66071" w:rsidRPr="00F53351" w:rsidRDefault="00F66071" w:rsidP="007C129D">
            <w:pPr>
              <w:autoSpaceDE w:val="0"/>
              <w:autoSpaceDN w:val="0"/>
              <w:adjustRightInd w:val="0"/>
              <w:rPr>
                <w:rFonts w:ascii="Arial" w:hAnsi="Arial" w:cs="Arial"/>
                <w:color w:val="000000" w:themeColor="text1"/>
                <w:sz w:val="17"/>
                <w:szCs w:val="17"/>
                <w:lang w:val="en-CA"/>
              </w:rPr>
            </w:pPr>
            <w:r w:rsidRPr="00F53351">
              <w:rPr>
                <w:rFonts w:ascii="Arial" w:eastAsiaTheme="minorHAnsi" w:hAnsi="Arial" w:cs="Arial"/>
                <w:sz w:val="17"/>
                <w:szCs w:val="17"/>
                <w:lang w:val="en-CA"/>
              </w:rPr>
              <w:t>Roche’s main competitive advantage was its product pipeline, particularly biologics, which occupied top rank in terms of the value of the pipeline. Roche’s multiple sclerosis biologics drug Ocrevus was recently approved by the FDA and was</w:t>
            </w:r>
            <w:r w:rsidR="007C129D">
              <w:rPr>
                <w:rFonts w:ascii="Arial" w:eastAsiaTheme="minorHAnsi" w:hAnsi="Arial" w:cs="Arial"/>
                <w:sz w:val="17"/>
                <w:szCs w:val="17"/>
                <w:lang w:val="en-CA"/>
              </w:rPr>
              <w:t xml:space="preserve"> ranked as the most valuable research and development</w:t>
            </w:r>
            <w:r w:rsidRPr="00F53351">
              <w:rPr>
                <w:rFonts w:ascii="Arial" w:eastAsiaTheme="minorHAnsi" w:hAnsi="Arial" w:cs="Arial"/>
                <w:sz w:val="17"/>
                <w:szCs w:val="17"/>
                <w:lang w:val="en-CA"/>
              </w:rPr>
              <w:t xml:space="preserve"> project globally, with yearly sales volumes estimated at $4.1 billion. Roche’s bladder cancer biologics drug Tecentriq was approved in 2016 and was expected to become </w:t>
            </w:r>
            <w:r w:rsidRPr="00F53351">
              <w:rPr>
                <w:rFonts w:ascii="Arial" w:hAnsi="Arial" w:cs="Arial"/>
                <w:sz w:val="17"/>
                <w:szCs w:val="17"/>
                <w:lang w:val="en-CA"/>
              </w:rPr>
              <w:t>Roche’s</w:t>
            </w:r>
            <w:r w:rsidRPr="00F53351">
              <w:rPr>
                <w:rFonts w:ascii="Arial" w:eastAsiaTheme="minorHAnsi" w:hAnsi="Arial" w:cs="Arial"/>
                <w:sz w:val="17"/>
                <w:szCs w:val="17"/>
                <w:lang w:val="en-CA"/>
              </w:rPr>
              <w:t xml:space="preserve"> single growth driver</w:t>
            </w:r>
            <w:r w:rsidRPr="00F53351">
              <w:rPr>
                <w:rFonts w:ascii="Arial" w:hAnsi="Arial" w:cs="Arial"/>
                <w:sz w:val="17"/>
                <w:szCs w:val="17"/>
                <w:lang w:val="en-CA"/>
              </w:rPr>
              <w:t xml:space="preserve"> and one of the best selling drugs in the pharmaceutical industry by 2024</w:t>
            </w:r>
            <w:r w:rsidRPr="00F53351">
              <w:rPr>
                <w:rFonts w:ascii="Arial" w:hAnsi="Arial" w:cs="Arial"/>
                <w:color w:val="000000" w:themeColor="text1"/>
                <w:sz w:val="17"/>
                <w:szCs w:val="17"/>
                <w:lang w:val="en-CA"/>
              </w:rPr>
              <w:t>.</w:t>
            </w:r>
          </w:p>
        </w:tc>
      </w:tr>
      <w:tr w:rsidR="00F66071" w:rsidRPr="00F53351" w14:paraId="79120BE7" w14:textId="77777777" w:rsidTr="007C129D">
        <w:trPr>
          <w:trHeight w:val="2231"/>
        </w:trPr>
        <w:tc>
          <w:tcPr>
            <w:tcW w:w="9360" w:type="dxa"/>
            <w:shd w:val="clear" w:color="auto" w:fill="auto"/>
            <w:noWrap/>
            <w:vAlign w:val="center"/>
          </w:tcPr>
          <w:p w14:paraId="56864BAD" w14:textId="77777777" w:rsidR="00F66071" w:rsidRPr="00F53351" w:rsidRDefault="00F66071" w:rsidP="007C129D">
            <w:pPr>
              <w:pStyle w:val="IVEYText"/>
              <w:rPr>
                <w:rFonts w:ascii="Arial" w:hAnsi="Arial" w:cs="Arial"/>
                <w:noProof w:val="0"/>
                <w:sz w:val="17"/>
                <w:szCs w:val="17"/>
                <w:lang w:val="en-CA"/>
              </w:rPr>
            </w:pPr>
            <w:r w:rsidRPr="00F53351">
              <w:rPr>
                <w:rFonts w:ascii="Arial" w:hAnsi="Arial" w:cs="Arial"/>
                <w:b/>
                <w:noProof w:val="0"/>
                <w:sz w:val="17"/>
                <w:szCs w:val="17"/>
                <w:lang w:val="en-CA"/>
              </w:rPr>
              <w:t xml:space="preserve">Teva </w:t>
            </w:r>
            <w:r w:rsidRPr="00F53351">
              <w:rPr>
                <w:rFonts w:ascii="Arial" w:hAnsi="Arial" w:cs="Arial"/>
                <w:noProof w:val="0"/>
                <w:sz w:val="17"/>
                <w:szCs w:val="17"/>
                <w:lang w:val="en-CA"/>
              </w:rPr>
              <w:t>was a generics producer from Israel. It was the only non-Western company among the top 15 biggest pharmaceutical companies globally (revenue 2016: $21.9 billion, with about a half of revenue coming from generic drugs sales; see Exhibit 18). Up until 2012, all top-ten firms were research-oriented companies. This changed with the entry of Teva into the top-ten list in 2012. However, by 2016, activity by the pharmaceutical giants had moved Teva down to position 12. Teva was the only top firm that generated its revenues predominantly from generics sales and that did not start life as a traditional R&amp;D company. Teva held the leading position in the global generics drug market (the second being Sandoz, which belonged to Novartis, with revenue of $10.1 billion in 2016). Teva had grown substantially during the last few years as a result of a number of M&amp;As. In 2010, Teva acquired the German generics producer Ratiopharm for $5 billion, and in March 2015, Auspex Pharmaceuticals for $3.5 billion. The biggest deal occurred in 2015/16, when it acquired Actavis Generics (Allergan) for $39 billion. Teva invested in its generics business but was also willing to expand its innovative portfolio. In 2011, it acquired Cephalon, an innovative biotechnology company focusing on cancer and pain medication, for $6 billion. Teva had invested heavily in the biotech area in order to be ready to launch biosimilars when current biological drugs lost their exclusivity in the next few years.</w:t>
            </w:r>
          </w:p>
        </w:tc>
      </w:tr>
    </w:tbl>
    <w:p w14:paraId="445F97E0" w14:textId="77777777" w:rsidR="00F66071" w:rsidRPr="0030399D" w:rsidRDefault="00F66071" w:rsidP="00F66071">
      <w:pPr>
        <w:pStyle w:val="IVEYappTitel"/>
        <w:rPr>
          <w:noProof w:val="0"/>
          <w:sz w:val="12"/>
          <w:szCs w:val="12"/>
          <w:lang w:val="en-CA"/>
        </w:rPr>
      </w:pPr>
    </w:p>
    <w:p w14:paraId="4A418552" w14:textId="6F765D4A" w:rsidR="007C129D" w:rsidRPr="007C129D" w:rsidRDefault="007C129D" w:rsidP="007C129D">
      <w:pPr>
        <w:pStyle w:val="Footnote"/>
      </w:pPr>
      <w:r w:rsidRPr="007C129D">
        <w:t xml:space="preserve">Note: </w:t>
      </w:r>
      <w:r>
        <w:rPr>
          <w:rStyle w:val="FussnotenZchn"/>
          <w:rFonts w:ascii="Arial" w:eastAsiaTheme="minorHAnsi" w:hAnsi="Arial"/>
          <w:sz w:val="17"/>
          <w:szCs w:val="17"/>
        </w:rPr>
        <w:t>A</w:t>
      </w:r>
      <w:r w:rsidRPr="007C129D">
        <w:rPr>
          <w:rStyle w:val="FussnotenZchn"/>
          <w:rFonts w:ascii="Arial" w:eastAsiaTheme="minorHAnsi" w:hAnsi="Arial"/>
          <w:sz w:val="17"/>
          <w:szCs w:val="17"/>
        </w:rPr>
        <w:t>ll dollar amounts are in US$ unless otherwise specified</w:t>
      </w:r>
      <w:r>
        <w:rPr>
          <w:rStyle w:val="FussnotenZchn"/>
          <w:rFonts w:ascii="Arial" w:eastAsiaTheme="minorHAnsi" w:hAnsi="Arial"/>
          <w:sz w:val="17"/>
          <w:szCs w:val="17"/>
        </w:rPr>
        <w:t>.</w:t>
      </w:r>
    </w:p>
    <w:p w14:paraId="22524910" w14:textId="5836D2CA" w:rsidR="00F66071" w:rsidRPr="0030399D" w:rsidRDefault="00F66071" w:rsidP="00F66071">
      <w:pPr>
        <w:pStyle w:val="Footnote"/>
        <w:rPr>
          <w:lang w:val="en-CA"/>
        </w:rPr>
      </w:pPr>
      <w:r w:rsidRPr="0030399D">
        <w:rPr>
          <w:lang w:val="en-CA"/>
        </w:rPr>
        <w:t>Sources: Ben Adams, “Novartis Knocks Pfizer off Sales Leader Board,” PMLive, April 9, 2015, accessed May 13, 2019, www.pmlive.com/pharma_news/novartis_knocks_pfizer_off_sales_leader_board_706992; Pfizer, “Our Timeline 1846 – Present,” Pfizer, May 13, 2019, accessed May 13, 2019, www.pfizer.com/people/history; Anna Prior, “Pfizer to Buy Baxter’s Vaccines for USD $635 Million,” Market Watch, July 30, 2014, accessed May 29, 2019, www.marketwatch.com/story/pfizer-to-buy-baxters-vaccines-for-635-million-2014-07-30; Reuters, “Pfizer Has Abandoned Its Plan to Split Into Two Companies,” Fortune, September 26, 2016, accessed May 29, 2019, http://fortune.com/2016/09/26/pfizer-split</w:t>
      </w:r>
      <w:r>
        <w:rPr>
          <w:lang w:val="en-CA"/>
        </w:rPr>
        <w:t>-companies/; Johnson &amp; Johnson, Annual Report 2016, March, 2017, accessed May 13, 2019, </w:t>
      </w:r>
      <w:r w:rsidRPr="0030399D">
        <w:rPr>
          <w:lang w:val="en-CA"/>
        </w:rPr>
        <w:t xml:space="preserve">https://jnj.brightspotcdn.com/88/3f/b666368546bcab9fd520594a6016/2017-0310-ar-bookmarked.pdf; Merck &amp; Co. Inc., Annual Report Pursuant to Section 13 or 15(d) of the Securities Exchange Act of 1934 for the Fiscal Year Ended December 31, 2016, February 28, 2017, accessed May 13, 2019, https://s21.q4cdn.com/488056881/files/doc_financials/2017/Q4/merck-q4-10k.pdf; Barbara Sibbald, “Rofecoxib (Vioxx) Voluntarily Withdrawn from Market,” CMAJ: Canadian Medical Association Journal 171, no. 9, (2004): 1027–1028; BBC News, “Merck Cuts another 8,500 Jobs,” BBC News, October 1, 2013, accessed May 29, 2019, </w:t>
      </w:r>
      <w:r w:rsidRPr="00F53351">
        <w:rPr>
          <w:lang w:val="en-CA"/>
        </w:rPr>
        <w:t>www.bbc.com/news/business-24356801</w:t>
      </w:r>
      <w:r>
        <w:rPr>
          <w:lang w:val="en-CA"/>
        </w:rPr>
        <w:t>; Novartis, Annual Report 2015, March 2016, accessed May 13, 2019, </w:t>
      </w:r>
      <w:r w:rsidRPr="0030399D">
        <w:rPr>
          <w:lang w:val="en-CA"/>
        </w:rPr>
        <w:t>www.novartis.com/sites/www.novartis.com/files/novartis-annual-report-2015-en.pdf; Novartis, Annual Report 2016, March, 2017, accessed May 13, 2019, www.novartis.com/sites/www.novartis.com/files/novartis-annual-report-2016-en.pdf; Sanofi, “About Us: Through Time,” Sanofi, May 17, 2017, accessed May, 2017, www.sanofi.com/en/about-us/through-time; Sanofi, Annual Report 2016, Mar</w:t>
      </w:r>
      <w:r>
        <w:rPr>
          <w:lang w:val="en-CA"/>
        </w:rPr>
        <w:t>ch, 2017, accessed May 13, 2019, </w:t>
      </w:r>
      <w:r w:rsidRPr="00F53351">
        <w:rPr>
          <w:lang w:val="en-CA"/>
        </w:rPr>
        <w:t>www.sanofi.com/-/media/project/one-sanofi-web/websites/global/sanofi-</w:t>
      </w:r>
      <w:r>
        <w:rPr>
          <w:lang w:val="en-CA"/>
        </w:rPr>
        <w:t xml:space="preserve">com/home/common/ </w:t>
      </w:r>
      <w:r w:rsidRPr="0030399D">
        <w:rPr>
          <w:lang w:val="en-CA"/>
        </w:rPr>
        <w:t xml:space="preserve">docs/download-center/india_annual_report_may_2017.pdf/;Teva, “Our History,” Teva, May 13, 2019, accessed May 13, 2019, </w:t>
      </w:r>
      <w:r w:rsidRPr="00F53351">
        <w:rPr>
          <w:lang w:val="en-CA"/>
        </w:rPr>
        <w:t>www.tevapharm.com/about/history/</w:t>
      </w:r>
      <w:r>
        <w:rPr>
          <w:lang w:val="en-CA"/>
        </w:rPr>
        <w:t>; Antoine Gara, “Teva </w:t>
      </w:r>
      <w:r w:rsidRPr="0030399D">
        <w:rPr>
          <w:lang w:val="en-CA"/>
        </w:rPr>
        <w:t>Pharmaceuti</w:t>
      </w:r>
      <w:r>
        <w:rPr>
          <w:lang w:val="en-CA"/>
        </w:rPr>
        <w:t>cals Stands To Lose Around $300 Million On Mylan Trade,” </w:t>
      </w:r>
      <w:r w:rsidRPr="0030399D">
        <w:rPr>
          <w:i/>
          <w:lang w:val="en-CA"/>
        </w:rPr>
        <w:t>Forbes</w:t>
      </w:r>
      <w:r>
        <w:rPr>
          <w:lang w:val="en-CA"/>
        </w:rPr>
        <w:t>, July 27, </w:t>
      </w:r>
      <w:r w:rsidRPr="0030399D">
        <w:rPr>
          <w:lang w:val="en-CA"/>
        </w:rPr>
        <w:t>2015</w:t>
      </w:r>
      <w:r>
        <w:rPr>
          <w:lang w:val="en-CA"/>
        </w:rPr>
        <w:t>, accessed May 29, </w:t>
      </w:r>
      <w:r w:rsidRPr="0030399D">
        <w:rPr>
          <w:lang w:val="en-CA"/>
        </w:rPr>
        <w:t>2019,</w:t>
      </w:r>
      <w:r>
        <w:rPr>
          <w:lang w:val="en-CA"/>
        </w:rPr>
        <w:t> </w:t>
      </w:r>
      <w:r w:rsidRPr="0030399D">
        <w:rPr>
          <w:lang w:val="en-CA"/>
        </w:rPr>
        <w:t>www.forbes.com/sites/antoinegara/2015/07/27/teva-pharmaceuticals-stands-to-lose-around-300-million-on-mylan-trade/#1e27a9e954 2b.</w:t>
      </w:r>
      <w:r w:rsidRPr="0030399D">
        <w:rPr>
          <w:lang w:val="en-CA"/>
        </w:rPr>
        <w:br w:type="page"/>
      </w:r>
    </w:p>
    <w:p w14:paraId="49C9B8BD" w14:textId="77777777" w:rsidR="00F66071" w:rsidRPr="0030399D" w:rsidRDefault="00F66071" w:rsidP="00F66071">
      <w:pPr>
        <w:pStyle w:val="ExhibitHeading"/>
        <w:rPr>
          <w:lang w:val="en-CA"/>
        </w:rPr>
      </w:pPr>
      <w:r w:rsidRPr="0030399D">
        <w:rPr>
          <w:lang w:val="en-CA"/>
        </w:rPr>
        <w:lastRenderedPageBreak/>
        <w:t>Exhibit 3: Global revenue of the pharmaceutical market from 2008–2017 [%]</w:t>
      </w:r>
    </w:p>
    <w:p w14:paraId="5AC100E7" w14:textId="77777777" w:rsidR="00F66071" w:rsidRPr="0030399D" w:rsidRDefault="00F66071" w:rsidP="00F66071">
      <w:pPr>
        <w:pStyle w:val="IVEYappTitel"/>
        <w:rPr>
          <w:noProof w:val="0"/>
          <w:sz w:val="16"/>
          <w:szCs w:val="16"/>
          <w:lang w:val="en-CA"/>
        </w:rPr>
      </w:pPr>
    </w:p>
    <w:tbl>
      <w:tblPr>
        <w:tblW w:w="87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1527"/>
        <w:gridCol w:w="720"/>
        <w:gridCol w:w="727"/>
        <w:gridCol w:w="713"/>
        <w:gridCol w:w="720"/>
        <w:gridCol w:w="720"/>
        <w:gridCol w:w="630"/>
        <w:gridCol w:w="810"/>
        <w:gridCol w:w="720"/>
        <w:gridCol w:w="720"/>
        <w:gridCol w:w="720"/>
      </w:tblGrid>
      <w:tr w:rsidR="00F66071" w:rsidRPr="0030399D" w14:paraId="398F03DA" w14:textId="77777777" w:rsidTr="007C129D">
        <w:trPr>
          <w:trHeight w:val="283"/>
          <w:jc w:val="center"/>
        </w:trPr>
        <w:tc>
          <w:tcPr>
            <w:tcW w:w="1527" w:type="dxa"/>
            <w:shd w:val="clear" w:color="auto" w:fill="auto"/>
            <w:vAlign w:val="center"/>
            <w:hideMark/>
          </w:tcPr>
          <w:p w14:paraId="394C7A61" w14:textId="77777777" w:rsidR="00F66071" w:rsidRPr="0030399D" w:rsidRDefault="00F66071" w:rsidP="007C129D">
            <w:pPr>
              <w:pStyle w:val="StyleJustified"/>
              <w:jc w:val="center"/>
              <w:rPr>
                <w:rFonts w:ascii="Arial" w:hAnsi="Arial" w:cs="Arial"/>
                <w:b/>
                <w:bCs/>
                <w:lang w:val="en-CA"/>
              </w:rPr>
            </w:pPr>
            <w:r w:rsidRPr="0030399D">
              <w:rPr>
                <w:rFonts w:ascii="Arial" w:hAnsi="Arial" w:cs="Arial"/>
                <w:b/>
                <w:bCs/>
                <w:lang w:val="en-CA"/>
              </w:rPr>
              <w:t>Year</w:t>
            </w:r>
          </w:p>
        </w:tc>
        <w:tc>
          <w:tcPr>
            <w:tcW w:w="720" w:type="dxa"/>
            <w:shd w:val="clear" w:color="auto" w:fill="auto"/>
            <w:vAlign w:val="center"/>
            <w:hideMark/>
          </w:tcPr>
          <w:p w14:paraId="45FFBA9F" w14:textId="77777777" w:rsidR="00F66071" w:rsidRPr="0030399D" w:rsidRDefault="00F66071" w:rsidP="007C129D">
            <w:pPr>
              <w:pStyle w:val="StyleJustified"/>
              <w:jc w:val="center"/>
              <w:rPr>
                <w:rFonts w:ascii="Arial" w:hAnsi="Arial" w:cs="Arial"/>
                <w:b/>
                <w:bCs/>
                <w:lang w:val="en-CA"/>
              </w:rPr>
            </w:pPr>
            <w:r w:rsidRPr="0030399D">
              <w:rPr>
                <w:rFonts w:ascii="Arial" w:hAnsi="Arial" w:cs="Arial"/>
                <w:b/>
                <w:lang w:val="en-CA"/>
              </w:rPr>
              <w:t>2008</w:t>
            </w:r>
          </w:p>
        </w:tc>
        <w:tc>
          <w:tcPr>
            <w:tcW w:w="727" w:type="dxa"/>
            <w:shd w:val="clear" w:color="auto" w:fill="auto"/>
            <w:vAlign w:val="center"/>
            <w:hideMark/>
          </w:tcPr>
          <w:p w14:paraId="7EA7485D" w14:textId="77777777" w:rsidR="00F66071" w:rsidRPr="0030399D" w:rsidRDefault="00F66071" w:rsidP="007C129D">
            <w:pPr>
              <w:pStyle w:val="StyleJustified"/>
              <w:jc w:val="center"/>
              <w:rPr>
                <w:rFonts w:ascii="Arial" w:hAnsi="Arial" w:cs="Arial"/>
                <w:b/>
                <w:bCs/>
                <w:lang w:val="en-CA"/>
              </w:rPr>
            </w:pPr>
            <w:r w:rsidRPr="0030399D">
              <w:rPr>
                <w:rFonts w:ascii="Arial" w:hAnsi="Arial" w:cs="Arial"/>
                <w:b/>
                <w:lang w:val="en-CA"/>
              </w:rPr>
              <w:t>2009</w:t>
            </w:r>
          </w:p>
        </w:tc>
        <w:tc>
          <w:tcPr>
            <w:tcW w:w="713" w:type="dxa"/>
            <w:shd w:val="clear" w:color="auto" w:fill="auto"/>
            <w:vAlign w:val="center"/>
            <w:hideMark/>
          </w:tcPr>
          <w:p w14:paraId="7290197C" w14:textId="77777777" w:rsidR="00F66071" w:rsidRPr="0030399D" w:rsidRDefault="00F66071" w:rsidP="007C129D">
            <w:pPr>
              <w:pStyle w:val="StyleJustified"/>
              <w:jc w:val="center"/>
              <w:rPr>
                <w:rFonts w:ascii="Arial" w:hAnsi="Arial" w:cs="Arial"/>
                <w:b/>
                <w:bCs/>
                <w:lang w:val="en-CA"/>
              </w:rPr>
            </w:pPr>
            <w:r w:rsidRPr="0030399D">
              <w:rPr>
                <w:rFonts w:ascii="Arial" w:hAnsi="Arial" w:cs="Arial"/>
                <w:b/>
                <w:lang w:val="en-CA"/>
              </w:rPr>
              <w:t>2010</w:t>
            </w:r>
          </w:p>
        </w:tc>
        <w:tc>
          <w:tcPr>
            <w:tcW w:w="720" w:type="dxa"/>
            <w:shd w:val="clear" w:color="auto" w:fill="auto"/>
            <w:vAlign w:val="center"/>
            <w:hideMark/>
          </w:tcPr>
          <w:p w14:paraId="1D2E9413" w14:textId="77777777" w:rsidR="00F66071" w:rsidRPr="0030399D" w:rsidRDefault="00F66071" w:rsidP="007C129D">
            <w:pPr>
              <w:pStyle w:val="StyleJustified"/>
              <w:jc w:val="center"/>
              <w:rPr>
                <w:rFonts w:ascii="Arial" w:hAnsi="Arial" w:cs="Arial"/>
                <w:b/>
                <w:bCs/>
                <w:lang w:val="en-CA"/>
              </w:rPr>
            </w:pPr>
            <w:r w:rsidRPr="0030399D">
              <w:rPr>
                <w:rFonts w:ascii="Arial" w:hAnsi="Arial" w:cs="Arial"/>
                <w:b/>
                <w:lang w:val="en-CA"/>
              </w:rPr>
              <w:t>2011</w:t>
            </w:r>
          </w:p>
        </w:tc>
        <w:tc>
          <w:tcPr>
            <w:tcW w:w="720" w:type="dxa"/>
            <w:shd w:val="clear" w:color="auto" w:fill="auto"/>
            <w:vAlign w:val="center"/>
          </w:tcPr>
          <w:p w14:paraId="1EF35148" w14:textId="77777777" w:rsidR="00F66071" w:rsidRPr="0030399D" w:rsidRDefault="00F66071" w:rsidP="007C129D">
            <w:pPr>
              <w:pStyle w:val="StyleJustified"/>
              <w:jc w:val="center"/>
              <w:rPr>
                <w:rFonts w:ascii="Arial" w:hAnsi="Arial" w:cs="Arial"/>
                <w:b/>
                <w:bCs/>
                <w:lang w:val="en-CA"/>
              </w:rPr>
            </w:pPr>
            <w:r w:rsidRPr="0030399D">
              <w:rPr>
                <w:rFonts w:ascii="Arial" w:hAnsi="Arial" w:cs="Arial"/>
                <w:b/>
                <w:lang w:val="en-CA"/>
              </w:rPr>
              <w:t>2012</w:t>
            </w:r>
          </w:p>
        </w:tc>
        <w:tc>
          <w:tcPr>
            <w:tcW w:w="630" w:type="dxa"/>
            <w:shd w:val="clear" w:color="auto" w:fill="auto"/>
            <w:vAlign w:val="center"/>
          </w:tcPr>
          <w:p w14:paraId="7781E95B" w14:textId="77777777" w:rsidR="00F66071" w:rsidRPr="0030399D" w:rsidRDefault="00F66071" w:rsidP="007C129D">
            <w:pPr>
              <w:pStyle w:val="StyleJustified"/>
              <w:jc w:val="center"/>
              <w:rPr>
                <w:rFonts w:ascii="Arial" w:hAnsi="Arial" w:cs="Arial"/>
                <w:b/>
                <w:bCs/>
                <w:lang w:val="en-CA"/>
              </w:rPr>
            </w:pPr>
            <w:r w:rsidRPr="0030399D">
              <w:rPr>
                <w:rFonts w:ascii="Arial" w:hAnsi="Arial" w:cs="Arial"/>
                <w:b/>
                <w:lang w:val="en-CA"/>
              </w:rPr>
              <w:t>2013</w:t>
            </w:r>
          </w:p>
        </w:tc>
        <w:tc>
          <w:tcPr>
            <w:tcW w:w="810" w:type="dxa"/>
            <w:shd w:val="clear" w:color="auto" w:fill="auto"/>
            <w:vAlign w:val="center"/>
          </w:tcPr>
          <w:p w14:paraId="4DE23CB9" w14:textId="77777777" w:rsidR="00F66071" w:rsidRPr="0030399D" w:rsidRDefault="00F66071" w:rsidP="007C129D">
            <w:pPr>
              <w:pStyle w:val="StyleJustified"/>
              <w:jc w:val="center"/>
              <w:rPr>
                <w:rFonts w:ascii="Arial" w:hAnsi="Arial" w:cs="Arial"/>
                <w:b/>
                <w:bCs/>
                <w:lang w:val="en-CA"/>
              </w:rPr>
            </w:pPr>
            <w:r w:rsidRPr="0030399D">
              <w:rPr>
                <w:rFonts w:ascii="Arial" w:hAnsi="Arial" w:cs="Arial"/>
                <w:b/>
                <w:lang w:val="en-CA"/>
              </w:rPr>
              <w:t>2014</w:t>
            </w:r>
          </w:p>
        </w:tc>
        <w:tc>
          <w:tcPr>
            <w:tcW w:w="720" w:type="dxa"/>
            <w:shd w:val="clear" w:color="auto" w:fill="auto"/>
            <w:vAlign w:val="center"/>
          </w:tcPr>
          <w:p w14:paraId="7B405800" w14:textId="77777777" w:rsidR="00F66071" w:rsidRPr="0030399D" w:rsidRDefault="00F66071" w:rsidP="007C129D">
            <w:pPr>
              <w:pStyle w:val="StyleJustified"/>
              <w:jc w:val="center"/>
              <w:rPr>
                <w:rFonts w:ascii="Arial" w:hAnsi="Arial" w:cs="Arial"/>
                <w:b/>
                <w:bCs/>
                <w:lang w:val="en-CA"/>
              </w:rPr>
            </w:pPr>
            <w:r w:rsidRPr="0030399D">
              <w:rPr>
                <w:rFonts w:ascii="Arial" w:hAnsi="Arial" w:cs="Arial"/>
                <w:b/>
                <w:lang w:val="en-CA"/>
              </w:rPr>
              <w:t>2015</w:t>
            </w:r>
          </w:p>
        </w:tc>
        <w:tc>
          <w:tcPr>
            <w:tcW w:w="720" w:type="dxa"/>
            <w:shd w:val="clear" w:color="auto" w:fill="auto"/>
            <w:vAlign w:val="center"/>
          </w:tcPr>
          <w:p w14:paraId="6E7CED2F" w14:textId="77777777" w:rsidR="00F66071" w:rsidRPr="0030399D" w:rsidRDefault="00F66071" w:rsidP="007C129D">
            <w:pPr>
              <w:pStyle w:val="StyleJustified"/>
              <w:jc w:val="right"/>
              <w:rPr>
                <w:rFonts w:ascii="Arial" w:hAnsi="Arial" w:cs="Arial"/>
                <w:b/>
                <w:lang w:val="en-CA"/>
              </w:rPr>
            </w:pPr>
            <w:r w:rsidRPr="0030399D">
              <w:rPr>
                <w:rFonts w:ascii="Arial" w:hAnsi="Arial" w:cs="Arial"/>
                <w:b/>
                <w:lang w:val="en-CA"/>
              </w:rPr>
              <w:t>2016</w:t>
            </w:r>
          </w:p>
        </w:tc>
        <w:tc>
          <w:tcPr>
            <w:tcW w:w="720" w:type="dxa"/>
            <w:shd w:val="clear" w:color="auto" w:fill="auto"/>
            <w:vAlign w:val="center"/>
          </w:tcPr>
          <w:p w14:paraId="49A42793" w14:textId="77777777" w:rsidR="00F66071" w:rsidRPr="0030399D" w:rsidRDefault="00F66071" w:rsidP="007C129D">
            <w:pPr>
              <w:pStyle w:val="StyleJustified"/>
              <w:jc w:val="right"/>
              <w:rPr>
                <w:rFonts w:ascii="Arial" w:hAnsi="Arial" w:cs="Arial"/>
                <w:b/>
                <w:lang w:val="en-CA"/>
              </w:rPr>
            </w:pPr>
            <w:r w:rsidRPr="0030399D">
              <w:rPr>
                <w:rFonts w:ascii="Arial" w:hAnsi="Arial" w:cs="Arial"/>
                <w:b/>
                <w:lang w:val="en-CA"/>
              </w:rPr>
              <w:t>2017</w:t>
            </w:r>
          </w:p>
        </w:tc>
      </w:tr>
      <w:tr w:rsidR="00F66071" w:rsidRPr="0030399D" w14:paraId="68CE6E52" w14:textId="77777777" w:rsidTr="007C129D">
        <w:trPr>
          <w:trHeight w:val="340"/>
          <w:jc w:val="center"/>
        </w:trPr>
        <w:tc>
          <w:tcPr>
            <w:tcW w:w="1527" w:type="dxa"/>
            <w:shd w:val="clear" w:color="auto" w:fill="auto"/>
            <w:vAlign w:val="center"/>
            <w:hideMark/>
          </w:tcPr>
          <w:p w14:paraId="3E9386AE" w14:textId="55524AB5" w:rsidR="00F66071" w:rsidRPr="0030399D" w:rsidRDefault="00F66071" w:rsidP="007C129D">
            <w:pPr>
              <w:pStyle w:val="StyleJustified"/>
              <w:jc w:val="left"/>
              <w:rPr>
                <w:rFonts w:ascii="Arial" w:hAnsi="Arial" w:cs="Arial"/>
                <w:lang w:val="en-CA"/>
              </w:rPr>
            </w:pPr>
            <w:r w:rsidRPr="0030399D">
              <w:rPr>
                <w:rFonts w:ascii="Arial" w:hAnsi="Arial" w:cs="Arial"/>
                <w:lang w:val="en-CA"/>
              </w:rPr>
              <w:t xml:space="preserve">Total global sales in </w:t>
            </w:r>
            <w:r w:rsidR="007C129D">
              <w:rPr>
                <w:rFonts w:ascii="Arial" w:hAnsi="Arial" w:cs="Arial"/>
                <w:lang w:val="en-CA"/>
              </w:rPr>
              <w:t>US</w:t>
            </w:r>
            <w:r w:rsidRPr="0030399D">
              <w:rPr>
                <w:rFonts w:ascii="Arial" w:hAnsi="Arial" w:cs="Arial"/>
                <w:lang w:val="en-CA"/>
              </w:rPr>
              <w:t>$ billion</w:t>
            </w:r>
          </w:p>
        </w:tc>
        <w:tc>
          <w:tcPr>
            <w:tcW w:w="720" w:type="dxa"/>
            <w:shd w:val="clear" w:color="auto" w:fill="auto"/>
            <w:vAlign w:val="center"/>
            <w:hideMark/>
          </w:tcPr>
          <w:p w14:paraId="3CA29BCD"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799</w:t>
            </w:r>
          </w:p>
        </w:tc>
        <w:tc>
          <w:tcPr>
            <w:tcW w:w="727" w:type="dxa"/>
            <w:shd w:val="clear" w:color="auto" w:fill="auto"/>
            <w:vAlign w:val="center"/>
            <w:hideMark/>
          </w:tcPr>
          <w:p w14:paraId="453FD21A"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830</w:t>
            </w:r>
          </w:p>
        </w:tc>
        <w:tc>
          <w:tcPr>
            <w:tcW w:w="713" w:type="dxa"/>
            <w:shd w:val="clear" w:color="auto" w:fill="auto"/>
            <w:vAlign w:val="center"/>
            <w:hideMark/>
          </w:tcPr>
          <w:p w14:paraId="3C6C05FD"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888</w:t>
            </w:r>
          </w:p>
        </w:tc>
        <w:tc>
          <w:tcPr>
            <w:tcW w:w="720" w:type="dxa"/>
            <w:shd w:val="clear" w:color="auto" w:fill="auto"/>
            <w:vAlign w:val="center"/>
            <w:hideMark/>
          </w:tcPr>
          <w:p w14:paraId="172E8CE2"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963</w:t>
            </w:r>
          </w:p>
        </w:tc>
        <w:tc>
          <w:tcPr>
            <w:tcW w:w="720" w:type="dxa"/>
            <w:shd w:val="clear" w:color="auto" w:fill="auto"/>
            <w:vAlign w:val="center"/>
          </w:tcPr>
          <w:p w14:paraId="6FDF8900"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962</w:t>
            </w:r>
          </w:p>
        </w:tc>
        <w:tc>
          <w:tcPr>
            <w:tcW w:w="630" w:type="dxa"/>
            <w:shd w:val="clear" w:color="auto" w:fill="auto"/>
            <w:vAlign w:val="center"/>
          </w:tcPr>
          <w:p w14:paraId="6D97A91A"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999</w:t>
            </w:r>
          </w:p>
        </w:tc>
        <w:tc>
          <w:tcPr>
            <w:tcW w:w="810" w:type="dxa"/>
            <w:shd w:val="clear" w:color="auto" w:fill="auto"/>
            <w:vAlign w:val="center"/>
          </w:tcPr>
          <w:p w14:paraId="6E3F3E0F"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1,043</w:t>
            </w:r>
          </w:p>
        </w:tc>
        <w:tc>
          <w:tcPr>
            <w:tcW w:w="720" w:type="dxa"/>
            <w:shd w:val="clear" w:color="auto" w:fill="auto"/>
            <w:vAlign w:val="center"/>
          </w:tcPr>
          <w:p w14:paraId="0B3CA9C8"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1,105</w:t>
            </w:r>
          </w:p>
        </w:tc>
        <w:tc>
          <w:tcPr>
            <w:tcW w:w="720" w:type="dxa"/>
            <w:shd w:val="clear" w:color="auto" w:fill="auto"/>
            <w:vAlign w:val="center"/>
          </w:tcPr>
          <w:p w14:paraId="314A1986"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1,149</w:t>
            </w:r>
          </w:p>
        </w:tc>
        <w:tc>
          <w:tcPr>
            <w:tcW w:w="720" w:type="dxa"/>
            <w:shd w:val="clear" w:color="auto" w:fill="auto"/>
            <w:vAlign w:val="center"/>
          </w:tcPr>
          <w:p w14:paraId="02C2088B"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1,195</w:t>
            </w:r>
          </w:p>
        </w:tc>
      </w:tr>
      <w:tr w:rsidR="00F66071" w:rsidRPr="0030399D" w14:paraId="27ABF2CD" w14:textId="77777777" w:rsidTr="007C129D">
        <w:trPr>
          <w:trHeight w:val="340"/>
          <w:jc w:val="center"/>
        </w:trPr>
        <w:tc>
          <w:tcPr>
            <w:tcW w:w="1527" w:type="dxa"/>
            <w:tcBorders>
              <w:bottom w:val="single" w:sz="4" w:space="0" w:color="auto"/>
            </w:tcBorders>
            <w:shd w:val="clear" w:color="auto" w:fill="auto"/>
            <w:vAlign w:val="center"/>
            <w:hideMark/>
          </w:tcPr>
          <w:p w14:paraId="526B37FA" w14:textId="77777777" w:rsidR="00F66071" w:rsidRPr="0030399D" w:rsidRDefault="00F66071" w:rsidP="007C129D">
            <w:pPr>
              <w:pStyle w:val="StyleJustified"/>
              <w:jc w:val="left"/>
              <w:rPr>
                <w:rFonts w:ascii="Arial" w:hAnsi="Arial" w:cs="Arial"/>
                <w:lang w:val="en-CA"/>
              </w:rPr>
            </w:pPr>
            <w:r w:rsidRPr="0030399D">
              <w:rPr>
                <w:rFonts w:ascii="Arial" w:hAnsi="Arial" w:cs="Arial"/>
                <w:lang w:val="en-CA"/>
              </w:rPr>
              <w:t>Yearly growth rate in %</w:t>
            </w:r>
          </w:p>
        </w:tc>
        <w:tc>
          <w:tcPr>
            <w:tcW w:w="720" w:type="dxa"/>
            <w:tcBorders>
              <w:bottom w:val="single" w:sz="4" w:space="0" w:color="auto"/>
            </w:tcBorders>
            <w:shd w:val="clear" w:color="auto" w:fill="auto"/>
            <w:vAlign w:val="center"/>
          </w:tcPr>
          <w:p w14:paraId="764F49C8" w14:textId="77777777" w:rsidR="00F66071" w:rsidRPr="0030399D" w:rsidRDefault="00F66071" w:rsidP="007C129D">
            <w:pPr>
              <w:pStyle w:val="StyleJustified"/>
              <w:jc w:val="center"/>
              <w:rPr>
                <w:rFonts w:ascii="Arial" w:hAnsi="Arial" w:cs="Arial"/>
                <w:lang w:val="en-CA"/>
              </w:rPr>
            </w:pPr>
          </w:p>
        </w:tc>
        <w:tc>
          <w:tcPr>
            <w:tcW w:w="727" w:type="dxa"/>
            <w:tcBorders>
              <w:bottom w:val="single" w:sz="4" w:space="0" w:color="auto"/>
            </w:tcBorders>
            <w:shd w:val="clear" w:color="auto" w:fill="auto"/>
            <w:vAlign w:val="center"/>
          </w:tcPr>
          <w:p w14:paraId="5ACE874C"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4</w:t>
            </w:r>
          </w:p>
        </w:tc>
        <w:tc>
          <w:tcPr>
            <w:tcW w:w="713" w:type="dxa"/>
            <w:tcBorders>
              <w:bottom w:val="single" w:sz="4" w:space="0" w:color="auto"/>
            </w:tcBorders>
            <w:shd w:val="clear" w:color="auto" w:fill="auto"/>
            <w:vAlign w:val="center"/>
          </w:tcPr>
          <w:p w14:paraId="40296260"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7</w:t>
            </w:r>
          </w:p>
        </w:tc>
        <w:tc>
          <w:tcPr>
            <w:tcW w:w="720" w:type="dxa"/>
            <w:tcBorders>
              <w:bottom w:val="single" w:sz="4" w:space="0" w:color="auto"/>
            </w:tcBorders>
            <w:shd w:val="clear" w:color="auto" w:fill="auto"/>
            <w:vAlign w:val="center"/>
          </w:tcPr>
          <w:p w14:paraId="0EAFC8B5"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8</w:t>
            </w:r>
          </w:p>
        </w:tc>
        <w:tc>
          <w:tcPr>
            <w:tcW w:w="720" w:type="dxa"/>
            <w:tcBorders>
              <w:bottom w:val="single" w:sz="4" w:space="0" w:color="auto"/>
            </w:tcBorders>
            <w:shd w:val="clear" w:color="auto" w:fill="auto"/>
            <w:vAlign w:val="center"/>
          </w:tcPr>
          <w:p w14:paraId="08B37457"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0</w:t>
            </w:r>
          </w:p>
        </w:tc>
        <w:tc>
          <w:tcPr>
            <w:tcW w:w="630" w:type="dxa"/>
            <w:tcBorders>
              <w:bottom w:val="single" w:sz="4" w:space="0" w:color="auto"/>
            </w:tcBorders>
            <w:shd w:val="clear" w:color="auto" w:fill="auto"/>
            <w:vAlign w:val="center"/>
          </w:tcPr>
          <w:p w14:paraId="6782E400"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4</w:t>
            </w:r>
          </w:p>
        </w:tc>
        <w:tc>
          <w:tcPr>
            <w:tcW w:w="810" w:type="dxa"/>
            <w:tcBorders>
              <w:bottom w:val="single" w:sz="4" w:space="0" w:color="auto"/>
            </w:tcBorders>
            <w:shd w:val="clear" w:color="auto" w:fill="auto"/>
            <w:vAlign w:val="center"/>
          </w:tcPr>
          <w:p w14:paraId="2371CF42"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4</w:t>
            </w:r>
          </w:p>
        </w:tc>
        <w:tc>
          <w:tcPr>
            <w:tcW w:w="720" w:type="dxa"/>
            <w:tcBorders>
              <w:bottom w:val="single" w:sz="4" w:space="0" w:color="auto"/>
            </w:tcBorders>
            <w:shd w:val="clear" w:color="auto" w:fill="auto"/>
            <w:vAlign w:val="center"/>
          </w:tcPr>
          <w:p w14:paraId="6028E919"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6</w:t>
            </w:r>
          </w:p>
        </w:tc>
        <w:tc>
          <w:tcPr>
            <w:tcW w:w="720" w:type="dxa"/>
            <w:tcBorders>
              <w:bottom w:val="single" w:sz="4" w:space="0" w:color="auto"/>
            </w:tcBorders>
            <w:shd w:val="clear" w:color="auto" w:fill="auto"/>
            <w:vAlign w:val="center"/>
          </w:tcPr>
          <w:p w14:paraId="1C8340EC"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4</w:t>
            </w:r>
          </w:p>
        </w:tc>
        <w:tc>
          <w:tcPr>
            <w:tcW w:w="720" w:type="dxa"/>
            <w:tcBorders>
              <w:bottom w:val="single" w:sz="4" w:space="0" w:color="auto"/>
            </w:tcBorders>
            <w:shd w:val="clear" w:color="auto" w:fill="auto"/>
            <w:vAlign w:val="center"/>
          </w:tcPr>
          <w:p w14:paraId="725E533B" w14:textId="77777777" w:rsidR="00F66071" w:rsidRPr="0030399D" w:rsidRDefault="00F66071" w:rsidP="007C129D">
            <w:pPr>
              <w:pStyle w:val="StyleJustified"/>
              <w:jc w:val="center"/>
              <w:rPr>
                <w:rFonts w:ascii="Arial" w:hAnsi="Arial" w:cs="Arial"/>
                <w:lang w:val="en-CA"/>
              </w:rPr>
            </w:pPr>
            <w:r w:rsidRPr="0030399D">
              <w:rPr>
                <w:rFonts w:ascii="Arial" w:hAnsi="Arial" w:cs="Arial"/>
                <w:lang w:val="en-CA"/>
              </w:rPr>
              <w:t>4</w:t>
            </w:r>
          </w:p>
        </w:tc>
      </w:tr>
    </w:tbl>
    <w:p w14:paraId="0A8E5966" w14:textId="77777777" w:rsidR="00F66071" w:rsidRPr="0030399D" w:rsidRDefault="00F66071" w:rsidP="00F66071">
      <w:pPr>
        <w:pStyle w:val="ExhibitText"/>
        <w:rPr>
          <w:sz w:val="16"/>
          <w:szCs w:val="16"/>
          <w:lang w:val="en-CA"/>
        </w:rPr>
      </w:pPr>
    </w:p>
    <w:p w14:paraId="12085701" w14:textId="0A1E7651" w:rsidR="00F66071" w:rsidRPr="0030399D" w:rsidRDefault="00F66071" w:rsidP="00F66071">
      <w:pPr>
        <w:pStyle w:val="Footnote"/>
        <w:rPr>
          <w:lang w:val="en-CA"/>
        </w:rPr>
      </w:pPr>
      <w:r w:rsidRPr="0030399D">
        <w:rPr>
          <w:lang w:val="en-CA"/>
        </w:rPr>
        <w:t xml:space="preserve">Source: BPI. (n.d.), “Revenue of the Worldwide Pharmaceutical Market from 2001 to 2017 (in billion </w:t>
      </w:r>
      <w:r w:rsidR="007C129D">
        <w:rPr>
          <w:lang w:val="en-CA"/>
        </w:rPr>
        <w:t>US</w:t>
      </w:r>
      <w:r w:rsidRPr="0030399D">
        <w:rPr>
          <w:lang w:val="en-CA"/>
        </w:rPr>
        <w:t xml:space="preserve"> dollars),” Statista - The Statistics Portal, accessed May 13, 2019, www.statista.com/statistics/263102/pharmaceutical-market-worldwide-revenue-since-2001/. </w:t>
      </w:r>
    </w:p>
    <w:p w14:paraId="64FE76A3" w14:textId="77777777" w:rsidR="00F66071" w:rsidRPr="0030399D" w:rsidRDefault="00F66071" w:rsidP="00F66071">
      <w:pPr>
        <w:pStyle w:val="ExhibitText"/>
        <w:rPr>
          <w:sz w:val="16"/>
          <w:szCs w:val="16"/>
          <w:lang w:val="en-CA"/>
        </w:rPr>
      </w:pPr>
    </w:p>
    <w:p w14:paraId="111A2AAD" w14:textId="77777777" w:rsidR="00F66071" w:rsidRPr="0030399D" w:rsidRDefault="00F66071" w:rsidP="00F66071">
      <w:pPr>
        <w:pStyle w:val="ExhibitText"/>
        <w:rPr>
          <w:sz w:val="16"/>
          <w:szCs w:val="16"/>
          <w:lang w:val="en-CA"/>
        </w:rPr>
      </w:pPr>
    </w:p>
    <w:p w14:paraId="33E3F20F" w14:textId="77777777" w:rsidR="00F66071" w:rsidRPr="0030399D" w:rsidRDefault="00F66071" w:rsidP="00F66071">
      <w:pPr>
        <w:pStyle w:val="IVEYappTitel"/>
        <w:rPr>
          <w:noProof w:val="0"/>
          <w:lang w:val="en-CA"/>
        </w:rPr>
      </w:pPr>
      <w:r w:rsidRPr="0030399D">
        <w:rPr>
          <w:noProof w:val="0"/>
          <w:lang w:val="en-CA"/>
        </w:rPr>
        <w:t>Exhibit 4: change in total (private and public) health spending FROM 1970–2016</w:t>
      </w:r>
      <w:r w:rsidRPr="0030399D">
        <w:rPr>
          <w:noProof w:val="0"/>
          <w:lang w:val="en-CA"/>
        </w:rPr>
        <w:br/>
        <w:t>[per capita, $, and % of GDP]</w:t>
      </w:r>
    </w:p>
    <w:p w14:paraId="4ACA00AA" w14:textId="77777777" w:rsidR="00F66071" w:rsidRPr="0030399D" w:rsidRDefault="00F66071" w:rsidP="00F66071">
      <w:pPr>
        <w:pStyle w:val="IVEYappTitel"/>
        <w:rPr>
          <w:noProof w:val="0"/>
          <w:sz w:val="16"/>
          <w:szCs w:val="16"/>
          <w:lang w:val="en-CA"/>
        </w:rPr>
      </w:pPr>
    </w:p>
    <w:tbl>
      <w:tblPr>
        <w:tblW w:w="91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28" w:type="dxa"/>
        </w:tblCellMar>
        <w:tblLook w:val="04A0" w:firstRow="1" w:lastRow="0" w:firstColumn="1" w:lastColumn="0" w:noHBand="0" w:noVBand="1"/>
      </w:tblPr>
      <w:tblGrid>
        <w:gridCol w:w="696"/>
        <w:gridCol w:w="454"/>
        <w:gridCol w:w="454"/>
        <w:gridCol w:w="454"/>
        <w:gridCol w:w="372"/>
        <w:gridCol w:w="536"/>
        <w:gridCol w:w="454"/>
        <w:gridCol w:w="454"/>
        <w:gridCol w:w="356"/>
        <w:gridCol w:w="552"/>
        <w:gridCol w:w="454"/>
        <w:gridCol w:w="614"/>
        <w:gridCol w:w="360"/>
        <w:gridCol w:w="540"/>
        <w:gridCol w:w="360"/>
        <w:gridCol w:w="537"/>
        <w:gridCol w:w="313"/>
        <w:gridCol w:w="677"/>
        <w:gridCol w:w="540"/>
      </w:tblGrid>
      <w:tr w:rsidR="00F66071" w:rsidRPr="0030399D" w14:paraId="432C9D25" w14:textId="77777777" w:rsidTr="007C129D">
        <w:trPr>
          <w:trHeight w:val="283"/>
          <w:jc w:val="center"/>
        </w:trPr>
        <w:tc>
          <w:tcPr>
            <w:tcW w:w="696" w:type="dxa"/>
            <w:shd w:val="clear" w:color="auto" w:fill="auto"/>
            <w:noWrap/>
            <w:vAlign w:val="center"/>
            <w:hideMark/>
          </w:tcPr>
          <w:p w14:paraId="42886415" w14:textId="77777777" w:rsidR="00F66071" w:rsidRPr="0030399D" w:rsidRDefault="00F66071" w:rsidP="007C129D">
            <w:pPr>
              <w:jc w:val="center"/>
              <w:rPr>
                <w:rFonts w:ascii="Arial" w:hAnsi="Arial" w:cs="Arial"/>
                <w:lang w:val="en-CA"/>
              </w:rPr>
            </w:pPr>
          </w:p>
        </w:tc>
        <w:tc>
          <w:tcPr>
            <w:tcW w:w="908" w:type="dxa"/>
            <w:gridSpan w:val="2"/>
            <w:shd w:val="clear" w:color="auto" w:fill="auto"/>
            <w:noWrap/>
            <w:vAlign w:val="center"/>
            <w:hideMark/>
          </w:tcPr>
          <w:p w14:paraId="057449CE" w14:textId="77777777" w:rsidR="00F66071" w:rsidRPr="0030399D" w:rsidRDefault="00F66071" w:rsidP="007C129D">
            <w:pPr>
              <w:jc w:val="center"/>
              <w:rPr>
                <w:rFonts w:ascii="Arial" w:hAnsi="Arial" w:cs="Arial"/>
                <w:b/>
                <w:lang w:val="en-CA"/>
              </w:rPr>
            </w:pPr>
            <w:r w:rsidRPr="0030399D">
              <w:rPr>
                <w:rFonts w:ascii="Arial" w:hAnsi="Arial" w:cs="Arial"/>
                <w:b/>
                <w:lang w:val="en-CA"/>
              </w:rPr>
              <w:t>Brazil</w:t>
            </w:r>
          </w:p>
        </w:tc>
        <w:tc>
          <w:tcPr>
            <w:tcW w:w="826" w:type="dxa"/>
            <w:gridSpan w:val="2"/>
            <w:shd w:val="clear" w:color="auto" w:fill="auto"/>
            <w:vAlign w:val="center"/>
          </w:tcPr>
          <w:p w14:paraId="594024F3" w14:textId="77777777" w:rsidR="00F66071" w:rsidRPr="0030399D" w:rsidRDefault="00F66071" w:rsidP="007C129D">
            <w:pPr>
              <w:jc w:val="center"/>
              <w:rPr>
                <w:rFonts w:ascii="Arial" w:hAnsi="Arial" w:cs="Arial"/>
                <w:b/>
                <w:lang w:val="en-CA"/>
              </w:rPr>
            </w:pPr>
            <w:r w:rsidRPr="0030399D">
              <w:rPr>
                <w:rFonts w:ascii="Arial" w:hAnsi="Arial" w:cs="Arial"/>
                <w:b/>
                <w:lang w:val="en-CA"/>
              </w:rPr>
              <w:t>China</w:t>
            </w:r>
          </w:p>
        </w:tc>
        <w:tc>
          <w:tcPr>
            <w:tcW w:w="990" w:type="dxa"/>
            <w:gridSpan w:val="2"/>
            <w:shd w:val="clear" w:color="auto" w:fill="auto"/>
            <w:noWrap/>
            <w:vAlign w:val="center"/>
            <w:hideMark/>
          </w:tcPr>
          <w:p w14:paraId="0CD65233" w14:textId="77777777" w:rsidR="00F66071" w:rsidRPr="0030399D" w:rsidRDefault="00F66071" w:rsidP="007C129D">
            <w:pPr>
              <w:jc w:val="center"/>
              <w:rPr>
                <w:rFonts w:ascii="Arial" w:hAnsi="Arial" w:cs="Arial"/>
                <w:b/>
                <w:lang w:val="en-CA"/>
              </w:rPr>
            </w:pPr>
            <w:r w:rsidRPr="0030399D">
              <w:rPr>
                <w:rFonts w:ascii="Arial" w:hAnsi="Arial" w:cs="Arial"/>
                <w:b/>
                <w:lang w:val="en-CA"/>
              </w:rPr>
              <w:t>Germany</w:t>
            </w:r>
          </w:p>
        </w:tc>
        <w:tc>
          <w:tcPr>
            <w:tcW w:w="810" w:type="dxa"/>
            <w:gridSpan w:val="2"/>
            <w:shd w:val="clear" w:color="auto" w:fill="auto"/>
            <w:noWrap/>
            <w:vAlign w:val="center"/>
            <w:hideMark/>
          </w:tcPr>
          <w:p w14:paraId="151C32CA" w14:textId="77777777" w:rsidR="00F66071" w:rsidRPr="0030399D" w:rsidRDefault="00F66071" w:rsidP="007C129D">
            <w:pPr>
              <w:jc w:val="center"/>
              <w:rPr>
                <w:rFonts w:ascii="Arial" w:hAnsi="Arial" w:cs="Arial"/>
                <w:b/>
                <w:lang w:val="en-CA"/>
              </w:rPr>
            </w:pPr>
            <w:r w:rsidRPr="0030399D">
              <w:rPr>
                <w:rFonts w:ascii="Arial" w:hAnsi="Arial" w:cs="Arial"/>
                <w:b/>
                <w:lang w:val="en-CA"/>
              </w:rPr>
              <w:t>India</w:t>
            </w:r>
          </w:p>
        </w:tc>
        <w:tc>
          <w:tcPr>
            <w:tcW w:w="1006" w:type="dxa"/>
            <w:gridSpan w:val="2"/>
            <w:shd w:val="clear" w:color="auto" w:fill="auto"/>
            <w:vAlign w:val="center"/>
          </w:tcPr>
          <w:p w14:paraId="75D53510" w14:textId="77777777" w:rsidR="00F66071" w:rsidRPr="0030399D" w:rsidRDefault="00F66071" w:rsidP="007C129D">
            <w:pPr>
              <w:jc w:val="center"/>
              <w:rPr>
                <w:rFonts w:ascii="Arial" w:hAnsi="Arial" w:cs="Arial"/>
                <w:b/>
                <w:lang w:val="en-CA"/>
              </w:rPr>
            </w:pPr>
            <w:r w:rsidRPr="0030399D">
              <w:rPr>
                <w:rFonts w:ascii="Arial" w:hAnsi="Arial" w:cs="Arial"/>
                <w:b/>
                <w:lang w:val="en-CA"/>
              </w:rPr>
              <w:t>Japan</w:t>
            </w:r>
          </w:p>
        </w:tc>
        <w:tc>
          <w:tcPr>
            <w:tcW w:w="974" w:type="dxa"/>
            <w:gridSpan w:val="2"/>
            <w:shd w:val="clear" w:color="auto" w:fill="auto"/>
            <w:vAlign w:val="center"/>
          </w:tcPr>
          <w:p w14:paraId="0F61A42C" w14:textId="77777777" w:rsidR="00F66071" w:rsidRPr="0030399D" w:rsidRDefault="00F66071" w:rsidP="007C129D">
            <w:pPr>
              <w:jc w:val="center"/>
              <w:rPr>
                <w:rFonts w:ascii="Arial" w:hAnsi="Arial" w:cs="Arial"/>
                <w:b/>
                <w:lang w:val="en-CA"/>
              </w:rPr>
            </w:pPr>
            <w:r w:rsidRPr="0030399D">
              <w:rPr>
                <w:rFonts w:ascii="Arial" w:hAnsi="Arial" w:cs="Arial"/>
                <w:b/>
                <w:lang w:val="en-CA"/>
              </w:rPr>
              <w:t>Poland</w:t>
            </w:r>
          </w:p>
        </w:tc>
        <w:tc>
          <w:tcPr>
            <w:tcW w:w="900" w:type="dxa"/>
            <w:gridSpan w:val="2"/>
            <w:shd w:val="clear" w:color="auto" w:fill="auto"/>
            <w:vAlign w:val="center"/>
          </w:tcPr>
          <w:p w14:paraId="2FE3DB1E" w14:textId="77777777" w:rsidR="00F66071" w:rsidRPr="0030399D" w:rsidRDefault="00F66071" w:rsidP="007C129D">
            <w:pPr>
              <w:jc w:val="center"/>
              <w:rPr>
                <w:rFonts w:ascii="Arial" w:hAnsi="Arial" w:cs="Arial"/>
                <w:b/>
                <w:lang w:val="en-CA"/>
              </w:rPr>
            </w:pPr>
            <w:r w:rsidRPr="0030399D">
              <w:rPr>
                <w:rFonts w:ascii="Arial" w:hAnsi="Arial" w:cs="Arial"/>
                <w:b/>
                <w:lang w:val="en-CA"/>
              </w:rPr>
              <w:t>Russia</w:t>
            </w:r>
          </w:p>
        </w:tc>
        <w:tc>
          <w:tcPr>
            <w:tcW w:w="850" w:type="dxa"/>
            <w:gridSpan w:val="2"/>
            <w:shd w:val="clear" w:color="auto" w:fill="auto"/>
            <w:vAlign w:val="center"/>
          </w:tcPr>
          <w:p w14:paraId="5359CB0A" w14:textId="77777777" w:rsidR="00F66071" w:rsidRPr="0030399D" w:rsidRDefault="00F66071" w:rsidP="007C129D">
            <w:pPr>
              <w:jc w:val="center"/>
              <w:rPr>
                <w:rFonts w:ascii="Arial" w:hAnsi="Arial" w:cs="Arial"/>
                <w:b/>
                <w:lang w:val="en-CA"/>
              </w:rPr>
            </w:pPr>
            <w:r w:rsidRPr="0030399D">
              <w:rPr>
                <w:rFonts w:ascii="Arial" w:hAnsi="Arial" w:cs="Arial"/>
                <w:b/>
                <w:lang w:val="en-CA"/>
              </w:rPr>
              <w:t>UK</w:t>
            </w:r>
          </w:p>
        </w:tc>
        <w:tc>
          <w:tcPr>
            <w:tcW w:w="1217" w:type="dxa"/>
            <w:gridSpan w:val="2"/>
            <w:shd w:val="clear" w:color="auto" w:fill="auto"/>
            <w:vAlign w:val="center"/>
          </w:tcPr>
          <w:p w14:paraId="36CF20DD" w14:textId="77777777" w:rsidR="00F66071" w:rsidRPr="0030399D" w:rsidRDefault="00F66071" w:rsidP="007C129D">
            <w:pPr>
              <w:jc w:val="center"/>
              <w:rPr>
                <w:rFonts w:ascii="Arial" w:hAnsi="Arial" w:cs="Arial"/>
                <w:b/>
                <w:lang w:val="en-CA"/>
              </w:rPr>
            </w:pPr>
            <w:r w:rsidRPr="0030399D">
              <w:rPr>
                <w:rFonts w:ascii="Arial" w:hAnsi="Arial" w:cs="Arial"/>
                <w:b/>
                <w:lang w:val="en-CA"/>
              </w:rPr>
              <w:t>US</w:t>
            </w:r>
          </w:p>
        </w:tc>
      </w:tr>
      <w:tr w:rsidR="00F66071" w:rsidRPr="0030399D" w14:paraId="2C38486F" w14:textId="77777777" w:rsidTr="007C129D">
        <w:trPr>
          <w:trHeight w:val="283"/>
          <w:jc w:val="center"/>
        </w:trPr>
        <w:tc>
          <w:tcPr>
            <w:tcW w:w="696" w:type="dxa"/>
            <w:shd w:val="clear" w:color="auto" w:fill="auto"/>
            <w:noWrap/>
            <w:vAlign w:val="center"/>
            <w:hideMark/>
          </w:tcPr>
          <w:p w14:paraId="21956CA2" w14:textId="77777777" w:rsidR="00F66071" w:rsidRPr="0030399D" w:rsidRDefault="00F66071" w:rsidP="007C129D">
            <w:pPr>
              <w:jc w:val="center"/>
              <w:rPr>
                <w:rFonts w:ascii="Arial" w:hAnsi="Arial" w:cs="Arial"/>
                <w:b/>
                <w:lang w:val="en-CA"/>
              </w:rPr>
            </w:pPr>
            <w:r w:rsidRPr="0030399D">
              <w:rPr>
                <w:rFonts w:ascii="Arial" w:hAnsi="Arial" w:cs="Arial"/>
                <w:b/>
                <w:lang w:val="en-CA"/>
              </w:rPr>
              <w:t>Year</w:t>
            </w:r>
          </w:p>
        </w:tc>
        <w:tc>
          <w:tcPr>
            <w:tcW w:w="454" w:type="dxa"/>
            <w:shd w:val="clear" w:color="auto" w:fill="auto"/>
            <w:noWrap/>
            <w:vAlign w:val="center"/>
            <w:hideMark/>
          </w:tcPr>
          <w:p w14:paraId="7C7554AB"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454" w:type="dxa"/>
            <w:shd w:val="clear" w:color="auto" w:fill="auto"/>
            <w:noWrap/>
            <w:vAlign w:val="center"/>
            <w:hideMark/>
          </w:tcPr>
          <w:p w14:paraId="3C3E31D0"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454" w:type="dxa"/>
            <w:shd w:val="clear" w:color="auto" w:fill="auto"/>
            <w:vAlign w:val="center"/>
          </w:tcPr>
          <w:p w14:paraId="3909BE9F"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372" w:type="dxa"/>
            <w:shd w:val="clear" w:color="auto" w:fill="auto"/>
            <w:vAlign w:val="center"/>
          </w:tcPr>
          <w:p w14:paraId="45E2AD3B"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536" w:type="dxa"/>
            <w:shd w:val="clear" w:color="auto" w:fill="auto"/>
            <w:noWrap/>
            <w:vAlign w:val="center"/>
            <w:hideMark/>
          </w:tcPr>
          <w:p w14:paraId="241C979D"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454" w:type="dxa"/>
            <w:shd w:val="clear" w:color="auto" w:fill="auto"/>
            <w:noWrap/>
            <w:vAlign w:val="center"/>
            <w:hideMark/>
          </w:tcPr>
          <w:p w14:paraId="77F11A14"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454" w:type="dxa"/>
            <w:shd w:val="clear" w:color="auto" w:fill="auto"/>
            <w:noWrap/>
            <w:vAlign w:val="center"/>
            <w:hideMark/>
          </w:tcPr>
          <w:p w14:paraId="77826C5F"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356" w:type="dxa"/>
            <w:shd w:val="clear" w:color="auto" w:fill="auto"/>
            <w:noWrap/>
            <w:vAlign w:val="center"/>
            <w:hideMark/>
          </w:tcPr>
          <w:p w14:paraId="61846322"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552" w:type="dxa"/>
            <w:shd w:val="clear" w:color="auto" w:fill="auto"/>
            <w:noWrap/>
            <w:vAlign w:val="center"/>
            <w:hideMark/>
          </w:tcPr>
          <w:p w14:paraId="2EDBFB79"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454" w:type="dxa"/>
            <w:shd w:val="clear" w:color="auto" w:fill="auto"/>
            <w:noWrap/>
            <w:vAlign w:val="center"/>
            <w:hideMark/>
          </w:tcPr>
          <w:p w14:paraId="484B2EEB"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614" w:type="dxa"/>
            <w:shd w:val="clear" w:color="auto" w:fill="auto"/>
            <w:noWrap/>
            <w:vAlign w:val="center"/>
            <w:hideMark/>
          </w:tcPr>
          <w:p w14:paraId="0753BEAC"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360" w:type="dxa"/>
            <w:shd w:val="clear" w:color="auto" w:fill="auto"/>
            <w:noWrap/>
            <w:vAlign w:val="center"/>
            <w:hideMark/>
          </w:tcPr>
          <w:p w14:paraId="32C68309"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540" w:type="dxa"/>
            <w:shd w:val="clear" w:color="auto" w:fill="auto"/>
            <w:noWrap/>
            <w:vAlign w:val="center"/>
            <w:hideMark/>
          </w:tcPr>
          <w:p w14:paraId="049DACBE"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360" w:type="dxa"/>
            <w:shd w:val="clear" w:color="auto" w:fill="auto"/>
            <w:noWrap/>
            <w:vAlign w:val="center"/>
            <w:hideMark/>
          </w:tcPr>
          <w:p w14:paraId="2FF8988A"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537" w:type="dxa"/>
            <w:shd w:val="clear" w:color="auto" w:fill="auto"/>
            <w:noWrap/>
            <w:vAlign w:val="center"/>
            <w:hideMark/>
          </w:tcPr>
          <w:p w14:paraId="6F00C3B7"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313" w:type="dxa"/>
            <w:shd w:val="clear" w:color="auto" w:fill="auto"/>
            <w:vAlign w:val="center"/>
          </w:tcPr>
          <w:p w14:paraId="0B613EAB"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677" w:type="dxa"/>
            <w:shd w:val="clear" w:color="auto" w:fill="auto"/>
            <w:vAlign w:val="center"/>
          </w:tcPr>
          <w:p w14:paraId="2CADCAEA"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c>
          <w:tcPr>
            <w:tcW w:w="540" w:type="dxa"/>
            <w:shd w:val="clear" w:color="auto" w:fill="auto"/>
            <w:vAlign w:val="center"/>
          </w:tcPr>
          <w:p w14:paraId="224E2D9B" w14:textId="77777777" w:rsidR="00F66071" w:rsidRPr="0030399D" w:rsidRDefault="00F66071" w:rsidP="007C129D">
            <w:pPr>
              <w:jc w:val="center"/>
              <w:rPr>
                <w:rFonts w:ascii="Arial" w:hAnsi="Arial" w:cs="Arial"/>
                <w:b/>
                <w:lang w:val="en-CA"/>
              </w:rPr>
            </w:pPr>
            <w:r w:rsidRPr="0030399D">
              <w:rPr>
                <w:rFonts w:ascii="Arial" w:hAnsi="Arial" w:cs="Arial"/>
                <w:b/>
                <w:lang w:val="en-CA"/>
              </w:rPr>
              <w:t>%</w:t>
            </w:r>
          </w:p>
        </w:tc>
      </w:tr>
      <w:tr w:rsidR="00F66071" w:rsidRPr="0030399D" w14:paraId="5E336347" w14:textId="77777777" w:rsidTr="007C129D">
        <w:trPr>
          <w:trHeight w:val="227"/>
          <w:jc w:val="center"/>
        </w:trPr>
        <w:tc>
          <w:tcPr>
            <w:tcW w:w="696" w:type="dxa"/>
            <w:shd w:val="clear" w:color="auto" w:fill="auto"/>
            <w:noWrap/>
            <w:vAlign w:val="center"/>
            <w:hideMark/>
          </w:tcPr>
          <w:p w14:paraId="063F9BDA" w14:textId="77777777" w:rsidR="00F66071" w:rsidRPr="0030399D" w:rsidRDefault="00F66071" w:rsidP="007C129D">
            <w:pPr>
              <w:jc w:val="center"/>
              <w:rPr>
                <w:rFonts w:ascii="Arial" w:hAnsi="Arial" w:cs="Arial"/>
                <w:lang w:val="en-CA"/>
              </w:rPr>
            </w:pPr>
            <w:r w:rsidRPr="0030399D">
              <w:rPr>
                <w:rFonts w:ascii="Arial" w:hAnsi="Arial" w:cs="Arial"/>
                <w:lang w:val="en-CA"/>
              </w:rPr>
              <w:t>1970</w:t>
            </w:r>
          </w:p>
        </w:tc>
        <w:tc>
          <w:tcPr>
            <w:tcW w:w="454" w:type="dxa"/>
            <w:shd w:val="clear" w:color="auto" w:fill="auto"/>
            <w:noWrap/>
            <w:vAlign w:val="center"/>
            <w:hideMark/>
          </w:tcPr>
          <w:p w14:paraId="514A9F49" w14:textId="77777777" w:rsidR="00F66071" w:rsidRPr="0030399D" w:rsidRDefault="00F66071" w:rsidP="007C129D">
            <w:pPr>
              <w:jc w:val="right"/>
              <w:rPr>
                <w:rFonts w:ascii="Arial" w:hAnsi="Arial" w:cs="Arial"/>
                <w:lang w:val="en-CA"/>
              </w:rPr>
            </w:pPr>
          </w:p>
        </w:tc>
        <w:tc>
          <w:tcPr>
            <w:tcW w:w="454" w:type="dxa"/>
            <w:shd w:val="clear" w:color="auto" w:fill="auto"/>
            <w:noWrap/>
            <w:vAlign w:val="center"/>
            <w:hideMark/>
          </w:tcPr>
          <w:p w14:paraId="36CD89FD" w14:textId="77777777" w:rsidR="00F66071" w:rsidRPr="0030399D" w:rsidRDefault="00F66071" w:rsidP="007C129D">
            <w:pPr>
              <w:jc w:val="right"/>
              <w:rPr>
                <w:rFonts w:ascii="Arial" w:hAnsi="Arial" w:cs="Arial"/>
                <w:lang w:val="en-CA"/>
              </w:rPr>
            </w:pPr>
          </w:p>
        </w:tc>
        <w:tc>
          <w:tcPr>
            <w:tcW w:w="454" w:type="dxa"/>
            <w:shd w:val="clear" w:color="auto" w:fill="auto"/>
            <w:vAlign w:val="center"/>
          </w:tcPr>
          <w:p w14:paraId="063379EB" w14:textId="77777777" w:rsidR="00F66071" w:rsidRPr="0030399D" w:rsidRDefault="00F66071" w:rsidP="007C129D">
            <w:pPr>
              <w:jc w:val="right"/>
              <w:rPr>
                <w:rFonts w:ascii="Arial" w:hAnsi="Arial" w:cs="Arial"/>
                <w:lang w:val="en-CA"/>
              </w:rPr>
            </w:pPr>
          </w:p>
        </w:tc>
        <w:tc>
          <w:tcPr>
            <w:tcW w:w="372" w:type="dxa"/>
            <w:shd w:val="clear" w:color="auto" w:fill="auto"/>
            <w:vAlign w:val="center"/>
          </w:tcPr>
          <w:p w14:paraId="7FD8D906" w14:textId="77777777" w:rsidR="00F66071" w:rsidRPr="0030399D" w:rsidRDefault="00F66071" w:rsidP="007C129D">
            <w:pPr>
              <w:jc w:val="right"/>
              <w:rPr>
                <w:rFonts w:ascii="Arial" w:hAnsi="Arial" w:cs="Arial"/>
                <w:lang w:val="en-CA"/>
              </w:rPr>
            </w:pPr>
          </w:p>
        </w:tc>
        <w:tc>
          <w:tcPr>
            <w:tcW w:w="536" w:type="dxa"/>
            <w:shd w:val="clear" w:color="auto" w:fill="auto"/>
            <w:noWrap/>
            <w:vAlign w:val="center"/>
            <w:hideMark/>
          </w:tcPr>
          <w:p w14:paraId="3D0AC546" w14:textId="77777777" w:rsidR="00F66071" w:rsidRPr="0030399D" w:rsidRDefault="00F66071" w:rsidP="007C129D">
            <w:pPr>
              <w:jc w:val="right"/>
              <w:rPr>
                <w:rFonts w:ascii="Arial" w:hAnsi="Arial" w:cs="Arial"/>
                <w:lang w:val="en-CA"/>
              </w:rPr>
            </w:pPr>
            <w:r w:rsidRPr="0030399D">
              <w:rPr>
                <w:rFonts w:ascii="Arial" w:hAnsi="Arial" w:cs="Arial"/>
                <w:lang w:val="en-CA"/>
              </w:rPr>
              <w:t>258</w:t>
            </w:r>
          </w:p>
        </w:tc>
        <w:tc>
          <w:tcPr>
            <w:tcW w:w="454" w:type="dxa"/>
            <w:shd w:val="clear" w:color="auto" w:fill="auto"/>
            <w:noWrap/>
            <w:vAlign w:val="center"/>
            <w:hideMark/>
          </w:tcPr>
          <w:p w14:paraId="613EDF47" w14:textId="77777777" w:rsidR="00F66071" w:rsidRPr="0030399D" w:rsidRDefault="00F66071" w:rsidP="007C129D">
            <w:pPr>
              <w:jc w:val="right"/>
              <w:rPr>
                <w:rFonts w:ascii="Arial" w:hAnsi="Arial" w:cs="Arial"/>
                <w:lang w:val="en-CA"/>
              </w:rPr>
            </w:pPr>
            <w:r w:rsidRPr="0030399D">
              <w:rPr>
                <w:rFonts w:ascii="Arial" w:hAnsi="Arial" w:cs="Arial"/>
                <w:lang w:val="en-CA"/>
              </w:rPr>
              <w:t>5.7</w:t>
            </w:r>
          </w:p>
        </w:tc>
        <w:tc>
          <w:tcPr>
            <w:tcW w:w="454" w:type="dxa"/>
            <w:shd w:val="clear" w:color="auto" w:fill="auto"/>
            <w:noWrap/>
            <w:vAlign w:val="center"/>
            <w:hideMark/>
          </w:tcPr>
          <w:p w14:paraId="44088042" w14:textId="77777777" w:rsidR="00F66071" w:rsidRPr="0030399D" w:rsidRDefault="00F66071" w:rsidP="007C129D">
            <w:pPr>
              <w:jc w:val="right"/>
              <w:rPr>
                <w:rFonts w:ascii="Arial" w:hAnsi="Arial" w:cs="Arial"/>
                <w:lang w:val="en-CA"/>
              </w:rPr>
            </w:pPr>
          </w:p>
        </w:tc>
        <w:tc>
          <w:tcPr>
            <w:tcW w:w="356" w:type="dxa"/>
            <w:shd w:val="clear" w:color="auto" w:fill="auto"/>
            <w:noWrap/>
            <w:vAlign w:val="center"/>
            <w:hideMark/>
          </w:tcPr>
          <w:p w14:paraId="152D392C" w14:textId="77777777" w:rsidR="00F66071" w:rsidRPr="0030399D" w:rsidRDefault="00F66071" w:rsidP="007C129D">
            <w:pPr>
              <w:jc w:val="right"/>
              <w:rPr>
                <w:rFonts w:ascii="Arial" w:hAnsi="Arial" w:cs="Arial"/>
                <w:lang w:val="en-CA"/>
              </w:rPr>
            </w:pPr>
          </w:p>
        </w:tc>
        <w:tc>
          <w:tcPr>
            <w:tcW w:w="552" w:type="dxa"/>
            <w:shd w:val="clear" w:color="auto" w:fill="auto"/>
            <w:noWrap/>
            <w:vAlign w:val="center"/>
            <w:hideMark/>
          </w:tcPr>
          <w:p w14:paraId="02F7149F" w14:textId="77777777" w:rsidR="00F66071" w:rsidRPr="0030399D" w:rsidRDefault="00F66071" w:rsidP="007C129D">
            <w:pPr>
              <w:jc w:val="right"/>
              <w:rPr>
                <w:rFonts w:ascii="Arial" w:hAnsi="Arial" w:cs="Arial"/>
                <w:lang w:val="en-CA"/>
              </w:rPr>
            </w:pPr>
            <w:r w:rsidRPr="0030399D">
              <w:rPr>
                <w:rFonts w:ascii="Arial" w:hAnsi="Arial" w:cs="Arial"/>
                <w:lang w:val="en-CA"/>
              </w:rPr>
              <w:t>141</w:t>
            </w:r>
          </w:p>
        </w:tc>
        <w:tc>
          <w:tcPr>
            <w:tcW w:w="454" w:type="dxa"/>
            <w:shd w:val="clear" w:color="auto" w:fill="auto"/>
            <w:noWrap/>
            <w:vAlign w:val="center"/>
            <w:hideMark/>
          </w:tcPr>
          <w:p w14:paraId="5BDEBDC0" w14:textId="77777777" w:rsidR="00F66071" w:rsidRPr="0030399D" w:rsidRDefault="00F66071" w:rsidP="007C129D">
            <w:pPr>
              <w:jc w:val="right"/>
              <w:rPr>
                <w:rFonts w:ascii="Arial" w:hAnsi="Arial" w:cs="Arial"/>
                <w:lang w:val="en-CA"/>
              </w:rPr>
            </w:pPr>
            <w:r w:rsidRPr="0030399D">
              <w:rPr>
                <w:rFonts w:ascii="Arial" w:hAnsi="Arial" w:cs="Arial"/>
                <w:lang w:val="en-CA"/>
              </w:rPr>
              <w:t>4.4</w:t>
            </w:r>
          </w:p>
        </w:tc>
        <w:tc>
          <w:tcPr>
            <w:tcW w:w="614" w:type="dxa"/>
            <w:shd w:val="clear" w:color="auto" w:fill="auto"/>
            <w:noWrap/>
            <w:vAlign w:val="center"/>
            <w:hideMark/>
          </w:tcPr>
          <w:p w14:paraId="0B224C1E" w14:textId="77777777" w:rsidR="00F66071" w:rsidRPr="0030399D" w:rsidRDefault="00F66071" w:rsidP="007C129D">
            <w:pPr>
              <w:jc w:val="right"/>
              <w:rPr>
                <w:rFonts w:ascii="Arial" w:hAnsi="Arial" w:cs="Arial"/>
                <w:lang w:val="en-CA"/>
              </w:rPr>
            </w:pPr>
          </w:p>
        </w:tc>
        <w:tc>
          <w:tcPr>
            <w:tcW w:w="360" w:type="dxa"/>
            <w:shd w:val="clear" w:color="auto" w:fill="auto"/>
            <w:noWrap/>
            <w:vAlign w:val="center"/>
            <w:hideMark/>
          </w:tcPr>
          <w:p w14:paraId="3DCECB74" w14:textId="77777777" w:rsidR="00F66071" w:rsidRPr="0030399D" w:rsidRDefault="00F66071" w:rsidP="007C129D">
            <w:pPr>
              <w:jc w:val="right"/>
              <w:rPr>
                <w:rFonts w:ascii="Arial" w:hAnsi="Arial" w:cs="Arial"/>
                <w:lang w:val="en-CA"/>
              </w:rPr>
            </w:pPr>
          </w:p>
        </w:tc>
        <w:tc>
          <w:tcPr>
            <w:tcW w:w="540" w:type="dxa"/>
            <w:shd w:val="clear" w:color="auto" w:fill="auto"/>
            <w:noWrap/>
            <w:vAlign w:val="center"/>
            <w:hideMark/>
          </w:tcPr>
          <w:p w14:paraId="415FEF97" w14:textId="77777777" w:rsidR="00F66071" w:rsidRPr="0030399D" w:rsidRDefault="00F66071" w:rsidP="007C129D">
            <w:pPr>
              <w:jc w:val="right"/>
              <w:rPr>
                <w:rFonts w:ascii="Arial" w:hAnsi="Arial" w:cs="Arial"/>
                <w:lang w:val="en-CA"/>
              </w:rPr>
            </w:pPr>
          </w:p>
        </w:tc>
        <w:tc>
          <w:tcPr>
            <w:tcW w:w="360" w:type="dxa"/>
            <w:shd w:val="clear" w:color="auto" w:fill="auto"/>
            <w:noWrap/>
            <w:vAlign w:val="center"/>
            <w:hideMark/>
          </w:tcPr>
          <w:p w14:paraId="18775484" w14:textId="77777777" w:rsidR="00F66071" w:rsidRPr="0030399D" w:rsidRDefault="00F66071" w:rsidP="007C129D">
            <w:pPr>
              <w:jc w:val="right"/>
              <w:rPr>
                <w:rFonts w:ascii="Arial" w:hAnsi="Arial" w:cs="Arial"/>
                <w:lang w:val="en-CA"/>
              </w:rPr>
            </w:pPr>
          </w:p>
        </w:tc>
        <w:tc>
          <w:tcPr>
            <w:tcW w:w="537" w:type="dxa"/>
            <w:shd w:val="clear" w:color="auto" w:fill="auto"/>
            <w:noWrap/>
            <w:vAlign w:val="center"/>
            <w:hideMark/>
          </w:tcPr>
          <w:p w14:paraId="34F20B91" w14:textId="77777777" w:rsidR="00F66071" w:rsidRPr="0030399D" w:rsidRDefault="00F66071" w:rsidP="007C129D">
            <w:pPr>
              <w:jc w:val="right"/>
              <w:rPr>
                <w:rFonts w:ascii="Arial" w:hAnsi="Arial" w:cs="Arial"/>
                <w:lang w:val="en-CA"/>
              </w:rPr>
            </w:pPr>
            <w:r w:rsidRPr="0030399D">
              <w:rPr>
                <w:rFonts w:ascii="Arial" w:hAnsi="Arial" w:cs="Arial"/>
                <w:lang w:val="en-CA"/>
              </w:rPr>
              <w:t>148</w:t>
            </w:r>
          </w:p>
        </w:tc>
        <w:tc>
          <w:tcPr>
            <w:tcW w:w="313" w:type="dxa"/>
            <w:shd w:val="clear" w:color="auto" w:fill="auto"/>
            <w:vAlign w:val="center"/>
          </w:tcPr>
          <w:p w14:paraId="44B29BAF" w14:textId="77777777" w:rsidR="00F66071" w:rsidRPr="0030399D" w:rsidRDefault="00F66071" w:rsidP="007C129D">
            <w:pPr>
              <w:jc w:val="right"/>
              <w:rPr>
                <w:rFonts w:ascii="Arial" w:hAnsi="Arial" w:cs="Arial"/>
                <w:lang w:val="en-CA"/>
              </w:rPr>
            </w:pPr>
            <w:r w:rsidRPr="0030399D">
              <w:rPr>
                <w:rFonts w:ascii="Arial" w:hAnsi="Arial" w:cs="Arial"/>
                <w:lang w:val="en-CA"/>
              </w:rPr>
              <w:t>4.0</w:t>
            </w:r>
          </w:p>
        </w:tc>
        <w:tc>
          <w:tcPr>
            <w:tcW w:w="677" w:type="dxa"/>
            <w:shd w:val="clear" w:color="auto" w:fill="auto"/>
            <w:vAlign w:val="center"/>
          </w:tcPr>
          <w:p w14:paraId="130B5288" w14:textId="77777777" w:rsidR="00F66071" w:rsidRPr="0030399D" w:rsidRDefault="00F66071" w:rsidP="007C129D">
            <w:pPr>
              <w:jc w:val="right"/>
              <w:rPr>
                <w:rFonts w:ascii="Arial" w:hAnsi="Arial" w:cs="Arial"/>
                <w:lang w:val="en-CA"/>
              </w:rPr>
            </w:pPr>
            <w:r w:rsidRPr="0030399D">
              <w:rPr>
                <w:rFonts w:ascii="Arial" w:hAnsi="Arial" w:cs="Arial"/>
                <w:lang w:val="en-CA"/>
              </w:rPr>
              <w:t>327</w:t>
            </w:r>
          </w:p>
        </w:tc>
        <w:tc>
          <w:tcPr>
            <w:tcW w:w="540" w:type="dxa"/>
            <w:shd w:val="clear" w:color="auto" w:fill="auto"/>
            <w:vAlign w:val="center"/>
          </w:tcPr>
          <w:p w14:paraId="3469E999" w14:textId="77777777" w:rsidR="00F66071" w:rsidRPr="0030399D" w:rsidRDefault="00F66071" w:rsidP="007C129D">
            <w:pPr>
              <w:jc w:val="right"/>
              <w:rPr>
                <w:rFonts w:ascii="Arial" w:hAnsi="Arial" w:cs="Arial"/>
                <w:lang w:val="en-CA"/>
              </w:rPr>
            </w:pPr>
            <w:r w:rsidRPr="0030399D">
              <w:rPr>
                <w:rFonts w:ascii="Arial" w:hAnsi="Arial" w:cs="Arial"/>
                <w:lang w:val="en-CA"/>
              </w:rPr>
              <w:t>6.2</w:t>
            </w:r>
          </w:p>
        </w:tc>
      </w:tr>
      <w:tr w:rsidR="00F66071" w:rsidRPr="0030399D" w14:paraId="5DF971B9" w14:textId="77777777" w:rsidTr="007C129D">
        <w:trPr>
          <w:trHeight w:val="227"/>
          <w:jc w:val="center"/>
        </w:trPr>
        <w:tc>
          <w:tcPr>
            <w:tcW w:w="696" w:type="dxa"/>
            <w:shd w:val="clear" w:color="auto" w:fill="auto"/>
            <w:noWrap/>
            <w:vAlign w:val="center"/>
            <w:hideMark/>
          </w:tcPr>
          <w:p w14:paraId="74748CAE" w14:textId="77777777" w:rsidR="00F66071" w:rsidRPr="0030399D" w:rsidRDefault="00F66071" w:rsidP="007C129D">
            <w:pPr>
              <w:jc w:val="center"/>
              <w:rPr>
                <w:rFonts w:ascii="Arial" w:hAnsi="Arial" w:cs="Arial"/>
                <w:lang w:val="en-CA"/>
              </w:rPr>
            </w:pPr>
            <w:r w:rsidRPr="0030399D">
              <w:rPr>
                <w:rFonts w:ascii="Arial" w:hAnsi="Arial" w:cs="Arial"/>
                <w:lang w:val="en-CA"/>
              </w:rPr>
              <w:t>1980</w:t>
            </w:r>
          </w:p>
        </w:tc>
        <w:tc>
          <w:tcPr>
            <w:tcW w:w="454" w:type="dxa"/>
            <w:shd w:val="clear" w:color="auto" w:fill="auto"/>
            <w:noWrap/>
            <w:vAlign w:val="center"/>
            <w:hideMark/>
          </w:tcPr>
          <w:p w14:paraId="3645F303" w14:textId="77777777" w:rsidR="00F66071" w:rsidRPr="0030399D" w:rsidRDefault="00F66071" w:rsidP="007C129D">
            <w:pPr>
              <w:jc w:val="right"/>
              <w:rPr>
                <w:rFonts w:ascii="Arial" w:hAnsi="Arial" w:cs="Arial"/>
                <w:lang w:val="en-CA"/>
              </w:rPr>
            </w:pPr>
          </w:p>
        </w:tc>
        <w:tc>
          <w:tcPr>
            <w:tcW w:w="454" w:type="dxa"/>
            <w:shd w:val="clear" w:color="auto" w:fill="auto"/>
            <w:noWrap/>
            <w:vAlign w:val="center"/>
            <w:hideMark/>
          </w:tcPr>
          <w:p w14:paraId="3488810C" w14:textId="77777777" w:rsidR="00F66071" w:rsidRPr="0030399D" w:rsidRDefault="00F66071" w:rsidP="007C129D">
            <w:pPr>
              <w:jc w:val="right"/>
              <w:rPr>
                <w:rFonts w:ascii="Arial" w:hAnsi="Arial" w:cs="Arial"/>
                <w:lang w:val="en-CA"/>
              </w:rPr>
            </w:pPr>
          </w:p>
        </w:tc>
        <w:tc>
          <w:tcPr>
            <w:tcW w:w="454" w:type="dxa"/>
            <w:shd w:val="clear" w:color="auto" w:fill="auto"/>
            <w:vAlign w:val="center"/>
          </w:tcPr>
          <w:p w14:paraId="73CB83B8" w14:textId="77777777" w:rsidR="00F66071" w:rsidRPr="0030399D" w:rsidRDefault="00F66071" w:rsidP="007C129D">
            <w:pPr>
              <w:jc w:val="right"/>
              <w:rPr>
                <w:rFonts w:ascii="Arial" w:hAnsi="Arial" w:cs="Arial"/>
                <w:lang w:val="en-CA"/>
              </w:rPr>
            </w:pPr>
          </w:p>
        </w:tc>
        <w:tc>
          <w:tcPr>
            <w:tcW w:w="372" w:type="dxa"/>
            <w:shd w:val="clear" w:color="auto" w:fill="auto"/>
            <w:vAlign w:val="center"/>
          </w:tcPr>
          <w:p w14:paraId="61892C4B" w14:textId="77777777" w:rsidR="00F66071" w:rsidRPr="0030399D" w:rsidRDefault="00F66071" w:rsidP="007C129D">
            <w:pPr>
              <w:jc w:val="right"/>
              <w:rPr>
                <w:rFonts w:ascii="Arial" w:hAnsi="Arial" w:cs="Arial"/>
                <w:lang w:val="en-CA"/>
              </w:rPr>
            </w:pPr>
          </w:p>
        </w:tc>
        <w:tc>
          <w:tcPr>
            <w:tcW w:w="536" w:type="dxa"/>
            <w:shd w:val="clear" w:color="auto" w:fill="auto"/>
            <w:noWrap/>
            <w:vAlign w:val="center"/>
            <w:hideMark/>
          </w:tcPr>
          <w:p w14:paraId="66751C39" w14:textId="77777777" w:rsidR="00F66071" w:rsidRPr="0030399D" w:rsidRDefault="00F66071" w:rsidP="007C129D">
            <w:pPr>
              <w:jc w:val="right"/>
              <w:rPr>
                <w:rFonts w:ascii="Arial" w:hAnsi="Arial" w:cs="Arial"/>
                <w:lang w:val="en-CA"/>
              </w:rPr>
            </w:pPr>
            <w:r w:rsidRPr="0030399D">
              <w:rPr>
                <w:rFonts w:ascii="Arial" w:hAnsi="Arial" w:cs="Arial"/>
                <w:lang w:val="en-CA"/>
              </w:rPr>
              <w:t>941</w:t>
            </w:r>
          </w:p>
        </w:tc>
        <w:tc>
          <w:tcPr>
            <w:tcW w:w="454" w:type="dxa"/>
            <w:shd w:val="clear" w:color="auto" w:fill="auto"/>
            <w:noWrap/>
            <w:vAlign w:val="center"/>
            <w:hideMark/>
          </w:tcPr>
          <w:p w14:paraId="35C8B4E3" w14:textId="77777777" w:rsidR="00F66071" w:rsidRPr="0030399D" w:rsidRDefault="00F66071" w:rsidP="007C129D">
            <w:pPr>
              <w:jc w:val="right"/>
              <w:rPr>
                <w:rFonts w:ascii="Arial" w:hAnsi="Arial" w:cs="Arial"/>
                <w:lang w:val="en-CA"/>
              </w:rPr>
            </w:pPr>
            <w:r w:rsidRPr="0030399D">
              <w:rPr>
                <w:rFonts w:ascii="Arial" w:hAnsi="Arial" w:cs="Arial"/>
                <w:lang w:val="en-CA"/>
              </w:rPr>
              <w:t>8.1</w:t>
            </w:r>
          </w:p>
        </w:tc>
        <w:tc>
          <w:tcPr>
            <w:tcW w:w="454" w:type="dxa"/>
            <w:shd w:val="clear" w:color="auto" w:fill="auto"/>
            <w:noWrap/>
            <w:vAlign w:val="center"/>
            <w:hideMark/>
          </w:tcPr>
          <w:p w14:paraId="6FD03DCE" w14:textId="77777777" w:rsidR="00F66071" w:rsidRPr="0030399D" w:rsidRDefault="00F66071" w:rsidP="007C129D">
            <w:pPr>
              <w:jc w:val="right"/>
              <w:rPr>
                <w:rFonts w:ascii="Arial" w:hAnsi="Arial" w:cs="Arial"/>
                <w:lang w:val="en-CA"/>
              </w:rPr>
            </w:pPr>
          </w:p>
        </w:tc>
        <w:tc>
          <w:tcPr>
            <w:tcW w:w="356" w:type="dxa"/>
            <w:shd w:val="clear" w:color="auto" w:fill="auto"/>
            <w:noWrap/>
            <w:vAlign w:val="center"/>
            <w:hideMark/>
          </w:tcPr>
          <w:p w14:paraId="22E003C5" w14:textId="77777777" w:rsidR="00F66071" w:rsidRPr="0030399D" w:rsidRDefault="00F66071" w:rsidP="007C129D">
            <w:pPr>
              <w:jc w:val="right"/>
              <w:rPr>
                <w:rFonts w:ascii="Arial" w:hAnsi="Arial" w:cs="Arial"/>
                <w:lang w:val="en-CA"/>
              </w:rPr>
            </w:pPr>
          </w:p>
        </w:tc>
        <w:tc>
          <w:tcPr>
            <w:tcW w:w="552" w:type="dxa"/>
            <w:shd w:val="clear" w:color="auto" w:fill="auto"/>
            <w:noWrap/>
            <w:vAlign w:val="center"/>
            <w:hideMark/>
          </w:tcPr>
          <w:p w14:paraId="06FD60D4" w14:textId="77777777" w:rsidR="00F66071" w:rsidRPr="0030399D" w:rsidRDefault="00F66071" w:rsidP="007C129D">
            <w:pPr>
              <w:jc w:val="right"/>
              <w:rPr>
                <w:rFonts w:ascii="Arial" w:hAnsi="Arial" w:cs="Arial"/>
                <w:lang w:val="en-CA"/>
              </w:rPr>
            </w:pPr>
            <w:r w:rsidRPr="0030399D">
              <w:rPr>
                <w:rFonts w:ascii="Arial" w:hAnsi="Arial" w:cs="Arial"/>
                <w:lang w:val="en-CA"/>
              </w:rPr>
              <w:t>545</w:t>
            </w:r>
          </w:p>
        </w:tc>
        <w:tc>
          <w:tcPr>
            <w:tcW w:w="454" w:type="dxa"/>
            <w:shd w:val="clear" w:color="auto" w:fill="auto"/>
            <w:noWrap/>
            <w:vAlign w:val="center"/>
            <w:hideMark/>
          </w:tcPr>
          <w:p w14:paraId="41786AB3" w14:textId="77777777" w:rsidR="00F66071" w:rsidRPr="0030399D" w:rsidRDefault="00F66071" w:rsidP="007C129D">
            <w:pPr>
              <w:jc w:val="right"/>
              <w:rPr>
                <w:rFonts w:ascii="Arial" w:hAnsi="Arial" w:cs="Arial"/>
                <w:lang w:val="en-CA"/>
              </w:rPr>
            </w:pPr>
            <w:r w:rsidRPr="0030399D">
              <w:rPr>
                <w:rFonts w:ascii="Arial" w:hAnsi="Arial" w:cs="Arial"/>
                <w:lang w:val="en-CA"/>
              </w:rPr>
              <w:t>6.4</w:t>
            </w:r>
          </w:p>
        </w:tc>
        <w:tc>
          <w:tcPr>
            <w:tcW w:w="614" w:type="dxa"/>
            <w:shd w:val="clear" w:color="auto" w:fill="auto"/>
            <w:noWrap/>
            <w:vAlign w:val="center"/>
            <w:hideMark/>
          </w:tcPr>
          <w:p w14:paraId="43A22C05" w14:textId="77777777" w:rsidR="00F66071" w:rsidRPr="0030399D" w:rsidRDefault="00F66071" w:rsidP="007C129D">
            <w:pPr>
              <w:jc w:val="right"/>
              <w:rPr>
                <w:rFonts w:ascii="Arial" w:hAnsi="Arial" w:cs="Arial"/>
                <w:lang w:val="en-CA"/>
              </w:rPr>
            </w:pPr>
          </w:p>
        </w:tc>
        <w:tc>
          <w:tcPr>
            <w:tcW w:w="360" w:type="dxa"/>
            <w:shd w:val="clear" w:color="auto" w:fill="auto"/>
            <w:noWrap/>
            <w:vAlign w:val="center"/>
            <w:hideMark/>
          </w:tcPr>
          <w:p w14:paraId="3F7F913C" w14:textId="77777777" w:rsidR="00F66071" w:rsidRPr="0030399D" w:rsidRDefault="00F66071" w:rsidP="007C129D">
            <w:pPr>
              <w:jc w:val="right"/>
              <w:rPr>
                <w:rFonts w:ascii="Arial" w:hAnsi="Arial" w:cs="Arial"/>
                <w:lang w:val="en-CA"/>
              </w:rPr>
            </w:pPr>
          </w:p>
        </w:tc>
        <w:tc>
          <w:tcPr>
            <w:tcW w:w="540" w:type="dxa"/>
            <w:shd w:val="clear" w:color="auto" w:fill="auto"/>
            <w:noWrap/>
            <w:vAlign w:val="center"/>
            <w:hideMark/>
          </w:tcPr>
          <w:p w14:paraId="1BF38756" w14:textId="77777777" w:rsidR="00F66071" w:rsidRPr="0030399D" w:rsidRDefault="00F66071" w:rsidP="007C129D">
            <w:pPr>
              <w:jc w:val="right"/>
              <w:rPr>
                <w:rFonts w:ascii="Arial" w:hAnsi="Arial" w:cs="Arial"/>
                <w:lang w:val="en-CA"/>
              </w:rPr>
            </w:pPr>
          </w:p>
        </w:tc>
        <w:tc>
          <w:tcPr>
            <w:tcW w:w="360" w:type="dxa"/>
            <w:shd w:val="clear" w:color="auto" w:fill="auto"/>
            <w:noWrap/>
            <w:vAlign w:val="center"/>
            <w:hideMark/>
          </w:tcPr>
          <w:p w14:paraId="689BAE3B" w14:textId="77777777" w:rsidR="00F66071" w:rsidRPr="0030399D" w:rsidRDefault="00F66071" w:rsidP="007C129D">
            <w:pPr>
              <w:jc w:val="right"/>
              <w:rPr>
                <w:rFonts w:ascii="Arial" w:hAnsi="Arial" w:cs="Arial"/>
                <w:lang w:val="en-CA"/>
              </w:rPr>
            </w:pPr>
          </w:p>
        </w:tc>
        <w:tc>
          <w:tcPr>
            <w:tcW w:w="537" w:type="dxa"/>
            <w:shd w:val="clear" w:color="auto" w:fill="auto"/>
            <w:noWrap/>
            <w:vAlign w:val="center"/>
            <w:hideMark/>
          </w:tcPr>
          <w:p w14:paraId="3777EBEB" w14:textId="77777777" w:rsidR="00F66071" w:rsidRPr="0030399D" w:rsidRDefault="00F66071" w:rsidP="007C129D">
            <w:pPr>
              <w:jc w:val="right"/>
              <w:rPr>
                <w:rFonts w:ascii="Arial" w:hAnsi="Arial" w:cs="Arial"/>
                <w:lang w:val="en-CA"/>
              </w:rPr>
            </w:pPr>
            <w:r w:rsidRPr="0030399D">
              <w:rPr>
                <w:rFonts w:ascii="Arial" w:hAnsi="Arial" w:cs="Arial"/>
                <w:lang w:val="en-CA"/>
              </w:rPr>
              <w:t>447</w:t>
            </w:r>
          </w:p>
        </w:tc>
        <w:tc>
          <w:tcPr>
            <w:tcW w:w="313" w:type="dxa"/>
            <w:shd w:val="clear" w:color="auto" w:fill="auto"/>
            <w:vAlign w:val="center"/>
          </w:tcPr>
          <w:p w14:paraId="0EA27216" w14:textId="77777777" w:rsidR="00F66071" w:rsidRPr="0030399D" w:rsidRDefault="00F66071" w:rsidP="007C129D">
            <w:pPr>
              <w:jc w:val="right"/>
              <w:rPr>
                <w:rFonts w:ascii="Arial" w:hAnsi="Arial" w:cs="Arial"/>
                <w:lang w:val="en-CA"/>
              </w:rPr>
            </w:pPr>
            <w:r w:rsidRPr="0030399D">
              <w:rPr>
                <w:rFonts w:ascii="Arial" w:hAnsi="Arial" w:cs="Arial"/>
                <w:lang w:val="en-CA"/>
              </w:rPr>
              <w:t>5.1</w:t>
            </w:r>
          </w:p>
        </w:tc>
        <w:tc>
          <w:tcPr>
            <w:tcW w:w="677" w:type="dxa"/>
            <w:shd w:val="clear" w:color="auto" w:fill="auto"/>
            <w:vAlign w:val="center"/>
          </w:tcPr>
          <w:p w14:paraId="08FF760F" w14:textId="77777777" w:rsidR="00F66071" w:rsidRPr="0030399D" w:rsidRDefault="00F66071" w:rsidP="007C129D">
            <w:pPr>
              <w:jc w:val="right"/>
              <w:rPr>
                <w:rFonts w:ascii="Arial" w:hAnsi="Arial" w:cs="Arial"/>
                <w:lang w:val="en-CA"/>
              </w:rPr>
            </w:pPr>
            <w:r w:rsidRPr="0030399D">
              <w:rPr>
                <w:rFonts w:ascii="Arial" w:hAnsi="Arial" w:cs="Arial"/>
                <w:lang w:val="en-CA"/>
              </w:rPr>
              <w:t>1,036</w:t>
            </w:r>
          </w:p>
        </w:tc>
        <w:tc>
          <w:tcPr>
            <w:tcW w:w="540" w:type="dxa"/>
            <w:shd w:val="clear" w:color="auto" w:fill="auto"/>
            <w:vAlign w:val="center"/>
          </w:tcPr>
          <w:p w14:paraId="4B60DC8A" w14:textId="77777777" w:rsidR="00F66071" w:rsidRPr="0030399D" w:rsidRDefault="00F66071" w:rsidP="007C129D">
            <w:pPr>
              <w:jc w:val="right"/>
              <w:rPr>
                <w:rFonts w:ascii="Arial" w:hAnsi="Arial" w:cs="Arial"/>
                <w:lang w:val="en-CA"/>
              </w:rPr>
            </w:pPr>
            <w:r w:rsidRPr="0030399D">
              <w:rPr>
                <w:rFonts w:ascii="Arial" w:hAnsi="Arial" w:cs="Arial"/>
                <w:lang w:val="en-CA"/>
              </w:rPr>
              <w:t>8.2</w:t>
            </w:r>
          </w:p>
        </w:tc>
      </w:tr>
      <w:tr w:rsidR="00F66071" w:rsidRPr="0030399D" w14:paraId="112D5760" w14:textId="77777777" w:rsidTr="007C129D">
        <w:trPr>
          <w:trHeight w:val="227"/>
          <w:jc w:val="center"/>
        </w:trPr>
        <w:tc>
          <w:tcPr>
            <w:tcW w:w="696" w:type="dxa"/>
            <w:shd w:val="clear" w:color="auto" w:fill="auto"/>
            <w:noWrap/>
            <w:vAlign w:val="center"/>
            <w:hideMark/>
          </w:tcPr>
          <w:p w14:paraId="458CAD02" w14:textId="77777777" w:rsidR="00F66071" w:rsidRPr="0030399D" w:rsidRDefault="00F66071" w:rsidP="007C129D">
            <w:pPr>
              <w:jc w:val="center"/>
              <w:rPr>
                <w:rFonts w:ascii="Arial" w:hAnsi="Arial" w:cs="Arial"/>
                <w:lang w:val="en-CA"/>
              </w:rPr>
            </w:pPr>
            <w:r w:rsidRPr="0030399D">
              <w:rPr>
                <w:rFonts w:ascii="Arial" w:hAnsi="Arial" w:cs="Arial"/>
                <w:lang w:val="en-CA"/>
              </w:rPr>
              <w:t>1990</w:t>
            </w:r>
          </w:p>
        </w:tc>
        <w:tc>
          <w:tcPr>
            <w:tcW w:w="454" w:type="dxa"/>
            <w:shd w:val="clear" w:color="auto" w:fill="auto"/>
            <w:noWrap/>
            <w:vAlign w:val="center"/>
            <w:hideMark/>
          </w:tcPr>
          <w:p w14:paraId="40D607A8" w14:textId="77777777" w:rsidR="00F66071" w:rsidRPr="0030399D" w:rsidRDefault="00F66071" w:rsidP="007C129D">
            <w:pPr>
              <w:jc w:val="right"/>
              <w:rPr>
                <w:rFonts w:ascii="Arial" w:hAnsi="Arial" w:cs="Arial"/>
                <w:lang w:val="en-CA"/>
              </w:rPr>
            </w:pPr>
          </w:p>
        </w:tc>
        <w:tc>
          <w:tcPr>
            <w:tcW w:w="454" w:type="dxa"/>
            <w:shd w:val="clear" w:color="auto" w:fill="auto"/>
            <w:noWrap/>
            <w:vAlign w:val="center"/>
            <w:hideMark/>
          </w:tcPr>
          <w:p w14:paraId="6DF0A161" w14:textId="77777777" w:rsidR="00F66071" w:rsidRPr="0030399D" w:rsidRDefault="00F66071" w:rsidP="007C129D">
            <w:pPr>
              <w:jc w:val="right"/>
              <w:rPr>
                <w:rFonts w:ascii="Arial" w:hAnsi="Arial" w:cs="Arial"/>
                <w:lang w:val="en-CA"/>
              </w:rPr>
            </w:pPr>
          </w:p>
        </w:tc>
        <w:tc>
          <w:tcPr>
            <w:tcW w:w="454" w:type="dxa"/>
            <w:shd w:val="clear" w:color="auto" w:fill="auto"/>
            <w:vAlign w:val="center"/>
          </w:tcPr>
          <w:p w14:paraId="436BEEEA" w14:textId="77777777" w:rsidR="00F66071" w:rsidRPr="0030399D" w:rsidRDefault="00F66071" w:rsidP="007C129D">
            <w:pPr>
              <w:jc w:val="right"/>
              <w:rPr>
                <w:rFonts w:ascii="Arial" w:hAnsi="Arial" w:cs="Arial"/>
                <w:lang w:val="en-CA"/>
              </w:rPr>
            </w:pPr>
          </w:p>
        </w:tc>
        <w:tc>
          <w:tcPr>
            <w:tcW w:w="372" w:type="dxa"/>
            <w:shd w:val="clear" w:color="auto" w:fill="auto"/>
            <w:vAlign w:val="center"/>
          </w:tcPr>
          <w:p w14:paraId="1EB95769" w14:textId="77777777" w:rsidR="00F66071" w:rsidRPr="0030399D" w:rsidRDefault="00F66071" w:rsidP="007C129D">
            <w:pPr>
              <w:jc w:val="right"/>
              <w:rPr>
                <w:rFonts w:ascii="Arial" w:hAnsi="Arial" w:cs="Arial"/>
                <w:lang w:val="en-CA"/>
              </w:rPr>
            </w:pPr>
          </w:p>
        </w:tc>
        <w:tc>
          <w:tcPr>
            <w:tcW w:w="536" w:type="dxa"/>
            <w:shd w:val="clear" w:color="auto" w:fill="auto"/>
            <w:noWrap/>
            <w:vAlign w:val="center"/>
            <w:hideMark/>
          </w:tcPr>
          <w:p w14:paraId="475B06CC" w14:textId="77777777" w:rsidR="00F66071" w:rsidRPr="0030399D" w:rsidRDefault="00F66071" w:rsidP="007C129D">
            <w:pPr>
              <w:jc w:val="right"/>
              <w:rPr>
                <w:rFonts w:ascii="Arial" w:hAnsi="Arial" w:cs="Arial"/>
                <w:lang w:val="en-CA"/>
              </w:rPr>
            </w:pPr>
            <w:r w:rsidRPr="0030399D">
              <w:rPr>
                <w:rFonts w:ascii="Arial" w:hAnsi="Arial" w:cs="Arial"/>
                <w:lang w:val="en-CA"/>
              </w:rPr>
              <w:t>1,722</w:t>
            </w:r>
          </w:p>
        </w:tc>
        <w:tc>
          <w:tcPr>
            <w:tcW w:w="454" w:type="dxa"/>
            <w:shd w:val="clear" w:color="auto" w:fill="auto"/>
            <w:noWrap/>
            <w:vAlign w:val="center"/>
            <w:hideMark/>
          </w:tcPr>
          <w:p w14:paraId="0A20AE08" w14:textId="77777777" w:rsidR="00F66071" w:rsidRPr="0030399D" w:rsidRDefault="00F66071" w:rsidP="007C129D">
            <w:pPr>
              <w:jc w:val="right"/>
              <w:rPr>
                <w:rFonts w:ascii="Arial" w:hAnsi="Arial" w:cs="Arial"/>
                <w:lang w:val="en-CA"/>
              </w:rPr>
            </w:pPr>
            <w:r w:rsidRPr="0030399D">
              <w:rPr>
                <w:rFonts w:ascii="Arial" w:hAnsi="Arial" w:cs="Arial"/>
                <w:lang w:val="en-CA"/>
              </w:rPr>
              <w:t>8.0</w:t>
            </w:r>
          </w:p>
        </w:tc>
        <w:tc>
          <w:tcPr>
            <w:tcW w:w="454" w:type="dxa"/>
            <w:shd w:val="clear" w:color="auto" w:fill="auto"/>
            <w:noWrap/>
            <w:vAlign w:val="center"/>
            <w:hideMark/>
          </w:tcPr>
          <w:p w14:paraId="22C12E4B" w14:textId="77777777" w:rsidR="00F66071" w:rsidRPr="0030399D" w:rsidRDefault="00F66071" w:rsidP="007C129D">
            <w:pPr>
              <w:jc w:val="right"/>
              <w:rPr>
                <w:rFonts w:ascii="Arial" w:hAnsi="Arial" w:cs="Arial"/>
                <w:lang w:val="en-CA"/>
              </w:rPr>
            </w:pPr>
          </w:p>
        </w:tc>
        <w:tc>
          <w:tcPr>
            <w:tcW w:w="356" w:type="dxa"/>
            <w:shd w:val="clear" w:color="auto" w:fill="auto"/>
            <w:noWrap/>
            <w:vAlign w:val="center"/>
            <w:hideMark/>
          </w:tcPr>
          <w:p w14:paraId="6819AE5D" w14:textId="77777777" w:rsidR="00F66071" w:rsidRPr="0030399D" w:rsidRDefault="00F66071" w:rsidP="007C129D">
            <w:pPr>
              <w:jc w:val="right"/>
              <w:rPr>
                <w:rFonts w:ascii="Arial" w:hAnsi="Arial" w:cs="Arial"/>
                <w:lang w:val="en-CA"/>
              </w:rPr>
            </w:pPr>
          </w:p>
        </w:tc>
        <w:tc>
          <w:tcPr>
            <w:tcW w:w="552" w:type="dxa"/>
            <w:shd w:val="clear" w:color="auto" w:fill="auto"/>
            <w:noWrap/>
            <w:vAlign w:val="center"/>
            <w:hideMark/>
          </w:tcPr>
          <w:p w14:paraId="3C430BB0" w14:textId="77777777" w:rsidR="00F66071" w:rsidRPr="0030399D" w:rsidRDefault="00F66071" w:rsidP="007C129D">
            <w:pPr>
              <w:jc w:val="right"/>
              <w:rPr>
                <w:rFonts w:ascii="Arial" w:hAnsi="Arial" w:cs="Arial"/>
                <w:lang w:val="en-CA"/>
              </w:rPr>
            </w:pPr>
            <w:r w:rsidRPr="0030399D">
              <w:rPr>
                <w:rFonts w:ascii="Arial" w:hAnsi="Arial" w:cs="Arial"/>
                <w:lang w:val="en-CA"/>
              </w:rPr>
              <w:t>1,117</w:t>
            </w:r>
          </w:p>
        </w:tc>
        <w:tc>
          <w:tcPr>
            <w:tcW w:w="454" w:type="dxa"/>
            <w:shd w:val="clear" w:color="auto" w:fill="auto"/>
            <w:noWrap/>
            <w:vAlign w:val="center"/>
            <w:hideMark/>
          </w:tcPr>
          <w:p w14:paraId="732439F9" w14:textId="77777777" w:rsidR="00F66071" w:rsidRPr="0030399D" w:rsidRDefault="00F66071" w:rsidP="007C129D">
            <w:pPr>
              <w:jc w:val="right"/>
              <w:rPr>
                <w:rFonts w:ascii="Arial" w:hAnsi="Arial" w:cs="Arial"/>
                <w:lang w:val="en-CA"/>
              </w:rPr>
            </w:pPr>
            <w:r w:rsidRPr="0030399D">
              <w:rPr>
                <w:rFonts w:ascii="Arial" w:hAnsi="Arial" w:cs="Arial"/>
                <w:lang w:val="en-CA"/>
              </w:rPr>
              <w:t>5.8</w:t>
            </w:r>
          </w:p>
        </w:tc>
        <w:tc>
          <w:tcPr>
            <w:tcW w:w="614" w:type="dxa"/>
            <w:shd w:val="clear" w:color="auto" w:fill="auto"/>
            <w:noWrap/>
            <w:vAlign w:val="center"/>
            <w:hideMark/>
          </w:tcPr>
          <w:p w14:paraId="4FD0F9E5" w14:textId="77777777" w:rsidR="00F66071" w:rsidRPr="0030399D" w:rsidRDefault="00F66071" w:rsidP="007C129D">
            <w:pPr>
              <w:jc w:val="right"/>
              <w:rPr>
                <w:rFonts w:ascii="Arial" w:hAnsi="Arial" w:cs="Arial"/>
                <w:lang w:val="en-CA"/>
              </w:rPr>
            </w:pPr>
            <w:r w:rsidRPr="0030399D">
              <w:rPr>
                <w:rFonts w:ascii="Arial" w:hAnsi="Arial" w:cs="Arial"/>
                <w:lang w:val="en-CA"/>
              </w:rPr>
              <w:t>265</w:t>
            </w:r>
          </w:p>
        </w:tc>
        <w:tc>
          <w:tcPr>
            <w:tcW w:w="360" w:type="dxa"/>
            <w:shd w:val="clear" w:color="auto" w:fill="auto"/>
            <w:noWrap/>
            <w:vAlign w:val="center"/>
            <w:hideMark/>
          </w:tcPr>
          <w:p w14:paraId="1F0FAA86" w14:textId="77777777" w:rsidR="00F66071" w:rsidRPr="0030399D" w:rsidRDefault="00F66071" w:rsidP="007C129D">
            <w:pPr>
              <w:jc w:val="right"/>
              <w:rPr>
                <w:rFonts w:ascii="Arial" w:hAnsi="Arial" w:cs="Arial"/>
                <w:lang w:val="en-CA"/>
              </w:rPr>
            </w:pPr>
            <w:r w:rsidRPr="0030399D">
              <w:rPr>
                <w:rFonts w:ascii="Arial" w:hAnsi="Arial" w:cs="Arial"/>
                <w:lang w:val="en-CA"/>
              </w:rPr>
              <w:t>4.3</w:t>
            </w:r>
          </w:p>
        </w:tc>
        <w:tc>
          <w:tcPr>
            <w:tcW w:w="540" w:type="dxa"/>
            <w:shd w:val="clear" w:color="auto" w:fill="auto"/>
            <w:noWrap/>
            <w:vAlign w:val="center"/>
            <w:hideMark/>
          </w:tcPr>
          <w:p w14:paraId="370D9279" w14:textId="77777777" w:rsidR="00F66071" w:rsidRPr="0030399D" w:rsidRDefault="00F66071" w:rsidP="007C129D">
            <w:pPr>
              <w:jc w:val="right"/>
              <w:rPr>
                <w:rFonts w:ascii="Arial" w:hAnsi="Arial" w:cs="Arial"/>
                <w:lang w:val="en-CA"/>
              </w:rPr>
            </w:pPr>
          </w:p>
        </w:tc>
        <w:tc>
          <w:tcPr>
            <w:tcW w:w="360" w:type="dxa"/>
            <w:shd w:val="clear" w:color="auto" w:fill="auto"/>
            <w:noWrap/>
            <w:vAlign w:val="center"/>
            <w:hideMark/>
          </w:tcPr>
          <w:p w14:paraId="1EB903DA" w14:textId="77777777" w:rsidR="00F66071" w:rsidRPr="0030399D" w:rsidRDefault="00F66071" w:rsidP="007C129D">
            <w:pPr>
              <w:jc w:val="right"/>
              <w:rPr>
                <w:rFonts w:ascii="Arial" w:hAnsi="Arial" w:cs="Arial"/>
                <w:lang w:val="en-CA"/>
              </w:rPr>
            </w:pPr>
          </w:p>
        </w:tc>
        <w:tc>
          <w:tcPr>
            <w:tcW w:w="537" w:type="dxa"/>
            <w:shd w:val="clear" w:color="auto" w:fill="auto"/>
            <w:noWrap/>
            <w:vAlign w:val="center"/>
            <w:hideMark/>
          </w:tcPr>
          <w:p w14:paraId="3AD57825" w14:textId="77777777" w:rsidR="00F66071" w:rsidRPr="0030399D" w:rsidRDefault="00F66071" w:rsidP="007C129D">
            <w:pPr>
              <w:jc w:val="right"/>
              <w:rPr>
                <w:rFonts w:ascii="Arial" w:hAnsi="Arial" w:cs="Arial"/>
                <w:lang w:val="en-CA"/>
              </w:rPr>
            </w:pPr>
            <w:r w:rsidRPr="0030399D">
              <w:rPr>
                <w:rFonts w:ascii="Arial" w:hAnsi="Arial" w:cs="Arial"/>
                <w:lang w:val="en-CA"/>
              </w:rPr>
              <w:t>888</w:t>
            </w:r>
          </w:p>
        </w:tc>
        <w:tc>
          <w:tcPr>
            <w:tcW w:w="313" w:type="dxa"/>
            <w:shd w:val="clear" w:color="auto" w:fill="auto"/>
            <w:vAlign w:val="center"/>
          </w:tcPr>
          <w:p w14:paraId="2A6EF4E4" w14:textId="77777777" w:rsidR="00F66071" w:rsidRPr="0030399D" w:rsidRDefault="00F66071" w:rsidP="007C129D">
            <w:pPr>
              <w:jc w:val="right"/>
              <w:rPr>
                <w:rFonts w:ascii="Arial" w:hAnsi="Arial" w:cs="Arial"/>
                <w:lang w:val="en-CA"/>
              </w:rPr>
            </w:pPr>
            <w:r w:rsidRPr="0030399D">
              <w:rPr>
                <w:rFonts w:ascii="Arial" w:hAnsi="Arial" w:cs="Arial"/>
                <w:lang w:val="en-CA"/>
              </w:rPr>
              <w:t>5.1</w:t>
            </w:r>
          </w:p>
        </w:tc>
        <w:tc>
          <w:tcPr>
            <w:tcW w:w="677" w:type="dxa"/>
            <w:shd w:val="clear" w:color="auto" w:fill="auto"/>
            <w:vAlign w:val="center"/>
          </w:tcPr>
          <w:p w14:paraId="7DB5934F" w14:textId="77777777" w:rsidR="00F66071" w:rsidRPr="0030399D" w:rsidRDefault="00F66071" w:rsidP="007C129D">
            <w:pPr>
              <w:jc w:val="right"/>
              <w:rPr>
                <w:rFonts w:ascii="Arial" w:hAnsi="Arial" w:cs="Arial"/>
                <w:lang w:val="en-CA"/>
              </w:rPr>
            </w:pPr>
            <w:r w:rsidRPr="0030399D">
              <w:rPr>
                <w:rFonts w:ascii="Arial" w:hAnsi="Arial" w:cs="Arial"/>
                <w:lang w:val="en-CA"/>
              </w:rPr>
              <w:t>2,700</w:t>
            </w:r>
          </w:p>
        </w:tc>
        <w:tc>
          <w:tcPr>
            <w:tcW w:w="540" w:type="dxa"/>
            <w:shd w:val="clear" w:color="auto" w:fill="auto"/>
            <w:vAlign w:val="center"/>
          </w:tcPr>
          <w:p w14:paraId="39E13EA7" w14:textId="77777777" w:rsidR="00F66071" w:rsidRPr="0030399D" w:rsidRDefault="00F66071" w:rsidP="007C129D">
            <w:pPr>
              <w:jc w:val="right"/>
              <w:rPr>
                <w:rFonts w:ascii="Arial" w:hAnsi="Arial" w:cs="Arial"/>
                <w:lang w:val="en-CA"/>
              </w:rPr>
            </w:pPr>
            <w:r w:rsidRPr="0030399D">
              <w:rPr>
                <w:rFonts w:ascii="Arial" w:hAnsi="Arial" w:cs="Arial"/>
                <w:lang w:val="en-CA"/>
              </w:rPr>
              <w:t>11.3</w:t>
            </w:r>
          </w:p>
        </w:tc>
      </w:tr>
      <w:tr w:rsidR="00F66071" w:rsidRPr="0030399D" w14:paraId="32E5E183" w14:textId="77777777" w:rsidTr="007C129D">
        <w:trPr>
          <w:trHeight w:val="227"/>
          <w:jc w:val="center"/>
        </w:trPr>
        <w:tc>
          <w:tcPr>
            <w:tcW w:w="696" w:type="dxa"/>
            <w:shd w:val="clear" w:color="auto" w:fill="auto"/>
            <w:noWrap/>
            <w:vAlign w:val="center"/>
            <w:hideMark/>
          </w:tcPr>
          <w:p w14:paraId="137DB506" w14:textId="77777777" w:rsidR="00F66071" w:rsidRPr="0030399D" w:rsidRDefault="00F66071" w:rsidP="007C129D">
            <w:pPr>
              <w:jc w:val="center"/>
              <w:rPr>
                <w:rFonts w:ascii="Arial" w:hAnsi="Arial" w:cs="Arial"/>
                <w:lang w:val="en-CA"/>
              </w:rPr>
            </w:pPr>
            <w:r w:rsidRPr="0030399D">
              <w:rPr>
                <w:rFonts w:ascii="Arial" w:hAnsi="Arial" w:cs="Arial"/>
                <w:lang w:val="en-CA"/>
              </w:rPr>
              <w:t>2000</w:t>
            </w:r>
          </w:p>
        </w:tc>
        <w:tc>
          <w:tcPr>
            <w:tcW w:w="454" w:type="dxa"/>
            <w:shd w:val="clear" w:color="auto" w:fill="auto"/>
            <w:noWrap/>
            <w:vAlign w:val="center"/>
            <w:hideMark/>
          </w:tcPr>
          <w:p w14:paraId="58967507" w14:textId="77777777" w:rsidR="00F66071" w:rsidRPr="0030399D" w:rsidRDefault="00F66071" w:rsidP="007C129D">
            <w:pPr>
              <w:jc w:val="right"/>
              <w:rPr>
                <w:rFonts w:ascii="Arial" w:hAnsi="Arial" w:cs="Arial"/>
                <w:lang w:val="en-CA"/>
              </w:rPr>
            </w:pPr>
            <w:r w:rsidRPr="0030399D">
              <w:rPr>
                <w:rFonts w:ascii="Arial" w:hAnsi="Arial" w:cs="Arial"/>
                <w:lang w:val="en-CA"/>
              </w:rPr>
              <w:t>642</w:t>
            </w:r>
          </w:p>
        </w:tc>
        <w:tc>
          <w:tcPr>
            <w:tcW w:w="454" w:type="dxa"/>
            <w:shd w:val="clear" w:color="auto" w:fill="auto"/>
            <w:noWrap/>
            <w:vAlign w:val="center"/>
            <w:hideMark/>
          </w:tcPr>
          <w:p w14:paraId="1F14832F" w14:textId="77777777" w:rsidR="00F66071" w:rsidRPr="0030399D" w:rsidRDefault="00F66071" w:rsidP="007C129D">
            <w:pPr>
              <w:jc w:val="right"/>
              <w:rPr>
                <w:rFonts w:ascii="Arial" w:hAnsi="Arial" w:cs="Arial"/>
                <w:lang w:val="en-CA"/>
              </w:rPr>
            </w:pPr>
            <w:r w:rsidRPr="0030399D">
              <w:rPr>
                <w:rFonts w:ascii="Arial" w:hAnsi="Arial" w:cs="Arial"/>
                <w:lang w:val="en-CA"/>
              </w:rPr>
              <w:t>7.0</w:t>
            </w:r>
          </w:p>
        </w:tc>
        <w:tc>
          <w:tcPr>
            <w:tcW w:w="454" w:type="dxa"/>
            <w:shd w:val="clear" w:color="auto" w:fill="auto"/>
            <w:vAlign w:val="center"/>
          </w:tcPr>
          <w:p w14:paraId="70F95C4A" w14:textId="77777777" w:rsidR="00F66071" w:rsidRPr="0030399D" w:rsidRDefault="00F66071" w:rsidP="007C129D">
            <w:pPr>
              <w:jc w:val="right"/>
              <w:rPr>
                <w:rFonts w:ascii="Arial" w:hAnsi="Arial" w:cs="Arial"/>
                <w:lang w:val="en-CA"/>
              </w:rPr>
            </w:pPr>
          </w:p>
        </w:tc>
        <w:tc>
          <w:tcPr>
            <w:tcW w:w="372" w:type="dxa"/>
            <w:shd w:val="clear" w:color="auto" w:fill="auto"/>
            <w:vAlign w:val="center"/>
          </w:tcPr>
          <w:p w14:paraId="29568842" w14:textId="77777777" w:rsidR="00F66071" w:rsidRPr="0030399D" w:rsidRDefault="00F66071" w:rsidP="007C129D">
            <w:pPr>
              <w:jc w:val="right"/>
              <w:rPr>
                <w:rFonts w:ascii="Arial" w:hAnsi="Arial" w:cs="Arial"/>
                <w:lang w:val="en-CA"/>
              </w:rPr>
            </w:pPr>
          </w:p>
        </w:tc>
        <w:tc>
          <w:tcPr>
            <w:tcW w:w="536" w:type="dxa"/>
            <w:shd w:val="clear" w:color="auto" w:fill="auto"/>
            <w:noWrap/>
            <w:vAlign w:val="center"/>
            <w:hideMark/>
          </w:tcPr>
          <w:p w14:paraId="77B60BBD" w14:textId="77777777" w:rsidR="00F66071" w:rsidRPr="0030399D" w:rsidRDefault="00F66071" w:rsidP="007C129D">
            <w:pPr>
              <w:jc w:val="right"/>
              <w:rPr>
                <w:rFonts w:ascii="Arial" w:hAnsi="Arial" w:cs="Arial"/>
                <w:lang w:val="en-CA"/>
              </w:rPr>
            </w:pPr>
            <w:r w:rsidRPr="0030399D">
              <w:rPr>
                <w:rFonts w:ascii="Arial" w:hAnsi="Arial" w:cs="Arial"/>
                <w:lang w:val="en-CA"/>
              </w:rPr>
              <w:t>2,613</w:t>
            </w:r>
          </w:p>
        </w:tc>
        <w:tc>
          <w:tcPr>
            <w:tcW w:w="454" w:type="dxa"/>
            <w:shd w:val="clear" w:color="auto" w:fill="auto"/>
            <w:noWrap/>
            <w:vAlign w:val="center"/>
            <w:hideMark/>
          </w:tcPr>
          <w:p w14:paraId="1DED419B" w14:textId="77777777" w:rsidR="00F66071" w:rsidRPr="0030399D" w:rsidRDefault="00F66071" w:rsidP="007C129D">
            <w:pPr>
              <w:jc w:val="right"/>
              <w:rPr>
                <w:rFonts w:ascii="Arial" w:hAnsi="Arial" w:cs="Arial"/>
                <w:lang w:val="en-CA"/>
              </w:rPr>
            </w:pPr>
            <w:r w:rsidRPr="0030399D">
              <w:rPr>
                <w:rFonts w:ascii="Arial" w:hAnsi="Arial" w:cs="Arial"/>
                <w:lang w:val="en-CA"/>
              </w:rPr>
              <w:t>9.8</w:t>
            </w:r>
          </w:p>
        </w:tc>
        <w:tc>
          <w:tcPr>
            <w:tcW w:w="454" w:type="dxa"/>
            <w:shd w:val="clear" w:color="auto" w:fill="auto"/>
            <w:noWrap/>
            <w:vAlign w:val="center"/>
            <w:hideMark/>
          </w:tcPr>
          <w:p w14:paraId="31FA992C" w14:textId="77777777" w:rsidR="00F66071" w:rsidRPr="0030399D" w:rsidRDefault="00F66071" w:rsidP="007C129D">
            <w:pPr>
              <w:jc w:val="right"/>
              <w:rPr>
                <w:rFonts w:ascii="Arial" w:hAnsi="Arial" w:cs="Arial"/>
                <w:lang w:val="en-CA"/>
              </w:rPr>
            </w:pPr>
            <w:r w:rsidRPr="0030399D">
              <w:rPr>
                <w:rFonts w:ascii="Arial" w:hAnsi="Arial" w:cs="Arial"/>
                <w:lang w:val="en-CA"/>
              </w:rPr>
              <w:t>85</w:t>
            </w:r>
          </w:p>
        </w:tc>
        <w:tc>
          <w:tcPr>
            <w:tcW w:w="356" w:type="dxa"/>
            <w:shd w:val="clear" w:color="auto" w:fill="auto"/>
            <w:noWrap/>
            <w:vAlign w:val="center"/>
            <w:hideMark/>
          </w:tcPr>
          <w:p w14:paraId="75D2F9DC" w14:textId="77777777" w:rsidR="00F66071" w:rsidRPr="0030399D" w:rsidRDefault="00F66071" w:rsidP="007C129D">
            <w:pPr>
              <w:jc w:val="right"/>
              <w:rPr>
                <w:rFonts w:ascii="Arial" w:hAnsi="Arial" w:cs="Arial"/>
                <w:lang w:val="en-CA"/>
              </w:rPr>
            </w:pPr>
            <w:r w:rsidRPr="0030399D">
              <w:rPr>
                <w:rFonts w:ascii="Arial" w:hAnsi="Arial" w:cs="Arial"/>
                <w:lang w:val="en-CA"/>
              </w:rPr>
              <w:t>4.3</w:t>
            </w:r>
          </w:p>
        </w:tc>
        <w:tc>
          <w:tcPr>
            <w:tcW w:w="552" w:type="dxa"/>
            <w:shd w:val="clear" w:color="auto" w:fill="auto"/>
            <w:noWrap/>
            <w:vAlign w:val="center"/>
            <w:hideMark/>
          </w:tcPr>
          <w:p w14:paraId="39C854B3" w14:textId="77777777" w:rsidR="00F66071" w:rsidRPr="0030399D" w:rsidRDefault="00F66071" w:rsidP="007C129D">
            <w:pPr>
              <w:jc w:val="right"/>
              <w:rPr>
                <w:rFonts w:ascii="Arial" w:hAnsi="Arial" w:cs="Arial"/>
                <w:lang w:val="en-CA"/>
              </w:rPr>
            </w:pPr>
            <w:r w:rsidRPr="0030399D">
              <w:rPr>
                <w:rFonts w:ascii="Arial" w:hAnsi="Arial" w:cs="Arial"/>
                <w:lang w:val="en-CA"/>
              </w:rPr>
              <w:t>1,915</w:t>
            </w:r>
          </w:p>
        </w:tc>
        <w:tc>
          <w:tcPr>
            <w:tcW w:w="454" w:type="dxa"/>
            <w:shd w:val="clear" w:color="auto" w:fill="auto"/>
            <w:noWrap/>
            <w:vAlign w:val="center"/>
            <w:hideMark/>
          </w:tcPr>
          <w:p w14:paraId="55662088" w14:textId="77777777" w:rsidR="00F66071" w:rsidRPr="0030399D" w:rsidRDefault="00F66071" w:rsidP="007C129D">
            <w:pPr>
              <w:jc w:val="right"/>
              <w:rPr>
                <w:rFonts w:ascii="Arial" w:hAnsi="Arial" w:cs="Arial"/>
                <w:lang w:val="en-CA"/>
              </w:rPr>
            </w:pPr>
            <w:r w:rsidRPr="0030399D">
              <w:rPr>
                <w:rFonts w:ascii="Arial" w:hAnsi="Arial" w:cs="Arial"/>
                <w:lang w:val="en-CA"/>
              </w:rPr>
              <w:t>7.4</w:t>
            </w:r>
          </w:p>
        </w:tc>
        <w:tc>
          <w:tcPr>
            <w:tcW w:w="614" w:type="dxa"/>
            <w:shd w:val="clear" w:color="auto" w:fill="auto"/>
            <w:noWrap/>
            <w:vAlign w:val="center"/>
            <w:hideMark/>
          </w:tcPr>
          <w:p w14:paraId="49FAE283" w14:textId="77777777" w:rsidR="00F66071" w:rsidRPr="0030399D" w:rsidRDefault="00F66071" w:rsidP="007C129D">
            <w:pPr>
              <w:jc w:val="right"/>
              <w:rPr>
                <w:rFonts w:ascii="Arial" w:hAnsi="Arial" w:cs="Arial"/>
                <w:lang w:val="en-CA"/>
              </w:rPr>
            </w:pPr>
            <w:r w:rsidRPr="0030399D">
              <w:rPr>
                <w:rFonts w:ascii="Arial" w:hAnsi="Arial" w:cs="Arial"/>
                <w:lang w:val="en-CA"/>
              </w:rPr>
              <w:t>562</w:t>
            </w:r>
          </w:p>
        </w:tc>
        <w:tc>
          <w:tcPr>
            <w:tcW w:w="360" w:type="dxa"/>
            <w:shd w:val="clear" w:color="auto" w:fill="auto"/>
            <w:noWrap/>
            <w:vAlign w:val="center"/>
            <w:hideMark/>
          </w:tcPr>
          <w:p w14:paraId="38D0A504" w14:textId="77777777" w:rsidR="00F66071" w:rsidRPr="0030399D" w:rsidRDefault="00F66071" w:rsidP="007C129D">
            <w:pPr>
              <w:jc w:val="right"/>
              <w:rPr>
                <w:rFonts w:ascii="Arial" w:hAnsi="Arial" w:cs="Arial"/>
                <w:lang w:val="en-CA"/>
              </w:rPr>
            </w:pPr>
            <w:r w:rsidRPr="0030399D">
              <w:rPr>
                <w:rFonts w:ascii="Arial" w:hAnsi="Arial" w:cs="Arial"/>
                <w:lang w:val="en-CA"/>
              </w:rPr>
              <w:t>5.3</w:t>
            </w:r>
          </w:p>
        </w:tc>
        <w:tc>
          <w:tcPr>
            <w:tcW w:w="540" w:type="dxa"/>
            <w:shd w:val="clear" w:color="auto" w:fill="auto"/>
            <w:noWrap/>
            <w:vAlign w:val="center"/>
            <w:hideMark/>
          </w:tcPr>
          <w:p w14:paraId="375753BC" w14:textId="77777777" w:rsidR="00F66071" w:rsidRPr="0030399D" w:rsidRDefault="00F66071" w:rsidP="007C129D">
            <w:pPr>
              <w:jc w:val="right"/>
              <w:rPr>
                <w:rFonts w:ascii="Arial" w:hAnsi="Arial" w:cs="Arial"/>
                <w:lang w:val="en-CA"/>
              </w:rPr>
            </w:pPr>
            <w:r w:rsidRPr="0030399D">
              <w:rPr>
                <w:rFonts w:ascii="Arial" w:hAnsi="Arial" w:cs="Arial"/>
                <w:lang w:val="en-CA"/>
              </w:rPr>
              <w:t>370</w:t>
            </w:r>
          </w:p>
        </w:tc>
        <w:tc>
          <w:tcPr>
            <w:tcW w:w="360" w:type="dxa"/>
            <w:shd w:val="clear" w:color="auto" w:fill="auto"/>
            <w:noWrap/>
            <w:vAlign w:val="center"/>
            <w:hideMark/>
          </w:tcPr>
          <w:p w14:paraId="2C341F80" w14:textId="77777777" w:rsidR="00F66071" w:rsidRPr="0030399D" w:rsidRDefault="00F66071" w:rsidP="007C129D">
            <w:pPr>
              <w:jc w:val="right"/>
              <w:rPr>
                <w:rFonts w:ascii="Arial" w:hAnsi="Arial" w:cs="Arial"/>
                <w:lang w:val="en-CA"/>
              </w:rPr>
            </w:pPr>
            <w:r w:rsidRPr="0030399D">
              <w:rPr>
                <w:rFonts w:ascii="Arial" w:hAnsi="Arial" w:cs="Arial"/>
                <w:lang w:val="en-CA"/>
              </w:rPr>
              <w:t>5.4</w:t>
            </w:r>
          </w:p>
        </w:tc>
        <w:tc>
          <w:tcPr>
            <w:tcW w:w="537" w:type="dxa"/>
            <w:shd w:val="clear" w:color="auto" w:fill="auto"/>
            <w:noWrap/>
            <w:vAlign w:val="center"/>
            <w:hideMark/>
          </w:tcPr>
          <w:p w14:paraId="66A940EC" w14:textId="77777777" w:rsidR="00F66071" w:rsidRPr="0030399D" w:rsidRDefault="00F66071" w:rsidP="007C129D">
            <w:pPr>
              <w:jc w:val="right"/>
              <w:rPr>
                <w:rFonts w:ascii="Arial" w:hAnsi="Arial" w:cs="Arial"/>
                <w:lang w:val="en-CA"/>
              </w:rPr>
            </w:pPr>
            <w:r w:rsidRPr="0030399D">
              <w:rPr>
                <w:rFonts w:ascii="Arial" w:hAnsi="Arial" w:cs="Arial"/>
                <w:lang w:val="en-CA"/>
              </w:rPr>
              <w:t>1,719</w:t>
            </w:r>
          </w:p>
        </w:tc>
        <w:tc>
          <w:tcPr>
            <w:tcW w:w="313" w:type="dxa"/>
            <w:shd w:val="clear" w:color="auto" w:fill="auto"/>
            <w:vAlign w:val="center"/>
          </w:tcPr>
          <w:p w14:paraId="062C8C42" w14:textId="77777777" w:rsidR="00F66071" w:rsidRPr="0030399D" w:rsidRDefault="00F66071" w:rsidP="007C129D">
            <w:pPr>
              <w:jc w:val="right"/>
              <w:rPr>
                <w:rFonts w:ascii="Arial" w:hAnsi="Arial" w:cs="Arial"/>
                <w:lang w:val="en-CA"/>
              </w:rPr>
            </w:pPr>
            <w:r w:rsidRPr="0030399D">
              <w:rPr>
                <w:rFonts w:ascii="Arial" w:hAnsi="Arial" w:cs="Arial"/>
                <w:lang w:val="en-CA"/>
              </w:rPr>
              <w:t>6.3</w:t>
            </w:r>
          </w:p>
        </w:tc>
        <w:tc>
          <w:tcPr>
            <w:tcW w:w="677" w:type="dxa"/>
            <w:shd w:val="clear" w:color="auto" w:fill="auto"/>
            <w:vAlign w:val="center"/>
          </w:tcPr>
          <w:p w14:paraId="760D7061" w14:textId="77777777" w:rsidR="00F66071" w:rsidRPr="0030399D" w:rsidRDefault="00F66071" w:rsidP="007C129D">
            <w:pPr>
              <w:jc w:val="right"/>
              <w:rPr>
                <w:rFonts w:ascii="Arial" w:hAnsi="Arial" w:cs="Arial"/>
                <w:lang w:val="en-CA"/>
              </w:rPr>
            </w:pPr>
            <w:r w:rsidRPr="0030399D">
              <w:rPr>
                <w:rFonts w:ascii="Arial" w:hAnsi="Arial" w:cs="Arial"/>
                <w:lang w:val="en-CA"/>
              </w:rPr>
              <w:t>4,559</w:t>
            </w:r>
          </w:p>
        </w:tc>
        <w:tc>
          <w:tcPr>
            <w:tcW w:w="540" w:type="dxa"/>
            <w:shd w:val="clear" w:color="auto" w:fill="auto"/>
            <w:vAlign w:val="center"/>
          </w:tcPr>
          <w:p w14:paraId="7C9D201D" w14:textId="77777777" w:rsidR="00F66071" w:rsidRPr="0030399D" w:rsidRDefault="00F66071" w:rsidP="007C129D">
            <w:pPr>
              <w:jc w:val="right"/>
              <w:rPr>
                <w:rFonts w:ascii="Arial" w:hAnsi="Arial" w:cs="Arial"/>
                <w:lang w:val="en-CA"/>
              </w:rPr>
            </w:pPr>
            <w:r w:rsidRPr="0030399D">
              <w:rPr>
                <w:rFonts w:ascii="Arial" w:hAnsi="Arial" w:cs="Arial"/>
                <w:lang w:val="en-CA"/>
              </w:rPr>
              <w:t>12.5</w:t>
            </w:r>
          </w:p>
        </w:tc>
      </w:tr>
      <w:tr w:rsidR="00F66071" w:rsidRPr="0030399D" w14:paraId="098548F6" w14:textId="77777777" w:rsidTr="007C129D">
        <w:trPr>
          <w:trHeight w:val="227"/>
          <w:jc w:val="center"/>
        </w:trPr>
        <w:tc>
          <w:tcPr>
            <w:tcW w:w="696" w:type="dxa"/>
            <w:shd w:val="clear" w:color="auto" w:fill="auto"/>
            <w:noWrap/>
            <w:vAlign w:val="center"/>
            <w:hideMark/>
          </w:tcPr>
          <w:p w14:paraId="38092480" w14:textId="77777777" w:rsidR="00F66071" w:rsidRPr="0030399D" w:rsidRDefault="00F66071" w:rsidP="007C129D">
            <w:pPr>
              <w:jc w:val="center"/>
              <w:rPr>
                <w:rFonts w:ascii="Arial" w:hAnsi="Arial" w:cs="Arial"/>
                <w:lang w:val="en-CA"/>
              </w:rPr>
            </w:pPr>
            <w:r w:rsidRPr="0030399D">
              <w:rPr>
                <w:rFonts w:ascii="Arial" w:hAnsi="Arial" w:cs="Arial"/>
                <w:lang w:val="en-CA"/>
              </w:rPr>
              <w:t>2010</w:t>
            </w:r>
          </w:p>
        </w:tc>
        <w:tc>
          <w:tcPr>
            <w:tcW w:w="454" w:type="dxa"/>
            <w:shd w:val="clear" w:color="auto" w:fill="auto"/>
            <w:noWrap/>
            <w:vAlign w:val="center"/>
            <w:hideMark/>
          </w:tcPr>
          <w:p w14:paraId="51CA0808" w14:textId="77777777" w:rsidR="00F66071" w:rsidRPr="0030399D" w:rsidRDefault="00F66071" w:rsidP="007C129D">
            <w:pPr>
              <w:jc w:val="right"/>
              <w:rPr>
                <w:rFonts w:ascii="Arial" w:hAnsi="Arial" w:cs="Arial"/>
                <w:lang w:val="en-CA"/>
              </w:rPr>
            </w:pPr>
            <w:r w:rsidRPr="0030399D">
              <w:rPr>
                <w:rFonts w:ascii="Arial" w:hAnsi="Arial" w:cs="Arial"/>
                <w:lang w:val="en-CA"/>
              </w:rPr>
              <w:t>868</w:t>
            </w:r>
          </w:p>
        </w:tc>
        <w:tc>
          <w:tcPr>
            <w:tcW w:w="454" w:type="dxa"/>
            <w:shd w:val="clear" w:color="auto" w:fill="auto"/>
            <w:noWrap/>
            <w:vAlign w:val="center"/>
            <w:hideMark/>
          </w:tcPr>
          <w:p w14:paraId="4EA30A53" w14:textId="77777777" w:rsidR="00F66071" w:rsidRPr="0030399D" w:rsidRDefault="00F66071" w:rsidP="007C129D">
            <w:pPr>
              <w:jc w:val="right"/>
              <w:rPr>
                <w:rFonts w:ascii="Arial" w:hAnsi="Arial" w:cs="Arial"/>
                <w:lang w:val="en-CA"/>
              </w:rPr>
            </w:pPr>
            <w:r w:rsidRPr="0030399D">
              <w:rPr>
                <w:rFonts w:ascii="Arial" w:hAnsi="Arial" w:cs="Arial"/>
                <w:lang w:val="en-CA"/>
              </w:rPr>
              <w:t>6.1</w:t>
            </w:r>
          </w:p>
        </w:tc>
        <w:tc>
          <w:tcPr>
            <w:tcW w:w="454" w:type="dxa"/>
            <w:shd w:val="clear" w:color="auto" w:fill="auto"/>
            <w:vAlign w:val="center"/>
          </w:tcPr>
          <w:p w14:paraId="5FCFEFD0" w14:textId="77777777" w:rsidR="00F66071" w:rsidRPr="0030399D" w:rsidRDefault="00F66071" w:rsidP="007C129D">
            <w:pPr>
              <w:jc w:val="right"/>
              <w:rPr>
                <w:rFonts w:ascii="Arial" w:hAnsi="Arial" w:cs="Arial"/>
                <w:lang w:val="en-CA"/>
              </w:rPr>
            </w:pPr>
          </w:p>
        </w:tc>
        <w:tc>
          <w:tcPr>
            <w:tcW w:w="372" w:type="dxa"/>
            <w:shd w:val="clear" w:color="auto" w:fill="auto"/>
            <w:vAlign w:val="center"/>
          </w:tcPr>
          <w:p w14:paraId="472FDA59" w14:textId="77777777" w:rsidR="00F66071" w:rsidRPr="0030399D" w:rsidRDefault="00F66071" w:rsidP="007C129D">
            <w:pPr>
              <w:jc w:val="right"/>
              <w:rPr>
                <w:rFonts w:ascii="Arial" w:hAnsi="Arial" w:cs="Arial"/>
                <w:lang w:val="en-CA"/>
              </w:rPr>
            </w:pPr>
          </w:p>
        </w:tc>
        <w:tc>
          <w:tcPr>
            <w:tcW w:w="536" w:type="dxa"/>
            <w:shd w:val="clear" w:color="auto" w:fill="auto"/>
            <w:noWrap/>
            <w:vAlign w:val="center"/>
            <w:hideMark/>
          </w:tcPr>
          <w:p w14:paraId="11D875BB" w14:textId="77777777" w:rsidR="00F66071" w:rsidRPr="0030399D" w:rsidRDefault="00F66071" w:rsidP="007C129D">
            <w:pPr>
              <w:jc w:val="right"/>
              <w:rPr>
                <w:rFonts w:ascii="Arial" w:hAnsi="Arial" w:cs="Arial"/>
                <w:lang w:val="en-CA"/>
              </w:rPr>
            </w:pPr>
            <w:r w:rsidRPr="0030399D">
              <w:rPr>
                <w:rFonts w:ascii="Arial" w:hAnsi="Arial" w:cs="Arial"/>
                <w:lang w:val="en-CA"/>
              </w:rPr>
              <w:t>4,359</w:t>
            </w:r>
          </w:p>
        </w:tc>
        <w:tc>
          <w:tcPr>
            <w:tcW w:w="454" w:type="dxa"/>
            <w:shd w:val="clear" w:color="auto" w:fill="auto"/>
            <w:noWrap/>
            <w:vAlign w:val="center"/>
            <w:hideMark/>
          </w:tcPr>
          <w:p w14:paraId="382941E7" w14:textId="77777777" w:rsidR="00F66071" w:rsidRPr="0030399D" w:rsidRDefault="00F66071" w:rsidP="007C129D">
            <w:pPr>
              <w:jc w:val="right"/>
              <w:rPr>
                <w:rFonts w:ascii="Arial" w:hAnsi="Arial" w:cs="Arial"/>
                <w:lang w:val="en-CA"/>
              </w:rPr>
            </w:pPr>
            <w:r w:rsidRPr="0030399D">
              <w:rPr>
                <w:rFonts w:ascii="Arial" w:hAnsi="Arial" w:cs="Arial"/>
                <w:lang w:val="en-CA"/>
              </w:rPr>
              <w:t>11.0</w:t>
            </w:r>
          </w:p>
        </w:tc>
        <w:tc>
          <w:tcPr>
            <w:tcW w:w="454" w:type="dxa"/>
            <w:shd w:val="clear" w:color="auto" w:fill="auto"/>
            <w:noWrap/>
            <w:vAlign w:val="center"/>
            <w:hideMark/>
          </w:tcPr>
          <w:p w14:paraId="21D212E3" w14:textId="77777777" w:rsidR="00F66071" w:rsidRPr="0030399D" w:rsidRDefault="00F66071" w:rsidP="007C129D">
            <w:pPr>
              <w:jc w:val="right"/>
              <w:rPr>
                <w:rFonts w:ascii="Arial" w:hAnsi="Arial" w:cs="Arial"/>
                <w:lang w:val="en-CA"/>
              </w:rPr>
            </w:pPr>
            <w:r w:rsidRPr="0030399D">
              <w:rPr>
                <w:rFonts w:ascii="Arial" w:hAnsi="Arial" w:cs="Arial"/>
                <w:lang w:val="en-CA"/>
              </w:rPr>
              <w:t>187</w:t>
            </w:r>
          </w:p>
        </w:tc>
        <w:tc>
          <w:tcPr>
            <w:tcW w:w="356" w:type="dxa"/>
            <w:shd w:val="clear" w:color="auto" w:fill="auto"/>
            <w:noWrap/>
            <w:vAlign w:val="center"/>
            <w:hideMark/>
          </w:tcPr>
          <w:p w14:paraId="132B4B62" w14:textId="77777777" w:rsidR="00F66071" w:rsidRPr="0030399D" w:rsidRDefault="00F66071" w:rsidP="007C129D">
            <w:pPr>
              <w:jc w:val="right"/>
              <w:rPr>
                <w:rFonts w:ascii="Arial" w:hAnsi="Arial" w:cs="Arial"/>
                <w:lang w:val="en-CA"/>
              </w:rPr>
            </w:pPr>
            <w:r w:rsidRPr="0030399D">
              <w:rPr>
                <w:rFonts w:ascii="Arial" w:hAnsi="Arial" w:cs="Arial"/>
                <w:lang w:val="en-CA"/>
              </w:rPr>
              <w:t>4.3</w:t>
            </w:r>
          </w:p>
        </w:tc>
        <w:tc>
          <w:tcPr>
            <w:tcW w:w="552" w:type="dxa"/>
            <w:shd w:val="clear" w:color="auto" w:fill="auto"/>
            <w:noWrap/>
            <w:vAlign w:val="center"/>
            <w:hideMark/>
          </w:tcPr>
          <w:p w14:paraId="7EF7BBED" w14:textId="77777777" w:rsidR="00F66071" w:rsidRPr="0030399D" w:rsidRDefault="00F66071" w:rsidP="007C129D">
            <w:pPr>
              <w:jc w:val="right"/>
              <w:rPr>
                <w:rFonts w:ascii="Arial" w:hAnsi="Arial" w:cs="Arial"/>
                <w:lang w:val="en-CA"/>
              </w:rPr>
            </w:pPr>
            <w:r w:rsidRPr="0030399D">
              <w:rPr>
                <w:rFonts w:ascii="Arial" w:hAnsi="Arial" w:cs="Arial"/>
                <w:lang w:val="en-CA"/>
              </w:rPr>
              <w:t>3,205</w:t>
            </w:r>
          </w:p>
        </w:tc>
        <w:tc>
          <w:tcPr>
            <w:tcW w:w="454" w:type="dxa"/>
            <w:shd w:val="clear" w:color="auto" w:fill="auto"/>
            <w:noWrap/>
            <w:vAlign w:val="center"/>
            <w:hideMark/>
          </w:tcPr>
          <w:p w14:paraId="00F15E53" w14:textId="77777777" w:rsidR="00F66071" w:rsidRPr="0030399D" w:rsidRDefault="00F66071" w:rsidP="007C129D">
            <w:pPr>
              <w:jc w:val="right"/>
              <w:rPr>
                <w:rFonts w:ascii="Arial" w:hAnsi="Arial" w:cs="Arial"/>
                <w:lang w:val="en-CA"/>
              </w:rPr>
            </w:pPr>
            <w:r w:rsidRPr="0030399D">
              <w:rPr>
                <w:rFonts w:ascii="Arial" w:hAnsi="Arial" w:cs="Arial"/>
                <w:lang w:val="en-CA"/>
              </w:rPr>
              <w:t>9.5</w:t>
            </w:r>
          </w:p>
        </w:tc>
        <w:tc>
          <w:tcPr>
            <w:tcW w:w="614" w:type="dxa"/>
            <w:shd w:val="clear" w:color="auto" w:fill="auto"/>
            <w:noWrap/>
            <w:vAlign w:val="center"/>
            <w:hideMark/>
          </w:tcPr>
          <w:p w14:paraId="46BC46EE" w14:textId="77777777" w:rsidR="00F66071" w:rsidRPr="0030399D" w:rsidRDefault="00F66071" w:rsidP="007C129D">
            <w:pPr>
              <w:jc w:val="right"/>
              <w:rPr>
                <w:rFonts w:ascii="Arial" w:hAnsi="Arial" w:cs="Arial"/>
                <w:lang w:val="en-CA"/>
              </w:rPr>
            </w:pPr>
            <w:r w:rsidRPr="0030399D">
              <w:rPr>
                <w:rFonts w:ascii="Arial" w:hAnsi="Arial" w:cs="Arial"/>
                <w:lang w:val="en-CA"/>
              </w:rPr>
              <w:t>1,341</w:t>
            </w:r>
          </w:p>
        </w:tc>
        <w:tc>
          <w:tcPr>
            <w:tcW w:w="360" w:type="dxa"/>
            <w:shd w:val="clear" w:color="auto" w:fill="auto"/>
            <w:noWrap/>
            <w:vAlign w:val="center"/>
            <w:hideMark/>
          </w:tcPr>
          <w:p w14:paraId="3FF9FBD1" w14:textId="77777777" w:rsidR="00F66071" w:rsidRPr="0030399D" w:rsidRDefault="00F66071" w:rsidP="007C129D">
            <w:pPr>
              <w:jc w:val="right"/>
              <w:rPr>
                <w:rFonts w:ascii="Arial" w:hAnsi="Arial" w:cs="Arial"/>
                <w:lang w:val="en-CA"/>
              </w:rPr>
            </w:pPr>
            <w:r w:rsidRPr="0030399D">
              <w:rPr>
                <w:rFonts w:ascii="Arial" w:hAnsi="Arial" w:cs="Arial"/>
                <w:lang w:val="en-CA"/>
              </w:rPr>
              <w:t>6.4</w:t>
            </w:r>
          </w:p>
        </w:tc>
        <w:tc>
          <w:tcPr>
            <w:tcW w:w="540" w:type="dxa"/>
            <w:shd w:val="clear" w:color="auto" w:fill="auto"/>
            <w:noWrap/>
            <w:vAlign w:val="center"/>
            <w:hideMark/>
          </w:tcPr>
          <w:p w14:paraId="743E60AE" w14:textId="77777777" w:rsidR="00F66071" w:rsidRPr="0030399D" w:rsidRDefault="00F66071" w:rsidP="007C129D">
            <w:pPr>
              <w:jc w:val="right"/>
              <w:rPr>
                <w:rFonts w:ascii="Arial" w:hAnsi="Arial" w:cs="Arial"/>
                <w:lang w:val="en-CA"/>
              </w:rPr>
            </w:pPr>
            <w:r w:rsidRPr="0030399D">
              <w:rPr>
                <w:rFonts w:ascii="Arial" w:hAnsi="Arial" w:cs="Arial"/>
                <w:lang w:val="en-CA"/>
              </w:rPr>
              <w:t>1,405</w:t>
            </w:r>
          </w:p>
        </w:tc>
        <w:tc>
          <w:tcPr>
            <w:tcW w:w="360" w:type="dxa"/>
            <w:shd w:val="clear" w:color="auto" w:fill="auto"/>
            <w:noWrap/>
            <w:vAlign w:val="center"/>
            <w:hideMark/>
          </w:tcPr>
          <w:p w14:paraId="180FF8A9" w14:textId="77777777" w:rsidR="00F66071" w:rsidRPr="0030399D" w:rsidRDefault="00F66071" w:rsidP="007C129D">
            <w:pPr>
              <w:jc w:val="right"/>
              <w:rPr>
                <w:rFonts w:ascii="Arial" w:hAnsi="Arial" w:cs="Arial"/>
                <w:lang w:val="en-CA"/>
              </w:rPr>
            </w:pPr>
            <w:r w:rsidRPr="0030399D">
              <w:rPr>
                <w:rFonts w:ascii="Arial" w:hAnsi="Arial" w:cs="Arial"/>
                <w:lang w:val="en-CA"/>
              </w:rPr>
              <w:t>6.8</w:t>
            </w:r>
          </w:p>
        </w:tc>
        <w:tc>
          <w:tcPr>
            <w:tcW w:w="537" w:type="dxa"/>
            <w:shd w:val="clear" w:color="auto" w:fill="auto"/>
            <w:noWrap/>
            <w:vAlign w:val="center"/>
            <w:hideMark/>
          </w:tcPr>
          <w:p w14:paraId="37C33234" w14:textId="77777777" w:rsidR="00F66071" w:rsidRPr="0030399D" w:rsidRDefault="00F66071" w:rsidP="007C129D">
            <w:pPr>
              <w:jc w:val="right"/>
              <w:rPr>
                <w:rFonts w:ascii="Arial" w:hAnsi="Arial" w:cs="Arial"/>
                <w:lang w:val="en-CA"/>
              </w:rPr>
            </w:pPr>
            <w:r w:rsidRPr="0030399D">
              <w:rPr>
                <w:rFonts w:ascii="Arial" w:hAnsi="Arial" w:cs="Arial"/>
                <w:lang w:val="en-CA"/>
              </w:rPr>
              <w:t>3,036</w:t>
            </w:r>
          </w:p>
        </w:tc>
        <w:tc>
          <w:tcPr>
            <w:tcW w:w="313" w:type="dxa"/>
            <w:shd w:val="clear" w:color="auto" w:fill="auto"/>
            <w:vAlign w:val="center"/>
          </w:tcPr>
          <w:p w14:paraId="5669C151" w14:textId="77777777" w:rsidR="00F66071" w:rsidRPr="0030399D" w:rsidRDefault="00F66071" w:rsidP="007C129D">
            <w:pPr>
              <w:jc w:val="right"/>
              <w:rPr>
                <w:rFonts w:ascii="Arial" w:hAnsi="Arial" w:cs="Arial"/>
                <w:lang w:val="en-CA"/>
              </w:rPr>
            </w:pPr>
            <w:r w:rsidRPr="0030399D">
              <w:rPr>
                <w:rFonts w:ascii="Arial" w:hAnsi="Arial" w:cs="Arial"/>
                <w:lang w:val="en-CA"/>
              </w:rPr>
              <w:t>8.5</w:t>
            </w:r>
          </w:p>
        </w:tc>
        <w:tc>
          <w:tcPr>
            <w:tcW w:w="677" w:type="dxa"/>
            <w:shd w:val="clear" w:color="auto" w:fill="auto"/>
            <w:vAlign w:val="center"/>
          </w:tcPr>
          <w:p w14:paraId="322A24C2" w14:textId="77777777" w:rsidR="00F66071" w:rsidRPr="0030399D" w:rsidRDefault="00F66071" w:rsidP="007C129D">
            <w:pPr>
              <w:jc w:val="right"/>
              <w:rPr>
                <w:rFonts w:ascii="Arial" w:hAnsi="Arial" w:cs="Arial"/>
                <w:lang w:val="en-CA"/>
              </w:rPr>
            </w:pPr>
            <w:r w:rsidRPr="0030399D">
              <w:rPr>
                <w:rFonts w:ascii="Arial" w:hAnsi="Arial" w:cs="Arial"/>
                <w:lang w:val="en-CA"/>
              </w:rPr>
              <w:t>7,929</w:t>
            </w:r>
          </w:p>
        </w:tc>
        <w:tc>
          <w:tcPr>
            <w:tcW w:w="540" w:type="dxa"/>
            <w:shd w:val="clear" w:color="auto" w:fill="auto"/>
            <w:vAlign w:val="center"/>
          </w:tcPr>
          <w:p w14:paraId="15D0E246" w14:textId="77777777" w:rsidR="00F66071" w:rsidRPr="0030399D" w:rsidRDefault="00F66071" w:rsidP="007C129D">
            <w:pPr>
              <w:jc w:val="right"/>
              <w:rPr>
                <w:rFonts w:ascii="Arial" w:hAnsi="Arial" w:cs="Arial"/>
                <w:lang w:val="en-CA"/>
              </w:rPr>
            </w:pPr>
            <w:r w:rsidRPr="0030399D">
              <w:rPr>
                <w:rFonts w:ascii="Arial" w:hAnsi="Arial" w:cs="Arial"/>
                <w:lang w:val="en-CA"/>
              </w:rPr>
              <w:t>16.4</w:t>
            </w:r>
          </w:p>
        </w:tc>
      </w:tr>
      <w:tr w:rsidR="00F66071" w:rsidRPr="0030399D" w14:paraId="51F4DD1B" w14:textId="77777777" w:rsidTr="007C129D">
        <w:trPr>
          <w:trHeight w:val="227"/>
          <w:jc w:val="center"/>
        </w:trPr>
        <w:tc>
          <w:tcPr>
            <w:tcW w:w="696" w:type="dxa"/>
            <w:shd w:val="clear" w:color="auto" w:fill="auto"/>
            <w:noWrap/>
            <w:vAlign w:val="center"/>
            <w:hideMark/>
          </w:tcPr>
          <w:p w14:paraId="594CBB50" w14:textId="77777777" w:rsidR="00F66071" w:rsidRPr="0030399D" w:rsidRDefault="00F66071" w:rsidP="007C129D">
            <w:pPr>
              <w:jc w:val="center"/>
              <w:rPr>
                <w:rFonts w:ascii="Arial" w:hAnsi="Arial" w:cs="Arial"/>
                <w:lang w:val="en-CA"/>
              </w:rPr>
            </w:pPr>
            <w:r w:rsidRPr="0030399D">
              <w:rPr>
                <w:rFonts w:ascii="Arial" w:hAnsi="Arial" w:cs="Arial"/>
                <w:lang w:val="en-CA"/>
              </w:rPr>
              <w:t>2015</w:t>
            </w:r>
          </w:p>
        </w:tc>
        <w:tc>
          <w:tcPr>
            <w:tcW w:w="454" w:type="dxa"/>
            <w:shd w:val="clear" w:color="auto" w:fill="auto"/>
            <w:noWrap/>
            <w:vAlign w:val="center"/>
            <w:hideMark/>
          </w:tcPr>
          <w:p w14:paraId="6FBAE3DF" w14:textId="77777777" w:rsidR="00F66071" w:rsidRPr="0030399D" w:rsidRDefault="00F66071" w:rsidP="007C129D">
            <w:pPr>
              <w:jc w:val="right"/>
              <w:rPr>
                <w:rFonts w:ascii="Arial" w:hAnsi="Arial" w:cs="Arial"/>
                <w:lang w:val="en-CA"/>
              </w:rPr>
            </w:pPr>
          </w:p>
        </w:tc>
        <w:tc>
          <w:tcPr>
            <w:tcW w:w="454" w:type="dxa"/>
            <w:shd w:val="clear" w:color="auto" w:fill="auto"/>
            <w:noWrap/>
            <w:vAlign w:val="center"/>
            <w:hideMark/>
          </w:tcPr>
          <w:p w14:paraId="6FC4CCDB" w14:textId="77777777" w:rsidR="00F66071" w:rsidRPr="0030399D" w:rsidRDefault="00F66071" w:rsidP="007C129D">
            <w:pPr>
              <w:jc w:val="right"/>
              <w:rPr>
                <w:rFonts w:ascii="Arial" w:hAnsi="Arial" w:cs="Arial"/>
                <w:lang w:val="en-CA"/>
              </w:rPr>
            </w:pPr>
          </w:p>
        </w:tc>
        <w:tc>
          <w:tcPr>
            <w:tcW w:w="454" w:type="dxa"/>
            <w:shd w:val="clear" w:color="auto" w:fill="auto"/>
            <w:vAlign w:val="center"/>
          </w:tcPr>
          <w:p w14:paraId="6BF3EEA8" w14:textId="77777777" w:rsidR="00F66071" w:rsidRPr="0030399D" w:rsidRDefault="00F66071" w:rsidP="007C129D">
            <w:pPr>
              <w:jc w:val="right"/>
              <w:rPr>
                <w:rFonts w:ascii="Arial" w:hAnsi="Arial" w:cs="Arial"/>
                <w:lang w:val="en-CA"/>
              </w:rPr>
            </w:pPr>
          </w:p>
        </w:tc>
        <w:tc>
          <w:tcPr>
            <w:tcW w:w="372" w:type="dxa"/>
            <w:shd w:val="clear" w:color="auto" w:fill="auto"/>
            <w:vAlign w:val="center"/>
          </w:tcPr>
          <w:p w14:paraId="0817A20A" w14:textId="77777777" w:rsidR="00F66071" w:rsidRPr="0030399D" w:rsidRDefault="00F66071" w:rsidP="007C129D">
            <w:pPr>
              <w:jc w:val="right"/>
              <w:rPr>
                <w:rFonts w:ascii="Arial" w:hAnsi="Arial" w:cs="Arial"/>
                <w:lang w:val="en-CA"/>
              </w:rPr>
            </w:pPr>
          </w:p>
        </w:tc>
        <w:tc>
          <w:tcPr>
            <w:tcW w:w="536" w:type="dxa"/>
            <w:shd w:val="clear" w:color="auto" w:fill="auto"/>
            <w:noWrap/>
            <w:vAlign w:val="center"/>
            <w:hideMark/>
          </w:tcPr>
          <w:p w14:paraId="0DB0089E" w14:textId="77777777" w:rsidR="00F66071" w:rsidRPr="0030399D" w:rsidRDefault="00F66071" w:rsidP="007C129D">
            <w:pPr>
              <w:jc w:val="right"/>
              <w:rPr>
                <w:rFonts w:ascii="Arial" w:hAnsi="Arial" w:cs="Arial"/>
                <w:lang w:val="en-CA"/>
              </w:rPr>
            </w:pPr>
            <w:r w:rsidRPr="0030399D">
              <w:rPr>
                <w:rFonts w:ascii="Arial" w:hAnsi="Arial" w:cs="Arial"/>
                <w:lang w:val="en-CA"/>
              </w:rPr>
              <w:t>5,267</w:t>
            </w:r>
          </w:p>
        </w:tc>
        <w:tc>
          <w:tcPr>
            <w:tcW w:w="454" w:type="dxa"/>
            <w:shd w:val="clear" w:color="auto" w:fill="auto"/>
            <w:noWrap/>
            <w:vAlign w:val="center"/>
            <w:hideMark/>
          </w:tcPr>
          <w:p w14:paraId="3547449B" w14:textId="77777777" w:rsidR="00F66071" w:rsidRPr="0030399D" w:rsidRDefault="00F66071" w:rsidP="007C129D">
            <w:pPr>
              <w:jc w:val="right"/>
              <w:rPr>
                <w:rFonts w:ascii="Arial" w:hAnsi="Arial" w:cs="Arial"/>
                <w:lang w:val="en-CA"/>
              </w:rPr>
            </w:pPr>
            <w:r w:rsidRPr="0030399D">
              <w:rPr>
                <w:rFonts w:ascii="Arial" w:hAnsi="Arial" w:cs="Arial"/>
                <w:lang w:val="en-CA"/>
              </w:rPr>
              <w:t>11.1</w:t>
            </w:r>
          </w:p>
        </w:tc>
        <w:tc>
          <w:tcPr>
            <w:tcW w:w="454" w:type="dxa"/>
            <w:shd w:val="clear" w:color="auto" w:fill="auto"/>
            <w:noWrap/>
            <w:vAlign w:val="center"/>
            <w:hideMark/>
          </w:tcPr>
          <w:p w14:paraId="0A1FB26C" w14:textId="77777777" w:rsidR="00F66071" w:rsidRPr="0030399D" w:rsidRDefault="00F66071" w:rsidP="007C129D">
            <w:pPr>
              <w:jc w:val="right"/>
              <w:rPr>
                <w:rFonts w:ascii="Arial" w:hAnsi="Arial" w:cs="Arial"/>
                <w:lang w:val="en-CA"/>
              </w:rPr>
            </w:pPr>
          </w:p>
        </w:tc>
        <w:tc>
          <w:tcPr>
            <w:tcW w:w="356" w:type="dxa"/>
            <w:shd w:val="clear" w:color="auto" w:fill="auto"/>
            <w:noWrap/>
            <w:vAlign w:val="center"/>
            <w:hideMark/>
          </w:tcPr>
          <w:p w14:paraId="7D0C90FA" w14:textId="77777777" w:rsidR="00F66071" w:rsidRPr="0030399D" w:rsidRDefault="00F66071" w:rsidP="007C129D">
            <w:pPr>
              <w:jc w:val="right"/>
              <w:rPr>
                <w:rFonts w:ascii="Arial" w:hAnsi="Arial" w:cs="Arial"/>
                <w:lang w:val="en-CA"/>
              </w:rPr>
            </w:pPr>
          </w:p>
        </w:tc>
        <w:tc>
          <w:tcPr>
            <w:tcW w:w="552" w:type="dxa"/>
            <w:shd w:val="clear" w:color="auto" w:fill="auto"/>
            <w:noWrap/>
            <w:vAlign w:val="center"/>
            <w:hideMark/>
          </w:tcPr>
          <w:p w14:paraId="6622CC6A" w14:textId="77777777" w:rsidR="00F66071" w:rsidRPr="0030399D" w:rsidRDefault="00F66071" w:rsidP="007C129D">
            <w:pPr>
              <w:jc w:val="right"/>
              <w:rPr>
                <w:rFonts w:ascii="Arial" w:hAnsi="Arial" w:cs="Arial"/>
                <w:lang w:val="en-CA"/>
              </w:rPr>
            </w:pPr>
            <w:r w:rsidRPr="0030399D">
              <w:rPr>
                <w:rFonts w:ascii="Arial" w:hAnsi="Arial" w:cs="Arial"/>
                <w:lang w:val="en-CA"/>
              </w:rPr>
              <w:t>4,150</w:t>
            </w:r>
          </w:p>
        </w:tc>
        <w:tc>
          <w:tcPr>
            <w:tcW w:w="454" w:type="dxa"/>
            <w:shd w:val="clear" w:color="auto" w:fill="auto"/>
            <w:noWrap/>
            <w:vAlign w:val="center"/>
            <w:hideMark/>
          </w:tcPr>
          <w:p w14:paraId="6008F99D" w14:textId="77777777" w:rsidR="00F66071" w:rsidRPr="0030399D" w:rsidRDefault="00F66071" w:rsidP="007C129D">
            <w:pPr>
              <w:jc w:val="right"/>
              <w:rPr>
                <w:rFonts w:ascii="Arial" w:hAnsi="Arial" w:cs="Arial"/>
                <w:lang w:val="en-CA"/>
              </w:rPr>
            </w:pPr>
            <w:r w:rsidRPr="0030399D">
              <w:rPr>
                <w:rFonts w:ascii="Arial" w:hAnsi="Arial" w:cs="Arial"/>
                <w:lang w:val="en-CA"/>
              </w:rPr>
              <w:t>11.2</w:t>
            </w:r>
          </w:p>
        </w:tc>
        <w:tc>
          <w:tcPr>
            <w:tcW w:w="614" w:type="dxa"/>
            <w:shd w:val="clear" w:color="auto" w:fill="auto"/>
            <w:noWrap/>
            <w:vAlign w:val="center"/>
            <w:hideMark/>
          </w:tcPr>
          <w:p w14:paraId="535CE695" w14:textId="77777777" w:rsidR="00F66071" w:rsidRPr="0030399D" w:rsidRDefault="00F66071" w:rsidP="007C129D">
            <w:pPr>
              <w:jc w:val="right"/>
              <w:rPr>
                <w:rFonts w:ascii="Arial" w:hAnsi="Arial" w:cs="Arial"/>
                <w:lang w:val="en-CA"/>
              </w:rPr>
            </w:pPr>
            <w:r w:rsidRPr="0030399D">
              <w:rPr>
                <w:rFonts w:ascii="Arial" w:hAnsi="Arial" w:cs="Arial"/>
                <w:lang w:val="en-CA"/>
              </w:rPr>
              <w:t>1,677</w:t>
            </w:r>
          </w:p>
        </w:tc>
        <w:tc>
          <w:tcPr>
            <w:tcW w:w="360" w:type="dxa"/>
            <w:shd w:val="clear" w:color="auto" w:fill="auto"/>
            <w:noWrap/>
            <w:vAlign w:val="center"/>
            <w:hideMark/>
          </w:tcPr>
          <w:p w14:paraId="2E06C735" w14:textId="77777777" w:rsidR="00F66071" w:rsidRPr="0030399D" w:rsidRDefault="00F66071" w:rsidP="007C129D">
            <w:pPr>
              <w:jc w:val="right"/>
              <w:rPr>
                <w:rFonts w:ascii="Arial" w:hAnsi="Arial" w:cs="Arial"/>
                <w:lang w:val="en-CA"/>
              </w:rPr>
            </w:pPr>
            <w:r w:rsidRPr="0030399D">
              <w:rPr>
                <w:rFonts w:ascii="Arial" w:hAnsi="Arial" w:cs="Arial"/>
                <w:lang w:val="en-CA"/>
              </w:rPr>
              <w:t>6.3</w:t>
            </w:r>
          </w:p>
        </w:tc>
        <w:tc>
          <w:tcPr>
            <w:tcW w:w="540" w:type="dxa"/>
            <w:shd w:val="clear" w:color="auto" w:fill="auto"/>
            <w:noWrap/>
            <w:vAlign w:val="center"/>
            <w:hideMark/>
          </w:tcPr>
          <w:p w14:paraId="5515175E" w14:textId="77777777" w:rsidR="00F66071" w:rsidRPr="0030399D" w:rsidRDefault="00F66071" w:rsidP="007C129D">
            <w:pPr>
              <w:jc w:val="right"/>
              <w:rPr>
                <w:rFonts w:ascii="Arial" w:hAnsi="Arial" w:cs="Arial"/>
                <w:lang w:val="en-CA"/>
              </w:rPr>
            </w:pPr>
          </w:p>
        </w:tc>
        <w:tc>
          <w:tcPr>
            <w:tcW w:w="360" w:type="dxa"/>
            <w:shd w:val="clear" w:color="auto" w:fill="auto"/>
            <w:noWrap/>
            <w:vAlign w:val="center"/>
            <w:hideMark/>
          </w:tcPr>
          <w:p w14:paraId="252E4632" w14:textId="77777777" w:rsidR="00F66071" w:rsidRPr="0030399D" w:rsidRDefault="00F66071" w:rsidP="007C129D">
            <w:pPr>
              <w:jc w:val="right"/>
              <w:rPr>
                <w:rFonts w:ascii="Arial" w:hAnsi="Arial" w:cs="Arial"/>
                <w:lang w:val="en-CA"/>
              </w:rPr>
            </w:pPr>
          </w:p>
        </w:tc>
        <w:tc>
          <w:tcPr>
            <w:tcW w:w="537" w:type="dxa"/>
            <w:shd w:val="clear" w:color="auto" w:fill="auto"/>
            <w:noWrap/>
            <w:vAlign w:val="center"/>
            <w:hideMark/>
          </w:tcPr>
          <w:p w14:paraId="7B47A5DB" w14:textId="77777777" w:rsidR="00F66071" w:rsidRPr="0030399D" w:rsidRDefault="00F66071" w:rsidP="007C129D">
            <w:pPr>
              <w:jc w:val="right"/>
              <w:rPr>
                <w:rFonts w:ascii="Arial" w:hAnsi="Arial" w:cs="Arial"/>
                <w:lang w:val="en-CA"/>
              </w:rPr>
            </w:pPr>
            <w:r w:rsidRPr="0030399D">
              <w:rPr>
                <w:rFonts w:ascii="Arial" w:hAnsi="Arial" w:cs="Arial"/>
                <w:lang w:val="en-CA"/>
              </w:rPr>
              <w:t>4,003</w:t>
            </w:r>
          </w:p>
        </w:tc>
        <w:tc>
          <w:tcPr>
            <w:tcW w:w="313" w:type="dxa"/>
            <w:shd w:val="clear" w:color="auto" w:fill="auto"/>
            <w:vAlign w:val="center"/>
          </w:tcPr>
          <w:p w14:paraId="06B2BD85" w14:textId="77777777" w:rsidR="00F66071" w:rsidRPr="0030399D" w:rsidRDefault="00F66071" w:rsidP="007C129D">
            <w:pPr>
              <w:jc w:val="right"/>
              <w:rPr>
                <w:rFonts w:ascii="Arial" w:hAnsi="Arial" w:cs="Arial"/>
                <w:lang w:val="en-CA"/>
              </w:rPr>
            </w:pPr>
            <w:r w:rsidRPr="0030399D">
              <w:rPr>
                <w:rFonts w:ascii="Arial" w:hAnsi="Arial" w:cs="Arial"/>
                <w:lang w:val="en-CA"/>
              </w:rPr>
              <w:t>9.8</w:t>
            </w:r>
          </w:p>
        </w:tc>
        <w:tc>
          <w:tcPr>
            <w:tcW w:w="677" w:type="dxa"/>
            <w:shd w:val="clear" w:color="auto" w:fill="auto"/>
            <w:vAlign w:val="center"/>
          </w:tcPr>
          <w:p w14:paraId="121D4DA4" w14:textId="77777777" w:rsidR="00F66071" w:rsidRPr="0030399D" w:rsidRDefault="00F66071" w:rsidP="007C129D">
            <w:pPr>
              <w:jc w:val="right"/>
              <w:rPr>
                <w:rFonts w:ascii="Arial" w:hAnsi="Arial" w:cs="Arial"/>
                <w:lang w:val="en-CA"/>
              </w:rPr>
            </w:pPr>
            <w:r w:rsidRPr="0030399D">
              <w:rPr>
                <w:rFonts w:ascii="Arial" w:hAnsi="Arial" w:cs="Arial"/>
                <w:lang w:val="en-CA"/>
              </w:rPr>
              <w:t>9,451</w:t>
            </w:r>
          </w:p>
        </w:tc>
        <w:tc>
          <w:tcPr>
            <w:tcW w:w="540" w:type="dxa"/>
            <w:shd w:val="clear" w:color="auto" w:fill="auto"/>
            <w:vAlign w:val="center"/>
          </w:tcPr>
          <w:p w14:paraId="09385A82" w14:textId="77777777" w:rsidR="00F66071" w:rsidRPr="0030399D" w:rsidRDefault="00F66071" w:rsidP="007C129D">
            <w:pPr>
              <w:jc w:val="right"/>
              <w:rPr>
                <w:rFonts w:ascii="Arial" w:hAnsi="Arial" w:cs="Arial"/>
                <w:lang w:val="en-CA"/>
              </w:rPr>
            </w:pPr>
            <w:r w:rsidRPr="0030399D">
              <w:rPr>
                <w:rFonts w:ascii="Arial" w:hAnsi="Arial" w:cs="Arial"/>
                <w:lang w:val="en-CA"/>
              </w:rPr>
              <w:t>16.9</w:t>
            </w:r>
          </w:p>
        </w:tc>
      </w:tr>
      <w:tr w:rsidR="00F66071" w:rsidRPr="0030399D" w14:paraId="69F7DBDB" w14:textId="77777777" w:rsidTr="007C129D">
        <w:trPr>
          <w:trHeight w:val="227"/>
          <w:jc w:val="center"/>
        </w:trPr>
        <w:tc>
          <w:tcPr>
            <w:tcW w:w="696" w:type="dxa"/>
            <w:shd w:val="clear" w:color="auto" w:fill="auto"/>
            <w:noWrap/>
            <w:vAlign w:val="center"/>
          </w:tcPr>
          <w:p w14:paraId="39D33145" w14:textId="77777777" w:rsidR="00F66071" w:rsidRPr="0030399D" w:rsidRDefault="00F66071" w:rsidP="007C129D">
            <w:pPr>
              <w:jc w:val="center"/>
              <w:rPr>
                <w:rFonts w:ascii="Arial" w:hAnsi="Arial" w:cs="Arial"/>
                <w:lang w:val="en-CA"/>
              </w:rPr>
            </w:pPr>
            <w:r w:rsidRPr="0030399D">
              <w:rPr>
                <w:rFonts w:ascii="Arial" w:hAnsi="Arial" w:cs="Arial"/>
                <w:lang w:val="en-CA"/>
              </w:rPr>
              <w:t>2016</w:t>
            </w:r>
          </w:p>
        </w:tc>
        <w:tc>
          <w:tcPr>
            <w:tcW w:w="454" w:type="dxa"/>
            <w:shd w:val="clear" w:color="auto" w:fill="auto"/>
            <w:noWrap/>
            <w:vAlign w:val="center"/>
          </w:tcPr>
          <w:p w14:paraId="76160372" w14:textId="77777777" w:rsidR="00F66071" w:rsidRPr="0030399D" w:rsidRDefault="00F66071" w:rsidP="007C129D">
            <w:pPr>
              <w:jc w:val="right"/>
              <w:rPr>
                <w:rFonts w:ascii="Arial" w:hAnsi="Arial" w:cs="Arial"/>
                <w:lang w:val="en-CA"/>
              </w:rPr>
            </w:pPr>
            <w:r w:rsidRPr="0030399D">
              <w:rPr>
                <w:rFonts w:ascii="Arial" w:hAnsi="Arial" w:cs="Arial"/>
                <w:lang w:val="en-CA"/>
              </w:rPr>
              <w:t>995</w:t>
            </w:r>
          </w:p>
        </w:tc>
        <w:tc>
          <w:tcPr>
            <w:tcW w:w="454" w:type="dxa"/>
            <w:shd w:val="clear" w:color="auto" w:fill="auto"/>
            <w:noWrap/>
            <w:vAlign w:val="center"/>
          </w:tcPr>
          <w:p w14:paraId="458F3562" w14:textId="77777777" w:rsidR="00F66071" w:rsidRPr="0030399D" w:rsidRDefault="00F66071" w:rsidP="007C129D">
            <w:pPr>
              <w:jc w:val="right"/>
              <w:rPr>
                <w:rFonts w:ascii="Arial" w:hAnsi="Arial" w:cs="Arial"/>
                <w:lang w:val="en-CA"/>
              </w:rPr>
            </w:pPr>
            <w:r w:rsidRPr="0030399D">
              <w:rPr>
                <w:rFonts w:ascii="Arial" w:hAnsi="Arial" w:cs="Arial"/>
                <w:lang w:val="en-CA"/>
              </w:rPr>
              <w:t>6.2</w:t>
            </w:r>
          </w:p>
        </w:tc>
        <w:tc>
          <w:tcPr>
            <w:tcW w:w="454" w:type="dxa"/>
            <w:shd w:val="clear" w:color="auto" w:fill="auto"/>
            <w:vAlign w:val="center"/>
          </w:tcPr>
          <w:p w14:paraId="21FFCBF1" w14:textId="77777777" w:rsidR="00F66071" w:rsidRPr="0030399D" w:rsidRDefault="00F66071" w:rsidP="007C129D">
            <w:pPr>
              <w:jc w:val="right"/>
              <w:rPr>
                <w:rFonts w:ascii="Arial" w:hAnsi="Arial" w:cs="Arial"/>
                <w:lang w:val="en-CA"/>
              </w:rPr>
            </w:pPr>
            <w:r w:rsidRPr="0030399D">
              <w:rPr>
                <w:rFonts w:ascii="Arial" w:hAnsi="Arial" w:cs="Arial"/>
                <w:lang w:val="en-CA"/>
              </w:rPr>
              <w:t>733</w:t>
            </w:r>
          </w:p>
        </w:tc>
        <w:tc>
          <w:tcPr>
            <w:tcW w:w="372" w:type="dxa"/>
            <w:shd w:val="clear" w:color="auto" w:fill="auto"/>
            <w:vAlign w:val="center"/>
          </w:tcPr>
          <w:p w14:paraId="6D3FA022" w14:textId="77777777" w:rsidR="00F66071" w:rsidRPr="0030399D" w:rsidRDefault="00F66071" w:rsidP="007C129D">
            <w:pPr>
              <w:jc w:val="right"/>
              <w:rPr>
                <w:rFonts w:ascii="Arial" w:hAnsi="Arial" w:cs="Arial"/>
                <w:lang w:val="en-CA"/>
              </w:rPr>
            </w:pPr>
            <w:r w:rsidRPr="0030399D">
              <w:rPr>
                <w:rFonts w:ascii="Arial" w:hAnsi="Arial" w:cs="Arial"/>
                <w:lang w:val="en-CA"/>
              </w:rPr>
              <w:t>5.5</w:t>
            </w:r>
          </w:p>
        </w:tc>
        <w:tc>
          <w:tcPr>
            <w:tcW w:w="536" w:type="dxa"/>
            <w:shd w:val="clear" w:color="auto" w:fill="auto"/>
            <w:noWrap/>
            <w:vAlign w:val="center"/>
          </w:tcPr>
          <w:p w14:paraId="3CEF3269" w14:textId="77777777" w:rsidR="00F66071" w:rsidRPr="0030399D" w:rsidRDefault="00F66071" w:rsidP="007C129D">
            <w:pPr>
              <w:jc w:val="right"/>
              <w:rPr>
                <w:rFonts w:ascii="Arial" w:hAnsi="Arial" w:cs="Arial"/>
                <w:lang w:val="en-CA"/>
              </w:rPr>
            </w:pPr>
            <w:r w:rsidRPr="0030399D">
              <w:rPr>
                <w:rFonts w:ascii="Arial" w:hAnsi="Arial" w:cs="Arial"/>
                <w:lang w:val="en-CA"/>
              </w:rPr>
              <w:t>5,551</w:t>
            </w:r>
          </w:p>
        </w:tc>
        <w:tc>
          <w:tcPr>
            <w:tcW w:w="454" w:type="dxa"/>
            <w:shd w:val="clear" w:color="auto" w:fill="auto"/>
            <w:noWrap/>
            <w:vAlign w:val="center"/>
          </w:tcPr>
          <w:p w14:paraId="3F6DBBF0" w14:textId="77777777" w:rsidR="00F66071" w:rsidRPr="0030399D" w:rsidRDefault="00F66071" w:rsidP="007C129D">
            <w:pPr>
              <w:jc w:val="right"/>
              <w:rPr>
                <w:rFonts w:ascii="Arial" w:hAnsi="Arial" w:cs="Arial"/>
                <w:lang w:val="en-CA"/>
              </w:rPr>
            </w:pPr>
            <w:r w:rsidRPr="0030399D">
              <w:rPr>
                <w:rFonts w:ascii="Arial" w:hAnsi="Arial" w:cs="Arial"/>
                <w:lang w:val="en-CA"/>
              </w:rPr>
              <w:t>11.3</w:t>
            </w:r>
          </w:p>
        </w:tc>
        <w:tc>
          <w:tcPr>
            <w:tcW w:w="454" w:type="dxa"/>
            <w:shd w:val="clear" w:color="auto" w:fill="auto"/>
            <w:noWrap/>
            <w:vAlign w:val="center"/>
          </w:tcPr>
          <w:p w14:paraId="6FCFBF33" w14:textId="77777777" w:rsidR="00F66071" w:rsidRPr="0030399D" w:rsidRDefault="00F66071" w:rsidP="007C129D">
            <w:pPr>
              <w:jc w:val="right"/>
              <w:rPr>
                <w:rFonts w:ascii="Arial" w:hAnsi="Arial" w:cs="Arial"/>
                <w:lang w:val="en-CA"/>
              </w:rPr>
            </w:pPr>
            <w:r w:rsidRPr="0030399D">
              <w:rPr>
                <w:rFonts w:ascii="Arial" w:hAnsi="Arial" w:cs="Arial"/>
                <w:lang w:val="en-CA"/>
              </w:rPr>
              <w:t>269</w:t>
            </w:r>
          </w:p>
        </w:tc>
        <w:tc>
          <w:tcPr>
            <w:tcW w:w="356" w:type="dxa"/>
            <w:shd w:val="clear" w:color="auto" w:fill="auto"/>
            <w:noWrap/>
            <w:vAlign w:val="center"/>
          </w:tcPr>
          <w:p w14:paraId="0FE6FFA4" w14:textId="77777777" w:rsidR="00F66071" w:rsidRPr="0030399D" w:rsidRDefault="00F66071" w:rsidP="007C129D">
            <w:pPr>
              <w:jc w:val="right"/>
              <w:rPr>
                <w:rFonts w:ascii="Arial" w:hAnsi="Arial" w:cs="Arial"/>
                <w:lang w:val="en-CA"/>
              </w:rPr>
            </w:pPr>
            <w:r w:rsidRPr="0030399D">
              <w:rPr>
                <w:rFonts w:ascii="Arial" w:hAnsi="Arial" w:cs="Arial"/>
                <w:lang w:val="en-CA"/>
              </w:rPr>
              <w:t>4.8</w:t>
            </w:r>
          </w:p>
        </w:tc>
        <w:tc>
          <w:tcPr>
            <w:tcW w:w="552" w:type="dxa"/>
            <w:shd w:val="clear" w:color="auto" w:fill="auto"/>
            <w:noWrap/>
            <w:vAlign w:val="center"/>
          </w:tcPr>
          <w:p w14:paraId="2BE9F0A6" w14:textId="77777777" w:rsidR="00F66071" w:rsidRPr="0030399D" w:rsidRDefault="00F66071" w:rsidP="007C129D">
            <w:pPr>
              <w:jc w:val="right"/>
              <w:rPr>
                <w:rFonts w:ascii="Arial" w:hAnsi="Arial" w:cs="Arial"/>
                <w:lang w:val="en-CA"/>
              </w:rPr>
            </w:pPr>
            <w:r w:rsidRPr="0030399D">
              <w:rPr>
                <w:rFonts w:ascii="Arial" w:hAnsi="Arial" w:cs="Arial"/>
                <w:lang w:val="en-CA"/>
              </w:rPr>
              <w:t>4,519</w:t>
            </w:r>
          </w:p>
        </w:tc>
        <w:tc>
          <w:tcPr>
            <w:tcW w:w="454" w:type="dxa"/>
            <w:shd w:val="clear" w:color="auto" w:fill="auto"/>
            <w:noWrap/>
            <w:vAlign w:val="center"/>
          </w:tcPr>
          <w:p w14:paraId="48C1E160" w14:textId="77777777" w:rsidR="00F66071" w:rsidRPr="0030399D" w:rsidRDefault="00F66071" w:rsidP="007C129D">
            <w:pPr>
              <w:jc w:val="right"/>
              <w:rPr>
                <w:rFonts w:ascii="Arial" w:hAnsi="Arial" w:cs="Arial"/>
                <w:lang w:val="en-CA"/>
              </w:rPr>
            </w:pPr>
            <w:r w:rsidRPr="0030399D">
              <w:rPr>
                <w:rFonts w:ascii="Arial" w:hAnsi="Arial" w:cs="Arial"/>
                <w:lang w:val="en-CA"/>
              </w:rPr>
              <w:t>10.9</w:t>
            </w:r>
          </w:p>
        </w:tc>
        <w:tc>
          <w:tcPr>
            <w:tcW w:w="614" w:type="dxa"/>
            <w:shd w:val="clear" w:color="auto" w:fill="auto"/>
            <w:noWrap/>
            <w:vAlign w:val="center"/>
          </w:tcPr>
          <w:p w14:paraId="50F00E3E" w14:textId="77777777" w:rsidR="00F66071" w:rsidRPr="0030399D" w:rsidRDefault="00F66071" w:rsidP="007C129D">
            <w:pPr>
              <w:jc w:val="right"/>
              <w:rPr>
                <w:rFonts w:ascii="Arial" w:hAnsi="Arial" w:cs="Arial"/>
                <w:lang w:val="en-CA"/>
              </w:rPr>
            </w:pPr>
            <w:r w:rsidRPr="0030399D">
              <w:rPr>
                <w:rFonts w:ascii="Arial" w:hAnsi="Arial" w:cs="Arial"/>
                <w:lang w:val="en-CA"/>
              </w:rPr>
              <w:t>1,798</w:t>
            </w:r>
          </w:p>
        </w:tc>
        <w:tc>
          <w:tcPr>
            <w:tcW w:w="360" w:type="dxa"/>
            <w:shd w:val="clear" w:color="auto" w:fill="auto"/>
            <w:noWrap/>
            <w:vAlign w:val="center"/>
          </w:tcPr>
          <w:p w14:paraId="245F4FB8" w14:textId="77777777" w:rsidR="00F66071" w:rsidRPr="0030399D" w:rsidRDefault="00F66071" w:rsidP="007C129D">
            <w:pPr>
              <w:jc w:val="right"/>
              <w:rPr>
                <w:rFonts w:ascii="Arial" w:hAnsi="Arial" w:cs="Arial"/>
                <w:lang w:val="en-CA"/>
              </w:rPr>
            </w:pPr>
            <w:r w:rsidRPr="0030399D">
              <w:rPr>
                <w:rFonts w:ascii="Arial" w:hAnsi="Arial" w:cs="Arial"/>
                <w:lang w:val="en-CA"/>
              </w:rPr>
              <w:t>6.4</w:t>
            </w:r>
          </w:p>
        </w:tc>
        <w:tc>
          <w:tcPr>
            <w:tcW w:w="540" w:type="dxa"/>
            <w:shd w:val="clear" w:color="auto" w:fill="auto"/>
            <w:noWrap/>
            <w:vAlign w:val="center"/>
          </w:tcPr>
          <w:p w14:paraId="77820E99" w14:textId="77777777" w:rsidR="00F66071" w:rsidRPr="0030399D" w:rsidRDefault="00F66071" w:rsidP="007C129D">
            <w:pPr>
              <w:jc w:val="right"/>
              <w:rPr>
                <w:rFonts w:ascii="Arial" w:hAnsi="Arial" w:cs="Arial"/>
                <w:lang w:val="en-CA"/>
              </w:rPr>
            </w:pPr>
            <w:r w:rsidRPr="0030399D">
              <w:rPr>
                <w:rFonts w:ascii="Arial" w:hAnsi="Arial" w:cs="Arial"/>
                <w:lang w:val="en-CA"/>
              </w:rPr>
              <w:t>1,351</w:t>
            </w:r>
          </w:p>
        </w:tc>
        <w:tc>
          <w:tcPr>
            <w:tcW w:w="360" w:type="dxa"/>
            <w:shd w:val="clear" w:color="auto" w:fill="auto"/>
            <w:noWrap/>
            <w:vAlign w:val="center"/>
          </w:tcPr>
          <w:p w14:paraId="5376EBBB" w14:textId="77777777" w:rsidR="00F66071" w:rsidRPr="0030399D" w:rsidRDefault="00F66071" w:rsidP="007C129D">
            <w:pPr>
              <w:jc w:val="right"/>
              <w:rPr>
                <w:rFonts w:ascii="Arial" w:hAnsi="Arial" w:cs="Arial"/>
                <w:lang w:val="en-CA"/>
              </w:rPr>
            </w:pPr>
            <w:r w:rsidRPr="0030399D">
              <w:rPr>
                <w:rFonts w:ascii="Arial" w:hAnsi="Arial" w:cs="Arial"/>
                <w:lang w:val="en-CA"/>
              </w:rPr>
              <w:t>5.6</w:t>
            </w:r>
          </w:p>
        </w:tc>
        <w:tc>
          <w:tcPr>
            <w:tcW w:w="537" w:type="dxa"/>
            <w:shd w:val="clear" w:color="auto" w:fill="auto"/>
            <w:noWrap/>
            <w:vAlign w:val="center"/>
          </w:tcPr>
          <w:p w14:paraId="143E515C" w14:textId="77777777" w:rsidR="00F66071" w:rsidRPr="0030399D" w:rsidRDefault="00F66071" w:rsidP="007C129D">
            <w:pPr>
              <w:jc w:val="right"/>
              <w:rPr>
                <w:rFonts w:ascii="Arial" w:hAnsi="Arial" w:cs="Arial"/>
                <w:lang w:val="en-CA"/>
              </w:rPr>
            </w:pPr>
            <w:r w:rsidRPr="0030399D">
              <w:rPr>
                <w:rFonts w:ascii="Arial" w:hAnsi="Arial" w:cs="Arial"/>
                <w:lang w:val="en-CA"/>
              </w:rPr>
              <w:t>4,192</w:t>
            </w:r>
          </w:p>
        </w:tc>
        <w:tc>
          <w:tcPr>
            <w:tcW w:w="313" w:type="dxa"/>
            <w:shd w:val="clear" w:color="auto" w:fill="auto"/>
            <w:vAlign w:val="center"/>
          </w:tcPr>
          <w:p w14:paraId="35C3E388" w14:textId="77777777" w:rsidR="00F66071" w:rsidRPr="0030399D" w:rsidRDefault="00F66071" w:rsidP="007C129D">
            <w:pPr>
              <w:jc w:val="right"/>
              <w:rPr>
                <w:rFonts w:ascii="Arial" w:hAnsi="Arial" w:cs="Arial"/>
                <w:lang w:val="en-CA"/>
              </w:rPr>
            </w:pPr>
            <w:r w:rsidRPr="0030399D">
              <w:rPr>
                <w:rFonts w:ascii="Arial" w:hAnsi="Arial" w:cs="Arial"/>
                <w:lang w:val="en-CA"/>
              </w:rPr>
              <w:t>9.7</w:t>
            </w:r>
          </w:p>
        </w:tc>
        <w:tc>
          <w:tcPr>
            <w:tcW w:w="677" w:type="dxa"/>
            <w:shd w:val="clear" w:color="auto" w:fill="auto"/>
            <w:vAlign w:val="center"/>
          </w:tcPr>
          <w:p w14:paraId="36FC9938" w14:textId="77777777" w:rsidR="00F66071" w:rsidRPr="0030399D" w:rsidRDefault="00F66071" w:rsidP="007C129D">
            <w:pPr>
              <w:jc w:val="right"/>
              <w:rPr>
                <w:rFonts w:ascii="Arial" w:hAnsi="Arial" w:cs="Arial"/>
                <w:lang w:val="en-CA"/>
              </w:rPr>
            </w:pPr>
            <w:r w:rsidRPr="0030399D">
              <w:rPr>
                <w:rFonts w:ascii="Arial" w:hAnsi="Arial" w:cs="Arial"/>
                <w:lang w:val="en-CA"/>
              </w:rPr>
              <w:t>9,892</w:t>
            </w:r>
          </w:p>
        </w:tc>
        <w:tc>
          <w:tcPr>
            <w:tcW w:w="540" w:type="dxa"/>
            <w:shd w:val="clear" w:color="auto" w:fill="auto"/>
            <w:vAlign w:val="center"/>
          </w:tcPr>
          <w:p w14:paraId="138ED7C2" w14:textId="77777777" w:rsidR="00F66071" w:rsidRPr="0030399D" w:rsidRDefault="00F66071" w:rsidP="007C129D">
            <w:pPr>
              <w:jc w:val="right"/>
              <w:rPr>
                <w:rFonts w:ascii="Arial" w:hAnsi="Arial" w:cs="Arial"/>
                <w:lang w:val="en-CA"/>
              </w:rPr>
            </w:pPr>
            <w:r w:rsidRPr="0030399D">
              <w:rPr>
                <w:rFonts w:ascii="Arial" w:hAnsi="Arial" w:cs="Arial"/>
                <w:lang w:val="en-CA"/>
              </w:rPr>
              <w:t>17.2</w:t>
            </w:r>
          </w:p>
        </w:tc>
      </w:tr>
    </w:tbl>
    <w:p w14:paraId="64BA4B1B" w14:textId="77777777" w:rsidR="00F66071" w:rsidRPr="0030399D" w:rsidRDefault="00F66071" w:rsidP="00F66071">
      <w:pPr>
        <w:pStyle w:val="Footnote"/>
        <w:rPr>
          <w:sz w:val="16"/>
          <w:szCs w:val="16"/>
          <w:lang w:val="en-CA"/>
        </w:rPr>
      </w:pPr>
    </w:p>
    <w:p w14:paraId="59E02FE3" w14:textId="77777777" w:rsidR="00F66071" w:rsidRPr="0030399D" w:rsidRDefault="00F66071" w:rsidP="00F66071">
      <w:pPr>
        <w:pStyle w:val="Footnote"/>
        <w:rPr>
          <w:lang w:val="en-CA"/>
        </w:rPr>
      </w:pPr>
      <w:r w:rsidRPr="0030399D">
        <w:rPr>
          <w:lang w:val="en-CA"/>
        </w:rPr>
        <w:t>Source: Created by case authors based on data from OECD Data, “Health Spending,” OECD, accessed May 13, 2019, https://data.oecd.org/healthres/health-spending.htm.</w:t>
      </w:r>
    </w:p>
    <w:p w14:paraId="0899F295" w14:textId="77777777" w:rsidR="00F66071" w:rsidRPr="0030399D" w:rsidRDefault="00F66071" w:rsidP="00F66071">
      <w:pPr>
        <w:pStyle w:val="Footnote"/>
        <w:rPr>
          <w:lang w:val="en-CA"/>
        </w:rPr>
      </w:pPr>
      <w:r w:rsidRPr="0030399D">
        <w:rPr>
          <w:lang w:val="en-CA"/>
        </w:rPr>
        <w:t>Note: Empty cells = no data available.</w:t>
      </w:r>
    </w:p>
    <w:p w14:paraId="14FBECD0" w14:textId="77777777" w:rsidR="00F66071" w:rsidRPr="0030399D" w:rsidRDefault="00F66071" w:rsidP="00F66071">
      <w:pPr>
        <w:pStyle w:val="IVEYappTitel"/>
        <w:rPr>
          <w:noProof w:val="0"/>
          <w:lang w:val="en-CA"/>
        </w:rPr>
      </w:pPr>
    </w:p>
    <w:p w14:paraId="1FB8A142" w14:textId="77777777" w:rsidR="00F66071" w:rsidRPr="0030399D" w:rsidRDefault="00F66071" w:rsidP="00F66071">
      <w:pPr>
        <w:pStyle w:val="IVEYappTitel"/>
        <w:jc w:val="left"/>
        <w:rPr>
          <w:noProof w:val="0"/>
          <w:lang w:val="en-CA"/>
        </w:rPr>
      </w:pPr>
    </w:p>
    <w:p w14:paraId="090F3593" w14:textId="77777777" w:rsidR="00F66071" w:rsidRPr="0030399D" w:rsidRDefault="00F66071" w:rsidP="00F66071">
      <w:pPr>
        <w:pStyle w:val="IVEYappTitel"/>
        <w:rPr>
          <w:noProof w:val="0"/>
          <w:lang w:val="en-CA"/>
        </w:rPr>
      </w:pPr>
      <w:r w:rsidRPr="0030399D">
        <w:rPr>
          <w:noProof w:val="0"/>
          <w:lang w:val="en-CA"/>
        </w:rPr>
        <w:t xml:space="preserve">Exhibit 5: pharmaceutical product Expenditure for selected countries </w:t>
      </w:r>
    </w:p>
    <w:p w14:paraId="2786FEA7" w14:textId="0DB9FF94" w:rsidR="00F66071" w:rsidRPr="0030399D" w:rsidRDefault="00F66071" w:rsidP="00F66071">
      <w:pPr>
        <w:pStyle w:val="IVEYappTitel"/>
        <w:rPr>
          <w:noProof w:val="0"/>
          <w:lang w:val="en-CA"/>
        </w:rPr>
      </w:pPr>
      <w:r w:rsidRPr="0030399D">
        <w:rPr>
          <w:noProof w:val="0"/>
          <w:lang w:val="en-CA"/>
        </w:rPr>
        <w:t xml:space="preserve">[per capita, </w:t>
      </w:r>
      <w:r w:rsidR="007C129D">
        <w:rPr>
          <w:noProof w:val="0"/>
          <w:lang w:val="en-CA"/>
        </w:rPr>
        <w:t>US</w:t>
      </w:r>
      <w:r w:rsidRPr="0030399D">
        <w:rPr>
          <w:noProof w:val="0"/>
          <w:lang w:val="en-CA"/>
        </w:rPr>
        <w:t>$, and % of GDP]</w:t>
      </w:r>
    </w:p>
    <w:p w14:paraId="00E413A1" w14:textId="77777777" w:rsidR="00F66071" w:rsidRPr="0030399D" w:rsidRDefault="00F66071" w:rsidP="00F66071">
      <w:pPr>
        <w:pStyle w:val="IVEYappTitel"/>
        <w:rPr>
          <w:noProof w:val="0"/>
          <w:lang w:val="en-CA"/>
        </w:rPr>
      </w:pPr>
    </w:p>
    <w:tbl>
      <w:tblPr>
        <w:tblW w:w="88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06"/>
        <w:gridCol w:w="661"/>
        <w:gridCol w:w="662"/>
        <w:gridCol w:w="661"/>
        <w:gridCol w:w="662"/>
        <w:gridCol w:w="661"/>
        <w:gridCol w:w="662"/>
        <w:gridCol w:w="661"/>
        <w:gridCol w:w="662"/>
        <w:gridCol w:w="661"/>
        <w:gridCol w:w="662"/>
        <w:gridCol w:w="776"/>
        <w:gridCol w:w="720"/>
      </w:tblGrid>
      <w:tr w:rsidR="00F66071" w:rsidRPr="0030399D" w14:paraId="68E273D0" w14:textId="77777777" w:rsidTr="007C129D">
        <w:trPr>
          <w:trHeight w:val="283"/>
          <w:jc w:val="center"/>
        </w:trPr>
        <w:tc>
          <w:tcPr>
            <w:tcW w:w="706" w:type="dxa"/>
            <w:shd w:val="clear" w:color="auto" w:fill="auto"/>
            <w:noWrap/>
            <w:vAlign w:val="bottom"/>
            <w:hideMark/>
          </w:tcPr>
          <w:p w14:paraId="48D1BB7D" w14:textId="77777777" w:rsidR="00F66071" w:rsidRPr="0030399D" w:rsidRDefault="00F66071" w:rsidP="007C129D">
            <w:pPr>
              <w:pStyle w:val="IVEYText"/>
              <w:rPr>
                <w:rFonts w:ascii="Arial" w:hAnsi="Arial" w:cs="Arial"/>
                <w:bCs/>
                <w:noProof w:val="0"/>
                <w:sz w:val="20"/>
                <w:szCs w:val="20"/>
                <w:lang w:val="en-CA"/>
              </w:rPr>
            </w:pPr>
          </w:p>
        </w:tc>
        <w:tc>
          <w:tcPr>
            <w:tcW w:w="1323" w:type="dxa"/>
            <w:gridSpan w:val="2"/>
            <w:shd w:val="clear" w:color="auto" w:fill="auto"/>
            <w:noWrap/>
            <w:vAlign w:val="center"/>
            <w:hideMark/>
          </w:tcPr>
          <w:p w14:paraId="31128680"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Germany</w:t>
            </w:r>
          </w:p>
        </w:tc>
        <w:tc>
          <w:tcPr>
            <w:tcW w:w="1323" w:type="dxa"/>
            <w:gridSpan w:val="2"/>
            <w:shd w:val="clear" w:color="auto" w:fill="auto"/>
            <w:noWrap/>
            <w:vAlign w:val="center"/>
            <w:hideMark/>
          </w:tcPr>
          <w:p w14:paraId="2EBEA482"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Japan</w:t>
            </w:r>
          </w:p>
        </w:tc>
        <w:tc>
          <w:tcPr>
            <w:tcW w:w="1323" w:type="dxa"/>
            <w:gridSpan w:val="2"/>
            <w:shd w:val="clear" w:color="auto" w:fill="auto"/>
            <w:noWrap/>
            <w:vAlign w:val="center"/>
            <w:hideMark/>
          </w:tcPr>
          <w:p w14:paraId="62B9D80E"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Poland</w:t>
            </w:r>
          </w:p>
        </w:tc>
        <w:tc>
          <w:tcPr>
            <w:tcW w:w="1323" w:type="dxa"/>
            <w:gridSpan w:val="2"/>
            <w:shd w:val="clear" w:color="auto" w:fill="auto"/>
            <w:noWrap/>
            <w:vAlign w:val="center"/>
            <w:hideMark/>
          </w:tcPr>
          <w:p w14:paraId="0EA28035"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Sweden</w:t>
            </w:r>
          </w:p>
        </w:tc>
        <w:tc>
          <w:tcPr>
            <w:tcW w:w="1323" w:type="dxa"/>
            <w:gridSpan w:val="2"/>
            <w:shd w:val="clear" w:color="auto" w:fill="auto"/>
            <w:noWrap/>
            <w:vAlign w:val="center"/>
            <w:hideMark/>
          </w:tcPr>
          <w:p w14:paraId="0B1D330B"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UK</w:t>
            </w:r>
          </w:p>
        </w:tc>
        <w:tc>
          <w:tcPr>
            <w:tcW w:w="1496" w:type="dxa"/>
            <w:gridSpan w:val="2"/>
            <w:shd w:val="clear" w:color="auto" w:fill="auto"/>
            <w:noWrap/>
            <w:vAlign w:val="center"/>
            <w:hideMark/>
          </w:tcPr>
          <w:p w14:paraId="7A3BF2E7"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US</w:t>
            </w:r>
          </w:p>
        </w:tc>
      </w:tr>
      <w:tr w:rsidR="00F66071" w:rsidRPr="0030399D" w14:paraId="65D8F884" w14:textId="77777777" w:rsidTr="007C129D">
        <w:trPr>
          <w:trHeight w:val="283"/>
          <w:jc w:val="center"/>
        </w:trPr>
        <w:tc>
          <w:tcPr>
            <w:tcW w:w="706" w:type="dxa"/>
            <w:shd w:val="clear" w:color="auto" w:fill="auto"/>
            <w:noWrap/>
            <w:vAlign w:val="center"/>
            <w:hideMark/>
          </w:tcPr>
          <w:p w14:paraId="5281E1FB"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Year</w:t>
            </w:r>
          </w:p>
        </w:tc>
        <w:tc>
          <w:tcPr>
            <w:tcW w:w="661" w:type="dxa"/>
            <w:shd w:val="clear" w:color="auto" w:fill="auto"/>
            <w:noWrap/>
            <w:vAlign w:val="center"/>
            <w:hideMark/>
          </w:tcPr>
          <w:p w14:paraId="5BC737D8"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662" w:type="dxa"/>
            <w:shd w:val="clear" w:color="auto" w:fill="auto"/>
            <w:noWrap/>
            <w:vAlign w:val="center"/>
            <w:hideMark/>
          </w:tcPr>
          <w:p w14:paraId="04B63543"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661" w:type="dxa"/>
            <w:shd w:val="clear" w:color="auto" w:fill="auto"/>
            <w:noWrap/>
            <w:vAlign w:val="center"/>
            <w:hideMark/>
          </w:tcPr>
          <w:p w14:paraId="5D25EC02"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662" w:type="dxa"/>
            <w:shd w:val="clear" w:color="auto" w:fill="auto"/>
            <w:noWrap/>
            <w:vAlign w:val="center"/>
            <w:hideMark/>
          </w:tcPr>
          <w:p w14:paraId="12DBEA10"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661" w:type="dxa"/>
            <w:shd w:val="clear" w:color="auto" w:fill="auto"/>
            <w:noWrap/>
            <w:vAlign w:val="center"/>
            <w:hideMark/>
          </w:tcPr>
          <w:p w14:paraId="19AF196B"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662" w:type="dxa"/>
            <w:shd w:val="clear" w:color="auto" w:fill="auto"/>
            <w:noWrap/>
            <w:vAlign w:val="center"/>
            <w:hideMark/>
          </w:tcPr>
          <w:p w14:paraId="6D6EDAC9"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661" w:type="dxa"/>
            <w:shd w:val="clear" w:color="auto" w:fill="auto"/>
            <w:noWrap/>
            <w:vAlign w:val="center"/>
            <w:hideMark/>
          </w:tcPr>
          <w:p w14:paraId="50CC44B5"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662" w:type="dxa"/>
            <w:shd w:val="clear" w:color="auto" w:fill="auto"/>
            <w:noWrap/>
            <w:vAlign w:val="center"/>
            <w:hideMark/>
          </w:tcPr>
          <w:p w14:paraId="4774BEFA"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661" w:type="dxa"/>
            <w:shd w:val="clear" w:color="auto" w:fill="auto"/>
            <w:noWrap/>
            <w:vAlign w:val="center"/>
            <w:hideMark/>
          </w:tcPr>
          <w:p w14:paraId="64CF53E3"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662" w:type="dxa"/>
            <w:shd w:val="clear" w:color="auto" w:fill="auto"/>
            <w:noWrap/>
            <w:vAlign w:val="center"/>
            <w:hideMark/>
          </w:tcPr>
          <w:p w14:paraId="00D207DB"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776" w:type="dxa"/>
            <w:shd w:val="clear" w:color="auto" w:fill="auto"/>
            <w:noWrap/>
            <w:vAlign w:val="center"/>
            <w:hideMark/>
          </w:tcPr>
          <w:p w14:paraId="14840E9D"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c>
          <w:tcPr>
            <w:tcW w:w="720" w:type="dxa"/>
            <w:shd w:val="clear" w:color="auto" w:fill="auto"/>
            <w:noWrap/>
            <w:vAlign w:val="center"/>
            <w:hideMark/>
          </w:tcPr>
          <w:p w14:paraId="29315D67"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w:t>
            </w:r>
          </w:p>
        </w:tc>
      </w:tr>
      <w:tr w:rsidR="00F66071" w:rsidRPr="0030399D" w14:paraId="396C32D4" w14:textId="77777777" w:rsidTr="007C129D">
        <w:trPr>
          <w:trHeight w:val="227"/>
          <w:jc w:val="center"/>
        </w:trPr>
        <w:tc>
          <w:tcPr>
            <w:tcW w:w="706" w:type="dxa"/>
            <w:shd w:val="clear" w:color="auto" w:fill="auto"/>
            <w:noWrap/>
            <w:vAlign w:val="center"/>
            <w:hideMark/>
          </w:tcPr>
          <w:p w14:paraId="4FC2DC12" w14:textId="77777777" w:rsidR="00F66071" w:rsidRPr="0030399D" w:rsidRDefault="00F66071" w:rsidP="007C129D">
            <w:pPr>
              <w:pStyle w:val="IVEYText"/>
              <w:jc w:val="center"/>
              <w:rPr>
                <w:rFonts w:ascii="Arial" w:hAnsi="Arial" w:cs="Arial"/>
                <w:bCs/>
                <w:noProof w:val="0"/>
                <w:sz w:val="20"/>
                <w:szCs w:val="20"/>
                <w:lang w:val="en-CA"/>
              </w:rPr>
            </w:pPr>
            <w:r w:rsidRPr="0030399D">
              <w:rPr>
                <w:rFonts w:ascii="Arial" w:hAnsi="Arial" w:cs="Arial"/>
                <w:bCs/>
                <w:noProof w:val="0"/>
                <w:sz w:val="20"/>
                <w:szCs w:val="20"/>
                <w:lang w:val="en-CA"/>
              </w:rPr>
              <w:t>1970</w:t>
            </w:r>
          </w:p>
        </w:tc>
        <w:tc>
          <w:tcPr>
            <w:tcW w:w="661" w:type="dxa"/>
            <w:shd w:val="clear" w:color="auto" w:fill="auto"/>
            <w:noWrap/>
            <w:vAlign w:val="center"/>
            <w:hideMark/>
          </w:tcPr>
          <w:p w14:paraId="0181874B"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44</w:t>
            </w:r>
          </w:p>
        </w:tc>
        <w:tc>
          <w:tcPr>
            <w:tcW w:w="662" w:type="dxa"/>
            <w:shd w:val="clear" w:color="auto" w:fill="auto"/>
            <w:noWrap/>
            <w:vAlign w:val="center"/>
            <w:hideMark/>
          </w:tcPr>
          <w:p w14:paraId="612FF92C"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1.0</w:t>
            </w:r>
          </w:p>
        </w:tc>
        <w:tc>
          <w:tcPr>
            <w:tcW w:w="661" w:type="dxa"/>
            <w:shd w:val="clear" w:color="auto" w:fill="auto"/>
            <w:noWrap/>
            <w:vAlign w:val="center"/>
            <w:hideMark/>
          </w:tcPr>
          <w:p w14:paraId="0876FE48" w14:textId="77777777" w:rsidR="00F66071" w:rsidRPr="0030399D" w:rsidRDefault="00F66071" w:rsidP="007C129D">
            <w:pPr>
              <w:pStyle w:val="IVEYText"/>
              <w:jc w:val="right"/>
              <w:rPr>
                <w:rFonts w:ascii="Arial" w:hAnsi="Arial" w:cs="Arial"/>
                <w:bCs/>
                <w:noProof w:val="0"/>
                <w:sz w:val="20"/>
                <w:szCs w:val="20"/>
                <w:lang w:val="en-CA"/>
              </w:rPr>
            </w:pPr>
          </w:p>
        </w:tc>
        <w:tc>
          <w:tcPr>
            <w:tcW w:w="662" w:type="dxa"/>
            <w:shd w:val="clear" w:color="auto" w:fill="auto"/>
            <w:noWrap/>
            <w:vAlign w:val="center"/>
            <w:hideMark/>
          </w:tcPr>
          <w:p w14:paraId="5805C14F" w14:textId="77777777" w:rsidR="00F66071" w:rsidRPr="0030399D" w:rsidRDefault="00F66071" w:rsidP="007C129D">
            <w:pPr>
              <w:pStyle w:val="IVEYText"/>
              <w:jc w:val="right"/>
              <w:rPr>
                <w:rFonts w:ascii="Arial" w:hAnsi="Arial" w:cs="Arial"/>
                <w:bCs/>
                <w:noProof w:val="0"/>
                <w:sz w:val="20"/>
                <w:szCs w:val="20"/>
                <w:lang w:val="en-CA"/>
              </w:rPr>
            </w:pPr>
          </w:p>
        </w:tc>
        <w:tc>
          <w:tcPr>
            <w:tcW w:w="661" w:type="dxa"/>
            <w:shd w:val="clear" w:color="auto" w:fill="auto"/>
            <w:noWrap/>
            <w:vAlign w:val="center"/>
            <w:hideMark/>
          </w:tcPr>
          <w:p w14:paraId="6FD5D388" w14:textId="77777777" w:rsidR="00F66071" w:rsidRPr="0030399D" w:rsidRDefault="00F66071" w:rsidP="007C129D">
            <w:pPr>
              <w:pStyle w:val="IVEYText"/>
              <w:jc w:val="right"/>
              <w:rPr>
                <w:rFonts w:ascii="Arial" w:hAnsi="Arial" w:cs="Arial"/>
                <w:bCs/>
                <w:noProof w:val="0"/>
                <w:sz w:val="20"/>
                <w:szCs w:val="20"/>
                <w:lang w:val="en-CA"/>
              </w:rPr>
            </w:pPr>
          </w:p>
        </w:tc>
        <w:tc>
          <w:tcPr>
            <w:tcW w:w="662" w:type="dxa"/>
            <w:shd w:val="clear" w:color="auto" w:fill="auto"/>
            <w:noWrap/>
            <w:vAlign w:val="center"/>
            <w:hideMark/>
          </w:tcPr>
          <w:p w14:paraId="7920EE75" w14:textId="77777777" w:rsidR="00F66071" w:rsidRPr="0030399D" w:rsidRDefault="00F66071" w:rsidP="007C129D">
            <w:pPr>
              <w:pStyle w:val="IVEYText"/>
              <w:jc w:val="right"/>
              <w:rPr>
                <w:rFonts w:ascii="Arial" w:hAnsi="Arial" w:cs="Arial"/>
                <w:bCs/>
                <w:noProof w:val="0"/>
                <w:sz w:val="20"/>
                <w:szCs w:val="20"/>
                <w:lang w:val="en-CA"/>
              </w:rPr>
            </w:pPr>
          </w:p>
        </w:tc>
        <w:tc>
          <w:tcPr>
            <w:tcW w:w="661" w:type="dxa"/>
            <w:shd w:val="clear" w:color="auto" w:fill="auto"/>
            <w:noWrap/>
            <w:vAlign w:val="center"/>
            <w:hideMark/>
          </w:tcPr>
          <w:p w14:paraId="7F68E7A0"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20</w:t>
            </w:r>
          </w:p>
        </w:tc>
        <w:tc>
          <w:tcPr>
            <w:tcW w:w="662" w:type="dxa"/>
            <w:shd w:val="clear" w:color="auto" w:fill="auto"/>
            <w:noWrap/>
            <w:vAlign w:val="center"/>
            <w:hideMark/>
          </w:tcPr>
          <w:p w14:paraId="768ADF54"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0.4</w:t>
            </w:r>
          </w:p>
        </w:tc>
        <w:tc>
          <w:tcPr>
            <w:tcW w:w="661" w:type="dxa"/>
            <w:shd w:val="clear" w:color="auto" w:fill="auto"/>
            <w:noWrap/>
            <w:vAlign w:val="center"/>
            <w:hideMark/>
          </w:tcPr>
          <w:p w14:paraId="48A6A39C"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23</w:t>
            </w:r>
          </w:p>
        </w:tc>
        <w:tc>
          <w:tcPr>
            <w:tcW w:w="662" w:type="dxa"/>
            <w:shd w:val="clear" w:color="auto" w:fill="auto"/>
            <w:noWrap/>
            <w:vAlign w:val="center"/>
            <w:hideMark/>
          </w:tcPr>
          <w:p w14:paraId="3BDF6885"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0.6</w:t>
            </w:r>
          </w:p>
        </w:tc>
        <w:tc>
          <w:tcPr>
            <w:tcW w:w="776" w:type="dxa"/>
            <w:shd w:val="clear" w:color="auto" w:fill="auto"/>
            <w:noWrap/>
            <w:vAlign w:val="center"/>
            <w:hideMark/>
          </w:tcPr>
          <w:p w14:paraId="04B98FC9"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43</w:t>
            </w:r>
          </w:p>
        </w:tc>
        <w:tc>
          <w:tcPr>
            <w:tcW w:w="720" w:type="dxa"/>
            <w:shd w:val="clear" w:color="auto" w:fill="auto"/>
            <w:noWrap/>
            <w:vAlign w:val="center"/>
            <w:hideMark/>
          </w:tcPr>
          <w:p w14:paraId="5DCDC0D9"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0.8</w:t>
            </w:r>
          </w:p>
        </w:tc>
      </w:tr>
      <w:tr w:rsidR="00F66071" w:rsidRPr="0030399D" w14:paraId="02EF0EA2" w14:textId="77777777" w:rsidTr="007C129D">
        <w:trPr>
          <w:trHeight w:val="227"/>
          <w:jc w:val="center"/>
        </w:trPr>
        <w:tc>
          <w:tcPr>
            <w:tcW w:w="706" w:type="dxa"/>
            <w:shd w:val="clear" w:color="auto" w:fill="auto"/>
            <w:noWrap/>
            <w:vAlign w:val="center"/>
            <w:hideMark/>
          </w:tcPr>
          <w:p w14:paraId="06E6BB5F" w14:textId="77777777" w:rsidR="00F66071" w:rsidRPr="0030399D" w:rsidRDefault="00F66071" w:rsidP="007C129D">
            <w:pPr>
              <w:pStyle w:val="IVEYText"/>
              <w:jc w:val="center"/>
              <w:rPr>
                <w:rFonts w:ascii="Arial" w:hAnsi="Arial" w:cs="Arial"/>
                <w:bCs/>
                <w:noProof w:val="0"/>
                <w:sz w:val="20"/>
                <w:szCs w:val="20"/>
                <w:lang w:val="en-CA"/>
              </w:rPr>
            </w:pPr>
            <w:r w:rsidRPr="0030399D">
              <w:rPr>
                <w:rFonts w:ascii="Arial" w:hAnsi="Arial" w:cs="Arial"/>
                <w:bCs/>
                <w:noProof w:val="0"/>
                <w:sz w:val="20"/>
                <w:szCs w:val="20"/>
                <w:lang w:val="en-CA"/>
              </w:rPr>
              <w:t>1980</w:t>
            </w:r>
          </w:p>
        </w:tc>
        <w:tc>
          <w:tcPr>
            <w:tcW w:w="661" w:type="dxa"/>
            <w:shd w:val="clear" w:color="auto" w:fill="auto"/>
            <w:noWrap/>
            <w:vAlign w:val="center"/>
            <w:hideMark/>
          </w:tcPr>
          <w:p w14:paraId="5CAEE282"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131</w:t>
            </w:r>
          </w:p>
        </w:tc>
        <w:tc>
          <w:tcPr>
            <w:tcW w:w="662" w:type="dxa"/>
            <w:shd w:val="clear" w:color="auto" w:fill="auto"/>
            <w:noWrap/>
            <w:vAlign w:val="center"/>
            <w:hideMark/>
          </w:tcPr>
          <w:p w14:paraId="3C347B81"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1.1</w:t>
            </w:r>
          </w:p>
        </w:tc>
        <w:tc>
          <w:tcPr>
            <w:tcW w:w="661" w:type="dxa"/>
            <w:shd w:val="clear" w:color="auto" w:fill="auto"/>
            <w:noWrap/>
            <w:vAlign w:val="center"/>
            <w:hideMark/>
          </w:tcPr>
          <w:p w14:paraId="4472DB61"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115</w:t>
            </w:r>
          </w:p>
        </w:tc>
        <w:tc>
          <w:tcPr>
            <w:tcW w:w="662" w:type="dxa"/>
            <w:shd w:val="clear" w:color="auto" w:fill="auto"/>
            <w:noWrap/>
            <w:vAlign w:val="center"/>
            <w:hideMark/>
          </w:tcPr>
          <w:p w14:paraId="0556F813"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1.3</w:t>
            </w:r>
          </w:p>
        </w:tc>
        <w:tc>
          <w:tcPr>
            <w:tcW w:w="661" w:type="dxa"/>
            <w:shd w:val="clear" w:color="auto" w:fill="auto"/>
            <w:noWrap/>
            <w:vAlign w:val="center"/>
            <w:hideMark/>
          </w:tcPr>
          <w:p w14:paraId="7477B097" w14:textId="77777777" w:rsidR="00F66071" w:rsidRPr="0030399D" w:rsidRDefault="00F66071" w:rsidP="007C129D">
            <w:pPr>
              <w:pStyle w:val="IVEYText"/>
              <w:jc w:val="right"/>
              <w:rPr>
                <w:rFonts w:ascii="Arial" w:hAnsi="Arial" w:cs="Arial"/>
                <w:bCs/>
                <w:noProof w:val="0"/>
                <w:sz w:val="20"/>
                <w:szCs w:val="20"/>
                <w:lang w:val="en-CA"/>
              </w:rPr>
            </w:pPr>
          </w:p>
        </w:tc>
        <w:tc>
          <w:tcPr>
            <w:tcW w:w="662" w:type="dxa"/>
            <w:shd w:val="clear" w:color="auto" w:fill="auto"/>
            <w:noWrap/>
            <w:vAlign w:val="center"/>
            <w:hideMark/>
          </w:tcPr>
          <w:p w14:paraId="2EBE79D5" w14:textId="77777777" w:rsidR="00F66071" w:rsidRPr="0030399D" w:rsidRDefault="00F66071" w:rsidP="007C129D">
            <w:pPr>
              <w:pStyle w:val="IVEYText"/>
              <w:jc w:val="right"/>
              <w:rPr>
                <w:rFonts w:ascii="Arial" w:hAnsi="Arial" w:cs="Arial"/>
                <w:bCs/>
                <w:noProof w:val="0"/>
                <w:sz w:val="20"/>
                <w:szCs w:val="20"/>
                <w:lang w:val="en-CA"/>
              </w:rPr>
            </w:pPr>
          </w:p>
        </w:tc>
        <w:tc>
          <w:tcPr>
            <w:tcW w:w="661" w:type="dxa"/>
            <w:shd w:val="clear" w:color="auto" w:fill="auto"/>
            <w:noWrap/>
            <w:vAlign w:val="center"/>
            <w:hideMark/>
          </w:tcPr>
          <w:p w14:paraId="5C54A649"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60</w:t>
            </w:r>
          </w:p>
        </w:tc>
        <w:tc>
          <w:tcPr>
            <w:tcW w:w="662" w:type="dxa"/>
            <w:shd w:val="clear" w:color="auto" w:fill="auto"/>
            <w:noWrap/>
            <w:vAlign w:val="center"/>
            <w:hideMark/>
          </w:tcPr>
          <w:p w14:paraId="367C2A6B"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0.5</w:t>
            </w:r>
          </w:p>
        </w:tc>
        <w:tc>
          <w:tcPr>
            <w:tcW w:w="661" w:type="dxa"/>
            <w:shd w:val="clear" w:color="auto" w:fill="auto"/>
            <w:noWrap/>
            <w:vAlign w:val="center"/>
            <w:hideMark/>
          </w:tcPr>
          <w:p w14:paraId="547413ED"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60</w:t>
            </w:r>
          </w:p>
        </w:tc>
        <w:tc>
          <w:tcPr>
            <w:tcW w:w="662" w:type="dxa"/>
            <w:shd w:val="clear" w:color="auto" w:fill="auto"/>
            <w:noWrap/>
            <w:vAlign w:val="center"/>
            <w:hideMark/>
          </w:tcPr>
          <w:p w14:paraId="042D48C3"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0.7</w:t>
            </w:r>
          </w:p>
        </w:tc>
        <w:tc>
          <w:tcPr>
            <w:tcW w:w="776" w:type="dxa"/>
            <w:shd w:val="clear" w:color="auto" w:fill="auto"/>
            <w:noWrap/>
            <w:vAlign w:val="center"/>
            <w:hideMark/>
          </w:tcPr>
          <w:p w14:paraId="584D1643"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96</w:t>
            </w:r>
          </w:p>
        </w:tc>
        <w:tc>
          <w:tcPr>
            <w:tcW w:w="720" w:type="dxa"/>
            <w:shd w:val="clear" w:color="auto" w:fill="auto"/>
            <w:noWrap/>
            <w:vAlign w:val="center"/>
            <w:hideMark/>
          </w:tcPr>
          <w:p w14:paraId="205BF5BD"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0.8</w:t>
            </w:r>
          </w:p>
        </w:tc>
      </w:tr>
      <w:tr w:rsidR="00F66071" w:rsidRPr="0030399D" w14:paraId="18C39878" w14:textId="77777777" w:rsidTr="007C129D">
        <w:trPr>
          <w:trHeight w:val="227"/>
          <w:jc w:val="center"/>
        </w:trPr>
        <w:tc>
          <w:tcPr>
            <w:tcW w:w="706" w:type="dxa"/>
            <w:shd w:val="clear" w:color="auto" w:fill="auto"/>
            <w:noWrap/>
            <w:vAlign w:val="center"/>
            <w:hideMark/>
          </w:tcPr>
          <w:p w14:paraId="28110E75" w14:textId="77777777" w:rsidR="00F66071" w:rsidRPr="0030399D" w:rsidRDefault="00F66071" w:rsidP="007C129D">
            <w:pPr>
              <w:pStyle w:val="IVEYText"/>
              <w:jc w:val="center"/>
              <w:rPr>
                <w:rFonts w:ascii="Arial" w:hAnsi="Arial" w:cs="Arial"/>
                <w:bCs/>
                <w:noProof w:val="0"/>
                <w:sz w:val="20"/>
                <w:szCs w:val="20"/>
                <w:lang w:val="en-CA"/>
              </w:rPr>
            </w:pPr>
            <w:r w:rsidRPr="0030399D">
              <w:rPr>
                <w:rFonts w:ascii="Arial" w:hAnsi="Arial" w:cs="Arial"/>
                <w:bCs/>
                <w:noProof w:val="0"/>
                <w:sz w:val="20"/>
                <w:szCs w:val="20"/>
                <w:lang w:val="en-CA"/>
              </w:rPr>
              <w:t>1990</w:t>
            </w:r>
          </w:p>
        </w:tc>
        <w:tc>
          <w:tcPr>
            <w:tcW w:w="661" w:type="dxa"/>
            <w:shd w:val="clear" w:color="auto" w:fill="auto"/>
            <w:noWrap/>
            <w:vAlign w:val="center"/>
            <w:hideMark/>
          </w:tcPr>
          <w:p w14:paraId="31645B6D"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253</w:t>
            </w:r>
          </w:p>
        </w:tc>
        <w:tc>
          <w:tcPr>
            <w:tcW w:w="662" w:type="dxa"/>
            <w:shd w:val="clear" w:color="auto" w:fill="auto"/>
            <w:noWrap/>
            <w:vAlign w:val="center"/>
            <w:hideMark/>
          </w:tcPr>
          <w:p w14:paraId="72142290"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1.2</w:t>
            </w:r>
          </w:p>
        </w:tc>
        <w:tc>
          <w:tcPr>
            <w:tcW w:w="661" w:type="dxa"/>
            <w:shd w:val="clear" w:color="auto" w:fill="auto"/>
            <w:noWrap/>
            <w:vAlign w:val="center"/>
            <w:hideMark/>
          </w:tcPr>
          <w:p w14:paraId="097ED079"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239</w:t>
            </w:r>
          </w:p>
        </w:tc>
        <w:tc>
          <w:tcPr>
            <w:tcW w:w="662" w:type="dxa"/>
            <w:shd w:val="clear" w:color="auto" w:fill="auto"/>
            <w:noWrap/>
            <w:vAlign w:val="center"/>
            <w:hideMark/>
          </w:tcPr>
          <w:p w14:paraId="611063A2"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1.2</w:t>
            </w:r>
          </w:p>
        </w:tc>
        <w:tc>
          <w:tcPr>
            <w:tcW w:w="661" w:type="dxa"/>
            <w:shd w:val="clear" w:color="auto" w:fill="auto"/>
            <w:noWrap/>
            <w:vAlign w:val="center"/>
            <w:hideMark/>
          </w:tcPr>
          <w:p w14:paraId="4CCB2819" w14:textId="77777777" w:rsidR="00F66071" w:rsidRPr="0030399D" w:rsidRDefault="00F66071" w:rsidP="007C129D">
            <w:pPr>
              <w:pStyle w:val="IVEYText"/>
              <w:jc w:val="right"/>
              <w:rPr>
                <w:rFonts w:ascii="Arial" w:hAnsi="Arial" w:cs="Arial"/>
                <w:bCs/>
                <w:noProof w:val="0"/>
                <w:sz w:val="20"/>
                <w:szCs w:val="20"/>
                <w:lang w:val="en-CA"/>
              </w:rPr>
            </w:pPr>
          </w:p>
        </w:tc>
        <w:tc>
          <w:tcPr>
            <w:tcW w:w="662" w:type="dxa"/>
            <w:shd w:val="clear" w:color="auto" w:fill="auto"/>
            <w:noWrap/>
            <w:vAlign w:val="center"/>
            <w:hideMark/>
          </w:tcPr>
          <w:p w14:paraId="28CE36A7" w14:textId="77777777" w:rsidR="00F66071" w:rsidRPr="0030399D" w:rsidRDefault="00F66071" w:rsidP="007C129D">
            <w:pPr>
              <w:pStyle w:val="IVEYText"/>
              <w:jc w:val="right"/>
              <w:rPr>
                <w:rFonts w:ascii="Arial" w:hAnsi="Arial" w:cs="Arial"/>
                <w:bCs/>
                <w:noProof w:val="0"/>
                <w:sz w:val="20"/>
                <w:szCs w:val="20"/>
                <w:lang w:val="en-CA"/>
              </w:rPr>
            </w:pPr>
          </w:p>
        </w:tc>
        <w:tc>
          <w:tcPr>
            <w:tcW w:w="661" w:type="dxa"/>
            <w:shd w:val="clear" w:color="auto" w:fill="auto"/>
            <w:noWrap/>
            <w:vAlign w:val="center"/>
            <w:hideMark/>
          </w:tcPr>
          <w:p w14:paraId="0A1369E8"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126</w:t>
            </w:r>
          </w:p>
        </w:tc>
        <w:tc>
          <w:tcPr>
            <w:tcW w:w="662" w:type="dxa"/>
            <w:shd w:val="clear" w:color="auto" w:fill="auto"/>
            <w:noWrap/>
            <w:vAlign w:val="center"/>
            <w:hideMark/>
          </w:tcPr>
          <w:p w14:paraId="25D29677"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0.6</w:t>
            </w:r>
          </w:p>
        </w:tc>
        <w:tc>
          <w:tcPr>
            <w:tcW w:w="661" w:type="dxa"/>
            <w:shd w:val="clear" w:color="auto" w:fill="auto"/>
            <w:noWrap/>
            <w:vAlign w:val="center"/>
            <w:hideMark/>
          </w:tcPr>
          <w:p w14:paraId="1AE31B04"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129</w:t>
            </w:r>
          </w:p>
        </w:tc>
        <w:tc>
          <w:tcPr>
            <w:tcW w:w="662" w:type="dxa"/>
            <w:shd w:val="clear" w:color="auto" w:fill="auto"/>
            <w:noWrap/>
            <w:vAlign w:val="center"/>
            <w:hideMark/>
          </w:tcPr>
          <w:p w14:paraId="15901C62"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0.7</w:t>
            </w:r>
          </w:p>
        </w:tc>
        <w:tc>
          <w:tcPr>
            <w:tcW w:w="776" w:type="dxa"/>
            <w:shd w:val="clear" w:color="auto" w:fill="auto"/>
            <w:noWrap/>
            <w:vAlign w:val="center"/>
            <w:hideMark/>
          </w:tcPr>
          <w:p w14:paraId="549D8A5B"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251</w:t>
            </w:r>
          </w:p>
        </w:tc>
        <w:tc>
          <w:tcPr>
            <w:tcW w:w="720" w:type="dxa"/>
            <w:shd w:val="clear" w:color="auto" w:fill="auto"/>
            <w:noWrap/>
            <w:vAlign w:val="center"/>
            <w:hideMark/>
          </w:tcPr>
          <w:p w14:paraId="3AD1AC16"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1.0</w:t>
            </w:r>
          </w:p>
        </w:tc>
      </w:tr>
      <w:tr w:rsidR="00F66071" w:rsidRPr="0030399D" w14:paraId="2A2F9A7A" w14:textId="77777777" w:rsidTr="007C129D">
        <w:trPr>
          <w:trHeight w:val="227"/>
          <w:jc w:val="center"/>
        </w:trPr>
        <w:tc>
          <w:tcPr>
            <w:tcW w:w="706" w:type="dxa"/>
            <w:shd w:val="clear" w:color="auto" w:fill="auto"/>
            <w:noWrap/>
            <w:vAlign w:val="center"/>
            <w:hideMark/>
          </w:tcPr>
          <w:p w14:paraId="22BCEA38" w14:textId="77777777" w:rsidR="00F66071" w:rsidRPr="0030399D" w:rsidRDefault="00F66071" w:rsidP="007C129D">
            <w:pPr>
              <w:pStyle w:val="IVEYText"/>
              <w:jc w:val="center"/>
              <w:rPr>
                <w:rFonts w:ascii="Arial" w:hAnsi="Arial" w:cs="Arial"/>
                <w:bCs/>
                <w:noProof w:val="0"/>
                <w:sz w:val="20"/>
                <w:szCs w:val="20"/>
                <w:lang w:val="en-CA"/>
              </w:rPr>
            </w:pPr>
            <w:r w:rsidRPr="0030399D">
              <w:rPr>
                <w:rFonts w:ascii="Arial" w:hAnsi="Arial" w:cs="Arial"/>
                <w:bCs/>
                <w:noProof w:val="0"/>
                <w:sz w:val="20"/>
                <w:szCs w:val="20"/>
                <w:lang w:val="en-CA"/>
              </w:rPr>
              <w:t>2000</w:t>
            </w:r>
          </w:p>
        </w:tc>
        <w:tc>
          <w:tcPr>
            <w:tcW w:w="661" w:type="dxa"/>
            <w:shd w:val="clear" w:color="auto" w:fill="auto"/>
            <w:noWrap/>
            <w:vAlign w:val="center"/>
            <w:hideMark/>
          </w:tcPr>
          <w:p w14:paraId="447229C7"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367</w:t>
            </w:r>
          </w:p>
        </w:tc>
        <w:tc>
          <w:tcPr>
            <w:tcW w:w="662" w:type="dxa"/>
            <w:shd w:val="clear" w:color="auto" w:fill="auto"/>
            <w:noWrap/>
            <w:vAlign w:val="center"/>
            <w:hideMark/>
          </w:tcPr>
          <w:p w14:paraId="6AB9A36A"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1.4</w:t>
            </w:r>
          </w:p>
        </w:tc>
        <w:tc>
          <w:tcPr>
            <w:tcW w:w="661" w:type="dxa"/>
            <w:shd w:val="clear" w:color="auto" w:fill="auto"/>
            <w:noWrap/>
            <w:vAlign w:val="center"/>
            <w:hideMark/>
          </w:tcPr>
          <w:p w14:paraId="6EBEF777"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352</w:t>
            </w:r>
          </w:p>
        </w:tc>
        <w:tc>
          <w:tcPr>
            <w:tcW w:w="662" w:type="dxa"/>
            <w:shd w:val="clear" w:color="auto" w:fill="auto"/>
            <w:noWrap/>
            <w:vAlign w:val="center"/>
            <w:hideMark/>
          </w:tcPr>
          <w:p w14:paraId="2F2887E4"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1.4</w:t>
            </w:r>
          </w:p>
        </w:tc>
        <w:tc>
          <w:tcPr>
            <w:tcW w:w="661" w:type="dxa"/>
            <w:shd w:val="clear" w:color="auto" w:fill="auto"/>
            <w:noWrap/>
            <w:vAlign w:val="center"/>
            <w:hideMark/>
          </w:tcPr>
          <w:p w14:paraId="40F212D0" w14:textId="77777777" w:rsidR="00F66071" w:rsidRPr="0030399D" w:rsidRDefault="00F66071" w:rsidP="007C129D">
            <w:pPr>
              <w:pStyle w:val="IVEYText"/>
              <w:jc w:val="right"/>
              <w:rPr>
                <w:rFonts w:ascii="Arial" w:hAnsi="Arial" w:cs="Arial"/>
                <w:bCs/>
                <w:noProof w:val="0"/>
                <w:sz w:val="20"/>
                <w:szCs w:val="20"/>
                <w:lang w:val="en-CA"/>
              </w:rPr>
            </w:pPr>
          </w:p>
        </w:tc>
        <w:tc>
          <w:tcPr>
            <w:tcW w:w="662" w:type="dxa"/>
            <w:shd w:val="clear" w:color="auto" w:fill="auto"/>
            <w:noWrap/>
            <w:vAlign w:val="center"/>
            <w:hideMark/>
          </w:tcPr>
          <w:p w14:paraId="21C89F5D" w14:textId="77777777" w:rsidR="00F66071" w:rsidRPr="0030399D" w:rsidRDefault="00F66071" w:rsidP="007C129D">
            <w:pPr>
              <w:pStyle w:val="IVEYText"/>
              <w:jc w:val="right"/>
              <w:rPr>
                <w:rFonts w:ascii="Arial" w:hAnsi="Arial" w:cs="Arial"/>
                <w:bCs/>
                <w:noProof w:val="0"/>
                <w:sz w:val="20"/>
                <w:szCs w:val="20"/>
                <w:lang w:val="en-CA"/>
              </w:rPr>
            </w:pPr>
          </w:p>
        </w:tc>
        <w:tc>
          <w:tcPr>
            <w:tcW w:w="661" w:type="dxa"/>
            <w:shd w:val="clear" w:color="auto" w:fill="auto"/>
            <w:noWrap/>
            <w:vAlign w:val="center"/>
            <w:hideMark/>
          </w:tcPr>
          <w:p w14:paraId="2896788C"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316</w:t>
            </w:r>
          </w:p>
        </w:tc>
        <w:tc>
          <w:tcPr>
            <w:tcW w:w="662" w:type="dxa"/>
            <w:shd w:val="clear" w:color="auto" w:fill="auto"/>
            <w:noWrap/>
            <w:vAlign w:val="center"/>
            <w:hideMark/>
          </w:tcPr>
          <w:p w14:paraId="2F9B4A75"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1.1</w:t>
            </w:r>
          </w:p>
        </w:tc>
        <w:tc>
          <w:tcPr>
            <w:tcW w:w="661" w:type="dxa"/>
            <w:shd w:val="clear" w:color="auto" w:fill="auto"/>
            <w:noWrap/>
            <w:vAlign w:val="center"/>
            <w:hideMark/>
          </w:tcPr>
          <w:p w14:paraId="73843BCC" w14:textId="77777777" w:rsidR="00F66071" w:rsidRPr="0030399D" w:rsidRDefault="00F66071" w:rsidP="007C129D">
            <w:pPr>
              <w:pStyle w:val="IVEYText"/>
              <w:jc w:val="right"/>
              <w:rPr>
                <w:rFonts w:ascii="Arial" w:hAnsi="Arial" w:cs="Arial"/>
                <w:bCs/>
                <w:noProof w:val="0"/>
                <w:sz w:val="20"/>
                <w:szCs w:val="20"/>
                <w:lang w:val="en-CA"/>
              </w:rPr>
            </w:pPr>
          </w:p>
        </w:tc>
        <w:tc>
          <w:tcPr>
            <w:tcW w:w="662" w:type="dxa"/>
            <w:shd w:val="clear" w:color="auto" w:fill="auto"/>
            <w:noWrap/>
            <w:vAlign w:val="center"/>
            <w:hideMark/>
          </w:tcPr>
          <w:p w14:paraId="32F70463" w14:textId="77777777" w:rsidR="00F66071" w:rsidRPr="0030399D" w:rsidRDefault="00F66071" w:rsidP="007C129D">
            <w:pPr>
              <w:pStyle w:val="IVEYText"/>
              <w:jc w:val="right"/>
              <w:rPr>
                <w:rFonts w:ascii="Arial" w:hAnsi="Arial" w:cs="Arial"/>
                <w:bCs/>
                <w:noProof w:val="0"/>
                <w:sz w:val="20"/>
                <w:szCs w:val="20"/>
                <w:lang w:val="en-CA"/>
              </w:rPr>
            </w:pPr>
          </w:p>
        </w:tc>
        <w:tc>
          <w:tcPr>
            <w:tcW w:w="776" w:type="dxa"/>
            <w:shd w:val="clear" w:color="auto" w:fill="auto"/>
            <w:noWrap/>
            <w:vAlign w:val="center"/>
            <w:hideMark/>
          </w:tcPr>
          <w:p w14:paraId="4970066F"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541</w:t>
            </w:r>
          </w:p>
        </w:tc>
        <w:tc>
          <w:tcPr>
            <w:tcW w:w="720" w:type="dxa"/>
            <w:shd w:val="clear" w:color="auto" w:fill="auto"/>
            <w:noWrap/>
            <w:vAlign w:val="center"/>
            <w:hideMark/>
          </w:tcPr>
          <w:p w14:paraId="69B39A34"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1.5</w:t>
            </w:r>
          </w:p>
        </w:tc>
      </w:tr>
      <w:tr w:rsidR="00F66071" w:rsidRPr="0030399D" w14:paraId="18E84EF4" w14:textId="77777777" w:rsidTr="007C129D">
        <w:trPr>
          <w:trHeight w:val="227"/>
          <w:jc w:val="center"/>
        </w:trPr>
        <w:tc>
          <w:tcPr>
            <w:tcW w:w="706" w:type="dxa"/>
            <w:shd w:val="clear" w:color="auto" w:fill="auto"/>
            <w:noWrap/>
            <w:vAlign w:val="center"/>
            <w:hideMark/>
          </w:tcPr>
          <w:p w14:paraId="7F460F23" w14:textId="77777777" w:rsidR="00F66071" w:rsidRPr="0030399D" w:rsidRDefault="00F66071" w:rsidP="007C129D">
            <w:pPr>
              <w:pStyle w:val="IVEYText"/>
              <w:jc w:val="center"/>
              <w:rPr>
                <w:rFonts w:ascii="Arial" w:hAnsi="Arial" w:cs="Arial"/>
                <w:bCs/>
                <w:noProof w:val="0"/>
                <w:sz w:val="20"/>
                <w:szCs w:val="20"/>
                <w:lang w:val="en-CA"/>
              </w:rPr>
            </w:pPr>
            <w:r w:rsidRPr="0030399D">
              <w:rPr>
                <w:rFonts w:ascii="Arial" w:hAnsi="Arial" w:cs="Arial"/>
                <w:bCs/>
                <w:noProof w:val="0"/>
                <w:sz w:val="20"/>
                <w:szCs w:val="20"/>
                <w:lang w:val="en-CA"/>
              </w:rPr>
              <w:t>2010</w:t>
            </w:r>
          </w:p>
        </w:tc>
        <w:tc>
          <w:tcPr>
            <w:tcW w:w="661" w:type="dxa"/>
            <w:shd w:val="clear" w:color="auto" w:fill="auto"/>
            <w:noWrap/>
            <w:vAlign w:val="center"/>
            <w:hideMark/>
          </w:tcPr>
          <w:p w14:paraId="3DBFA33B"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655</w:t>
            </w:r>
          </w:p>
        </w:tc>
        <w:tc>
          <w:tcPr>
            <w:tcW w:w="662" w:type="dxa"/>
            <w:shd w:val="clear" w:color="auto" w:fill="auto"/>
            <w:noWrap/>
            <w:vAlign w:val="center"/>
            <w:hideMark/>
          </w:tcPr>
          <w:p w14:paraId="7BE5EF76"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1.7</w:t>
            </w:r>
          </w:p>
        </w:tc>
        <w:tc>
          <w:tcPr>
            <w:tcW w:w="661" w:type="dxa"/>
            <w:shd w:val="clear" w:color="auto" w:fill="auto"/>
            <w:noWrap/>
            <w:vAlign w:val="center"/>
            <w:hideMark/>
          </w:tcPr>
          <w:p w14:paraId="3F208AB0"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656</w:t>
            </w:r>
          </w:p>
        </w:tc>
        <w:tc>
          <w:tcPr>
            <w:tcW w:w="662" w:type="dxa"/>
            <w:shd w:val="clear" w:color="auto" w:fill="auto"/>
            <w:noWrap/>
            <w:vAlign w:val="center"/>
            <w:hideMark/>
          </w:tcPr>
          <w:p w14:paraId="5E754F7D"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1.9</w:t>
            </w:r>
          </w:p>
        </w:tc>
        <w:tc>
          <w:tcPr>
            <w:tcW w:w="661" w:type="dxa"/>
            <w:shd w:val="clear" w:color="auto" w:fill="auto"/>
            <w:noWrap/>
            <w:vAlign w:val="center"/>
            <w:hideMark/>
          </w:tcPr>
          <w:p w14:paraId="5577482C"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326</w:t>
            </w:r>
          </w:p>
        </w:tc>
        <w:tc>
          <w:tcPr>
            <w:tcW w:w="662" w:type="dxa"/>
            <w:shd w:val="clear" w:color="auto" w:fill="auto"/>
            <w:noWrap/>
            <w:vAlign w:val="center"/>
            <w:hideMark/>
          </w:tcPr>
          <w:p w14:paraId="5C18B10D"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1.6</w:t>
            </w:r>
          </w:p>
        </w:tc>
        <w:tc>
          <w:tcPr>
            <w:tcW w:w="661" w:type="dxa"/>
            <w:shd w:val="clear" w:color="auto" w:fill="auto"/>
            <w:noWrap/>
            <w:vAlign w:val="center"/>
            <w:hideMark/>
          </w:tcPr>
          <w:p w14:paraId="3A4D1D3C"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471</w:t>
            </w:r>
          </w:p>
        </w:tc>
        <w:tc>
          <w:tcPr>
            <w:tcW w:w="662" w:type="dxa"/>
            <w:shd w:val="clear" w:color="auto" w:fill="auto"/>
            <w:noWrap/>
            <w:vAlign w:val="center"/>
            <w:hideMark/>
          </w:tcPr>
          <w:p w14:paraId="3B6754A6"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1.1</w:t>
            </w:r>
          </w:p>
        </w:tc>
        <w:tc>
          <w:tcPr>
            <w:tcW w:w="661" w:type="dxa"/>
            <w:shd w:val="clear" w:color="auto" w:fill="auto"/>
            <w:noWrap/>
            <w:vAlign w:val="center"/>
            <w:hideMark/>
          </w:tcPr>
          <w:p w14:paraId="06273395" w14:textId="77777777" w:rsidR="00F66071" w:rsidRPr="0030399D" w:rsidRDefault="00F66071" w:rsidP="007C129D">
            <w:pPr>
              <w:pStyle w:val="IVEYText"/>
              <w:jc w:val="right"/>
              <w:rPr>
                <w:rFonts w:ascii="Arial" w:hAnsi="Arial" w:cs="Arial"/>
                <w:bCs/>
                <w:noProof w:val="0"/>
                <w:sz w:val="20"/>
                <w:szCs w:val="20"/>
                <w:lang w:val="en-CA"/>
              </w:rPr>
            </w:pPr>
          </w:p>
        </w:tc>
        <w:tc>
          <w:tcPr>
            <w:tcW w:w="662" w:type="dxa"/>
            <w:shd w:val="clear" w:color="auto" w:fill="auto"/>
            <w:noWrap/>
            <w:vAlign w:val="center"/>
            <w:hideMark/>
          </w:tcPr>
          <w:p w14:paraId="28F2955A" w14:textId="77777777" w:rsidR="00F66071" w:rsidRPr="0030399D" w:rsidRDefault="00F66071" w:rsidP="007C129D">
            <w:pPr>
              <w:pStyle w:val="IVEYText"/>
              <w:jc w:val="right"/>
              <w:rPr>
                <w:rFonts w:ascii="Arial" w:hAnsi="Arial" w:cs="Arial"/>
                <w:bCs/>
                <w:noProof w:val="0"/>
                <w:sz w:val="20"/>
                <w:szCs w:val="20"/>
                <w:lang w:val="en-CA"/>
              </w:rPr>
            </w:pPr>
          </w:p>
        </w:tc>
        <w:tc>
          <w:tcPr>
            <w:tcW w:w="776" w:type="dxa"/>
            <w:shd w:val="clear" w:color="auto" w:fill="auto"/>
            <w:noWrap/>
            <w:vAlign w:val="center"/>
            <w:hideMark/>
          </w:tcPr>
          <w:p w14:paraId="7D585656"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984</w:t>
            </w:r>
          </w:p>
        </w:tc>
        <w:tc>
          <w:tcPr>
            <w:tcW w:w="720" w:type="dxa"/>
            <w:shd w:val="clear" w:color="auto" w:fill="auto"/>
            <w:noWrap/>
            <w:vAlign w:val="center"/>
            <w:hideMark/>
          </w:tcPr>
          <w:p w14:paraId="40F52DBC"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2.0</w:t>
            </w:r>
          </w:p>
        </w:tc>
      </w:tr>
      <w:tr w:rsidR="00F66071" w:rsidRPr="0030399D" w14:paraId="6C0DBE4C" w14:textId="77777777" w:rsidTr="007C129D">
        <w:trPr>
          <w:trHeight w:val="227"/>
          <w:jc w:val="center"/>
        </w:trPr>
        <w:tc>
          <w:tcPr>
            <w:tcW w:w="706" w:type="dxa"/>
            <w:shd w:val="clear" w:color="auto" w:fill="auto"/>
            <w:noWrap/>
            <w:vAlign w:val="center"/>
          </w:tcPr>
          <w:p w14:paraId="2329AF53" w14:textId="77777777" w:rsidR="00F66071" w:rsidRPr="0030399D" w:rsidRDefault="00F66071" w:rsidP="007C129D">
            <w:pPr>
              <w:pStyle w:val="IVEYText"/>
              <w:jc w:val="center"/>
              <w:rPr>
                <w:rFonts w:ascii="Arial" w:hAnsi="Arial" w:cs="Arial"/>
                <w:bCs/>
                <w:noProof w:val="0"/>
                <w:sz w:val="20"/>
                <w:szCs w:val="20"/>
                <w:lang w:val="en-CA"/>
              </w:rPr>
            </w:pPr>
            <w:r w:rsidRPr="0030399D">
              <w:rPr>
                <w:rFonts w:ascii="Arial" w:hAnsi="Arial" w:cs="Arial"/>
                <w:bCs/>
                <w:noProof w:val="0"/>
                <w:sz w:val="20"/>
                <w:szCs w:val="20"/>
                <w:lang w:val="en-CA"/>
              </w:rPr>
              <w:t>2017</w:t>
            </w:r>
          </w:p>
        </w:tc>
        <w:tc>
          <w:tcPr>
            <w:tcW w:w="661" w:type="dxa"/>
            <w:shd w:val="clear" w:color="auto" w:fill="auto"/>
            <w:noWrap/>
            <w:vAlign w:val="center"/>
          </w:tcPr>
          <w:p w14:paraId="1137BDF9"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766</w:t>
            </w:r>
          </w:p>
        </w:tc>
        <w:tc>
          <w:tcPr>
            <w:tcW w:w="662" w:type="dxa"/>
            <w:shd w:val="clear" w:color="auto" w:fill="auto"/>
            <w:noWrap/>
            <w:vAlign w:val="center"/>
          </w:tcPr>
          <w:p w14:paraId="227FC37D"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1.6</w:t>
            </w:r>
          </w:p>
        </w:tc>
        <w:tc>
          <w:tcPr>
            <w:tcW w:w="661" w:type="dxa"/>
            <w:shd w:val="clear" w:color="auto" w:fill="auto"/>
            <w:noWrap/>
            <w:vAlign w:val="center"/>
          </w:tcPr>
          <w:p w14:paraId="1A7B5792"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798</w:t>
            </w:r>
          </w:p>
        </w:tc>
        <w:tc>
          <w:tcPr>
            <w:tcW w:w="662" w:type="dxa"/>
            <w:shd w:val="clear" w:color="auto" w:fill="auto"/>
            <w:noWrap/>
            <w:vAlign w:val="center"/>
          </w:tcPr>
          <w:p w14:paraId="08DB489F"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2.2</w:t>
            </w:r>
          </w:p>
        </w:tc>
        <w:tc>
          <w:tcPr>
            <w:tcW w:w="661" w:type="dxa"/>
            <w:shd w:val="clear" w:color="auto" w:fill="auto"/>
            <w:noWrap/>
            <w:vAlign w:val="center"/>
          </w:tcPr>
          <w:p w14:paraId="5F7DA14D"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352</w:t>
            </w:r>
          </w:p>
        </w:tc>
        <w:tc>
          <w:tcPr>
            <w:tcW w:w="662" w:type="dxa"/>
            <w:shd w:val="clear" w:color="auto" w:fill="auto"/>
            <w:noWrap/>
            <w:vAlign w:val="center"/>
          </w:tcPr>
          <w:p w14:paraId="71A1E0E2"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1.4</w:t>
            </w:r>
          </w:p>
        </w:tc>
        <w:tc>
          <w:tcPr>
            <w:tcW w:w="661" w:type="dxa"/>
            <w:shd w:val="clear" w:color="auto" w:fill="auto"/>
            <w:noWrap/>
            <w:vAlign w:val="center"/>
          </w:tcPr>
          <w:p w14:paraId="6A3D3D1A"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479</w:t>
            </w:r>
          </w:p>
        </w:tc>
        <w:tc>
          <w:tcPr>
            <w:tcW w:w="662" w:type="dxa"/>
            <w:shd w:val="clear" w:color="auto" w:fill="auto"/>
            <w:noWrap/>
            <w:vAlign w:val="center"/>
          </w:tcPr>
          <w:p w14:paraId="4A5E0A27"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1.1</w:t>
            </w:r>
          </w:p>
        </w:tc>
        <w:tc>
          <w:tcPr>
            <w:tcW w:w="661" w:type="dxa"/>
            <w:shd w:val="clear" w:color="auto" w:fill="auto"/>
            <w:noWrap/>
            <w:vAlign w:val="center"/>
          </w:tcPr>
          <w:p w14:paraId="14B84FBD"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497</w:t>
            </w:r>
          </w:p>
        </w:tc>
        <w:tc>
          <w:tcPr>
            <w:tcW w:w="662" w:type="dxa"/>
            <w:shd w:val="clear" w:color="auto" w:fill="auto"/>
            <w:noWrap/>
            <w:vAlign w:val="center"/>
          </w:tcPr>
          <w:p w14:paraId="7DD7C9C4"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1.1</w:t>
            </w:r>
          </w:p>
        </w:tc>
        <w:tc>
          <w:tcPr>
            <w:tcW w:w="776" w:type="dxa"/>
            <w:shd w:val="clear" w:color="auto" w:fill="auto"/>
            <w:noWrap/>
            <w:vAlign w:val="center"/>
          </w:tcPr>
          <w:p w14:paraId="5A6468AD"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1,162</w:t>
            </w:r>
          </w:p>
        </w:tc>
        <w:tc>
          <w:tcPr>
            <w:tcW w:w="720" w:type="dxa"/>
            <w:shd w:val="clear" w:color="auto" w:fill="auto"/>
            <w:noWrap/>
            <w:vAlign w:val="center"/>
          </w:tcPr>
          <w:p w14:paraId="59109415" w14:textId="77777777" w:rsidR="00F66071" w:rsidRPr="0030399D" w:rsidRDefault="00F66071" w:rsidP="007C129D">
            <w:pPr>
              <w:pStyle w:val="IVEYText"/>
              <w:jc w:val="right"/>
              <w:rPr>
                <w:rFonts w:ascii="Arial" w:hAnsi="Arial" w:cs="Arial"/>
                <w:bCs/>
                <w:noProof w:val="0"/>
                <w:sz w:val="20"/>
                <w:szCs w:val="20"/>
                <w:lang w:val="en-CA"/>
              </w:rPr>
            </w:pPr>
            <w:r w:rsidRPr="0030399D">
              <w:rPr>
                <w:rFonts w:ascii="Arial" w:hAnsi="Arial" w:cs="Arial"/>
                <w:bCs/>
                <w:noProof w:val="0"/>
                <w:sz w:val="20"/>
                <w:szCs w:val="20"/>
                <w:lang w:val="en-CA"/>
              </w:rPr>
              <w:t>2.0</w:t>
            </w:r>
          </w:p>
        </w:tc>
      </w:tr>
    </w:tbl>
    <w:p w14:paraId="664A4D30" w14:textId="77777777" w:rsidR="00F66071" w:rsidRPr="0030399D" w:rsidRDefault="00F66071" w:rsidP="00F66071">
      <w:pPr>
        <w:pStyle w:val="ExhibitText"/>
        <w:rPr>
          <w:lang w:val="en-CA"/>
        </w:rPr>
      </w:pPr>
    </w:p>
    <w:p w14:paraId="4B8013B6" w14:textId="77777777" w:rsidR="00F66071" w:rsidRPr="0030399D" w:rsidRDefault="00F66071" w:rsidP="00F66071">
      <w:pPr>
        <w:pStyle w:val="Footnote"/>
        <w:rPr>
          <w:lang w:val="en-CA"/>
        </w:rPr>
      </w:pPr>
      <w:r w:rsidRPr="0030399D">
        <w:rPr>
          <w:lang w:val="en-CA"/>
        </w:rPr>
        <w:t>Source: Created by case authors based on data from OECD Data, “Pharmaceutical Spending,” OECD, accessed May 13, 2019, https://data.oecd.org/healthres/pharmaceutical-spending.htm#indicator-chart.</w:t>
      </w:r>
    </w:p>
    <w:p w14:paraId="0B810ED4" w14:textId="77777777" w:rsidR="00F66071" w:rsidRPr="0030399D" w:rsidRDefault="00F66071" w:rsidP="00F66071">
      <w:pPr>
        <w:pStyle w:val="IVEYappTitel"/>
        <w:rPr>
          <w:noProof w:val="0"/>
          <w:lang w:val="en-CA"/>
        </w:rPr>
      </w:pPr>
    </w:p>
    <w:p w14:paraId="71228918" w14:textId="77777777" w:rsidR="00F66071" w:rsidRPr="0030399D" w:rsidRDefault="00F66071" w:rsidP="00F66071">
      <w:pPr>
        <w:spacing w:after="200" w:line="276" w:lineRule="auto"/>
        <w:rPr>
          <w:rFonts w:ascii="Arial" w:eastAsiaTheme="minorHAnsi" w:hAnsi="Arial" w:cstheme="minorBidi"/>
          <w:b/>
          <w:caps/>
          <w:szCs w:val="14"/>
          <w:lang w:val="en-CA"/>
        </w:rPr>
      </w:pPr>
      <w:r w:rsidRPr="0030399D">
        <w:rPr>
          <w:lang w:val="en-CA"/>
        </w:rPr>
        <w:br w:type="page"/>
      </w:r>
    </w:p>
    <w:p w14:paraId="54F252C1" w14:textId="5D7B7233" w:rsidR="00F66071" w:rsidRPr="0030399D" w:rsidRDefault="00F66071" w:rsidP="00F66071">
      <w:pPr>
        <w:pStyle w:val="IVEYappTitel"/>
        <w:rPr>
          <w:noProof w:val="0"/>
          <w:lang w:val="en-CA"/>
        </w:rPr>
      </w:pPr>
      <w:r w:rsidRPr="0030399D">
        <w:rPr>
          <w:noProof w:val="0"/>
          <w:lang w:val="en-CA"/>
        </w:rPr>
        <w:lastRenderedPageBreak/>
        <w:t>Exhibit 6: percentage of elderly people (65+ and 80+) in the tot</w:t>
      </w:r>
      <w:r w:rsidR="007C129D">
        <w:rPr>
          <w:noProof w:val="0"/>
          <w:lang w:val="en-CA"/>
        </w:rPr>
        <w:t>al population, 2010 and 2050</w:t>
      </w:r>
    </w:p>
    <w:p w14:paraId="6F5DABD3" w14:textId="77777777" w:rsidR="00F66071" w:rsidRPr="0030399D" w:rsidRDefault="00F66071" w:rsidP="00F66071">
      <w:pPr>
        <w:pStyle w:val="IVEYappTitel"/>
        <w:rPr>
          <w:noProof w:val="0"/>
          <w:lang w:val="en-CA"/>
        </w:rPr>
      </w:pPr>
    </w:p>
    <w:tbl>
      <w:tblPr>
        <w:tblW w:w="47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229"/>
        <w:gridCol w:w="874"/>
        <w:gridCol w:w="875"/>
        <w:gridCol w:w="874"/>
        <w:gridCol w:w="875"/>
      </w:tblGrid>
      <w:tr w:rsidR="00F66071" w:rsidRPr="0030399D" w14:paraId="076AA9D3" w14:textId="77777777" w:rsidTr="007C129D">
        <w:trPr>
          <w:trHeight w:val="283"/>
          <w:jc w:val="center"/>
        </w:trPr>
        <w:tc>
          <w:tcPr>
            <w:tcW w:w="1229" w:type="dxa"/>
            <w:vMerge w:val="restart"/>
            <w:shd w:val="clear" w:color="auto" w:fill="auto"/>
            <w:noWrap/>
            <w:vAlign w:val="center"/>
          </w:tcPr>
          <w:p w14:paraId="7795A533"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Country</w:t>
            </w:r>
          </w:p>
        </w:tc>
        <w:tc>
          <w:tcPr>
            <w:tcW w:w="1749" w:type="dxa"/>
            <w:gridSpan w:val="2"/>
            <w:shd w:val="clear" w:color="auto" w:fill="auto"/>
            <w:vAlign w:val="center"/>
          </w:tcPr>
          <w:p w14:paraId="42EF96EE"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65+</w:t>
            </w:r>
          </w:p>
        </w:tc>
        <w:tc>
          <w:tcPr>
            <w:tcW w:w="1749" w:type="dxa"/>
            <w:gridSpan w:val="2"/>
            <w:shd w:val="clear" w:color="auto" w:fill="auto"/>
            <w:vAlign w:val="center"/>
          </w:tcPr>
          <w:p w14:paraId="7C7DF69C"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80+</w:t>
            </w:r>
          </w:p>
        </w:tc>
      </w:tr>
      <w:tr w:rsidR="00F66071" w:rsidRPr="0030399D" w14:paraId="41BB4688" w14:textId="77777777" w:rsidTr="007C129D">
        <w:trPr>
          <w:trHeight w:val="283"/>
          <w:jc w:val="center"/>
        </w:trPr>
        <w:tc>
          <w:tcPr>
            <w:tcW w:w="1229" w:type="dxa"/>
            <w:vMerge/>
            <w:shd w:val="clear" w:color="auto" w:fill="auto"/>
            <w:noWrap/>
          </w:tcPr>
          <w:p w14:paraId="2201AD8A" w14:textId="77777777" w:rsidR="00F66071" w:rsidRPr="0030399D" w:rsidRDefault="00F66071" w:rsidP="007C129D">
            <w:pPr>
              <w:pStyle w:val="IVEYText"/>
              <w:jc w:val="center"/>
              <w:rPr>
                <w:rFonts w:ascii="Arial" w:hAnsi="Arial" w:cs="Arial"/>
                <w:b/>
                <w:bCs/>
                <w:noProof w:val="0"/>
                <w:sz w:val="20"/>
                <w:szCs w:val="20"/>
                <w:lang w:val="en-CA"/>
              </w:rPr>
            </w:pPr>
          </w:p>
        </w:tc>
        <w:tc>
          <w:tcPr>
            <w:tcW w:w="874" w:type="dxa"/>
            <w:shd w:val="clear" w:color="auto" w:fill="auto"/>
            <w:vAlign w:val="center"/>
          </w:tcPr>
          <w:p w14:paraId="356B4F37"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2010 (%)</w:t>
            </w:r>
          </w:p>
        </w:tc>
        <w:tc>
          <w:tcPr>
            <w:tcW w:w="875" w:type="dxa"/>
            <w:shd w:val="clear" w:color="auto" w:fill="auto"/>
            <w:vAlign w:val="center"/>
          </w:tcPr>
          <w:p w14:paraId="70CAC0C7"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2050 (%)</w:t>
            </w:r>
          </w:p>
        </w:tc>
        <w:tc>
          <w:tcPr>
            <w:tcW w:w="874" w:type="dxa"/>
            <w:shd w:val="clear" w:color="auto" w:fill="auto"/>
            <w:vAlign w:val="center"/>
          </w:tcPr>
          <w:p w14:paraId="2D527D4B"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2010 (%)</w:t>
            </w:r>
          </w:p>
        </w:tc>
        <w:tc>
          <w:tcPr>
            <w:tcW w:w="875" w:type="dxa"/>
            <w:shd w:val="clear" w:color="auto" w:fill="auto"/>
            <w:vAlign w:val="center"/>
          </w:tcPr>
          <w:p w14:paraId="509D6868"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2050 (%)</w:t>
            </w:r>
          </w:p>
        </w:tc>
      </w:tr>
      <w:tr w:rsidR="00F66071" w:rsidRPr="0030399D" w14:paraId="694F6F8C" w14:textId="77777777" w:rsidTr="007C129D">
        <w:trPr>
          <w:trHeight w:val="227"/>
          <w:jc w:val="center"/>
        </w:trPr>
        <w:tc>
          <w:tcPr>
            <w:tcW w:w="1229" w:type="dxa"/>
            <w:shd w:val="clear" w:color="auto" w:fill="auto"/>
            <w:noWrap/>
            <w:vAlign w:val="center"/>
          </w:tcPr>
          <w:p w14:paraId="488DA6B3"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Brazil</w:t>
            </w:r>
          </w:p>
        </w:tc>
        <w:tc>
          <w:tcPr>
            <w:tcW w:w="874" w:type="dxa"/>
            <w:shd w:val="clear" w:color="auto" w:fill="auto"/>
            <w:vAlign w:val="center"/>
          </w:tcPr>
          <w:p w14:paraId="7D40EBF4"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7</w:t>
            </w:r>
          </w:p>
        </w:tc>
        <w:tc>
          <w:tcPr>
            <w:tcW w:w="875" w:type="dxa"/>
            <w:shd w:val="clear" w:color="auto" w:fill="auto"/>
            <w:vAlign w:val="center"/>
          </w:tcPr>
          <w:p w14:paraId="3EA8E20E"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23</w:t>
            </w:r>
          </w:p>
        </w:tc>
        <w:tc>
          <w:tcPr>
            <w:tcW w:w="874" w:type="dxa"/>
            <w:shd w:val="clear" w:color="auto" w:fill="auto"/>
            <w:vAlign w:val="center"/>
          </w:tcPr>
          <w:p w14:paraId="6FF51B02"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w:t>
            </w:r>
          </w:p>
        </w:tc>
        <w:tc>
          <w:tcPr>
            <w:tcW w:w="875" w:type="dxa"/>
            <w:shd w:val="clear" w:color="auto" w:fill="auto"/>
            <w:vAlign w:val="center"/>
          </w:tcPr>
          <w:p w14:paraId="291A1975"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w:t>
            </w:r>
          </w:p>
        </w:tc>
      </w:tr>
      <w:tr w:rsidR="00F66071" w:rsidRPr="0030399D" w14:paraId="25D71FC7" w14:textId="77777777" w:rsidTr="007C129D">
        <w:trPr>
          <w:trHeight w:val="227"/>
          <w:jc w:val="center"/>
        </w:trPr>
        <w:tc>
          <w:tcPr>
            <w:tcW w:w="1229" w:type="dxa"/>
            <w:shd w:val="clear" w:color="auto" w:fill="auto"/>
            <w:noWrap/>
            <w:vAlign w:val="center"/>
          </w:tcPr>
          <w:p w14:paraId="27774A18"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Germany</w:t>
            </w:r>
          </w:p>
        </w:tc>
        <w:tc>
          <w:tcPr>
            <w:tcW w:w="874" w:type="dxa"/>
            <w:shd w:val="clear" w:color="auto" w:fill="auto"/>
            <w:vAlign w:val="center"/>
          </w:tcPr>
          <w:p w14:paraId="26623457"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21</w:t>
            </w:r>
          </w:p>
        </w:tc>
        <w:tc>
          <w:tcPr>
            <w:tcW w:w="875" w:type="dxa"/>
            <w:shd w:val="clear" w:color="auto" w:fill="auto"/>
            <w:vAlign w:val="center"/>
          </w:tcPr>
          <w:p w14:paraId="207EBB3C"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33</w:t>
            </w:r>
          </w:p>
        </w:tc>
        <w:tc>
          <w:tcPr>
            <w:tcW w:w="874" w:type="dxa"/>
            <w:shd w:val="clear" w:color="auto" w:fill="auto"/>
            <w:vAlign w:val="center"/>
          </w:tcPr>
          <w:p w14:paraId="38E1A72B"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5</w:t>
            </w:r>
          </w:p>
        </w:tc>
        <w:tc>
          <w:tcPr>
            <w:tcW w:w="875" w:type="dxa"/>
            <w:shd w:val="clear" w:color="auto" w:fill="auto"/>
            <w:vAlign w:val="center"/>
          </w:tcPr>
          <w:p w14:paraId="43D6E334"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15</w:t>
            </w:r>
          </w:p>
        </w:tc>
      </w:tr>
      <w:tr w:rsidR="00F66071" w:rsidRPr="0030399D" w14:paraId="6373E980" w14:textId="77777777" w:rsidTr="007C129D">
        <w:trPr>
          <w:trHeight w:val="227"/>
          <w:jc w:val="center"/>
        </w:trPr>
        <w:tc>
          <w:tcPr>
            <w:tcW w:w="1229" w:type="dxa"/>
            <w:shd w:val="clear" w:color="auto" w:fill="auto"/>
            <w:noWrap/>
            <w:vAlign w:val="center"/>
          </w:tcPr>
          <w:p w14:paraId="48EADF9F"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India</w:t>
            </w:r>
          </w:p>
        </w:tc>
        <w:tc>
          <w:tcPr>
            <w:tcW w:w="874" w:type="dxa"/>
            <w:shd w:val="clear" w:color="auto" w:fill="auto"/>
            <w:vAlign w:val="center"/>
          </w:tcPr>
          <w:p w14:paraId="7591B7CA"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5</w:t>
            </w:r>
          </w:p>
        </w:tc>
        <w:tc>
          <w:tcPr>
            <w:tcW w:w="875" w:type="dxa"/>
            <w:shd w:val="clear" w:color="auto" w:fill="auto"/>
            <w:vAlign w:val="center"/>
          </w:tcPr>
          <w:p w14:paraId="7244C933"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13</w:t>
            </w:r>
          </w:p>
        </w:tc>
        <w:tc>
          <w:tcPr>
            <w:tcW w:w="874" w:type="dxa"/>
            <w:shd w:val="clear" w:color="auto" w:fill="auto"/>
            <w:vAlign w:val="center"/>
          </w:tcPr>
          <w:p w14:paraId="53E79D71"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w:t>
            </w:r>
          </w:p>
        </w:tc>
        <w:tc>
          <w:tcPr>
            <w:tcW w:w="875" w:type="dxa"/>
            <w:shd w:val="clear" w:color="auto" w:fill="auto"/>
            <w:vAlign w:val="center"/>
          </w:tcPr>
          <w:p w14:paraId="778FD1E3"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w:t>
            </w:r>
          </w:p>
        </w:tc>
      </w:tr>
      <w:tr w:rsidR="00F66071" w:rsidRPr="0030399D" w14:paraId="17E6E755" w14:textId="77777777" w:rsidTr="007C129D">
        <w:trPr>
          <w:trHeight w:val="227"/>
          <w:jc w:val="center"/>
        </w:trPr>
        <w:tc>
          <w:tcPr>
            <w:tcW w:w="1229" w:type="dxa"/>
            <w:shd w:val="clear" w:color="auto" w:fill="auto"/>
            <w:noWrap/>
            <w:vAlign w:val="center"/>
          </w:tcPr>
          <w:p w14:paraId="70D1AD09"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Japan</w:t>
            </w:r>
          </w:p>
        </w:tc>
        <w:tc>
          <w:tcPr>
            <w:tcW w:w="874" w:type="dxa"/>
            <w:shd w:val="clear" w:color="auto" w:fill="auto"/>
            <w:vAlign w:val="center"/>
          </w:tcPr>
          <w:p w14:paraId="36E834CC"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23</w:t>
            </w:r>
          </w:p>
        </w:tc>
        <w:tc>
          <w:tcPr>
            <w:tcW w:w="875" w:type="dxa"/>
            <w:shd w:val="clear" w:color="auto" w:fill="auto"/>
            <w:vAlign w:val="center"/>
          </w:tcPr>
          <w:p w14:paraId="053E39C6"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39</w:t>
            </w:r>
          </w:p>
        </w:tc>
        <w:tc>
          <w:tcPr>
            <w:tcW w:w="874" w:type="dxa"/>
            <w:shd w:val="clear" w:color="auto" w:fill="auto"/>
            <w:vAlign w:val="center"/>
          </w:tcPr>
          <w:p w14:paraId="3F3B153B"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w:t>
            </w:r>
          </w:p>
        </w:tc>
        <w:tc>
          <w:tcPr>
            <w:tcW w:w="875" w:type="dxa"/>
            <w:shd w:val="clear" w:color="auto" w:fill="auto"/>
            <w:vAlign w:val="center"/>
          </w:tcPr>
          <w:p w14:paraId="58AA4A08"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16</w:t>
            </w:r>
          </w:p>
        </w:tc>
      </w:tr>
      <w:tr w:rsidR="00F66071" w:rsidRPr="0030399D" w14:paraId="4790399B" w14:textId="77777777" w:rsidTr="007C129D">
        <w:trPr>
          <w:trHeight w:val="227"/>
          <w:jc w:val="center"/>
        </w:trPr>
        <w:tc>
          <w:tcPr>
            <w:tcW w:w="1229" w:type="dxa"/>
            <w:shd w:val="clear" w:color="auto" w:fill="auto"/>
            <w:noWrap/>
            <w:vAlign w:val="center"/>
          </w:tcPr>
          <w:p w14:paraId="104553DD"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Poland</w:t>
            </w:r>
          </w:p>
        </w:tc>
        <w:tc>
          <w:tcPr>
            <w:tcW w:w="874" w:type="dxa"/>
            <w:shd w:val="clear" w:color="auto" w:fill="auto"/>
            <w:vAlign w:val="center"/>
          </w:tcPr>
          <w:p w14:paraId="4EAF10AA"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13</w:t>
            </w:r>
          </w:p>
        </w:tc>
        <w:tc>
          <w:tcPr>
            <w:tcW w:w="875" w:type="dxa"/>
            <w:shd w:val="clear" w:color="auto" w:fill="auto"/>
            <w:vAlign w:val="center"/>
          </w:tcPr>
          <w:p w14:paraId="2D1F1942"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30</w:t>
            </w:r>
          </w:p>
        </w:tc>
        <w:tc>
          <w:tcPr>
            <w:tcW w:w="874" w:type="dxa"/>
            <w:shd w:val="clear" w:color="auto" w:fill="auto"/>
            <w:vAlign w:val="center"/>
          </w:tcPr>
          <w:p w14:paraId="1D18C81A"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w:t>
            </w:r>
          </w:p>
        </w:tc>
        <w:tc>
          <w:tcPr>
            <w:tcW w:w="875" w:type="dxa"/>
            <w:shd w:val="clear" w:color="auto" w:fill="auto"/>
            <w:vAlign w:val="center"/>
          </w:tcPr>
          <w:p w14:paraId="5AC16017"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10</w:t>
            </w:r>
          </w:p>
        </w:tc>
      </w:tr>
      <w:tr w:rsidR="00F66071" w:rsidRPr="0030399D" w14:paraId="5AF64FE4" w14:textId="77777777" w:rsidTr="007C129D">
        <w:trPr>
          <w:trHeight w:val="227"/>
          <w:jc w:val="center"/>
        </w:trPr>
        <w:tc>
          <w:tcPr>
            <w:tcW w:w="1229" w:type="dxa"/>
            <w:shd w:val="clear" w:color="auto" w:fill="auto"/>
            <w:noWrap/>
            <w:vAlign w:val="center"/>
          </w:tcPr>
          <w:p w14:paraId="02FED4B1"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Russia</w:t>
            </w:r>
          </w:p>
        </w:tc>
        <w:tc>
          <w:tcPr>
            <w:tcW w:w="874" w:type="dxa"/>
            <w:shd w:val="clear" w:color="auto" w:fill="auto"/>
            <w:vAlign w:val="center"/>
          </w:tcPr>
          <w:p w14:paraId="05323490"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13</w:t>
            </w:r>
          </w:p>
        </w:tc>
        <w:tc>
          <w:tcPr>
            <w:tcW w:w="875" w:type="dxa"/>
            <w:shd w:val="clear" w:color="auto" w:fill="auto"/>
            <w:vAlign w:val="center"/>
          </w:tcPr>
          <w:p w14:paraId="72173CDF"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21</w:t>
            </w:r>
          </w:p>
        </w:tc>
        <w:tc>
          <w:tcPr>
            <w:tcW w:w="874" w:type="dxa"/>
            <w:shd w:val="clear" w:color="auto" w:fill="auto"/>
            <w:vAlign w:val="center"/>
          </w:tcPr>
          <w:p w14:paraId="00872F91"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w:t>
            </w:r>
          </w:p>
        </w:tc>
        <w:tc>
          <w:tcPr>
            <w:tcW w:w="875" w:type="dxa"/>
            <w:shd w:val="clear" w:color="auto" w:fill="auto"/>
            <w:vAlign w:val="center"/>
          </w:tcPr>
          <w:p w14:paraId="5D387BE8"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w:t>
            </w:r>
          </w:p>
        </w:tc>
      </w:tr>
      <w:tr w:rsidR="00F66071" w:rsidRPr="0030399D" w14:paraId="00C5628C" w14:textId="77777777" w:rsidTr="007C129D">
        <w:trPr>
          <w:trHeight w:val="227"/>
          <w:jc w:val="center"/>
        </w:trPr>
        <w:tc>
          <w:tcPr>
            <w:tcW w:w="1229" w:type="dxa"/>
            <w:shd w:val="clear" w:color="auto" w:fill="auto"/>
            <w:noWrap/>
            <w:vAlign w:val="center"/>
          </w:tcPr>
          <w:p w14:paraId="3663D69D"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Sweden</w:t>
            </w:r>
          </w:p>
        </w:tc>
        <w:tc>
          <w:tcPr>
            <w:tcW w:w="874" w:type="dxa"/>
            <w:shd w:val="clear" w:color="auto" w:fill="auto"/>
            <w:vAlign w:val="center"/>
          </w:tcPr>
          <w:p w14:paraId="2F2D1762"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18</w:t>
            </w:r>
          </w:p>
        </w:tc>
        <w:tc>
          <w:tcPr>
            <w:tcW w:w="875" w:type="dxa"/>
            <w:shd w:val="clear" w:color="auto" w:fill="auto"/>
            <w:vAlign w:val="center"/>
          </w:tcPr>
          <w:p w14:paraId="6FE6D5FA"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24</w:t>
            </w:r>
          </w:p>
        </w:tc>
        <w:tc>
          <w:tcPr>
            <w:tcW w:w="874" w:type="dxa"/>
            <w:shd w:val="clear" w:color="auto" w:fill="auto"/>
            <w:vAlign w:val="center"/>
          </w:tcPr>
          <w:p w14:paraId="05ABCDB0"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5</w:t>
            </w:r>
          </w:p>
        </w:tc>
        <w:tc>
          <w:tcPr>
            <w:tcW w:w="875" w:type="dxa"/>
            <w:shd w:val="clear" w:color="auto" w:fill="auto"/>
            <w:vAlign w:val="center"/>
          </w:tcPr>
          <w:p w14:paraId="2AFE81C6"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9</w:t>
            </w:r>
          </w:p>
        </w:tc>
      </w:tr>
      <w:tr w:rsidR="00F66071" w:rsidRPr="0030399D" w14:paraId="6BD9C917" w14:textId="77777777" w:rsidTr="007C129D">
        <w:trPr>
          <w:trHeight w:val="227"/>
          <w:jc w:val="center"/>
        </w:trPr>
        <w:tc>
          <w:tcPr>
            <w:tcW w:w="1229" w:type="dxa"/>
            <w:shd w:val="clear" w:color="auto" w:fill="auto"/>
            <w:noWrap/>
            <w:vAlign w:val="center"/>
          </w:tcPr>
          <w:p w14:paraId="2F6251A1"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UK</w:t>
            </w:r>
          </w:p>
        </w:tc>
        <w:tc>
          <w:tcPr>
            <w:tcW w:w="874" w:type="dxa"/>
            <w:shd w:val="clear" w:color="auto" w:fill="auto"/>
            <w:vAlign w:val="center"/>
          </w:tcPr>
          <w:p w14:paraId="69E24CE0"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16</w:t>
            </w:r>
          </w:p>
        </w:tc>
        <w:tc>
          <w:tcPr>
            <w:tcW w:w="875" w:type="dxa"/>
            <w:shd w:val="clear" w:color="auto" w:fill="auto"/>
            <w:vAlign w:val="center"/>
          </w:tcPr>
          <w:p w14:paraId="29AC2C58"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24</w:t>
            </w:r>
          </w:p>
        </w:tc>
        <w:tc>
          <w:tcPr>
            <w:tcW w:w="874" w:type="dxa"/>
            <w:shd w:val="clear" w:color="auto" w:fill="auto"/>
            <w:vAlign w:val="center"/>
          </w:tcPr>
          <w:p w14:paraId="4D2DEA9C"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4</w:t>
            </w:r>
          </w:p>
        </w:tc>
        <w:tc>
          <w:tcPr>
            <w:tcW w:w="875" w:type="dxa"/>
            <w:shd w:val="clear" w:color="auto" w:fill="auto"/>
            <w:vAlign w:val="center"/>
          </w:tcPr>
          <w:p w14:paraId="758E36D0"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10</w:t>
            </w:r>
          </w:p>
        </w:tc>
      </w:tr>
      <w:tr w:rsidR="00F66071" w:rsidRPr="0030399D" w14:paraId="6E8D982D" w14:textId="77777777" w:rsidTr="007C129D">
        <w:trPr>
          <w:trHeight w:val="227"/>
          <w:jc w:val="center"/>
        </w:trPr>
        <w:tc>
          <w:tcPr>
            <w:tcW w:w="1229" w:type="dxa"/>
            <w:shd w:val="clear" w:color="auto" w:fill="auto"/>
            <w:noWrap/>
            <w:vAlign w:val="center"/>
          </w:tcPr>
          <w:p w14:paraId="1D045731"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US</w:t>
            </w:r>
          </w:p>
        </w:tc>
        <w:tc>
          <w:tcPr>
            <w:tcW w:w="874" w:type="dxa"/>
            <w:shd w:val="clear" w:color="auto" w:fill="auto"/>
            <w:vAlign w:val="center"/>
          </w:tcPr>
          <w:p w14:paraId="4A91B290"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13</w:t>
            </w:r>
          </w:p>
        </w:tc>
        <w:tc>
          <w:tcPr>
            <w:tcW w:w="875" w:type="dxa"/>
            <w:shd w:val="clear" w:color="auto" w:fill="auto"/>
            <w:vAlign w:val="center"/>
          </w:tcPr>
          <w:p w14:paraId="527C2E41"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21</w:t>
            </w:r>
          </w:p>
        </w:tc>
        <w:tc>
          <w:tcPr>
            <w:tcW w:w="874" w:type="dxa"/>
            <w:shd w:val="clear" w:color="auto" w:fill="auto"/>
            <w:vAlign w:val="center"/>
          </w:tcPr>
          <w:p w14:paraId="01075BB1"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4</w:t>
            </w:r>
          </w:p>
        </w:tc>
        <w:tc>
          <w:tcPr>
            <w:tcW w:w="875" w:type="dxa"/>
            <w:shd w:val="clear" w:color="auto" w:fill="auto"/>
            <w:vAlign w:val="center"/>
          </w:tcPr>
          <w:p w14:paraId="1255543E"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8</w:t>
            </w:r>
          </w:p>
        </w:tc>
      </w:tr>
    </w:tbl>
    <w:p w14:paraId="4913F0E5" w14:textId="77777777" w:rsidR="00F66071" w:rsidRPr="0030399D" w:rsidRDefault="00F66071" w:rsidP="00F66071">
      <w:pPr>
        <w:pStyle w:val="ExhibitText"/>
        <w:rPr>
          <w:lang w:val="en-CA"/>
        </w:rPr>
      </w:pPr>
    </w:p>
    <w:p w14:paraId="1D0D4AB3" w14:textId="77777777" w:rsidR="00F66071" w:rsidRPr="0030399D" w:rsidRDefault="00F66071" w:rsidP="00F66071">
      <w:pPr>
        <w:pStyle w:val="Footnote"/>
        <w:rPr>
          <w:i/>
          <w:lang w:val="en-CA"/>
        </w:rPr>
      </w:pPr>
      <w:r w:rsidRPr="0030399D">
        <w:rPr>
          <w:lang w:val="en-CA"/>
        </w:rPr>
        <w:t>Source: Created by case authors based on data from OECD Data, “Elderly Population,” OECD, accessed May 13, 2019, https://data.oecd.org/pop/elderly-population.htm</w:t>
      </w:r>
      <w:r w:rsidRPr="0030399D">
        <w:rPr>
          <w:i/>
          <w:lang w:val="en-CA"/>
        </w:rPr>
        <w:t>.</w:t>
      </w:r>
    </w:p>
    <w:p w14:paraId="21F76FC6" w14:textId="77777777" w:rsidR="00F66071" w:rsidRPr="0030399D" w:rsidRDefault="00F66071" w:rsidP="00F66071">
      <w:pPr>
        <w:pStyle w:val="ExhibitText"/>
        <w:rPr>
          <w:lang w:val="en-CA"/>
        </w:rPr>
      </w:pPr>
    </w:p>
    <w:p w14:paraId="2C87C1FE" w14:textId="77777777" w:rsidR="00F66071" w:rsidRPr="0030399D" w:rsidRDefault="00F66071" w:rsidP="00F66071">
      <w:pPr>
        <w:pStyle w:val="ExhibitText"/>
        <w:rPr>
          <w:lang w:val="en-CA"/>
        </w:rPr>
      </w:pPr>
    </w:p>
    <w:p w14:paraId="6F29F68D" w14:textId="77777777" w:rsidR="00F66071" w:rsidRPr="0030399D" w:rsidRDefault="00F66071" w:rsidP="00F66071">
      <w:pPr>
        <w:pStyle w:val="IVEYappTitel"/>
        <w:rPr>
          <w:noProof w:val="0"/>
          <w:lang w:val="en-CA"/>
        </w:rPr>
      </w:pPr>
      <w:r w:rsidRPr="0030399D">
        <w:rPr>
          <w:noProof w:val="0"/>
          <w:lang w:val="en-CA"/>
        </w:rPr>
        <w:t xml:space="preserve">exhibit 7: Number of New Molecular Entities (NMEs) and </w:t>
      </w:r>
      <w:r w:rsidRPr="0030399D">
        <w:rPr>
          <w:noProof w:val="0"/>
          <w:lang w:val="en-CA"/>
        </w:rPr>
        <w:br/>
        <w:t>Biologics approved by the US FDA, 2008–2017 [count]</w:t>
      </w:r>
    </w:p>
    <w:p w14:paraId="37E471CA" w14:textId="77777777" w:rsidR="00F66071" w:rsidRPr="0030399D" w:rsidRDefault="00F66071" w:rsidP="00F66071">
      <w:pPr>
        <w:pStyle w:val="IVEYappTitel"/>
        <w:rPr>
          <w:noProof w:val="0"/>
          <w:lang w:val="en-CA"/>
        </w:rPr>
      </w:pPr>
    </w:p>
    <w:tbl>
      <w:tblPr>
        <w:tblW w:w="76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1418"/>
        <w:gridCol w:w="624"/>
        <w:gridCol w:w="624"/>
        <w:gridCol w:w="624"/>
        <w:gridCol w:w="624"/>
        <w:gridCol w:w="624"/>
        <w:gridCol w:w="624"/>
        <w:gridCol w:w="624"/>
        <w:gridCol w:w="624"/>
        <w:gridCol w:w="624"/>
        <w:gridCol w:w="624"/>
      </w:tblGrid>
      <w:tr w:rsidR="00F66071" w:rsidRPr="0030399D" w14:paraId="079D8CCF" w14:textId="77777777" w:rsidTr="007C129D">
        <w:trPr>
          <w:trHeight w:val="227"/>
          <w:jc w:val="center"/>
        </w:trPr>
        <w:tc>
          <w:tcPr>
            <w:tcW w:w="1418" w:type="dxa"/>
            <w:shd w:val="clear" w:color="auto" w:fill="auto"/>
            <w:noWrap/>
            <w:vAlign w:val="center"/>
            <w:hideMark/>
          </w:tcPr>
          <w:p w14:paraId="51EE21E2" w14:textId="77777777" w:rsidR="00F66071" w:rsidRPr="0030399D" w:rsidRDefault="00F66071" w:rsidP="007C129D">
            <w:pPr>
              <w:pStyle w:val="IVEYText"/>
              <w:rPr>
                <w:rFonts w:ascii="Arial" w:hAnsi="Arial" w:cs="Arial"/>
                <w:b/>
                <w:noProof w:val="0"/>
                <w:sz w:val="20"/>
                <w:szCs w:val="20"/>
                <w:lang w:val="en-CA"/>
              </w:rPr>
            </w:pPr>
            <w:r w:rsidRPr="0030399D">
              <w:rPr>
                <w:rFonts w:ascii="Arial" w:hAnsi="Arial" w:cs="Arial"/>
                <w:b/>
                <w:noProof w:val="0"/>
                <w:sz w:val="20"/>
                <w:szCs w:val="20"/>
                <w:lang w:val="en-CA"/>
              </w:rPr>
              <w:t>Year</w:t>
            </w:r>
          </w:p>
        </w:tc>
        <w:tc>
          <w:tcPr>
            <w:tcW w:w="624" w:type="dxa"/>
            <w:shd w:val="clear" w:color="auto" w:fill="auto"/>
            <w:vAlign w:val="center"/>
          </w:tcPr>
          <w:p w14:paraId="3796AA3A"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2008</w:t>
            </w:r>
          </w:p>
        </w:tc>
        <w:tc>
          <w:tcPr>
            <w:tcW w:w="624" w:type="dxa"/>
            <w:shd w:val="clear" w:color="auto" w:fill="auto"/>
            <w:vAlign w:val="center"/>
          </w:tcPr>
          <w:p w14:paraId="2A0D45B8"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2009</w:t>
            </w:r>
          </w:p>
        </w:tc>
        <w:tc>
          <w:tcPr>
            <w:tcW w:w="624" w:type="dxa"/>
            <w:shd w:val="clear" w:color="auto" w:fill="auto"/>
            <w:vAlign w:val="center"/>
          </w:tcPr>
          <w:p w14:paraId="5A3864BB"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2010</w:t>
            </w:r>
          </w:p>
        </w:tc>
        <w:tc>
          <w:tcPr>
            <w:tcW w:w="624" w:type="dxa"/>
            <w:shd w:val="clear" w:color="auto" w:fill="auto"/>
            <w:vAlign w:val="center"/>
          </w:tcPr>
          <w:p w14:paraId="407D3F50"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2011</w:t>
            </w:r>
          </w:p>
        </w:tc>
        <w:tc>
          <w:tcPr>
            <w:tcW w:w="624" w:type="dxa"/>
            <w:shd w:val="clear" w:color="auto" w:fill="auto"/>
            <w:vAlign w:val="center"/>
          </w:tcPr>
          <w:p w14:paraId="1FF2B0B0"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2012</w:t>
            </w:r>
          </w:p>
        </w:tc>
        <w:tc>
          <w:tcPr>
            <w:tcW w:w="624" w:type="dxa"/>
            <w:shd w:val="clear" w:color="auto" w:fill="auto"/>
            <w:vAlign w:val="center"/>
          </w:tcPr>
          <w:p w14:paraId="3C71147F"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2013</w:t>
            </w:r>
          </w:p>
        </w:tc>
        <w:tc>
          <w:tcPr>
            <w:tcW w:w="624" w:type="dxa"/>
            <w:shd w:val="clear" w:color="auto" w:fill="auto"/>
            <w:vAlign w:val="center"/>
          </w:tcPr>
          <w:p w14:paraId="592C2DB1"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2014</w:t>
            </w:r>
          </w:p>
        </w:tc>
        <w:tc>
          <w:tcPr>
            <w:tcW w:w="624" w:type="dxa"/>
            <w:shd w:val="clear" w:color="auto" w:fill="auto"/>
            <w:vAlign w:val="center"/>
          </w:tcPr>
          <w:p w14:paraId="0EE1CC2D"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2015</w:t>
            </w:r>
          </w:p>
        </w:tc>
        <w:tc>
          <w:tcPr>
            <w:tcW w:w="624" w:type="dxa"/>
            <w:shd w:val="clear" w:color="auto" w:fill="auto"/>
            <w:vAlign w:val="center"/>
          </w:tcPr>
          <w:p w14:paraId="07628AE8"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2016</w:t>
            </w:r>
          </w:p>
        </w:tc>
        <w:tc>
          <w:tcPr>
            <w:tcW w:w="624" w:type="dxa"/>
            <w:shd w:val="clear" w:color="auto" w:fill="auto"/>
          </w:tcPr>
          <w:p w14:paraId="6A778E5E"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2017</w:t>
            </w:r>
          </w:p>
        </w:tc>
      </w:tr>
      <w:tr w:rsidR="00F66071" w:rsidRPr="0030399D" w14:paraId="350BC50D" w14:textId="77777777" w:rsidTr="007C129D">
        <w:trPr>
          <w:trHeight w:val="227"/>
          <w:jc w:val="center"/>
        </w:trPr>
        <w:tc>
          <w:tcPr>
            <w:tcW w:w="1418" w:type="dxa"/>
            <w:shd w:val="clear" w:color="auto" w:fill="auto"/>
            <w:noWrap/>
            <w:vAlign w:val="center"/>
          </w:tcPr>
          <w:p w14:paraId="422FA0D0" w14:textId="77777777" w:rsidR="00F66071" w:rsidRPr="0030399D" w:rsidRDefault="00F66071" w:rsidP="007C129D">
            <w:pPr>
              <w:pStyle w:val="IVEYText"/>
              <w:jc w:val="left"/>
              <w:rPr>
                <w:rFonts w:ascii="Arial" w:hAnsi="Arial" w:cs="Arial"/>
                <w:b/>
                <w:noProof w:val="0"/>
                <w:sz w:val="20"/>
                <w:szCs w:val="20"/>
                <w:lang w:val="en-CA"/>
              </w:rPr>
            </w:pPr>
            <w:r w:rsidRPr="0030399D">
              <w:rPr>
                <w:rFonts w:ascii="Arial" w:hAnsi="Arial" w:cs="Arial"/>
                <w:b/>
                <w:noProof w:val="0"/>
                <w:sz w:val="20"/>
                <w:szCs w:val="20"/>
                <w:lang w:val="en-CA"/>
              </w:rPr>
              <w:t>FDA Approval</w:t>
            </w:r>
          </w:p>
        </w:tc>
        <w:tc>
          <w:tcPr>
            <w:tcW w:w="624" w:type="dxa"/>
            <w:shd w:val="clear" w:color="auto" w:fill="auto"/>
            <w:vAlign w:val="center"/>
          </w:tcPr>
          <w:p w14:paraId="38392D92"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24</w:t>
            </w:r>
          </w:p>
        </w:tc>
        <w:tc>
          <w:tcPr>
            <w:tcW w:w="624" w:type="dxa"/>
            <w:shd w:val="clear" w:color="auto" w:fill="auto"/>
            <w:vAlign w:val="center"/>
          </w:tcPr>
          <w:p w14:paraId="049603FF"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26</w:t>
            </w:r>
          </w:p>
        </w:tc>
        <w:tc>
          <w:tcPr>
            <w:tcW w:w="624" w:type="dxa"/>
            <w:shd w:val="clear" w:color="auto" w:fill="auto"/>
            <w:vAlign w:val="center"/>
          </w:tcPr>
          <w:p w14:paraId="0A240BD5"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21</w:t>
            </w:r>
          </w:p>
        </w:tc>
        <w:tc>
          <w:tcPr>
            <w:tcW w:w="624" w:type="dxa"/>
            <w:shd w:val="clear" w:color="auto" w:fill="auto"/>
            <w:vAlign w:val="center"/>
          </w:tcPr>
          <w:p w14:paraId="23E694B7"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30</w:t>
            </w:r>
          </w:p>
        </w:tc>
        <w:tc>
          <w:tcPr>
            <w:tcW w:w="624" w:type="dxa"/>
            <w:shd w:val="clear" w:color="auto" w:fill="auto"/>
            <w:vAlign w:val="center"/>
          </w:tcPr>
          <w:p w14:paraId="5FE3FC02"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39</w:t>
            </w:r>
          </w:p>
        </w:tc>
        <w:tc>
          <w:tcPr>
            <w:tcW w:w="624" w:type="dxa"/>
            <w:shd w:val="clear" w:color="auto" w:fill="auto"/>
            <w:vAlign w:val="center"/>
          </w:tcPr>
          <w:p w14:paraId="4847B629"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27</w:t>
            </w:r>
          </w:p>
        </w:tc>
        <w:tc>
          <w:tcPr>
            <w:tcW w:w="624" w:type="dxa"/>
            <w:shd w:val="clear" w:color="auto" w:fill="auto"/>
            <w:vAlign w:val="center"/>
          </w:tcPr>
          <w:p w14:paraId="02243025"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41</w:t>
            </w:r>
          </w:p>
        </w:tc>
        <w:tc>
          <w:tcPr>
            <w:tcW w:w="624" w:type="dxa"/>
            <w:shd w:val="clear" w:color="auto" w:fill="auto"/>
            <w:vAlign w:val="center"/>
          </w:tcPr>
          <w:p w14:paraId="4157A879"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45</w:t>
            </w:r>
          </w:p>
        </w:tc>
        <w:tc>
          <w:tcPr>
            <w:tcW w:w="624" w:type="dxa"/>
            <w:shd w:val="clear" w:color="auto" w:fill="auto"/>
            <w:vAlign w:val="center"/>
          </w:tcPr>
          <w:p w14:paraId="5AE70A2A"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22</w:t>
            </w:r>
          </w:p>
        </w:tc>
        <w:tc>
          <w:tcPr>
            <w:tcW w:w="624" w:type="dxa"/>
            <w:shd w:val="clear" w:color="auto" w:fill="auto"/>
            <w:vAlign w:val="center"/>
          </w:tcPr>
          <w:p w14:paraId="6C7DE6CA"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46</w:t>
            </w:r>
          </w:p>
        </w:tc>
      </w:tr>
      <w:tr w:rsidR="00F66071" w:rsidRPr="0030399D" w14:paraId="2770CD38" w14:textId="77777777" w:rsidTr="007C129D">
        <w:trPr>
          <w:trHeight w:val="227"/>
          <w:jc w:val="center"/>
        </w:trPr>
        <w:tc>
          <w:tcPr>
            <w:tcW w:w="1418" w:type="dxa"/>
            <w:shd w:val="clear" w:color="auto" w:fill="auto"/>
            <w:noWrap/>
            <w:vAlign w:val="center"/>
          </w:tcPr>
          <w:p w14:paraId="1F934C55"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NMEs</w:t>
            </w:r>
          </w:p>
        </w:tc>
        <w:tc>
          <w:tcPr>
            <w:tcW w:w="624" w:type="dxa"/>
            <w:shd w:val="clear" w:color="auto" w:fill="auto"/>
            <w:vAlign w:val="center"/>
          </w:tcPr>
          <w:p w14:paraId="70E40CBA"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21</w:t>
            </w:r>
          </w:p>
        </w:tc>
        <w:tc>
          <w:tcPr>
            <w:tcW w:w="624" w:type="dxa"/>
            <w:shd w:val="clear" w:color="auto" w:fill="auto"/>
            <w:vAlign w:val="center"/>
          </w:tcPr>
          <w:p w14:paraId="77C93015"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20</w:t>
            </w:r>
          </w:p>
        </w:tc>
        <w:tc>
          <w:tcPr>
            <w:tcW w:w="624" w:type="dxa"/>
            <w:shd w:val="clear" w:color="auto" w:fill="auto"/>
            <w:vAlign w:val="center"/>
          </w:tcPr>
          <w:p w14:paraId="7C4680D9"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15</w:t>
            </w:r>
          </w:p>
        </w:tc>
        <w:tc>
          <w:tcPr>
            <w:tcW w:w="624" w:type="dxa"/>
            <w:shd w:val="clear" w:color="auto" w:fill="auto"/>
            <w:vAlign w:val="center"/>
          </w:tcPr>
          <w:p w14:paraId="37CA0256"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24</w:t>
            </w:r>
          </w:p>
        </w:tc>
        <w:tc>
          <w:tcPr>
            <w:tcW w:w="624" w:type="dxa"/>
            <w:shd w:val="clear" w:color="auto" w:fill="auto"/>
            <w:vAlign w:val="center"/>
          </w:tcPr>
          <w:p w14:paraId="5BC880AC"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33</w:t>
            </w:r>
          </w:p>
        </w:tc>
        <w:tc>
          <w:tcPr>
            <w:tcW w:w="624" w:type="dxa"/>
            <w:shd w:val="clear" w:color="auto" w:fill="auto"/>
            <w:vAlign w:val="center"/>
          </w:tcPr>
          <w:p w14:paraId="35FD21BF"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25</w:t>
            </w:r>
          </w:p>
        </w:tc>
        <w:tc>
          <w:tcPr>
            <w:tcW w:w="624" w:type="dxa"/>
            <w:shd w:val="clear" w:color="auto" w:fill="auto"/>
            <w:vAlign w:val="center"/>
          </w:tcPr>
          <w:p w14:paraId="4B047F5E"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30</w:t>
            </w:r>
          </w:p>
        </w:tc>
        <w:tc>
          <w:tcPr>
            <w:tcW w:w="624" w:type="dxa"/>
            <w:shd w:val="clear" w:color="auto" w:fill="auto"/>
            <w:vAlign w:val="center"/>
          </w:tcPr>
          <w:p w14:paraId="069710F8"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33</w:t>
            </w:r>
          </w:p>
        </w:tc>
        <w:tc>
          <w:tcPr>
            <w:tcW w:w="624" w:type="dxa"/>
            <w:shd w:val="clear" w:color="auto" w:fill="auto"/>
            <w:vAlign w:val="center"/>
          </w:tcPr>
          <w:p w14:paraId="6C72A912"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15</w:t>
            </w:r>
          </w:p>
        </w:tc>
        <w:tc>
          <w:tcPr>
            <w:tcW w:w="624" w:type="dxa"/>
            <w:shd w:val="clear" w:color="auto" w:fill="auto"/>
            <w:vAlign w:val="center"/>
          </w:tcPr>
          <w:p w14:paraId="05CD1379"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34</w:t>
            </w:r>
          </w:p>
        </w:tc>
      </w:tr>
      <w:tr w:rsidR="00F66071" w:rsidRPr="0030399D" w14:paraId="0FA827CD" w14:textId="77777777" w:rsidTr="007C129D">
        <w:trPr>
          <w:trHeight w:val="227"/>
          <w:jc w:val="center"/>
        </w:trPr>
        <w:tc>
          <w:tcPr>
            <w:tcW w:w="1418" w:type="dxa"/>
            <w:shd w:val="clear" w:color="auto" w:fill="auto"/>
            <w:noWrap/>
            <w:vAlign w:val="center"/>
          </w:tcPr>
          <w:p w14:paraId="2D7DA307"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Biologics</w:t>
            </w:r>
          </w:p>
        </w:tc>
        <w:tc>
          <w:tcPr>
            <w:tcW w:w="624" w:type="dxa"/>
            <w:shd w:val="clear" w:color="auto" w:fill="auto"/>
            <w:vAlign w:val="center"/>
          </w:tcPr>
          <w:p w14:paraId="47E41A89"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w:t>
            </w:r>
          </w:p>
        </w:tc>
        <w:tc>
          <w:tcPr>
            <w:tcW w:w="624" w:type="dxa"/>
            <w:shd w:val="clear" w:color="auto" w:fill="auto"/>
            <w:vAlign w:val="center"/>
          </w:tcPr>
          <w:p w14:paraId="14DACF31"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w:t>
            </w:r>
          </w:p>
        </w:tc>
        <w:tc>
          <w:tcPr>
            <w:tcW w:w="624" w:type="dxa"/>
            <w:shd w:val="clear" w:color="auto" w:fill="auto"/>
            <w:vAlign w:val="center"/>
          </w:tcPr>
          <w:p w14:paraId="294B40FA"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w:t>
            </w:r>
          </w:p>
        </w:tc>
        <w:tc>
          <w:tcPr>
            <w:tcW w:w="624" w:type="dxa"/>
            <w:shd w:val="clear" w:color="auto" w:fill="auto"/>
            <w:vAlign w:val="center"/>
          </w:tcPr>
          <w:p w14:paraId="470876CF"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w:t>
            </w:r>
          </w:p>
        </w:tc>
        <w:tc>
          <w:tcPr>
            <w:tcW w:w="624" w:type="dxa"/>
            <w:shd w:val="clear" w:color="auto" w:fill="auto"/>
            <w:vAlign w:val="center"/>
          </w:tcPr>
          <w:p w14:paraId="2AC2C1AF"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w:t>
            </w:r>
          </w:p>
        </w:tc>
        <w:tc>
          <w:tcPr>
            <w:tcW w:w="624" w:type="dxa"/>
            <w:shd w:val="clear" w:color="auto" w:fill="auto"/>
            <w:vAlign w:val="center"/>
          </w:tcPr>
          <w:p w14:paraId="0C8D324A"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w:t>
            </w:r>
          </w:p>
        </w:tc>
        <w:tc>
          <w:tcPr>
            <w:tcW w:w="624" w:type="dxa"/>
            <w:shd w:val="clear" w:color="auto" w:fill="auto"/>
            <w:vAlign w:val="center"/>
          </w:tcPr>
          <w:p w14:paraId="1FCF00F3"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11</w:t>
            </w:r>
          </w:p>
        </w:tc>
        <w:tc>
          <w:tcPr>
            <w:tcW w:w="624" w:type="dxa"/>
            <w:shd w:val="clear" w:color="auto" w:fill="auto"/>
            <w:vAlign w:val="center"/>
          </w:tcPr>
          <w:p w14:paraId="6364295D"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12</w:t>
            </w:r>
          </w:p>
        </w:tc>
        <w:tc>
          <w:tcPr>
            <w:tcW w:w="624" w:type="dxa"/>
            <w:shd w:val="clear" w:color="auto" w:fill="auto"/>
            <w:vAlign w:val="center"/>
          </w:tcPr>
          <w:p w14:paraId="1493D2BE"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7</w:t>
            </w:r>
          </w:p>
        </w:tc>
        <w:tc>
          <w:tcPr>
            <w:tcW w:w="624" w:type="dxa"/>
            <w:shd w:val="clear" w:color="auto" w:fill="auto"/>
            <w:vAlign w:val="center"/>
          </w:tcPr>
          <w:p w14:paraId="06088377"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12</w:t>
            </w:r>
          </w:p>
        </w:tc>
      </w:tr>
    </w:tbl>
    <w:p w14:paraId="410BA675" w14:textId="77777777" w:rsidR="00F66071" w:rsidRPr="0030399D" w:rsidRDefault="00F66071" w:rsidP="00F66071">
      <w:pPr>
        <w:pStyle w:val="ExhibitText"/>
        <w:rPr>
          <w:lang w:val="en-CA"/>
        </w:rPr>
      </w:pPr>
    </w:p>
    <w:p w14:paraId="76FDBF2D" w14:textId="307DC9F0" w:rsidR="00F66071" w:rsidRPr="0030399D" w:rsidRDefault="00F66071" w:rsidP="00F66071">
      <w:pPr>
        <w:pStyle w:val="Footnote"/>
        <w:rPr>
          <w:lang w:val="en-CA"/>
        </w:rPr>
      </w:pPr>
      <w:r w:rsidRPr="0030399D">
        <w:rPr>
          <w:lang w:val="en-CA"/>
        </w:rPr>
        <w:t>Source: Asher Mullard, “</w:t>
      </w:r>
      <w:r w:rsidRPr="0030399D">
        <w:rPr>
          <w:color w:val="222222"/>
          <w:spacing w:val="-11"/>
          <w:lang w:val="en-CA"/>
        </w:rPr>
        <w:t>2018 FDA drug approvals</w:t>
      </w:r>
      <w:r>
        <w:rPr>
          <w:lang w:val="en-CA"/>
        </w:rPr>
        <w:t>,”</w:t>
      </w:r>
      <w:r w:rsidRPr="0030399D">
        <w:rPr>
          <w:lang w:val="en-CA"/>
        </w:rPr>
        <w:t xml:space="preserve"> Nature Reviews, January 15, 2019, accessed May 13, 2019, </w:t>
      </w:r>
      <w:r w:rsidR="00DC7877">
        <w:rPr>
          <w:lang w:val="en-CA"/>
        </w:rPr>
        <w:t>www</w:t>
      </w:r>
      <w:r w:rsidRPr="0030399D">
        <w:rPr>
          <w:lang w:val="en-CA"/>
        </w:rPr>
        <w:t>.nature.com/articles/d41573-019-00014-x.</w:t>
      </w:r>
    </w:p>
    <w:p w14:paraId="7F9C1808" w14:textId="77777777" w:rsidR="00F66071" w:rsidRPr="0030399D" w:rsidRDefault="00F66071" w:rsidP="00F66071">
      <w:pPr>
        <w:pStyle w:val="ExhibitText"/>
        <w:rPr>
          <w:lang w:val="en-CA"/>
        </w:rPr>
      </w:pPr>
    </w:p>
    <w:p w14:paraId="2252E052" w14:textId="77777777" w:rsidR="00F66071" w:rsidRPr="0030399D" w:rsidRDefault="00F66071" w:rsidP="00F66071">
      <w:pPr>
        <w:pStyle w:val="ExhibitText"/>
        <w:rPr>
          <w:lang w:val="en-CA"/>
        </w:rPr>
      </w:pPr>
    </w:p>
    <w:p w14:paraId="6074758A" w14:textId="77777777" w:rsidR="00F66071" w:rsidRPr="0030399D" w:rsidRDefault="00F66071" w:rsidP="00F66071">
      <w:pPr>
        <w:pStyle w:val="IVEYappTitel"/>
        <w:rPr>
          <w:noProof w:val="0"/>
          <w:lang w:val="en-CA"/>
        </w:rPr>
      </w:pPr>
      <w:r w:rsidRPr="0030399D">
        <w:rPr>
          <w:noProof w:val="0"/>
          <w:lang w:val="en-CA"/>
        </w:rPr>
        <w:t>exhibit 8: Forecast: Pharmaceutical market growth for selected regions, 2015–2020 [%]</w:t>
      </w:r>
      <w:r w:rsidRPr="0030399D">
        <w:rPr>
          <w:noProof w:val="0"/>
          <w:lang w:val="en-CA"/>
        </w:rPr>
        <w:br/>
      </w:r>
    </w:p>
    <w:tbl>
      <w:tblPr>
        <w:tblW w:w="319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345"/>
        <w:gridCol w:w="850"/>
      </w:tblGrid>
      <w:tr w:rsidR="00F66071" w:rsidRPr="0030399D" w14:paraId="5CF1AFB3" w14:textId="77777777" w:rsidTr="007C129D">
        <w:trPr>
          <w:trHeight w:val="283"/>
          <w:jc w:val="center"/>
        </w:trPr>
        <w:tc>
          <w:tcPr>
            <w:tcW w:w="2345" w:type="dxa"/>
            <w:shd w:val="clear" w:color="auto" w:fill="auto"/>
            <w:vAlign w:val="center"/>
            <w:hideMark/>
          </w:tcPr>
          <w:p w14:paraId="6ECE2179" w14:textId="77777777" w:rsidR="00F66071" w:rsidRPr="0030399D" w:rsidRDefault="00F66071" w:rsidP="007C129D">
            <w:pPr>
              <w:pStyle w:val="IVEYText"/>
              <w:rPr>
                <w:rFonts w:ascii="Arial" w:hAnsi="Arial" w:cs="Arial"/>
                <w:b/>
                <w:noProof w:val="0"/>
                <w:sz w:val="20"/>
                <w:szCs w:val="20"/>
                <w:lang w:val="en-CA"/>
              </w:rPr>
            </w:pPr>
            <w:r w:rsidRPr="0030399D">
              <w:rPr>
                <w:rFonts w:ascii="Arial" w:hAnsi="Arial" w:cs="Arial"/>
                <w:b/>
                <w:noProof w:val="0"/>
                <w:sz w:val="20"/>
                <w:szCs w:val="20"/>
                <w:lang w:val="en-CA"/>
              </w:rPr>
              <w:t>Region</w:t>
            </w:r>
          </w:p>
        </w:tc>
        <w:tc>
          <w:tcPr>
            <w:tcW w:w="850" w:type="dxa"/>
            <w:shd w:val="clear" w:color="auto" w:fill="auto"/>
            <w:noWrap/>
            <w:vAlign w:val="center"/>
            <w:hideMark/>
          </w:tcPr>
          <w:p w14:paraId="74E6FFD6"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w:t>
            </w:r>
          </w:p>
        </w:tc>
      </w:tr>
      <w:tr w:rsidR="00F66071" w:rsidRPr="0030399D" w14:paraId="7F215005" w14:textId="77777777" w:rsidTr="007C129D">
        <w:trPr>
          <w:trHeight w:val="227"/>
          <w:jc w:val="center"/>
        </w:trPr>
        <w:tc>
          <w:tcPr>
            <w:tcW w:w="2345" w:type="dxa"/>
            <w:shd w:val="clear" w:color="auto" w:fill="auto"/>
            <w:noWrap/>
            <w:vAlign w:val="center"/>
            <w:hideMark/>
          </w:tcPr>
          <w:p w14:paraId="3EEE42B7"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Africa</w:t>
            </w:r>
          </w:p>
        </w:tc>
        <w:tc>
          <w:tcPr>
            <w:tcW w:w="850" w:type="dxa"/>
            <w:shd w:val="clear" w:color="auto" w:fill="auto"/>
            <w:noWrap/>
            <w:vAlign w:val="center"/>
            <w:hideMark/>
          </w:tcPr>
          <w:p w14:paraId="55823468"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8.1</w:t>
            </w:r>
          </w:p>
        </w:tc>
      </w:tr>
      <w:tr w:rsidR="00F66071" w:rsidRPr="0030399D" w14:paraId="1CEBCBB7" w14:textId="77777777" w:rsidTr="007C129D">
        <w:trPr>
          <w:trHeight w:val="227"/>
          <w:jc w:val="center"/>
        </w:trPr>
        <w:tc>
          <w:tcPr>
            <w:tcW w:w="2345" w:type="dxa"/>
            <w:shd w:val="clear" w:color="auto" w:fill="auto"/>
            <w:noWrap/>
            <w:vAlign w:val="center"/>
            <w:hideMark/>
          </w:tcPr>
          <w:p w14:paraId="3C07D2A4"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CIS</w:t>
            </w:r>
            <w:r w:rsidRPr="0030399D">
              <w:rPr>
                <w:rFonts w:ascii="Arial" w:hAnsi="Arial" w:cs="Arial"/>
                <w:noProof w:val="0"/>
                <w:sz w:val="20"/>
                <w:szCs w:val="20"/>
                <w:vertAlign w:val="superscript"/>
                <w:lang w:val="en-CA"/>
              </w:rPr>
              <w:t>*</w:t>
            </w:r>
          </w:p>
        </w:tc>
        <w:tc>
          <w:tcPr>
            <w:tcW w:w="850" w:type="dxa"/>
            <w:shd w:val="clear" w:color="auto" w:fill="auto"/>
            <w:noWrap/>
            <w:vAlign w:val="center"/>
            <w:hideMark/>
          </w:tcPr>
          <w:p w14:paraId="1328BD1D"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6.7</w:t>
            </w:r>
          </w:p>
        </w:tc>
      </w:tr>
      <w:tr w:rsidR="00F66071" w:rsidRPr="0030399D" w14:paraId="48FE0A19" w14:textId="77777777" w:rsidTr="007C129D">
        <w:trPr>
          <w:trHeight w:val="227"/>
          <w:jc w:val="center"/>
        </w:trPr>
        <w:tc>
          <w:tcPr>
            <w:tcW w:w="2345" w:type="dxa"/>
            <w:shd w:val="clear" w:color="auto" w:fill="auto"/>
            <w:noWrap/>
            <w:vAlign w:val="center"/>
            <w:hideMark/>
          </w:tcPr>
          <w:p w14:paraId="1CF2FE94"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EU</w:t>
            </w:r>
          </w:p>
        </w:tc>
        <w:tc>
          <w:tcPr>
            <w:tcW w:w="850" w:type="dxa"/>
            <w:shd w:val="clear" w:color="auto" w:fill="auto"/>
            <w:noWrap/>
            <w:vAlign w:val="center"/>
            <w:hideMark/>
          </w:tcPr>
          <w:p w14:paraId="311D381A"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3.2</w:t>
            </w:r>
          </w:p>
        </w:tc>
      </w:tr>
      <w:tr w:rsidR="00F66071" w:rsidRPr="0030399D" w14:paraId="1E089457" w14:textId="77777777" w:rsidTr="007C129D">
        <w:trPr>
          <w:trHeight w:val="227"/>
          <w:jc w:val="center"/>
        </w:trPr>
        <w:tc>
          <w:tcPr>
            <w:tcW w:w="2345" w:type="dxa"/>
            <w:shd w:val="clear" w:color="auto" w:fill="auto"/>
            <w:noWrap/>
            <w:vAlign w:val="center"/>
            <w:hideMark/>
          </w:tcPr>
          <w:p w14:paraId="54D633F4"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India</w:t>
            </w:r>
          </w:p>
        </w:tc>
        <w:tc>
          <w:tcPr>
            <w:tcW w:w="850" w:type="dxa"/>
            <w:shd w:val="clear" w:color="auto" w:fill="auto"/>
            <w:noWrap/>
            <w:vAlign w:val="center"/>
            <w:hideMark/>
          </w:tcPr>
          <w:p w14:paraId="3893ED6F"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12.1</w:t>
            </w:r>
          </w:p>
        </w:tc>
      </w:tr>
      <w:tr w:rsidR="00F66071" w:rsidRPr="0030399D" w14:paraId="66378330" w14:textId="77777777" w:rsidTr="007C129D">
        <w:trPr>
          <w:trHeight w:val="227"/>
          <w:jc w:val="center"/>
        </w:trPr>
        <w:tc>
          <w:tcPr>
            <w:tcW w:w="2345" w:type="dxa"/>
            <w:shd w:val="clear" w:color="auto" w:fill="auto"/>
            <w:noWrap/>
            <w:vAlign w:val="center"/>
            <w:hideMark/>
          </w:tcPr>
          <w:p w14:paraId="4A2F9F5A"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Japan</w:t>
            </w:r>
          </w:p>
        </w:tc>
        <w:tc>
          <w:tcPr>
            <w:tcW w:w="850" w:type="dxa"/>
            <w:shd w:val="clear" w:color="auto" w:fill="auto"/>
            <w:noWrap/>
            <w:vAlign w:val="center"/>
            <w:hideMark/>
          </w:tcPr>
          <w:p w14:paraId="2001200E"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0.6</w:t>
            </w:r>
          </w:p>
        </w:tc>
      </w:tr>
      <w:tr w:rsidR="00F66071" w:rsidRPr="0030399D" w14:paraId="40C977B9" w14:textId="77777777" w:rsidTr="007C129D">
        <w:trPr>
          <w:trHeight w:val="227"/>
          <w:jc w:val="center"/>
        </w:trPr>
        <w:tc>
          <w:tcPr>
            <w:tcW w:w="2345" w:type="dxa"/>
            <w:shd w:val="clear" w:color="auto" w:fill="auto"/>
            <w:noWrap/>
            <w:vAlign w:val="center"/>
            <w:hideMark/>
          </w:tcPr>
          <w:p w14:paraId="7AB0BAED"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Latin America</w:t>
            </w:r>
          </w:p>
        </w:tc>
        <w:tc>
          <w:tcPr>
            <w:tcW w:w="850" w:type="dxa"/>
            <w:shd w:val="clear" w:color="auto" w:fill="auto"/>
            <w:noWrap/>
            <w:vAlign w:val="center"/>
            <w:hideMark/>
          </w:tcPr>
          <w:p w14:paraId="690004EA"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2.3</w:t>
            </w:r>
          </w:p>
        </w:tc>
      </w:tr>
      <w:tr w:rsidR="00F66071" w:rsidRPr="0030399D" w14:paraId="0C08A129" w14:textId="77777777" w:rsidTr="007C129D">
        <w:trPr>
          <w:trHeight w:val="227"/>
          <w:jc w:val="center"/>
        </w:trPr>
        <w:tc>
          <w:tcPr>
            <w:tcW w:w="2345" w:type="dxa"/>
            <w:shd w:val="clear" w:color="auto" w:fill="auto"/>
            <w:noWrap/>
            <w:vAlign w:val="center"/>
            <w:hideMark/>
          </w:tcPr>
          <w:p w14:paraId="0C02D192"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Middle East</w:t>
            </w:r>
          </w:p>
        </w:tc>
        <w:tc>
          <w:tcPr>
            <w:tcW w:w="850" w:type="dxa"/>
            <w:shd w:val="clear" w:color="auto" w:fill="auto"/>
            <w:noWrap/>
            <w:vAlign w:val="center"/>
            <w:hideMark/>
          </w:tcPr>
          <w:p w14:paraId="632E8DF3"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6.6</w:t>
            </w:r>
          </w:p>
        </w:tc>
      </w:tr>
      <w:tr w:rsidR="00F66071" w:rsidRPr="0030399D" w14:paraId="6E33CEB7" w14:textId="77777777" w:rsidTr="007C129D">
        <w:trPr>
          <w:trHeight w:val="227"/>
          <w:jc w:val="center"/>
        </w:trPr>
        <w:tc>
          <w:tcPr>
            <w:tcW w:w="2345" w:type="dxa"/>
            <w:shd w:val="clear" w:color="auto" w:fill="auto"/>
            <w:noWrap/>
            <w:vAlign w:val="center"/>
            <w:hideMark/>
          </w:tcPr>
          <w:p w14:paraId="421B5B5D"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North America</w:t>
            </w:r>
          </w:p>
        </w:tc>
        <w:tc>
          <w:tcPr>
            <w:tcW w:w="850" w:type="dxa"/>
            <w:shd w:val="clear" w:color="auto" w:fill="auto"/>
            <w:noWrap/>
            <w:vAlign w:val="center"/>
            <w:hideMark/>
          </w:tcPr>
          <w:p w14:paraId="2E8CE4D7"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7.0</w:t>
            </w:r>
          </w:p>
        </w:tc>
      </w:tr>
      <w:tr w:rsidR="00F66071" w:rsidRPr="0030399D" w14:paraId="68E2AA78" w14:textId="77777777" w:rsidTr="007C129D">
        <w:trPr>
          <w:trHeight w:val="227"/>
          <w:jc w:val="center"/>
        </w:trPr>
        <w:tc>
          <w:tcPr>
            <w:tcW w:w="2345" w:type="dxa"/>
            <w:shd w:val="clear" w:color="auto" w:fill="auto"/>
            <w:noWrap/>
            <w:vAlign w:val="center"/>
            <w:hideMark/>
          </w:tcPr>
          <w:p w14:paraId="548E2EAD" w14:textId="77777777" w:rsidR="00F66071" w:rsidRPr="0030399D" w:rsidRDefault="00F66071" w:rsidP="007C129D">
            <w:pPr>
              <w:pStyle w:val="IVEYText"/>
              <w:rPr>
                <w:rFonts w:ascii="Arial" w:hAnsi="Arial" w:cs="Arial"/>
                <w:noProof w:val="0"/>
                <w:sz w:val="20"/>
                <w:szCs w:val="20"/>
                <w:lang w:val="en-CA"/>
              </w:rPr>
            </w:pPr>
            <w:r w:rsidRPr="0030399D">
              <w:rPr>
                <w:rFonts w:ascii="Arial" w:hAnsi="Arial" w:cs="Arial"/>
                <w:noProof w:val="0"/>
                <w:sz w:val="20"/>
                <w:szCs w:val="20"/>
                <w:lang w:val="en-CA"/>
              </w:rPr>
              <w:t>Southeast &amp; East Asia</w:t>
            </w:r>
          </w:p>
        </w:tc>
        <w:tc>
          <w:tcPr>
            <w:tcW w:w="850" w:type="dxa"/>
            <w:shd w:val="clear" w:color="auto" w:fill="auto"/>
            <w:noWrap/>
            <w:vAlign w:val="center"/>
            <w:hideMark/>
          </w:tcPr>
          <w:p w14:paraId="6DA187C6"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6.5</w:t>
            </w:r>
          </w:p>
        </w:tc>
      </w:tr>
    </w:tbl>
    <w:p w14:paraId="5AB29B07" w14:textId="77777777" w:rsidR="00F66071" w:rsidRPr="0030399D" w:rsidRDefault="00F66071" w:rsidP="00F66071">
      <w:pPr>
        <w:pStyle w:val="ExhibitText"/>
        <w:rPr>
          <w:lang w:val="en-CA"/>
        </w:rPr>
      </w:pPr>
    </w:p>
    <w:p w14:paraId="10F248CB" w14:textId="77777777" w:rsidR="00F66071" w:rsidRPr="00DC7877" w:rsidRDefault="00F66071" w:rsidP="00DC7877">
      <w:pPr>
        <w:pStyle w:val="Footnote"/>
      </w:pPr>
      <w:r w:rsidRPr="00DC7877">
        <w:rPr>
          <w:rStyle w:val="FussnotenZchn"/>
          <w:rFonts w:ascii="Arial" w:hAnsi="Arial"/>
          <w:sz w:val="17"/>
          <w:szCs w:val="17"/>
        </w:rPr>
        <w:t>Note: *The Commonwealth of Independent States (CIS), also called the Russian Commonwealth, consisted of nine member states and two associate states, made up of the 15 former Soviet countries.</w:t>
      </w:r>
    </w:p>
    <w:p w14:paraId="39DF40C7" w14:textId="77777777" w:rsidR="00F66071" w:rsidRPr="0030399D" w:rsidRDefault="00F66071" w:rsidP="00F66071">
      <w:pPr>
        <w:pStyle w:val="Footnote"/>
        <w:rPr>
          <w:lang w:val="en-CA"/>
        </w:rPr>
      </w:pPr>
      <w:r w:rsidRPr="0030399D">
        <w:rPr>
          <w:lang w:val="en-CA"/>
        </w:rPr>
        <w:t xml:space="preserve">Source: “Projected Global Pharmaceutical Market Growth between 2016 and 2021, by Region*,” Statista – The Statistics Portal, accessed May 13, 2019, www.statista.com/statistics/299702/world-pharmaceutical-market-growth-by-region-forecast/. </w:t>
      </w:r>
    </w:p>
    <w:p w14:paraId="44C4F280" w14:textId="77777777" w:rsidR="00F66071" w:rsidRPr="0030399D" w:rsidRDefault="00F66071" w:rsidP="00F66071">
      <w:pPr>
        <w:pStyle w:val="ExhibitText"/>
        <w:rPr>
          <w:lang w:val="en-CA"/>
        </w:rPr>
      </w:pPr>
    </w:p>
    <w:p w14:paraId="5297FB08" w14:textId="188D6048" w:rsidR="00F66071" w:rsidRDefault="00F66071">
      <w:pPr>
        <w:spacing w:after="200" w:line="276" w:lineRule="auto"/>
        <w:rPr>
          <w:rFonts w:ascii="Arial" w:eastAsiaTheme="minorHAnsi" w:hAnsi="Arial" w:cs="Arial"/>
          <w:lang w:val="en-CA"/>
        </w:rPr>
      </w:pPr>
      <w:r>
        <w:rPr>
          <w:rFonts w:eastAsiaTheme="minorHAnsi"/>
          <w:lang w:val="en-CA"/>
        </w:rPr>
        <w:br w:type="page"/>
      </w:r>
    </w:p>
    <w:p w14:paraId="2B863647" w14:textId="57BAFFDD" w:rsidR="00F66071" w:rsidRPr="0030399D" w:rsidRDefault="00F66071" w:rsidP="00F66071">
      <w:pPr>
        <w:pStyle w:val="IVEYappTitel"/>
        <w:rPr>
          <w:noProof w:val="0"/>
          <w:lang w:val="en-CA"/>
        </w:rPr>
      </w:pPr>
      <w:r w:rsidRPr="0030399D">
        <w:rPr>
          <w:noProof w:val="0"/>
          <w:lang w:val="en-CA"/>
        </w:rPr>
        <w:lastRenderedPageBreak/>
        <w:t xml:space="preserve">Exhibit 9: Expenditure on pharmaceuticals comparing prescribed and OTC Drugs, 2017 [per capita, </w:t>
      </w:r>
      <w:r w:rsidR="00DC7877">
        <w:rPr>
          <w:noProof w:val="0"/>
          <w:lang w:val="en-CA"/>
        </w:rPr>
        <w:t>US</w:t>
      </w:r>
      <w:r w:rsidRPr="0030399D">
        <w:rPr>
          <w:noProof w:val="0"/>
          <w:lang w:val="en-CA"/>
        </w:rPr>
        <w:t>$, and % of GDP]</w:t>
      </w:r>
    </w:p>
    <w:p w14:paraId="56DD0980" w14:textId="77777777" w:rsidR="00F66071" w:rsidRPr="0030399D" w:rsidRDefault="00F66071" w:rsidP="00F66071">
      <w:pPr>
        <w:pStyle w:val="ExhibitText"/>
        <w:rPr>
          <w:lang w:val="en-CA"/>
        </w:rPr>
      </w:pPr>
    </w:p>
    <w:tbl>
      <w:tblPr>
        <w:tblW w:w="6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50"/>
        <w:gridCol w:w="1134"/>
        <w:gridCol w:w="1134"/>
        <w:gridCol w:w="1134"/>
        <w:gridCol w:w="1134"/>
        <w:gridCol w:w="1134"/>
      </w:tblGrid>
      <w:tr w:rsidR="00F66071" w:rsidRPr="0030399D" w14:paraId="1010AC84" w14:textId="77777777" w:rsidTr="007C129D">
        <w:trPr>
          <w:trHeight w:val="283"/>
          <w:jc w:val="center"/>
        </w:trPr>
        <w:tc>
          <w:tcPr>
            <w:tcW w:w="1250" w:type="dxa"/>
            <w:vMerge w:val="restart"/>
            <w:shd w:val="clear" w:color="auto" w:fill="auto"/>
            <w:noWrap/>
            <w:vAlign w:val="center"/>
          </w:tcPr>
          <w:p w14:paraId="78C246D1" w14:textId="77777777" w:rsidR="00F66071" w:rsidRPr="0030399D" w:rsidRDefault="00F66071" w:rsidP="007C129D">
            <w:pPr>
              <w:rPr>
                <w:rFonts w:ascii="Arial" w:hAnsi="Arial" w:cs="Arial"/>
                <w:b/>
                <w:lang w:val="en-CA"/>
              </w:rPr>
            </w:pPr>
            <w:r w:rsidRPr="0030399D">
              <w:rPr>
                <w:rFonts w:ascii="Arial" w:hAnsi="Arial" w:cs="Arial"/>
                <w:b/>
                <w:lang w:val="en-CA"/>
              </w:rPr>
              <w:t>Country</w:t>
            </w:r>
          </w:p>
        </w:tc>
        <w:tc>
          <w:tcPr>
            <w:tcW w:w="2268" w:type="dxa"/>
            <w:gridSpan w:val="2"/>
            <w:shd w:val="clear" w:color="auto" w:fill="auto"/>
            <w:vAlign w:val="center"/>
          </w:tcPr>
          <w:p w14:paraId="5023BF87"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Prescribed Drugs</w:t>
            </w:r>
          </w:p>
        </w:tc>
        <w:tc>
          <w:tcPr>
            <w:tcW w:w="2268" w:type="dxa"/>
            <w:gridSpan w:val="2"/>
            <w:tcBorders>
              <w:right w:val="single" w:sz="4" w:space="0" w:color="auto"/>
            </w:tcBorders>
            <w:shd w:val="clear" w:color="auto" w:fill="auto"/>
            <w:vAlign w:val="center"/>
          </w:tcPr>
          <w:p w14:paraId="067784C6"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OTC Drugs</w:t>
            </w:r>
          </w:p>
        </w:tc>
        <w:tc>
          <w:tcPr>
            <w:tcW w:w="1134" w:type="dxa"/>
            <w:tcBorders>
              <w:top w:val="single" w:sz="4" w:space="0" w:color="auto"/>
              <w:left w:val="single" w:sz="4" w:space="0" w:color="auto"/>
              <w:bottom w:val="nil"/>
              <w:right w:val="single" w:sz="4" w:space="0" w:color="auto"/>
            </w:tcBorders>
            <w:shd w:val="clear" w:color="auto" w:fill="auto"/>
            <w:vAlign w:val="center"/>
          </w:tcPr>
          <w:p w14:paraId="322D5488"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Total</w:t>
            </w:r>
          </w:p>
        </w:tc>
      </w:tr>
      <w:tr w:rsidR="00F66071" w:rsidRPr="0030399D" w14:paraId="3F856FCC" w14:textId="77777777" w:rsidTr="007C129D">
        <w:trPr>
          <w:trHeight w:val="397"/>
          <w:jc w:val="center"/>
        </w:trPr>
        <w:tc>
          <w:tcPr>
            <w:tcW w:w="1250" w:type="dxa"/>
            <w:vMerge/>
            <w:shd w:val="clear" w:color="auto" w:fill="auto"/>
            <w:noWrap/>
            <w:vAlign w:val="bottom"/>
          </w:tcPr>
          <w:p w14:paraId="6AB705E3" w14:textId="77777777" w:rsidR="00F66071" w:rsidRPr="0030399D" w:rsidRDefault="00F66071" w:rsidP="007C129D">
            <w:pPr>
              <w:rPr>
                <w:rFonts w:ascii="Arial" w:hAnsi="Arial" w:cs="Arial"/>
                <w:b/>
                <w:lang w:val="en-CA"/>
              </w:rPr>
            </w:pPr>
          </w:p>
        </w:tc>
        <w:tc>
          <w:tcPr>
            <w:tcW w:w="1134" w:type="dxa"/>
            <w:shd w:val="clear" w:color="auto" w:fill="auto"/>
            <w:vAlign w:val="center"/>
          </w:tcPr>
          <w:p w14:paraId="0A69CFAD"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 per capita</w:t>
            </w:r>
          </w:p>
        </w:tc>
        <w:tc>
          <w:tcPr>
            <w:tcW w:w="1134" w:type="dxa"/>
            <w:shd w:val="clear" w:color="auto" w:fill="auto"/>
            <w:vAlign w:val="center"/>
          </w:tcPr>
          <w:p w14:paraId="1850DD24"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 of total</w:t>
            </w:r>
            <w:r w:rsidRPr="0030399D">
              <w:rPr>
                <w:rFonts w:ascii="Arial" w:hAnsi="Arial" w:cs="Arial"/>
                <w:b/>
                <w:bCs/>
                <w:lang w:val="en-CA"/>
              </w:rPr>
              <w:br/>
            </w:r>
          </w:p>
        </w:tc>
        <w:tc>
          <w:tcPr>
            <w:tcW w:w="1134" w:type="dxa"/>
            <w:shd w:val="clear" w:color="auto" w:fill="auto"/>
            <w:vAlign w:val="center"/>
          </w:tcPr>
          <w:p w14:paraId="714077E1"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 per capita</w:t>
            </w:r>
          </w:p>
        </w:tc>
        <w:tc>
          <w:tcPr>
            <w:tcW w:w="1134" w:type="dxa"/>
            <w:tcBorders>
              <w:right w:val="single" w:sz="4" w:space="0" w:color="auto"/>
            </w:tcBorders>
            <w:shd w:val="clear" w:color="auto" w:fill="auto"/>
            <w:vAlign w:val="center"/>
          </w:tcPr>
          <w:p w14:paraId="5143EFB8"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 of total</w:t>
            </w:r>
            <w:r w:rsidRPr="0030399D">
              <w:rPr>
                <w:rFonts w:ascii="Arial" w:hAnsi="Arial" w:cs="Arial"/>
                <w:b/>
                <w:bCs/>
                <w:lang w:val="en-CA"/>
              </w:rPr>
              <w:br/>
            </w:r>
          </w:p>
        </w:tc>
        <w:tc>
          <w:tcPr>
            <w:tcW w:w="1134" w:type="dxa"/>
            <w:tcBorders>
              <w:top w:val="nil"/>
              <w:left w:val="single" w:sz="4" w:space="0" w:color="auto"/>
              <w:bottom w:val="single" w:sz="4" w:space="0" w:color="auto"/>
              <w:right w:val="single" w:sz="4" w:space="0" w:color="auto"/>
            </w:tcBorders>
            <w:shd w:val="clear" w:color="auto" w:fill="auto"/>
            <w:vAlign w:val="center"/>
          </w:tcPr>
          <w:p w14:paraId="36503EC9" w14:textId="77777777" w:rsidR="00F66071" w:rsidRPr="0030399D" w:rsidRDefault="00F66071" w:rsidP="007C129D">
            <w:pPr>
              <w:rPr>
                <w:lang w:val="en-CA"/>
              </w:rPr>
            </w:pPr>
          </w:p>
        </w:tc>
      </w:tr>
      <w:tr w:rsidR="00F66071" w:rsidRPr="0030399D" w14:paraId="7CBAB3E8" w14:textId="77777777" w:rsidTr="007C129D">
        <w:trPr>
          <w:trHeight w:val="227"/>
          <w:jc w:val="center"/>
        </w:trPr>
        <w:tc>
          <w:tcPr>
            <w:tcW w:w="1250" w:type="dxa"/>
            <w:shd w:val="clear" w:color="auto" w:fill="auto"/>
            <w:noWrap/>
            <w:vAlign w:val="center"/>
            <w:hideMark/>
          </w:tcPr>
          <w:p w14:paraId="7D1EC996" w14:textId="77777777" w:rsidR="00F66071" w:rsidRPr="0030399D" w:rsidRDefault="00F66071" w:rsidP="007C129D">
            <w:pPr>
              <w:rPr>
                <w:rFonts w:ascii="Arial" w:hAnsi="Arial" w:cs="Arial"/>
                <w:lang w:val="en-CA"/>
              </w:rPr>
            </w:pPr>
            <w:r w:rsidRPr="0030399D">
              <w:rPr>
                <w:rFonts w:ascii="Arial" w:hAnsi="Arial" w:cs="Arial"/>
                <w:lang w:val="en-CA"/>
              </w:rPr>
              <w:t>Australia</w:t>
            </w:r>
          </w:p>
        </w:tc>
        <w:tc>
          <w:tcPr>
            <w:tcW w:w="1134" w:type="dxa"/>
            <w:shd w:val="clear" w:color="auto" w:fill="auto"/>
            <w:noWrap/>
          </w:tcPr>
          <w:p w14:paraId="21286F96" w14:textId="77777777" w:rsidR="00F66071" w:rsidRPr="0030399D" w:rsidRDefault="00F66071" w:rsidP="007C129D">
            <w:pPr>
              <w:jc w:val="right"/>
              <w:rPr>
                <w:rFonts w:ascii="Arial" w:hAnsi="Arial" w:cs="Arial"/>
                <w:lang w:val="en-CA"/>
              </w:rPr>
            </w:pPr>
            <w:r w:rsidRPr="0030399D">
              <w:rPr>
                <w:rFonts w:ascii="Arial" w:hAnsi="Arial" w:cs="Arial"/>
                <w:lang w:val="en-CA"/>
              </w:rPr>
              <w:t>427</w:t>
            </w:r>
          </w:p>
        </w:tc>
        <w:tc>
          <w:tcPr>
            <w:tcW w:w="1134" w:type="dxa"/>
            <w:shd w:val="clear" w:color="auto" w:fill="auto"/>
            <w:noWrap/>
          </w:tcPr>
          <w:p w14:paraId="274D9D25" w14:textId="77777777" w:rsidR="00F66071" w:rsidRPr="0030399D" w:rsidRDefault="00F66071" w:rsidP="007C129D">
            <w:pPr>
              <w:jc w:val="right"/>
              <w:rPr>
                <w:rFonts w:ascii="Arial" w:hAnsi="Arial" w:cs="Arial"/>
                <w:lang w:val="en-CA"/>
              </w:rPr>
            </w:pPr>
            <w:r w:rsidRPr="0030399D">
              <w:rPr>
                <w:rFonts w:ascii="Arial" w:hAnsi="Arial" w:cs="Arial"/>
                <w:lang w:val="en-CA"/>
              </w:rPr>
              <w:t>69</w:t>
            </w:r>
          </w:p>
        </w:tc>
        <w:tc>
          <w:tcPr>
            <w:tcW w:w="1134" w:type="dxa"/>
            <w:tcBorders>
              <w:top w:val="nil"/>
            </w:tcBorders>
            <w:shd w:val="clear" w:color="auto" w:fill="auto"/>
            <w:noWrap/>
          </w:tcPr>
          <w:p w14:paraId="67924B23" w14:textId="77777777" w:rsidR="00F66071" w:rsidRPr="0030399D" w:rsidRDefault="00F66071" w:rsidP="007C129D">
            <w:pPr>
              <w:jc w:val="right"/>
              <w:rPr>
                <w:rFonts w:ascii="Arial" w:hAnsi="Arial" w:cs="Arial"/>
                <w:lang w:val="en-CA"/>
              </w:rPr>
            </w:pPr>
            <w:r w:rsidRPr="0030399D">
              <w:rPr>
                <w:rFonts w:ascii="Arial" w:hAnsi="Arial" w:cs="Arial"/>
                <w:lang w:val="en-CA"/>
              </w:rPr>
              <w:t>190</w:t>
            </w:r>
          </w:p>
        </w:tc>
        <w:tc>
          <w:tcPr>
            <w:tcW w:w="1134" w:type="dxa"/>
            <w:tcBorders>
              <w:top w:val="nil"/>
            </w:tcBorders>
            <w:shd w:val="clear" w:color="auto" w:fill="auto"/>
            <w:noWrap/>
          </w:tcPr>
          <w:p w14:paraId="72596E7B" w14:textId="77777777" w:rsidR="00F66071" w:rsidRPr="0030399D" w:rsidRDefault="00F66071" w:rsidP="007C129D">
            <w:pPr>
              <w:jc w:val="right"/>
              <w:rPr>
                <w:rFonts w:ascii="Arial" w:hAnsi="Arial" w:cs="Arial"/>
                <w:lang w:val="en-CA"/>
              </w:rPr>
            </w:pPr>
            <w:r w:rsidRPr="0030399D">
              <w:rPr>
                <w:rFonts w:ascii="Arial" w:hAnsi="Arial" w:cs="Arial"/>
                <w:lang w:val="en-CA"/>
              </w:rPr>
              <w:t>31</w:t>
            </w:r>
          </w:p>
        </w:tc>
        <w:tc>
          <w:tcPr>
            <w:tcW w:w="1134" w:type="dxa"/>
            <w:tcBorders>
              <w:top w:val="single" w:sz="4" w:space="0" w:color="auto"/>
            </w:tcBorders>
            <w:shd w:val="clear" w:color="auto" w:fill="auto"/>
            <w:noWrap/>
          </w:tcPr>
          <w:p w14:paraId="6BF04CAF" w14:textId="77777777" w:rsidR="00F66071" w:rsidRPr="0030399D" w:rsidRDefault="00F66071" w:rsidP="007C129D">
            <w:pPr>
              <w:jc w:val="right"/>
              <w:rPr>
                <w:rFonts w:ascii="Arial" w:hAnsi="Arial" w:cs="Arial"/>
                <w:lang w:val="en-CA"/>
              </w:rPr>
            </w:pPr>
            <w:r w:rsidRPr="0030399D">
              <w:rPr>
                <w:rFonts w:ascii="Arial" w:hAnsi="Arial" w:cs="Arial"/>
                <w:lang w:val="en-CA"/>
              </w:rPr>
              <w:t>617</w:t>
            </w:r>
          </w:p>
        </w:tc>
      </w:tr>
      <w:tr w:rsidR="00F66071" w:rsidRPr="0030399D" w14:paraId="3B89D18D" w14:textId="77777777" w:rsidTr="007C129D">
        <w:trPr>
          <w:trHeight w:val="227"/>
          <w:jc w:val="center"/>
        </w:trPr>
        <w:tc>
          <w:tcPr>
            <w:tcW w:w="1250" w:type="dxa"/>
            <w:shd w:val="clear" w:color="auto" w:fill="auto"/>
            <w:noWrap/>
            <w:vAlign w:val="center"/>
          </w:tcPr>
          <w:p w14:paraId="2194BF7F" w14:textId="77777777" w:rsidR="00F66071" w:rsidRPr="0030399D" w:rsidRDefault="00F66071" w:rsidP="007C129D">
            <w:pPr>
              <w:rPr>
                <w:rFonts w:ascii="Arial" w:hAnsi="Arial" w:cs="Arial"/>
                <w:lang w:val="en-CA"/>
              </w:rPr>
            </w:pPr>
            <w:r w:rsidRPr="0030399D">
              <w:rPr>
                <w:rFonts w:ascii="Arial" w:hAnsi="Arial" w:cs="Arial"/>
                <w:lang w:val="en-CA"/>
              </w:rPr>
              <w:t>Canada</w:t>
            </w:r>
          </w:p>
        </w:tc>
        <w:tc>
          <w:tcPr>
            <w:tcW w:w="1134" w:type="dxa"/>
            <w:shd w:val="clear" w:color="auto" w:fill="auto"/>
            <w:noWrap/>
          </w:tcPr>
          <w:p w14:paraId="62833A7C" w14:textId="77777777" w:rsidR="00F66071" w:rsidRPr="0030399D" w:rsidRDefault="00F66071" w:rsidP="007C129D">
            <w:pPr>
              <w:jc w:val="right"/>
              <w:rPr>
                <w:rFonts w:ascii="Arial" w:hAnsi="Arial" w:cs="Arial"/>
                <w:lang w:val="en-CA"/>
              </w:rPr>
            </w:pPr>
            <w:r w:rsidRPr="0030399D">
              <w:rPr>
                <w:rFonts w:ascii="Arial" w:hAnsi="Arial" w:cs="Arial"/>
                <w:lang w:val="en-CA"/>
              </w:rPr>
              <w:t>685</w:t>
            </w:r>
          </w:p>
        </w:tc>
        <w:tc>
          <w:tcPr>
            <w:tcW w:w="1134" w:type="dxa"/>
            <w:shd w:val="clear" w:color="auto" w:fill="auto"/>
            <w:noWrap/>
          </w:tcPr>
          <w:p w14:paraId="5F678E99" w14:textId="77777777" w:rsidR="00F66071" w:rsidRPr="0030399D" w:rsidRDefault="00F66071" w:rsidP="007C129D">
            <w:pPr>
              <w:jc w:val="right"/>
              <w:rPr>
                <w:rFonts w:ascii="Arial" w:hAnsi="Arial" w:cs="Arial"/>
                <w:lang w:val="en-CA"/>
              </w:rPr>
            </w:pPr>
            <w:r w:rsidRPr="0030399D">
              <w:rPr>
                <w:rFonts w:ascii="Arial" w:hAnsi="Arial" w:cs="Arial"/>
                <w:lang w:val="en-CA"/>
              </w:rPr>
              <w:t>91</w:t>
            </w:r>
          </w:p>
        </w:tc>
        <w:tc>
          <w:tcPr>
            <w:tcW w:w="1134" w:type="dxa"/>
            <w:shd w:val="clear" w:color="auto" w:fill="auto"/>
            <w:noWrap/>
          </w:tcPr>
          <w:p w14:paraId="22D65E79" w14:textId="77777777" w:rsidR="00F66071" w:rsidRPr="0030399D" w:rsidRDefault="00F66071" w:rsidP="007C129D">
            <w:pPr>
              <w:jc w:val="right"/>
              <w:rPr>
                <w:rFonts w:ascii="Arial" w:hAnsi="Arial" w:cs="Arial"/>
                <w:lang w:val="en-CA"/>
              </w:rPr>
            </w:pPr>
            <w:r w:rsidRPr="0030399D">
              <w:rPr>
                <w:rFonts w:ascii="Arial" w:hAnsi="Arial" w:cs="Arial"/>
                <w:lang w:val="en-CA"/>
              </w:rPr>
              <w:t>71</w:t>
            </w:r>
          </w:p>
        </w:tc>
        <w:tc>
          <w:tcPr>
            <w:tcW w:w="1134" w:type="dxa"/>
            <w:shd w:val="clear" w:color="auto" w:fill="auto"/>
            <w:noWrap/>
          </w:tcPr>
          <w:p w14:paraId="14F30819" w14:textId="77777777" w:rsidR="00F66071" w:rsidRPr="0030399D" w:rsidRDefault="00F66071" w:rsidP="007C129D">
            <w:pPr>
              <w:jc w:val="right"/>
              <w:rPr>
                <w:rFonts w:ascii="Arial" w:hAnsi="Arial" w:cs="Arial"/>
                <w:lang w:val="en-CA"/>
              </w:rPr>
            </w:pPr>
            <w:r w:rsidRPr="0030399D">
              <w:rPr>
                <w:rFonts w:ascii="Arial" w:hAnsi="Arial" w:cs="Arial"/>
                <w:lang w:val="en-CA"/>
              </w:rPr>
              <w:t>9</w:t>
            </w:r>
          </w:p>
        </w:tc>
        <w:tc>
          <w:tcPr>
            <w:tcW w:w="1134" w:type="dxa"/>
            <w:shd w:val="clear" w:color="auto" w:fill="auto"/>
            <w:noWrap/>
          </w:tcPr>
          <w:p w14:paraId="4A8A6D24" w14:textId="77777777" w:rsidR="00F66071" w:rsidRPr="0030399D" w:rsidRDefault="00F66071" w:rsidP="007C129D">
            <w:pPr>
              <w:jc w:val="right"/>
              <w:rPr>
                <w:rFonts w:ascii="Arial" w:hAnsi="Arial" w:cs="Arial"/>
                <w:lang w:val="en-CA"/>
              </w:rPr>
            </w:pPr>
            <w:r w:rsidRPr="0030399D">
              <w:rPr>
                <w:rFonts w:ascii="Arial" w:hAnsi="Arial" w:cs="Arial"/>
                <w:lang w:val="en-CA"/>
              </w:rPr>
              <w:t>756</w:t>
            </w:r>
          </w:p>
        </w:tc>
      </w:tr>
      <w:tr w:rsidR="00F66071" w:rsidRPr="0030399D" w14:paraId="757E0E29" w14:textId="77777777" w:rsidTr="007C129D">
        <w:trPr>
          <w:trHeight w:val="227"/>
          <w:jc w:val="center"/>
        </w:trPr>
        <w:tc>
          <w:tcPr>
            <w:tcW w:w="1250" w:type="dxa"/>
            <w:shd w:val="clear" w:color="auto" w:fill="auto"/>
            <w:noWrap/>
            <w:vAlign w:val="center"/>
            <w:hideMark/>
          </w:tcPr>
          <w:p w14:paraId="3138CF09" w14:textId="77777777" w:rsidR="00F66071" w:rsidRPr="0030399D" w:rsidRDefault="00F66071" w:rsidP="007C129D">
            <w:pPr>
              <w:rPr>
                <w:rFonts w:ascii="Arial" w:hAnsi="Arial" w:cs="Arial"/>
                <w:lang w:val="en-CA"/>
              </w:rPr>
            </w:pPr>
            <w:r w:rsidRPr="0030399D">
              <w:rPr>
                <w:rFonts w:ascii="Arial" w:hAnsi="Arial" w:cs="Arial"/>
                <w:lang w:val="en-CA"/>
              </w:rPr>
              <w:t>France</w:t>
            </w:r>
          </w:p>
        </w:tc>
        <w:tc>
          <w:tcPr>
            <w:tcW w:w="1134" w:type="dxa"/>
            <w:shd w:val="clear" w:color="auto" w:fill="auto"/>
            <w:noWrap/>
          </w:tcPr>
          <w:p w14:paraId="6B6B6AAD" w14:textId="77777777" w:rsidR="00F66071" w:rsidRPr="0030399D" w:rsidRDefault="00F66071" w:rsidP="007C129D">
            <w:pPr>
              <w:jc w:val="right"/>
              <w:rPr>
                <w:rFonts w:ascii="Arial" w:hAnsi="Arial" w:cs="Arial"/>
                <w:lang w:val="en-CA"/>
              </w:rPr>
            </w:pPr>
            <w:r w:rsidRPr="0030399D">
              <w:rPr>
                <w:rFonts w:ascii="Arial" w:hAnsi="Arial" w:cs="Arial"/>
                <w:lang w:val="en-CA"/>
              </w:rPr>
              <w:t>553</w:t>
            </w:r>
          </w:p>
        </w:tc>
        <w:tc>
          <w:tcPr>
            <w:tcW w:w="1134" w:type="dxa"/>
            <w:shd w:val="clear" w:color="auto" w:fill="auto"/>
            <w:noWrap/>
          </w:tcPr>
          <w:p w14:paraId="12E869F5" w14:textId="77777777" w:rsidR="00F66071" w:rsidRPr="0030399D" w:rsidRDefault="00F66071" w:rsidP="007C129D">
            <w:pPr>
              <w:jc w:val="right"/>
              <w:rPr>
                <w:rFonts w:ascii="Arial" w:hAnsi="Arial" w:cs="Arial"/>
                <w:lang w:val="en-CA"/>
              </w:rPr>
            </w:pPr>
            <w:r w:rsidRPr="0030399D">
              <w:rPr>
                <w:rFonts w:ascii="Arial" w:hAnsi="Arial" w:cs="Arial"/>
                <w:lang w:val="en-CA"/>
              </w:rPr>
              <w:t>87</w:t>
            </w:r>
          </w:p>
        </w:tc>
        <w:tc>
          <w:tcPr>
            <w:tcW w:w="1134" w:type="dxa"/>
            <w:shd w:val="clear" w:color="auto" w:fill="auto"/>
            <w:noWrap/>
          </w:tcPr>
          <w:p w14:paraId="7935A043" w14:textId="77777777" w:rsidR="00F66071" w:rsidRPr="0030399D" w:rsidRDefault="00F66071" w:rsidP="007C129D">
            <w:pPr>
              <w:jc w:val="right"/>
              <w:rPr>
                <w:rFonts w:ascii="Arial" w:hAnsi="Arial" w:cs="Arial"/>
                <w:lang w:val="en-CA"/>
              </w:rPr>
            </w:pPr>
            <w:r w:rsidRPr="0030399D">
              <w:rPr>
                <w:rFonts w:ascii="Arial" w:hAnsi="Arial" w:cs="Arial"/>
                <w:lang w:val="en-CA"/>
              </w:rPr>
              <w:t>84</w:t>
            </w:r>
          </w:p>
        </w:tc>
        <w:tc>
          <w:tcPr>
            <w:tcW w:w="1134" w:type="dxa"/>
            <w:shd w:val="clear" w:color="auto" w:fill="auto"/>
            <w:noWrap/>
          </w:tcPr>
          <w:p w14:paraId="19521664" w14:textId="77777777" w:rsidR="00F66071" w:rsidRPr="0030399D" w:rsidRDefault="00F66071" w:rsidP="007C129D">
            <w:pPr>
              <w:jc w:val="right"/>
              <w:rPr>
                <w:rFonts w:ascii="Arial" w:hAnsi="Arial" w:cs="Arial"/>
                <w:lang w:val="en-CA"/>
              </w:rPr>
            </w:pPr>
            <w:r w:rsidRPr="0030399D">
              <w:rPr>
                <w:rFonts w:ascii="Arial" w:hAnsi="Arial" w:cs="Arial"/>
                <w:lang w:val="en-CA"/>
              </w:rPr>
              <w:t>13</w:t>
            </w:r>
          </w:p>
        </w:tc>
        <w:tc>
          <w:tcPr>
            <w:tcW w:w="1134" w:type="dxa"/>
            <w:shd w:val="clear" w:color="auto" w:fill="auto"/>
            <w:noWrap/>
          </w:tcPr>
          <w:p w14:paraId="7D31AB1A" w14:textId="77777777" w:rsidR="00F66071" w:rsidRPr="0030399D" w:rsidRDefault="00F66071" w:rsidP="007C129D">
            <w:pPr>
              <w:jc w:val="right"/>
              <w:rPr>
                <w:rFonts w:ascii="Arial" w:hAnsi="Arial" w:cs="Arial"/>
                <w:lang w:val="en-CA"/>
              </w:rPr>
            </w:pPr>
            <w:r w:rsidRPr="0030399D">
              <w:rPr>
                <w:rFonts w:ascii="Arial" w:hAnsi="Arial" w:cs="Arial"/>
                <w:lang w:val="en-CA"/>
              </w:rPr>
              <w:t>637</w:t>
            </w:r>
          </w:p>
        </w:tc>
      </w:tr>
      <w:tr w:rsidR="00F66071" w:rsidRPr="0030399D" w14:paraId="4BB00CB6" w14:textId="77777777" w:rsidTr="007C129D">
        <w:trPr>
          <w:trHeight w:val="227"/>
          <w:jc w:val="center"/>
        </w:trPr>
        <w:tc>
          <w:tcPr>
            <w:tcW w:w="1250" w:type="dxa"/>
            <w:shd w:val="clear" w:color="auto" w:fill="auto"/>
            <w:noWrap/>
            <w:vAlign w:val="center"/>
            <w:hideMark/>
          </w:tcPr>
          <w:p w14:paraId="7FF235B3" w14:textId="77777777" w:rsidR="00F66071" w:rsidRPr="0030399D" w:rsidRDefault="00F66071" w:rsidP="007C129D">
            <w:pPr>
              <w:rPr>
                <w:rFonts w:ascii="Arial" w:hAnsi="Arial" w:cs="Arial"/>
                <w:lang w:val="en-CA"/>
              </w:rPr>
            </w:pPr>
            <w:r w:rsidRPr="0030399D">
              <w:rPr>
                <w:rFonts w:ascii="Arial" w:hAnsi="Arial" w:cs="Arial"/>
                <w:lang w:val="en-CA"/>
              </w:rPr>
              <w:t>Germany</w:t>
            </w:r>
          </w:p>
        </w:tc>
        <w:tc>
          <w:tcPr>
            <w:tcW w:w="1134" w:type="dxa"/>
            <w:shd w:val="clear" w:color="auto" w:fill="auto"/>
            <w:noWrap/>
          </w:tcPr>
          <w:p w14:paraId="0A030925" w14:textId="77777777" w:rsidR="00F66071" w:rsidRPr="0030399D" w:rsidRDefault="00F66071" w:rsidP="007C129D">
            <w:pPr>
              <w:jc w:val="right"/>
              <w:rPr>
                <w:rFonts w:ascii="Arial" w:hAnsi="Arial" w:cs="Arial"/>
                <w:lang w:val="en-CA"/>
              </w:rPr>
            </w:pPr>
            <w:r w:rsidRPr="0030399D">
              <w:rPr>
                <w:rFonts w:ascii="Arial" w:hAnsi="Arial" w:cs="Arial"/>
                <w:lang w:val="en-CA"/>
              </w:rPr>
              <w:t>686</w:t>
            </w:r>
          </w:p>
        </w:tc>
        <w:tc>
          <w:tcPr>
            <w:tcW w:w="1134" w:type="dxa"/>
            <w:shd w:val="clear" w:color="auto" w:fill="auto"/>
            <w:noWrap/>
          </w:tcPr>
          <w:p w14:paraId="31828052" w14:textId="77777777" w:rsidR="00F66071" w:rsidRPr="0030399D" w:rsidRDefault="00F66071" w:rsidP="007C129D">
            <w:pPr>
              <w:jc w:val="right"/>
              <w:rPr>
                <w:rFonts w:ascii="Arial" w:hAnsi="Arial" w:cs="Arial"/>
                <w:lang w:val="en-CA"/>
              </w:rPr>
            </w:pPr>
            <w:r w:rsidRPr="0030399D">
              <w:rPr>
                <w:rFonts w:ascii="Arial" w:hAnsi="Arial" w:cs="Arial"/>
                <w:lang w:val="en-CA"/>
              </w:rPr>
              <w:t>90</w:t>
            </w:r>
          </w:p>
        </w:tc>
        <w:tc>
          <w:tcPr>
            <w:tcW w:w="1134" w:type="dxa"/>
            <w:shd w:val="clear" w:color="auto" w:fill="auto"/>
            <w:noWrap/>
          </w:tcPr>
          <w:p w14:paraId="7681A63F" w14:textId="77777777" w:rsidR="00F66071" w:rsidRPr="0030399D" w:rsidRDefault="00F66071" w:rsidP="007C129D">
            <w:pPr>
              <w:jc w:val="right"/>
              <w:rPr>
                <w:rFonts w:ascii="Arial" w:hAnsi="Arial" w:cs="Arial"/>
                <w:lang w:val="en-CA"/>
              </w:rPr>
            </w:pPr>
            <w:r w:rsidRPr="0030399D">
              <w:rPr>
                <w:rFonts w:ascii="Arial" w:hAnsi="Arial" w:cs="Arial"/>
                <w:lang w:val="en-CA"/>
              </w:rPr>
              <w:t>80</w:t>
            </w:r>
          </w:p>
        </w:tc>
        <w:tc>
          <w:tcPr>
            <w:tcW w:w="1134" w:type="dxa"/>
            <w:shd w:val="clear" w:color="auto" w:fill="auto"/>
            <w:noWrap/>
          </w:tcPr>
          <w:p w14:paraId="66D3C4A2" w14:textId="77777777" w:rsidR="00F66071" w:rsidRPr="0030399D" w:rsidRDefault="00F66071" w:rsidP="007C129D">
            <w:pPr>
              <w:jc w:val="right"/>
              <w:rPr>
                <w:rFonts w:ascii="Arial" w:hAnsi="Arial" w:cs="Arial"/>
                <w:lang w:val="en-CA"/>
              </w:rPr>
            </w:pPr>
            <w:r w:rsidRPr="0030399D">
              <w:rPr>
                <w:rFonts w:ascii="Arial" w:hAnsi="Arial" w:cs="Arial"/>
                <w:lang w:val="en-CA"/>
              </w:rPr>
              <w:t>10</w:t>
            </w:r>
          </w:p>
        </w:tc>
        <w:tc>
          <w:tcPr>
            <w:tcW w:w="1134" w:type="dxa"/>
            <w:shd w:val="clear" w:color="auto" w:fill="auto"/>
            <w:noWrap/>
          </w:tcPr>
          <w:p w14:paraId="652B5D88" w14:textId="77777777" w:rsidR="00F66071" w:rsidRPr="0030399D" w:rsidRDefault="00F66071" w:rsidP="007C129D">
            <w:pPr>
              <w:jc w:val="right"/>
              <w:rPr>
                <w:rFonts w:ascii="Arial" w:hAnsi="Arial" w:cs="Arial"/>
                <w:lang w:val="en-CA"/>
              </w:rPr>
            </w:pPr>
            <w:r w:rsidRPr="0030399D">
              <w:rPr>
                <w:rFonts w:ascii="Arial" w:hAnsi="Arial" w:cs="Arial"/>
                <w:lang w:val="en-CA"/>
              </w:rPr>
              <w:t>766</w:t>
            </w:r>
          </w:p>
        </w:tc>
      </w:tr>
      <w:tr w:rsidR="00F66071" w:rsidRPr="0030399D" w14:paraId="391B4BE3" w14:textId="77777777" w:rsidTr="007C129D">
        <w:trPr>
          <w:trHeight w:val="227"/>
          <w:jc w:val="center"/>
        </w:trPr>
        <w:tc>
          <w:tcPr>
            <w:tcW w:w="1250" w:type="dxa"/>
            <w:shd w:val="clear" w:color="auto" w:fill="auto"/>
            <w:noWrap/>
            <w:vAlign w:val="center"/>
            <w:hideMark/>
          </w:tcPr>
          <w:p w14:paraId="3BE487F2" w14:textId="77777777" w:rsidR="00F66071" w:rsidRPr="0030399D" w:rsidRDefault="00F66071" w:rsidP="007C129D">
            <w:pPr>
              <w:rPr>
                <w:rFonts w:ascii="Arial" w:hAnsi="Arial" w:cs="Arial"/>
                <w:lang w:val="en-CA"/>
              </w:rPr>
            </w:pPr>
            <w:r w:rsidRPr="0030399D">
              <w:rPr>
                <w:rFonts w:ascii="Arial" w:hAnsi="Arial" w:cs="Arial"/>
                <w:lang w:val="en-CA"/>
              </w:rPr>
              <w:t>Japan</w:t>
            </w:r>
          </w:p>
        </w:tc>
        <w:tc>
          <w:tcPr>
            <w:tcW w:w="1134" w:type="dxa"/>
            <w:shd w:val="clear" w:color="auto" w:fill="auto"/>
            <w:noWrap/>
          </w:tcPr>
          <w:p w14:paraId="494022FC" w14:textId="77777777" w:rsidR="00F66071" w:rsidRPr="0030399D" w:rsidRDefault="00F66071" w:rsidP="007C129D">
            <w:pPr>
              <w:jc w:val="right"/>
              <w:rPr>
                <w:rFonts w:ascii="Arial" w:hAnsi="Arial" w:cs="Arial"/>
                <w:lang w:val="en-CA"/>
              </w:rPr>
            </w:pPr>
            <w:r w:rsidRPr="0030399D">
              <w:rPr>
                <w:rFonts w:ascii="Arial" w:hAnsi="Arial" w:cs="Arial"/>
                <w:lang w:val="en-CA"/>
              </w:rPr>
              <w:t>685</w:t>
            </w:r>
          </w:p>
        </w:tc>
        <w:tc>
          <w:tcPr>
            <w:tcW w:w="1134" w:type="dxa"/>
            <w:shd w:val="clear" w:color="auto" w:fill="auto"/>
            <w:noWrap/>
          </w:tcPr>
          <w:p w14:paraId="3C8AEFBE" w14:textId="77777777" w:rsidR="00F66071" w:rsidRPr="0030399D" w:rsidRDefault="00F66071" w:rsidP="007C129D">
            <w:pPr>
              <w:jc w:val="right"/>
              <w:rPr>
                <w:rFonts w:ascii="Arial" w:hAnsi="Arial" w:cs="Arial"/>
                <w:lang w:val="en-CA"/>
              </w:rPr>
            </w:pPr>
            <w:r w:rsidRPr="0030399D">
              <w:rPr>
                <w:rFonts w:ascii="Arial" w:hAnsi="Arial" w:cs="Arial"/>
                <w:lang w:val="en-CA"/>
              </w:rPr>
              <w:t>86</w:t>
            </w:r>
          </w:p>
        </w:tc>
        <w:tc>
          <w:tcPr>
            <w:tcW w:w="1134" w:type="dxa"/>
            <w:shd w:val="clear" w:color="auto" w:fill="auto"/>
            <w:noWrap/>
          </w:tcPr>
          <w:p w14:paraId="391C2FD4" w14:textId="77777777" w:rsidR="00F66071" w:rsidRPr="0030399D" w:rsidRDefault="00F66071" w:rsidP="007C129D">
            <w:pPr>
              <w:jc w:val="right"/>
              <w:rPr>
                <w:rFonts w:ascii="Arial" w:hAnsi="Arial" w:cs="Arial"/>
                <w:lang w:val="en-CA"/>
              </w:rPr>
            </w:pPr>
            <w:r w:rsidRPr="0030399D">
              <w:rPr>
                <w:rFonts w:ascii="Arial" w:hAnsi="Arial" w:cs="Arial"/>
                <w:lang w:val="en-CA"/>
              </w:rPr>
              <w:t>113</w:t>
            </w:r>
          </w:p>
        </w:tc>
        <w:tc>
          <w:tcPr>
            <w:tcW w:w="1134" w:type="dxa"/>
            <w:shd w:val="clear" w:color="auto" w:fill="auto"/>
            <w:noWrap/>
          </w:tcPr>
          <w:p w14:paraId="0963AFC3" w14:textId="77777777" w:rsidR="00F66071" w:rsidRPr="0030399D" w:rsidRDefault="00F66071" w:rsidP="007C129D">
            <w:pPr>
              <w:jc w:val="right"/>
              <w:rPr>
                <w:rFonts w:ascii="Arial" w:hAnsi="Arial" w:cs="Arial"/>
                <w:lang w:val="en-CA"/>
              </w:rPr>
            </w:pPr>
            <w:r w:rsidRPr="0030399D">
              <w:rPr>
                <w:rFonts w:ascii="Arial" w:hAnsi="Arial" w:cs="Arial"/>
                <w:lang w:val="en-CA"/>
              </w:rPr>
              <w:t>14</w:t>
            </w:r>
          </w:p>
        </w:tc>
        <w:tc>
          <w:tcPr>
            <w:tcW w:w="1134" w:type="dxa"/>
            <w:shd w:val="clear" w:color="auto" w:fill="auto"/>
            <w:noWrap/>
          </w:tcPr>
          <w:p w14:paraId="505A73DA" w14:textId="77777777" w:rsidR="00F66071" w:rsidRPr="0030399D" w:rsidRDefault="00F66071" w:rsidP="007C129D">
            <w:pPr>
              <w:jc w:val="right"/>
              <w:rPr>
                <w:rFonts w:ascii="Arial" w:hAnsi="Arial" w:cs="Arial"/>
                <w:lang w:val="en-CA"/>
              </w:rPr>
            </w:pPr>
            <w:r w:rsidRPr="0030399D">
              <w:rPr>
                <w:rFonts w:ascii="Arial" w:hAnsi="Arial" w:cs="Arial"/>
                <w:lang w:val="en-CA"/>
              </w:rPr>
              <w:t>798</w:t>
            </w:r>
          </w:p>
        </w:tc>
      </w:tr>
      <w:tr w:rsidR="00F66071" w:rsidRPr="0030399D" w14:paraId="5504D74C" w14:textId="77777777" w:rsidTr="007C129D">
        <w:trPr>
          <w:trHeight w:val="227"/>
          <w:jc w:val="center"/>
        </w:trPr>
        <w:tc>
          <w:tcPr>
            <w:tcW w:w="1250" w:type="dxa"/>
            <w:shd w:val="clear" w:color="auto" w:fill="auto"/>
            <w:noWrap/>
            <w:vAlign w:val="center"/>
            <w:hideMark/>
          </w:tcPr>
          <w:p w14:paraId="673B0733" w14:textId="77777777" w:rsidR="00F66071" w:rsidRPr="0030399D" w:rsidRDefault="00F66071" w:rsidP="007C129D">
            <w:pPr>
              <w:rPr>
                <w:rFonts w:ascii="Arial" w:hAnsi="Arial" w:cs="Arial"/>
                <w:lang w:val="en-CA"/>
              </w:rPr>
            </w:pPr>
            <w:r w:rsidRPr="0030399D">
              <w:rPr>
                <w:rFonts w:ascii="Arial" w:hAnsi="Arial" w:cs="Arial"/>
                <w:lang w:val="en-CA"/>
              </w:rPr>
              <w:t>Poland</w:t>
            </w:r>
          </w:p>
        </w:tc>
        <w:tc>
          <w:tcPr>
            <w:tcW w:w="1134" w:type="dxa"/>
            <w:shd w:val="clear" w:color="auto" w:fill="auto"/>
            <w:noWrap/>
          </w:tcPr>
          <w:p w14:paraId="5E901128" w14:textId="77777777" w:rsidR="00F66071" w:rsidRPr="0030399D" w:rsidRDefault="00F66071" w:rsidP="007C129D">
            <w:pPr>
              <w:jc w:val="right"/>
              <w:rPr>
                <w:rFonts w:ascii="Arial" w:hAnsi="Arial" w:cs="Arial"/>
                <w:lang w:val="en-CA"/>
              </w:rPr>
            </w:pPr>
            <w:r w:rsidRPr="0030399D">
              <w:rPr>
                <w:rFonts w:ascii="Arial" w:hAnsi="Arial" w:cs="Arial"/>
                <w:lang w:val="en-CA"/>
              </w:rPr>
              <w:t>171</w:t>
            </w:r>
          </w:p>
        </w:tc>
        <w:tc>
          <w:tcPr>
            <w:tcW w:w="1134" w:type="dxa"/>
            <w:shd w:val="clear" w:color="auto" w:fill="auto"/>
            <w:noWrap/>
          </w:tcPr>
          <w:p w14:paraId="57EF1F5F" w14:textId="77777777" w:rsidR="00F66071" w:rsidRPr="0030399D" w:rsidRDefault="00F66071" w:rsidP="007C129D">
            <w:pPr>
              <w:jc w:val="right"/>
              <w:rPr>
                <w:rFonts w:ascii="Arial" w:hAnsi="Arial" w:cs="Arial"/>
                <w:lang w:val="en-CA"/>
              </w:rPr>
            </w:pPr>
            <w:r w:rsidRPr="0030399D">
              <w:rPr>
                <w:rFonts w:ascii="Arial" w:hAnsi="Arial" w:cs="Arial"/>
                <w:lang w:val="en-CA"/>
              </w:rPr>
              <w:t>49</w:t>
            </w:r>
          </w:p>
        </w:tc>
        <w:tc>
          <w:tcPr>
            <w:tcW w:w="1134" w:type="dxa"/>
            <w:shd w:val="clear" w:color="auto" w:fill="auto"/>
            <w:noWrap/>
          </w:tcPr>
          <w:p w14:paraId="0B935250" w14:textId="77777777" w:rsidR="00F66071" w:rsidRPr="0030399D" w:rsidRDefault="00F66071" w:rsidP="007C129D">
            <w:pPr>
              <w:jc w:val="right"/>
              <w:rPr>
                <w:rFonts w:ascii="Arial" w:hAnsi="Arial" w:cs="Arial"/>
                <w:lang w:val="en-CA"/>
              </w:rPr>
            </w:pPr>
            <w:r w:rsidRPr="0030399D">
              <w:rPr>
                <w:rFonts w:ascii="Arial" w:hAnsi="Arial" w:cs="Arial"/>
                <w:lang w:val="en-CA"/>
              </w:rPr>
              <w:t>181</w:t>
            </w:r>
          </w:p>
        </w:tc>
        <w:tc>
          <w:tcPr>
            <w:tcW w:w="1134" w:type="dxa"/>
            <w:shd w:val="clear" w:color="auto" w:fill="auto"/>
            <w:noWrap/>
          </w:tcPr>
          <w:p w14:paraId="2DC96F86" w14:textId="77777777" w:rsidR="00F66071" w:rsidRPr="0030399D" w:rsidRDefault="00F66071" w:rsidP="007C129D">
            <w:pPr>
              <w:jc w:val="right"/>
              <w:rPr>
                <w:rFonts w:ascii="Arial" w:hAnsi="Arial" w:cs="Arial"/>
                <w:lang w:val="en-CA"/>
              </w:rPr>
            </w:pPr>
            <w:r w:rsidRPr="0030399D">
              <w:rPr>
                <w:rFonts w:ascii="Arial" w:hAnsi="Arial" w:cs="Arial"/>
                <w:lang w:val="en-CA"/>
              </w:rPr>
              <w:t>51</w:t>
            </w:r>
          </w:p>
        </w:tc>
        <w:tc>
          <w:tcPr>
            <w:tcW w:w="1134" w:type="dxa"/>
            <w:shd w:val="clear" w:color="auto" w:fill="auto"/>
            <w:noWrap/>
          </w:tcPr>
          <w:p w14:paraId="23C844D1" w14:textId="77777777" w:rsidR="00F66071" w:rsidRPr="0030399D" w:rsidRDefault="00F66071" w:rsidP="007C129D">
            <w:pPr>
              <w:jc w:val="right"/>
              <w:rPr>
                <w:rFonts w:ascii="Arial" w:hAnsi="Arial" w:cs="Arial"/>
                <w:lang w:val="en-CA"/>
              </w:rPr>
            </w:pPr>
            <w:r w:rsidRPr="0030399D">
              <w:rPr>
                <w:rFonts w:ascii="Arial" w:hAnsi="Arial" w:cs="Arial"/>
                <w:lang w:val="en-CA"/>
              </w:rPr>
              <w:t>352</w:t>
            </w:r>
          </w:p>
        </w:tc>
      </w:tr>
      <w:tr w:rsidR="00F66071" w:rsidRPr="0030399D" w14:paraId="550583F4" w14:textId="77777777" w:rsidTr="007C129D">
        <w:trPr>
          <w:trHeight w:val="227"/>
          <w:jc w:val="center"/>
        </w:trPr>
        <w:tc>
          <w:tcPr>
            <w:tcW w:w="1250" w:type="dxa"/>
            <w:shd w:val="clear" w:color="auto" w:fill="auto"/>
            <w:noWrap/>
            <w:vAlign w:val="center"/>
          </w:tcPr>
          <w:p w14:paraId="35C4627D" w14:textId="77777777" w:rsidR="00F66071" w:rsidRPr="0030399D" w:rsidRDefault="00F66071" w:rsidP="007C129D">
            <w:pPr>
              <w:rPr>
                <w:rFonts w:ascii="Arial" w:hAnsi="Arial" w:cs="Arial"/>
                <w:lang w:val="en-CA"/>
              </w:rPr>
            </w:pPr>
            <w:r w:rsidRPr="0030399D">
              <w:rPr>
                <w:rFonts w:ascii="Arial" w:hAnsi="Arial" w:cs="Arial"/>
                <w:lang w:val="en-CA"/>
              </w:rPr>
              <w:t>Spain</w:t>
            </w:r>
          </w:p>
        </w:tc>
        <w:tc>
          <w:tcPr>
            <w:tcW w:w="1134" w:type="dxa"/>
            <w:shd w:val="clear" w:color="auto" w:fill="auto"/>
            <w:noWrap/>
          </w:tcPr>
          <w:p w14:paraId="4A03341F" w14:textId="77777777" w:rsidR="00F66071" w:rsidRPr="0030399D" w:rsidRDefault="00F66071" w:rsidP="007C129D">
            <w:pPr>
              <w:jc w:val="right"/>
              <w:rPr>
                <w:rFonts w:ascii="Arial" w:hAnsi="Arial" w:cs="Arial"/>
                <w:lang w:val="en-CA"/>
              </w:rPr>
            </w:pPr>
            <w:r w:rsidRPr="0030399D">
              <w:rPr>
                <w:rFonts w:ascii="Arial" w:hAnsi="Arial" w:cs="Arial"/>
                <w:lang w:val="en-CA"/>
              </w:rPr>
              <w:t>366</w:t>
            </w:r>
          </w:p>
        </w:tc>
        <w:tc>
          <w:tcPr>
            <w:tcW w:w="1134" w:type="dxa"/>
            <w:shd w:val="clear" w:color="auto" w:fill="auto"/>
            <w:noWrap/>
          </w:tcPr>
          <w:p w14:paraId="77F35383" w14:textId="77777777" w:rsidR="00F66071" w:rsidRPr="0030399D" w:rsidRDefault="00F66071" w:rsidP="007C129D">
            <w:pPr>
              <w:jc w:val="right"/>
              <w:rPr>
                <w:rFonts w:ascii="Arial" w:hAnsi="Arial" w:cs="Arial"/>
                <w:lang w:val="en-CA"/>
              </w:rPr>
            </w:pPr>
            <w:r w:rsidRPr="0030399D">
              <w:rPr>
                <w:rFonts w:ascii="Arial" w:hAnsi="Arial" w:cs="Arial"/>
                <w:lang w:val="en-CA"/>
              </w:rPr>
              <w:t>66</w:t>
            </w:r>
          </w:p>
        </w:tc>
        <w:tc>
          <w:tcPr>
            <w:tcW w:w="1134" w:type="dxa"/>
            <w:shd w:val="clear" w:color="auto" w:fill="auto"/>
            <w:noWrap/>
          </w:tcPr>
          <w:p w14:paraId="4CD7C904" w14:textId="77777777" w:rsidR="00F66071" w:rsidRPr="0030399D" w:rsidRDefault="00F66071" w:rsidP="007C129D">
            <w:pPr>
              <w:jc w:val="right"/>
              <w:rPr>
                <w:rFonts w:ascii="Arial" w:hAnsi="Arial" w:cs="Arial"/>
                <w:lang w:val="en-CA"/>
              </w:rPr>
            </w:pPr>
            <w:r w:rsidRPr="0030399D">
              <w:rPr>
                <w:rFonts w:ascii="Arial" w:hAnsi="Arial" w:cs="Arial"/>
                <w:lang w:val="en-CA"/>
              </w:rPr>
              <w:t>184</w:t>
            </w:r>
          </w:p>
        </w:tc>
        <w:tc>
          <w:tcPr>
            <w:tcW w:w="1134" w:type="dxa"/>
            <w:shd w:val="clear" w:color="auto" w:fill="auto"/>
            <w:noWrap/>
          </w:tcPr>
          <w:p w14:paraId="0D47852F" w14:textId="77777777" w:rsidR="00F66071" w:rsidRPr="0030399D" w:rsidRDefault="00F66071" w:rsidP="007C129D">
            <w:pPr>
              <w:jc w:val="right"/>
              <w:rPr>
                <w:rFonts w:ascii="Arial" w:hAnsi="Arial" w:cs="Arial"/>
                <w:lang w:val="en-CA"/>
              </w:rPr>
            </w:pPr>
            <w:r w:rsidRPr="0030399D">
              <w:rPr>
                <w:rFonts w:ascii="Arial" w:hAnsi="Arial" w:cs="Arial"/>
                <w:lang w:val="en-CA"/>
              </w:rPr>
              <w:t>34</w:t>
            </w:r>
          </w:p>
        </w:tc>
        <w:tc>
          <w:tcPr>
            <w:tcW w:w="1134" w:type="dxa"/>
            <w:shd w:val="clear" w:color="auto" w:fill="auto"/>
            <w:noWrap/>
          </w:tcPr>
          <w:p w14:paraId="0BCD10AD" w14:textId="77777777" w:rsidR="00F66071" w:rsidRPr="0030399D" w:rsidRDefault="00F66071" w:rsidP="007C129D">
            <w:pPr>
              <w:jc w:val="right"/>
              <w:rPr>
                <w:rFonts w:ascii="Arial" w:hAnsi="Arial" w:cs="Arial"/>
                <w:lang w:val="en-CA"/>
              </w:rPr>
            </w:pPr>
            <w:r w:rsidRPr="0030399D">
              <w:rPr>
                <w:rFonts w:ascii="Arial" w:hAnsi="Arial" w:cs="Arial"/>
                <w:lang w:val="en-CA"/>
              </w:rPr>
              <w:t>550</w:t>
            </w:r>
          </w:p>
        </w:tc>
      </w:tr>
      <w:tr w:rsidR="00F66071" w:rsidRPr="0030399D" w14:paraId="4796FB11" w14:textId="77777777" w:rsidTr="007C129D">
        <w:trPr>
          <w:trHeight w:val="227"/>
          <w:jc w:val="center"/>
        </w:trPr>
        <w:tc>
          <w:tcPr>
            <w:tcW w:w="1250" w:type="dxa"/>
            <w:shd w:val="clear" w:color="auto" w:fill="auto"/>
            <w:noWrap/>
            <w:vAlign w:val="center"/>
            <w:hideMark/>
          </w:tcPr>
          <w:p w14:paraId="4FA40FF1" w14:textId="77777777" w:rsidR="00F66071" w:rsidRPr="0030399D" w:rsidRDefault="00F66071" w:rsidP="007C129D">
            <w:pPr>
              <w:rPr>
                <w:rFonts w:ascii="Arial" w:hAnsi="Arial" w:cs="Arial"/>
                <w:lang w:val="en-CA"/>
              </w:rPr>
            </w:pPr>
            <w:r w:rsidRPr="0030399D">
              <w:rPr>
                <w:rFonts w:ascii="Arial" w:hAnsi="Arial" w:cs="Arial"/>
                <w:lang w:val="en-CA"/>
              </w:rPr>
              <w:t>Sweden</w:t>
            </w:r>
          </w:p>
        </w:tc>
        <w:tc>
          <w:tcPr>
            <w:tcW w:w="1134" w:type="dxa"/>
            <w:shd w:val="clear" w:color="auto" w:fill="auto"/>
            <w:noWrap/>
          </w:tcPr>
          <w:p w14:paraId="64046465" w14:textId="77777777" w:rsidR="00F66071" w:rsidRPr="0030399D" w:rsidRDefault="00F66071" w:rsidP="007C129D">
            <w:pPr>
              <w:jc w:val="right"/>
              <w:rPr>
                <w:rFonts w:ascii="Arial" w:hAnsi="Arial" w:cs="Arial"/>
                <w:lang w:val="en-CA"/>
              </w:rPr>
            </w:pPr>
            <w:r w:rsidRPr="0030399D">
              <w:rPr>
                <w:rFonts w:ascii="Arial" w:hAnsi="Arial" w:cs="Arial"/>
                <w:lang w:val="en-CA"/>
              </w:rPr>
              <w:t>351</w:t>
            </w:r>
          </w:p>
        </w:tc>
        <w:tc>
          <w:tcPr>
            <w:tcW w:w="1134" w:type="dxa"/>
            <w:shd w:val="clear" w:color="auto" w:fill="auto"/>
            <w:noWrap/>
          </w:tcPr>
          <w:p w14:paraId="178C5A59" w14:textId="77777777" w:rsidR="00F66071" w:rsidRPr="0030399D" w:rsidRDefault="00F66071" w:rsidP="007C129D">
            <w:pPr>
              <w:jc w:val="right"/>
              <w:rPr>
                <w:rFonts w:ascii="Arial" w:hAnsi="Arial" w:cs="Arial"/>
                <w:lang w:val="en-CA"/>
              </w:rPr>
            </w:pPr>
            <w:r w:rsidRPr="0030399D">
              <w:rPr>
                <w:rFonts w:ascii="Arial" w:hAnsi="Arial" w:cs="Arial"/>
                <w:lang w:val="en-CA"/>
              </w:rPr>
              <w:t>73</w:t>
            </w:r>
          </w:p>
        </w:tc>
        <w:tc>
          <w:tcPr>
            <w:tcW w:w="1134" w:type="dxa"/>
            <w:shd w:val="clear" w:color="auto" w:fill="auto"/>
            <w:noWrap/>
          </w:tcPr>
          <w:p w14:paraId="7E72D222" w14:textId="77777777" w:rsidR="00F66071" w:rsidRPr="0030399D" w:rsidRDefault="00F66071" w:rsidP="007C129D">
            <w:pPr>
              <w:jc w:val="right"/>
              <w:rPr>
                <w:rFonts w:ascii="Arial" w:hAnsi="Arial" w:cs="Arial"/>
                <w:lang w:val="en-CA"/>
              </w:rPr>
            </w:pPr>
            <w:r w:rsidRPr="0030399D">
              <w:rPr>
                <w:rFonts w:ascii="Arial" w:hAnsi="Arial" w:cs="Arial"/>
                <w:lang w:val="en-CA"/>
              </w:rPr>
              <w:t>128</w:t>
            </w:r>
          </w:p>
        </w:tc>
        <w:tc>
          <w:tcPr>
            <w:tcW w:w="1134" w:type="dxa"/>
            <w:shd w:val="clear" w:color="auto" w:fill="auto"/>
            <w:noWrap/>
          </w:tcPr>
          <w:p w14:paraId="15F45F56" w14:textId="77777777" w:rsidR="00F66071" w:rsidRPr="0030399D" w:rsidRDefault="00F66071" w:rsidP="007C129D">
            <w:pPr>
              <w:jc w:val="right"/>
              <w:rPr>
                <w:rFonts w:ascii="Arial" w:hAnsi="Arial" w:cs="Arial"/>
                <w:lang w:val="en-CA"/>
              </w:rPr>
            </w:pPr>
            <w:r w:rsidRPr="0030399D">
              <w:rPr>
                <w:rFonts w:ascii="Arial" w:hAnsi="Arial" w:cs="Arial"/>
                <w:lang w:val="en-CA"/>
              </w:rPr>
              <w:t>27</w:t>
            </w:r>
          </w:p>
        </w:tc>
        <w:tc>
          <w:tcPr>
            <w:tcW w:w="1134" w:type="dxa"/>
            <w:shd w:val="clear" w:color="auto" w:fill="auto"/>
            <w:noWrap/>
          </w:tcPr>
          <w:p w14:paraId="5AFA18D1" w14:textId="77777777" w:rsidR="00F66071" w:rsidRPr="0030399D" w:rsidRDefault="00F66071" w:rsidP="007C129D">
            <w:pPr>
              <w:jc w:val="right"/>
              <w:rPr>
                <w:rFonts w:ascii="Arial" w:hAnsi="Arial" w:cs="Arial"/>
                <w:lang w:val="en-CA"/>
              </w:rPr>
            </w:pPr>
            <w:r w:rsidRPr="0030399D">
              <w:rPr>
                <w:rFonts w:ascii="Arial" w:hAnsi="Arial" w:cs="Arial"/>
                <w:lang w:val="en-CA"/>
              </w:rPr>
              <w:t>479</w:t>
            </w:r>
          </w:p>
        </w:tc>
      </w:tr>
      <w:tr w:rsidR="00F66071" w:rsidRPr="0030399D" w14:paraId="3FA56B92" w14:textId="77777777" w:rsidTr="007C129D">
        <w:trPr>
          <w:trHeight w:val="227"/>
          <w:jc w:val="center"/>
        </w:trPr>
        <w:tc>
          <w:tcPr>
            <w:tcW w:w="1250" w:type="dxa"/>
            <w:shd w:val="clear" w:color="auto" w:fill="auto"/>
            <w:noWrap/>
            <w:vAlign w:val="center"/>
            <w:hideMark/>
          </w:tcPr>
          <w:p w14:paraId="062A9FA9" w14:textId="77777777" w:rsidR="00F66071" w:rsidRPr="0030399D" w:rsidRDefault="00F66071" w:rsidP="007C129D">
            <w:pPr>
              <w:rPr>
                <w:rFonts w:ascii="Arial" w:hAnsi="Arial" w:cs="Arial"/>
                <w:lang w:val="en-CA"/>
              </w:rPr>
            </w:pPr>
            <w:r w:rsidRPr="0030399D">
              <w:rPr>
                <w:rFonts w:ascii="Arial" w:hAnsi="Arial" w:cs="Arial"/>
                <w:lang w:val="en-CA"/>
              </w:rPr>
              <w:t>US</w:t>
            </w:r>
          </w:p>
        </w:tc>
        <w:tc>
          <w:tcPr>
            <w:tcW w:w="1134" w:type="dxa"/>
            <w:shd w:val="clear" w:color="auto" w:fill="auto"/>
            <w:noWrap/>
          </w:tcPr>
          <w:p w14:paraId="2C3BB9C3" w14:textId="77777777" w:rsidR="00F66071" w:rsidRPr="0030399D" w:rsidRDefault="00F66071" w:rsidP="007C129D">
            <w:pPr>
              <w:jc w:val="right"/>
              <w:rPr>
                <w:rFonts w:ascii="Arial" w:hAnsi="Arial" w:cs="Arial"/>
                <w:lang w:val="en-CA"/>
              </w:rPr>
            </w:pPr>
            <w:r w:rsidRPr="0030399D">
              <w:rPr>
                <w:rFonts w:ascii="Arial" w:hAnsi="Arial" w:cs="Arial"/>
                <w:lang w:val="en-CA"/>
              </w:rPr>
              <w:t>1,011</w:t>
            </w:r>
          </w:p>
        </w:tc>
        <w:tc>
          <w:tcPr>
            <w:tcW w:w="1134" w:type="dxa"/>
            <w:shd w:val="clear" w:color="auto" w:fill="auto"/>
            <w:noWrap/>
          </w:tcPr>
          <w:p w14:paraId="0A523D7E" w14:textId="77777777" w:rsidR="00F66071" w:rsidRPr="0030399D" w:rsidRDefault="00F66071" w:rsidP="007C129D">
            <w:pPr>
              <w:jc w:val="right"/>
              <w:rPr>
                <w:rFonts w:ascii="Arial" w:hAnsi="Arial" w:cs="Arial"/>
                <w:lang w:val="en-CA"/>
              </w:rPr>
            </w:pPr>
            <w:r w:rsidRPr="0030399D">
              <w:rPr>
                <w:rFonts w:ascii="Arial" w:hAnsi="Arial" w:cs="Arial"/>
                <w:lang w:val="en-CA"/>
              </w:rPr>
              <w:t>87</w:t>
            </w:r>
          </w:p>
        </w:tc>
        <w:tc>
          <w:tcPr>
            <w:tcW w:w="1134" w:type="dxa"/>
            <w:shd w:val="clear" w:color="auto" w:fill="auto"/>
            <w:noWrap/>
          </w:tcPr>
          <w:p w14:paraId="100DC179" w14:textId="77777777" w:rsidR="00F66071" w:rsidRPr="0030399D" w:rsidRDefault="00F66071" w:rsidP="007C129D">
            <w:pPr>
              <w:jc w:val="right"/>
              <w:rPr>
                <w:rFonts w:ascii="Arial" w:hAnsi="Arial" w:cs="Arial"/>
                <w:lang w:val="en-CA"/>
              </w:rPr>
            </w:pPr>
            <w:r w:rsidRPr="0030399D">
              <w:rPr>
                <w:rFonts w:ascii="Arial" w:hAnsi="Arial" w:cs="Arial"/>
                <w:lang w:val="en-CA"/>
              </w:rPr>
              <w:t>151</w:t>
            </w:r>
          </w:p>
        </w:tc>
        <w:tc>
          <w:tcPr>
            <w:tcW w:w="1134" w:type="dxa"/>
            <w:shd w:val="clear" w:color="auto" w:fill="auto"/>
            <w:noWrap/>
          </w:tcPr>
          <w:p w14:paraId="7AC4095C" w14:textId="77777777" w:rsidR="00F66071" w:rsidRPr="0030399D" w:rsidRDefault="00F66071" w:rsidP="007C129D">
            <w:pPr>
              <w:jc w:val="right"/>
              <w:rPr>
                <w:rFonts w:ascii="Arial" w:hAnsi="Arial" w:cs="Arial"/>
                <w:lang w:val="en-CA"/>
              </w:rPr>
            </w:pPr>
            <w:r w:rsidRPr="0030399D">
              <w:rPr>
                <w:rFonts w:ascii="Arial" w:hAnsi="Arial" w:cs="Arial"/>
                <w:lang w:val="en-CA"/>
              </w:rPr>
              <w:t>13</w:t>
            </w:r>
          </w:p>
        </w:tc>
        <w:tc>
          <w:tcPr>
            <w:tcW w:w="1134" w:type="dxa"/>
            <w:shd w:val="clear" w:color="auto" w:fill="auto"/>
            <w:noWrap/>
          </w:tcPr>
          <w:p w14:paraId="4DA7F66C" w14:textId="77777777" w:rsidR="00F66071" w:rsidRPr="0030399D" w:rsidRDefault="00F66071" w:rsidP="007C129D">
            <w:pPr>
              <w:jc w:val="right"/>
              <w:rPr>
                <w:rFonts w:ascii="Arial" w:hAnsi="Arial" w:cs="Arial"/>
                <w:lang w:val="en-CA"/>
              </w:rPr>
            </w:pPr>
            <w:r w:rsidRPr="0030399D">
              <w:rPr>
                <w:rFonts w:ascii="Arial" w:hAnsi="Arial" w:cs="Arial"/>
                <w:lang w:val="en-CA"/>
              </w:rPr>
              <w:t>1,162</w:t>
            </w:r>
          </w:p>
        </w:tc>
      </w:tr>
    </w:tbl>
    <w:p w14:paraId="481C8DD1" w14:textId="77777777" w:rsidR="00F66071" w:rsidRPr="0030399D" w:rsidRDefault="00F66071" w:rsidP="00F66071">
      <w:pPr>
        <w:pStyle w:val="ExhibitText"/>
        <w:rPr>
          <w:lang w:val="en-CA"/>
        </w:rPr>
      </w:pPr>
    </w:p>
    <w:p w14:paraId="0A79533C" w14:textId="77777777" w:rsidR="00F66071" w:rsidRPr="0030399D" w:rsidRDefault="00F66071" w:rsidP="00F66071">
      <w:pPr>
        <w:pStyle w:val="Footnote"/>
        <w:rPr>
          <w:rStyle w:val="FussnotenZchn"/>
          <w:i/>
          <w:lang w:val="en-CA"/>
        </w:rPr>
      </w:pPr>
      <w:r w:rsidRPr="0030399D">
        <w:rPr>
          <w:lang w:val="en-CA"/>
        </w:rPr>
        <w:t xml:space="preserve">Source: OECD, </w:t>
      </w:r>
      <w:r w:rsidRPr="0030399D">
        <w:rPr>
          <w:i/>
          <w:lang w:val="en-CA"/>
        </w:rPr>
        <w:t>Health at a Glance 2017: OECD Indicators</w:t>
      </w:r>
      <w:r w:rsidRPr="0030399D">
        <w:rPr>
          <w:lang w:val="en-CA"/>
        </w:rPr>
        <w:t xml:space="preserve"> (Paris: OECD Publishing, 2017), accessed May 13, 2019, doi.org/10.1787/health_glance-2017-en.</w:t>
      </w:r>
    </w:p>
    <w:p w14:paraId="6B7AE323" w14:textId="77777777" w:rsidR="00F66071" w:rsidRPr="0030399D" w:rsidRDefault="00F66071" w:rsidP="00F66071">
      <w:pPr>
        <w:pStyle w:val="ExhibitText"/>
        <w:rPr>
          <w:lang w:val="en-CA"/>
        </w:rPr>
      </w:pPr>
    </w:p>
    <w:p w14:paraId="64689459" w14:textId="77777777" w:rsidR="00F66071" w:rsidRPr="0030399D" w:rsidRDefault="00F66071" w:rsidP="00F66071">
      <w:pPr>
        <w:pStyle w:val="ExhibitText"/>
        <w:rPr>
          <w:lang w:val="en-CA"/>
        </w:rPr>
      </w:pPr>
    </w:p>
    <w:p w14:paraId="1B10040F" w14:textId="56661C12" w:rsidR="00F66071" w:rsidRPr="0030399D" w:rsidRDefault="00F66071" w:rsidP="00F66071">
      <w:pPr>
        <w:pStyle w:val="IVEYappTitel"/>
        <w:rPr>
          <w:noProof w:val="0"/>
          <w:lang w:val="en-CA"/>
        </w:rPr>
      </w:pPr>
      <w:r w:rsidRPr="0030399D">
        <w:rPr>
          <w:noProof w:val="0"/>
          <w:lang w:val="en-CA"/>
        </w:rPr>
        <w:t>Exhibit 10: Pharmaceutical R&amp;D spending, global prescription drugs sales and predicted spending and sales for the time period 2017–2020 [</w:t>
      </w:r>
      <w:r w:rsidR="00DC7877">
        <w:rPr>
          <w:noProof w:val="0"/>
          <w:lang w:val="en-CA"/>
        </w:rPr>
        <w:t>US</w:t>
      </w:r>
      <w:r w:rsidRPr="0030399D">
        <w:rPr>
          <w:noProof w:val="0"/>
          <w:lang w:val="en-CA"/>
        </w:rPr>
        <w:t>$ bn]</w:t>
      </w:r>
    </w:p>
    <w:p w14:paraId="5078723D" w14:textId="77777777" w:rsidR="00F66071" w:rsidRPr="0030399D" w:rsidRDefault="00F66071" w:rsidP="00F66071">
      <w:pPr>
        <w:pStyle w:val="IVEYappTitel"/>
        <w:rPr>
          <w:noProof w:val="0"/>
          <w:lang w:val="en-CA"/>
        </w:rPr>
      </w:pP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47"/>
        <w:gridCol w:w="630"/>
        <w:gridCol w:w="745"/>
        <w:gridCol w:w="785"/>
        <w:gridCol w:w="630"/>
        <w:gridCol w:w="630"/>
        <w:gridCol w:w="630"/>
        <w:gridCol w:w="630"/>
        <w:gridCol w:w="630"/>
        <w:gridCol w:w="630"/>
        <w:gridCol w:w="723"/>
      </w:tblGrid>
      <w:tr w:rsidR="00F66071" w:rsidRPr="0030399D" w14:paraId="7E6E9602" w14:textId="77777777" w:rsidTr="007C129D">
        <w:trPr>
          <w:trHeight w:val="283"/>
          <w:jc w:val="center"/>
        </w:trPr>
        <w:tc>
          <w:tcPr>
            <w:tcW w:w="2247" w:type="dxa"/>
            <w:shd w:val="clear" w:color="auto" w:fill="auto"/>
            <w:noWrap/>
            <w:vAlign w:val="center"/>
            <w:hideMark/>
          </w:tcPr>
          <w:p w14:paraId="37C3703E" w14:textId="77777777" w:rsidR="00F66071" w:rsidRPr="0030399D" w:rsidRDefault="00F66071" w:rsidP="007C129D">
            <w:pPr>
              <w:pStyle w:val="WUFigureTitle"/>
              <w:rPr>
                <w:rFonts w:ascii="Arial" w:hAnsi="Arial" w:cs="Arial"/>
                <w:b/>
                <w:sz w:val="20"/>
                <w:szCs w:val="20"/>
                <w:lang w:val="en-CA"/>
              </w:rPr>
            </w:pPr>
            <w:r w:rsidRPr="0030399D">
              <w:rPr>
                <w:rFonts w:ascii="Arial" w:hAnsi="Arial" w:cs="Arial"/>
                <w:b/>
                <w:sz w:val="20"/>
                <w:szCs w:val="20"/>
                <w:lang w:val="en-CA"/>
              </w:rPr>
              <w:t>Year</w:t>
            </w:r>
          </w:p>
        </w:tc>
        <w:tc>
          <w:tcPr>
            <w:tcW w:w="630" w:type="dxa"/>
            <w:shd w:val="clear" w:color="auto" w:fill="auto"/>
            <w:vAlign w:val="center"/>
          </w:tcPr>
          <w:p w14:paraId="5FB5CB72" w14:textId="77777777" w:rsidR="00F66071" w:rsidRPr="0030399D" w:rsidRDefault="00F66071" w:rsidP="007C129D">
            <w:pPr>
              <w:pStyle w:val="WUFigureTitle"/>
              <w:rPr>
                <w:rFonts w:ascii="Arial" w:hAnsi="Arial" w:cs="Arial"/>
                <w:sz w:val="20"/>
                <w:szCs w:val="20"/>
                <w:lang w:val="en-CA"/>
              </w:rPr>
            </w:pPr>
            <w:r w:rsidRPr="0030399D">
              <w:rPr>
                <w:rFonts w:ascii="Arial" w:hAnsi="Arial" w:cs="Arial"/>
                <w:bCs/>
                <w:sz w:val="20"/>
                <w:szCs w:val="20"/>
                <w:lang w:val="en-CA"/>
              </w:rPr>
              <w:t>2011</w:t>
            </w:r>
          </w:p>
        </w:tc>
        <w:tc>
          <w:tcPr>
            <w:tcW w:w="745" w:type="dxa"/>
            <w:shd w:val="clear" w:color="auto" w:fill="auto"/>
            <w:vAlign w:val="center"/>
          </w:tcPr>
          <w:p w14:paraId="5C4AB4D8" w14:textId="77777777" w:rsidR="00F66071" w:rsidRPr="0030399D" w:rsidRDefault="00F66071" w:rsidP="007C129D">
            <w:pPr>
              <w:pStyle w:val="WUFigureTitle"/>
              <w:rPr>
                <w:rFonts w:ascii="Arial" w:hAnsi="Arial" w:cs="Arial"/>
                <w:sz w:val="20"/>
                <w:szCs w:val="20"/>
                <w:lang w:val="en-CA"/>
              </w:rPr>
            </w:pPr>
            <w:r w:rsidRPr="0030399D">
              <w:rPr>
                <w:rFonts w:ascii="Arial" w:hAnsi="Arial" w:cs="Arial"/>
                <w:bCs/>
                <w:sz w:val="20"/>
                <w:szCs w:val="20"/>
                <w:lang w:val="en-CA"/>
              </w:rPr>
              <w:t>2012</w:t>
            </w:r>
          </w:p>
        </w:tc>
        <w:tc>
          <w:tcPr>
            <w:tcW w:w="785" w:type="dxa"/>
            <w:shd w:val="clear" w:color="auto" w:fill="auto"/>
            <w:vAlign w:val="center"/>
          </w:tcPr>
          <w:p w14:paraId="3908B9E8" w14:textId="77777777" w:rsidR="00F66071" w:rsidRPr="0030399D" w:rsidRDefault="00F66071" w:rsidP="007C129D">
            <w:pPr>
              <w:pStyle w:val="WUFigureTitle"/>
              <w:rPr>
                <w:rFonts w:ascii="Arial" w:hAnsi="Arial" w:cs="Arial"/>
                <w:sz w:val="20"/>
                <w:szCs w:val="20"/>
                <w:lang w:val="en-CA"/>
              </w:rPr>
            </w:pPr>
            <w:r w:rsidRPr="0030399D">
              <w:rPr>
                <w:rFonts w:ascii="Arial" w:hAnsi="Arial" w:cs="Arial"/>
                <w:bCs/>
                <w:sz w:val="20"/>
                <w:szCs w:val="20"/>
                <w:lang w:val="en-CA"/>
              </w:rPr>
              <w:t>2013</w:t>
            </w:r>
          </w:p>
        </w:tc>
        <w:tc>
          <w:tcPr>
            <w:tcW w:w="630" w:type="dxa"/>
            <w:shd w:val="clear" w:color="auto" w:fill="auto"/>
            <w:vAlign w:val="center"/>
          </w:tcPr>
          <w:p w14:paraId="1ED0C14A" w14:textId="77777777" w:rsidR="00F66071" w:rsidRPr="0030399D" w:rsidRDefault="00F66071" w:rsidP="007C129D">
            <w:pPr>
              <w:pStyle w:val="WUFigureTitle"/>
              <w:rPr>
                <w:rFonts w:ascii="Arial" w:hAnsi="Arial" w:cs="Arial"/>
                <w:sz w:val="20"/>
                <w:szCs w:val="20"/>
                <w:lang w:val="en-CA"/>
              </w:rPr>
            </w:pPr>
            <w:r w:rsidRPr="0030399D">
              <w:rPr>
                <w:rFonts w:ascii="Arial" w:hAnsi="Arial" w:cs="Arial"/>
                <w:bCs/>
                <w:sz w:val="20"/>
                <w:szCs w:val="20"/>
                <w:lang w:val="en-CA"/>
              </w:rPr>
              <w:t>2014</w:t>
            </w:r>
          </w:p>
        </w:tc>
        <w:tc>
          <w:tcPr>
            <w:tcW w:w="630" w:type="dxa"/>
            <w:shd w:val="clear" w:color="auto" w:fill="auto"/>
            <w:vAlign w:val="center"/>
          </w:tcPr>
          <w:p w14:paraId="4993FCB6" w14:textId="77777777" w:rsidR="00F66071" w:rsidRPr="0030399D" w:rsidRDefault="00F66071" w:rsidP="007C129D">
            <w:pPr>
              <w:pStyle w:val="WUFigureTitle"/>
              <w:rPr>
                <w:rFonts w:ascii="Arial" w:hAnsi="Arial" w:cs="Arial"/>
                <w:sz w:val="20"/>
                <w:szCs w:val="20"/>
                <w:lang w:val="en-CA"/>
              </w:rPr>
            </w:pPr>
            <w:r w:rsidRPr="0030399D">
              <w:rPr>
                <w:rFonts w:ascii="Arial" w:hAnsi="Arial" w:cs="Arial"/>
                <w:bCs/>
                <w:sz w:val="20"/>
                <w:szCs w:val="20"/>
                <w:lang w:val="en-CA"/>
              </w:rPr>
              <w:t>2015</w:t>
            </w:r>
          </w:p>
        </w:tc>
        <w:tc>
          <w:tcPr>
            <w:tcW w:w="630" w:type="dxa"/>
            <w:shd w:val="clear" w:color="auto" w:fill="auto"/>
            <w:vAlign w:val="center"/>
          </w:tcPr>
          <w:p w14:paraId="4D52C13C" w14:textId="77777777" w:rsidR="00F66071" w:rsidRPr="0030399D" w:rsidRDefault="00F66071" w:rsidP="007C129D">
            <w:pPr>
              <w:pStyle w:val="WUFigureTitle"/>
              <w:rPr>
                <w:rFonts w:ascii="Arial" w:hAnsi="Arial" w:cs="Arial"/>
                <w:sz w:val="20"/>
                <w:szCs w:val="20"/>
                <w:lang w:val="en-CA"/>
              </w:rPr>
            </w:pPr>
            <w:r w:rsidRPr="0030399D">
              <w:rPr>
                <w:rFonts w:ascii="Arial" w:hAnsi="Arial" w:cs="Arial"/>
                <w:bCs/>
                <w:sz w:val="20"/>
                <w:szCs w:val="20"/>
                <w:lang w:val="en-CA"/>
              </w:rPr>
              <w:t>2016</w:t>
            </w:r>
          </w:p>
        </w:tc>
        <w:tc>
          <w:tcPr>
            <w:tcW w:w="630" w:type="dxa"/>
            <w:shd w:val="clear" w:color="auto" w:fill="auto"/>
            <w:vAlign w:val="center"/>
          </w:tcPr>
          <w:p w14:paraId="7ACC02F2" w14:textId="77777777" w:rsidR="00F66071" w:rsidRPr="00DC7877" w:rsidRDefault="00F66071" w:rsidP="007C129D">
            <w:pPr>
              <w:pStyle w:val="WUFigureTitle"/>
              <w:rPr>
                <w:rFonts w:ascii="Arial" w:hAnsi="Arial" w:cs="Arial"/>
                <w:sz w:val="20"/>
                <w:szCs w:val="20"/>
                <w:lang w:val="en-CA"/>
              </w:rPr>
            </w:pPr>
            <w:r w:rsidRPr="00DC7877">
              <w:rPr>
                <w:rFonts w:ascii="Arial" w:hAnsi="Arial" w:cs="Arial"/>
                <w:bCs/>
                <w:sz w:val="20"/>
                <w:szCs w:val="20"/>
                <w:lang w:val="en-CA"/>
              </w:rPr>
              <w:t>2017</w:t>
            </w:r>
          </w:p>
        </w:tc>
        <w:tc>
          <w:tcPr>
            <w:tcW w:w="630" w:type="dxa"/>
            <w:shd w:val="clear" w:color="auto" w:fill="auto"/>
            <w:vAlign w:val="center"/>
          </w:tcPr>
          <w:p w14:paraId="7F99EA2F" w14:textId="77777777" w:rsidR="00F66071" w:rsidRPr="00DC7877" w:rsidRDefault="00F66071" w:rsidP="007C129D">
            <w:pPr>
              <w:pStyle w:val="WUFigureTitle"/>
              <w:rPr>
                <w:rFonts w:ascii="Arial" w:hAnsi="Arial" w:cs="Arial"/>
                <w:sz w:val="20"/>
                <w:szCs w:val="20"/>
                <w:lang w:val="en-CA"/>
              </w:rPr>
            </w:pPr>
            <w:r w:rsidRPr="00DC7877">
              <w:rPr>
                <w:rFonts w:ascii="Arial" w:hAnsi="Arial" w:cs="Arial"/>
                <w:bCs/>
                <w:sz w:val="20"/>
                <w:szCs w:val="20"/>
                <w:lang w:val="en-CA"/>
              </w:rPr>
              <w:t>2018</w:t>
            </w:r>
          </w:p>
        </w:tc>
        <w:tc>
          <w:tcPr>
            <w:tcW w:w="630" w:type="dxa"/>
            <w:shd w:val="clear" w:color="auto" w:fill="auto"/>
            <w:vAlign w:val="center"/>
          </w:tcPr>
          <w:p w14:paraId="4EB9F90C" w14:textId="77777777" w:rsidR="00F66071" w:rsidRPr="00DC7877" w:rsidRDefault="00F66071" w:rsidP="007C129D">
            <w:pPr>
              <w:pStyle w:val="WUFigureTitle"/>
              <w:rPr>
                <w:rFonts w:ascii="Arial" w:hAnsi="Arial" w:cs="Arial"/>
                <w:sz w:val="20"/>
                <w:szCs w:val="20"/>
                <w:lang w:val="en-CA"/>
              </w:rPr>
            </w:pPr>
            <w:r w:rsidRPr="00DC7877">
              <w:rPr>
                <w:rFonts w:ascii="Arial" w:hAnsi="Arial" w:cs="Arial"/>
                <w:bCs/>
                <w:sz w:val="20"/>
                <w:szCs w:val="20"/>
                <w:lang w:val="en-CA"/>
              </w:rPr>
              <w:t>2019</w:t>
            </w:r>
          </w:p>
        </w:tc>
        <w:tc>
          <w:tcPr>
            <w:tcW w:w="723" w:type="dxa"/>
            <w:shd w:val="clear" w:color="auto" w:fill="auto"/>
            <w:vAlign w:val="center"/>
          </w:tcPr>
          <w:p w14:paraId="4F941175" w14:textId="77777777" w:rsidR="00F66071" w:rsidRPr="00DC7877" w:rsidRDefault="00F66071" w:rsidP="007C129D">
            <w:pPr>
              <w:pStyle w:val="WUFigureTitle"/>
              <w:rPr>
                <w:rFonts w:ascii="Arial" w:hAnsi="Arial" w:cs="Arial"/>
                <w:sz w:val="20"/>
                <w:szCs w:val="20"/>
                <w:lang w:val="en-CA"/>
              </w:rPr>
            </w:pPr>
            <w:r w:rsidRPr="00DC7877">
              <w:rPr>
                <w:rFonts w:ascii="Arial" w:hAnsi="Arial" w:cs="Arial"/>
                <w:bCs/>
                <w:sz w:val="20"/>
                <w:szCs w:val="20"/>
                <w:lang w:val="en-CA"/>
              </w:rPr>
              <w:t>2020</w:t>
            </w:r>
          </w:p>
        </w:tc>
      </w:tr>
      <w:tr w:rsidR="00F66071" w:rsidRPr="0030399D" w14:paraId="6C40740C" w14:textId="77777777" w:rsidTr="007C129D">
        <w:trPr>
          <w:trHeight w:val="227"/>
          <w:jc w:val="center"/>
        </w:trPr>
        <w:tc>
          <w:tcPr>
            <w:tcW w:w="2247" w:type="dxa"/>
            <w:shd w:val="clear" w:color="auto" w:fill="auto"/>
            <w:noWrap/>
            <w:vAlign w:val="center"/>
          </w:tcPr>
          <w:p w14:paraId="737DC921" w14:textId="77777777" w:rsidR="00F66071" w:rsidRPr="0030399D" w:rsidRDefault="00F66071" w:rsidP="007C129D">
            <w:pPr>
              <w:pStyle w:val="WUFigureTitle"/>
              <w:spacing w:before="0" w:after="0" w:line="240" w:lineRule="auto"/>
              <w:rPr>
                <w:rFonts w:ascii="Arial" w:hAnsi="Arial" w:cs="Arial"/>
                <w:sz w:val="20"/>
                <w:szCs w:val="20"/>
                <w:lang w:val="en-CA"/>
              </w:rPr>
            </w:pPr>
            <w:r w:rsidRPr="0030399D">
              <w:rPr>
                <w:rFonts w:ascii="Arial" w:hAnsi="Arial" w:cs="Arial"/>
                <w:sz w:val="20"/>
                <w:szCs w:val="20"/>
                <w:lang w:val="en-CA"/>
              </w:rPr>
              <w:t>R&amp;D spending</w:t>
            </w:r>
          </w:p>
        </w:tc>
        <w:tc>
          <w:tcPr>
            <w:tcW w:w="630" w:type="dxa"/>
            <w:shd w:val="clear" w:color="auto" w:fill="auto"/>
            <w:vAlign w:val="center"/>
          </w:tcPr>
          <w:p w14:paraId="3B99E150" w14:textId="77777777" w:rsidR="00F66071" w:rsidRPr="0030399D" w:rsidRDefault="00F66071" w:rsidP="007C129D">
            <w:pPr>
              <w:pStyle w:val="WUFigureTitle"/>
              <w:spacing w:before="0" w:after="0" w:line="240" w:lineRule="auto"/>
              <w:jc w:val="right"/>
              <w:rPr>
                <w:rFonts w:ascii="Arial" w:hAnsi="Arial" w:cs="Arial"/>
                <w:b/>
                <w:sz w:val="20"/>
                <w:szCs w:val="20"/>
                <w:lang w:val="en-CA"/>
              </w:rPr>
            </w:pPr>
            <w:r w:rsidRPr="0030399D">
              <w:rPr>
                <w:rFonts w:ascii="Arial" w:hAnsi="Arial" w:cs="Arial"/>
                <w:sz w:val="20"/>
                <w:szCs w:val="20"/>
                <w:lang w:val="en-CA"/>
              </w:rPr>
              <w:t>137</w:t>
            </w:r>
          </w:p>
        </w:tc>
        <w:tc>
          <w:tcPr>
            <w:tcW w:w="745" w:type="dxa"/>
            <w:shd w:val="clear" w:color="auto" w:fill="auto"/>
            <w:vAlign w:val="center"/>
          </w:tcPr>
          <w:p w14:paraId="19658A50" w14:textId="77777777" w:rsidR="00F66071" w:rsidRPr="0030399D" w:rsidRDefault="00F66071" w:rsidP="007C129D">
            <w:pPr>
              <w:pStyle w:val="WUFigureTitle"/>
              <w:spacing w:before="0" w:after="0" w:line="240" w:lineRule="auto"/>
              <w:jc w:val="right"/>
              <w:rPr>
                <w:rFonts w:ascii="Arial" w:hAnsi="Arial" w:cs="Arial"/>
                <w:b/>
                <w:sz w:val="20"/>
                <w:szCs w:val="20"/>
                <w:lang w:val="en-CA"/>
              </w:rPr>
            </w:pPr>
            <w:r w:rsidRPr="0030399D">
              <w:rPr>
                <w:rFonts w:ascii="Arial" w:hAnsi="Arial" w:cs="Arial"/>
                <w:sz w:val="20"/>
                <w:szCs w:val="20"/>
                <w:lang w:val="en-CA"/>
              </w:rPr>
              <w:t>136</w:t>
            </w:r>
          </w:p>
        </w:tc>
        <w:tc>
          <w:tcPr>
            <w:tcW w:w="785" w:type="dxa"/>
            <w:shd w:val="clear" w:color="auto" w:fill="auto"/>
            <w:vAlign w:val="center"/>
          </w:tcPr>
          <w:p w14:paraId="6777E724" w14:textId="77777777" w:rsidR="00F66071" w:rsidRPr="0030399D" w:rsidRDefault="00F66071" w:rsidP="007C129D">
            <w:pPr>
              <w:pStyle w:val="WUFigureTitle"/>
              <w:spacing w:before="0" w:after="0" w:line="240" w:lineRule="auto"/>
              <w:jc w:val="right"/>
              <w:rPr>
                <w:rFonts w:ascii="Arial" w:hAnsi="Arial" w:cs="Arial"/>
                <w:b/>
                <w:sz w:val="20"/>
                <w:szCs w:val="20"/>
                <w:lang w:val="en-CA"/>
              </w:rPr>
            </w:pPr>
            <w:r w:rsidRPr="0030399D">
              <w:rPr>
                <w:rFonts w:ascii="Arial" w:hAnsi="Arial" w:cs="Arial"/>
                <w:sz w:val="20"/>
                <w:szCs w:val="20"/>
                <w:lang w:val="en-CA"/>
              </w:rPr>
              <w:t>138</w:t>
            </w:r>
          </w:p>
        </w:tc>
        <w:tc>
          <w:tcPr>
            <w:tcW w:w="630" w:type="dxa"/>
            <w:shd w:val="clear" w:color="auto" w:fill="auto"/>
            <w:vAlign w:val="center"/>
          </w:tcPr>
          <w:p w14:paraId="7DEB463D" w14:textId="77777777" w:rsidR="00F66071" w:rsidRPr="0030399D" w:rsidRDefault="00F66071" w:rsidP="007C129D">
            <w:pPr>
              <w:pStyle w:val="WUFigureTitle"/>
              <w:spacing w:before="0" w:after="0" w:line="240" w:lineRule="auto"/>
              <w:jc w:val="right"/>
              <w:rPr>
                <w:rFonts w:ascii="Arial" w:hAnsi="Arial" w:cs="Arial"/>
                <w:b/>
                <w:sz w:val="20"/>
                <w:szCs w:val="20"/>
                <w:lang w:val="en-CA"/>
              </w:rPr>
            </w:pPr>
            <w:r w:rsidRPr="0030399D">
              <w:rPr>
                <w:rFonts w:ascii="Arial" w:hAnsi="Arial" w:cs="Arial"/>
                <w:sz w:val="20"/>
                <w:szCs w:val="20"/>
                <w:lang w:val="en-CA"/>
              </w:rPr>
              <w:t>144</w:t>
            </w:r>
          </w:p>
        </w:tc>
        <w:tc>
          <w:tcPr>
            <w:tcW w:w="630" w:type="dxa"/>
            <w:shd w:val="clear" w:color="auto" w:fill="auto"/>
            <w:vAlign w:val="center"/>
          </w:tcPr>
          <w:p w14:paraId="45F27D28" w14:textId="77777777" w:rsidR="00F66071" w:rsidRPr="0030399D" w:rsidRDefault="00F66071" w:rsidP="007C129D">
            <w:pPr>
              <w:pStyle w:val="WUFigureTitle"/>
              <w:spacing w:before="0" w:after="0" w:line="240" w:lineRule="auto"/>
              <w:jc w:val="right"/>
              <w:rPr>
                <w:rFonts w:ascii="Arial" w:hAnsi="Arial" w:cs="Arial"/>
                <w:b/>
                <w:sz w:val="20"/>
                <w:szCs w:val="20"/>
                <w:lang w:val="en-CA"/>
              </w:rPr>
            </w:pPr>
            <w:r w:rsidRPr="0030399D">
              <w:rPr>
                <w:rFonts w:ascii="Arial" w:hAnsi="Arial" w:cs="Arial"/>
                <w:sz w:val="20"/>
                <w:szCs w:val="20"/>
                <w:lang w:val="en-CA"/>
              </w:rPr>
              <w:t>149</w:t>
            </w:r>
          </w:p>
        </w:tc>
        <w:tc>
          <w:tcPr>
            <w:tcW w:w="630" w:type="dxa"/>
            <w:shd w:val="clear" w:color="auto" w:fill="auto"/>
            <w:vAlign w:val="center"/>
          </w:tcPr>
          <w:p w14:paraId="02B8500F" w14:textId="77777777" w:rsidR="00F66071" w:rsidRPr="0030399D" w:rsidRDefault="00F66071" w:rsidP="007C129D">
            <w:pPr>
              <w:pStyle w:val="WUFigureTitle"/>
              <w:spacing w:before="0" w:after="0" w:line="240" w:lineRule="auto"/>
              <w:jc w:val="right"/>
              <w:rPr>
                <w:rFonts w:ascii="Arial" w:hAnsi="Arial" w:cs="Arial"/>
                <w:b/>
                <w:sz w:val="20"/>
                <w:szCs w:val="20"/>
                <w:lang w:val="en-CA"/>
              </w:rPr>
            </w:pPr>
            <w:r w:rsidRPr="0030399D">
              <w:rPr>
                <w:rFonts w:ascii="Arial" w:hAnsi="Arial" w:cs="Arial"/>
                <w:sz w:val="20"/>
                <w:szCs w:val="20"/>
                <w:lang w:val="en-CA"/>
              </w:rPr>
              <w:t>159</w:t>
            </w:r>
          </w:p>
        </w:tc>
        <w:tc>
          <w:tcPr>
            <w:tcW w:w="630" w:type="dxa"/>
            <w:shd w:val="clear" w:color="auto" w:fill="auto"/>
            <w:vAlign w:val="center"/>
          </w:tcPr>
          <w:p w14:paraId="73E411D5" w14:textId="77777777" w:rsidR="00F66071" w:rsidRPr="00DC7877" w:rsidRDefault="00F66071" w:rsidP="007C129D">
            <w:pPr>
              <w:pStyle w:val="WUFigureTitle"/>
              <w:spacing w:before="0" w:after="0" w:line="240" w:lineRule="auto"/>
              <w:jc w:val="right"/>
              <w:rPr>
                <w:rFonts w:ascii="Arial" w:hAnsi="Arial" w:cs="Arial"/>
                <w:b/>
                <w:sz w:val="20"/>
                <w:szCs w:val="20"/>
                <w:lang w:val="en-CA"/>
              </w:rPr>
            </w:pPr>
            <w:r w:rsidRPr="00DC7877">
              <w:rPr>
                <w:rFonts w:ascii="Arial" w:hAnsi="Arial" w:cs="Arial"/>
                <w:sz w:val="20"/>
                <w:szCs w:val="20"/>
                <w:lang w:val="en-CA"/>
              </w:rPr>
              <w:t>165</w:t>
            </w:r>
          </w:p>
        </w:tc>
        <w:tc>
          <w:tcPr>
            <w:tcW w:w="630" w:type="dxa"/>
            <w:shd w:val="clear" w:color="auto" w:fill="auto"/>
            <w:vAlign w:val="center"/>
          </w:tcPr>
          <w:p w14:paraId="0F8D160A" w14:textId="77777777" w:rsidR="00F66071" w:rsidRPr="00DC7877" w:rsidRDefault="00F66071" w:rsidP="007C129D">
            <w:pPr>
              <w:pStyle w:val="WUFigureTitle"/>
              <w:spacing w:before="0" w:after="0" w:line="240" w:lineRule="auto"/>
              <w:jc w:val="right"/>
              <w:rPr>
                <w:rFonts w:ascii="Arial" w:hAnsi="Arial" w:cs="Arial"/>
                <w:b/>
                <w:sz w:val="20"/>
                <w:szCs w:val="20"/>
                <w:lang w:val="en-CA"/>
              </w:rPr>
            </w:pPr>
            <w:r w:rsidRPr="00DC7877">
              <w:rPr>
                <w:rFonts w:ascii="Arial" w:hAnsi="Arial" w:cs="Arial"/>
                <w:sz w:val="20"/>
                <w:szCs w:val="20"/>
                <w:lang w:val="en-CA"/>
              </w:rPr>
              <w:t>172</w:t>
            </w:r>
          </w:p>
        </w:tc>
        <w:tc>
          <w:tcPr>
            <w:tcW w:w="630" w:type="dxa"/>
            <w:shd w:val="clear" w:color="auto" w:fill="auto"/>
            <w:vAlign w:val="center"/>
          </w:tcPr>
          <w:p w14:paraId="32933934" w14:textId="77777777" w:rsidR="00F66071" w:rsidRPr="00DC7877" w:rsidRDefault="00F66071" w:rsidP="007C129D">
            <w:pPr>
              <w:pStyle w:val="WUFigureTitle"/>
              <w:spacing w:before="0" w:after="0" w:line="240" w:lineRule="auto"/>
              <w:jc w:val="right"/>
              <w:rPr>
                <w:rFonts w:ascii="Arial" w:hAnsi="Arial" w:cs="Arial"/>
                <w:b/>
                <w:sz w:val="20"/>
                <w:szCs w:val="20"/>
                <w:lang w:val="en-CA"/>
              </w:rPr>
            </w:pPr>
            <w:r w:rsidRPr="00DC7877">
              <w:rPr>
                <w:rFonts w:ascii="Arial" w:hAnsi="Arial" w:cs="Arial"/>
                <w:sz w:val="20"/>
                <w:szCs w:val="20"/>
                <w:lang w:val="en-CA"/>
              </w:rPr>
              <w:t>177</w:t>
            </w:r>
          </w:p>
        </w:tc>
        <w:tc>
          <w:tcPr>
            <w:tcW w:w="723" w:type="dxa"/>
            <w:shd w:val="clear" w:color="auto" w:fill="auto"/>
            <w:vAlign w:val="center"/>
          </w:tcPr>
          <w:p w14:paraId="550642E0" w14:textId="77777777" w:rsidR="00F66071" w:rsidRPr="00DC7877" w:rsidRDefault="00F66071" w:rsidP="007C129D">
            <w:pPr>
              <w:pStyle w:val="WUFigureTitle"/>
              <w:spacing w:before="0" w:after="0" w:line="240" w:lineRule="auto"/>
              <w:jc w:val="right"/>
              <w:rPr>
                <w:rFonts w:ascii="Arial" w:hAnsi="Arial" w:cs="Arial"/>
                <w:b/>
                <w:sz w:val="20"/>
                <w:szCs w:val="20"/>
                <w:lang w:val="en-CA"/>
              </w:rPr>
            </w:pPr>
            <w:r w:rsidRPr="00DC7877">
              <w:rPr>
                <w:rFonts w:ascii="Arial" w:hAnsi="Arial" w:cs="Arial"/>
                <w:sz w:val="20"/>
                <w:szCs w:val="20"/>
                <w:lang w:val="en-CA"/>
              </w:rPr>
              <w:t>183</w:t>
            </w:r>
          </w:p>
        </w:tc>
      </w:tr>
      <w:tr w:rsidR="00F66071" w:rsidRPr="0030399D" w14:paraId="3804C90A" w14:textId="77777777" w:rsidTr="007C129D">
        <w:trPr>
          <w:trHeight w:val="227"/>
          <w:jc w:val="center"/>
        </w:trPr>
        <w:tc>
          <w:tcPr>
            <w:tcW w:w="2247" w:type="dxa"/>
            <w:shd w:val="clear" w:color="auto" w:fill="auto"/>
            <w:noWrap/>
            <w:vAlign w:val="center"/>
          </w:tcPr>
          <w:p w14:paraId="7FB0E70B" w14:textId="77777777" w:rsidR="00F66071" w:rsidRPr="0030399D" w:rsidRDefault="00F66071" w:rsidP="007C129D">
            <w:pPr>
              <w:pStyle w:val="WUFigureTitle"/>
              <w:spacing w:before="0" w:after="0" w:line="240" w:lineRule="auto"/>
              <w:rPr>
                <w:rFonts w:ascii="Arial" w:hAnsi="Arial" w:cs="Arial"/>
                <w:sz w:val="20"/>
                <w:szCs w:val="20"/>
                <w:lang w:val="en-CA"/>
              </w:rPr>
            </w:pPr>
            <w:r w:rsidRPr="0030399D">
              <w:rPr>
                <w:rFonts w:ascii="Arial" w:hAnsi="Arial" w:cs="Arial"/>
                <w:sz w:val="20"/>
                <w:szCs w:val="20"/>
                <w:lang w:val="en-CA"/>
              </w:rPr>
              <w:t>Sales innovative drugs</w:t>
            </w:r>
          </w:p>
        </w:tc>
        <w:tc>
          <w:tcPr>
            <w:tcW w:w="630" w:type="dxa"/>
            <w:shd w:val="clear" w:color="auto" w:fill="auto"/>
            <w:vAlign w:val="center"/>
          </w:tcPr>
          <w:p w14:paraId="409C8669"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667</w:t>
            </w:r>
          </w:p>
        </w:tc>
        <w:tc>
          <w:tcPr>
            <w:tcW w:w="745" w:type="dxa"/>
            <w:shd w:val="clear" w:color="auto" w:fill="auto"/>
            <w:vAlign w:val="center"/>
          </w:tcPr>
          <w:p w14:paraId="4FDD35E5"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653</w:t>
            </w:r>
          </w:p>
        </w:tc>
        <w:tc>
          <w:tcPr>
            <w:tcW w:w="785" w:type="dxa"/>
            <w:shd w:val="clear" w:color="auto" w:fill="auto"/>
            <w:vAlign w:val="center"/>
          </w:tcPr>
          <w:p w14:paraId="74698487"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657</w:t>
            </w:r>
          </w:p>
        </w:tc>
        <w:tc>
          <w:tcPr>
            <w:tcW w:w="630" w:type="dxa"/>
            <w:shd w:val="clear" w:color="auto" w:fill="auto"/>
            <w:vAlign w:val="center"/>
          </w:tcPr>
          <w:p w14:paraId="0F0E364B"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675</w:t>
            </w:r>
          </w:p>
        </w:tc>
        <w:tc>
          <w:tcPr>
            <w:tcW w:w="630" w:type="dxa"/>
            <w:shd w:val="clear" w:color="auto" w:fill="auto"/>
            <w:vAlign w:val="center"/>
          </w:tcPr>
          <w:p w14:paraId="2F45897A"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666</w:t>
            </w:r>
          </w:p>
        </w:tc>
        <w:tc>
          <w:tcPr>
            <w:tcW w:w="630" w:type="dxa"/>
            <w:shd w:val="clear" w:color="auto" w:fill="auto"/>
            <w:vAlign w:val="center"/>
          </w:tcPr>
          <w:p w14:paraId="19B7E9EF"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688</w:t>
            </w:r>
          </w:p>
        </w:tc>
        <w:tc>
          <w:tcPr>
            <w:tcW w:w="630" w:type="dxa"/>
            <w:shd w:val="clear" w:color="auto" w:fill="auto"/>
            <w:vAlign w:val="center"/>
          </w:tcPr>
          <w:p w14:paraId="3F963CC8" w14:textId="77777777" w:rsidR="00F66071" w:rsidRPr="00DC7877" w:rsidRDefault="00F66071" w:rsidP="007C129D">
            <w:pPr>
              <w:pStyle w:val="WUFigureTitle"/>
              <w:spacing w:before="0" w:after="0" w:line="240" w:lineRule="auto"/>
              <w:jc w:val="right"/>
              <w:rPr>
                <w:rFonts w:ascii="Arial" w:hAnsi="Arial" w:cs="Arial"/>
                <w:sz w:val="20"/>
                <w:szCs w:val="20"/>
                <w:lang w:val="en-CA"/>
              </w:rPr>
            </w:pPr>
            <w:r w:rsidRPr="00DC7877">
              <w:rPr>
                <w:rFonts w:ascii="Arial" w:hAnsi="Arial" w:cs="Arial"/>
                <w:sz w:val="20"/>
                <w:szCs w:val="20"/>
                <w:lang w:val="en-CA"/>
              </w:rPr>
              <w:t>708</w:t>
            </w:r>
          </w:p>
        </w:tc>
        <w:tc>
          <w:tcPr>
            <w:tcW w:w="630" w:type="dxa"/>
            <w:shd w:val="clear" w:color="auto" w:fill="auto"/>
            <w:vAlign w:val="center"/>
          </w:tcPr>
          <w:p w14:paraId="01A69F06" w14:textId="77777777" w:rsidR="00F66071" w:rsidRPr="00DC7877" w:rsidRDefault="00F66071" w:rsidP="007C129D">
            <w:pPr>
              <w:pStyle w:val="WUFigureTitle"/>
              <w:spacing w:before="0" w:after="0" w:line="240" w:lineRule="auto"/>
              <w:jc w:val="right"/>
              <w:rPr>
                <w:rFonts w:ascii="Arial" w:hAnsi="Arial" w:cs="Arial"/>
                <w:sz w:val="20"/>
                <w:szCs w:val="20"/>
                <w:lang w:val="en-CA"/>
              </w:rPr>
            </w:pPr>
            <w:r w:rsidRPr="00DC7877">
              <w:rPr>
                <w:rFonts w:ascii="Arial" w:hAnsi="Arial" w:cs="Arial"/>
                <w:sz w:val="20"/>
                <w:szCs w:val="20"/>
                <w:lang w:val="en-CA"/>
              </w:rPr>
              <w:t>746</w:t>
            </w:r>
          </w:p>
        </w:tc>
        <w:tc>
          <w:tcPr>
            <w:tcW w:w="630" w:type="dxa"/>
            <w:shd w:val="clear" w:color="auto" w:fill="auto"/>
            <w:vAlign w:val="center"/>
          </w:tcPr>
          <w:p w14:paraId="702F5EE7" w14:textId="77777777" w:rsidR="00F66071" w:rsidRPr="00DC7877" w:rsidRDefault="00F66071" w:rsidP="007C129D">
            <w:pPr>
              <w:pStyle w:val="WUFigureTitle"/>
              <w:spacing w:before="0" w:after="0" w:line="240" w:lineRule="auto"/>
              <w:jc w:val="right"/>
              <w:rPr>
                <w:rFonts w:ascii="Arial" w:hAnsi="Arial" w:cs="Arial"/>
                <w:sz w:val="20"/>
                <w:szCs w:val="20"/>
                <w:lang w:val="en-CA"/>
              </w:rPr>
            </w:pPr>
            <w:r w:rsidRPr="00DC7877">
              <w:rPr>
                <w:rFonts w:ascii="Arial" w:hAnsi="Arial" w:cs="Arial"/>
                <w:sz w:val="20"/>
                <w:szCs w:val="20"/>
                <w:lang w:val="en-CA"/>
              </w:rPr>
              <w:t>782</w:t>
            </w:r>
          </w:p>
        </w:tc>
        <w:tc>
          <w:tcPr>
            <w:tcW w:w="723" w:type="dxa"/>
            <w:shd w:val="clear" w:color="auto" w:fill="auto"/>
            <w:vAlign w:val="center"/>
          </w:tcPr>
          <w:p w14:paraId="6458A6D3" w14:textId="77777777" w:rsidR="00F66071" w:rsidRPr="00DC7877" w:rsidRDefault="00F66071" w:rsidP="007C129D">
            <w:pPr>
              <w:pStyle w:val="WUFigureTitle"/>
              <w:spacing w:before="0" w:after="0" w:line="240" w:lineRule="auto"/>
              <w:jc w:val="right"/>
              <w:rPr>
                <w:rFonts w:ascii="Arial" w:hAnsi="Arial" w:cs="Arial"/>
                <w:sz w:val="20"/>
                <w:szCs w:val="20"/>
                <w:lang w:val="en-CA"/>
              </w:rPr>
            </w:pPr>
            <w:r w:rsidRPr="00DC7877">
              <w:rPr>
                <w:rFonts w:ascii="Arial" w:hAnsi="Arial" w:cs="Arial"/>
                <w:sz w:val="20"/>
                <w:szCs w:val="20"/>
                <w:lang w:val="en-CA"/>
              </w:rPr>
              <w:t>832</w:t>
            </w:r>
          </w:p>
        </w:tc>
      </w:tr>
      <w:tr w:rsidR="00F66071" w:rsidRPr="0030399D" w14:paraId="0E991CD1" w14:textId="77777777" w:rsidTr="007C129D">
        <w:trPr>
          <w:trHeight w:val="227"/>
          <w:jc w:val="center"/>
        </w:trPr>
        <w:tc>
          <w:tcPr>
            <w:tcW w:w="2247" w:type="dxa"/>
            <w:shd w:val="clear" w:color="auto" w:fill="auto"/>
            <w:noWrap/>
            <w:vAlign w:val="center"/>
          </w:tcPr>
          <w:p w14:paraId="2AA15D0D" w14:textId="77777777" w:rsidR="00F66071" w:rsidRPr="0030399D" w:rsidRDefault="00F66071" w:rsidP="007C129D">
            <w:pPr>
              <w:pStyle w:val="WUFigureTitle"/>
              <w:spacing w:before="0" w:after="0" w:line="240" w:lineRule="auto"/>
              <w:rPr>
                <w:rFonts w:ascii="Arial" w:hAnsi="Arial" w:cs="Arial"/>
                <w:sz w:val="20"/>
                <w:szCs w:val="20"/>
                <w:lang w:val="en-CA"/>
              </w:rPr>
            </w:pPr>
            <w:r w:rsidRPr="0030399D">
              <w:rPr>
                <w:rFonts w:ascii="Arial" w:hAnsi="Arial" w:cs="Arial"/>
                <w:sz w:val="20"/>
                <w:szCs w:val="20"/>
                <w:lang w:val="en-CA"/>
              </w:rPr>
              <w:t>Sales generics</w:t>
            </w:r>
          </w:p>
        </w:tc>
        <w:tc>
          <w:tcPr>
            <w:tcW w:w="630" w:type="dxa"/>
            <w:shd w:val="clear" w:color="auto" w:fill="auto"/>
            <w:vAlign w:val="center"/>
          </w:tcPr>
          <w:p w14:paraId="0B7B7C17"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66</w:t>
            </w:r>
          </w:p>
        </w:tc>
        <w:tc>
          <w:tcPr>
            <w:tcW w:w="745" w:type="dxa"/>
            <w:shd w:val="clear" w:color="auto" w:fill="auto"/>
            <w:vAlign w:val="center"/>
          </w:tcPr>
          <w:p w14:paraId="1B5432F5"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67</w:t>
            </w:r>
          </w:p>
        </w:tc>
        <w:tc>
          <w:tcPr>
            <w:tcW w:w="785" w:type="dxa"/>
            <w:shd w:val="clear" w:color="auto" w:fill="auto"/>
            <w:vAlign w:val="center"/>
          </w:tcPr>
          <w:p w14:paraId="0833A81D"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70</w:t>
            </w:r>
          </w:p>
        </w:tc>
        <w:tc>
          <w:tcPr>
            <w:tcW w:w="630" w:type="dxa"/>
            <w:shd w:val="clear" w:color="auto" w:fill="auto"/>
            <w:vAlign w:val="center"/>
          </w:tcPr>
          <w:p w14:paraId="40C52279"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76</w:t>
            </w:r>
          </w:p>
        </w:tc>
        <w:tc>
          <w:tcPr>
            <w:tcW w:w="630" w:type="dxa"/>
            <w:shd w:val="clear" w:color="auto" w:fill="auto"/>
            <w:vAlign w:val="center"/>
          </w:tcPr>
          <w:p w14:paraId="65C84FCD"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78</w:t>
            </w:r>
          </w:p>
        </w:tc>
        <w:tc>
          <w:tcPr>
            <w:tcW w:w="630" w:type="dxa"/>
            <w:shd w:val="clear" w:color="auto" w:fill="auto"/>
            <w:vAlign w:val="center"/>
          </w:tcPr>
          <w:p w14:paraId="50AA4F20" w14:textId="77777777" w:rsidR="00F66071" w:rsidRPr="0030399D" w:rsidRDefault="00F66071" w:rsidP="007C129D">
            <w:pPr>
              <w:pStyle w:val="WUFigureTitle"/>
              <w:spacing w:before="0" w:after="0" w:line="240" w:lineRule="auto"/>
              <w:jc w:val="right"/>
              <w:rPr>
                <w:rFonts w:ascii="Arial" w:hAnsi="Arial" w:cs="Arial"/>
                <w:sz w:val="20"/>
                <w:szCs w:val="20"/>
                <w:lang w:val="en-CA"/>
              </w:rPr>
            </w:pPr>
            <w:r w:rsidRPr="0030399D">
              <w:rPr>
                <w:rFonts w:ascii="Arial" w:hAnsi="Arial" w:cs="Arial"/>
                <w:sz w:val="20"/>
                <w:szCs w:val="20"/>
                <w:lang w:val="en-CA"/>
              </w:rPr>
              <w:t>81</w:t>
            </w:r>
          </w:p>
        </w:tc>
        <w:tc>
          <w:tcPr>
            <w:tcW w:w="630" w:type="dxa"/>
            <w:shd w:val="clear" w:color="auto" w:fill="auto"/>
            <w:vAlign w:val="center"/>
          </w:tcPr>
          <w:p w14:paraId="30AA6ECB" w14:textId="77777777" w:rsidR="00F66071" w:rsidRPr="00DC7877" w:rsidRDefault="00F66071" w:rsidP="007C129D">
            <w:pPr>
              <w:pStyle w:val="WUFigureTitle"/>
              <w:spacing w:before="0" w:after="0" w:line="240" w:lineRule="auto"/>
              <w:jc w:val="right"/>
              <w:rPr>
                <w:rFonts w:ascii="Arial" w:hAnsi="Arial" w:cs="Arial"/>
                <w:sz w:val="20"/>
                <w:szCs w:val="20"/>
                <w:lang w:val="en-CA"/>
              </w:rPr>
            </w:pPr>
            <w:r w:rsidRPr="00DC7877">
              <w:rPr>
                <w:rFonts w:ascii="Arial" w:hAnsi="Arial" w:cs="Arial"/>
                <w:sz w:val="20"/>
                <w:szCs w:val="20"/>
                <w:lang w:val="en-CA"/>
              </w:rPr>
              <w:t>84</w:t>
            </w:r>
          </w:p>
        </w:tc>
        <w:tc>
          <w:tcPr>
            <w:tcW w:w="630" w:type="dxa"/>
            <w:shd w:val="clear" w:color="auto" w:fill="auto"/>
            <w:vAlign w:val="center"/>
          </w:tcPr>
          <w:p w14:paraId="1569385E" w14:textId="77777777" w:rsidR="00F66071" w:rsidRPr="00DC7877" w:rsidRDefault="00F66071" w:rsidP="007C129D">
            <w:pPr>
              <w:pStyle w:val="WUFigureTitle"/>
              <w:spacing w:before="0" w:after="0" w:line="240" w:lineRule="auto"/>
              <w:jc w:val="right"/>
              <w:rPr>
                <w:rFonts w:ascii="Arial" w:hAnsi="Arial" w:cs="Arial"/>
                <w:sz w:val="20"/>
                <w:szCs w:val="20"/>
                <w:lang w:val="en-CA"/>
              </w:rPr>
            </w:pPr>
            <w:r w:rsidRPr="00DC7877">
              <w:rPr>
                <w:rFonts w:ascii="Arial" w:hAnsi="Arial" w:cs="Arial"/>
                <w:sz w:val="20"/>
                <w:szCs w:val="20"/>
                <w:lang w:val="en-CA"/>
              </w:rPr>
              <w:t>89</w:t>
            </w:r>
          </w:p>
        </w:tc>
        <w:tc>
          <w:tcPr>
            <w:tcW w:w="630" w:type="dxa"/>
            <w:shd w:val="clear" w:color="auto" w:fill="auto"/>
            <w:vAlign w:val="center"/>
          </w:tcPr>
          <w:p w14:paraId="00A420BB" w14:textId="77777777" w:rsidR="00F66071" w:rsidRPr="00DC7877" w:rsidRDefault="00F66071" w:rsidP="007C129D">
            <w:pPr>
              <w:pStyle w:val="WUFigureTitle"/>
              <w:spacing w:before="0" w:after="0" w:line="240" w:lineRule="auto"/>
              <w:jc w:val="right"/>
              <w:rPr>
                <w:rFonts w:ascii="Arial" w:hAnsi="Arial" w:cs="Arial"/>
                <w:sz w:val="20"/>
                <w:szCs w:val="20"/>
                <w:lang w:val="en-CA"/>
              </w:rPr>
            </w:pPr>
            <w:r w:rsidRPr="00DC7877">
              <w:rPr>
                <w:rFonts w:ascii="Arial" w:hAnsi="Arial" w:cs="Arial"/>
                <w:sz w:val="20"/>
                <w:szCs w:val="20"/>
                <w:lang w:val="en-CA"/>
              </w:rPr>
              <w:t>95</w:t>
            </w:r>
          </w:p>
        </w:tc>
        <w:tc>
          <w:tcPr>
            <w:tcW w:w="723" w:type="dxa"/>
            <w:shd w:val="clear" w:color="auto" w:fill="auto"/>
            <w:vAlign w:val="center"/>
          </w:tcPr>
          <w:p w14:paraId="33884A5A" w14:textId="77777777" w:rsidR="00F66071" w:rsidRPr="00DC7877" w:rsidRDefault="00F66071" w:rsidP="007C129D">
            <w:pPr>
              <w:pStyle w:val="WUFigureTitle"/>
              <w:spacing w:before="0" w:after="0" w:line="240" w:lineRule="auto"/>
              <w:jc w:val="right"/>
              <w:rPr>
                <w:rFonts w:ascii="Arial" w:hAnsi="Arial" w:cs="Arial"/>
                <w:sz w:val="20"/>
                <w:szCs w:val="20"/>
                <w:lang w:val="en-CA"/>
              </w:rPr>
            </w:pPr>
            <w:r w:rsidRPr="00DC7877">
              <w:rPr>
                <w:rFonts w:ascii="Arial" w:hAnsi="Arial" w:cs="Arial"/>
                <w:sz w:val="20"/>
                <w:szCs w:val="20"/>
                <w:lang w:val="en-CA"/>
              </w:rPr>
              <w:t>100</w:t>
            </w:r>
          </w:p>
        </w:tc>
      </w:tr>
    </w:tbl>
    <w:p w14:paraId="22F32CCC" w14:textId="77777777" w:rsidR="00F66071" w:rsidRPr="0030399D" w:rsidRDefault="00F66071" w:rsidP="00F66071">
      <w:pPr>
        <w:pStyle w:val="ExhibitText"/>
        <w:rPr>
          <w:lang w:val="en-CA"/>
        </w:rPr>
      </w:pPr>
    </w:p>
    <w:p w14:paraId="660A460B" w14:textId="77777777" w:rsidR="00F66071" w:rsidRPr="002403B2" w:rsidRDefault="00F66071" w:rsidP="00F66071">
      <w:pPr>
        <w:autoSpaceDE w:val="0"/>
        <w:autoSpaceDN w:val="0"/>
        <w:adjustRightInd w:val="0"/>
        <w:rPr>
          <w:rFonts w:ascii="Arial" w:hAnsi="Arial" w:cs="Arial"/>
          <w:sz w:val="17"/>
          <w:szCs w:val="17"/>
          <w:lang w:val="en-CA"/>
        </w:rPr>
      </w:pPr>
      <w:r w:rsidRPr="0030399D">
        <w:rPr>
          <w:rFonts w:ascii="Arial" w:hAnsi="Arial" w:cs="Arial"/>
          <w:sz w:val="17"/>
          <w:szCs w:val="17"/>
          <w:lang w:val="en-CA"/>
        </w:rPr>
        <w:t xml:space="preserve">Source: Evaluate, “World Preview 2016, Outlook to 2022,” Evaluate Group, September 2016, accessed May 13, 2019, </w:t>
      </w:r>
      <w:hyperlink r:id="rId9" w:history="1">
        <w:r w:rsidRPr="0030399D">
          <w:rPr>
            <w:rFonts w:ascii="Arial" w:hAnsi="Arial" w:cs="Arial"/>
            <w:sz w:val="17"/>
            <w:szCs w:val="17"/>
            <w:lang w:val="en-CA"/>
          </w:rPr>
          <w:t>http://info.evaluategroup.com/rs/607-YGS-364/images/wp16.pdf</w:t>
        </w:r>
      </w:hyperlink>
      <w:r w:rsidRPr="0030399D">
        <w:rPr>
          <w:rFonts w:ascii="Arial" w:hAnsi="Arial" w:cs="Arial"/>
          <w:sz w:val="17"/>
          <w:szCs w:val="17"/>
          <w:lang w:val="en-CA"/>
        </w:rPr>
        <w:t>.</w:t>
      </w:r>
    </w:p>
    <w:p w14:paraId="332DF178" w14:textId="77777777" w:rsidR="00F66071" w:rsidRPr="002403B2" w:rsidRDefault="00F66071" w:rsidP="00F66071">
      <w:pPr>
        <w:pStyle w:val="IVEYappTitel"/>
        <w:rPr>
          <w:noProof w:val="0"/>
          <w:sz w:val="16"/>
          <w:szCs w:val="16"/>
          <w:lang w:val="en-CA"/>
        </w:rPr>
      </w:pPr>
    </w:p>
    <w:p w14:paraId="0495661C" w14:textId="77777777" w:rsidR="00F66071" w:rsidRPr="002403B2" w:rsidRDefault="00F66071" w:rsidP="00F66071">
      <w:pPr>
        <w:pStyle w:val="IVEYappTitel"/>
        <w:rPr>
          <w:noProof w:val="0"/>
          <w:sz w:val="16"/>
          <w:szCs w:val="16"/>
          <w:lang w:val="en-CA"/>
        </w:rPr>
      </w:pPr>
    </w:p>
    <w:p w14:paraId="727AE7A8" w14:textId="6507164E" w:rsidR="00F66071" w:rsidRPr="0030399D" w:rsidRDefault="00F66071" w:rsidP="00F66071">
      <w:pPr>
        <w:pStyle w:val="IVEYappTitel"/>
        <w:rPr>
          <w:noProof w:val="0"/>
          <w:lang w:val="en-CA"/>
        </w:rPr>
      </w:pPr>
      <w:r w:rsidRPr="0030399D">
        <w:rPr>
          <w:noProof w:val="0"/>
          <w:lang w:val="en-CA"/>
        </w:rPr>
        <w:t>Exhibit 11: R&amp;D and prescription sales expenditure of the top 15 pharmaceutical companies, 2017 [</w:t>
      </w:r>
      <w:r w:rsidR="00DC7877">
        <w:rPr>
          <w:noProof w:val="0"/>
          <w:lang w:val="en-CA"/>
        </w:rPr>
        <w:t>US</w:t>
      </w:r>
      <w:r w:rsidRPr="0030399D">
        <w:rPr>
          <w:noProof w:val="0"/>
          <w:lang w:val="en-CA"/>
        </w:rPr>
        <w:t>$ bn]</w:t>
      </w:r>
    </w:p>
    <w:p w14:paraId="70160DAB" w14:textId="77777777" w:rsidR="00F66071" w:rsidRPr="002403B2" w:rsidRDefault="00F66071" w:rsidP="00F66071">
      <w:pPr>
        <w:pStyle w:val="IVEYappTitel"/>
        <w:rPr>
          <w:noProof w:val="0"/>
          <w:sz w:val="16"/>
          <w:szCs w:val="16"/>
          <w:lang w:val="en-CA"/>
        </w:rPr>
      </w:pPr>
    </w:p>
    <w:tbl>
      <w:tblPr>
        <w:tblW w:w="800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697"/>
        <w:gridCol w:w="3330"/>
        <w:gridCol w:w="1980"/>
      </w:tblGrid>
      <w:tr w:rsidR="00F66071" w:rsidRPr="0030399D" w14:paraId="19E6A6F4" w14:textId="77777777" w:rsidTr="007C129D">
        <w:trPr>
          <w:trHeight w:val="61"/>
        </w:trPr>
        <w:tc>
          <w:tcPr>
            <w:tcW w:w="2697" w:type="dxa"/>
            <w:shd w:val="clear" w:color="auto" w:fill="auto"/>
            <w:noWrap/>
            <w:vAlign w:val="center"/>
            <w:hideMark/>
          </w:tcPr>
          <w:p w14:paraId="191739DB"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Company</w:t>
            </w:r>
          </w:p>
        </w:tc>
        <w:tc>
          <w:tcPr>
            <w:tcW w:w="3330" w:type="dxa"/>
            <w:shd w:val="clear" w:color="auto" w:fill="auto"/>
            <w:noWrap/>
            <w:vAlign w:val="center"/>
            <w:hideMark/>
          </w:tcPr>
          <w:p w14:paraId="2B134D38"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Prescription Sales Expenditures</w:t>
            </w:r>
          </w:p>
        </w:tc>
        <w:tc>
          <w:tcPr>
            <w:tcW w:w="1980" w:type="dxa"/>
            <w:shd w:val="clear" w:color="auto" w:fill="auto"/>
            <w:noWrap/>
            <w:vAlign w:val="center"/>
            <w:hideMark/>
          </w:tcPr>
          <w:p w14:paraId="1E861BD6"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R&amp;D Expenditures</w:t>
            </w:r>
          </w:p>
        </w:tc>
      </w:tr>
      <w:tr w:rsidR="00F66071" w:rsidRPr="0030399D" w14:paraId="67482AAA" w14:textId="77777777" w:rsidTr="007C129D">
        <w:trPr>
          <w:trHeight w:val="61"/>
        </w:trPr>
        <w:tc>
          <w:tcPr>
            <w:tcW w:w="2697" w:type="dxa"/>
            <w:shd w:val="clear" w:color="auto" w:fill="auto"/>
            <w:noWrap/>
            <w:vAlign w:val="center"/>
            <w:hideMark/>
          </w:tcPr>
          <w:p w14:paraId="409F99AF"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Pfizer (US)</w:t>
            </w:r>
          </w:p>
        </w:tc>
        <w:tc>
          <w:tcPr>
            <w:tcW w:w="3330" w:type="dxa"/>
            <w:shd w:val="clear" w:color="auto" w:fill="auto"/>
            <w:noWrap/>
            <w:vAlign w:val="center"/>
            <w:hideMark/>
          </w:tcPr>
          <w:p w14:paraId="45D7AD82"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45.36</w:t>
            </w:r>
          </w:p>
        </w:tc>
        <w:tc>
          <w:tcPr>
            <w:tcW w:w="1980" w:type="dxa"/>
            <w:shd w:val="clear" w:color="auto" w:fill="auto"/>
            <w:noWrap/>
            <w:vAlign w:val="center"/>
            <w:hideMark/>
          </w:tcPr>
          <w:p w14:paraId="7E283362"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7.63</w:t>
            </w:r>
          </w:p>
        </w:tc>
      </w:tr>
      <w:tr w:rsidR="00F66071" w:rsidRPr="0030399D" w14:paraId="6299F54D" w14:textId="77777777" w:rsidTr="007C129D">
        <w:trPr>
          <w:trHeight w:val="67"/>
        </w:trPr>
        <w:tc>
          <w:tcPr>
            <w:tcW w:w="2697" w:type="dxa"/>
            <w:shd w:val="clear" w:color="auto" w:fill="auto"/>
            <w:noWrap/>
            <w:vAlign w:val="center"/>
            <w:hideMark/>
          </w:tcPr>
          <w:p w14:paraId="5699A388"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Novartis (Switzerland)</w:t>
            </w:r>
          </w:p>
        </w:tc>
        <w:tc>
          <w:tcPr>
            <w:tcW w:w="3330" w:type="dxa"/>
            <w:shd w:val="clear" w:color="auto" w:fill="auto"/>
            <w:noWrap/>
            <w:vAlign w:val="center"/>
            <w:hideMark/>
          </w:tcPr>
          <w:p w14:paraId="5F238833"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41.88</w:t>
            </w:r>
          </w:p>
        </w:tc>
        <w:tc>
          <w:tcPr>
            <w:tcW w:w="1980" w:type="dxa"/>
            <w:shd w:val="clear" w:color="auto" w:fill="auto"/>
            <w:noWrap/>
            <w:vAlign w:val="center"/>
            <w:hideMark/>
          </w:tcPr>
          <w:p w14:paraId="712CE6AA"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7.82</w:t>
            </w:r>
          </w:p>
        </w:tc>
      </w:tr>
      <w:tr w:rsidR="00F66071" w:rsidRPr="0030399D" w14:paraId="372FEE23" w14:textId="77777777" w:rsidTr="007C129D">
        <w:trPr>
          <w:trHeight w:val="61"/>
        </w:trPr>
        <w:tc>
          <w:tcPr>
            <w:tcW w:w="2697" w:type="dxa"/>
            <w:shd w:val="clear" w:color="auto" w:fill="auto"/>
            <w:noWrap/>
            <w:vAlign w:val="center"/>
            <w:hideMark/>
          </w:tcPr>
          <w:p w14:paraId="47647A64"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Roche (Switzerland)</w:t>
            </w:r>
          </w:p>
        </w:tc>
        <w:tc>
          <w:tcPr>
            <w:tcW w:w="3330" w:type="dxa"/>
            <w:shd w:val="clear" w:color="auto" w:fill="auto"/>
            <w:noWrap/>
            <w:vAlign w:val="center"/>
            <w:hideMark/>
          </w:tcPr>
          <w:p w14:paraId="74B82BFC"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41.73</w:t>
            </w:r>
          </w:p>
        </w:tc>
        <w:tc>
          <w:tcPr>
            <w:tcW w:w="1980" w:type="dxa"/>
            <w:shd w:val="clear" w:color="auto" w:fill="auto"/>
            <w:noWrap/>
            <w:vAlign w:val="center"/>
            <w:hideMark/>
          </w:tcPr>
          <w:p w14:paraId="587C64B2"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9.18</w:t>
            </w:r>
          </w:p>
        </w:tc>
      </w:tr>
      <w:tr w:rsidR="00F66071" w:rsidRPr="0030399D" w14:paraId="608C03B0" w14:textId="77777777" w:rsidTr="007C129D">
        <w:trPr>
          <w:trHeight w:val="61"/>
        </w:trPr>
        <w:tc>
          <w:tcPr>
            <w:tcW w:w="2697" w:type="dxa"/>
            <w:shd w:val="clear" w:color="auto" w:fill="auto"/>
            <w:noWrap/>
            <w:vAlign w:val="center"/>
            <w:hideMark/>
          </w:tcPr>
          <w:p w14:paraId="44CF76A7"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Merck &amp; Co. (US)</w:t>
            </w:r>
          </w:p>
        </w:tc>
        <w:tc>
          <w:tcPr>
            <w:tcW w:w="3330" w:type="dxa"/>
            <w:shd w:val="clear" w:color="auto" w:fill="auto"/>
            <w:noWrap/>
            <w:vAlign w:val="center"/>
            <w:hideMark/>
          </w:tcPr>
          <w:p w14:paraId="6607B883"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35.36</w:t>
            </w:r>
          </w:p>
        </w:tc>
        <w:tc>
          <w:tcPr>
            <w:tcW w:w="1980" w:type="dxa"/>
            <w:shd w:val="clear" w:color="auto" w:fill="auto"/>
            <w:noWrap/>
            <w:vAlign w:val="center"/>
            <w:hideMark/>
          </w:tcPr>
          <w:p w14:paraId="513E5D3E"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7.56</w:t>
            </w:r>
          </w:p>
        </w:tc>
      </w:tr>
      <w:tr w:rsidR="00F66071" w:rsidRPr="0030399D" w14:paraId="086F1675" w14:textId="77777777" w:rsidTr="007C129D">
        <w:trPr>
          <w:trHeight w:val="227"/>
        </w:trPr>
        <w:tc>
          <w:tcPr>
            <w:tcW w:w="2697" w:type="dxa"/>
            <w:shd w:val="clear" w:color="auto" w:fill="auto"/>
            <w:noWrap/>
            <w:vAlign w:val="center"/>
            <w:hideMark/>
          </w:tcPr>
          <w:p w14:paraId="767673EA"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Sanofi (France)</w:t>
            </w:r>
          </w:p>
        </w:tc>
        <w:tc>
          <w:tcPr>
            <w:tcW w:w="3330" w:type="dxa"/>
            <w:shd w:val="clear" w:color="auto" w:fill="auto"/>
            <w:noWrap/>
            <w:vAlign w:val="center"/>
            <w:hideMark/>
          </w:tcPr>
          <w:p w14:paraId="3949D750"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34.40</w:t>
            </w:r>
          </w:p>
        </w:tc>
        <w:tc>
          <w:tcPr>
            <w:tcW w:w="1980" w:type="dxa"/>
            <w:shd w:val="clear" w:color="auto" w:fill="auto"/>
            <w:noWrap/>
            <w:vAlign w:val="center"/>
            <w:hideMark/>
          </w:tcPr>
          <w:p w14:paraId="60D5E2EA"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8.36</w:t>
            </w:r>
          </w:p>
        </w:tc>
      </w:tr>
      <w:tr w:rsidR="00F66071" w:rsidRPr="0030399D" w14:paraId="23304693" w14:textId="77777777" w:rsidTr="007C129D">
        <w:trPr>
          <w:trHeight w:val="227"/>
        </w:trPr>
        <w:tc>
          <w:tcPr>
            <w:tcW w:w="2697" w:type="dxa"/>
            <w:shd w:val="clear" w:color="auto" w:fill="auto"/>
            <w:noWrap/>
            <w:vAlign w:val="center"/>
            <w:hideMark/>
          </w:tcPr>
          <w:p w14:paraId="28BD4C1D"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Johnson &amp; Johnson (US)</w:t>
            </w:r>
          </w:p>
        </w:tc>
        <w:tc>
          <w:tcPr>
            <w:tcW w:w="3330" w:type="dxa"/>
            <w:shd w:val="clear" w:color="auto" w:fill="auto"/>
            <w:noWrap/>
            <w:vAlign w:val="center"/>
            <w:hideMark/>
          </w:tcPr>
          <w:p w14:paraId="011DC490"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34.08</w:t>
            </w:r>
          </w:p>
        </w:tc>
        <w:tc>
          <w:tcPr>
            <w:tcW w:w="1980" w:type="dxa"/>
            <w:shd w:val="clear" w:color="auto" w:fill="auto"/>
            <w:noWrap/>
            <w:vAlign w:val="center"/>
            <w:hideMark/>
          </w:tcPr>
          <w:p w14:paraId="6E0A7B7C"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6.18</w:t>
            </w:r>
          </w:p>
        </w:tc>
      </w:tr>
      <w:tr w:rsidR="00F66071" w:rsidRPr="0030399D" w14:paraId="37941A9D" w14:textId="77777777" w:rsidTr="007C129D">
        <w:trPr>
          <w:trHeight w:val="227"/>
        </w:trPr>
        <w:tc>
          <w:tcPr>
            <w:tcW w:w="2697" w:type="dxa"/>
            <w:shd w:val="clear" w:color="auto" w:fill="auto"/>
            <w:noWrap/>
            <w:vAlign w:val="center"/>
            <w:hideMark/>
          </w:tcPr>
          <w:p w14:paraId="0E104474"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Gilead Sciences (US)</w:t>
            </w:r>
          </w:p>
        </w:tc>
        <w:tc>
          <w:tcPr>
            <w:tcW w:w="3330" w:type="dxa"/>
            <w:shd w:val="clear" w:color="auto" w:fill="auto"/>
            <w:noWrap/>
            <w:vAlign w:val="center"/>
            <w:hideMark/>
          </w:tcPr>
          <w:p w14:paraId="211EE1D2"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28.67</w:t>
            </w:r>
          </w:p>
        </w:tc>
        <w:tc>
          <w:tcPr>
            <w:tcW w:w="1980" w:type="dxa"/>
            <w:shd w:val="clear" w:color="auto" w:fill="auto"/>
            <w:noWrap/>
            <w:vAlign w:val="center"/>
            <w:hideMark/>
          </w:tcPr>
          <w:p w14:paraId="38C9FA4C"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4.98</w:t>
            </w:r>
          </w:p>
        </w:tc>
      </w:tr>
      <w:tr w:rsidR="00F66071" w:rsidRPr="0030399D" w14:paraId="5DE98A90" w14:textId="77777777" w:rsidTr="007C129D">
        <w:trPr>
          <w:trHeight w:val="227"/>
        </w:trPr>
        <w:tc>
          <w:tcPr>
            <w:tcW w:w="2697" w:type="dxa"/>
            <w:shd w:val="clear" w:color="auto" w:fill="auto"/>
            <w:noWrap/>
            <w:vAlign w:val="center"/>
            <w:hideMark/>
          </w:tcPr>
          <w:p w14:paraId="47CDCD2E"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GlaxoSmithKline (UK)</w:t>
            </w:r>
          </w:p>
        </w:tc>
        <w:tc>
          <w:tcPr>
            <w:tcW w:w="3330" w:type="dxa"/>
            <w:shd w:val="clear" w:color="auto" w:fill="auto"/>
            <w:noWrap/>
            <w:vAlign w:val="center"/>
            <w:hideMark/>
          </w:tcPr>
          <w:p w14:paraId="3D4536E0"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27.74</w:t>
            </w:r>
          </w:p>
        </w:tc>
        <w:tc>
          <w:tcPr>
            <w:tcW w:w="1980" w:type="dxa"/>
            <w:shd w:val="clear" w:color="auto" w:fill="auto"/>
            <w:noWrap/>
            <w:vAlign w:val="center"/>
            <w:hideMark/>
          </w:tcPr>
          <w:p w14:paraId="23570F0F"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4.83</w:t>
            </w:r>
          </w:p>
        </w:tc>
      </w:tr>
      <w:tr w:rsidR="00F66071" w:rsidRPr="0030399D" w14:paraId="493E43A0" w14:textId="77777777" w:rsidTr="007C129D">
        <w:trPr>
          <w:trHeight w:val="227"/>
        </w:trPr>
        <w:tc>
          <w:tcPr>
            <w:tcW w:w="2697" w:type="dxa"/>
            <w:shd w:val="clear" w:color="auto" w:fill="auto"/>
            <w:noWrap/>
            <w:vAlign w:val="center"/>
            <w:hideMark/>
          </w:tcPr>
          <w:p w14:paraId="6375A787"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AbbVie (US)</w:t>
            </w:r>
          </w:p>
        </w:tc>
        <w:tc>
          <w:tcPr>
            <w:tcW w:w="3330" w:type="dxa"/>
            <w:shd w:val="clear" w:color="auto" w:fill="auto"/>
            <w:noWrap/>
            <w:vAlign w:val="center"/>
            <w:hideMark/>
          </w:tcPr>
          <w:p w14:paraId="33A8D17E"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25.66</w:t>
            </w:r>
          </w:p>
        </w:tc>
        <w:tc>
          <w:tcPr>
            <w:tcW w:w="1980" w:type="dxa"/>
            <w:shd w:val="clear" w:color="auto" w:fill="auto"/>
            <w:noWrap/>
            <w:vAlign w:val="center"/>
            <w:hideMark/>
          </w:tcPr>
          <w:p w14:paraId="6E799461"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3.52</w:t>
            </w:r>
          </w:p>
        </w:tc>
      </w:tr>
      <w:tr w:rsidR="00F66071" w:rsidRPr="0030399D" w14:paraId="17B1895C" w14:textId="77777777" w:rsidTr="007C129D">
        <w:trPr>
          <w:trHeight w:val="227"/>
        </w:trPr>
        <w:tc>
          <w:tcPr>
            <w:tcW w:w="2697" w:type="dxa"/>
            <w:shd w:val="clear" w:color="auto" w:fill="auto"/>
            <w:noWrap/>
            <w:vAlign w:val="center"/>
            <w:hideMark/>
          </w:tcPr>
          <w:p w14:paraId="74B52AA9"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Amgen (US.)</w:t>
            </w:r>
          </w:p>
        </w:tc>
        <w:tc>
          <w:tcPr>
            <w:tcW w:w="3330" w:type="dxa"/>
            <w:shd w:val="clear" w:color="auto" w:fill="auto"/>
            <w:noWrap/>
            <w:vAlign w:val="center"/>
            <w:hideMark/>
          </w:tcPr>
          <w:p w14:paraId="653297EB"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21.80</w:t>
            </w:r>
          </w:p>
        </w:tc>
        <w:tc>
          <w:tcPr>
            <w:tcW w:w="1980" w:type="dxa"/>
            <w:shd w:val="clear" w:color="auto" w:fill="auto"/>
            <w:noWrap/>
            <w:vAlign w:val="center"/>
            <w:hideMark/>
          </w:tcPr>
          <w:p w14:paraId="60FAFC65"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3.48</w:t>
            </w:r>
          </w:p>
        </w:tc>
      </w:tr>
      <w:tr w:rsidR="00F66071" w:rsidRPr="0030399D" w14:paraId="441CBECA" w14:textId="77777777" w:rsidTr="007C129D">
        <w:trPr>
          <w:trHeight w:val="227"/>
        </w:trPr>
        <w:tc>
          <w:tcPr>
            <w:tcW w:w="2697" w:type="dxa"/>
            <w:shd w:val="clear" w:color="auto" w:fill="auto"/>
            <w:noWrap/>
            <w:vAlign w:val="center"/>
            <w:hideMark/>
          </w:tcPr>
          <w:p w14:paraId="10EF39A9"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AstraZeneca (UK)</w:t>
            </w:r>
          </w:p>
        </w:tc>
        <w:tc>
          <w:tcPr>
            <w:tcW w:w="3330" w:type="dxa"/>
            <w:shd w:val="clear" w:color="auto" w:fill="auto"/>
            <w:noWrap/>
            <w:vAlign w:val="center"/>
            <w:hideMark/>
          </w:tcPr>
          <w:p w14:paraId="4483B474"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19.78</w:t>
            </w:r>
          </w:p>
        </w:tc>
        <w:tc>
          <w:tcPr>
            <w:tcW w:w="1980" w:type="dxa"/>
            <w:shd w:val="clear" w:color="auto" w:fill="auto"/>
            <w:noWrap/>
            <w:vAlign w:val="center"/>
            <w:hideMark/>
          </w:tcPr>
          <w:p w14:paraId="0BAE987E"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5.41</w:t>
            </w:r>
          </w:p>
        </w:tc>
      </w:tr>
      <w:tr w:rsidR="00F66071" w:rsidRPr="0030399D" w14:paraId="1B2A41BC" w14:textId="77777777" w:rsidTr="007C129D">
        <w:trPr>
          <w:trHeight w:val="227"/>
        </w:trPr>
        <w:tc>
          <w:tcPr>
            <w:tcW w:w="2697" w:type="dxa"/>
            <w:shd w:val="clear" w:color="auto" w:fill="auto"/>
            <w:noWrap/>
            <w:vAlign w:val="center"/>
            <w:hideMark/>
          </w:tcPr>
          <w:p w14:paraId="1DD01AE2"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Allergan (US)</w:t>
            </w:r>
          </w:p>
        </w:tc>
        <w:tc>
          <w:tcPr>
            <w:tcW w:w="3330" w:type="dxa"/>
            <w:shd w:val="clear" w:color="auto" w:fill="auto"/>
            <w:noWrap/>
            <w:vAlign w:val="center"/>
            <w:hideMark/>
          </w:tcPr>
          <w:p w14:paraId="53A41F3A"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19.26</w:t>
            </w:r>
          </w:p>
        </w:tc>
        <w:tc>
          <w:tcPr>
            <w:tcW w:w="1980" w:type="dxa"/>
            <w:shd w:val="clear" w:color="auto" w:fill="auto"/>
            <w:noWrap/>
            <w:vAlign w:val="center"/>
            <w:hideMark/>
          </w:tcPr>
          <w:p w14:paraId="5A4EC6B7"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4.82</w:t>
            </w:r>
          </w:p>
        </w:tc>
      </w:tr>
      <w:tr w:rsidR="00F66071" w:rsidRPr="0030399D" w14:paraId="4E8C9AB1" w14:textId="77777777" w:rsidTr="007C129D">
        <w:trPr>
          <w:trHeight w:val="227"/>
        </w:trPr>
        <w:tc>
          <w:tcPr>
            <w:tcW w:w="2697" w:type="dxa"/>
            <w:shd w:val="clear" w:color="auto" w:fill="auto"/>
            <w:noWrap/>
            <w:vAlign w:val="center"/>
            <w:hideMark/>
          </w:tcPr>
          <w:p w14:paraId="3F288850"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Teva (Israel)</w:t>
            </w:r>
          </w:p>
        </w:tc>
        <w:tc>
          <w:tcPr>
            <w:tcW w:w="3330" w:type="dxa"/>
            <w:shd w:val="clear" w:color="auto" w:fill="auto"/>
            <w:noWrap/>
            <w:vAlign w:val="center"/>
            <w:hideMark/>
          </w:tcPr>
          <w:p w14:paraId="110235B0"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18.53</w:t>
            </w:r>
          </w:p>
        </w:tc>
        <w:tc>
          <w:tcPr>
            <w:tcW w:w="1980" w:type="dxa"/>
            <w:shd w:val="clear" w:color="auto" w:fill="auto"/>
            <w:noWrap/>
            <w:vAlign w:val="center"/>
            <w:hideMark/>
          </w:tcPr>
          <w:p w14:paraId="1CD26580"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4.97</w:t>
            </w:r>
          </w:p>
        </w:tc>
      </w:tr>
      <w:tr w:rsidR="00F66071" w:rsidRPr="0030399D" w14:paraId="4731A0CF" w14:textId="77777777" w:rsidTr="007C129D">
        <w:trPr>
          <w:trHeight w:val="227"/>
        </w:trPr>
        <w:tc>
          <w:tcPr>
            <w:tcW w:w="2697" w:type="dxa"/>
            <w:shd w:val="clear" w:color="auto" w:fill="auto"/>
            <w:noWrap/>
            <w:vAlign w:val="center"/>
            <w:hideMark/>
          </w:tcPr>
          <w:p w14:paraId="0317652D"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Bristol-Myers Squibb (US)</w:t>
            </w:r>
          </w:p>
        </w:tc>
        <w:tc>
          <w:tcPr>
            <w:tcW w:w="3330" w:type="dxa"/>
            <w:shd w:val="clear" w:color="auto" w:fill="auto"/>
            <w:noWrap/>
            <w:vAlign w:val="center"/>
            <w:hideMark/>
          </w:tcPr>
          <w:p w14:paraId="33911FE7"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18.26</w:t>
            </w:r>
          </w:p>
        </w:tc>
        <w:tc>
          <w:tcPr>
            <w:tcW w:w="1980" w:type="dxa"/>
            <w:shd w:val="clear" w:color="auto" w:fill="auto"/>
            <w:noWrap/>
            <w:vAlign w:val="center"/>
            <w:hideMark/>
          </w:tcPr>
          <w:p w14:paraId="6181AF5E"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1.85</w:t>
            </w:r>
          </w:p>
        </w:tc>
      </w:tr>
      <w:tr w:rsidR="00F66071" w:rsidRPr="0030399D" w14:paraId="0FA2DF1D" w14:textId="77777777" w:rsidTr="007C129D">
        <w:trPr>
          <w:trHeight w:val="61"/>
        </w:trPr>
        <w:tc>
          <w:tcPr>
            <w:tcW w:w="2697" w:type="dxa"/>
            <w:shd w:val="clear" w:color="auto" w:fill="auto"/>
            <w:noWrap/>
            <w:vAlign w:val="center"/>
            <w:hideMark/>
          </w:tcPr>
          <w:p w14:paraId="55F3021C"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Eli Lilly (US)</w:t>
            </w:r>
          </w:p>
        </w:tc>
        <w:tc>
          <w:tcPr>
            <w:tcW w:w="3330" w:type="dxa"/>
            <w:shd w:val="clear" w:color="auto" w:fill="auto"/>
            <w:noWrap/>
            <w:vAlign w:val="center"/>
            <w:hideMark/>
          </w:tcPr>
          <w:p w14:paraId="66A4CF00"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17.72</w:t>
            </w:r>
          </w:p>
        </w:tc>
        <w:tc>
          <w:tcPr>
            <w:tcW w:w="1980" w:type="dxa"/>
            <w:shd w:val="clear" w:color="auto" w:fill="auto"/>
            <w:noWrap/>
            <w:vAlign w:val="center"/>
            <w:hideMark/>
          </w:tcPr>
          <w:p w14:paraId="5BA6233E" w14:textId="77777777" w:rsidR="00F66071" w:rsidRPr="0030399D" w:rsidRDefault="00F66071" w:rsidP="007C129D">
            <w:pPr>
              <w:pStyle w:val="SourceBeschriftung"/>
              <w:spacing w:before="0" w:after="0" w:line="240" w:lineRule="auto"/>
              <w:jc w:val="right"/>
              <w:rPr>
                <w:rFonts w:ascii="Arial" w:hAnsi="Arial" w:cs="Arial"/>
                <w:sz w:val="20"/>
                <w:szCs w:val="20"/>
                <w:lang w:val="en-CA"/>
              </w:rPr>
            </w:pPr>
            <w:r w:rsidRPr="0030399D">
              <w:rPr>
                <w:rFonts w:ascii="Arial" w:hAnsi="Arial" w:cs="Arial"/>
                <w:sz w:val="20"/>
                <w:szCs w:val="20"/>
                <w:lang w:val="en-CA"/>
              </w:rPr>
              <w:t>3.26</w:t>
            </w:r>
          </w:p>
        </w:tc>
      </w:tr>
    </w:tbl>
    <w:p w14:paraId="765609FD" w14:textId="77777777" w:rsidR="00F66071" w:rsidRPr="0030399D" w:rsidRDefault="00F66071" w:rsidP="00F66071">
      <w:pPr>
        <w:pStyle w:val="ExhibitText"/>
        <w:rPr>
          <w:sz w:val="12"/>
          <w:szCs w:val="12"/>
          <w:lang w:val="en-CA"/>
        </w:rPr>
      </w:pPr>
    </w:p>
    <w:p w14:paraId="5DCA206D" w14:textId="1BAE7758" w:rsidR="00F66071" w:rsidRPr="0030399D" w:rsidRDefault="00F66071" w:rsidP="00F66071">
      <w:pPr>
        <w:pStyle w:val="Footnote"/>
        <w:rPr>
          <w:spacing w:val="-4"/>
          <w:kern w:val="17"/>
          <w:lang w:val="en-CA"/>
        </w:rPr>
      </w:pPr>
      <w:r w:rsidRPr="0030399D">
        <w:rPr>
          <w:spacing w:val="-4"/>
          <w:kern w:val="17"/>
          <w:lang w:val="en-CA"/>
        </w:rPr>
        <w:t xml:space="preserve">Source: “Top 50 Global Pharmaceutical Companies by Prescription Sales and R&amp;D Spending in 2017 (in billion </w:t>
      </w:r>
      <w:r w:rsidR="007C129D">
        <w:rPr>
          <w:spacing w:val="-4"/>
          <w:kern w:val="17"/>
          <w:lang w:val="en-CA"/>
        </w:rPr>
        <w:t>US</w:t>
      </w:r>
      <w:r w:rsidRPr="0030399D">
        <w:rPr>
          <w:spacing w:val="-4"/>
          <w:kern w:val="17"/>
          <w:lang w:val="en-CA"/>
        </w:rPr>
        <w:t xml:space="preserve"> dollars),” Statista - The Statistics Portal, accessed May 13, 2019, </w:t>
      </w:r>
      <w:r w:rsidRPr="0030399D">
        <w:rPr>
          <w:lang w:val="en-CA"/>
        </w:rPr>
        <w:t>www.statista.com/statistics/273029/top-10-pharmaceutical-companies-sales-and-rundd-spending-in-2010/</w:t>
      </w:r>
      <w:r w:rsidRPr="0030399D">
        <w:rPr>
          <w:spacing w:val="-4"/>
          <w:kern w:val="17"/>
          <w:lang w:val="en-CA"/>
        </w:rPr>
        <w:t>.</w:t>
      </w:r>
    </w:p>
    <w:p w14:paraId="2E4AD6A2" w14:textId="77777777" w:rsidR="00F66071" w:rsidRPr="0030399D" w:rsidRDefault="00F66071" w:rsidP="00F66071">
      <w:pPr>
        <w:pStyle w:val="IVEYappTitel"/>
        <w:rPr>
          <w:noProof w:val="0"/>
          <w:lang w:val="en-CA"/>
        </w:rPr>
      </w:pPr>
      <w:r w:rsidRPr="0030399D">
        <w:rPr>
          <w:noProof w:val="0"/>
          <w:lang w:val="en-CA"/>
        </w:rPr>
        <w:lastRenderedPageBreak/>
        <w:t>Exhibit 12: Ranking of industrial sectors by overall R&amp;D spending, 2015 [%]</w:t>
      </w:r>
    </w:p>
    <w:p w14:paraId="0818C0F3" w14:textId="77777777" w:rsidR="00F66071" w:rsidRPr="0030399D" w:rsidRDefault="00F66071" w:rsidP="00F66071">
      <w:pPr>
        <w:pStyle w:val="IVEYappTitel"/>
        <w:rPr>
          <w:noProof w:val="0"/>
          <w:highlight w:val="yellow"/>
          <w:lang w:val="en-CA"/>
        </w:rPr>
      </w:pPr>
    </w:p>
    <w:tbl>
      <w:tblPr>
        <w:tblW w:w="5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1890"/>
      </w:tblGrid>
      <w:tr w:rsidR="00F66071" w:rsidRPr="0030399D" w14:paraId="272E7C90" w14:textId="77777777" w:rsidTr="007C129D">
        <w:trPr>
          <w:trHeight w:val="397"/>
          <w:jc w:val="center"/>
        </w:trPr>
        <w:tc>
          <w:tcPr>
            <w:tcW w:w="3685" w:type="dxa"/>
            <w:shd w:val="clear" w:color="auto" w:fill="auto"/>
            <w:noWrap/>
            <w:vAlign w:val="center"/>
          </w:tcPr>
          <w:p w14:paraId="38AED151"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Industry</w:t>
            </w:r>
          </w:p>
        </w:tc>
        <w:tc>
          <w:tcPr>
            <w:tcW w:w="1890" w:type="dxa"/>
            <w:shd w:val="clear" w:color="auto" w:fill="auto"/>
            <w:noWrap/>
            <w:vAlign w:val="center"/>
          </w:tcPr>
          <w:p w14:paraId="25A0DC41"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bCs/>
                <w:noProof w:val="0"/>
                <w:sz w:val="20"/>
                <w:szCs w:val="20"/>
                <w:lang w:val="en-CA"/>
              </w:rPr>
              <w:t>R&amp;D Spending in % of Net Sales</w:t>
            </w:r>
          </w:p>
        </w:tc>
      </w:tr>
      <w:tr w:rsidR="00F66071" w:rsidRPr="0030399D" w14:paraId="09F79A37" w14:textId="77777777" w:rsidTr="007C129D">
        <w:trPr>
          <w:trHeight w:val="227"/>
          <w:jc w:val="center"/>
        </w:trPr>
        <w:tc>
          <w:tcPr>
            <w:tcW w:w="3685" w:type="dxa"/>
            <w:shd w:val="clear" w:color="auto" w:fill="auto"/>
            <w:noWrap/>
            <w:vAlign w:val="center"/>
          </w:tcPr>
          <w:p w14:paraId="3D6D56B6" w14:textId="77777777" w:rsidR="00F66071" w:rsidRPr="0030399D" w:rsidRDefault="00F66071" w:rsidP="007C129D">
            <w:pPr>
              <w:pStyle w:val="IVEYText"/>
              <w:jc w:val="left"/>
              <w:rPr>
                <w:rFonts w:ascii="Arial" w:hAnsi="Arial" w:cs="Arial"/>
                <w:b/>
                <w:noProof w:val="0"/>
                <w:sz w:val="20"/>
                <w:szCs w:val="20"/>
                <w:lang w:val="en-CA"/>
              </w:rPr>
            </w:pPr>
            <w:r w:rsidRPr="0030399D">
              <w:rPr>
                <w:rFonts w:ascii="Arial" w:hAnsi="Arial" w:cs="Arial"/>
                <w:b/>
                <w:noProof w:val="0"/>
                <w:sz w:val="20"/>
                <w:szCs w:val="20"/>
                <w:lang w:val="en-CA"/>
              </w:rPr>
              <w:t>Pharmaceuticals and biotechnology</w:t>
            </w:r>
          </w:p>
        </w:tc>
        <w:tc>
          <w:tcPr>
            <w:tcW w:w="1890" w:type="dxa"/>
            <w:shd w:val="clear" w:color="auto" w:fill="auto"/>
            <w:noWrap/>
            <w:vAlign w:val="center"/>
          </w:tcPr>
          <w:p w14:paraId="26A45903" w14:textId="77777777" w:rsidR="00F66071" w:rsidRPr="0030399D" w:rsidRDefault="00F66071" w:rsidP="007C129D">
            <w:pPr>
              <w:pStyle w:val="IVEYText"/>
              <w:jc w:val="right"/>
              <w:rPr>
                <w:rFonts w:ascii="Arial" w:hAnsi="Arial" w:cs="Arial"/>
                <w:b/>
                <w:noProof w:val="0"/>
                <w:sz w:val="20"/>
                <w:szCs w:val="20"/>
                <w:lang w:val="en-CA"/>
              </w:rPr>
            </w:pPr>
            <w:r w:rsidRPr="0030399D">
              <w:rPr>
                <w:rFonts w:ascii="Arial" w:hAnsi="Arial" w:cs="Arial"/>
                <w:b/>
                <w:noProof w:val="0"/>
                <w:sz w:val="20"/>
                <w:szCs w:val="20"/>
                <w:lang w:val="en-CA"/>
              </w:rPr>
              <w:t>15.0</w:t>
            </w:r>
          </w:p>
        </w:tc>
      </w:tr>
      <w:tr w:rsidR="00F66071" w:rsidRPr="0030399D" w14:paraId="49FB1083" w14:textId="77777777" w:rsidTr="007C129D">
        <w:trPr>
          <w:trHeight w:val="227"/>
          <w:jc w:val="center"/>
        </w:trPr>
        <w:tc>
          <w:tcPr>
            <w:tcW w:w="3685" w:type="dxa"/>
            <w:shd w:val="clear" w:color="auto" w:fill="auto"/>
            <w:noWrap/>
            <w:vAlign w:val="center"/>
          </w:tcPr>
          <w:p w14:paraId="7AE3E673"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Software and computer services</w:t>
            </w:r>
          </w:p>
        </w:tc>
        <w:tc>
          <w:tcPr>
            <w:tcW w:w="1890" w:type="dxa"/>
            <w:shd w:val="clear" w:color="auto" w:fill="auto"/>
            <w:noWrap/>
            <w:vAlign w:val="center"/>
          </w:tcPr>
          <w:p w14:paraId="140CCC01"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10.6</w:t>
            </w:r>
          </w:p>
        </w:tc>
      </w:tr>
      <w:tr w:rsidR="00F66071" w:rsidRPr="0030399D" w14:paraId="227888FD" w14:textId="77777777" w:rsidTr="007C129D">
        <w:trPr>
          <w:trHeight w:val="227"/>
          <w:jc w:val="center"/>
        </w:trPr>
        <w:tc>
          <w:tcPr>
            <w:tcW w:w="3685" w:type="dxa"/>
            <w:shd w:val="clear" w:color="auto" w:fill="auto"/>
            <w:noWrap/>
            <w:vAlign w:val="center"/>
          </w:tcPr>
          <w:p w14:paraId="3FB55CBD"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Technology hardware and equipment</w:t>
            </w:r>
          </w:p>
        </w:tc>
        <w:tc>
          <w:tcPr>
            <w:tcW w:w="1890" w:type="dxa"/>
            <w:shd w:val="clear" w:color="auto" w:fill="auto"/>
            <w:noWrap/>
            <w:vAlign w:val="center"/>
          </w:tcPr>
          <w:p w14:paraId="2BB38EC3"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8.4</w:t>
            </w:r>
          </w:p>
        </w:tc>
      </w:tr>
      <w:tr w:rsidR="00F66071" w:rsidRPr="0030399D" w14:paraId="02A1F13C" w14:textId="77777777" w:rsidTr="007C129D">
        <w:trPr>
          <w:trHeight w:val="227"/>
          <w:jc w:val="center"/>
        </w:trPr>
        <w:tc>
          <w:tcPr>
            <w:tcW w:w="3685" w:type="dxa"/>
            <w:shd w:val="clear" w:color="auto" w:fill="auto"/>
            <w:noWrap/>
            <w:vAlign w:val="center"/>
          </w:tcPr>
          <w:p w14:paraId="052C0397"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Automobiles and parts</w:t>
            </w:r>
          </w:p>
        </w:tc>
        <w:tc>
          <w:tcPr>
            <w:tcW w:w="1890" w:type="dxa"/>
            <w:shd w:val="clear" w:color="auto" w:fill="auto"/>
            <w:noWrap/>
            <w:vAlign w:val="center"/>
          </w:tcPr>
          <w:p w14:paraId="04927BBF"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5.9</w:t>
            </w:r>
          </w:p>
        </w:tc>
      </w:tr>
      <w:tr w:rsidR="00F66071" w:rsidRPr="0030399D" w14:paraId="7DC576E7" w14:textId="77777777" w:rsidTr="007C129D">
        <w:trPr>
          <w:trHeight w:val="227"/>
          <w:jc w:val="center"/>
        </w:trPr>
        <w:tc>
          <w:tcPr>
            <w:tcW w:w="3685" w:type="dxa"/>
            <w:shd w:val="clear" w:color="auto" w:fill="auto"/>
            <w:noWrap/>
            <w:vAlign w:val="center"/>
          </w:tcPr>
          <w:p w14:paraId="19B029AC"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Electronic &amp; electrical equipment</w:t>
            </w:r>
          </w:p>
        </w:tc>
        <w:tc>
          <w:tcPr>
            <w:tcW w:w="1890" w:type="dxa"/>
            <w:shd w:val="clear" w:color="auto" w:fill="auto"/>
            <w:noWrap/>
            <w:vAlign w:val="center"/>
          </w:tcPr>
          <w:p w14:paraId="163B58AC"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4.7</w:t>
            </w:r>
          </w:p>
        </w:tc>
      </w:tr>
      <w:tr w:rsidR="00F66071" w:rsidRPr="0030399D" w14:paraId="5B7F52C9" w14:textId="77777777" w:rsidTr="007C129D">
        <w:trPr>
          <w:trHeight w:val="227"/>
          <w:jc w:val="center"/>
        </w:trPr>
        <w:tc>
          <w:tcPr>
            <w:tcW w:w="3685" w:type="dxa"/>
            <w:shd w:val="clear" w:color="auto" w:fill="auto"/>
            <w:noWrap/>
            <w:vAlign w:val="center"/>
          </w:tcPr>
          <w:p w14:paraId="1B6F7382"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Healthcare equipment and services</w:t>
            </w:r>
          </w:p>
        </w:tc>
        <w:tc>
          <w:tcPr>
            <w:tcW w:w="1890" w:type="dxa"/>
            <w:shd w:val="clear" w:color="auto" w:fill="auto"/>
            <w:noWrap/>
            <w:vAlign w:val="center"/>
          </w:tcPr>
          <w:p w14:paraId="1DAEF1CF"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4.3</w:t>
            </w:r>
          </w:p>
        </w:tc>
      </w:tr>
      <w:tr w:rsidR="00F66071" w:rsidRPr="0030399D" w14:paraId="58DA9376" w14:textId="77777777" w:rsidTr="007C129D">
        <w:trPr>
          <w:trHeight w:val="227"/>
          <w:jc w:val="center"/>
        </w:trPr>
        <w:tc>
          <w:tcPr>
            <w:tcW w:w="3685" w:type="dxa"/>
            <w:shd w:val="clear" w:color="auto" w:fill="auto"/>
            <w:noWrap/>
            <w:vAlign w:val="center"/>
          </w:tcPr>
          <w:p w14:paraId="3E97D8E3"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General industrials</w:t>
            </w:r>
          </w:p>
        </w:tc>
        <w:tc>
          <w:tcPr>
            <w:tcW w:w="1890" w:type="dxa"/>
            <w:shd w:val="clear" w:color="auto" w:fill="auto"/>
            <w:noWrap/>
            <w:vAlign w:val="center"/>
          </w:tcPr>
          <w:p w14:paraId="62685D92"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4.3</w:t>
            </w:r>
          </w:p>
        </w:tc>
      </w:tr>
      <w:tr w:rsidR="00F66071" w:rsidRPr="0030399D" w14:paraId="35EDC12C" w14:textId="77777777" w:rsidTr="007C129D">
        <w:trPr>
          <w:trHeight w:val="227"/>
          <w:jc w:val="center"/>
        </w:trPr>
        <w:tc>
          <w:tcPr>
            <w:tcW w:w="3685" w:type="dxa"/>
            <w:shd w:val="clear" w:color="auto" w:fill="auto"/>
            <w:noWrap/>
            <w:vAlign w:val="center"/>
          </w:tcPr>
          <w:p w14:paraId="54580582"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b/>
                <w:noProof w:val="0"/>
                <w:sz w:val="20"/>
                <w:szCs w:val="20"/>
                <w:lang w:val="en-CA"/>
              </w:rPr>
              <w:t>Total 41 industries (average)</w:t>
            </w:r>
          </w:p>
        </w:tc>
        <w:tc>
          <w:tcPr>
            <w:tcW w:w="1890" w:type="dxa"/>
            <w:shd w:val="clear" w:color="auto" w:fill="auto"/>
            <w:noWrap/>
            <w:vAlign w:val="center"/>
          </w:tcPr>
          <w:p w14:paraId="4FD83ECB" w14:textId="77777777" w:rsidR="00F66071" w:rsidRPr="0030399D" w:rsidRDefault="00F66071" w:rsidP="007C129D">
            <w:pPr>
              <w:pStyle w:val="IVEYText"/>
              <w:jc w:val="right"/>
              <w:rPr>
                <w:rFonts w:ascii="Arial" w:hAnsi="Arial" w:cs="Arial"/>
                <w:b/>
                <w:noProof w:val="0"/>
                <w:sz w:val="20"/>
                <w:szCs w:val="20"/>
                <w:lang w:val="en-CA"/>
              </w:rPr>
            </w:pPr>
            <w:r w:rsidRPr="0030399D">
              <w:rPr>
                <w:rFonts w:ascii="Arial" w:hAnsi="Arial" w:cs="Arial"/>
                <w:b/>
                <w:noProof w:val="0"/>
                <w:sz w:val="20"/>
                <w:szCs w:val="20"/>
                <w:lang w:val="en-CA"/>
              </w:rPr>
              <w:t>3.8</w:t>
            </w:r>
          </w:p>
        </w:tc>
      </w:tr>
      <w:tr w:rsidR="00F66071" w:rsidRPr="0030399D" w14:paraId="3511D97F" w14:textId="77777777" w:rsidTr="007C129D">
        <w:trPr>
          <w:trHeight w:val="227"/>
          <w:jc w:val="center"/>
        </w:trPr>
        <w:tc>
          <w:tcPr>
            <w:tcW w:w="3685" w:type="dxa"/>
            <w:shd w:val="clear" w:color="auto" w:fill="auto"/>
            <w:noWrap/>
            <w:vAlign w:val="center"/>
          </w:tcPr>
          <w:p w14:paraId="7D187D23" w14:textId="77777777" w:rsidR="00F66071" w:rsidRPr="0030399D" w:rsidRDefault="00F66071" w:rsidP="007C129D">
            <w:pPr>
              <w:pStyle w:val="IVEYText"/>
              <w:jc w:val="left"/>
              <w:rPr>
                <w:rFonts w:ascii="Arial" w:hAnsi="Arial" w:cs="Arial"/>
                <w:b/>
                <w:noProof w:val="0"/>
                <w:sz w:val="20"/>
                <w:szCs w:val="20"/>
                <w:lang w:val="en-CA"/>
              </w:rPr>
            </w:pPr>
            <w:r w:rsidRPr="0030399D">
              <w:rPr>
                <w:rFonts w:ascii="Arial" w:hAnsi="Arial" w:cs="Arial"/>
                <w:noProof w:val="0"/>
                <w:sz w:val="20"/>
                <w:szCs w:val="20"/>
                <w:lang w:val="en-CA"/>
              </w:rPr>
              <w:t>Industrial engineering</w:t>
            </w:r>
          </w:p>
        </w:tc>
        <w:tc>
          <w:tcPr>
            <w:tcW w:w="1890" w:type="dxa"/>
            <w:shd w:val="clear" w:color="auto" w:fill="auto"/>
            <w:noWrap/>
            <w:vAlign w:val="center"/>
          </w:tcPr>
          <w:p w14:paraId="2F85A4D9"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3.6</w:t>
            </w:r>
          </w:p>
        </w:tc>
      </w:tr>
      <w:tr w:rsidR="00F66071" w:rsidRPr="0030399D" w14:paraId="24B814D5" w14:textId="77777777" w:rsidTr="007C129D">
        <w:trPr>
          <w:trHeight w:val="227"/>
          <w:jc w:val="center"/>
        </w:trPr>
        <w:tc>
          <w:tcPr>
            <w:tcW w:w="3685" w:type="dxa"/>
            <w:shd w:val="clear" w:color="auto" w:fill="auto"/>
            <w:noWrap/>
            <w:vAlign w:val="center"/>
          </w:tcPr>
          <w:p w14:paraId="08D1AD9D"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Leisure goods</w:t>
            </w:r>
          </w:p>
        </w:tc>
        <w:tc>
          <w:tcPr>
            <w:tcW w:w="1890" w:type="dxa"/>
            <w:shd w:val="clear" w:color="auto" w:fill="auto"/>
            <w:noWrap/>
            <w:vAlign w:val="center"/>
          </w:tcPr>
          <w:p w14:paraId="6EFE16A8"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3.2</w:t>
            </w:r>
          </w:p>
        </w:tc>
      </w:tr>
      <w:tr w:rsidR="00F66071" w:rsidRPr="0030399D" w14:paraId="07DF4726" w14:textId="77777777" w:rsidTr="007C129D">
        <w:trPr>
          <w:trHeight w:val="227"/>
          <w:jc w:val="center"/>
        </w:trPr>
        <w:tc>
          <w:tcPr>
            <w:tcW w:w="3685" w:type="dxa"/>
            <w:shd w:val="clear" w:color="auto" w:fill="auto"/>
            <w:noWrap/>
            <w:vAlign w:val="center"/>
          </w:tcPr>
          <w:p w14:paraId="4503F523"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Chemicals</w:t>
            </w:r>
          </w:p>
        </w:tc>
        <w:tc>
          <w:tcPr>
            <w:tcW w:w="1890" w:type="dxa"/>
            <w:shd w:val="clear" w:color="auto" w:fill="auto"/>
            <w:noWrap/>
            <w:vAlign w:val="center"/>
          </w:tcPr>
          <w:p w14:paraId="43E01DAD"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2.9</w:t>
            </w:r>
          </w:p>
        </w:tc>
      </w:tr>
    </w:tbl>
    <w:p w14:paraId="1BB9335B" w14:textId="77777777" w:rsidR="00F66071" w:rsidRPr="0030399D" w:rsidRDefault="00F66071" w:rsidP="00F66071">
      <w:pPr>
        <w:pStyle w:val="ExhibitText"/>
        <w:rPr>
          <w:lang w:val="en-CA"/>
        </w:rPr>
      </w:pPr>
    </w:p>
    <w:p w14:paraId="2EC7E237" w14:textId="25005942" w:rsidR="00DC7877" w:rsidRDefault="00DC7877" w:rsidP="00F66071">
      <w:pPr>
        <w:pStyle w:val="Footnote"/>
        <w:rPr>
          <w:lang w:val="en-CA"/>
        </w:rPr>
      </w:pPr>
      <w:r>
        <w:rPr>
          <w:lang w:val="en-CA"/>
        </w:rPr>
        <w:t>Note: R&amp;D = research and development.</w:t>
      </w:r>
    </w:p>
    <w:p w14:paraId="2AF3E687" w14:textId="0F89A692" w:rsidR="00F66071" w:rsidRPr="002403B2" w:rsidRDefault="00F66071" w:rsidP="00F66071">
      <w:pPr>
        <w:pStyle w:val="Footnote"/>
        <w:rPr>
          <w:lang w:val="en-CA"/>
        </w:rPr>
      </w:pPr>
      <w:r w:rsidRPr="0030399D">
        <w:rPr>
          <w:lang w:val="en-CA"/>
        </w:rPr>
        <w:t>Source: EFPIA, “The Pharmaceutical Industry in Figures,” page 10, 2018, European Federation of Pharmaceutical Industries and Associations, accessed May 13, 2019, https://efpia.eu/media/361960/efpia-pharmafigures2018_v07-hq.pdf.</w:t>
      </w:r>
    </w:p>
    <w:p w14:paraId="69DF92EC" w14:textId="77777777" w:rsidR="00F66071" w:rsidRPr="0030399D" w:rsidRDefault="00F66071" w:rsidP="00F66071">
      <w:pPr>
        <w:pStyle w:val="ExhibitText"/>
        <w:rPr>
          <w:lang w:val="en-CA"/>
        </w:rPr>
      </w:pPr>
    </w:p>
    <w:p w14:paraId="41144552" w14:textId="77777777" w:rsidR="00F66071" w:rsidRPr="0030399D" w:rsidRDefault="00F66071" w:rsidP="00F66071">
      <w:pPr>
        <w:pStyle w:val="ExhibitText"/>
        <w:rPr>
          <w:lang w:val="en-CA"/>
        </w:rPr>
      </w:pPr>
    </w:p>
    <w:p w14:paraId="41B42F9C" w14:textId="77777777" w:rsidR="00F66071" w:rsidRPr="0030399D" w:rsidRDefault="00F66071" w:rsidP="00F66071">
      <w:pPr>
        <w:pStyle w:val="IVEYappTitel"/>
        <w:rPr>
          <w:noProof w:val="0"/>
          <w:lang w:val="en-CA"/>
        </w:rPr>
      </w:pPr>
      <w:r w:rsidRPr="0030399D">
        <w:rPr>
          <w:noProof w:val="0"/>
          <w:lang w:val="en-CA"/>
        </w:rPr>
        <w:t>Exhibit 13: Pharmaceutical R&amp;D spending by region, 1990–2015 [National currencies]</w:t>
      </w:r>
    </w:p>
    <w:p w14:paraId="38933ED3" w14:textId="77777777" w:rsidR="00F66071" w:rsidRPr="0030399D" w:rsidRDefault="00F66071" w:rsidP="00F66071">
      <w:pPr>
        <w:pStyle w:val="IVEYappTitel"/>
        <w:rPr>
          <w:noProof w:val="0"/>
          <w:lang w:val="en-CA"/>
        </w:rPr>
      </w:pPr>
    </w:p>
    <w:p w14:paraId="03DE059D" w14:textId="77777777" w:rsidR="00F66071" w:rsidRPr="0030399D" w:rsidRDefault="00F66071" w:rsidP="00F66071">
      <w:pPr>
        <w:pStyle w:val="WUFigureTitle"/>
        <w:ind w:left="-142"/>
        <w:rPr>
          <w:rFonts w:ascii="Arial" w:hAnsi="Arial" w:cs="Arial"/>
          <w:sz w:val="17"/>
          <w:szCs w:val="17"/>
          <w:lang w:val="en-CA"/>
        </w:rPr>
      </w:pPr>
      <w:r w:rsidRPr="0030399D">
        <w:rPr>
          <w:rFonts w:ascii="Arial" w:hAnsi="Arial" w:cs="Arial"/>
          <w:noProof/>
          <w:sz w:val="17"/>
          <w:szCs w:val="17"/>
          <w:lang w:val="en-CA" w:eastAsia="en-CA"/>
        </w:rPr>
        <w:drawing>
          <wp:inline distT="0" distB="0" distL="0" distR="0" wp14:anchorId="130C5E91" wp14:editId="5C949BE8">
            <wp:extent cx="5655945" cy="1390650"/>
            <wp:effectExtent l="0" t="0" r="1905" b="0"/>
            <wp:docPr id="3"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8A0D28" w14:textId="77777777" w:rsidR="00F66071" w:rsidRPr="0030399D" w:rsidRDefault="00F66071" w:rsidP="00F66071">
      <w:pPr>
        <w:pStyle w:val="ExhibitText"/>
        <w:rPr>
          <w:lang w:val="en-CA"/>
        </w:rPr>
      </w:pPr>
    </w:p>
    <w:p w14:paraId="0627AF6C" w14:textId="6667997B" w:rsidR="00F66071" w:rsidRPr="0030399D" w:rsidRDefault="00F66071" w:rsidP="00F66071">
      <w:pPr>
        <w:pStyle w:val="Footnote"/>
        <w:rPr>
          <w:lang w:val="en-CA"/>
        </w:rPr>
      </w:pPr>
      <w:r w:rsidRPr="0030399D">
        <w:rPr>
          <w:lang w:val="en-CA"/>
        </w:rPr>
        <w:t>Note: In national currencies: Europe= euro; United States = USD Japan = JPY*100</w:t>
      </w:r>
      <w:r w:rsidR="00DC7877">
        <w:rPr>
          <w:lang w:val="en-CA"/>
        </w:rPr>
        <w:t>; R&amp;D = research and development.</w:t>
      </w:r>
    </w:p>
    <w:p w14:paraId="3B816753" w14:textId="77777777" w:rsidR="00F66071" w:rsidRPr="0030399D" w:rsidRDefault="00F66071" w:rsidP="00F66071">
      <w:pPr>
        <w:pStyle w:val="Footnote"/>
        <w:rPr>
          <w:lang w:val="en-CA"/>
        </w:rPr>
      </w:pPr>
      <w:r w:rsidRPr="0030399D">
        <w:rPr>
          <w:lang w:val="en-CA"/>
        </w:rPr>
        <w:t xml:space="preserve">Source: EFPIA, “The Pharmaceutical Industry in Figures,” page 5, 2018, European Federation of Pharmaceutical Industries and Associations, accessed May 13, 2019, https://efpia.eu/media/361960/efpia-pharmafigures2018_v07-hq.pdf. </w:t>
      </w:r>
    </w:p>
    <w:p w14:paraId="6E65B19E" w14:textId="77777777" w:rsidR="00F66071" w:rsidRPr="0030399D" w:rsidRDefault="00F66071" w:rsidP="00F66071">
      <w:pPr>
        <w:pStyle w:val="IVEYappTitel"/>
        <w:rPr>
          <w:noProof w:val="0"/>
          <w:sz w:val="16"/>
          <w:szCs w:val="16"/>
          <w:lang w:val="en-CA"/>
        </w:rPr>
      </w:pPr>
    </w:p>
    <w:p w14:paraId="4E5BEBC4" w14:textId="77777777" w:rsidR="00F66071" w:rsidRPr="0030399D" w:rsidRDefault="00F66071" w:rsidP="00F66071">
      <w:pPr>
        <w:pStyle w:val="IVEYappTitel"/>
        <w:rPr>
          <w:noProof w:val="0"/>
          <w:sz w:val="16"/>
          <w:szCs w:val="16"/>
          <w:lang w:val="en-CA"/>
        </w:rPr>
      </w:pPr>
    </w:p>
    <w:p w14:paraId="3770914D" w14:textId="77777777" w:rsidR="00F66071" w:rsidRPr="0030399D" w:rsidRDefault="00F66071" w:rsidP="00F66071">
      <w:pPr>
        <w:pStyle w:val="IVEYappTitel"/>
        <w:rPr>
          <w:noProof w:val="0"/>
          <w:lang w:val="en-CA"/>
        </w:rPr>
      </w:pPr>
      <w:r w:rsidRPr="0030399D">
        <w:rPr>
          <w:noProof w:val="0"/>
          <w:lang w:val="en-CA"/>
        </w:rPr>
        <w:t xml:space="preserve">Exhibit 14: Duration of R&amp;D and Patent Approval Phases </w:t>
      </w:r>
      <w:r w:rsidRPr="0030399D">
        <w:rPr>
          <w:noProof w:val="0"/>
          <w:lang w:val="en-CA"/>
        </w:rPr>
        <w:br/>
        <w:t>[in number of years per time period]</w:t>
      </w:r>
    </w:p>
    <w:p w14:paraId="7482FB4E" w14:textId="77777777" w:rsidR="00F66071" w:rsidRPr="0030399D" w:rsidRDefault="00F66071" w:rsidP="00F66071">
      <w:pPr>
        <w:pStyle w:val="IVEYappTitel"/>
        <w:rPr>
          <w:noProof w:val="0"/>
          <w:sz w:val="16"/>
          <w:szCs w:val="16"/>
          <w:lang w:val="en-CA"/>
        </w:rPr>
      </w:pPr>
    </w:p>
    <w:tbl>
      <w:tblPr>
        <w:tblW w:w="69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437"/>
        <w:gridCol w:w="1440"/>
        <w:gridCol w:w="1350"/>
        <w:gridCol w:w="1710"/>
        <w:gridCol w:w="990"/>
      </w:tblGrid>
      <w:tr w:rsidR="00F66071" w:rsidRPr="0030399D" w14:paraId="10B6179A" w14:textId="77777777" w:rsidTr="007C129D">
        <w:trPr>
          <w:trHeight w:val="397"/>
          <w:jc w:val="center"/>
        </w:trPr>
        <w:tc>
          <w:tcPr>
            <w:tcW w:w="1437" w:type="dxa"/>
            <w:shd w:val="clear" w:color="auto" w:fill="auto"/>
            <w:noWrap/>
            <w:vAlign w:val="center"/>
          </w:tcPr>
          <w:p w14:paraId="5FEFD259"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Time Period</w:t>
            </w:r>
          </w:p>
        </w:tc>
        <w:tc>
          <w:tcPr>
            <w:tcW w:w="1440" w:type="dxa"/>
            <w:shd w:val="clear" w:color="auto" w:fill="auto"/>
            <w:noWrap/>
            <w:vAlign w:val="center"/>
          </w:tcPr>
          <w:p w14:paraId="0E6599A5"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Pre-clinical Test Phase</w:t>
            </w:r>
          </w:p>
        </w:tc>
        <w:tc>
          <w:tcPr>
            <w:tcW w:w="1350" w:type="dxa"/>
            <w:shd w:val="clear" w:color="auto" w:fill="auto"/>
            <w:noWrap/>
            <w:vAlign w:val="center"/>
          </w:tcPr>
          <w:p w14:paraId="6AC40556"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Clinical Test Phase</w:t>
            </w:r>
          </w:p>
        </w:tc>
        <w:tc>
          <w:tcPr>
            <w:tcW w:w="1710" w:type="dxa"/>
            <w:shd w:val="clear" w:color="auto" w:fill="auto"/>
            <w:noWrap/>
            <w:vAlign w:val="center"/>
          </w:tcPr>
          <w:p w14:paraId="7D0DAF7F"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Patent Approval Phase</w:t>
            </w:r>
          </w:p>
        </w:tc>
        <w:tc>
          <w:tcPr>
            <w:tcW w:w="990" w:type="dxa"/>
            <w:shd w:val="clear" w:color="auto" w:fill="auto"/>
            <w:vAlign w:val="center"/>
          </w:tcPr>
          <w:p w14:paraId="111293A0" w14:textId="77777777" w:rsidR="00F66071" w:rsidRPr="0030399D" w:rsidRDefault="00F66071" w:rsidP="007C129D">
            <w:pPr>
              <w:jc w:val="center"/>
              <w:rPr>
                <w:rFonts w:ascii="Arial" w:hAnsi="Arial" w:cs="Arial"/>
                <w:b/>
                <w:bCs/>
                <w:lang w:val="en-CA"/>
              </w:rPr>
            </w:pPr>
            <w:r w:rsidRPr="0030399D">
              <w:rPr>
                <w:rFonts w:ascii="Arial" w:hAnsi="Arial" w:cs="Arial"/>
                <w:b/>
                <w:bCs/>
                <w:lang w:val="en-CA"/>
              </w:rPr>
              <w:t>Sum</w:t>
            </w:r>
          </w:p>
        </w:tc>
      </w:tr>
      <w:tr w:rsidR="00F66071" w:rsidRPr="0030399D" w14:paraId="65983176" w14:textId="77777777" w:rsidTr="007C129D">
        <w:trPr>
          <w:trHeight w:val="227"/>
          <w:jc w:val="center"/>
        </w:trPr>
        <w:tc>
          <w:tcPr>
            <w:tcW w:w="1437" w:type="dxa"/>
            <w:shd w:val="clear" w:color="auto" w:fill="auto"/>
            <w:noWrap/>
            <w:vAlign w:val="center"/>
          </w:tcPr>
          <w:p w14:paraId="34B42472" w14:textId="77777777" w:rsidR="00F66071" w:rsidRPr="0030399D" w:rsidRDefault="00F66071" w:rsidP="007C129D">
            <w:pPr>
              <w:rPr>
                <w:rFonts w:ascii="Arial" w:hAnsi="Arial" w:cs="Arial"/>
                <w:lang w:val="en-CA"/>
              </w:rPr>
            </w:pPr>
            <w:r w:rsidRPr="0030399D">
              <w:rPr>
                <w:rFonts w:ascii="Arial" w:hAnsi="Arial" w:cs="Arial"/>
                <w:lang w:val="en-CA"/>
              </w:rPr>
              <w:t>1963</w:t>
            </w:r>
            <w:r w:rsidRPr="0030399D">
              <w:rPr>
                <w:rFonts w:eastAsia="Calibri"/>
                <w:spacing w:val="-2"/>
                <w:kern w:val="22"/>
                <w:lang w:val="en-CA"/>
              </w:rPr>
              <w:t>–</w:t>
            </w:r>
            <w:r w:rsidRPr="0030399D">
              <w:rPr>
                <w:rFonts w:ascii="Arial" w:hAnsi="Arial" w:cs="Arial"/>
                <w:lang w:val="en-CA"/>
              </w:rPr>
              <w:t>1969</w:t>
            </w:r>
          </w:p>
        </w:tc>
        <w:tc>
          <w:tcPr>
            <w:tcW w:w="1440" w:type="dxa"/>
            <w:shd w:val="clear" w:color="auto" w:fill="auto"/>
            <w:noWrap/>
            <w:vAlign w:val="center"/>
          </w:tcPr>
          <w:p w14:paraId="7DE6F769" w14:textId="77777777" w:rsidR="00F66071" w:rsidRPr="0030399D" w:rsidRDefault="00F66071" w:rsidP="007C129D">
            <w:pPr>
              <w:jc w:val="right"/>
              <w:rPr>
                <w:rFonts w:ascii="Arial" w:hAnsi="Arial" w:cs="Arial"/>
                <w:lang w:val="en-CA"/>
              </w:rPr>
            </w:pPr>
            <w:r w:rsidRPr="0030399D">
              <w:rPr>
                <w:rFonts w:ascii="Arial" w:hAnsi="Arial" w:cs="Arial"/>
                <w:lang w:val="en-CA"/>
              </w:rPr>
              <w:t>2.6</w:t>
            </w:r>
          </w:p>
        </w:tc>
        <w:tc>
          <w:tcPr>
            <w:tcW w:w="1350" w:type="dxa"/>
            <w:shd w:val="clear" w:color="auto" w:fill="auto"/>
            <w:noWrap/>
            <w:vAlign w:val="center"/>
          </w:tcPr>
          <w:p w14:paraId="20AE7AB9" w14:textId="77777777" w:rsidR="00F66071" w:rsidRPr="0030399D" w:rsidRDefault="00F66071" w:rsidP="007C129D">
            <w:pPr>
              <w:jc w:val="right"/>
              <w:rPr>
                <w:rFonts w:ascii="Arial" w:hAnsi="Arial" w:cs="Arial"/>
                <w:lang w:val="en-CA"/>
              </w:rPr>
            </w:pPr>
            <w:r w:rsidRPr="0030399D">
              <w:rPr>
                <w:rFonts w:ascii="Arial" w:hAnsi="Arial" w:cs="Arial"/>
                <w:lang w:val="en-CA"/>
              </w:rPr>
              <w:t>3.1</w:t>
            </w:r>
          </w:p>
        </w:tc>
        <w:tc>
          <w:tcPr>
            <w:tcW w:w="1710" w:type="dxa"/>
            <w:shd w:val="clear" w:color="auto" w:fill="auto"/>
            <w:noWrap/>
            <w:vAlign w:val="center"/>
          </w:tcPr>
          <w:p w14:paraId="60A6BD2F" w14:textId="77777777" w:rsidR="00F66071" w:rsidRPr="0030399D" w:rsidRDefault="00F66071" w:rsidP="007C129D">
            <w:pPr>
              <w:jc w:val="right"/>
              <w:rPr>
                <w:rFonts w:ascii="Arial" w:hAnsi="Arial" w:cs="Arial"/>
                <w:lang w:val="en-CA"/>
              </w:rPr>
            </w:pPr>
            <w:r w:rsidRPr="0030399D">
              <w:rPr>
                <w:rFonts w:ascii="Arial" w:hAnsi="Arial" w:cs="Arial"/>
                <w:lang w:val="en-CA"/>
              </w:rPr>
              <w:t>2.4</w:t>
            </w:r>
          </w:p>
        </w:tc>
        <w:tc>
          <w:tcPr>
            <w:tcW w:w="990" w:type="dxa"/>
            <w:shd w:val="clear" w:color="auto" w:fill="auto"/>
            <w:vAlign w:val="center"/>
          </w:tcPr>
          <w:p w14:paraId="77B493D4" w14:textId="77777777" w:rsidR="00F66071" w:rsidRPr="0030399D" w:rsidRDefault="00F66071" w:rsidP="007C129D">
            <w:pPr>
              <w:jc w:val="right"/>
              <w:rPr>
                <w:rFonts w:ascii="Arial" w:hAnsi="Arial" w:cs="Arial"/>
                <w:lang w:val="en-CA"/>
              </w:rPr>
            </w:pPr>
            <w:r w:rsidRPr="0030399D">
              <w:rPr>
                <w:rFonts w:ascii="Arial" w:hAnsi="Arial" w:cs="Arial"/>
                <w:lang w:val="en-CA"/>
              </w:rPr>
              <w:t>8.1</w:t>
            </w:r>
          </w:p>
        </w:tc>
      </w:tr>
      <w:tr w:rsidR="00F66071" w:rsidRPr="0030399D" w14:paraId="44C7A76F" w14:textId="77777777" w:rsidTr="007C129D">
        <w:trPr>
          <w:trHeight w:val="227"/>
          <w:jc w:val="center"/>
        </w:trPr>
        <w:tc>
          <w:tcPr>
            <w:tcW w:w="1437" w:type="dxa"/>
            <w:shd w:val="clear" w:color="auto" w:fill="auto"/>
            <w:noWrap/>
            <w:vAlign w:val="center"/>
          </w:tcPr>
          <w:p w14:paraId="1AAE690A" w14:textId="77777777" w:rsidR="00F66071" w:rsidRPr="0030399D" w:rsidRDefault="00F66071" w:rsidP="007C129D">
            <w:pPr>
              <w:rPr>
                <w:rFonts w:ascii="Arial" w:hAnsi="Arial" w:cs="Arial"/>
                <w:lang w:val="en-CA"/>
              </w:rPr>
            </w:pPr>
            <w:r w:rsidRPr="0030399D">
              <w:rPr>
                <w:rFonts w:ascii="Arial" w:hAnsi="Arial" w:cs="Arial"/>
                <w:lang w:val="en-CA"/>
              </w:rPr>
              <w:t>1970</w:t>
            </w:r>
            <w:r w:rsidRPr="0030399D">
              <w:rPr>
                <w:rFonts w:eastAsia="Calibri"/>
                <w:spacing w:val="-2"/>
                <w:kern w:val="22"/>
                <w:lang w:val="en-CA"/>
              </w:rPr>
              <w:t>–</w:t>
            </w:r>
            <w:r w:rsidRPr="0030399D">
              <w:rPr>
                <w:rFonts w:ascii="Arial" w:hAnsi="Arial" w:cs="Arial"/>
                <w:lang w:val="en-CA"/>
              </w:rPr>
              <w:t>1979</w:t>
            </w:r>
          </w:p>
        </w:tc>
        <w:tc>
          <w:tcPr>
            <w:tcW w:w="1440" w:type="dxa"/>
            <w:shd w:val="clear" w:color="auto" w:fill="auto"/>
            <w:noWrap/>
            <w:vAlign w:val="center"/>
          </w:tcPr>
          <w:p w14:paraId="30007110" w14:textId="77777777" w:rsidR="00F66071" w:rsidRPr="0030399D" w:rsidRDefault="00F66071" w:rsidP="007C129D">
            <w:pPr>
              <w:jc w:val="right"/>
              <w:rPr>
                <w:rFonts w:ascii="Arial" w:hAnsi="Arial" w:cs="Arial"/>
                <w:lang w:val="en-CA"/>
              </w:rPr>
            </w:pPr>
            <w:r w:rsidRPr="0030399D">
              <w:rPr>
                <w:rFonts w:ascii="Arial" w:hAnsi="Arial" w:cs="Arial"/>
                <w:lang w:val="en-CA"/>
              </w:rPr>
              <w:t>2.4</w:t>
            </w:r>
          </w:p>
        </w:tc>
        <w:tc>
          <w:tcPr>
            <w:tcW w:w="1350" w:type="dxa"/>
            <w:shd w:val="clear" w:color="auto" w:fill="auto"/>
            <w:noWrap/>
            <w:vAlign w:val="center"/>
          </w:tcPr>
          <w:p w14:paraId="1BFE30C8" w14:textId="77777777" w:rsidR="00F66071" w:rsidRPr="0030399D" w:rsidRDefault="00F66071" w:rsidP="007C129D">
            <w:pPr>
              <w:jc w:val="right"/>
              <w:rPr>
                <w:rFonts w:ascii="Arial" w:hAnsi="Arial" w:cs="Arial"/>
                <w:lang w:val="en-CA"/>
              </w:rPr>
            </w:pPr>
            <w:r w:rsidRPr="0030399D">
              <w:rPr>
                <w:rFonts w:ascii="Arial" w:hAnsi="Arial" w:cs="Arial"/>
                <w:lang w:val="en-CA"/>
              </w:rPr>
              <w:t>7.1</w:t>
            </w:r>
          </w:p>
        </w:tc>
        <w:tc>
          <w:tcPr>
            <w:tcW w:w="1710" w:type="dxa"/>
            <w:shd w:val="clear" w:color="auto" w:fill="auto"/>
            <w:noWrap/>
            <w:vAlign w:val="center"/>
          </w:tcPr>
          <w:p w14:paraId="01A22474" w14:textId="77777777" w:rsidR="00F66071" w:rsidRPr="0030399D" w:rsidRDefault="00F66071" w:rsidP="007C129D">
            <w:pPr>
              <w:jc w:val="right"/>
              <w:rPr>
                <w:rFonts w:ascii="Arial" w:hAnsi="Arial" w:cs="Arial"/>
                <w:lang w:val="en-CA"/>
              </w:rPr>
            </w:pPr>
            <w:r w:rsidRPr="0030399D">
              <w:rPr>
                <w:rFonts w:ascii="Arial" w:hAnsi="Arial" w:cs="Arial"/>
                <w:lang w:val="en-CA"/>
              </w:rPr>
              <w:t>2.1</w:t>
            </w:r>
          </w:p>
        </w:tc>
        <w:tc>
          <w:tcPr>
            <w:tcW w:w="990" w:type="dxa"/>
            <w:shd w:val="clear" w:color="auto" w:fill="auto"/>
            <w:vAlign w:val="center"/>
          </w:tcPr>
          <w:p w14:paraId="445D27AB" w14:textId="77777777" w:rsidR="00F66071" w:rsidRPr="0030399D" w:rsidRDefault="00F66071" w:rsidP="007C129D">
            <w:pPr>
              <w:jc w:val="right"/>
              <w:rPr>
                <w:rFonts w:ascii="Arial" w:hAnsi="Arial" w:cs="Arial"/>
                <w:lang w:val="en-CA"/>
              </w:rPr>
            </w:pPr>
            <w:r w:rsidRPr="0030399D">
              <w:rPr>
                <w:rFonts w:ascii="Arial" w:hAnsi="Arial" w:cs="Arial"/>
                <w:lang w:val="en-CA"/>
              </w:rPr>
              <w:t>11.6</w:t>
            </w:r>
          </w:p>
        </w:tc>
      </w:tr>
      <w:tr w:rsidR="00F66071" w:rsidRPr="0030399D" w14:paraId="77F5A5EB" w14:textId="77777777" w:rsidTr="007C129D">
        <w:trPr>
          <w:trHeight w:val="227"/>
          <w:jc w:val="center"/>
        </w:trPr>
        <w:tc>
          <w:tcPr>
            <w:tcW w:w="1437" w:type="dxa"/>
            <w:shd w:val="clear" w:color="auto" w:fill="auto"/>
            <w:noWrap/>
            <w:vAlign w:val="center"/>
          </w:tcPr>
          <w:p w14:paraId="3A6F2A3C" w14:textId="77777777" w:rsidR="00F66071" w:rsidRPr="0030399D" w:rsidRDefault="00F66071" w:rsidP="007C129D">
            <w:pPr>
              <w:rPr>
                <w:rFonts w:ascii="Arial" w:hAnsi="Arial" w:cs="Arial"/>
                <w:lang w:val="en-CA"/>
              </w:rPr>
            </w:pPr>
            <w:r w:rsidRPr="0030399D">
              <w:rPr>
                <w:rFonts w:ascii="Arial" w:hAnsi="Arial" w:cs="Arial"/>
                <w:lang w:val="en-CA"/>
              </w:rPr>
              <w:t>1980</w:t>
            </w:r>
            <w:r w:rsidRPr="0030399D">
              <w:rPr>
                <w:rFonts w:eastAsia="Calibri"/>
                <w:spacing w:val="-2"/>
                <w:kern w:val="22"/>
                <w:lang w:val="en-CA"/>
              </w:rPr>
              <w:t>–</w:t>
            </w:r>
            <w:r w:rsidRPr="0030399D">
              <w:rPr>
                <w:rFonts w:ascii="Arial" w:hAnsi="Arial" w:cs="Arial"/>
                <w:lang w:val="en-CA"/>
              </w:rPr>
              <w:t>1989</w:t>
            </w:r>
          </w:p>
        </w:tc>
        <w:tc>
          <w:tcPr>
            <w:tcW w:w="1440" w:type="dxa"/>
            <w:shd w:val="clear" w:color="auto" w:fill="auto"/>
            <w:noWrap/>
            <w:vAlign w:val="center"/>
          </w:tcPr>
          <w:p w14:paraId="55B422A0" w14:textId="77777777" w:rsidR="00F66071" w:rsidRPr="0030399D" w:rsidRDefault="00F66071" w:rsidP="007C129D">
            <w:pPr>
              <w:jc w:val="right"/>
              <w:rPr>
                <w:rFonts w:ascii="Arial" w:hAnsi="Arial" w:cs="Arial"/>
                <w:lang w:val="en-CA"/>
              </w:rPr>
            </w:pPr>
            <w:r w:rsidRPr="0030399D">
              <w:rPr>
                <w:rFonts w:ascii="Arial" w:hAnsi="Arial" w:cs="Arial"/>
                <w:lang w:val="en-CA"/>
              </w:rPr>
              <w:t>2.3</w:t>
            </w:r>
          </w:p>
        </w:tc>
        <w:tc>
          <w:tcPr>
            <w:tcW w:w="1350" w:type="dxa"/>
            <w:shd w:val="clear" w:color="auto" w:fill="auto"/>
            <w:noWrap/>
            <w:vAlign w:val="center"/>
          </w:tcPr>
          <w:p w14:paraId="7AA1445D" w14:textId="77777777" w:rsidR="00F66071" w:rsidRPr="0030399D" w:rsidRDefault="00F66071" w:rsidP="007C129D">
            <w:pPr>
              <w:jc w:val="right"/>
              <w:rPr>
                <w:rFonts w:ascii="Arial" w:hAnsi="Arial" w:cs="Arial"/>
                <w:lang w:val="en-CA"/>
              </w:rPr>
            </w:pPr>
            <w:r w:rsidRPr="0030399D">
              <w:rPr>
                <w:rFonts w:ascii="Arial" w:hAnsi="Arial" w:cs="Arial"/>
                <w:lang w:val="en-CA"/>
              </w:rPr>
              <w:t>9.0</w:t>
            </w:r>
          </w:p>
        </w:tc>
        <w:tc>
          <w:tcPr>
            <w:tcW w:w="1710" w:type="dxa"/>
            <w:shd w:val="clear" w:color="auto" w:fill="auto"/>
            <w:noWrap/>
            <w:vAlign w:val="center"/>
          </w:tcPr>
          <w:p w14:paraId="17C8A7BD" w14:textId="77777777" w:rsidR="00F66071" w:rsidRPr="0030399D" w:rsidRDefault="00F66071" w:rsidP="007C129D">
            <w:pPr>
              <w:jc w:val="right"/>
              <w:rPr>
                <w:rFonts w:ascii="Arial" w:hAnsi="Arial" w:cs="Arial"/>
                <w:lang w:val="en-CA"/>
              </w:rPr>
            </w:pPr>
            <w:r w:rsidRPr="0030399D">
              <w:rPr>
                <w:rFonts w:ascii="Arial" w:hAnsi="Arial" w:cs="Arial"/>
                <w:lang w:val="en-CA"/>
              </w:rPr>
              <w:t>2.8</w:t>
            </w:r>
          </w:p>
        </w:tc>
        <w:tc>
          <w:tcPr>
            <w:tcW w:w="990" w:type="dxa"/>
            <w:shd w:val="clear" w:color="auto" w:fill="auto"/>
            <w:vAlign w:val="center"/>
          </w:tcPr>
          <w:p w14:paraId="07D7AC32" w14:textId="77777777" w:rsidR="00F66071" w:rsidRPr="0030399D" w:rsidRDefault="00F66071" w:rsidP="007C129D">
            <w:pPr>
              <w:jc w:val="right"/>
              <w:rPr>
                <w:rFonts w:ascii="Arial" w:hAnsi="Arial" w:cs="Arial"/>
                <w:lang w:val="en-CA"/>
              </w:rPr>
            </w:pPr>
            <w:r w:rsidRPr="0030399D">
              <w:rPr>
                <w:rFonts w:ascii="Arial" w:hAnsi="Arial" w:cs="Arial"/>
                <w:lang w:val="en-CA"/>
              </w:rPr>
              <w:t>14.1</w:t>
            </w:r>
          </w:p>
        </w:tc>
      </w:tr>
      <w:tr w:rsidR="00F66071" w:rsidRPr="0030399D" w14:paraId="6761C4B8" w14:textId="77777777" w:rsidTr="007C129D">
        <w:trPr>
          <w:trHeight w:val="227"/>
          <w:jc w:val="center"/>
        </w:trPr>
        <w:tc>
          <w:tcPr>
            <w:tcW w:w="1437" w:type="dxa"/>
            <w:shd w:val="clear" w:color="auto" w:fill="auto"/>
            <w:noWrap/>
            <w:vAlign w:val="center"/>
          </w:tcPr>
          <w:p w14:paraId="25EB2B93" w14:textId="77777777" w:rsidR="00F66071" w:rsidRPr="0030399D" w:rsidRDefault="00F66071" w:rsidP="007C129D">
            <w:pPr>
              <w:rPr>
                <w:rFonts w:ascii="Arial" w:hAnsi="Arial" w:cs="Arial"/>
                <w:lang w:val="en-CA"/>
              </w:rPr>
            </w:pPr>
            <w:r w:rsidRPr="0030399D">
              <w:rPr>
                <w:rFonts w:ascii="Arial" w:hAnsi="Arial" w:cs="Arial"/>
                <w:lang w:val="en-CA"/>
              </w:rPr>
              <w:t>1990</w:t>
            </w:r>
            <w:r w:rsidRPr="0030399D">
              <w:rPr>
                <w:rFonts w:eastAsia="Calibri"/>
                <w:spacing w:val="-2"/>
                <w:kern w:val="22"/>
                <w:lang w:val="en-CA"/>
              </w:rPr>
              <w:t>–</w:t>
            </w:r>
            <w:r w:rsidRPr="0030399D">
              <w:rPr>
                <w:rFonts w:ascii="Arial" w:hAnsi="Arial" w:cs="Arial"/>
                <w:lang w:val="en-CA"/>
              </w:rPr>
              <w:t>1999</w:t>
            </w:r>
          </w:p>
        </w:tc>
        <w:tc>
          <w:tcPr>
            <w:tcW w:w="1440" w:type="dxa"/>
            <w:shd w:val="clear" w:color="auto" w:fill="auto"/>
            <w:noWrap/>
            <w:vAlign w:val="center"/>
          </w:tcPr>
          <w:p w14:paraId="49F35BFA" w14:textId="77777777" w:rsidR="00F66071" w:rsidRPr="0030399D" w:rsidRDefault="00F66071" w:rsidP="007C129D">
            <w:pPr>
              <w:jc w:val="right"/>
              <w:rPr>
                <w:rFonts w:ascii="Arial" w:hAnsi="Arial" w:cs="Arial"/>
                <w:lang w:val="en-CA"/>
              </w:rPr>
            </w:pPr>
            <w:r w:rsidRPr="0030399D">
              <w:rPr>
                <w:rFonts w:ascii="Arial" w:hAnsi="Arial" w:cs="Arial"/>
                <w:lang w:val="en-CA"/>
              </w:rPr>
              <w:t>3.8</w:t>
            </w:r>
          </w:p>
        </w:tc>
        <w:tc>
          <w:tcPr>
            <w:tcW w:w="1350" w:type="dxa"/>
            <w:shd w:val="clear" w:color="auto" w:fill="auto"/>
            <w:noWrap/>
            <w:vAlign w:val="center"/>
          </w:tcPr>
          <w:p w14:paraId="181C5ACB" w14:textId="77777777" w:rsidR="00F66071" w:rsidRPr="0030399D" w:rsidRDefault="00F66071" w:rsidP="007C129D">
            <w:pPr>
              <w:jc w:val="right"/>
              <w:rPr>
                <w:rFonts w:ascii="Arial" w:hAnsi="Arial" w:cs="Arial"/>
                <w:lang w:val="en-CA"/>
              </w:rPr>
            </w:pPr>
            <w:r w:rsidRPr="0030399D">
              <w:rPr>
                <w:rFonts w:ascii="Arial" w:hAnsi="Arial" w:cs="Arial"/>
                <w:lang w:val="en-CA"/>
              </w:rPr>
              <w:t>8.6</w:t>
            </w:r>
          </w:p>
        </w:tc>
        <w:tc>
          <w:tcPr>
            <w:tcW w:w="1710" w:type="dxa"/>
            <w:shd w:val="clear" w:color="auto" w:fill="auto"/>
            <w:noWrap/>
            <w:vAlign w:val="center"/>
          </w:tcPr>
          <w:p w14:paraId="12D3D07A" w14:textId="77777777" w:rsidR="00F66071" w:rsidRPr="0030399D" w:rsidRDefault="00F66071" w:rsidP="007C129D">
            <w:pPr>
              <w:jc w:val="right"/>
              <w:rPr>
                <w:rFonts w:ascii="Arial" w:hAnsi="Arial" w:cs="Arial"/>
                <w:lang w:val="en-CA"/>
              </w:rPr>
            </w:pPr>
            <w:r w:rsidRPr="0030399D">
              <w:rPr>
                <w:rFonts w:ascii="Arial" w:hAnsi="Arial" w:cs="Arial"/>
                <w:lang w:val="en-CA"/>
              </w:rPr>
              <w:t>1.8</w:t>
            </w:r>
          </w:p>
        </w:tc>
        <w:tc>
          <w:tcPr>
            <w:tcW w:w="990" w:type="dxa"/>
            <w:shd w:val="clear" w:color="auto" w:fill="auto"/>
            <w:vAlign w:val="center"/>
          </w:tcPr>
          <w:p w14:paraId="62F18AAC" w14:textId="77777777" w:rsidR="00F66071" w:rsidRPr="0030399D" w:rsidRDefault="00F66071" w:rsidP="007C129D">
            <w:pPr>
              <w:jc w:val="right"/>
              <w:rPr>
                <w:rFonts w:ascii="Arial" w:hAnsi="Arial" w:cs="Arial"/>
                <w:lang w:val="en-CA"/>
              </w:rPr>
            </w:pPr>
            <w:r w:rsidRPr="0030399D">
              <w:rPr>
                <w:rFonts w:ascii="Arial" w:hAnsi="Arial" w:cs="Arial"/>
                <w:lang w:val="en-CA"/>
              </w:rPr>
              <w:t>14.2</w:t>
            </w:r>
          </w:p>
        </w:tc>
      </w:tr>
      <w:tr w:rsidR="00F66071" w:rsidRPr="0030399D" w14:paraId="2DF97772" w14:textId="77777777" w:rsidTr="007C129D">
        <w:trPr>
          <w:trHeight w:val="227"/>
          <w:jc w:val="center"/>
        </w:trPr>
        <w:tc>
          <w:tcPr>
            <w:tcW w:w="1437" w:type="dxa"/>
            <w:shd w:val="clear" w:color="auto" w:fill="auto"/>
            <w:noWrap/>
            <w:vAlign w:val="center"/>
          </w:tcPr>
          <w:p w14:paraId="2CC4B7B0" w14:textId="77777777" w:rsidR="00F66071" w:rsidRPr="0030399D" w:rsidRDefault="00F66071" w:rsidP="007C129D">
            <w:pPr>
              <w:rPr>
                <w:rFonts w:ascii="Arial" w:hAnsi="Arial" w:cs="Arial"/>
                <w:lang w:val="en-CA"/>
              </w:rPr>
            </w:pPr>
            <w:r w:rsidRPr="0030399D">
              <w:rPr>
                <w:rFonts w:ascii="Arial" w:hAnsi="Arial" w:cs="Arial"/>
                <w:lang w:val="en-CA"/>
              </w:rPr>
              <w:t>2016</w:t>
            </w:r>
          </w:p>
        </w:tc>
        <w:tc>
          <w:tcPr>
            <w:tcW w:w="1440" w:type="dxa"/>
            <w:shd w:val="clear" w:color="auto" w:fill="auto"/>
            <w:noWrap/>
            <w:vAlign w:val="center"/>
          </w:tcPr>
          <w:p w14:paraId="11C7A38C" w14:textId="77777777" w:rsidR="00F66071" w:rsidRPr="0030399D" w:rsidRDefault="00F66071" w:rsidP="007C129D">
            <w:pPr>
              <w:jc w:val="right"/>
              <w:rPr>
                <w:rFonts w:ascii="Arial" w:hAnsi="Arial" w:cs="Arial"/>
                <w:lang w:val="en-CA"/>
              </w:rPr>
            </w:pPr>
            <w:r w:rsidRPr="0030399D">
              <w:rPr>
                <w:rFonts w:ascii="Arial" w:hAnsi="Arial" w:cs="Arial"/>
                <w:lang w:val="en-CA"/>
              </w:rPr>
              <w:t>3.5</w:t>
            </w:r>
          </w:p>
        </w:tc>
        <w:tc>
          <w:tcPr>
            <w:tcW w:w="1350" w:type="dxa"/>
            <w:shd w:val="clear" w:color="auto" w:fill="auto"/>
            <w:noWrap/>
            <w:vAlign w:val="center"/>
          </w:tcPr>
          <w:p w14:paraId="32D9E5B6" w14:textId="77777777" w:rsidR="00F66071" w:rsidRPr="0030399D" w:rsidRDefault="00F66071" w:rsidP="007C129D">
            <w:pPr>
              <w:jc w:val="right"/>
              <w:rPr>
                <w:rFonts w:ascii="Arial" w:hAnsi="Arial" w:cs="Arial"/>
                <w:lang w:val="en-CA"/>
              </w:rPr>
            </w:pPr>
            <w:r w:rsidRPr="0030399D">
              <w:rPr>
                <w:rFonts w:ascii="Arial" w:hAnsi="Arial" w:cs="Arial"/>
                <w:lang w:val="en-CA"/>
              </w:rPr>
              <w:t>6.0</w:t>
            </w:r>
          </w:p>
        </w:tc>
        <w:tc>
          <w:tcPr>
            <w:tcW w:w="1710" w:type="dxa"/>
            <w:shd w:val="clear" w:color="auto" w:fill="auto"/>
            <w:noWrap/>
            <w:vAlign w:val="center"/>
          </w:tcPr>
          <w:p w14:paraId="6C4E4544" w14:textId="77777777" w:rsidR="00F66071" w:rsidRPr="0030399D" w:rsidRDefault="00F66071" w:rsidP="007C129D">
            <w:pPr>
              <w:jc w:val="right"/>
              <w:rPr>
                <w:rFonts w:ascii="Arial" w:hAnsi="Arial" w:cs="Arial"/>
                <w:lang w:val="en-CA"/>
              </w:rPr>
            </w:pPr>
            <w:r w:rsidRPr="0030399D">
              <w:rPr>
                <w:rFonts w:ascii="Arial" w:hAnsi="Arial" w:cs="Arial"/>
                <w:lang w:val="en-CA"/>
              </w:rPr>
              <w:t>2.5</w:t>
            </w:r>
          </w:p>
        </w:tc>
        <w:tc>
          <w:tcPr>
            <w:tcW w:w="990" w:type="dxa"/>
            <w:shd w:val="clear" w:color="auto" w:fill="auto"/>
            <w:vAlign w:val="center"/>
          </w:tcPr>
          <w:p w14:paraId="11C42CDB" w14:textId="77777777" w:rsidR="00F66071" w:rsidRPr="0030399D" w:rsidRDefault="00F66071" w:rsidP="007C129D">
            <w:pPr>
              <w:jc w:val="right"/>
              <w:rPr>
                <w:rFonts w:ascii="Arial" w:hAnsi="Arial" w:cs="Arial"/>
                <w:lang w:val="en-CA"/>
              </w:rPr>
            </w:pPr>
            <w:r w:rsidRPr="0030399D">
              <w:rPr>
                <w:rFonts w:ascii="Arial" w:hAnsi="Arial" w:cs="Arial"/>
                <w:lang w:val="en-CA"/>
              </w:rPr>
              <w:t>12.0</w:t>
            </w:r>
          </w:p>
        </w:tc>
      </w:tr>
    </w:tbl>
    <w:p w14:paraId="5668187E" w14:textId="77777777" w:rsidR="00F66071" w:rsidRPr="0030399D" w:rsidRDefault="00F66071" w:rsidP="00F66071">
      <w:pPr>
        <w:pStyle w:val="ExhibitText"/>
        <w:rPr>
          <w:sz w:val="16"/>
          <w:szCs w:val="16"/>
          <w:lang w:val="en-CA"/>
        </w:rPr>
      </w:pPr>
    </w:p>
    <w:p w14:paraId="0539A8A0" w14:textId="77777777" w:rsidR="00DC7877" w:rsidRDefault="00F66071" w:rsidP="00F66071">
      <w:pPr>
        <w:pStyle w:val="Footnote"/>
        <w:rPr>
          <w:spacing w:val="-4"/>
          <w:kern w:val="17"/>
          <w:lang w:val="en-CA"/>
        </w:rPr>
      </w:pPr>
      <w:r w:rsidRPr="0030399D">
        <w:rPr>
          <w:spacing w:val="-4"/>
          <w:kern w:val="17"/>
          <w:lang w:val="en-CA"/>
        </w:rPr>
        <w:t>Note: The 2016 slightly shorter development times as compared to the 1980s and 1990s were due ma</w:t>
      </w:r>
      <w:r w:rsidR="00DC7877">
        <w:rPr>
          <w:spacing w:val="-4"/>
          <w:kern w:val="17"/>
          <w:lang w:val="en-CA"/>
        </w:rPr>
        <w:t>inly to faster patent approvals; R&amp;D = research and development.</w:t>
      </w:r>
    </w:p>
    <w:p w14:paraId="491EAED2" w14:textId="15144CFC" w:rsidR="00F66071" w:rsidRPr="00DC7877" w:rsidRDefault="00F66071" w:rsidP="00F66071">
      <w:pPr>
        <w:pStyle w:val="Footnote"/>
        <w:rPr>
          <w:lang w:val="en-CA"/>
        </w:rPr>
      </w:pPr>
      <w:r w:rsidRPr="0030399D">
        <w:rPr>
          <w:lang w:val="en-CA"/>
        </w:rPr>
        <w:t xml:space="preserve">Source: Joseph A. DiMasi, Henry G. Grabowski and Ronald W. Hansen “Innovation in the Pharmaceutical Industry: New Estimates of R&amp;D Costs,” </w:t>
      </w:r>
      <w:r w:rsidRPr="0030399D">
        <w:rPr>
          <w:i/>
          <w:iCs/>
          <w:lang w:val="en-CA"/>
        </w:rPr>
        <w:t>Journal of Health Economics</w:t>
      </w:r>
      <w:r w:rsidRPr="0030399D">
        <w:rPr>
          <w:lang w:val="en-CA"/>
        </w:rPr>
        <w:t xml:space="preserve">, </w:t>
      </w:r>
      <w:r w:rsidRPr="0030399D">
        <w:rPr>
          <w:iCs/>
          <w:lang w:val="en-CA"/>
        </w:rPr>
        <w:t>47</w:t>
      </w:r>
      <w:r w:rsidRPr="0030399D">
        <w:rPr>
          <w:lang w:val="en-CA"/>
        </w:rPr>
        <w:t>, (2016): 20</w:t>
      </w:r>
      <w:r w:rsidRPr="0030399D">
        <w:rPr>
          <w:rFonts w:eastAsia="Calibri"/>
          <w:spacing w:val="-2"/>
          <w:kern w:val="22"/>
          <w:lang w:val="en-CA"/>
        </w:rPr>
        <w:t>–</w:t>
      </w:r>
      <w:r w:rsidRPr="0030399D">
        <w:rPr>
          <w:lang w:val="en-CA"/>
        </w:rPr>
        <w:t xml:space="preserve">33; and Joseph A DiMasi, “New Drug Development in the United States from 1963 to 1999,” </w:t>
      </w:r>
      <w:r w:rsidRPr="0030399D">
        <w:rPr>
          <w:i/>
          <w:lang w:val="en-CA"/>
        </w:rPr>
        <w:t>Clinical Pharmacology &amp; Therapeutics</w:t>
      </w:r>
      <w:r w:rsidRPr="0030399D">
        <w:rPr>
          <w:lang w:val="en-CA"/>
        </w:rPr>
        <w:t xml:space="preserve"> 69, no. 5, (2001): 286</w:t>
      </w:r>
      <w:r w:rsidRPr="0030399D">
        <w:rPr>
          <w:rFonts w:eastAsia="Calibri"/>
          <w:spacing w:val="-2"/>
          <w:kern w:val="22"/>
          <w:lang w:val="en-CA"/>
        </w:rPr>
        <w:t>–</w:t>
      </w:r>
      <w:r w:rsidRPr="0030399D">
        <w:rPr>
          <w:lang w:val="en-CA"/>
        </w:rPr>
        <w:t>296.</w:t>
      </w:r>
      <w:r w:rsidRPr="0030399D">
        <w:rPr>
          <w:lang w:val="en-CA"/>
        </w:rPr>
        <w:br w:type="page"/>
      </w:r>
    </w:p>
    <w:p w14:paraId="392596D1" w14:textId="77777777" w:rsidR="00F66071" w:rsidRPr="0030399D" w:rsidRDefault="00F66071" w:rsidP="00F66071">
      <w:pPr>
        <w:pStyle w:val="IVEYappTitel"/>
        <w:rPr>
          <w:noProof w:val="0"/>
          <w:lang w:val="en-CA"/>
        </w:rPr>
      </w:pPr>
      <w:r w:rsidRPr="0030399D">
        <w:rPr>
          <w:noProof w:val="0"/>
          <w:lang w:val="en-CA"/>
        </w:rPr>
        <w:lastRenderedPageBreak/>
        <w:t>Exhibit 15: Broad Overview of the R&amp;D Process</w:t>
      </w:r>
    </w:p>
    <w:p w14:paraId="7217924F" w14:textId="77777777" w:rsidR="00F66071" w:rsidRPr="002403B2" w:rsidRDefault="00F66071" w:rsidP="00F66071">
      <w:pPr>
        <w:pStyle w:val="ExhibitText"/>
        <w:rPr>
          <w:rStyle w:val="FussnotenZchn"/>
        </w:rPr>
      </w:pPr>
    </w:p>
    <w:p w14:paraId="0D54DE5B" w14:textId="77777777" w:rsidR="00F66071" w:rsidRPr="0030399D" w:rsidRDefault="00F66071" w:rsidP="00F66071">
      <w:pPr>
        <w:pStyle w:val="ExhibitText"/>
        <w:jc w:val="center"/>
        <w:rPr>
          <w:rStyle w:val="FussnotenZchn"/>
          <w:sz w:val="17"/>
          <w:szCs w:val="17"/>
          <w:lang w:val="en-CA"/>
        </w:rPr>
      </w:pPr>
      <w:r>
        <w:rPr>
          <w:noProof/>
          <w:lang w:val="en-CA" w:eastAsia="en-CA"/>
        </w:rPr>
        <w:drawing>
          <wp:inline distT="0" distB="0" distL="0" distR="0" wp14:anchorId="4C2DF074" wp14:editId="196E7A25">
            <wp:extent cx="5501030" cy="280634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0630" cy="2816347"/>
                    </a:xfrm>
                    <a:prstGeom prst="rect">
                      <a:avLst/>
                    </a:prstGeom>
                  </pic:spPr>
                </pic:pic>
              </a:graphicData>
            </a:graphic>
          </wp:inline>
        </w:drawing>
      </w:r>
    </w:p>
    <w:p w14:paraId="0BE31411" w14:textId="291252A7" w:rsidR="00F66071" w:rsidRPr="0030399D" w:rsidRDefault="00F66071" w:rsidP="00F66071">
      <w:pPr>
        <w:pStyle w:val="ExhibitText"/>
        <w:rPr>
          <w:rStyle w:val="FussnotenZchn"/>
          <w:sz w:val="17"/>
          <w:szCs w:val="17"/>
          <w:lang w:val="en-CA"/>
        </w:rPr>
      </w:pPr>
    </w:p>
    <w:p w14:paraId="21857CD6" w14:textId="77777777" w:rsidR="00F66071" w:rsidRPr="0030399D" w:rsidRDefault="00F66071" w:rsidP="00F66071">
      <w:pPr>
        <w:pStyle w:val="ExhibitText"/>
        <w:rPr>
          <w:rStyle w:val="FussnotenZchn"/>
          <w:sz w:val="17"/>
          <w:szCs w:val="17"/>
          <w:lang w:val="en-CA"/>
        </w:rPr>
      </w:pPr>
    </w:p>
    <w:p w14:paraId="1912DB1C" w14:textId="5FD3BFEC" w:rsidR="00F66071" w:rsidRPr="00DC7877" w:rsidRDefault="00F66071" w:rsidP="00DC7877">
      <w:pPr>
        <w:pStyle w:val="Footnote"/>
        <w:rPr>
          <w:rStyle w:val="FussnotenZchn"/>
          <w:rFonts w:ascii="Arial" w:hAnsi="Arial"/>
          <w:sz w:val="17"/>
          <w:szCs w:val="17"/>
        </w:rPr>
      </w:pPr>
      <w:r w:rsidRPr="00DC7877">
        <w:rPr>
          <w:rStyle w:val="FussnotenZchn"/>
          <w:rFonts w:ascii="Arial" w:hAnsi="Arial"/>
          <w:sz w:val="17"/>
          <w:szCs w:val="17"/>
        </w:rPr>
        <w:t>Note: *Allocation of R&amp;D inve</w:t>
      </w:r>
      <w:r w:rsidR="00DC7877">
        <w:rPr>
          <w:rStyle w:val="FussnotenZchn"/>
          <w:rFonts w:ascii="Arial" w:hAnsi="Arial"/>
          <w:sz w:val="17"/>
          <w:szCs w:val="17"/>
        </w:rPr>
        <w:t>stments across the process in %; R&amp;D = research and development.</w:t>
      </w:r>
    </w:p>
    <w:p w14:paraId="036C91F3" w14:textId="77777777" w:rsidR="00F66071" w:rsidRPr="0030399D" w:rsidRDefault="00F66071" w:rsidP="00DC7877">
      <w:pPr>
        <w:pStyle w:val="Footnote"/>
        <w:rPr>
          <w:lang w:val="en-CA"/>
        </w:rPr>
      </w:pPr>
      <w:r w:rsidRPr="00DC7877">
        <w:rPr>
          <w:rStyle w:val="FussnotenZchn"/>
          <w:rFonts w:ascii="Arial" w:hAnsi="Arial"/>
          <w:sz w:val="17"/>
          <w:szCs w:val="17"/>
        </w:rPr>
        <w:t xml:space="preserve">Source: Authors’ illustration based on </w:t>
      </w:r>
      <w:r w:rsidRPr="00DC7877">
        <w:t>EFPIA, “The Pharmaceutical Industry in Figures,” page 8, 2018, European Federation of Pharmaceutical Industries and Associations, accessed</w:t>
      </w:r>
      <w:r w:rsidRPr="0030399D">
        <w:rPr>
          <w:lang w:val="en-CA"/>
        </w:rPr>
        <w:t xml:space="preserve"> May 13, 2019, https://efpia.eu/media/361960/efpia-pharmafigures2018_v07-hq.pdf.; PhRMA, “Biopharmaceutical Research &amp; Development: The Process Behind New Medicines,” PhRMA, May 2015, assessed May 13, 2019, http://phrma-docs.phrma.org/sites/default/files/pdf/rd_brochure_022307.pdf</w:t>
      </w:r>
      <w:r>
        <w:rPr>
          <w:lang w:val="en-CA"/>
        </w:rPr>
        <w:t>.</w:t>
      </w:r>
    </w:p>
    <w:p w14:paraId="7727C368" w14:textId="77777777" w:rsidR="00F66071" w:rsidRPr="0030399D" w:rsidRDefault="00F66071" w:rsidP="00F66071">
      <w:pPr>
        <w:pStyle w:val="IVEYappTitel"/>
        <w:rPr>
          <w:noProof w:val="0"/>
          <w:lang w:val="en-CA"/>
        </w:rPr>
      </w:pPr>
    </w:p>
    <w:p w14:paraId="4B806C75" w14:textId="77777777" w:rsidR="00F66071" w:rsidRPr="0030399D" w:rsidRDefault="00F66071" w:rsidP="00F66071">
      <w:pPr>
        <w:pStyle w:val="IVEYappTitel"/>
        <w:rPr>
          <w:noProof w:val="0"/>
          <w:lang w:val="en-CA"/>
        </w:rPr>
      </w:pPr>
    </w:p>
    <w:p w14:paraId="18CDB220" w14:textId="77777777" w:rsidR="00F66071" w:rsidRPr="0030399D" w:rsidRDefault="00F66071" w:rsidP="00F66071">
      <w:pPr>
        <w:pStyle w:val="IVEYappTitel"/>
        <w:rPr>
          <w:noProof w:val="0"/>
          <w:lang w:val="en-CA"/>
        </w:rPr>
      </w:pPr>
      <w:r w:rsidRPr="0030399D">
        <w:rPr>
          <w:noProof w:val="0"/>
          <w:lang w:val="en-CA"/>
        </w:rPr>
        <w:t>Exhibit 16: Top 10 Blockbuster branded drugs by revenue, 2017 [</w:t>
      </w:r>
      <w:r>
        <w:rPr>
          <w:noProof w:val="0"/>
          <w:lang w:val="en-CA"/>
        </w:rPr>
        <w:t>us</w:t>
      </w:r>
      <w:r w:rsidRPr="0030399D">
        <w:rPr>
          <w:noProof w:val="0"/>
          <w:lang w:val="en-CA"/>
        </w:rPr>
        <w:t>$ billion]</w:t>
      </w:r>
    </w:p>
    <w:p w14:paraId="26374580" w14:textId="77777777" w:rsidR="00F66071" w:rsidRPr="0030399D" w:rsidRDefault="00F66071" w:rsidP="00F66071">
      <w:pPr>
        <w:pStyle w:val="IVEYappTitel"/>
        <w:rPr>
          <w:noProof w:val="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5"/>
        <w:gridCol w:w="3905"/>
        <w:gridCol w:w="2169"/>
        <w:gridCol w:w="1251"/>
      </w:tblGrid>
      <w:tr w:rsidR="00F66071" w:rsidRPr="0030399D" w14:paraId="79B0077C" w14:textId="77777777" w:rsidTr="007C129D">
        <w:trPr>
          <w:trHeight w:val="397"/>
          <w:jc w:val="center"/>
        </w:trPr>
        <w:tc>
          <w:tcPr>
            <w:tcW w:w="10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20B1B"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Product</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20C8D8"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Company</w:t>
            </w:r>
          </w:p>
        </w:tc>
        <w:tc>
          <w:tcPr>
            <w:tcW w:w="11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615F5" w14:textId="77777777" w:rsidR="00F66071" w:rsidRPr="0030399D" w:rsidRDefault="00F66071" w:rsidP="007C129D">
            <w:pPr>
              <w:pStyle w:val="IVEYText"/>
              <w:jc w:val="center"/>
              <w:rPr>
                <w:rFonts w:ascii="Arial" w:hAnsi="Arial" w:cs="Arial"/>
                <w:b/>
                <w:noProof w:val="0"/>
                <w:sz w:val="20"/>
                <w:szCs w:val="20"/>
                <w:lang w:val="en-CA"/>
              </w:rPr>
            </w:pPr>
            <w:r w:rsidRPr="0030399D">
              <w:rPr>
                <w:rFonts w:ascii="Arial" w:hAnsi="Arial" w:cs="Arial"/>
                <w:b/>
                <w:noProof w:val="0"/>
                <w:sz w:val="20"/>
                <w:szCs w:val="20"/>
                <w:lang w:val="en-CA"/>
              </w:rPr>
              <w:t>Therapeutic Area</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452BD9" w14:textId="77777777" w:rsidR="00F66071" w:rsidRPr="0030399D" w:rsidRDefault="00F66071" w:rsidP="007C129D">
            <w:pPr>
              <w:pStyle w:val="IVEYText"/>
              <w:jc w:val="center"/>
              <w:rPr>
                <w:rFonts w:ascii="Arial" w:hAnsi="Arial" w:cs="Arial"/>
                <w:b/>
                <w:bCs/>
                <w:noProof w:val="0"/>
                <w:sz w:val="20"/>
                <w:szCs w:val="20"/>
                <w:lang w:val="en-CA"/>
              </w:rPr>
            </w:pPr>
            <w:r w:rsidRPr="0030399D">
              <w:rPr>
                <w:rFonts w:ascii="Arial" w:hAnsi="Arial" w:cs="Arial"/>
                <w:b/>
                <w:bCs/>
                <w:noProof w:val="0"/>
                <w:sz w:val="20"/>
                <w:szCs w:val="20"/>
                <w:lang w:val="en-CA"/>
              </w:rPr>
              <w:t>Revenue 2017</w:t>
            </w:r>
          </w:p>
        </w:tc>
      </w:tr>
      <w:tr w:rsidR="00F66071" w:rsidRPr="0030399D" w14:paraId="65A4C2D0" w14:textId="77777777" w:rsidTr="007C129D">
        <w:trPr>
          <w:trHeight w:val="227"/>
          <w:jc w:val="center"/>
        </w:trPr>
        <w:tc>
          <w:tcPr>
            <w:tcW w:w="1083" w:type="pct"/>
            <w:tcBorders>
              <w:top w:val="single" w:sz="4" w:space="0" w:color="auto"/>
            </w:tcBorders>
            <w:shd w:val="clear" w:color="auto" w:fill="auto"/>
            <w:noWrap/>
            <w:vAlign w:val="center"/>
            <w:hideMark/>
          </w:tcPr>
          <w:p w14:paraId="711C105D"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Humira</w:t>
            </w:r>
          </w:p>
        </w:tc>
        <w:tc>
          <w:tcPr>
            <w:tcW w:w="2088" w:type="pct"/>
            <w:tcBorders>
              <w:top w:val="single" w:sz="4" w:space="0" w:color="auto"/>
            </w:tcBorders>
            <w:shd w:val="clear" w:color="auto" w:fill="auto"/>
            <w:vAlign w:val="center"/>
            <w:hideMark/>
          </w:tcPr>
          <w:p w14:paraId="5CACA46A"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AbbVie</w:t>
            </w:r>
          </w:p>
        </w:tc>
        <w:tc>
          <w:tcPr>
            <w:tcW w:w="1160" w:type="pct"/>
            <w:tcBorders>
              <w:top w:val="single" w:sz="4" w:space="0" w:color="auto"/>
            </w:tcBorders>
            <w:shd w:val="clear" w:color="auto" w:fill="auto"/>
            <w:vAlign w:val="center"/>
            <w:hideMark/>
          </w:tcPr>
          <w:p w14:paraId="662C4E3F"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Rheumatism</w:t>
            </w:r>
          </w:p>
        </w:tc>
        <w:tc>
          <w:tcPr>
            <w:tcW w:w="670" w:type="pct"/>
            <w:tcBorders>
              <w:top w:val="single" w:sz="4" w:space="0" w:color="auto"/>
            </w:tcBorders>
            <w:shd w:val="clear" w:color="auto" w:fill="auto"/>
            <w:noWrap/>
            <w:vAlign w:val="center"/>
            <w:hideMark/>
          </w:tcPr>
          <w:p w14:paraId="4CC2BBA0"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18.4</w:t>
            </w:r>
          </w:p>
        </w:tc>
      </w:tr>
      <w:tr w:rsidR="00F66071" w:rsidRPr="0030399D" w14:paraId="0E6DBBC1" w14:textId="77777777" w:rsidTr="007C129D">
        <w:trPr>
          <w:trHeight w:val="227"/>
          <w:jc w:val="center"/>
        </w:trPr>
        <w:tc>
          <w:tcPr>
            <w:tcW w:w="1083" w:type="pct"/>
            <w:tcBorders>
              <w:top w:val="single" w:sz="4" w:space="0" w:color="auto"/>
            </w:tcBorders>
            <w:shd w:val="clear" w:color="auto" w:fill="auto"/>
            <w:noWrap/>
            <w:vAlign w:val="center"/>
          </w:tcPr>
          <w:p w14:paraId="7CD28FA8"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Eliquis</w:t>
            </w:r>
          </w:p>
        </w:tc>
        <w:tc>
          <w:tcPr>
            <w:tcW w:w="2088" w:type="pct"/>
            <w:tcBorders>
              <w:top w:val="single" w:sz="4" w:space="0" w:color="auto"/>
            </w:tcBorders>
            <w:shd w:val="clear" w:color="auto" w:fill="auto"/>
            <w:vAlign w:val="center"/>
          </w:tcPr>
          <w:p w14:paraId="34DE2807"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Bristol-Myers Squibb and Pfizer</w:t>
            </w:r>
          </w:p>
        </w:tc>
        <w:tc>
          <w:tcPr>
            <w:tcW w:w="1160" w:type="pct"/>
            <w:tcBorders>
              <w:top w:val="single" w:sz="4" w:space="0" w:color="auto"/>
            </w:tcBorders>
            <w:shd w:val="clear" w:color="auto" w:fill="auto"/>
            <w:vAlign w:val="center"/>
          </w:tcPr>
          <w:p w14:paraId="49B26218" w14:textId="77777777" w:rsidR="00F66071" w:rsidRPr="0030399D" w:rsidRDefault="00F66071" w:rsidP="007C129D">
            <w:pPr>
              <w:pStyle w:val="IVEYText"/>
              <w:jc w:val="left"/>
              <w:rPr>
                <w:rFonts w:ascii="Arial" w:hAnsi="Arial" w:cs="Arial"/>
                <w:noProof w:val="0"/>
                <w:sz w:val="20"/>
                <w:szCs w:val="20"/>
                <w:lang w:val="en-CA"/>
              </w:rPr>
            </w:pPr>
          </w:p>
        </w:tc>
        <w:tc>
          <w:tcPr>
            <w:tcW w:w="670" w:type="pct"/>
            <w:tcBorders>
              <w:top w:val="single" w:sz="4" w:space="0" w:color="auto"/>
            </w:tcBorders>
            <w:shd w:val="clear" w:color="auto" w:fill="auto"/>
            <w:noWrap/>
            <w:vAlign w:val="center"/>
          </w:tcPr>
          <w:p w14:paraId="5B6A0C7B"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7.4</w:t>
            </w:r>
          </w:p>
        </w:tc>
      </w:tr>
      <w:tr w:rsidR="00F66071" w:rsidRPr="0030399D" w14:paraId="4298B20E" w14:textId="77777777" w:rsidTr="007C129D">
        <w:trPr>
          <w:trHeight w:val="227"/>
          <w:jc w:val="center"/>
        </w:trPr>
        <w:tc>
          <w:tcPr>
            <w:tcW w:w="1083" w:type="pct"/>
            <w:tcBorders>
              <w:top w:val="single" w:sz="4" w:space="0" w:color="auto"/>
            </w:tcBorders>
            <w:shd w:val="clear" w:color="auto" w:fill="auto"/>
            <w:noWrap/>
            <w:vAlign w:val="center"/>
          </w:tcPr>
          <w:p w14:paraId="22C89243"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Revlimid</w:t>
            </w:r>
          </w:p>
        </w:tc>
        <w:tc>
          <w:tcPr>
            <w:tcW w:w="2088" w:type="pct"/>
            <w:tcBorders>
              <w:top w:val="single" w:sz="4" w:space="0" w:color="auto"/>
            </w:tcBorders>
            <w:shd w:val="clear" w:color="auto" w:fill="auto"/>
            <w:vAlign w:val="center"/>
          </w:tcPr>
          <w:p w14:paraId="039FE232"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 xml:space="preserve">Celgene </w:t>
            </w:r>
          </w:p>
        </w:tc>
        <w:tc>
          <w:tcPr>
            <w:tcW w:w="1160" w:type="pct"/>
            <w:tcBorders>
              <w:top w:val="single" w:sz="4" w:space="0" w:color="auto"/>
            </w:tcBorders>
            <w:shd w:val="clear" w:color="auto" w:fill="auto"/>
            <w:vAlign w:val="center"/>
          </w:tcPr>
          <w:p w14:paraId="27B54114"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Blood related disorders</w:t>
            </w:r>
          </w:p>
        </w:tc>
        <w:tc>
          <w:tcPr>
            <w:tcW w:w="670" w:type="pct"/>
            <w:tcBorders>
              <w:top w:val="single" w:sz="4" w:space="0" w:color="auto"/>
            </w:tcBorders>
            <w:shd w:val="clear" w:color="auto" w:fill="auto"/>
            <w:noWrap/>
            <w:vAlign w:val="center"/>
          </w:tcPr>
          <w:p w14:paraId="6F8E567B"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8.2</w:t>
            </w:r>
          </w:p>
        </w:tc>
      </w:tr>
      <w:tr w:rsidR="00F66071" w:rsidRPr="0030399D" w14:paraId="2914736E" w14:textId="77777777" w:rsidTr="007C129D">
        <w:trPr>
          <w:trHeight w:val="227"/>
          <w:jc w:val="center"/>
        </w:trPr>
        <w:tc>
          <w:tcPr>
            <w:tcW w:w="1083" w:type="pct"/>
            <w:tcBorders>
              <w:top w:val="single" w:sz="4" w:space="0" w:color="auto"/>
            </w:tcBorders>
            <w:shd w:val="clear" w:color="auto" w:fill="auto"/>
            <w:noWrap/>
            <w:vAlign w:val="center"/>
          </w:tcPr>
          <w:p w14:paraId="76F3A936"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Opdivo</w:t>
            </w:r>
          </w:p>
        </w:tc>
        <w:tc>
          <w:tcPr>
            <w:tcW w:w="2088" w:type="pct"/>
            <w:tcBorders>
              <w:top w:val="single" w:sz="4" w:space="0" w:color="auto"/>
            </w:tcBorders>
            <w:shd w:val="clear" w:color="auto" w:fill="auto"/>
            <w:vAlign w:val="center"/>
          </w:tcPr>
          <w:p w14:paraId="7CAF6C8F"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Bristol-Myers Squibb and Ono Pharmaceutical</w:t>
            </w:r>
          </w:p>
        </w:tc>
        <w:tc>
          <w:tcPr>
            <w:tcW w:w="1160" w:type="pct"/>
            <w:tcBorders>
              <w:top w:val="single" w:sz="4" w:space="0" w:color="auto"/>
            </w:tcBorders>
            <w:shd w:val="clear" w:color="auto" w:fill="auto"/>
            <w:vAlign w:val="center"/>
          </w:tcPr>
          <w:p w14:paraId="70E4922C"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Oncology</w:t>
            </w:r>
          </w:p>
        </w:tc>
        <w:tc>
          <w:tcPr>
            <w:tcW w:w="670" w:type="pct"/>
            <w:tcBorders>
              <w:top w:val="single" w:sz="4" w:space="0" w:color="auto"/>
            </w:tcBorders>
            <w:shd w:val="clear" w:color="auto" w:fill="auto"/>
            <w:noWrap/>
            <w:vAlign w:val="center"/>
          </w:tcPr>
          <w:p w14:paraId="0BC8954D"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5.8</w:t>
            </w:r>
          </w:p>
        </w:tc>
      </w:tr>
      <w:tr w:rsidR="00F66071" w:rsidRPr="0030399D" w14:paraId="6F970745" w14:textId="77777777" w:rsidTr="007C129D">
        <w:trPr>
          <w:trHeight w:val="227"/>
          <w:jc w:val="center"/>
        </w:trPr>
        <w:tc>
          <w:tcPr>
            <w:tcW w:w="1083" w:type="pct"/>
            <w:tcBorders>
              <w:top w:val="single" w:sz="4" w:space="0" w:color="auto"/>
            </w:tcBorders>
            <w:shd w:val="clear" w:color="auto" w:fill="auto"/>
            <w:noWrap/>
            <w:vAlign w:val="center"/>
          </w:tcPr>
          <w:p w14:paraId="109D0F3E"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Keytruda</w:t>
            </w:r>
          </w:p>
        </w:tc>
        <w:tc>
          <w:tcPr>
            <w:tcW w:w="2088" w:type="pct"/>
            <w:tcBorders>
              <w:top w:val="single" w:sz="4" w:space="0" w:color="auto"/>
            </w:tcBorders>
            <w:shd w:val="clear" w:color="auto" w:fill="auto"/>
            <w:vAlign w:val="center"/>
          </w:tcPr>
          <w:p w14:paraId="745E6D8D"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Merck &amp; Co</w:t>
            </w:r>
          </w:p>
        </w:tc>
        <w:tc>
          <w:tcPr>
            <w:tcW w:w="1160" w:type="pct"/>
            <w:tcBorders>
              <w:top w:val="single" w:sz="4" w:space="0" w:color="auto"/>
            </w:tcBorders>
            <w:shd w:val="clear" w:color="auto" w:fill="auto"/>
            <w:vAlign w:val="center"/>
          </w:tcPr>
          <w:p w14:paraId="659DA49E"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Oncology</w:t>
            </w:r>
          </w:p>
        </w:tc>
        <w:tc>
          <w:tcPr>
            <w:tcW w:w="670" w:type="pct"/>
            <w:tcBorders>
              <w:top w:val="single" w:sz="4" w:space="0" w:color="auto"/>
            </w:tcBorders>
            <w:shd w:val="clear" w:color="auto" w:fill="auto"/>
            <w:noWrap/>
            <w:vAlign w:val="center"/>
          </w:tcPr>
          <w:p w14:paraId="6BC13EE7"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3.8</w:t>
            </w:r>
          </w:p>
        </w:tc>
      </w:tr>
      <w:tr w:rsidR="00F66071" w:rsidRPr="0030399D" w14:paraId="45A489AA" w14:textId="77777777" w:rsidTr="007C129D">
        <w:trPr>
          <w:trHeight w:val="227"/>
          <w:jc w:val="center"/>
        </w:trPr>
        <w:tc>
          <w:tcPr>
            <w:tcW w:w="1083" w:type="pct"/>
            <w:tcBorders>
              <w:top w:val="single" w:sz="4" w:space="0" w:color="auto"/>
            </w:tcBorders>
            <w:shd w:val="clear" w:color="auto" w:fill="auto"/>
            <w:noWrap/>
            <w:vAlign w:val="center"/>
          </w:tcPr>
          <w:p w14:paraId="0FFEDCE1"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Enbrel</w:t>
            </w:r>
          </w:p>
        </w:tc>
        <w:tc>
          <w:tcPr>
            <w:tcW w:w="2088" w:type="pct"/>
            <w:tcBorders>
              <w:top w:val="single" w:sz="4" w:space="0" w:color="auto"/>
            </w:tcBorders>
            <w:shd w:val="clear" w:color="auto" w:fill="auto"/>
            <w:vAlign w:val="center"/>
          </w:tcPr>
          <w:p w14:paraId="3F6C4C20"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Amgen/Pfizer (Wyeth)</w:t>
            </w:r>
          </w:p>
        </w:tc>
        <w:tc>
          <w:tcPr>
            <w:tcW w:w="1160" w:type="pct"/>
            <w:tcBorders>
              <w:top w:val="single" w:sz="4" w:space="0" w:color="auto"/>
            </w:tcBorders>
            <w:shd w:val="clear" w:color="auto" w:fill="auto"/>
            <w:vAlign w:val="center"/>
          </w:tcPr>
          <w:p w14:paraId="38B13DCB"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Rheumatism</w:t>
            </w:r>
          </w:p>
        </w:tc>
        <w:tc>
          <w:tcPr>
            <w:tcW w:w="670" w:type="pct"/>
            <w:tcBorders>
              <w:top w:val="single" w:sz="4" w:space="0" w:color="auto"/>
            </w:tcBorders>
            <w:shd w:val="clear" w:color="auto" w:fill="auto"/>
            <w:noWrap/>
            <w:vAlign w:val="center"/>
          </w:tcPr>
          <w:p w14:paraId="029C6A3E"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7.9</w:t>
            </w:r>
          </w:p>
        </w:tc>
      </w:tr>
      <w:tr w:rsidR="00F66071" w:rsidRPr="0030399D" w14:paraId="14B25A30" w14:textId="77777777" w:rsidTr="007C129D">
        <w:trPr>
          <w:trHeight w:val="227"/>
          <w:jc w:val="center"/>
        </w:trPr>
        <w:tc>
          <w:tcPr>
            <w:tcW w:w="1083" w:type="pct"/>
            <w:tcBorders>
              <w:top w:val="single" w:sz="4" w:space="0" w:color="auto"/>
            </w:tcBorders>
            <w:shd w:val="clear" w:color="auto" w:fill="auto"/>
            <w:noWrap/>
            <w:vAlign w:val="center"/>
          </w:tcPr>
          <w:p w14:paraId="544220FD"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Herceptin</w:t>
            </w:r>
          </w:p>
        </w:tc>
        <w:tc>
          <w:tcPr>
            <w:tcW w:w="2088" w:type="pct"/>
            <w:tcBorders>
              <w:top w:val="single" w:sz="4" w:space="0" w:color="auto"/>
            </w:tcBorders>
            <w:shd w:val="clear" w:color="auto" w:fill="auto"/>
            <w:vAlign w:val="center"/>
          </w:tcPr>
          <w:p w14:paraId="07F87FC7" w14:textId="1BE52D61"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Roche</w:t>
            </w:r>
          </w:p>
        </w:tc>
        <w:tc>
          <w:tcPr>
            <w:tcW w:w="1160" w:type="pct"/>
            <w:tcBorders>
              <w:top w:val="single" w:sz="4" w:space="0" w:color="auto"/>
            </w:tcBorders>
            <w:shd w:val="clear" w:color="auto" w:fill="auto"/>
            <w:vAlign w:val="center"/>
          </w:tcPr>
          <w:p w14:paraId="634A9E0D"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Oncology</w:t>
            </w:r>
          </w:p>
        </w:tc>
        <w:tc>
          <w:tcPr>
            <w:tcW w:w="670" w:type="pct"/>
            <w:tcBorders>
              <w:top w:val="single" w:sz="4" w:space="0" w:color="auto"/>
            </w:tcBorders>
            <w:shd w:val="clear" w:color="auto" w:fill="auto"/>
            <w:noWrap/>
            <w:vAlign w:val="center"/>
          </w:tcPr>
          <w:p w14:paraId="409E51BB"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7.0</w:t>
            </w:r>
          </w:p>
        </w:tc>
      </w:tr>
      <w:tr w:rsidR="00F66071" w:rsidRPr="0030399D" w14:paraId="0AE61870" w14:textId="77777777" w:rsidTr="007C129D">
        <w:trPr>
          <w:trHeight w:val="227"/>
          <w:jc w:val="center"/>
        </w:trPr>
        <w:tc>
          <w:tcPr>
            <w:tcW w:w="1083" w:type="pct"/>
            <w:tcBorders>
              <w:top w:val="single" w:sz="4" w:space="0" w:color="auto"/>
            </w:tcBorders>
            <w:shd w:val="clear" w:color="auto" w:fill="auto"/>
            <w:noWrap/>
            <w:vAlign w:val="center"/>
          </w:tcPr>
          <w:p w14:paraId="193AA274"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 xml:space="preserve">Avastin </w:t>
            </w:r>
          </w:p>
        </w:tc>
        <w:tc>
          <w:tcPr>
            <w:tcW w:w="2088" w:type="pct"/>
            <w:tcBorders>
              <w:top w:val="single" w:sz="4" w:space="0" w:color="auto"/>
            </w:tcBorders>
            <w:shd w:val="clear" w:color="auto" w:fill="auto"/>
            <w:vAlign w:val="center"/>
          </w:tcPr>
          <w:p w14:paraId="79770CC3" w14:textId="71733D96"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Roche</w:t>
            </w:r>
          </w:p>
        </w:tc>
        <w:tc>
          <w:tcPr>
            <w:tcW w:w="1160" w:type="pct"/>
            <w:tcBorders>
              <w:top w:val="single" w:sz="4" w:space="0" w:color="auto"/>
            </w:tcBorders>
            <w:shd w:val="clear" w:color="auto" w:fill="auto"/>
            <w:vAlign w:val="center"/>
          </w:tcPr>
          <w:p w14:paraId="67317FC3"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Oncology</w:t>
            </w:r>
          </w:p>
        </w:tc>
        <w:tc>
          <w:tcPr>
            <w:tcW w:w="670" w:type="pct"/>
            <w:tcBorders>
              <w:top w:val="single" w:sz="4" w:space="0" w:color="auto"/>
            </w:tcBorders>
            <w:shd w:val="clear" w:color="auto" w:fill="auto"/>
            <w:noWrap/>
            <w:vAlign w:val="center"/>
          </w:tcPr>
          <w:p w14:paraId="70FF3D78"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6.7</w:t>
            </w:r>
          </w:p>
        </w:tc>
      </w:tr>
      <w:tr w:rsidR="00F66071" w:rsidRPr="0030399D" w14:paraId="2972650A" w14:textId="77777777" w:rsidTr="007C129D">
        <w:trPr>
          <w:trHeight w:val="227"/>
          <w:jc w:val="center"/>
        </w:trPr>
        <w:tc>
          <w:tcPr>
            <w:tcW w:w="1083" w:type="pct"/>
            <w:tcBorders>
              <w:top w:val="single" w:sz="4" w:space="0" w:color="auto"/>
            </w:tcBorders>
            <w:shd w:val="clear" w:color="auto" w:fill="auto"/>
            <w:noWrap/>
            <w:vAlign w:val="center"/>
          </w:tcPr>
          <w:p w14:paraId="38442D45"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Rituxan/Mabthera</w:t>
            </w:r>
          </w:p>
        </w:tc>
        <w:tc>
          <w:tcPr>
            <w:tcW w:w="2088" w:type="pct"/>
            <w:tcBorders>
              <w:top w:val="single" w:sz="4" w:space="0" w:color="auto"/>
            </w:tcBorders>
            <w:shd w:val="clear" w:color="auto" w:fill="auto"/>
            <w:vAlign w:val="center"/>
          </w:tcPr>
          <w:p w14:paraId="2A898CD4" w14:textId="7D899E8E"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Roche</w:t>
            </w:r>
          </w:p>
        </w:tc>
        <w:tc>
          <w:tcPr>
            <w:tcW w:w="1160" w:type="pct"/>
            <w:tcBorders>
              <w:top w:val="single" w:sz="4" w:space="0" w:color="auto"/>
            </w:tcBorders>
            <w:shd w:val="clear" w:color="auto" w:fill="auto"/>
            <w:vAlign w:val="center"/>
          </w:tcPr>
          <w:p w14:paraId="79EC75E8"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Rheumatism</w:t>
            </w:r>
          </w:p>
        </w:tc>
        <w:tc>
          <w:tcPr>
            <w:tcW w:w="670" w:type="pct"/>
            <w:tcBorders>
              <w:top w:val="single" w:sz="4" w:space="0" w:color="auto"/>
            </w:tcBorders>
            <w:shd w:val="clear" w:color="auto" w:fill="auto"/>
            <w:noWrap/>
            <w:vAlign w:val="center"/>
          </w:tcPr>
          <w:p w14:paraId="7F743DC3"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7.3</w:t>
            </w:r>
          </w:p>
        </w:tc>
      </w:tr>
      <w:tr w:rsidR="00F66071" w:rsidRPr="0030399D" w14:paraId="0158F8B1" w14:textId="77777777" w:rsidTr="007C129D">
        <w:trPr>
          <w:trHeight w:val="227"/>
          <w:jc w:val="center"/>
        </w:trPr>
        <w:tc>
          <w:tcPr>
            <w:tcW w:w="1083" w:type="pct"/>
            <w:tcBorders>
              <w:top w:val="single" w:sz="4" w:space="0" w:color="auto"/>
            </w:tcBorders>
            <w:shd w:val="clear" w:color="auto" w:fill="auto"/>
            <w:noWrap/>
            <w:vAlign w:val="center"/>
          </w:tcPr>
          <w:p w14:paraId="249B0C92"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Xarelto</w:t>
            </w:r>
          </w:p>
        </w:tc>
        <w:tc>
          <w:tcPr>
            <w:tcW w:w="2088" w:type="pct"/>
            <w:tcBorders>
              <w:top w:val="single" w:sz="4" w:space="0" w:color="auto"/>
            </w:tcBorders>
            <w:shd w:val="clear" w:color="auto" w:fill="auto"/>
            <w:vAlign w:val="center"/>
          </w:tcPr>
          <w:p w14:paraId="6B3E1201" w14:textId="25453B6A"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Bayer and Johnson&amp;Johnson</w:t>
            </w:r>
          </w:p>
        </w:tc>
        <w:tc>
          <w:tcPr>
            <w:tcW w:w="1160" w:type="pct"/>
            <w:tcBorders>
              <w:top w:val="single" w:sz="4" w:space="0" w:color="auto"/>
            </w:tcBorders>
            <w:shd w:val="clear" w:color="auto" w:fill="auto"/>
            <w:vAlign w:val="center"/>
          </w:tcPr>
          <w:p w14:paraId="4745AFD1" w14:textId="77777777" w:rsidR="00F66071" w:rsidRPr="0030399D" w:rsidRDefault="00F66071" w:rsidP="007C129D">
            <w:pPr>
              <w:pStyle w:val="IVEYText"/>
              <w:jc w:val="left"/>
              <w:rPr>
                <w:rFonts w:ascii="Arial" w:hAnsi="Arial" w:cs="Arial"/>
                <w:noProof w:val="0"/>
                <w:sz w:val="20"/>
                <w:szCs w:val="20"/>
                <w:lang w:val="en-CA"/>
              </w:rPr>
            </w:pPr>
            <w:r w:rsidRPr="0030399D">
              <w:rPr>
                <w:rFonts w:ascii="Arial" w:hAnsi="Arial" w:cs="Arial"/>
                <w:noProof w:val="0"/>
                <w:sz w:val="20"/>
                <w:szCs w:val="20"/>
                <w:lang w:val="en-CA"/>
              </w:rPr>
              <w:t>Thrombosis</w:t>
            </w:r>
          </w:p>
        </w:tc>
        <w:tc>
          <w:tcPr>
            <w:tcW w:w="670" w:type="pct"/>
            <w:tcBorders>
              <w:top w:val="single" w:sz="4" w:space="0" w:color="auto"/>
            </w:tcBorders>
            <w:shd w:val="clear" w:color="auto" w:fill="auto"/>
            <w:noWrap/>
            <w:vAlign w:val="center"/>
          </w:tcPr>
          <w:p w14:paraId="5776BDB7" w14:textId="77777777" w:rsidR="00F66071" w:rsidRPr="0030399D" w:rsidRDefault="00F66071" w:rsidP="007C129D">
            <w:pPr>
              <w:pStyle w:val="IVEYText"/>
              <w:jc w:val="right"/>
              <w:rPr>
                <w:rFonts w:ascii="Arial" w:hAnsi="Arial" w:cs="Arial"/>
                <w:noProof w:val="0"/>
                <w:sz w:val="20"/>
                <w:szCs w:val="20"/>
                <w:lang w:val="en-CA"/>
              </w:rPr>
            </w:pPr>
            <w:r w:rsidRPr="0030399D">
              <w:rPr>
                <w:rFonts w:ascii="Arial" w:hAnsi="Arial" w:cs="Arial"/>
                <w:noProof w:val="0"/>
                <w:sz w:val="20"/>
                <w:szCs w:val="20"/>
                <w:lang w:val="en-CA"/>
              </w:rPr>
              <w:t>6.2</w:t>
            </w:r>
          </w:p>
        </w:tc>
      </w:tr>
    </w:tbl>
    <w:p w14:paraId="4D493E4B" w14:textId="54049751" w:rsidR="00F66071" w:rsidRPr="0030399D" w:rsidRDefault="00F66071" w:rsidP="00F66071">
      <w:pPr>
        <w:pStyle w:val="ExhibitText"/>
        <w:rPr>
          <w:lang w:val="en-CA"/>
        </w:rPr>
      </w:pPr>
    </w:p>
    <w:p w14:paraId="0DE7B298" w14:textId="096181A6" w:rsidR="00F66071" w:rsidRPr="0030399D" w:rsidRDefault="00F66071" w:rsidP="00F66071">
      <w:pPr>
        <w:pStyle w:val="Footnote"/>
        <w:rPr>
          <w:lang w:val="en-CA"/>
        </w:rPr>
      </w:pPr>
      <w:r w:rsidRPr="0030399D">
        <w:rPr>
          <w:lang w:val="en-CA"/>
        </w:rPr>
        <w:t xml:space="preserve">Source: Alex Philippidis, “Top 15 Best-Selling Drugs of 2018,” Geneng News, March 11, 2019, accessed July 26, 2019, </w:t>
      </w:r>
      <w:r w:rsidR="00DC7877">
        <w:rPr>
          <w:lang w:val="en-CA"/>
        </w:rPr>
        <w:t>www</w:t>
      </w:r>
      <w:r w:rsidRPr="0030399D">
        <w:rPr>
          <w:lang w:val="en-CA"/>
        </w:rPr>
        <w:t xml:space="preserve">.genengnews.com/a-lists/top-15-best-selling-drugs-of-2018/. </w:t>
      </w:r>
      <w:r w:rsidRPr="0030399D">
        <w:rPr>
          <w:lang w:val="en-CA"/>
        </w:rPr>
        <w:br w:type="page"/>
      </w:r>
    </w:p>
    <w:p w14:paraId="0CBB2D04" w14:textId="77777777" w:rsidR="00F66071" w:rsidRPr="0030399D" w:rsidRDefault="00F66071" w:rsidP="00F66071">
      <w:pPr>
        <w:pStyle w:val="IVEYappTitel"/>
        <w:rPr>
          <w:noProof w:val="0"/>
          <w:lang w:val="en-CA"/>
        </w:rPr>
      </w:pPr>
      <w:r w:rsidRPr="0030399D">
        <w:rPr>
          <w:noProof w:val="0"/>
          <w:lang w:val="en-CA"/>
        </w:rPr>
        <w:lastRenderedPageBreak/>
        <w:t>Exhibit 17: total revenue of the top three Selling Drugs, 2017 [%]</w:t>
      </w:r>
    </w:p>
    <w:p w14:paraId="03BAA3FC" w14:textId="77777777" w:rsidR="00F66071" w:rsidRPr="0030399D" w:rsidRDefault="00F66071" w:rsidP="00F66071">
      <w:pPr>
        <w:pStyle w:val="IVEYappTitel"/>
        <w:rPr>
          <w:noProof w:val="0"/>
          <w:sz w:val="12"/>
          <w:szCs w:val="12"/>
          <w:lang w:val="en-CA"/>
        </w:rPr>
      </w:pPr>
    </w:p>
    <w:tbl>
      <w:tblPr>
        <w:tblW w:w="44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129"/>
        <w:gridCol w:w="2278"/>
      </w:tblGrid>
      <w:tr w:rsidR="00F66071" w:rsidRPr="0030399D" w14:paraId="4FDE43FA" w14:textId="77777777" w:rsidTr="00DC7877">
        <w:trPr>
          <w:trHeight w:val="61"/>
          <w:jc w:val="center"/>
        </w:trPr>
        <w:tc>
          <w:tcPr>
            <w:tcW w:w="2129" w:type="dxa"/>
            <w:shd w:val="clear" w:color="auto" w:fill="auto"/>
            <w:noWrap/>
            <w:vAlign w:val="center"/>
            <w:hideMark/>
          </w:tcPr>
          <w:p w14:paraId="2A31B07F" w14:textId="77777777" w:rsidR="00F66071" w:rsidRPr="0030399D" w:rsidRDefault="00F66071" w:rsidP="00DC7877">
            <w:pPr>
              <w:pStyle w:val="SourceBeschriftung"/>
              <w:spacing w:before="0" w:after="0" w:line="240" w:lineRule="auto"/>
              <w:jc w:val="center"/>
              <w:rPr>
                <w:rFonts w:ascii="Arial" w:hAnsi="Arial" w:cs="Arial"/>
                <w:b/>
                <w:sz w:val="20"/>
                <w:szCs w:val="20"/>
                <w:lang w:val="en-CA"/>
              </w:rPr>
            </w:pPr>
            <w:r w:rsidRPr="0030399D">
              <w:rPr>
                <w:rFonts w:ascii="Arial" w:hAnsi="Arial" w:cs="Arial"/>
                <w:b/>
                <w:sz w:val="20"/>
                <w:szCs w:val="20"/>
                <w:lang w:val="en-CA"/>
              </w:rPr>
              <w:t>Company</w:t>
            </w:r>
          </w:p>
        </w:tc>
        <w:tc>
          <w:tcPr>
            <w:tcW w:w="2278" w:type="dxa"/>
            <w:shd w:val="clear" w:color="auto" w:fill="auto"/>
            <w:noWrap/>
            <w:hideMark/>
          </w:tcPr>
          <w:p w14:paraId="4F4CC995" w14:textId="77777777" w:rsidR="00F66071" w:rsidRPr="0030399D" w:rsidRDefault="00F66071" w:rsidP="007C129D">
            <w:pPr>
              <w:pStyle w:val="SourceBeschriftung"/>
              <w:spacing w:before="0" w:after="0" w:line="240" w:lineRule="auto"/>
              <w:jc w:val="center"/>
              <w:rPr>
                <w:rFonts w:ascii="Arial" w:hAnsi="Arial" w:cs="Arial"/>
                <w:b/>
                <w:sz w:val="20"/>
                <w:szCs w:val="20"/>
                <w:lang w:val="en-CA"/>
              </w:rPr>
            </w:pPr>
            <w:r w:rsidRPr="0030399D">
              <w:rPr>
                <w:rFonts w:ascii="Arial" w:hAnsi="Arial" w:cs="Arial"/>
                <w:b/>
                <w:sz w:val="20"/>
                <w:szCs w:val="20"/>
                <w:lang w:val="en-CA"/>
              </w:rPr>
              <w:t>Share of Revenue (%)</w:t>
            </w:r>
          </w:p>
        </w:tc>
      </w:tr>
      <w:tr w:rsidR="00F66071" w:rsidRPr="0030399D" w14:paraId="0C69187A" w14:textId="77777777" w:rsidTr="00DC7877">
        <w:trPr>
          <w:trHeight w:val="61"/>
          <w:jc w:val="center"/>
        </w:trPr>
        <w:tc>
          <w:tcPr>
            <w:tcW w:w="2129" w:type="dxa"/>
            <w:shd w:val="clear" w:color="auto" w:fill="auto"/>
            <w:noWrap/>
            <w:hideMark/>
          </w:tcPr>
          <w:p w14:paraId="1CE2A869"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AbbVie</w:t>
            </w:r>
          </w:p>
        </w:tc>
        <w:tc>
          <w:tcPr>
            <w:tcW w:w="2278" w:type="dxa"/>
            <w:shd w:val="clear" w:color="auto" w:fill="auto"/>
            <w:noWrap/>
            <w:vAlign w:val="center"/>
            <w:hideMark/>
          </w:tcPr>
          <w:p w14:paraId="3E638EC6"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79</w:t>
            </w:r>
          </w:p>
        </w:tc>
      </w:tr>
      <w:tr w:rsidR="00F66071" w:rsidRPr="0030399D" w14:paraId="402DE587" w14:textId="77777777" w:rsidTr="00DC7877">
        <w:trPr>
          <w:trHeight w:val="61"/>
          <w:jc w:val="center"/>
        </w:trPr>
        <w:tc>
          <w:tcPr>
            <w:tcW w:w="2129" w:type="dxa"/>
            <w:shd w:val="clear" w:color="auto" w:fill="auto"/>
            <w:noWrap/>
            <w:hideMark/>
          </w:tcPr>
          <w:p w14:paraId="36DCABEE"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Amgen</w:t>
            </w:r>
          </w:p>
        </w:tc>
        <w:tc>
          <w:tcPr>
            <w:tcW w:w="2278" w:type="dxa"/>
            <w:shd w:val="clear" w:color="auto" w:fill="auto"/>
            <w:noWrap/>
            <w:vAlign w:val="center"/>
            <w:hideMark/>
          </w:tcPr>
          <w:p w14:paraId="4ABC985C"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53</w:t>
            </w:r>
          </w:p>
        </w:tc>
      </w:tr>
      <w:tr w:rsidR="00F66071" w:rsidRPr="0030399D" w14:paraId="0A6EC7B1" w14:textId="77777777" w:rsidTr="00DC7877">
        <w:trPr>
          <w:trHeight w:val="61"/>
          <w:jc w:val="center"/>
        </w:trPr>
        <w:tc>
          <w:tcPr>
            <w:tcW w:w="2129" w:type="dxa"/>
            <w:shd w:val="clear" w:color="auto" w:fill="auto"/>
            <w:noWrap/>
            <w:hideMark/>
          </w:tcPr>
          <w:p w14:paraId="3BCB394B"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Gilead Sciences</w:t>
            </w:r>
          </w:p>
        </w:tc>
        <w:tc>
          <w:tcPr>
            <w:tcW w:w="2278" w:type="dxa"/>
            <w:shd w:val="clear" w:color="auto" w:fill="auto"/>
            <w:noWrap/>
            <w:vAlign w:val="center"/>
            <w:hideMark/>
          </w:tcPr>
          <w:p w14:paraId="7E61D67F"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43</w:t>
            </w:r>
          </w:p>
        </w:tc>
      </w:tr>
      <w:tr w:rsidR="00F66071" w:rsidRPr="0030399D" w14:paraId="4CA420D7" w14:textId="77777777" w:rsidTr="00DC7877">
        <w:trPr>
          <w:trHeight w:val="227"/>
          <w:jc w:val="center"/>
        </w:trPr>
        <w:tc>
          <w:tcPr>
            <w:tcW w:w="2129" w:type="dxa"/>
            <w:shd w:val="clear" w:color="auto" w:fill="auto"/>
            <w:noWrap/>
            <w:hideMark/>
          </w:tcPr>
          <w:p w14:paraId="56EF8706"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GlaxoSmithKline</w:t>
            </w:r>
          </w:p>
        </w:tc>
        <w:tc>
          <w:tcPr>
            <w:tcW w:w="2278" w:type="dxa"/>
            <w:shd w:val="clear" w:color="auto" w:fill="auto"/>
            <w:noWrap/>
            <w:vAlign w:val="center"/>
            <w:hideMark/>
          </w:tcPr>
          <w:p w14:paraId="3E1BD416"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41</w:t>
            </w:r>
          </w:p>
        </w:tc>
      </w:tr>
      <w:tr w:rsidR="00F66071" w:rsidRPr="0030399D" w14:paraId="00D9DC6F" w14:textId="77777777" w:rsidTr="00DC7877">
        <w:trPr>
          <w:trHeight w:val="227"/>
          <w:jc w:val="center"/>
        </w:trPr>
        <w:tc>
          <w:tcPr>
            <w:tcW w:w="2129" w:type="dxa"/>
            <w:shd w:val="clear" w:color="auto" w:fill="auto"/>
            <w:noWrap/>
            <w:hideMark/>
          </w:tcPr>
          <w:p w14:paraId="4F8CB192"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Roche</w:t>
            </w:r>
          </w:p>
        </w:tc>
        <w:tc>
          <w:tcPr>
            <w:tcW w:w="2278" w:type="dxa"/>
            <w:shd w:val="clear" w:color="auto" w:fill="auto"/>
            <w:noWrap/>
            <w:vAlign w:val="center"/>
            <w:hideMark/>
          </w:tcPr>
          <w:p w14:paraId="6385033B"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40</w:t>
            </w:r>
          </w:p>
        </w:tc>
      </w:tr>
      <w:tr w:rsidR="00F66071" w:rsidRPr="0030399D" w14:paraId="4FC726FA" w14:textId="77777777" w:rsidTr="00DC7877">
        <w:trPr>
          <w:trHeight w:val="227"/>
          <w:jc w:val="center"/>
        </w:trPr>
        <w:tc>
          <w:tcPr>
            <w:tcW w:w="2129" w:type="dxa"/>
            <w:shd w:val="clear" w:color="auto" w:fill="auto"/>
            <w:noWrap/>
            <w:hideMark/>
          </w:tcPr>
          <w:p w14:paraId="40EA3450"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Johnson &amp; Johnson</w:t>
            </w:r>
          </w:p>
        </w:tc>
        <w:tc>
          <w:tcPr>
            <w:tcW w:w="2278" w:type="dxa"/>
            <w:shd w:val="clear" w:color="auto" w:fill="auto"/>
            <w:noWrap/>
            <w:vAlign w:val="center"/>
            <w:hideMark/>
          </w:tcPr>
          <w:p w14:paraId="73E5BE6C"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36</w:t>
            </w:r>
          </w:p>
        </w:tc>
      </w:tr>
      <w:tr w:rsidR="00F66071" w:rsidRPr="0030399D" w14:paraId="32252370" w14:textId="77777777" w:rsidTr="00DC7877">
        <w:trPr>
          <w:trHeight w:val="227"/>
          <w:jc w:val="center"/>
        </w:trPr>
        <w:tc>
          <w:tcPr>
            <w:tcW w:w="2129" w:type="dxa"/>
            <w:shd w:val="clear" w:color="auto" w:fill="auto"/>
            <w:noWrap/>
            <w:hideMark/>
          </w:tcPr>
          <w:p w14:paraId="262F1479"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Merck &amp; Co.</w:t>
            </w:r>
          </w:p>
        </w:tc>
        <w:tc>
          <w:tcPr>
            <w:tcW w:w="2278" w:type="dxa"/>
            <w:shd w:val="clear" w:color="auto" w:fill="auto"/>
            <w:noWrap/>
            <w:vAlign w:val="center"/>
            <w:hideMark/>
          </w:tcPr>
          <w:p w14:paraId="77311CA7"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34</w:t>
            </w:r>
          </w:p>
        </w:tc>
      </w:tr>
      <w:tr w:rsidR="00F66071" w:rsidRPr="0030399D" w14:paraId="09505214" w14:textId="77777777" w:rsidTr="00DC7877">
        <w:trPr>
          <w:trHeight w:val="227"/>
          <w:jc w:val="center"/>
        </w:trPr>
        <w:tc>
          <w:tcPr>
            <w:tcW w:w="2129" w:type="dxa"/>
            <w:shd w:val="clear" w:color="auto" w:fill="auto"/>
            <w:noWrap/>
            <w:hideMark/>
          </w:tcPr>
          <w:p w14:paraId="55CD4166"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Sanofi</w:t>
            </w:r>
          </w:p>
        </w:tc>
        <w:tc>
          <w:tcPr>
            <w:tcW w:w="2278" w:type="dxa"/>
            <w:shd w:val="clear" w:color="auto" w:fill="auto"/>
            <w:noWrap/>
            <w:vAlign w:val="center"/>
            <w:hideMark/>
          </w:tcPr>
          <w:p w14:paraId="3E52CB5C"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26</w:t>
            </w:r>
          </w:p>
        </w:tc>
      </w:tr>
      <w:tr w:rsidR="00F66071" w:rsidRPr="0030399D" w14:paraId="2A58D31D" w14:textId="77777777" w:rsidTr="00DC7877">
        <w:trPr>
          <w:trHeight w:val="227"/>
          <w:jc w:val="center"/>
        </w:trPr>
        <w:tc>
          <w:tcPr>
            <w:tcW w:w="2129" w:type="dxa"/>
            <w:shd w:val="clear" w:color="auto" w:fill="auto"/>
            <w:noWrap/>
            <w:hideMark/>
          </w:tcPr>
          <w:p w14:paraId="696991F2"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Pfizer</w:t>
            </w:r>
          </w:p>
        </w:tc>
        <w:tc>
          <w:tcPr>
            <w:tcW w:w="2278" w:type="dxa"/>
            <w:shd w:val="clear" w:color="auto" w:fill="auto"/>
            <w:noWrap/>
            <w:vAlign w:val="center"/>
            <w:hideMark/>
          </w:tcPr>
          <w:p w14:paraId="1210D219"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25</w:t>
            </w:r>
          </w:p>
        </w:tc>
      </w:tr>
      <w:tr w:rsidR="00F66071" w:rsidRPr="0030399D" w14:paraId="7BCFEF6C" w14:textId="77777777" w:rsidTr="00DC7877">
        <w:trPr>
          <w:trHeight w:val="227"/>
          <w:jc w:val="center"/>
        </w:trPr>
        <w:tc>
          <w:tcPr>
            <w:tcW w:w="2129" w:type="dxa"/>
            <w:shd w:val="clear" w:color="auto" w:fill="auto"/>
            <w:noWrap/>
            <w:hideMark/>
          </w:tcPr>
          <w:p w14:paraId="2CA7C4B2" w14:textId="77777777" w:rsidR="00F66071" w:rsidRPr="0030399D" w:rsidRDefault="00F66071" w:rsidP="007C129D">
            <w:pPr>
              <w:pStyle w:val="SourceBeschriftung"/>
              <w:spacing w:before="0" w:after="0" w:line="240" w:lineRule="auto"/>
              <w:rPr>
                <w:rFonts w:ascii="Arial" w:hAnsi="Arial" w:cs="Arial"/>
                <w:sz w:val="20"/>
                <w:szCs w:val="20"/>
                <w:lang w:val="en-CA"/>
              </w:rPr>
            </w:pPr>
            <w:r w:rsidRPr="0030399D">
              <w:rPr>
                <w:rFonts w:ascii="Arial" w:hAnsi="Arial" w:cs="Arial"/>
                <w:sz w:val="20"/>
                <w:szCs w:val="20"/>
                <w:lang w:val="en-CA"/>
              </w:rPr>
              <w:t>Novartis</w:t>
            </w:r>
          </w:p>
        </w:tc>
        <w:tc>
          <w:tcPr>
            <w:tcW w:w="2278" w:type="dxa"/>
            <w:shd w:val="clear" w:color="auto" w:fill="auto"/>
            <w:noWrap/>
            <w:vAlign w:val="center"/>
            <w:hideMark/>
          </w:tcPr>
          <w:p w14:paraId="3B31AD3E" w14:textId="77777777" w:rsidR="00F66071" w:rsidRPr="0030399D" w:rsidRDefault="00F66071" w:rsidP="00DC7877">
            <w:pPr>
              <w:pStyle w:val="SourceBeschriftung"/>
              <w:spacing w:before="0" w:after="0" w:line="240" w:lineRule="auto"/>
              <w:jc w:val="center"/>
              <w:rPr>
                <w:rFonts w:ascii="Arial" w:hAnsi="Arial" w:cs="Arial"/>
                <w:sz w:val="20"/>
                <w:szCs w:val="20"/>
                <w:lang w:val="en-CA"/>
              </w:rPr>
            </w:pPr>
            <w:r w:rsidRPr="0030399D">
              <w:rPr>
                <w:rFonts w:ascii="Arial" w:hAnsi="Arial" w:cs="Arial"/>
                <w:sz w:val="20"/>
                <w:szCs w:val="20"/>
                <w:lang w:val="en-CA"/>
              </w:rPr>
              <w:t>15</w:t>
            </w:r>
          </w:p>
        </w:tc>
      </w:tr>
    </w:tbl>
    <w:p w14:paraId="73210282" w14:textId="77777777" w:rsidR="00F66071" w:rsidRPr="002403B2" w:rsidRDefault="00F66071" w:rsidP="00F66071">
      <w:pPr>
        <w:pStyle w:val="Footnote"/>
        <w:rPr>
          <w:sz w:val="12"/>
          <w:szCs w:val="12"/>
          <w:lang w:val="en-CA"/>
        </w:rPr>
      </w:pPr>
    </w:p>
    <w:p w14:paraId="546A343B" w14:textId="77777777" w:rsidR="00F66071" w:rsidRPr="002403B2" w:rsidRDefault="00F66071" w:rsidP="00F66071">
      <w:pPr>
        <w:pStyle w:val="Footnote"/>
        <w:rPr>
          <w:spacing w:val="-4"/>
          <w:kern w:val="17"/>
          <w:lang w:val="en-CA"/>
        </w:rPr>
      </w:pPr>
      <w:r w:rsidRPr="002403B2">
        <w:rPr>
          <w:spacing w:val="-4"/>
          <w:kern w:val="17"/>
          <w:lang w:val="en-CA"/>
        </w:rPr>
        <w:t xml:space="preserve">Note: The table presents the share of the three top-selling drugs of a company in relation to the overall revenue of each company. </w:t>
      </w:r>
    </w:p>
    <w:p w14:paraId="096290C8" w14:textId="597A5B9C" w:rsidR="00F66071" w:rsidRPr="00DC7877" w:rsidRDefault="00F66071" w:rsidP="00F66071">
      <w:pPr>
        <w:pStyle w:val="Footnote"/>
        <w:jc w:val="left"/>
        <w:rPr>
          <w:spacing w:val="-4"/>
          <w:kern w:val="17"/>
          <w:lang w:val="en-CA"/>
        </w:rPr>
      </w:pPr>
      <w:r w:rsidRPr="00DC7877">
        <w:rPr>
          <w:spacing w:val="-4"/>
          <w:kern w:val="17"/>
          <w:lang w:val="en-CA"/>
        </w:rPr>
        <w:t xml:space="preserve">Source: IgeaHub/Statista "Revenue share from major pharmaceutical companies' top 3 products in 2017," Statista, March 6, 2018, accessed July 26, 2019, </w:t>
      </w:r>
      <w:r w:rsidR="00DC7877" w:rsidRPr="00DC7877">
        <w:rPr>
          <w:spacing w:val="-4"/>
          <w:kern w:val="17"/>
          <w:lang w:val="en-CA"/>
        </w:rPr>
        <w:t>www</w:t>
      </w:r>
      <w:r w:rsidRPr="00DC7877">
        <w:rPr>
          <w:spacing w:val="-4"/>
          <w:kern w:val="17"/>
          <w:lang w:val="en-CA"/>
        </w:rPr>
        <w:t xml:space="preserve">.statista.com/statistics/272839/revenue-from-top-products-of-selected-pharmaceu </w:t>
      </w:r>
      <w:r w:rsidR="00DC7877" w:rsidRPr="00DC7877">
        <w:rPr>
          <w:spacing w:val="-4"/>
          <w:kern w:val="17"/>
          <w:lang w:val="en-CA"/>
        </w:rPr>
        <w:t>tical-companies/.</w:t>
      </w:r>
    </w:p>
    <w:p w14:paraId="2558F7DD" w14:textId="77777777" w:rsidR="00F66071" w:rsidRPr="0030399D" w:rsidRDefault="00F66071" w:rsidP="00F66071">
      <w:pPr>
        <w:pStyle w:val="IVEYappTitel"/>
        <w:rPr>
          <w:noProof w:val="0"/>
          <w:sz w:val="12"/>
          <w:szCs w:val="12"/>
          <w:lang w:val="en-CA"/>
        </w:rPr>
      </w:pPr>
    </w:p>
    <w:p w14:paraId="61299D65" w14:textId="77777777" w:rsidR="00F66071" w:rsidRPr="0030399D" w:rsidRDefault="00F66071" w:rsidP="00F66071">
      <w:pPr>
        <w:pStyle w:val="IVEYappTitel"/>
        <w:rPr>
          <w:noProof w:val="0"/>
          <w:sz w:val="12"/>
          <w:szCs w:val="12"/>
          <w:lang w:val="en-CA"/>
        </w:rPr>
      </w:pPr>
    </w:p>
    <w:p w14:paraId="148809CE" w14:textId="77777777" w:rsidR="00F66071" w:rsidRPr="0030399D" w:rsidRDefault="00F66071" w:rsidP="00F66071">
      <w:pPr>
        <w:pStyle w:val="IVEYappTitel"/>
        <w:rPr>
          <w:noProof w:val="0"/>
          <w:lang w:val="en-CA"/>
        </w:rPr>
      </w:pPr>
      <w:r w:rsidRPr="0030399D">
        <w:rPr>
          <w:noProof w:val="0"/>
          <w:lang w:val="en-CA"/>
        </w:rPr>
        <w:t>Exhibit 18: Public and private spending on Drugs in selected countries, 2013 [in % of total spending on pharmaceuticals]</w:t>
      </w:r>
    </w:p>
    <w:p w14:paraId="41ECDCB5" w14:textId="77777777" w:rsidR="00F66071" w:rsidRPr="0030399D" w:rsidRDefault="00F66071" w:rsidP="00F66071">
      <w:pPr>
        <w:pStyle w:val="IVEYappTitel"/>
        <w:rPr>
          <w:noProof w:val="0"/>
          <w:sz w:val="12"/>
          <w:szCs w:val="12"/>
          <w:lang w:val="en-CA"/>
        </w:rPr>
      </w:pPr>
    </w:p>
    <w:tbl>
      <w:tblPr>
        <w:tblW w:w="4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14"/>
        <w:gridCol w:w="1349"/>
        <w:gridCol w:w="1350"/>
      </w:tblGrid>
      <w:tr w:rsidR="00F66071" w:rsidRPr="0030399D" w14:paraId="2C8DD994" w14:textId="77777777" w:rsidTr="007C129D">
        <w:trPr>
          <w:trHeight w:val="107"/>
          <w:jc w:val="center"/>
        </w:trPr>
        <w:tc>
          <w:tcPr>
            <w:tcW w:w="1714" w:type="dxa"/>
            <w:shd w:val="clear" w:color="auto" w:fill="auto"/>
            <w:vAlign w:val="center"/>
            <w:hideMark/>
          </w:tcPr>
          <w:p w14:paraId="36DBE06C" w14:textId="77777777" w:rsidR="00F66071" w:rsidRPr="0030399D" w:rsidRDefault="00F66071" w:rsidP="007C129D">
            <w:pPr>
              <w:pStyle w:val="StyleJustified"/>
              <w:jc w:val="center"/>
              <w:rPr>
                <w:rFonts w:ascii="Arial" w:hAnsi="Arial" w:cs="Arial"/>
                <w:b/>
                <w:lang w:val="en-CA"/>
              </w:rPr>
            </w:pPr>
          </w:p>
        </w:tc>
        <w:tc>
          <w:tcPr>
            <w:tcW w:w="1349" w:type="dxa"/>
            <w:shd w:val="clear" w:color="auto" w:fill="auto"/>
            <w:vAlign w:val="center"/>
            <w:hideMark/>
          </w:tcPr>
          <w:p w14:paraId="2C3D72D1" w14:textId="77777777" w:rsidR="00F66071" w:rsidRPr="0030399D" w:rsidRDefault="00F66071" w:rsidP="007C129D">
            <w:pPr>
              <w:pStyle w:val="StyleJustified"/>
              <w:jc w:val="center"/>
              <w:rPr>
                <w:rFonts w:ascii="Arial" w:hAnsi="Arial" w:cs="Arial"/>
                <w:b/>
                <w:lang w:val="en-CA"/>
              </w:rPr>
            </w:pPr>
            <w:r w:rsidRPr="0030399D">
              <w:rPr>
                <w:rFonts w:ascii="Arial" w:hAnsi="Arial" w:cs="Arial"/>
                <w:b/>
                <w:lang w:val="en-CA"/>
              </w:rPr>
              <w:t>Public (%)</w:t>
            </w:r>
          </w:p>
        </w:tc>
        <w:tc>
          <w:tcPr>
            <w:tcW w:w="1350" w:type="dxa"/>
            <w:shd w:val="clear" w:color="auto" w:fill="auto"/>
            <w:vAlign w:val="center"/>
          </w:tcPr>
          <w:p w14:paraId="4C6A7EC3" w14:textId="77777777" w:rsidR="00F66071" w:rsidRPr="0030399D" w:rsidRDefault="00F66071" w:rsidP="007C129D">
            <w:pPr>
              <w:pStyle w:val="StyleJustified"/>
              <w:jc w:val="center"/>
              <w:rPr>
                <w:rFonts w:ascii="Arial" w:hAnsi="Arial" w:cs="Arial"/>
                <w:b/>
                <w:lang w:val="en-CA"/>
              </w:rPr>
            </w:pPr>
            <w:r w:rsidRPr="0030399D">
              <w:rPr>
                <w:rFonts w:ascii="Arial" w:hAnsi="Arial" w:cs="Arial"/>
                <w:b/>
                <w:lang w:val="en-CA"/>
              </w:rPr>
              <w:t>Private (%)</w:t>
            </w:r>
          </w:p>
        </w:tc>
      </w:tr>
      <w:tr w:rsidR="00F66071" w:rsidRPr="0030399D" w14:paraId="1E9A4F2F" w14:textId="77777777" w:rsidTr="007C129D">
        <w:trPr>
          <w:trHeight w:val="134"/>
          <w:jc w:val="center"/>
        </w:trPr>
        <w:tc>
          <w:tcPr>
            <w:tcW w:w="1714" w:type="dxa"/>
            <w:shd w:val="clear" w:color="auto" w:fill="auto"/>
            <w:vAlign w:val="center"/>
          </w:tcPr>
          <w:p w14:paraId="58E0DB54" w14:textId="77777777" w:rsidR="00F66071" w:rsidRPr="0030399D" w:rsidRDefault="00F66071" w:rsidP="007C129D">
            <w:pPr>
              <w:pStyle w:val="StyleJustified"/>
              <w:rPr>
                <w:rFonts w:ascii="Arial" w:hAnsi="Arial" w:cs="Arial"/>
                <w:lang w:val="en-CA"/>
              </w:rPr>
            </w:pPr>
            <w:r w:rsidRPr="0030399D">
              <w:rPr>
                <w:rFonts w:ascii="Arial" w:hAnsi="Arial" w:cs="Arial"/>
                <w:lang w:val="en-CA"/>
              </w:rPr>
              <w:t>Chile</w:t>
            </w:r>
            <w:r w:rsidRPr="0030399D">
              <w:rPr>
                <w:rFonts w:ascii="Arial" w:hAnsi="Arial" w:cs="Arial"/>
                <w:vertAlign w:val="superscript"/>
                <w:lang w:val="en-CA"/>
              </w:rPr>
              <w:t>*</w:t>
            </w:r>
          </w:p>
        </w:tc>
        <w:tc>
          <w:tcPr>
            <w:tcW w:w="1349" w:type="dxa"/>
            <w:shd w:val="clear" w:color="auto" w:fill="auto"/>
            <w:vAlign w:val="center"/>
          </w:tcPr>
          <w:p w14:paraId="454B1A2E"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90.0</w:t>
            </w:r>
          </w:p>
        </w:tc>
        <w:tc>
          <w:tcPr>
            <w:tcW w:w="1350" w:type="dxa"/>
            <w:shd w:val="clear" w:color="auto" w:fill="auto"/>
            <w:vAlign w:val="center"/>
          </w:tcPr>
          <w:p w14:paraId="6D38296E"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10.0</w:t>
            </w:r>
          </w:p>
        </w:tc>
      </w:tr>
      <w:tr w:rsidR="00F66071" w:rsidRPr="0030399D" w14:paraId="3037EFA2" w14:textId="77777777" w:rsidTr="007C129D">
        <w:trPr>
          <w:trHeight w:val="71"/>
          <w:jc w:val="center"/>
        </w:trPr>
        <w:tc>
          <w:tcPr>
            <w:tcW w:w="1714" w:type="dxa"/>
            <w:shd w:val="clear" w:color="auto" w:fill="auto"/>
            <w:noWrap/>
            <w:vAlign w:val="center"/>
          </w:tcPr>
          <w:p w14:paraId="20DC790C" w14:textId="0B37C2A7" w:rsidR="00F66071" w:rsidRPr="0030399D" w:rsidRDefault="00F66071" w:rsidP="007C129D">
            <w:pPr>
              <w:pStyle w:val="StyleJustified"/>
              <w:rPr>
                <w:rFonts w:ascii="Arial" w:hAnsi="Arial" w:cs="Arial"/>
                <w:lang w:val="en-CA"/>
              </w:rPr>
            </w:pPr>
            <w:r w:rsidRPr="0030399D">
              <w:rPr>
                <w:rFonts w:ascii="Arial" w:hAnsi="Arial" w:cs="Arial"/>
                <w:lang w:val="en-CA"/>
              </w:rPr>
              <w:t>Germany</w:t>
            </w:r>
          </w:p>
        </w:tc>
        <w:tc>
          <w:tcPr>
            <w:tcW w:w="1349" w:type="dxa"/>
            <w:shd w:val="clear" w:color="auto" w:fill="auto"/>
            <w:noWrap/>
            <w:vAlign w:val="center"/>
          </w:tcPr>
          <w:p w14:paraId="451C72F6"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76.7</w:t>
            </w:r>
          </w:p>
        </w:tc>
        <w:tc>
          <w:tcPr>
            <w:tcW w:w="1350" w:type="dxa"/>
            <w:shd w:val="clear" w:color="auto" w:fill="auto"/>
            <w:vAlign w:val="center"/>
          </w:tcPr>
          <w:p w14:paraId="6F732AA5"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23.3</w:t>
            </w:r>
          </w:p>
        </w:tc>
      </w:tr>
      <w:tr w:rsidR="00F66071" w:rsidRPr="0030399D" w14:paraId="40B54D19" w14:textId="77777777" w:rsidTr="007C129D">
        <w:trPr>
          <w:trHeight w:val="56"/>
          <w:jc w:val="center"/>
        </w:trPr>
        <w:tc>
          <w:tcPr>
            <w:tcW w:w="1714" w:type="dxa"/>
            <w:shd w:val="clear" w:color="auto" w:fill="auto"/>
            <w:vAlign w:val="center"/>
            <w:hideMark/>
          </w:tcPr>
          <w:p w14:paraId="6CF0DEB5" w14:textId="77777777" w:rsidR="00F66071" w:rsidRPr="0030399D" w:rsidRDefault="00F66071" w:rsidP="007C129D">
            <w:pPr>
              <w:pStyle w:val="StyleJustified"/>
              <w:rPr>
                <w:rFonts w:ascii="Arial" w:hAnsi="Arial" w:cs="Arial"/>
                <w:lang w:val="en-CA"/>
              </w:rPr>
            </w:pPr>
            <w:r w:rsidRPr="0030399D">
              <w:rPr>
                <w:rFonts w:ascii="Arial" w:hAnsi="Arial" w:cs="Arial"/>
                <w:lang w:val="en-CA"/>
              </w:rPr>
              <w:t>Japan</w:t>
            </w:r>
          </w:p>
        </w:tc>
        <w:tc>
          <w:tcPr>
            <w:tcW w:w="1349" w:type="dxa"/>
            <w:shd w:val="clear" w:color="auto" w:fill="auto"/>
            <w:noWrap/>
            <w:vAlign w:val="center"/>
            <w:hideMark/>
          </w:tcPr>
          <w:p w14:paraId="6F9CC32E"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82.1</w:t>
            </w:r>
          </w:p>
        </w:tc>
        <w:tc>
          <w:tcPr>
            <w:tcW w:w="1350" w:type="dxa"/>
            <w:shd w:val="clear" w:color="auto" w:fill="auto"/>
            <w:vAlign w:val="center"/>
          </w:tcPr>
          <w:p w14:paraId="6BF8BE9C"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17.9</w:t>
            </w:r>
          </w:p>
        </w:tc>
      </w:tr>
      <w:tr w:rsidR="00F66071" w:rsidRPr="0030399D" w14:paraId="57FC54D7" w14:textId="77777777" w:rsidTr="007C129D">
        <w:trPr>
          <w:trHeight w:val="56"/>
          <w:jc w:val="center"/>
        </w:trPr>
        <w:tc>
          <w:tcPr>
            <w:tcW w:w="1714" w:type="dxa"/>
            <w:shd w:val="clear" w:color="auto" w:fill="auto"/>
            <w:vAlign w:val="center"/>
            <w:hideMark/>
          </w:tcPr>
          <w:p w14:paraId="065B9D9D" w14:textId="77777777" w:rsidR="00F66071" w:rsidRPr="0030399D" w:rsidRDefault="00F66071" w:rsidP="007C129D">
            <w:pPr>
              <w:pStyle w:val="StyleJustified"/>
              <w:rPr>
                <w:rFonts w:ascii="Arial" w:hAnsi="Arial" w:cs="Arial"/>
                <w:lang w:val="en-CA"/>
              </w:rPr>
            </w:pPr>
            <w:r w:rsidRPr="0030399D">
              <w:rPr>
                <w:rFonts w:ascii="Arial" w:hAnsi="Arial" w:cs="Arial"/>
                <w:lang w:val="en-CA"/>
              </w:rPr>
              <w:t>Poland</w:t>
            </w:r>
          </w:p>
        </w:tc>
        <w:tc>
          <w:tcPr>
            <w:tcW w:w="1349" w:type="dxa"/>
            <w:shd w:val="clear" w:color="auto" w:fill="auto"/>
            <w:noWrap/>
            <w:vAlign w:val="center"/>
            <w:hideMark/>
          </w:tcPr>
          <w:p w14:paraId="03BA483C"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71.2</w:t>
            </w:r>
          </w:p>
        </w:tc>
        <w:tc>
          <w:tcPr>
            <w:tcW w:w="1350" w:type="dxa"/>
            <w:shd w:val="clear" w:color="auto" w:fill="auto"/>
            <w:vAlign w:val="center"/>
          </w:tcPr>
          <w:p w14:paraId="1C71E21E"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28.8</w:t>
            </w:r>
          </w:p>
        </w:tc>
      </w:tr>
      <w:tr w:rsidR="00F66071" w:rsidRPr="0030399D" w14:paraId="210859C6" w14:textId="77777777" w:rsidTr="007C129D">
        <w:trPr>
          <w:trHeight w:val="227"/>
          <w:jc w:val="center"/>
        </w:trPr>
        <w:tc>
          <w:tcPr>
            <w:tcW w:w="1714" w:type="dxa"/>
            <w:shd w:val="clear" w:color="auto" w:fill="auto"/>
            <w:vAlign w:val="center"/>
            <w:hideMark/>
          </w:tcPr>
          <w:p w14:paraId="064FA1F0" w14:textId="77777777" w:rsidR="00F66071" w:rsidRPr="0030399D" w:rsidRDefault="00F66071" w:rsidP="007C129D">
            <w:pPr>
              <w:pStyle w:val="StyleJustified"/>
              <w:rPr>
                <w:rFonts w:ascii="Arial" w:hAnsi="Arial" w:cs="Arial"/>
                <w:lang w:val="en-CA"/>
              </w:rPr>
            </w:pPr>
            <w:r w:rsidRPr="0030399D">
              <w:rPr>
                <w:rFonts w:ascii="Arial" w:hAnsi="Arial" w:cs="Arial"/>
                <w:lang w:val="en-CA"/>
              </w:rPr>
              <w:t>Sweden</w:t>
            </w:r>
          </w:p>
        </w:tc>
        <w:tc>
          <w:tcPr>
            <w:tcW w:w="1349" w:type="dxa"/>
            <w:shd w:val="clear" w:color="auto" w:fill="auto"/>
            <w:noWrap/>
            <w:vAlign w:val="center"/>
            <w:hideMark/>
          </w:tcPr>
          <w:p w14:paraId="380421E5"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81.5</w:t>
            </w:r>
          </w:p>
        </w:tc>
        <w:tc>
          <w:tcPr>
            <w:tcW w:w="1350" w:type="dxa"/>
            <w:shd w:val="clear" w:color="auto" w:fill="auto"/>
            <w:vAlign w:val="center"/>
          </w:tcPr>
          <w:p w14:paraId="11952064"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18.5</w:t>
            </w:r>
          </w:p>
        </w:tc>
      </w:tr>
      <w:tr w:rsidR="00F66071" w:rsidRPr="0030399D" w14:paraId="12893BF5" w14:textId="77777777" w:rsidTr="007C129D">
        <w:trPr>
          <w:trHeight w:val="227"/>
          <w:jc w:val="center"/>
        </w:trPr>
        <w:tc>
          <w:tcPr>
            <w:tcW w:w="1714" w:type="dxa"/>
            <w:shd w:val="clear" w:color="auto" w:fill="auto"/>
            <w:vAlign w:val="center"/>
            <w:hideMark/>
          </w:tcPr>
          <w:p w14:paraId="5868B24E" w14:textId="77777777" w:rsidR="00F66071" w:rsidRPr="0030399D" w:rsidRDefault="00F66071" w:rsidP="007C129D">
            <w:pPr>
              <w:pStyle w:val="StyleJustified"/>
              <w:rPr>
                <w:rFonts w:ascii="Arial" w:hAnsi="Arial" w:cs="Arial"/>
                <w:lang w:val="en-CA"/>
              </w:rPr>
            </w:pPr>
            <w:r w:rsidRPr="0030399D">
              <w:rPr>
                <w:rFonts w:ascii="Arial" w:hAnsi="Arial" w:cs="Arial"/>
                <w:lang w:val="en-CA"/>
              </w:rPr>
              <w:t>United Kingdom</w:t>
            </w:r>
          </w:p>
        </w:tc>
        <w:tc>
          <w:tcPr>
            <w:tcW w:w="1349" w:type="dxa"/>
            <w:shd w:val="clear" w:color="auto" w:fill="auto"/>
            <w:noWrap/>
            <w:vAlign w:val="center"/>
            <w:hideMark/>
          </w:tcPr>
          <w:p w14:paraId="438D4F13"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83.5</w:t>
            </w:r>
          </w:p>
        </w:tc>
        <w:tc>
          <w:tcPr>
            <w:tcW w:w="1350" w:type="dxa"/>
            <w:shd w:val="clear" w:color="auto" w:fill="auto"/>
            <w:vAlign w:val="center"/>
          </w:tcPr>
          <w:p w14:paraId="1F1F6598"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16.5</w:t>
            </w:r>
          </w:p>
        </w:tc>
      </w:tr>
      <w:tr w:rsidR="00F66071" w:rsidRPr="0030399D" w14:paraId="107C2818" w14:textId="77777777" w:rsidTr="007C129D">
        <w:trPr>
          <w:trHeight w:val="227"/>
          <w:jc w:val="center"/>
        </w:trPr>
        <w:tc>
          <w:tcPr>
            <w:tcW w:w="1714" w:type="dxa"/>
            <w:shd w:val="clear" w:color="auto" w:fill="auto"/>
            <w:vAlign w:val="center"/>
            <w:hideMark/>
          </w:tcPr>
          <w:p w14:paraId="35CDE146" w14:textId="77777777" w:rsidR="00F66071" w:rsidRPr="0030399D" w:rsidRDefault="00F66071" w:rsidP="007C129D">
            <w:pPr>
              <w:pStyle w:val="StyleJustified"/>
              <w:rPr>
                <w:rFonts w:ascii="Arial" w:hAnsi="Arial" w:cs="Arial"/>
                <w:lang w:val="en-CA"/>
              </w:rPr>
            </w:pPr>
            <w:r w:rsidRPr="0030399D">
              <w:rPr>
                <w:rFonts w:ascii="Arial" w:hAnsi="Arial" w:cs="Arial"/>
                <w:lang w:val="en-CA"/>
              </w:rPr>
              <w:t>United States</w:t>
            </w:r>
          </w:p>
        </w:tc>
        <w:tc>
          <w:tcPr>
            <w:tcW w:w="1349" w:type="dxa"/>
            <w:shd w:val="clear" w:color="auto" w:fill="auto"/>
            <w:noWrap/>
            <w:vAlign w:val="center"/>
            <w:hideMark/>
          </w:tcPr>
          <w:p w14:paraId="364807E8"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47.6</w:t>
            </w:r>
          </w:p>
        </w:tc>
        <w:tc>
          <w:tcPr>
            <w:tcW w:w="1350" w:type="dxa"/>
            <w:shd w:val="clear" w:color="auto" w:fill="auto"/>
            <w:vAlign w:val="center"/>
          </w:tcPr>
          <w:p w14:paraId="04642215" w14:textId="77777777" w:rsidR="00F66071" w:rsidRPr="0030399D" w:rsidRDefault="00F66071" w:rsidP="007C129D">
            <w:pPr>
              <w:pStyle w:val="StyleJustified"/>
              <w:jc w:val="right"/>
              <w:rPr>
                <w:rFonts w:ascii="Arial" w:hAnsi="Arial" w:cs="Arial"/>
                <w:lang w:val="en-CA"/>
              </w:rPr>
            </w:pPr>
            <w:r w:rsidRPr="0030399D">
              <w:rPr>
                <w:rFonts w:ascii="Arial" w:hAnsi="Arial" w:cs="Arial"/>
                <w:lang w:val="en-CA"/>
              </w:rPr>
              <w:t>52.4</w:t>
            </w:r>
          </w:p>
        </w:tc>
      </w:tr>
      <w:tr w:rsidR="00F66071" w:rsidRPr="0030399D" w14:paraId="38CE3980" w14:textId="77777777" w:rsidTr="007C129D">
        <w:trPr>
          <w:trHeight w:val="227"/>
          <w:jc w:val="center"/>
        </w:trPr>
        <w:tc>
          <w:tcPr>
            <w:tcW w:w="1714" w:type="dxa"/>
            <w:shd w:val="clear" w:color="auto" w:fill="auto"/>
            <w:vAlign w:val="center"/>
          </w:tcPr>
          <w:p w14:paraId="061AD77F" w14:textId="77777777" w:rsidR="00F66071" w:rsidRPr="0030399D" w:rsidRDefault="00F66071" w:rsidP="007C129D">
            <w:pPr>
              <w:pStyle w:val="StyleJustified"/>
              <w:rPr>
                <w:rFonts w:ascii="Arial" w:hAnsi="Arial" w:cs="Arial"/>
                <w:b/>
                <w:i/>
                <w:lang w:val="en-CA"/>
              </w:rPr>
            </w:pPr>
            <w:r w:rsidRPr="0030399D">
              <w:rPr>
                <w:rFonts w:ascii="Arial" w:hAnsi="Arial" w:cs="Arial"/>
                <w:b/>
                <w:i/>
                <w:lang w:val="en-CA"/>
              </w:rPr>
              <w:t>OECD-29</w:t>
            </w:r>
            <w:r w:rsidRPr="0030399D">
              <w:rPr>
                <w:rFonts w:ascii="Arial" w:hAnsi="Arial" w:cs="Arial"/>
                <w:b/>
                <w:i/>
                <w:vertAlign w:val="superscript"/>
                <w:lang w:val="en-CA"/>
              </w:rPr>
              <w:t>**</w:t>
            </w:r>
          </w:p>
        </w:tc>
        <w:tc>
          <w:tcPr>
            <w:tcW w:w="1349" w:type="dxa"/>
            <w:shd w:val="clear" w:color="auto" w:fill="auto"/>
            <w:noWrap/>
            <w:vAlign w:val="center"/>
          </w:tcPr>
          <w:p w14:paraId="4EC9CE25" w14:textId="77777777" w:rsidR="00F66071" w:rsidRPr="0030399D" w:rsidRDefault="00F66071" w:rsidP="007C129D">
            <w:pPr>
              <w:pStyle w:val="StyleJustified"/>
              <w:jc w:val="right"/>
              <w:rPr>
                <w:rFonts w:ascii="Arial" w:hAnsi="Arial" w:cs="Arial"/>
                <w:b/>
                <w:i/>
                <w:lang w:val="en-CA"/>
              </w:rPr>
            </w:pPr>
            <w:r w:rsidRPr="0030399D">
              <w:rPr>
                <w:rFonts w:ascii="Arial" w:hAnsi="Arial" w:cs="Arial"/>
                <w:b/>
                <w:i/>
                <w:lang w:val="en-CA"/>
              </w:rPr>
              <w:t>58.0</w:t>
            </w:r>
          </w:p>
        </w:tc>
        <w:tc>
          <w:tcPr>
            <w:tcW w:w="1350" w:type="dxa"/>
            <w:shd w:val="clear" w:color="auto" w:fill="auto"/>
            <w:vAlign w:val="center"/>
          </w:tcPr>
          <w:p w14:paraId="2EF64552" w14:textId="77777777" w:rsidR="00F66071" w:rsidRPr="0030399D" w:rsidRDefault="00F66071" w:rsidP="007C129D">
            <w:pPr>
              <w:pStyle w:val="StyleJustified"/>
              <w:jc w:val="right"/>
              <w:rPr>
                <w:rFonts w:ascii="Arial" w:hAnsi="Arial" w:cs="Arial"/>
                <w:b/>
                <w:i/>
                <w:lang w:val="en-CA"/>
              </w:rPr>
            </w:pPr>
            <w:r w:rsidRPr="0030399D">
              <w:rPr>
                <w:rFonts w:ascii="Arial" w:hAnsi="Arial" w:cs="Arial"/>
                <w:b/>
                <w:i/>
                <w:lang w:val="en-CA"/>
              </w:rPr>
              <w:t>42.0</w:t>
            </w:r>
          </w:p>
        </w:tc>
      </w:tr>
    </w:tbl>
    <w:p w14:paraId="5A80ADC1" w14:textId="77777777" w:rsidR="00F66071" w:rsidRPr="0030399D" w:rsidRDefault="00F66071" w:rsidP="00F66071">
      <w:pPr>
        <w:pStyle w:val="ExhibitText"/>
        <w:rPr>
          <w:sz w:val="12"/>
          <w:szCs w:val="12"/>
          <w:lang w:val="en-CA"/>
        </w:rPr>
      </w:pPr>
    </w:p>
    <w:p w14:paraId="15969F2E" w14:textId="77777777" w:rsidR="00F66071" w:rsidRPr="0030399D" w:rsidRDefault="00F66071" w:rsidP="00F66071">
      <w:pPr>
        <w:pStyle w:val="Footnote"/>
        <w:rPr>
          <w:lang w:val="en-CA"/>
        </w:rPr>
      </w:pPr>
      <w:r w:rsidRPr="0030399D">
        <w:rPr>
          <w:lang w:val="en-CA"/>
        </w:rPr>
        <w:t xml:space="preserve">Note: *Highest public share of pharmaceutical spending (OECD-29 countries); **Weighted average: OECD-29 value included all other countries mentioned in the exhibit. </w:t>
      </w:r>
    </w:p>
    <w:p w14:paraId="4E6567ED" w14:textId="77777777" w:rsidR="00F66071" w:rsidRPr="0030399D" w:rsidRDefault="00F66071" w:rsidP="00F66071">
      <w:pPr>
        <w:pStyle w:val="Footnote"/>
        <w:rPr>
          <w:lang w:val="en-CA"/>
        </w:rPr>
      </w:pPr>
      <w:r w:rsidRPr="0030399D">
        <w:rPr>
          <w:lang w:val="en-CA"/>
        </w:rPr>
        <w:t>Source: Created by case authors based on data from OECD Data, “Pharmaceutical Spending,” OECD, accessed May 13, 2019, https://data.oecd.org/healthres/pharmaceutical-spending.htm#indicator-chart.</w:t>
      </w:r>
    </w:p>
    <w:p w14:paraId="2350BC20" w14:textId="77777777" w:rsidR="00F66071" w:rsidRPr="0030399D" w:rsidRDefault="00F66071" w:rsidP="00F66071">
      <w:pPr>
        <w:pStyle w:val="IVEYappTitel"/>
        <w:rPr>
          <w:noProof w:val="0"/>
          <w:sz w:val="12"/>
          <w:szCs w:val="12"/>
          <w:lang w:val="en-CA"/>
        </w:rPr>
      </w:pPr>
    </w:p>
    <w:p w14:paraId="6B4DE6F9" w14:textId="77777777" w:rsidR="00F66071" w:rsidRPr="0030399D" w:rsidRDefault="00F66071" w:rsidP="00F66071">
      <w:pPr>
        <w:pStyle w:val="IVEYappTitel"/>
        <w:rPr>
          <w:noProof w:val="0"/>
          <w:sz w:val="12"/>
          <w:szCs w:val="12"/>
          <w:lang w:val="en-CA"/>
        </w:rPr>
      </w:pPr>
    </w:p>
    <w:p w14:paraId="26A2C603" w14:textId="77777777" w:rsidR="00F66071" w:rsidRPr="0030399D" w:rsidRDefault="00F66071" w:rsidP="00F66071">
      <w:pPr>
        <w:pStyle w:val="IVEYappTitel"/>
        <w:rPr>
          <w:noProof w:val="0"/>
          <w:lang w:val="en-CA"/>
        </w:rPr>
      </w:pPr>
      <w:r w:rsidRPr="0030399D">
        <w:rPr>
          <w:noProof w:val="0"/>
          <w:lang w:val="en-CA"/>
        </w:rPr>
        <w:t>Exhibit 18: Revenues of the generics drugs segment of TOP 10 generics producers, 2016 [$ BN]</w:t>
      </w:r>
    </w:p>
    <w:p w14:paraId="4D9315C4" w14:textId="77777777" w:rsidR="00F66071" w:rsidRPr="0030399D" w:rsidRDefault="00F66071" w:rsidP="00F66071">
      <w:pPr>
        <w:pStyle w:val="IVEYappTitel"/>
        <w:rPr>
          <w:rFonts w:cs="Arial"/>
          <w:noProof w:val="0"/>
          <w:sz w:val="12"/>
          <w:szCs w:val="12"/>
          <w:lang w:val="en-CA"/>
        </w:rPr>
      </w:pPr>
    </w:p>
    <w:tbl>
      <w:tblPr>
        <w:tblStyle w:val="TableGrid"/>
        <w:tblW w:w="9805" w:type="dxa"/>
        <w:tblLayout w:type="fixed"/>
        <w:tblLook w:val="04A0" w:firstRow="1" w:lastRow="0" w:firstColumn="1" w:lastColumn="0" w:noHBand="0" w:noVBand="1"/>
      </w:tblPr>
      <w:tblGrid>
        <w:gridCol w:w="2875"/>
        <w:gridCol w:w="2340"/>
        <w:gridCol w:w="4590"/>
      </w:tblGrid>
      <w:tr w:rsidR="00F66071" w:rsidRPr="001813EA" w14:paraId="7F5BE5FA" w14:textId="77777777" w:rsidTr="007C129D">
        <w:trPr>
          <w:trHeight w:val="56"/>
        </w:trPr>
        <w:tc>
          <w:tcPr>
            <w:tcW w:w="2875" w:type="dxa"/>
            <w:shd w:val="clear" w:color="auto" w:fill="auto"/>
            <w:noWrap/>
            <w:hideMark/>
          </w:tcPr>
          <w:p w14:paraId="1EB6CE48" w14:textId="77777777" w:rsidR="00F66071" w:rsidRPr="001813EA" w:rsidRDefault="00F66071" w:rsidP="007C129D">
            <w:pPr>
              <w:jc w:val="center"/>
              <w:rPr>
                <w:rFonts w:ascii="Arial" w:hAnsi="Arial" w:cs="Arial"/>
                <w:b/>
                <w:sz w:val="18"/>
                <w:szCs w:val="18"/>
                <w:lang w:val="en-CA"/>
              </w:rPr>
            </w:pPr>
            <w:r w:rsidRPr="001813EA">
              <w:rPr>
                <w:rFonts w:ascii="Arial" w:hAnsi="Arial" w:cs="Arial"/>
                <w:b/>
                <w:sz w:val="18"/>
                <w:szCs w:val="18"/>
                <w:lang w:val="en-CA"/>
              </w:rPr>
              <w:t>Company Name</w:t>
            </w:r>
          </w:p>
        </w:tc>
        <w:tc>
          <w:tcPr>
            <w:tcW w:w="2340" w:type="dxa"/>
            <w:shd w:val="clear" w:color="auto" w:fill="auto"/>
            <w:hideMark/>
          </w:tcPr>
          <w:p w14:paraId="66145DF8" w14:textId="77777777" w:rsidR="00F66071" w:rsidRPr="001813EA" w:rsidRDefault="00F66071" w:rsidP="007C129D">
            <w:pPr>
              <w:jc w:val="center"/>
              <w:rPr>
                <w:rFonts w:ascii="Arial" w:hAnsi="Arial" w:cs="Arial"/>
                <w:b/>
                <w:sz w:val="18"/>
                <w:szCs w:val="18"/>
                <w:lang w:val="en-CA"/>
              </w:rPr>
            </w:pPr>
            <w:r w:rsidRPr="001813EA">
              <w:rPr>
                <w:rFonts w:ascii="Arial" w:hAnsi="Arial" w:cs="Arial"/>
                <w:b/>
                <w:sz w:val="18"/>
                <w:szCs w:val="18"/>
                <w:lang w:val="en-CA"/>
              </w:rPr>
              <w:t>Country of Origin</w:t>
            </w:r>
          </w:p>
        </w:tc>
        <w:tc>
          <w:tcPr>
            <w:tcW w:w="4590" w:type="dxa"/>
            <w:shd w:val="clear" w:color="auto" w:fill="auto"/>
            <w:noWrap/>
            <w:hideMark/>
          </w:tcPr>
          <w:p w14:paraId="3665EDAD" w14:textId="77777777" w:rsidR="00F66071" w:rsidRPr="001813EA" w:rsidRDefault="00F66071" w:rsidP="007C129D">
            <w:pPr>
              <w:jc w:val="center"/>
              <w:rPr>
                <w:rFonts w:ascii="Arial" w:hAnsi="Arial" w:cs="Arial"/>
                <w:b/>
                <w:sz w:val="18"/>
                <w:szCs w:val="18"/>
                <w:lang w:val="en-CA"/>
              </w:rPr>
            </w:pPr>
            <w:r w:rsidRPr="001813EA">
              <w:rPr>
                <w:rFonts w:ascii="Arial" w:hAnsi="Arial" w:cs="Arial"/>
                <w:b/>
                <w:sz w:val="18"/>
                <w:szCs w:val="18"/>
                <w:lang w:val="en-CA"/>
              </w:rPr>
              <w:t>Revenue “Generic Drugs” Segment ($ billion)</w:t>
            </w:r>
          </w:p>
        </w:tc>
      </w:tr>
      <w:tr w:rsidR="00F66071" w:rsidRPr="001813EA" w14:paraId="68A93C29" w14:textId="77777777" w:rsidTr="007C129D">
        <w:trPr>
          <w:trHeight w:val="56"/>
        </w:trPr>
        <w:tc>
          <w:tcPr>
            <w:tcW w:w="2875" w:type="dxa"/>
            <w:shd w:val="clear" w:color="auto" w:fill="auto"/>
            <w:noWrap/>
            <w:vAlign w:val="center"/>
          </w:tcPr>
          <w:p w14:paraId="0392A9C0"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Teva</w:t>
            </w:r>
          </w:p>
        </w:tc>
        <w:tc>
          <w:tcPr>
            <w:tcW w:w="2340" w:type="dxa"/>
            <w:shd w:val="clear" w:color="auto" w:fill="auto"/>
            <w:noWrap/>
            <w:vAlign w:val="center"/>
          </w:tcPr>
          <w:p w14:paraId="2C86DD07"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Israel</w:t>
            </w:r>
          </w:p>
        </w:tc>
        <w:tc>
          <w:tcPr>
            <w:tcW w:w="4590" w:type="dxa"/>
            <w:shd w:val="clear" w:color="auto" w:fill="auto"/>
            <w:noWrap/>
            <w:vAlign w:val="center"/>
          </w:tcPr>
          <w:p w14:paraId="4CDA2AD0"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9.9</w:t>
            </w:r>
          </w:p>
        </w:tc>
      </w:tr>
      <w:tr w:rsidR="00F66071" w:rsidRPr="001813EA" w14:paraId="1463D971" w14:textId="77777777" w:rsidTr="007C129D">
        <w:trPr>
          <w:trHeight w:val="56"/>
        </w:trPr>
        <w:tc>
          <w:tcPr>
            <w:tcW w:w="2875" w:type="dxa"/>
            <w:shd w:val="clear" w:color="auto" w:fill="auto"/>
            <w:noWrap/>
            <w:vAlign w:val="center"/>
          </w:tcPr>
          <w:p w14:paraId="3F75DF7D"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Mylan</w:t>
            </w:r>
          </w:p>
        </w:tc>
        <w:tc>
          <w:tcPr>
            <w:tcW w:w="2340" w:type="dxa"/>
            <w:shd w:val="clear" w:color="auto" w:fill="auto"/>
            <w:noWrap/>
            <w:vAlign w:val="center"/>
          </w:tcPr>
          <w:p w14:paraId="280B9C26"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Netherlands</w:t>
            </w:r>
          </w:p>
        </w:tc>
        <w:tc>
          <w:tcPr>
            <w:tcW w:w="4590" w:type="dxa"/>
            <w:shd w:val="clear" w:color="auto" w:fill="auto"/>
            <w:noWrap/>
            <w:vAlign w:val="center"/>
          </w:tcPr>
          <w:p w14:paraId="60721A32"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9.4</w:t>
            </w:r>
          </w:p>
        </w:tc>
      </w:tr>
      <w:tr w:rsidR="00F66071" w:rsidRPr="001813EA" w14:paraId="1A1FEEAE" w14:textId="77777777" w:rsidTr="007C129D">
        <w:trPr>
          <w:trHeight w:val="56"/>
        </w:trPr>
        <w:tc>
          <w:tcPr>
            <w:tcW w:w="2875" w:type="dxa"/>
            <w:shd w:val="clear" w:color="auto" w:fill="auto"/>
            <w:noWrap/>
            <w:vAlign w:val="center"/>
          </w:tcPr>
          <w:p w14:paraId="55997F65"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Sandoz (belongs to Novartis)</w:t>
            </w:r>
          </w:p>
        </w:tc>
        <w:tc>
          <w:tcPr>
            <w:tcW w:w="2340" w:type="dxa"/>
            <w:shd w:val="clear" w:color="auto" w:fill="auto"/>
            <w:noWrap/>
            <w:vAlign w:val="center"/>
          </w:tcPr>
          <w:p w14:paraId="7CB91A22"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Germany (Switzerland)</w:t>
            </w:r>
          </w:p>
        </w:tc>
        <w:tc>
          <w:tcPr>
            <w:tcW w:w="4590" w:type="dxa"/>
            <w:shd w:val="clear" w:color="auto" w:fill="auto"/>
            <w:noWrap/>
            <w:vAlign w:val="center"/>
          </w:tcPr>
          <w:p w14:paraId="642C7F63"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9.0</w:t>
            </w:r>
          </w:p>
        </w:tc>
      </w:tr>
      <w:tr w:rsidR="00F66071" w:rsidRPr="001813EA" w14:paraId="74994024" w14:textId="77777777" w:rsidTr="007C129D">
        <w:trPr>
          <w:trHeight w:val="56"/>
        </w:trPr>
        <w:tc>
          <w:tcPr>
            <w:tcW w:w="2875" w:type="dxa"/>
            <w:shd w:val="clear" w:color="auto" w:fill="auto"/>
            <w:noWrap/>
            <w:vAlign w:val="center"/>
          </w:tcPr>
          <w:p w14:paraId="56144A66"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Hospira (belongs to Pfizer)</w:t>
            </w:r>
          </w:p>
        </w:tc>
        <w:tc>
          <w:tcPr>
            <w:tcW w:w="2340" w:type="dxa"/>
            <w:shd w:val="clear" w:color="auto" w:fill="auto"/>
            <w:noWrap/>
            <w:vAlign w:val="center"/>
          </w:tcPr>
          <w:p w14:paraId="637705F1"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United States</w:t>
            </w:r>
          </w:p>
        </w:tc>
        <w:tc>
          <w:tcPr>
            <w:tcW w:w="4590" w:type="dxa"/>
            <w:shd w:val="clear" w:color="auto" w:fill="auto"/>
            <w:noWrap/>
            <w:vAlign w:val="center"/>
          </w:tcPr>
          <w:p w14:paraId="682BD50D"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4.6</w:t>
            </w:r>
          </w:p>
        </w:tc>
      </w:tr>
      <w:tr w:rsidR="00F66071" w:rsidRPr="001813EA" w14:paraId="3514E88E" w14:textId="77777777" w:rsidTr="007C129D">
        <w:trPr>
          <w:trHeight w:val="56"/>
        </w:trPr>
        <w:tc>
          <w:tcPr>
            <w:tcW w:w="2875" w:type="dxa"/>
            <w:shd w:val="clear" w:color="auto" w:fill="auto"/>
            <w:noWrap/>
            <w:vAlign w:val="center"/>
          </w:tcPr>
          <w:p w14:paraId="363E9EEA"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Allergan</w:t>
            </w:r>
          </w:p>
        </w:tc>
        <w:tc>
          <w:tcPr>
            <w:tcW w:w="2340" w:type="dxa"/>
            <w:shd w:val="clear" w:color="auto" w:fill="auto"/>
            <w:noWrap/>
            <w:vAlign w:val="center"/>
          </w:tcPr>
          <w:p w14:paraId="1B6337F9"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Ireland</w:t>
            </w:r>
          </w:p>
        </w:tc>
        <w:tc>
          <w:tcPr>
            <w:tcW w:w="4590" w:type="dxa"/>
            <w:shd w:val="clear" w:color="auto" w:fill="auto"/>
            <w:noWrap/>
            <w:vAlign w:val="center"/>
          </w:tcPr>
          <w:p w14:paraId="48671171"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4.5</w:t>
            </w:r>
          </w:p>
        </w:tc>
      </w:tr>
      <w:tr w:rsidR="00F66071" w:rsidRPr="001813EA" w14:paraId="580CEA07" w14:textId="77777777" w:rsidTr="007C129D">
        <w:trPr>
          <w:trHeight w:val="227"/>
        </w:trPr>
        <w:tc>
          <w:tcPr>
            <w:tcW w:w="2875" w:type="dxa"/>
            <w:shd w:val="clear" w:color="auto" w:fill="auto"/>
            <w:noWrap/>
            <w:vAlign w:val="center"/>
          </w:tcPr>
          <w:p w14:paraId="7E2A5484"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Sun Pharmaceutical</w:t>
            </w:r>
          </w:p>
        </w:tc>
        <w:tc>
          <w:tcPr>
            <w:tcW w:w="2340" w:type="dxa"/>
            <w:shd w:val="clear" w:color="auto" w:fill="auto"/>
            <w:noWrap/>
            <w:vAlign w:val="center"/>
          </w:tcPr>
          <w:p w14:paraId="38F9505A"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India</w:t>
            </w:r>
          </w:p>
        </w:tc>
        <w:tc>
          <w:tcPr>
            <w:tcW w:w="4590" w:type="dxa"/>
            <w:shd w:val="clear" w:color="auto" w:fill="auto"/>
            <w:noWrap/>
            <w:vAlign w:val="center"/>
          </w:tcPr>
          <w:p w14:paraId="4F8C6509"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3.6</w:t>
            </w:r>
          </w:p>
        </w:tc>
      </w:tr>
      <w:tr w:rsidR="00F66071" w:rsidRPr="001813EA" w14:paraId="6FC45AB5" w14:textId="77777777" w:rsidTr="007C129D">
        <w:trPr>
          <w:trHeight w:val="227"/>
        </w:trPr>
        <w:tc>
          <w:tcPr>
            <w:tcW w:w="2875" w:type="dxa"/>
            <w:shd w:val="clear" w:color="auto" w:fill="auto"/>
            <w:noWrap/>
            <w:vAlign w:val="center"/>
          </w:tcPr>
          <w:p w14:paraId="027AEDA2"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Fresenius Kabi</w:t>
            </w:r>
          </w:p>
        </w:tc>
        <w:tc>
          <w:tcPr>
            <w:tcW w:w="2340" w:type="dxa"/>
            <w:shd w:val="clear" w:color="auto" w:fill="auto"/>
            <w:noWrap/>
            <w:vAlign w:val="center"/>
          </w:tcPr>
          <w:p w14:paraId="40FB0039"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Germany</w:t>
            </w:r>
          </w:p>
        </w:tc>
        <w:tc>
          <w:tcPr>
            <w:tcW w:w="4590" w:type="dxa"/>
            <w:shd w:val="clear" w:color="auto" w:fill="auto"/>
            <w:noWrap/>
            <w:vAlign w:val="center"/>
          </w:tcPr>
          <w:p w14:paraId="7844502A"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2.8</w:t>
            </w:r>
          </w:p>
        </w:tc>
      </w:tr>
      <w:tr w:rsidR="00F66071" w:rsidRPr="001813EA" w14:paraId="4979C470" w14:textId="77777777" w:rsidTr="007C129D">
        <w:trPr>
          <w:trHeight w:val="227"/>
        </w:trPr>
        <w:tc>
          <w:tcPr>
            <w:tcW w:w="2875" w:type="dxa"/>
            <w:shd w:val="clear" w:color="auto" w:fill="auto"/>
            <w:noWrap/>
            <w:vAlign w:val="center"/>
          </w:tcPr>
          <w:p w14:paraId="5AD8D0E8"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Endo International (affiliated with DuPont Merck Pharmaceutical Company)</w:t>
            </w:r>
          </w:p>
        </w:tc>
        <w:tc>
          <w:tcPr>
            <w:tcW w:w="2340" w:type="dxa"/>
            <w:shd w:val="clear" w:color="auto" w:fill="auto"/>
            <w:noWrap/>
            <w:vAlign w:val="center"/>
          </w:tcPr>
          <w:p w14:paraId="4AD33790"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Ireland</w:t>
            </w:r>
          </w:p>
        </w:tc>
        <w:tc>
          <w:tcPr>
            <w:tcW w:w="4590" w:type="dxa"/>
            <w:shd w:val="clear" w:color="auto" w:fill="auto"/>
            <w:noWrap/>
            <w:vAlign w:val="center"/>
          </w:tcPr>
          <w:p w14:paraId="24075CA4"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2.6</w:t>
            </w:r>
          </w:p>
        </w:tc>
      </w:tr>
      <w:tr w:rsidR="00F66071" w:rsidRPr="001813EA" w14:paraId="4E3D4CBC" w14:textId="77777777" w:rsidTr="007C129D">
        <w:trPr>
          <w:trHeight w:val="227"/>
        </w:trPr>
        <w:tc>
          <w:tcPr>
            <w:tcW w:w="2875" w:type="dxa"/>
            <w:shd w:val="clear" w:color="auto" w:fill="auto"/>
            <w:noWrap/>
            <w:vAlign w:val="center"/>
          </w:tcPr>
          <w:p w14:paraId="5F71D3C1"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Lupin</w:t>
            </w:r>
          </w:p>
        </w:tc>
        <w:tc>
          <w:tcPr>
            <w:tcW w:w="2340" w:type="dxa"/>
            <w:shd w:val="clear" w:color="auto" w:fill="auto"/>
            <w:noWrap/>
            <w:vAlign w:val="center"/>
          </w:tcPr>
          <w:p w14:paraId="2CD56F80"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India</w:t>
            </w:r>
          </w:p>
        </w:tc>
        <w:tc>
          <w:tcPr>
            <w:tcW w:w="4590" w:type="dxa"/>
            <w:shd w:val="clear" w:color="auto" w:fill="auto"/>
            <w:noWrap/>
            <w:vAlign w:val="center"/>
          </w:tcPr>
          <w:p w14:paraId="132359EB"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2.5</w:t>
            </w:r>
          </w:p>
        </w:tc>
      </w:tr>
      <w:tr w:rsidR="00F66071" w:rsidRPr="001813EA" w14:paraId="58B67153" w14:textId="77777777" w:rsidTr="007C129D">
        <w:trPr>
          <w:trHeight w:val="227"/>
        </w:trPr>
        <w:tc>
          <w:tcPr>
            <w:tcW w:w="2875" w:type="dxa"/>
            <w:shd w:val="clear" w:color="auto" w:fill="auto"/>
            <w:noWrap/>
            <w:vAlign w:val="center"/>
          </w:tcPr>
          <w:p w14:paraId="20B5A343"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Zentiva (belongs to Sanofi)</w:t>
            </w:r>
          </w:p>
        </w:tc>
        <w:tc>
          <w:tcPr>
            <w:tcW w:w="2340" w:type="dxa"/>
            <w:shd w:val="clear" w:color="auto" w:fill="auto"/>
            <w:noWrap/>
            <w:vAlign w:val="center"/>
          </w:tcPr>
          <w:p w14:paraId="73450872"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France</w:t>
            </w:r>
          </w:p>
        </w:tc>
        <w:tc>
          <w:tcPr>
            <w:tcW w:w="4590" w:type="dxa"/>
            <w:shd w:val="clear" w:color="auto" w:fill="auto"/>
            <w:noWrap/>
            <w:vAlign w:val="center"/>
          </w:tcPr>
          <w:p w14:paraId="3A61E5B7"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2.0</w:t>
            </w:r>
          </w:p>
        </w:tc>
      </w:tr>
      <w:tr w:rsidR="00F66071" w:rsidRPr="001813EA" w14:paraId="284A6920" w14:textId="77777777" w:rsidTr="007C129D">
        <w:trPr>
          <w:trHeight w:val="227"/>
        </w:trPr>
        <w:tc>
          <w:tcPr>
            <w:tcW w:w="2875" w:type="dxa"/>
            <w:shd w:val="clear" w:color="auto" w:fill="auto"/>
            <w:noWrap/>
            <w:vAlign w:val="center"/>
          </w:tcPr>
          <w:p w14:paraId="6A2660CE"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Aspen Pharmacare</w:t>
            </w:r>
          </w:p>
        </w:tc>
        <w:tc>
          <w:tcPr>
            <w:tcW w:w="2340" w:type="dxa"/>
            <w:shd w:val="clear" w:color="auto" w:fill="auto"/>
            <w:noWrap/>
            <w:vAlign w:val="center"/>
          </w:tcPr>
          <w:p w14:paraId="5D5CAF01"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South Africa</w:t>
            </w:r>
          </w:p>
        </w:tc>
        <w:tc>
          <w:tcPr>
            <w:tcW w:w="4590" w:type="dxa"/>
            <w:shd w:val="clear" w:color="auto" w:fill="auto"/>
            <w:noWrap/>
            <w:vAlign w:val="center"/>
          </w:tcPr>
          <w:p w14:paraId="47B28FFB"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2.0</w:t>
            </w:r>
          </w:p>
        </w:tc>
      </w:tr>
      <w:tr w:rsidR="00F66071" w:rsidRPr="001813EA" w14:paraId="79F32F2A" w14:textId="77777777" w:rsidTr="007C129D">
        <w:trPr>
          <w:trHeight w:val="227"/>
        </w:trPr>
        <w:tc>
          <w:tcPr>
            <w:tcW w:w="2875" w:type="dxa"/>
            <w:shd w:val="clear" w:color="auto" w:fill="auto"/>
            <w:noWrap/>
            <w:vAlign w:val="center"/>
          </w:tcPr>
          <w:p w14:paraId="49AFBB67" w14:textId="77777777" w:rsidR="00F66071" w:rsidRPr="001813EA" w:rsidRDefault="00F66071" w:rsidP="007C129D">
            <w:pPr>
              <w:rPr>
                <w:rFonts w:ascii="Arial" w:hAnsi="Arial" w:cs="Arial"/>
                <w:sz w:val="18"/>
                <w:szCs w:val="18"/>
                <w:lang w:val="en-CA"/>
              </w:rPr>
            </w:pPr>
            <w:r w:rsidRPr="001813EA">
              <w:rPr>
                <w:rFonts w:ascii="Arial" w:hAnsi="Arial" w:cs="Arial"/>
                <w:sz w:val="18"/>
                <w:szCs w:val="18"/>
                <w:lang w:val="en-CA"/>
              </w:rPr>
              <w:t>Aurobindo Pharma</w:t>
            </w:r>
          </w:p>
        </w:tc>
        <w:tc>
          <w:tcPr>
            <w:tcW w:w="2340" w:type="dxa"/>
            <w:shd w:val="clear" w:color="auto" w:fill="auto"/>
            <w:noWrap/>
            <w:vAlign w:val="center"/>
          </w:tcPr>
          <w:p w14:paraId="75B542E5"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India</w:t>
            </w:r>
          </w:p>
        </w:tc>
        <w:tc>
          <w:tcPr>
            <w:tcW w:w="4590" w:type="dxa"/>
            <w:shd w:val="clear" w:color="auto" w:fill="auto"/>
            <w:noWrap/>
            <w:vAlign w:val="center"/>
          </w:tcPr>
          <w:p w14:paraId="45D43B49" w14:textId="77777777" w:rsidR="00F66071" w:rsidRPr="001813EA" w:rsidRDefault="00F66071" w:rsidP="007C129D">
            <w:pPr>
              <w:jc w:val="center"/>
              <w:rPr>
                <w:rFonts w:ascii="Arial" w:hAnsi="Arial" w:cs="Arial"/>
                <w:sz w:val="18"/>
                <w:szCs w:val="18"/>
                <w:lang w:val="en-CA"/>
              </w:rPr>
            </w:pPr>
            <w:r w:rsidRPr="001813EA">
              <w:rPr>
                <w:rFonts w:ascii="Arial" w:hAnsi="Arial" w:cs="Arial"/>
                <w:sz w:val="18"/>
                <w:szCs w:val="18"/>
                <w:lang w:val="en-CA"/>
              </w:rPr>
              <w:t>1.9</w:t>
            </w:r>
          </w:p>
        </w:tc>
      </w:tr>
    </w:tbl>
    <w:p w14:paraId="016561B0" w14:textId="77777777" w:rsidR="00F66071" w:rsidRPr="0030399D" w:rsidRDefault="00F66071" w:rsidP="00F66071">
      <w:pPr>
        <w:pStyle w:val="ExhibitText"/>
        <w:rPr>
          <w:sz w:val="12"/>
          <w:szCs w:val="12"/>
          <w:lang w:val="en-CA"/>
        </w:rPr>
      </w:pPr>
    </w:p>
    <w:p w14:paraId="39724158" w14:textId="4A13743B" w:rsidR="00F66071" w:rsidRPr="00F66071" w:rsidRDefault="00F66071" w:rsidP="00F66071">
      <w:pPr>
        <w:pStyle w:val="Footnote"/>
        <w:rPr>
          <w:lang w:val="en-CA"/>
        </w:rPr>
      </w:pPr>
      <w:r w:rsidRPr="0030399D">
        <w:rPr>
          <w:lang w:val="en-CA"/>
        </w:rPr>
        <w:t xml:space="preserve">Source: Eric Sagonowsky, “The top 15 generic drugmakers by 2016 revenue,” FiercePharma, May 16, 2017, accessed May 13, 2019, </w:t>
      </w:r>
      <w:r w:rsidR="00DC7877">
        <w:rPr>
          <w:lang w:val="en-CA"/>
        </w:rPr>
        <w:t>www</w:t>
      </w:r>
      <w:r w:rsidRPr="0030399D">
        <w:rPr>
          <w:lang w:val="en-CA"/>
        </w:rPr>
        <w:t>.fiercepharma.com/special-report/top-15-generic-drugmakers-2016</w:t>
      </w:r>
      <w:r>
        <w:rPr>
          <w:lang w:val="en-CA"/>
        </w:rPr>
        <w:t>.</w:t>
      </w:r>
      <w:r>
        <w:rPr>
          <w:lang w:val="en-CA"/>
        </w:rPr>
        <w:br w:type="page"/>
      </w:r>
    </w:p>
    <w:p w14:paraId="4FFCE0D4" w14:textId="242414D9" w:rsidR="00F66071" w:rsidRPr="00F66071" w:rsidRDefault="00F66071" w:rsidP="00F66071">
      <w:pPr>
        <w:pStyle w:val="ExhibitHeading"/>
        <w:jc w:val="left"/>
        <w:rPr>
          <w:rFonts w:ascii="Times New Roman" w:hAnsi="Times New Roman"/>
          <w:sz w:val="22"/>
          <w:lang w:val="en-CA"/>
        </w:rPr>
      </w:pPr>
      <w:r>
        <w:rPr>
          <w:lang w:val="en-CA"/>
        </w:rPr>
        <w:lastRenderedPageBreak/>
        <w:t>ENDNOTES</w:t>
      </w:r>
    </w:p>
    <w:sectPr w:rsidR="00F66071" w:rsidRPr="00F66071"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7C129D" w:rsidRDefault="007C129D" w:rsidP="00D75295">
      <w:r>
        <w:separator/>
      </w:r>
    </w:p>
  </w:endnote>
  <w:endnote w:type="continuationSeparator" w:id="0">
    <w:p w14:paraId="6B71D05B" w14:textId="77777777" w:rsidR="007C129D" w:rsidRDefault="007C129D" w:rsidP="00D75295">
      <w:r>
        <w:continuationSeparator/>
      </w:r>
    </w:p>
  </w:endnote>
  <w:endnote w:id="1">
    <w:p w14:paraId="5085B7C3" w14:textId="79FF28CE" w:rsidR="007C129D" w:rsidRPr="00DC7877" w:rsidRDefault="007C129D" w:rsidP="00DC7877">
      <w:pPr>
        <w:pStyle w:val="Footnote"/>
        <w:rPr>
          <w:sz w:val="16"/>
          <w:szCs w:val="16"/>
        </w:rPr>
      </w:pPr>
      <w:r w:rsidRPr="00DC7877">
        <w:rPr>
          <w:rStyle w:val="EndnoteReference"/>
          <w:sz w:val="16"/>
          <w:szCs w:val="16"/>
        </w:rPr>
        <w:endnoteRef/>
      </w:r>
      <w:r w:rsidRPr="00DC7877">
        <w:rPr>
          <w:sz w:val="16"/>
          <w:szCs w:val="16"/>
        </w:rPr>
        <w:t xml:space="preserve"> This case has been written on the basis of published sources only. Consequently, the interpretation and perspectives presented in this case are not necessarily those of Pfizer Inc. or any of its employees.</w:t>
      </w:r>
    </w:p>
  </w:endnote>
  <w:endnote w:id="2">
    <w:p w14:paraId="42B7F62F" w14:textId="77777777" w:rsidR="007C129D" w:rsidRPr="00DC7877" w:rsidRDefault="007C129D" w:rsidP="00936B38">
      <w:pPr>
        <w:pStyle w:val="EndnoteText"/>
        <w:jc w:val="both"/>
        <w:rPr>
          <w:rFonts w:ascii="Arial" w:hAnsi="Arial" w:cs="Arial"/>
          <w:sz w:val="16"/>
          <w:szCs w:val="16"/>
          <w:lang w:val="en-US"/>
        </w:rPr>
      </w:pPr>
      <w:r w:rsidRPr="00DC7877">
        <w:rPr>
          <w:rStyle w:val="EndnoteReference"/>
          <w:rFonts w:ascii="Arial" w:hAnsi="Arial" w:cs="Arial"/>
          <w:sz w:val="16"/>
          <w:szCs w:val="16"/>
        </w:rPr>
        <w:endnoteRef/>
      </w:r>
      <w:r w:rsidRPr="00DC7877">
        <w:rPr>
          <w:rFonts w:ascii="Arial" w:hAnsi="Arial" w:cs="Arial"/>
          <w:sz w:val="16"/>
          <w:szCs w:val="16"/>
        </w:rPr>
        <w:t xml:space="preserve"> Donald J. Trump (@realDonaldTrump</w:t>
      </w:r>
      <w:r w:rsidRPr="00DC7877">
        <w:rPr>
          <w:rStyle w:val="FootnoteChar"/>
          <w:rFonts w:eastAsia="Calibri"/>
          <w:sz w:val="16"/>
          <w:szCs w:val="16"/>
        </w:rPr>
        <w:t>), “Pfizer &amp; others should be ashamed that they have raised drug prices for no reason,”</w:t>
      </w:r>
      <w:r w:rsidRPr="00DC7877">
        <w:rPr>
          <w:rStyle w:val="FootnoteChar"/>
          <w:rFonts w:eastAsia="Calibri"/>
          <w:sz w:val="16"/>
          <w:szCs w:val="16"/>
          <w:lang w:val="en-US"/>
        </w:rPr>
        <w:t xml:space="preserve"> </w:t>
      </w:r>
      <w:r w:rsidRPr="00DC7877">
        <w:rPr>
          <w:rStyle w:val="FootnoteChar"/>
          <w:rFonts w:eastAsia="Calibri"/>
          <w:sz w:val="16"/>
          <w:szCs w:val="16"/>
        </w:rPr>
        <w:t>Twitter, July 9, 2018, accessed May 13,</w:t>
      </w:r>
      <w:r w:rsidRPr="00DC7877">
        <w:rPr>
          <w:rFonts w:ascii="Arial" w:hAnsi="Arial" w:cs="Arial"/>
          <w:sz w:val="16"/>
          <w:szCs w:val="16"/>
        </w:rPr>
        <w:t xml:space="preserve"> 2019, https://twitter.com/realdonaldtrump/status/1016368503723577344?lang=en</w:t>
      </w:r>
      <w:r w:rsidRPr="00DC7877">
        <w:rPr>
          <w:rFonts w:ascii="Arial" w:hAnsi="Arial" w:cs="Arial"/>
          <w:sz w:val="16"/>
          <w:szCs w:val="16"/>
          <w:lang w:val="en-US"/>
        </w:rPr>
        <w:t>.</w:t>
      </w:r>
    </w:p>
  </w:endnote>
  <w:endnote w:id="3">
    <w:p w14:paraId="266C429E" w14:textId="77777777" w:rsidR="007C129D" w:rsidRPr="0060783D" w:rsidRDefault="007C129D" w:rsidP="00936B38">
      <w:pPr>
        <w:pStyle w:val="EndnoteText"/>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w:t>
      </w:r>
      <w:r w:rsidRPr="0060783D">
        <w:rPr>
          <w:rStyle w:val="FussnotenZchn"/>
          <w:rFonts w:ascii="Arial" w:eastAsiaTheme="minorHAnsi" w:hAnsi="Arial" w:cs="Arial"/>
          <w:sz w:val="16"/>
          <w:szCs w:val="16"/>
        </w:rPr>
        <w:t>$ = USD; all dollar amounts are in US$ unless otherwise specified.</w:t>
      </w:r>
    </w:p>
  </w:endnote>
  <w:endnote w:id="4">
    <w:p w14:paraId="22445D33" w14:textId="77777777" w:rsidR="007C129D" w:rsidRPr="0060783D" w:rsidRDefault="007C129D" w:rsidP="00936B38">
      <w:pPr>
        <w:pStyle w:val="Footnote"/>
        <w:rPr>
          <w:sz w:val="16"/>
          <w:szCs w:val="16"/>
        </w:rPr>
      </w:pPr>
      <w:r w:rsidRPr="0060783D">
        <w:rPr>
          <w:sz w:val="16"/>
          <w:szCs w:val="16"/>
          <w:vertAlign w:val="superscript"/>
        </w:rPr>
        <w:endnoteRef/>
      </w:r>
      <w:r w:rsidRPr="0060783D">
        <w:rPr>
          <w:sz w:val="16"/>
          <w:szCs w:val="16"/>
        </w:rPr>
        <w:t xml:space="preserve"> The Economist, “FDA </w:t>
      </w:r>
      <w:r>
        <w:rPr>
          <w:sz w:val="16"/>
          <w:szCs w:val="16"/>
        </w:rPr>
        <w:t>W</w:t>
      </w:r>
      <w:r w:rsidRPr="0060783D">
        <w:rPr>
          <w:sz w:val="16"/>
          <w:szCs w:val="16"/>
        </w:rPr>
        <w:t xml:space="preserve">ants to </w:t>
      </w:r>
      <w:r>
        <w:rPr>
          <w:sz w:val="16"/>
          <w:szCs w:val="16"/>
        </w:rPr>
        <w:t>H</w:t>
      </w:r>
      <w:r w:rsidRPr="0060783D">
        <w:rPr>
          <w:sz w:val="16"/>
          <w:szCs w:val="16"/>
        </w:rPr>
        <w:t xml:space="preserve">elp </w:t>
      </w:r>
      <w:r>
        <w:rPr>
          <w:sz w:val="16"/>
          <w:szCs w:val="16"/>
        </w:rPr>
        <w:t>U</w:t>
      </w:r>
      <w:r w:rsidRPr="0060783D">
        <w:rPr>
          <w:sz w:val="16"/>
          <w:szCs w:val="16"/>
        </w:rPr>
        <w:t xml:space="preserve">nproductive </w:t>
      </w:r>
      <w:r>
        <w:rPr>
          <w:sz w:val="16"/>
          <w:szCs w:val="16"/>
        </w:rPr>
        <w:t>D</w:t>
      </w:r>
      <w:r w:rsidRPr="0060783D">
        <w:rPr>
          <w:sz w:val="16"/>
          <w:szCs w:val="16"/>
        </w:rPr>
        <w:t xml:space="preserve">rug </w:t>
      </w:r>
      <w:r>
        <w:rPr>
          <w:sz w:val="16"/>
          <w:szCs w:val="16"/>
        </w:rPr>
        <w:t>M</w:t>
      </w:r>
      <w:r w:rsidRPr="0060783D">
        <w:rPr>
          <w:sz w:val="16"/>
          <w:szCs w:val="16"/>
        </w:rPr>
        <w:t>akers</w:t>
      </w:r>
      <w:r w:rsidRPr="0060783D">
        <w:rPr>
          <w:i/>
          <w:sz w:val="16"/>
          <w:szCs w:val="16"/>
        </w:rPr>
        <w:t>,</w:t>
      </w:r>
      <w:r w:rsidRPr="0060783D">
        <w:rPr>
          <w:sz w:val="16"/>
          <w:szCs w:val="16"/>
        </w:rPr>
        <w:t>”</w:t>
      </w:r>
      <w:r w:rsidRPr="000242B7">
        <w:rPr>
          <w:sz w:val="16"/>
        </w:rPr>
        <w:t xml:space="preserve"> </w:t>
      </w:r>
      <w:r w:rsidRPr="0060783D">
        <w:rPr>
          <w:i/>
          <w:sz w:val="16"/>
          <w:szCs w:val="16"/>
        </w:rPr>
        <w:t>Economist</w:t>
      </w:r>
      <w:r w:rsidRPr="0060783D">
        <w:rPr>
          <w:sz w:val="16"/>
          <w:szCs w:val="16"/>
        </w:rPr>
        <w:t>, Ma</w:t>
      </w:r>
      <w:r>
        <w:rPr>
          <w:sz w:val="16"/>
          <w:szCs w:val="16"/>
        </w:rPr>
        <w:t>rch</w:t>
      </w:r>
      <w:r w:rsidRPr="0060783D">
        <w:rPr>
          <w:sz w:val="16"/>
          <w:szCs w:val="16"/>
        </w:rPr>
        <w:t xml:space="preserve"> 22, 2018, accessed May 28, 2019, www.economist.com/business/2018/03/22/fda-wants-to-help-unproductive-drugmakers</w:t>
      </w:r>
      <w:r w:rsidRPr="0060783D">
        <w:rPr>
          <w:i/>
          <w:sz w:val="16"/>
          <w:szCs w:val="16"/>
        </w:rPr>
        <w:t>.</w:t>
      </w:r>
    </w:p>
  </w:endnote>
  <w:endnote w:id="5">
    <w:p w14:paraId="33B8310A" w14:textId="77777777" w:rsidR="007C129D" w:rsidRPr="0060783D" w:rsidRDefault="007C129D" w:rsidP="00936B38">
      <w:pPr>
        <w:pStyle w:val="EndnoteText"/>
        <w:jc w:val="both"/>
        <w:rPr>
          <w:rFonts w:ascii="Arial" w:hAnsi="Arial" w:cs="Arial"/>
          <w:sz w:val="16"/>
          <w:szCs w:val="16"/>
        </w:rPr>
      </w:pPr>
      <w:r w:rsidRPr="0060783D">
        <w:rPr>
          <w:rStyle w:val="FussnotenZchn"/>
          <w:rFonts w:ascii="Arial" w:hAnsi="Arial" w:cs="Arial"/>
          <w:sz w:val="16"/>
          <w:szCs w:val="16"/>
          <w:vertAlign w:val="superscript"/>
        </w:rPr>
        <w:endnoteRef/>
      </w:r>
      <w:r w:rsidRPr="0060783D">
        <w:rPr>
          <w:rStyle w:val="FussnotenZchn"/>
          <w:rFonts w:ascii="Arial" w:hAnsi="Arial" w:cs="Arial"/>
          <w:sz w:val="16"/>
          <w:szCs w:val="16"/>
        </w:rPr>
        <w:t xml:space="preserve"> Ian Bremmer, “The </w:t>
      </w:r>
      <w:r>
        <w:rPr>
          <w:rStyle w:val="FussnotenZchn"/>
          <w:rFonts w:ascii="Arial" w:hAnsi="Arial" w:cs="Arial"/>
          <w:sz w:val="16"/>
          <w:szCs w:val="16"/>
          <w:lang w:val="en-CA"/>
        </w:rPr>
        <w:t>N</w:t>
      </w:r>
      <w:r w:rsidRPr="0060783D">
        <w:rPr>
          <w:rStyle w:val="FussnotenZchn"/>
          <w:rFonts w:ascii="Arial" w:hAnsi="Arial" w:cs="Arial"/>
          <w:sz w:val="16"/>
          <w:szCs w:val="16"/>
        </w:rPr>
        <w:t xml:space="preserve">ew </w:t>
      </w:r>
      <w:r>
        <w:rPr>
          <w:rStyle w:val="FussnotenZchn"/>
          <w:rFonts w:ascii="Arial" w:hAnsi="Arial" w:cs="Arial"/>
          <w:sz w:val="16"/>
          <w:szCs w:val="16"/>
          <w:lang w:val="en-CA"/>
        </w:rPr>
        <w:t>R</w:t>
      </w:r>
      <w:r w:rsidRPr="0060783D">
        <w:rPr>
          <w:rStyle w:val="FussnotenZchn"/>
          <w:rFonts w:ascii="Arial" w:hAnsi="Arial" w:cs="Arial"/>
          <w:sz w:val="16"/>
          <w:szCs w:val="16"/>
        </w:rPr>
        <w:t xml:space="preserve">ules of </w:t>
      </w:r>
      <w:r>
        <w:rPr>
          <w:rStyle w:val="FussnotenZchn"/>
          <w:rFonts w:ascii="Arial" w:hAnsi="Arial" w:cs="Arial"/>
          <w:sz w:val="16"/>
          <w:szCs w:val="16"/>
          <w:lang w:val="en-CA"/>
        </w:rPr>
        <w:t>G</w:t>
      </w:r>
      <w:r w:rsidRPr="0060783D">
        <w:rPr>
          <w:rStyle w:val="FussnotenZchn"/>
          <w:rFonts w:ascii="Arial" w:hAnsi="Arial" w:cs="Arial"/>
          <w:sz w:val="16"/>
          <w:szCs w:val="16"/>
        </w:rPr>
        <w:t xml:space="preserve">lobalization” </w:t>
      </w:r>
      <w:r w:rsidRPr="0060783D">
        <w:rPr>
          <w:rFonts w:ascii="Arial" w:hAnsi="Arial" w:cs="Arial"/>
          <w:i/>
          <w:iCs/>
          <w:sz w:val="16"/>
          <w:szCs w:val="16"/>
        </w:rPr>
        <w:t>Harvard Business Review</w:t>
      </w:r>
      <w:r>
        <w:rPr>
          <w:rFonts w:ascii="Arial" w:hAnsi="Arial" w:cs="Arial"/>
          <w:sz w:val="16"/>
          <w:szCs w:val="16"/>
        </w:rPr>
        <w:t xml:space="preserve">, January </w:t>
      </w:r>
      <w:r w:rsidRPr="0060783D">
        <w:rPr>
          <w:rFonts w:ascii="Arial" w:hAnsi="Arial" w:cs="Arial"/>
          <w:sz w:val="16"/>
          <w:szCs w:val="16"/>
        </w:rPr>
        <w:t>2014</w:t>
      </w:r>
      <w:r>
        <w:rPr>
          <w:rFonts w:ascii="Arial" w:hAnsi="Arial" w:cs="Arial"/>
          <w:sz w:val="16"/>
          <w:szCs w:val="16"/>
          <w:lang w:val="en-CA"/>
        </w:rPr>
        <w:t>,</w:t>
      </w:r>
      <w:r w:rsidRPr="000242B7">
        <w:rPr>
          <w:rFonts w:ascii="Arial" w:hAnsi="Arial"/>
          <w:sz w:val="16"/>
          <w:lang w:val="en-CA"/>
        </w:rPr>
        <w:t xml:space="preserve"> </w:t>
      </w:r>
      <w:r w:rsidRPr="0060783D">
        <w:rPr>
          <w:rFonts w:ascii="Arial" w:hAnsi="Arial" w:cs="Arial"/>
          <w:sz w:val="16"/>
          <w:szCs w:val="16"/>
        </w:rPr>
        <w:t>103</w:t>
      </w:r>
      <w:r w:rsidRPr="0060783D">
        <w:rPr>
          <w:spacing w:val="-2"/>
          <w:kern w:val="22"/>
          <w:sz w:val="16"/>
          <w:szCs w:val="16"/>
          <w:lang w:val="en-GB"/>
        </w:rPr>
        <w:t>–</w:t>
      </w:r>
      <w:r w:rsidRPr="0060783D">
        <w:rPr>
          <w:rFonts w:ascii="Arial" w:hAnsi="Arial" w:cs="Arial"/>
          <w:sz w:val="16"/>
          <w:szCs w:val="16"/>
        </w:rPr>
        <w:t>107</w:t>
      </w:r>
      <w:r>
        <w:rPr>
          <w:rFonts w:ascii="Arial" w:hAnsi="Arial" w:cs="Arial"/>
          <w:sz w:val="16"/>
          <w:szCs w:val="16"/>
          <w:lang w:val="en-CA"/>
        </w:rPr>
        <w:t xml:space="preserve">. Available from Ivey Publishing, product no. </w:t>
      </w:r>
      <w:r w:rsidRPr="00A01D28">
        <w:rPr>
          <w:rFonts w:ascii="Arial" w:hAnsi="Arial" w:cs="Arial"/>
          <w:sz w:val="16"/>
          <w:szCs w:val="16"/>
          <w:lang w:val="en-CA"/>
        </w:rPr>
        <w:t>R1401J</w:t>
      </w:r>
      <w:r w:rsidRPr="0060783D">
        <w:rPr>
          <w:rFonts w:ascii="Arial" w:hAnsi="Arial" w:cs="Arial"/>
          <w:sz w:val="16"/>
          <w:szCs w:val="16"/>
        </w:rPr>
        <w:t>.</w:t>
      </w:r>
    </w:p>
  </w:endnote>
  <w:endnote w:id="6">
    <w:p w14:paraId="3C3E195C" w14:textId="77777777" w:rsidR="007C129D" w:rsidRPr="0060783D" w:rsidRDefault="007C129D" w:rsidP="00936B38">
      <w:pPr>
        <w:pStyle w:val="EndnoteText"/>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OECD, “Health at a Glance 2017: OECD Indicators,” </w:t>
      </w:r>
      <w:r w:rsidRPr="0060783D">
        <w:rPr>
          <w:rFonts w:ascii="Arial" w:hAnsi="Arial" w:cs="Arial"/>
          <w:i/>
          <w:sz w:val="16"/>
          <w:szCs w:val="16"/>
        </w:rPr>
        <w:t>OECD</w:t>
      </w:r>
      <w:r w:rsidRPr="0060783D">
        <w:rPr>
          <w:rFonts w:ascii="Arial" w:eastAsiaTheme="minorHAnsi" w:hAnsi="Arial" w:cs="Arial"/>
          <w:sz w:val="16"/>
          <w:szCs w:val="16"/>
        </w:rPr>
        <w:t>, November 10, 2017, accessed</w:t>
      </w:r>
      <w:r w:rsidRPr="0060783D">
        <w:rPr>
          <w:rFonts w:ascii="Arial" w:hAnsi="Arial" w:cs="Arial"/>
          <w:sz w:val="16"/>
          <w:szCs w:val="16"/>
        </w:rPr>
        <w:t xml:space="preserve"> May 13, 2019, www.oecd.org/health/health-systems/health-at-a-glance-19991312.htm</w:t>
      </w:r>
      <w:r>
        <w:rPr>
          <w:rFonts w:ascii="Arial" w:hAnsi="Arial" w:cs="Arial"/>
          <w:sz w:val="16"/>
          <w:szCs w:val="16"/>
        </w:rPr>
        <w:t>;</w:t>
      </w:r>
      <w:r w:rsidRPr="009731F3">
        <w:rPr>
          <w:rFonts w:ascii="Arial" w:eastAsiaTheme="minorHAnsi" w:hAnsi="Arial" w:cs="Arial"/>
          <w:sz w:val="16"/>
          <w:szCs w:val="16"/>
        </w:rPr>
        <w:t xml:space="preserve"> </w:t>
      </w:r>
      <w:r w:rsidRPr="0060783D">
        <w:rPr>
          <w:rFonts w:ascii="Arial" w:eastAsiaTheme="minorHAnsi" w:hAnsi="Arial" w:cs="Arial"/>
          <w:sz w:val="16"/>
          <w:szCs w:val="16"/>
        </w:rPr>
        <w:t>Health expenses include</w:t>
      </w:r>
      <w:r>
        <w:rPr>
          <w:rFonts w:ascii="Arial" w:eastAsiaTheme="minorHAnsi" w:hAnsi="Arial" w:cs="Arial"/>
          <w:sz w:val="16"/>
          <w:szCs w:val="16"/>
          <w:lang w:val="en-CA"/>
        </w:rPr>
        <w:t>d</w:t>
      </w:r>
      <w:r w:rsidRPr="0060783D">
        <w:rPr>
          <w:rFonts w:ascii="Arial" w:eastAsiaTheme="minorHAnsi" w:hAnsi="Arial" w:cs="Arial"/>
          <w:sz w:val="16"/>
          <w:szCs w:val="16"/>
        </w:rPr>
        <w:t xml:space="preserve"> expenses for pharmaceuticals, inpatient care, outpatient care, long-term care, and collective services. The 16 per cent of pharmaceutical spending d</w:t>
      </w:r>
      <w:r>
        <w:rPr>
          <w:rFonts w:ascii="Arial" w:eastAsiaTheme="minorHAnsi" w:hAnsi="Arial" w:cs="Arial"/>
          <w:sz w:val="16"/>
          <w:szCs w:val="16"/>
        </w:rPr>
        <w:t>id</w:t>
      </w:r>
      <w:r w:rsidRPr="0060783D">
        <w:rPr>
          <w:rFonts w:ascii="Arial" w:eastAsiaTheme="minorHAnsi" w:hAnsi="Arial" w:cs="Arial"/>
          <w:sz w:val="16"/>
          <w:szCs w:val="16"/>
        </w:rPr>
        <w:t xml:space="preserve"> </w:t>
      </w:r>
      <w:r w:rsidRPr="0060783D">
        <w:rPr>
          <w:rFonts w:ascii="Arial" w:eastAsiaTheme="minorHAnsi" w:hAnsi="Arial" w:cs="Arial"/>
          <w:i/>
          <w:sz w:val="16"/>
          <w:szCs w:val="16"/>
        </w:rPr>
        <w:t xml:space="preserve">not </w:t>
      </w:r>
      <w:r w:rsidRPr="0060783D">
        <w:rPr>
          <w:rFonts w:ascii="Arial" w:eastAsiaTheme="minorHAnsi" w:hAnsi="Arial" w:cs="Arial"/>
          <w:sz w:val="16"/>
          <w:szCs w:val="16"/>
        </w:rPr>
        <w:t xml:space="preserve">account </w:t>
      </w:r>
      <w:r>
        <w:rPr>
          <w:rFonts w:ascii="Arial" w:eastAsiaTheme="minorHAnsi" w:hAnsi="Arial" w:cs="Arial"/>
          <w:sz w:val="16"/>
          <w:szCs w:val="16"/>
        </w:rPr>
        <w:t xml:space="preserve">for </w:t>
      </w:r>
      <w:r w:rsidRPr="0060783D">
        <w:rPr>
          <w:rFonts w:ascii="Arial" w:eastAsiaTheme="minorHAnsi" w:hAnsi="Arial" w:cs="Arial"/>
          <w:sz w:val="16"/>
          <w:szCs w:val="16"/>
        </w:rPr>
        <w:t>spending on pharmaceuticals in hospitals.</w:t>
      </w:r>
    </w:p>
  </w:endnote>
  <w:endnote w:id="7">
    <w:p w14:paraId="355FB843" w14:textId="77777777" w:rsidR="007C129D" w:rsidRPr="0060783D" w:rsidRDefault="007C129D" w:rsidP="00936B38">
      <w:pPr>
        <w:pStyle w:val="Fussnoten"/>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w:t>
      </w:r>
      <w:r>
        <w:rPr>
          <w:rFonts w:ascii="Arial" w:hAnsi="Arial" w:cs="Arial"/>
          <w:sz w:val="16"/>
          <w:szCs w:val="16"/>
        </w:rPr>
        <w:t xml:space="preserve">The terms </w:t>
      </w:r>
      <w:r w:rsidRPr="0060783D">
        <w:rPr>
          <w:rFonts w:ascii="Arial" w:hAnsi="Arial" w:cs="Arial"/>
          <w:sz w:val="16"/>
          <w:szCs w:val="16"/>
        </w:rPr>
        <w:t>“</w:t>
      </w:r>
      <w:r w:rsidRPr="00A67A88">
        <w:rPr>
          <w:rFonts w:ascii="Arial" w:hAnsi="Arial"/>
          <w:sz w:val="16"/>
        </w:rPr>
        <w:t>pharmaceuticals</w:t>
      </w:r>
      <w:r w:rsidRPr="0060783D">
        <w:rPr>
          <w:rFonts w:ascii="Arial" w:hAnsi="Arial" w:cs="Arial"/>
          <w:sz w:val="16"/>
          <w:szCs w:val="16"/>
        </w:rPr>
        <w:t>,” “</w:t>
      </w:r>
      <w:r w:rsidRPr="00A67A88">
        <w:rPr>
          <w:rFonts w:ascii="Arial" w:hAnsi="Arial"/>
          <w:sz w:val="16"/>
        </w:rPr>
        <w:t>pharmaceutical products</w:t>
      </w:r>
      <w:r w:rsidRPr="0060783D">
        <w:rPr>
          <w:rFonts w:ascii="Arial" w:hAnsi="Arial" w:cs="Arial"/>
          <w:sz w:val="16"/>
          <w:szCs w:val="16"/>
        </w:rPr>
        <w:t>,” and “</w:t>
      </w:r>
      <w:r w:rsidRPr="00A67A88">
        <w:rPr>
          <w:rFonts w:ascii="Arial" w:hAnsi="Arial"/>
          <w:sz w:val="16"/>
        </w:rPr>
        <w:t>drugs</w:t>
      </w:r>
      <w:r w:rsidRPr="0060783D">
        <w:rPr>
          <w:rFonts w:ascii="Arial" w:hAnsi="Arial" w:cs="Arial"/>
          <w:sz w:val="16"/>
          <w:szCs w:val="16"/>
        </w:rPr>
        <w:t>” are used interchangeably.</w:t>
      </w:r>
    </w:p>
  </w:endnote>
  <w:endnote w:id="8">
    <w:p w14:paraId="342CB403" w14:textId="77777777" w:rsidR="007C129D" w:rsidRPr="00936B38" w:rsidRDefault="007C129D" w:rsidP="00936B38">
      <w:pPr>
        <w:pStyle w:val="SourceBeschriftung"/>
        <w:spacing w:before="0" w:after="0" w:line="240" w:lineRule="auto"/>
        <w:jc w:val="both"/>
        <w:rPr>
          <w:rFonts w:ascii="Arial" w:hAnsi="Arial" w:cs="Arial"/>
          <w:spacing w:val="-6"/>
          <w:kern w:val="16"/>
          <w:sz w:val="16"/>
          <w:szCs w:val="16"/>
        </w:rPr>
      </w:pPr>
      <w:r w:rsidRPr="00936B38">
        <w:rPr>
          <w:spacing w:val="-6"/>
          <w:kern w:val="16"/>
          <w:sz w:val="16"/>
          <w:szCs w:val="16"/>
          <w:vertAlign w:val="superscript"/>
        </w:rPr>
        <w:endnoteRef/>
      </w:r>
      <w:r w:rsidRPr="00936B38">
        <w:rPr>
          <w:rFonts w:ascii="Arial" w:hAnsi="Arial" w:cs="Arial"/>
          <w:spacing w:val="-6"/>
          <w:kern w:val="16"/>
          <w:sz w:val="16"/>
          <w:szCs w:val="16"/>
        </w:rPr>
        <w:t xml:space="preserve"> Ralf Otto, Alberto Santagostino, and Ulf Schrader, “Rapid</w:t>
      </w:r>
      <w:r w:rsidRPr="00936B38">
        <w:rPr>
          <w:rFonts w:ascii="Arial" w:hAnsi="Arial" w:cs="Arial"/>
          <w:spacing w:val="-6"/>
          <w:kern w:val="16"/>
          <w:sz w:val="16"/>
          <w:szCs w:val="16"/>
          <w:lang w:val="en"/>
        </w:rPr>
        <w:t xml:space="preserve"> Growth in Biopharma: Challenges and Opportunities,</w:t>
      </w:r>
      <w:r w:rsidRPr="00936B38">
        <w:rPr>
          <w:rFonts w:ascii="Arial" w:hAnsi="Arial" w:cs="Arial"/>
          <w:spacing w:val="-6"/>
          <w:kern w:val="16"/>
          <w:sz w:val="16"/>
          <w:szCs w:val="16"/>
        </w:rPr>
        <w:t xml:space="preserve">” </w:t>
      </w:r>
      <w:r w:rsidRPr="00936B38">
        <w:rPr>
          <w:rFonts w:ascii="Arial" w:hAnsi="Arial" w:cs="Arial"/>
          <w:i/>
          <w:spacing w:val="-6"/>
          <w:kern w:val="16"/>
          <w:sz w:val="16"/>
          <w:szCs w:val="16"/>
        </w:rPr>
        <w:t>McKinsey Quarterly</w:t>
      </w:r>
      <w:r w:rsidRPr="00936B38">
        <w:rPr>
          <w:rFonts w:ascii="Arial" w:hAnsi="Arial" w:cs="Arial"/>
          <w:spacing w:val="-6"/>
          <w:kern w:val="16"/>
          <w:sz w:val="16"/>
          <w:szCs w:val="16"/>
        </w:rPr>
        <w:t>, December 2014, accessed May 13, 2019, www.mckinsey.com/industries/pharmaceuticals-and-medical-products/our-insights/rapid-growth-in-biopharma.</w:t>
      </w:r>
    </w:p>
  </w:endnote>
  <w:endnote w:id="9">
    <w:p w14:paraId="3202B07B" w14:textId="77777777" w:rsidR="007C129D" w:rsidRPr="0060783D" w:rsidRDefault="007C129D" w:rsidP="00936B38">
      <w:pPr>
        <w:pStyle w:val="Footnote"/>
        <w:rPr>
          <w:sz w:val="16"/>
          <w:szCs w:val="16"/>
          <w:lang w:eastAsia="de-DE"/>
        </w:rPr>
      </w:pPr>
      <w:r w:rsidRPr="0060783D">
        <w:rPr>
          <w:rStyle w:val="EndnoteReference"/>
          <w:sz w:val="16"/>
          <w:szCs w:val="16"/>
        </w:rPr>
        <w:endnoteRef/>
      </w:r>
      <w:r w:rsidRPr="0060783D">
        <w:rPr>
          <w:sz w:val="16"/>
          <w:szCs w:val="16"/>
        </w:rPr>
        <w:t xml:space="preserve"> The Economist, “A </w:t>
      </w:r>
      <w:r>
        <w:rPr>
          <w:sz w:val="16"/>
          <w:szCs w:val="16"/>
        </w:rPr>
        <w:t>D</w:t>
      </w:r>
      <w:r w:rsidRPr="0060783D">
        <w:rPr>
          <w:sz w:val="16"/>
          <w:szCs w:val="16"/>
        </w:rPr>
        <w:t xml:space="preserve">igital </w:t>
      </w:r>
      <w:r>
        <w:rPr>
          <w:sz w:val="16"/>
          <w:szCs w:val="16"/>
        </w:rPr>
        <w:t>R</w:t>
      </w:r>
      <w:r w:rsidRPr="0060783D">
        <w:rPr>
          <w:sz w:val="16"/>
          <w:szCs w:val="16"/>
        </w:rPr>
        <w:t xml:space="preserve">evolution in </w:t>
      </w:r>
      <w:r>
        <w:rPr>
          <w:sz w:val="16"/>
          <w:szCs w:val="16"/>
        </w:rPr>
        <w:t>H</w:t>
      </w:r>
      <w:r w:rsidRPr="0060783D">
        <w:rPr>
          <w:sz w:val="16"/>
          <w:szCs w:val="16"/>
        </w:rPr>
        <w:t xml:space="preserve">ealth </w:t>
      </w:r>
      <w:r>
        <w:rPr>
          <w:sz w:val="16"/>
          <w:szCs w:val="16"/>
        </w:rPr>
        <w:t>C</w:t>
      </w:r>
      <w:r w:rsidRPr="0060783D">
        <w:rPr>
          <w:sz w:val="16"/>
          <w:szCs w:val="16"/>
        </w:rPr>
        <w:t xml:space="preserve">are is </w:t>
      </w:r>
      <w:r>
        <w:rPr>
          <w:sz w:val="16"/>
          <w:szCs w:val="16"/>
        </w:rPr>
        <w:t>S</w:t>
      </w:r>
      <w:r w:rsidRPr="0060783D">
        <w:rPr>
          <w:sz w:val="16"/>
          <w:szCs w:val="16"/>
        </w:rPr>
        <w:t xml:space="preserve">peeding </w:t>
      </w:r>
      <w:r>
        <w:rPr>
          <w:sz w:val="16"/>
          <w:szCs w:val="16"/>
        </w:rPr>
        <w:t>U</w:t>
      </w:r>
      <w:r w:rsidRPr="0060783D">
        <w:rPr>
          <w:sz w:val="16"/>
          <w:szCs w:val="16"/>
        </w:rPr>
        <w:t>p,”</w:t>
      </w:r>
      <w:r w:rsidRPr="000242B7">
        <w:rPr>
          <w:sz w:val="16"/>
        </w:rPr>
        <w:t xml:space="preserve"> </w:t>
      </w:r>
      <w:r w:rsidRPr="0060783D">
        <w:rPr>
          <w:i/>
          <w:sz w:val="16"/>
          <w:szCs w:val="16"/>
        </w:rPr>
        <w:t>Economist</w:t>
      </w:r>
      <w:r w:rsidRPr="0060783D">
        <w:rPr>
          <w:sz w:val="16"/>
          <w:szCs w:val="16"/>
        </w:rPr>
        <w:t>, March 2, 2017, accessed May 28, 2019, www.economist.com/business/2017/03/02/a-digital-revolution-in-health-care-is-speeding-up.</w:t>
      </w:r>
    </w:p>
  </w:endnote>
  <w:endnote w:id="10">
    <w:p w14:paraId="2C392CE9" w14:textId="77777777" w:rsidR="007C129D" w:rsidRPr="00936B38" w:rsidRDefault="007C129D" w:rsidP="00936B38">
      <w:pPr>
        <w:jc w:val="both"/>
        <w:rPr>
          <w:rFonts w:ascii="Arial" w:hAnsi="Arial" w:cs="Arial"/>
          <w:spacing w:val="-6"/>
          <w:kern w:val="16"/>
          <w:sz w:val="16"/>
          <w:szCs w:val="16"/>
        </w:rPr>
      </w:pPr>
      <w:r w:rsidRPr="00936B38">
        <w:rPr>
          <w:rFonts w:ascii="Arial" w:eastAsiaTheme="minorHAnsi" w:hAnsi="Arial" w:cs="Arial"/>
          <w:spacing w:val="-6"/>
          <w:kern w:val="16"/>
          <w:sz w:val="16"/>
          <w:szCs w:val="16"/>
          <w:vertAlign w:val="superscript"/>
        </w:rPr>
        <w:endnoteRef/>
      </w:r>
      <w:r w:rsidRPr="00936B38">
        <w:rPr>
          <w:rFonts w:ascii="Arial" w:eastAsiaTheme="minorHAnsi" w:hAnsi="Arial" w:cs="Arial"/>
          <w:spacing w:val="-6"/>
          <w:kern w:val="16"/>
          <w:sz w:val="16"/>
          <w:szCs w:val="16"/>
        </w:rPr>
        <w:t xml:space="preserve"> Amit Agarwal, Julio Dreszer, and Jean Mina, “What’s Next for Pharma in Emerging Markets?,” </w:t>
      </w:r>
      <w:r w:rsidRPr="00936B38">
        <w:rPr>
          <w:rFonts w:ascii="Arial" w:eastAsiaTheme="minorHAnsi" w:hAnsi="Arial" w:cs="Arial"/>
          <w:i/>
          <w:spacing w:val="-6"/>
          <w:kern w:val="16"/>
          <w:sz w:val="16"/>
          <w:szCs w:val="16"/>
        </w:rPr>
        <w:t>McKinsey Quarterly</w:t>
      </w:r>
      <w:r w:rsidRPr="00936B38">
        <w:rPr>
          <w:rFonts w:ascii="Arial" w:eastAsiaTheme="minorHAnsi" w:hAnsi="Arial" w:cs="Arial"/>
          <w:spacing w:val="-6"/>
          <w:kern w:val="16"/>
          <w:sz w:val="16"/>
          <w:szCs w:val="16"/>
        </w:rPr>
        <w:t xml:space="preserve">, June 2017, accessed May 13, 2019, www.mckinsey.com/industries/pharmaceuticals-and-medical-products/our-insights/whats-next-for-pharma-in-emerging-markets. </w:t>
      </w:r>
    </w:p>
  </w:endnote>
  <w:endnote w:id="11">
    <w:p w14:paraId="287CB266" w14:textId="77777777" w:rsidR="007C129D" w:rsidRPr="0060783D" w:rsidRDefault="007C129D" w:rsidP="00936B38">
      <w:pPr>
        <w:pStyle w:val="Fussnoten"/>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The OTC market </w:t>
      </w:r>
      <w:r>
        <w:rPr>
          <w:rFonts w:ascii="Arial" w:hAnsi="Arial" w:cs="Arial"/>
          <w:sz w:val="16"/>
          <w:szCs w:val="16"/>
        </w:rPr>
        <w:t>wa</w:t>
      </w:r>
      <w:r w:rsidRPr="0060783D">
        <w:rPr>
          <w:rFonts w:ascii="Arial" w:hAnsi="Arial" w:cs="Arial"/>
          <w:sz w:val="16"/>
          <w:szCs w:val="16"/>
        </w:rPr>
        <w:t xml:space="preserve">s comparable to the consumer goods market and </w:t>
      </w:r>
      <w:r>
        <w:rPr>
          <w:rFonts w:ascii="Arial" w:hAnsi="Arial" w:cs="Arial"/>
          <w:sz w:val="16"/>
          <w:szCs w:val="16"/>
        </w:rPr>
        <w:t>wa</w:t>
      </w:r>
      <w:r w:rsidRPr="0060783D">
        <w:rPr>
          <w:rFonts w:ascii="Arial" w:hAnsi="Arial" w:cs="Arial"/>
          <w:sz w:val="16"/>
          <w:szCs w:val="16"/>
        </w:rPr>
        <w:t>s often presented as such in the annual reports and financial statements of pharmaceutical firms.</w:t>
      </w:r>
    </w:p>
  </w:endnote>
  <w:endnote w:id="12">
    <w:p w14:paraId="52D4BF08" w14:textId="77777777" w:rsidR="007C129D" w:rsidRPr="00936B38" w:rsidRDefault="007C129D" w:rsidP="00936B38">
      <w:pPr>
        <w:jc w:val="both"/>
        <w:rPr>
          <w:rFonts w:ascii="Arial" w:hAnsi="Arial" w:cs="Arial"/>
          <w:sz w:val="16"/>
          <w:szCs w:val="16"/>
        </w:rPr>
      </w:pPr>
      <w:r w:rsidRPr="00936B38">
        <w:rPr>
          <w:rStyle w:val="EndnoteReference"/>
          <w:rFonts w:ascii="Arial" w:hAnsi="Arial" w:cs="Arial"/>
          <w:sz w:val="16"/>
          <w:szCs w:val="16"/>
        </w:rPr>
        <w:endnoteRef/>
      </w:r>
      <w:r w:rsidRPr="00936B38">
        <w:rPr>
          <w:rFonts w:ascii="Arial" w:hAnsi="Arial" w:cs="Arial"/>
          <w:sz w:val="16"/>
          <w:szCs w:val="16"/>
        </w:rPr>
        <w:t xml:space="preserve"> Within-patent competition was erosion of innovative pharmaceutical companies’ returns by generic competition after patent expiry; Between-patent competition was the result of active competitive forces during the life of a patent, which allowed competitors to offer similar products under different patents. </w:t>
      </w:r>
    </w:p>
  </w:endnote>
  <w:endnote w:id="13">
    <w:p w14:paraId="46B176CA" w14:textId="6A46319E" w:rsidR="007C129D" w:rsidRPr="0060783D" w:rsidRDefault="007C129D" w:rsidP="00936B38">
      <w:pPr>
        <w:pStyle w:val="Footnote"/>
        <w:rPr>
          <w:sz w:val="16"/>
          <w:szCs w:val="16"/>
        </w:rPr>
      </w:pPr>
      <w:r w:rsidRPr="0060783D">
        <w:rPr>
          <w:rStyle w:val="EndnoteReference"/>
          <w:sz w:val="16"/>
          <w:szCs w:val="16"/>
        </w:rPr>
        <w:endnoteRef/>
      </w:r>
      <w:r>
        <w:rPr>
          <w:sz w:val="16"/>
          <w:szCs w:val="16"/>
        </w:rPr>
        <w:t xml:space="preserve">  The Economist, “Going L</w:t>
      </w:r>
      <w:r w:rsidRPr="0060783D">
        <w:rPr>
          <w:sz w:val="16"/>
          <w:szCs w:val="16"/>
        </w:rPr>
        <w:t>arge,”</w:t>
      </w:r>
      <w:r>
        <w:rPr>
          <w:sz w:val="16"/>
        </w:rPr>
        <w:t> </w:t>
      </w:r>
      <w:r w:rsidRPr="0060783D">
        <w:rPr>
          <w:i/>
          <w:sz w:val="16"/>
          <w:szCs w:val="16"/>
        </w:rPr>
        <w:t>Economist</w:t>
      </w:r>
      <w:r>
        <w:rPr>
          <w:sz w:val="16"/>
          <w:szCs w:val="16"/>
        </w:rPr>
        <w:t>, December 30, 2014, accessed May 28, 2019, </w:t>
      </w:r>
      <w:r w:rsidRPr="0060783D">
        <w:rPr>
          <w:sz w:val="16"/>
          <w:szCs w:val="16"/>
        </w:rPr>
        <w:t>www.economist.com/business/2014/12/30/going-large; and Otto, Santagostino, and Schrader, op. cit.</w:t>
      </w:r>
    </w:p>
  </w:endnote>
  <w:endnote w:id="14">
    <w:p w14:paraId="2126F7E7" w14:textId="77777777" w:rsidR="007C129D" w:rsidRPr="0060783D" w:rsidRDefault="007C129D" w:rsidP="00936B38">
      <w:pPr>
        <w:pStyle w:val="Fussnote"/>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Pfizer use</w:t>
      </w:r>
      <w:r>
        <w:rPr>
          <w:rFonts w:ascii="Arial" w:hAnsi="Arial" w:cs="Arial"/>
          <w:sz w:val="16"/>
          <w:szCs w:val="16"/>
        </w:rPr>
        <w:t xml:space="preserve">d </w:t>
      </w:r>
      <w:r w:rsidRPr="0060783D">
        <w:rPr>
          <w:rFonts w:ascii="Arial" w:hAnsi="Arial" w:cs="Arial"/>
          <w:sz w:val="16"/>
          <w:szCs w:val="16"/>
        </w:rPr>
        <w:t xml:space="preserve">direct channels (e.g., sales representatives, promotional meetings, journals, website advertisements) as wells as indirect </w:t>
      </w:r>
      <w:r>
        <w:rPr>
          <w:rFonts w:ascii="Arial" w:hAnsi="Arial" w:cs="Arial"/>
          <w:sz w:val="16"/>
          <w:szCs w:val="16"/>
        </w:rPr>
        <w:t>channels</w:t>
      </w:r>
      <w:r w:rsidRPr="0060783D">
        <w:rPr>
          <w:rFonts w:ascii="Arial" w:hAnsi="Arial" w:cs="Arial"/>
          <w:sz w:val="16"/>
          <w:szCs w:val="16"/>
        </w:rPr>
        <w:t xml:space="preserve"> (e.g., advocacy groups, medical education) to influence prescribers. </w:t>
      </w:r>
    </w:p>
  </w:endnote>
  <w:endnote w:id="15">
    <w:p w14:paraId="6F012E8F" w14:textId="77777777" w:rsidR="007C129D" w:rsidRPr="0060783D" w:rsidRDefault="007C129D" w:rsidP="00936B38">
      <w:pPr>
        <w:pStyle w:val="Footnote"/>
        <w:rPr>
          <w:sz w:val="16"/>
          <w:szCs w:val="16"/>
        </w:rPr>
      </w:pPr>
      <w:r w:rsidRPr="0060783D">
        <w:rPr>
          <w:rStyle w:val="EndnoteReference"/>
          <w:sz w:val="16"/>
          <w:szCs w:val="16"/>
        </w:rPr>
        <w:endnoteRef/>
      </w:r>
      <w:r w:rsidRPr="0060783D">
        <w:rPr>
          <w:sz w:val="16"/>
          <w:szCs w:val="16"/>
        </w:rPr>
        <w:t xml:space="preserve"> The Economist, “The </w:t>
      </w:r>
      <w:r>
        <w:rPr>
          <w:sz w:val="16"/>
          <w:szCs w:val="16"/>
        </w:rPr>
        <w:t>A</w:t>
      </w:r>
      <w:r w:rsidRPr="0060783D">
        <w:rPr>
          <w:sz w:val="16"/>
          <w:szCs w:val="16"/>
        </w:rPr>
        <w:t xml:space="preserve">rms </w:t>
      </w:r>
      <w:r>
        <w:rPr>
          <w:sz w:val="16"/>
          <w:szCs w:val="16"/>
        </w:rPr>
        <w:t>R</w:t>
      </w:r>
      <w:r w:rsidRPr="0060783D">
        <w:rPr>
          <w:sz w:val="16"/>
          <w:szCs w:val="16"/>
        </w:rPr>
        <w:t>ace,”</w:t>
      </w:r>
      <w:r w:rsidRPr="000242B7">
        <w:rPr>
          <w:sz w:val="16"/>
        </w:rPr>
        <w:t xml:space="preserve"> </w:t>
      </w:r>
      <w:r w:rsidRPr="0060783D">
        <w:rPr>
          <w:i/>
          <w:color w:val="000000" w:themeColor="text1"/>
          <w:sz w:val="16"/>
          <w:szCs w:val="16"/>
        </w:rPr>
        <w:t>Economist</w:t>
      </w:r>
      <w:r w:rsidRPr="0060783D">
        <w:rPr>
          <w:color w:val="000000" w:themeColor="text1"/>
          <w:sz w:val="16"/>
          <w:szCs w:val="16"/>
        </w:rPr>
        <w:t>, October 2</w:t>
      </w:r>
      <w:r>
        <w:rPr>
          <w:color w:val="000000" w:themeColor="text1"/>
          <w:sz w:val="16"/>
          <w:szCs w:val="16"/>
        </w:rPr>
        <w:t>2</w:t>
      </w:r>
      <w:r w:rsidRPr="0060783D">
        <w:rPr>
          <w:color w:val="000000" w:themeColor="text1"/>
          <w:sz w:val="16"/>
          <w:szCs w:val="16"/>
        </w:rPr>
        <w:t xml:space="preserve">, 2005, accessed May 28, 2019, </w:t>
      </w:r>
      <w:r w:rsidRPr="0060783D">
        <w:rPr>
          <w:sz w:val="16"/>
          <w:szCs w:val="16"/>
        </w:rPr>
        <w:t>www.economist.com/special-report/2005/10/22/the-arms-race</w:t>
      </w:r>
      <w:r w:rsidRPr="0060783D">
        <w:rPr>
          <w:color w:val="000000" w:themeColor="text1"/>
          <w:sz w:val="16"/>
          <w:szCs w:val="16"/>
        </w:rPr>
        <w:t>.</w:t>
      </w:r>
    </w:p>
  </w:endnote>
  <w:endnote w:id="16">
    <w:p w14:paraId="1B641565" w14:textId="77777777" w:rsidR="007C129D" w:rsidRPr="0060783D" w:rsidRDefault="007C129D" w:rsidP="00936B38">
      <w:pPr>
        <w:pStyle w:val="Footnote"/>
        <w:rPr>
          <w:sz w:val="16"/>
          <w:szCs w:val="16"/>
        </w:rPr>
      </w:pPr>
      <w:r w:rsidRPr="0060783D">
        <w:rPr>
          <w:rStyle w:val="EndnoteReference"/>
          <w:sz w:val="16"/>
          <w:szCs w:val="16"/>
        </w:rPr>
        <w:endnoteRef/>
      </w:r>
      <w:r w:rsidRPr="0060783D">
        <w:rPr>
          <w:sz w:val="16"/>
          <w:szCs w:val="16"/>
        </w:rPr>
        <w:t xml:space="preserve"> Peter Loftus, “For Doctors, Fewer Perks and Free Lunches,”</w:t>
      </w:r>
      <w:r w:rsidRPr="000242B7">
        <w:rPr>
          <w:sz w:val="16"/>
        </w:rPr>
        <w:t xml:space="preserve"> </w:t>
      </w:r>
      <w:r w:rsidRPr="0060783D">
        <w:rPr>
          <w:i/>
          <w:sz w:val="16"/>
          <w:szCs w:val="16"/>
        </w:rPr>
        <w:t>Wall Street Journal</w:t>
      </w:r>
      <w:r w:rsidRPr="0060783D">
        <w:rPr>
          <w:sz w:val="16"/>
          <w:szCs w:val="16"/>
        </w:rPr>
        <w:t xml:space="preserve">, April 12, 2013, accessed May 28, 2019, www.wsj.com/articles/SB10001424127887324695104578414530096553710. </w:t>
      </w:r>
    </w:p>
  </w:endnote>
  <w:endnote w:id="17">
    <w:p w14:paraId="69957777" w14:textId="77777777" w:rsidR="007C129D" w:rsidRPr="0060783D" w:rsidRDefault="007C129D" w:rsidP="00936B38">
      <w:pPr>
        <w:pStyle w:val="Footnote"/>
        <w:rPr>
          <w:sz w:val="16"/>
          <w:szCs w:val="16"/>
        </w:rPr>
      </w:pPr>
      <w:r w:rsidRPr="0060783D">
        <w:rPr>
          <w:rStyle w:val="EndnoteReference"/>
          <w:sz w:val="16"/>
          <w:szCs w:val="16"/>
        </w:rPr>
        <w:endnoteRef/>
      </w:r>
      <w:r w:rsidRPr="0060783D">
        <w:rPr>
          <w:sz w:val="16"/>
          <w:szCs w:val="16"/>
        </w:rPr>
        <w:t xml:space="preserve"> The Economist, “Let the </w:t>
      </w:r>
      <w:r>
        <w:rPr>
          <w:sz w:val="16"/>
          <w:szCs w:val="16"/>
        </w:rPr>
        <w:t>S</w:t>
      </w:r>
      <w:r w:rsidRPr="0060783D">
        <w:rPr>
          <w:sz w:val="16"/>
          <w:szCs w:val="16"/>
        </w:rPr>
        <w:t>u</w:t>
      </w:r>
      <w:bookmarkStart w:id="1" w:name="_GoBack"/>
      <w:bookmarkEnd w:id="1"/>
      <w:r w:rsidRPr="0060783D">
        <w:rPr>
          <w:sz w:val="16"/>
          <w:szCs w:val="16"/>
        </w:rPr>
        <w:t xml:space="preserve">nshine </w:t>
      </w:r>
      <w:r>
        <w:rPr>
          <w:sz w:val="16"/>
          <w:szCs w:val="16"/>
        </w:rPr>
        <w:t>I</w:t>
      </w:r>
      <w:r w:rsidRPr="0060783D">
        <w:rPr>
          <w:sz w:val="16"/>
          <w:szCs w:val="16"/>
        </w:rPr>
        <w:t xml:space="preserve">n: New </w:t>
      </w:r>
      <w:r>
        <w:rPr>
          <w:sz w:val="16"/>
          <w:szCs w:val="16"/>
        </w:rPr>
        <w:t>E</w:t>
      </w:r>
      <w:r w:rsidRPr="0060783D">
        <w:rPr>
          <w:sz w:val="16"/>
          <w:szCs w:val="16"/>
        </w:rPr>
        <w:t xml:space="preserve">fforts to </w:t>
      </w:r>
      <w:r>
        <w:rPr>
          <w:sz w:val="16"/>
          <w:szCs w:val="16"/>
        </w:rPr>
        <w:t>Reveal the T</w:t>
      </w:r>
      <w:r w:rsidRPr="0060783D">
        <w:rPr>
          <w:sz w:val="16"/>
          <w:szCs w:val="16"/>
        </w:rPr>
        <w:t xml:space="preserve">ies between </w:t>
      </w:r>
      <w:r>
        <w:rPr>
          <w:sz w:val="16"/>
          <w:szCs w:val="16"/>
        </w:rPr>
        <w:t>D</w:t>
      </w:r>
      <w:r w:rsidRPr="0060783D">
        <w:rPr>
          <w:sz w:val="16"/>
          <w:szCs w:val="16"/>
        </w:rPr>
        <w:t xml:space="preserve">octors and </w:t>
      </w:r>
      <w:r>
        <w:rPr>
          <w:sz w:val="16"/>
          <w:szCs w:val="16"/>
        </w:rPr>
        <w:t>D</w:t>
      </w:r>
      <w:r w:rsidRPr="0060783D">
        <w:rPr>
          <w:sz w:val="16"/>
          <w:szCs w:val="16"/>
        </w:rPr>
        <w:t xml:space="preserve">rug </w:t>
      </w:r>
      <w:r>
        <w:rPr>
          <w:sz w:val="16"/>
          <w:szCs w:val="16"/>
        </w:rPr>
        <w:t>C</w:t>
      </w:r>
      <w:r w:rsidRPr="0060783D">
        <w:rPr>
          <w:sz w:val="16"/>
          <w:szCs w:val="16"/>
        </w:rPr>
        <w:t>ompanies,”</w:t>
      </w:r>
      <w:r w:rsidRPr="000242B7">
        <w:rPr>
          <w:sz w:val="16"/>
        </w:rPr>
        <w:t xml:space="preserve"> </w:t>
      </w:r>
      <w:r w:rsidRPr="0060783D">
        <w:rPr>
          <w:i/>
          <w:sz w:val="16"/>
          <w:szCs w:val="16"/>
        </w:rPr>
        <w:t>Economist</w:t>
      </w:r>
      <w:r w:rsidRPr="0060783D">
        <w:rPr>
          <w:sz w:val="16"/>
          <w:szCs w:val="16"/>
        </w:rPr>
        <w:t>, March 2, 2013, accessed May 28, 2019, www.economist.com/business/2013/03/02/let-the-sunshine-in.</w:t>
      </w:r>
    </w:p>
  </w:endnote>
  <w:endnote w:id="18">
    <w:p w14:paraId="2614FDC7" w14:textId="77777777" w:rsidR="007C129D" w:rsidRPr="0060783D" w:rsidRDefault="007C129D" w:rsidP="00936B38">
      <w:pPr>
        <w:pStyle w:val="Fussnoten"/>
        <w:jc w:val="both"/>
        <w:rPr>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Chris Franck, “Infographic: Pharma </w:t>
      </w:r>
      <w:r>
        <w:rPr>
          <w:rFonts w:ascii="Arial" w:hAnsi="Arial" w:cs="Arial"/>
          <w:sz w:val="16"/>
          <w:szCs w:val="16"/>
        </w:rPr>
        <w:t>A</w:t>
      </w:r>
      <w:r w:rsidRPr="0060783D">
        <w:rPr>
          <w:rFonts w:ascii="Arial" w:hAnsi="Arial" w:cs="Arial"/>
          <w:sz w:val="16"/>
          <w:szCs w:val="16"/>
        </w:rPr>
        <w:t xml:space="preserve">doption of </w:t>
      </w:r>
      <w:r>
        <w:rPr>
          <w:rFonts w:ascii="Arial" w:hAnsi="Arial" w:cs="Arial"/>
          <w:sz w:val="16"/>
          <w:szCs w:val="16"/>
        </w:rPr>
        <w:t>S</w:t>
      </w:r>
      <w:r w:rsidRPr="0060783D">
        <w:rPr>
          <w:rFonts w:ascii="Arial" w:hAnsi="Arial" w:cs="Arial"/>
          <w:sz w:val="16"/>
          <w:szCs w:val="16"/>
        </w:rPr>
        <w:t xml:space="preserve">ocial </w:t>
      </w:r>
      <w:r>
        <w:rPr>
          <w:rFonts w:ascii="Arial" w:hAnsi="Arial" w:cs="Arial"/>
          <w:sz w:val="16"/>
          <w:szCs w:val="16"/>
        </w:rPr>
        <w:t>M</w:t>
      </w:r>
      <w:r w:rsidRPr="0060783D">
        <w:rPr>
          <w:rFonts w:ascii="Arial" w:hAnsi="Arial" w:cs="Arial"/>
          <w:sz w:val="16"/>
          <w:szCs w:val="16"/>
        </w:rPr>
        <w:t xml:space="preserve">edia: A </w:t>
      </w:r>
      <w:r>
        <w:rPr>
          <w:rFonts w:ascii="Arial" w:hAnsi="Arial" w:cs="Arial"/>
          <w:sz w:val="16"/>
          <w:szCs w:val="16"/>
        </w:rPr>
        <w:t>P</w:t>
      </w:r>
      <w:r w:rsidRPr="0060783D">
        <w:rPr>
          <w:rFonts w:ascii="Arial" w:hAnsi="Arial" w:cs="Arial"/>
          <w:sz w:val="16"/>
          <w:szCs w:val="16"/>
        </w:rPr>
        <w:t xml:space="preserve">rescription for </w:t>
      </w:r>
      <w:r>
        <w:rPr>
          <w:rFonts w:ascii="Arial" w:hAnsi="Arial" w:cs="Arial"/>
          <w:sz w:val="16"/>
          <w:szCs w:val="16"/>
        </w:rPr>
        <w:t>P</w:t>
      </w:r>
      <w:r w:rsidRPr="0060783D">
        <w:rPr>
          <w:rFonts w:ascii="Arial" w:hAnsi="Arial" w:cs="Arial"/>
          <w:sz w:val="16"/>
          <w:szCs w:val="16"/>
        </w:rPr>
        <w:t xml:space="preserve">hysician </w:t>
      </w:r>
      <w:r>
        <w:rPr>
          <w:rFonts w:ascii="Arial" w:hAnsi="Arial" w:cs="Arial"/>
          <w:sz w:val="16"/>
          <w:szCs w:val="16"/>
        </w:rPr>
        <w:t>E</w:t>
      </w:r>
      <w:r w:rsidRPr="0060783D">
        <w:rPr>
          <w:rFonts w:ascii="Arial" w:hAnsi="Arial" w:cs="Arial"/>
          <w:sz w:val="16"/>
          <w:szCs w:val="16"/>
        </w:rPr>
        <w:t xml:space="preserve">ngagement,” </w:t>
      </w:r>
      <w:r w:rsidRPr="000242B7">
        <w:rPr>
          <w:rFonts w:ascii="Arial" w:hAnsi="Arial"/>
          <w:sz w:val="16"/>
        </w:rPr>
        <w:t>Deloitte Consulting</w:t>
      </w:r>
      <w:r w:rsidRPr="002701A8">
        <w:rPr>
          <w:rFonts w:ascii="Arial" w:hAnsi="Arial" w:cs="Arial"/>
          <w:sz w:val="16"/>
          <w:szCs w:val="16"/>
        </w:rPr>
        <w:t>,</w:t>
      </w:r>
      <w:r w:rsidRPr="0060783D">
        <w:rPr>
          <w:rFonts w:ascii="Arial" w:hAnsi="Arial" w:cs="Arial"/>
          <w:sz w:val="16"/>
          <w:szCs w:val="16"/>
        </w:rPr>
        <w:t xml:space="preserve"> October 7, 2015, accessed May 13, 2019, https://blogs.deloitte.com/centerforhealthsolutions/pharma-adoption-of-social-media-a-prescription-for-physician-engagement/.</w:t>
      </w:r>
    </w:p>
  </w:endnote>
  <w:endnote w:id="19">
    <w:p w14:paraId="0E588434" w14:textId="77777777" w:rsidR="007C129D" w:rsidRPr="0060783D" w:rsidRDefault="007C129D" w:rsidP="00936B38">
      <w:pPr>
        <w:pStyle w:val="Fussnoten"/>
        <w:jc w:val="both"/>
        <w:rPr>
          <w:rFonts w:ascii="Arial" w:hAnsi="Arial" w:cs="Arial"/>
          <w:sz w:val="16"/>
          <w:szCs w:val="16"/>
          <w:highlight w:val="yellow"/>
        </w:rPr>
      </w:pPr>
      <w:r w:rsidRPr="0060783D">
        <w:rPr>
          <w:rStyle w:val="EndnoteReference"/>
          <w:rFonts w:ascii="Arial" w:hAnsi="Arial" w:cs="Arial"/>
          <w:sz w:val="16"/>
          <w:szCs w:val="16"/>
        </w:rPr>
        <w:endnoteRef/>
      </w:r>
      <w:r w:rsidRPr="0060783D">
        <w:rPr>
          <w:rFonts w:ascii="Arial" w:hAnsi="Arial" w:cs="Arial"/>
          <w:sz w:val="16"/>
          <w:szCs w:val="16"/>
        </w:rPr>
        <w:t xml:space="preserve"> Tracy Staton, “In a </w:t>
      </w:r>
      <w:r>
        <w:rPr>
          <w:rFonts w:ascii="Arial" w:hAnsi="Arial" w:cs="Arial"/>
          <w:sz w:val="16"/>
          <w:szCs w:val="16"/>
        </w:rPr>
        <w:t>B</w:t>
      </w:r>
      <w:r w:rsidRPr="0060783D">
        <w:rPr>
          <w:rFonts w:ascii="Arial" w:hAnsi="Arial" w:cs="Arial"/>
          <w:sz w:val="16"/>
          <w:szCs w:val="16"/>
        </w:rPr>
        <w:t>ad-</w:t>
      </w:r>
      <w:r>
        <w:rPr>
          <w:rFonts w:ascii="Arial" w:hAnsi="Arial" w:cs="Arial"/>
          <w:sz w:val="16"/>
          <w:szCs w:val="16"/>
        </w:rPr>
        <w:t>N</w:t>
      </w:r>
      <w:r w:rsidRPr="0060783D">
        <w:rPr>
          <w:rFonts w:ascii="Arial" w:hAnsi="Arial" w:cs="Arial"/>
          <w:sz w:val="16"/>
          <w:szCs w:val="16"/>
        </w:rPr>
        <w:t xml:space="preserve">ews </w:t>
      </w:r>
      <w:r>
        <w:rPr>
          <w:rFonts w:ascii="Arial" w:hAnsi="Arial" w:cs="Arial"/>
          <w:sz w:val="16"/>
          <w:szCs w:val="16"/>
        </w:rPr>
        <w:t>F</w:t>
      </w:r>
      <w:r w:rsidRPr="0060783D">
        <w:rPr>
          <w:rFonts w:ascii="Arial" w:hAnsi="Arial" w:cs="Arial"/>
          <w:sz w:val="16"/>
          <w:szCs w:val="16"/>
        </w:rPr>
        <w:t xml:space="preserve">irst for </w:t>
      </w:r>
      <w:r>
        <w:rPr>
          <w:rFonts w:ascii="Arial" w:hAnsi="Arial" w:cs="Arial"/>
          <w:sz w:val="16"/>
          <w:szCs w:val="16"/>
        </w:rPr>
        <w:t>P</w:t>
      </w:r>
      <w:r w:rsidRPr="0060783D">
        <w:rPr>
          <w:rFonts w:ascii="Arial" w:hAnsi="Arial" w:cs="Arial"/>
          <w:sz w:val="16"/>
          <w:szCs w:val="16"/>
        </w:rPr>
        <w:t xml:space="preserve">harma </w:t>
      </w:r>
      <w:r>
        <w:rPr>
          <w:rFonts w:ascii="Arial" w:hAnsi="Arial" w:cs="Arial"/>
          <w:sz w:val="16"/>
          <w:szCs w:val="16"/>
        </w:rPr>
        <w:t>R</w:t>
      </w:r>
      <w:r w:rsidRPr="0060783D">
        <w:rPr>
          <w:rFonts w:ascii="Arial" w:hAnsi="Arial" w:cs="Arial"/>
          <w:sz w:val="16"/>
          <w:szCs w:val="16"/>
        </w:rPr>
        <w:t xml:space="preserve">eps, </w:t>
      </w:r>
      <w:r>
        <w:rPr>
          <w:rFonts w:ascii="Arial" w:hAnsi="Arial" w:cs="Arial"/>
          <w:sz w:val="16"/>
          <w:szCs w:val="16"/>
        </w:rPr>
        <w:t>M</w:t>
      </w:r>
      <w:r w:rsidRPr="0060783D">
        <w:rPr>
          <w:rFonts w:ascii="Arial" w:hAnsi="Arial" w:cs="Arial"/>
          <w:sz w:val="16"/>
          <w:szCs w:val="16"/>
        </w:rPr>
        <w:t xml:space="preserve">ore than </w:t>
      </w:r>
      <w:r>
        <w:rPr>
          <w:rFonts w:ascii="Arial" w:hAnsi="Arial" w:cs="Arial"/>
          <w:sz w:val="16"/>
          <w:szCs w:val="16"/>
        </w:rPr>
        <w:t>H</w:t>
      </w:r>
      <w:r w:rsidRPr="0060783D">
        <w:rPr>
          <w:rFonts w:ascii="Arial" w:hAnsi="Arial" w:cs="Arial"/>
          <w:sz w:val="16"/>
          <w:szCs w:val="16"/>
        </w:rPr>
        <w:t xml:space="preserve">alf of </w:t>
      </w:r>
      <w:r>
        <w:rPr>
          <w:rFonts w:ascii="Arial" w:hAnsi="Arial" w:cs="Arial"/>
          <w:sz w:val="16"/>
          <w:szCs w:val="16"/>
        </w:rPr>
        <w:t>D</w:t>
      </w:r>
      <w:r w:rsidRPr="0060783D">
        <w:rPr>
          <w:rFonts w:ascii="Arial" w:hAnsi="Arial" w:cs="Arial"/>
          <w:sz w:val="16"/>
          <w:szCs w:val="16"/>
        </w:rPr>
        <w:t xml:space="preserve">octors </w:t>
      </w:r>
      <w:r>
        <w:rPr>
          <w:rFonts w:ascii="Arial" w:hAnsi="Arial" w:cs="Arial"/>
          <w:sz w:val="16"/>
          <w:szCs w:val="16"/>
        </w:rPr>
        <w:t>N</w:t>
      </w:r>
      <w:r w:rsidRPr="0060783D">
        <w:rPr>
          <w:rFonts w:ascii="Arial" w:hAnsi="Arial" w:cs="Arial"/>
          <w:sz w:val="16"/>
          <w:szCs w:val="16"/>
        </w:rPr>
        <w:t xml:space="preserve">ow </w:t>
      </w:r>
      <w:r>
        <w:rPr>
          <w:rFonts w:ascii="Arial" w:hAnsi="Arial" w:cs="Arial"/>
          <w:sz w:val="16"/>
          <w:szCs w:val="16"/>
        </w:rPr>
        <w:t>R</w:t>
      </w:r>
      <w:r w:rsidRPr="0060783D">
        <w:rPr>
          <w:rFonts w:ascii="Arial" w:hAnsi="Arial" w:cs="Arial"/>
          <w:sz w:val="16"/>
          <w:szCs w:val="16"/>
        </w:rPr>
        <w:t xml:space="preserve">estrict </w:t>
      </w:r>
      <w:r>
        <w:rPr>
          <w:rFonts w:ascii="Arial" w:hAnsi="Arial" w:cs="Arial"/>
          <w:sz w:val="16"/>
          <w:szCs w:val="16"/>
        </w:rPr>
        <w:t>A</w:t>
      </w:r>
      <w:r w:rsidRPr="0060783D">
        <w:rPr>
          <w:rFonts w:ascii="Arial" w:hAnsi="Arial" w:cs="Arial"/>
          <w:sz w:val="16"/>
          <w:szCs w:val="16"/>
        </w:rPr>
        <w:t xml:space="preserve">ccess,” </w:t>
      </w:r>
      <w:r w:rsidRPr="002701A8">
        <w:rPr>
          <w:rFonts w:ascii="Arial" w:hAnsi="Arial" w:cs="Arial"/>
          <w:sz w:val="16"/>
          <w:szCs w:val="16"/>
        </w:rPr>
        <w:t>Fierce</w:t>
      </w:r>
      <w:r>
        <w:rPr>
          <w:rFonts w:ascii="Arial" w:hAnsi="Arial" w:cs="Arial"/>
          <w:sz w:val="16"/>
          <w:szCs w:val="16"/>
        </w:rPr>
        <w:t>P</w:t>
      </w:r>
      <w:r w:rsidRPr="002701A8">
        <w:rPr>
          <w:rFonts w:ascii="Arial" w:hAnsi="Arial" w:cs="Arial"/>
          <w:sz w:val="16"/>
          <w:szCs w:val="16"/>
        </w:rPr>
        <w:t>harma,</w:t>
      </w:r>
      <w:r w:rsidRPr="0060783D">
        <w:rPr>
          <w:rFonts w:ascii="Arial" w:hAnsi="Arial" w:cs="Arial"/>
          <w:sz w:val="16"/>
          <w:szCs w:val="16"/>
        </w:rPr>
        <w:t xml:space="preserve"> September 3, 2015, accessed May 13, 2019, www.fiercepharma.com/sales-and-marketing/a-bad-news-first-for-pharma-reps-more-than-half-of-doctors-now-restrict-access. </w:t>
      </w:r>
    </w:p>
  </w:endnote>
  <w:endnote w:id="20">
    <w:p w14:paraId="74D46840" w14:textId="77777777" w:rsidR="007C129D" w:rsidRPr="0060783D" w:rsidRDefault="007C129D" w:rsidP="00936B38">
      <w:pPr>
        <w:pStyle w:val="Fussnoten"/>
        <w:jc w:val="both"/>
        <w:rPr>
          <w:rFonts w:ascii="Arial" w:hAnsi="Arial" w:cs="Arial"/>
          <w:sz w:val="16"/>
          <w:szCs w:val="16"/>
          <w:highlight w:val="yellow"/>
        </w:rPr>
      </w:pPr>
      <w:r w:rsidRPr="0060783D">
        <w:rPr>
          <w:rStyle w:val="EndnoteReference"/>
          <w:rFonts w:ascii="Arial" w:hAnsi="Arial" w:cs="Arial"/>
          <w:sz w:val="16"/>
          <w:szCs w:val="16"/>
        </w:rPr>
        <w:endnoteRef/>
      </w:r>
      <w:r w:rsidRPr="0060783D">
        <w:rPr>
          <w:rFonts w:ascii="Arial" w:hAnsi="Arial" w:cs="Arial"/>
          <w:sz w:val="16"/>
          <w:szCs w:val="16"/>
        </w:rPr>
        <w:t xml:space="preserve"> WHO, “Direct-to-</w:t>
      </w:r>
      <w:r>
        <w:rPr>
          <w:rFonts w:ascii="Arial" w:hAnsi="Arial" w:cs="Arial"/>
          <w:sz w:val="16"/>
          <w:szCs w:val="16"/>
        </w:rPr>
        <w:t>C</w:t>
      </w:r>
      <w:r w:rsidRPr="0060783D">
        <w:rPr>
          <w:rFonts w:ascii="Arial" w:hAnsi="Arial" w:cs="Arial"/>
          <w:sz w:val="16"/>
          <w:szCs w:val="16"/>
        </w:rPr>
        <w:t xml:space="preserve">onsumer </w:t>
      </w:r>
      <w:r>
        <w:rPr>
          <w:rFonts w:ascii="Arial" w:hAnsi="Arial" w:cs="Arial"/>
          <w:sz w:val="16"/>
          <w:szCs w:val="16"/>
        </w:rPr>
        <w:t>A</w:t>
      </w:r>
      <w:r w:rsidRPr="0060783D">
        <w:rPr>
          <w:rFonts w:ascii="Arial" w:hAnsi="Arial" w:cs="Arial"/>
          <w:sz w:val="16"/>
          <w:szCs w:val="16"/>
        </w:rPr>
        <w:t xml:space="preserve">dvertising under </w:t>
      </w:r>
      <w:r>
        <w:rPr>
          <w:rFonts w:ascii="Arial" w:hAnsi="Arial" w:cs="Arial"/>
          <w:sz w:val="16"/>
          <w:szCs w:val="16"/>
        </w:rPr>
        <w:t>F</w:t>
      </w:r>
      <w:r w:rsidRPr="0060783D">
        <w:rPr>
          <w:rFonts w:ascii="Arial" w:hAnsi="Arial" w:cs="Arial"/>
          <w:sz w:val="16"/>
          <w:szCs w:val="16"/>
        </w:rPr>
        <w:t xml:space="preserve">ire,” </w:t>
      </w:r>
      <w:r w:rsidRPr="0060783D">
        <w:rPr>
          <w:rFonts w:ascii="Arial" w:hAnsi="Arial" w:cs="Arial"/>
          <w:i/>
          <w:sz w:val="16"/>
          <w:szCs w:val="16"/>
        </w:rPr>
        <w:t>Bulletin of the World Health Organization</w:t>
      </w:r>
      <w:r w:rsidRPr="0060783D">
        <w:rPr>
          <w:rFonts w:ascii="Arial" w:hAnsi="Arial" w:cs="Arial"/>
          <w:sz w:val="16"/>
          <w:szCs w:val="16"/>
        </w:rPr>
        <w:t xml:space="preserve"> 87, no. 8 (2009), accessed May 13, 2019,</w:t>
      </w:r>
      <w:r w:rsidRPr="0060783D">
        <w:rPr>
          <w:sz w:val="16"/>
          <w:szCs w:val="16"/>
        </w:rPr>
        <w:t xml:space="preserve"> </w:t>
      </w:r>
      <w:r w:rsidRPr="0060783D">
        <w:rPr>
          <w:rFonts w:ascii="Arial" w:hAnsi="Arial" w:cs="Arial"/>
          <w:sz w:val="16"/>
          <w:szCs w:val="16"/>
        </w:rPr>
        <w:t xml:space="preserve">www.who.int/bulletin/volumes/87/8/09-040809/en/. </w:t>
      </w:r>
    </w:p>
  </w:endnote>
  <w:endnote w:id="21">
    <w:p w14:paraId="13B04348" w14:textId="77777777" w:rsidR="007C129D" w:rsidRPr="0060783D" w:rsidRDefault="007C129D" w:rsidP="00936B38">
      <w:pPr>
        <w:pStyle w:val="Fussnoten"/>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Danner, Edmunds, Fricker, and Padilla</w:t>
      </w:r>
      <w:r>
        <w:rPr>
          <w:rFonts w:ascii="Arial" w:hAnsi="Arial" w:cs="Arial"/>
          <w:sz w:val="16"/>
          <w:szCs w:val="16"/>
        </w:rPr>
        <w:t>, op. cit</w:t>
      </w:r>
      <w:r w:rsidRPr="000242B7">
        <w:t>.</w:t>
      </w:r>
    </w:p>
  </w:endnote>
  <w:endnote w:id="22">
    <w:p w14:paraId="6C11E783" w14:textId="77777777" w:rsidR="007C129D" w:rsidRPr="0060783D" w:rsidRDefault="007C129D" w:rsidP="00936B38">
      <w:pPr>
        <w:pStyle w:val="Footnote"/>
        <w:rPr>
          <w:sz w:val="16"/>
          <w:szCs w:val="16"/>
        </w:rPr>
      </w:pPr>
      <w:r w:rsidRPr="0060783D">
        <w:rPr>
          <w:rStyle w:val="EndnoteReference"/>
          <w:sz w:val="16"/>
          <w:szCs w:val="16"/>
        </w:rPr>
        <w:endnoteRef/>
      </w:r>
      <w:r w:rsidRPr="0060783D">
        <w:rPr>
          <w:sz w:val="16"/>
          <w:szCs w:val="16"/>
        </w:rPr>
        <w:t xml:space="preserve"> Joanna Belbey, “7 Trends on How Big Pharma Uses Social Media,” </w:t>
      </w:r>
      <w:r w:rsidRPr="0060783D">
        <w:rPr>
          <w:i/>
          <w:sz w:val="16"/>
          <w:szCs w:val="16"/>
        </w:rPr>
        <w:t>Forbes</w:t>
      </w:r>
      <w:r w:rsidRPr="0060783D">
        <w:rPr>
          <w:sz w:val="16"/>
          <w:szCs w:val="16"/>
        </w:rPr>
        <w:t>, July 21, 2017, accessed May 28, 2019, www.forbes.com/sites/joannabelbey/2017/07/21/7-trends-on-how-big-pharma-uses-social-media/#6742f3271f9a.</w:t>
      </w:r>
    </w:p>
  </w:endnote>
  <w:endnote w:id="23">
    <w:p w14:paraId="05EB7BF0" w14:textId="77777777" w:rsidR="007C129D" w:rsidRPr="0060783D" w:rsidRDefault="007C129D" w:rsidP="00936B38">
      <w:pPr>
        <w:pStyle w:val="Fussnote"/>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At this point</w:t>
      </w:r>
      <w:r>
        <w:rPr>
          <w:rFonts w:ascii="Arial" w:hAnsi="Arial" w:cs="Arial"/>
          <w:sz w:val="16"/>
          <w:szCs w:val="16"/>
        </w:rPr>
        <w:t>,</w:t>
      </w:r>
      <w:r w:rsidRPr="0060783D">
        <w:rPr>
          <w:rFonts w:ascii="Arial" w:hAnsi="Arial" w:cs="Arial"/>
          <w:sz w:val="16"/>
          <w:szCs w:val="16"/>
        </w:rPr>
        <w:t xml:space="preserve"> the drug </w:t>
      </w:r>
      <w:r>
        <w:rPr>
          <w:rFonts w:ascii="Arial" w:hAnsi="Arial" w:cs="Arial"/>
          <w:sz w:val="16"/>
          <w:szCs w:val="16"/>
        </w:rPr>
        <w:t>wa</w:t>
      </w:r>
      <w:r w:rsidRPr="0060783D">
        <w:rPr>
          <w:rFonts w:ascii="Arial" w:hAnsi="Arial" w:cs="Arial"/>
          <w:sz w:val="16"/>
          <w:szCs w:val="16"/>
        </w:rPr>
        <w:t xml:space="preserve">s already patent protected, such that of the 20-year patent protection period, on average, 12 years </w:t>
      </w:r>
      <w:r>
        <w:rPr>
          <w:rFonts w:ascii="Arial" w:hAnsi="Arial" w:cs="Arial"/>
          <w:sz w:val="16"/>
          <w:szCs w:val="16"/>
        </w:rPr>
        <w:t>we</w:t>
      </w:r>
      <w:r w:rsidRPr="0060783D">
        <w:rPr>
          <w:rFonts w:ascii="Arial" w:hAnsi="Arial" w:cs="Arial"/>
          <w:sz w:val="16"/>
          <w:szCs w:val="16"/>
        </w:rPr>
        <w:t>re concurrent with the approval phase.</w:t>
      </w:r>
    </w:p>
  </w:endnote>
  <w:endnote w:id="24">
    <w:p w14:paraId="35FE56AB" w14:textId="77777777" w:rsidR="007C129D" w:rsidRPr="00DC7877" w:rsidRDefault="007C129D" w:rsidP="00936B38">
      <w:pPr>
        <w:pStyle w:val="SourceBeschriftung"/>
        <w:spacing w:before="0" w:after="0" w:line="240" w:lineRule="auto"/>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EFPIA, “The Pharmaceutical </w:t>
      </w:r>
      <w:r>
        <w:rPr>
          <w:rFonts w:ascii="Arial" w:hAnsi="Arial" w:cs="Arial"/>
          <w:sz w:val="16"/>
          <w:szCs w:val="16"/>
        </w:rPr>
        <w:t>I</w:t>
      </w:r>
      <w:r w:rsidRPr="0060783D">
        <w:rPr>
          <w:rFonts w:ascii="Arial" w:hAnsi="Arial" w:cs="Arial"/>
          <w:sz w:val="16"/>
          <w:szCs w:val="16"/>
        </w:rPr>
        <w:t xml:space="preserve">ndustry in Figures,” European Federation of Pharmaceutical Industries and Associations, accessed May 13, </w:t>
      </w:r>
      <w:r w:rsidRPr="00DC7877">
        <w:rPr>
          <w:rFonts w:ascii="Arial" w:hAnsi="Arial" w:cs="Arial"/>
          <w:sz w:val="16"/>
          <w:szCs w:val="16"/>
        </w:rPr>
        <w:t xml:space="preserve">2019, </w:t>
      </w:r>
      <w:r w:rsidRPr="00DC7877">
        <w:rPr>
          <w:rFonts w:ascii="Arial" w:hAnsi="Arial" w:cs="Arial"/>
          <w:sz w:val="16"/>
          <w:szCs w:val="16"/>
          <w:lang w:val="en-GB"/>
        </w:rPr>
        <w:t>https://efpia.eu/media/361960/efpia-pharmafigures2018_v07-hq.pdf</w:t>
      </w:r>
      <w:r w:rsidRPr="00DC7877">
        <w:rPr>
          <w:rFonts w:ascii="Arial" w:hAnsi="Arial" w:cs="Arial"/>
          <w:sz w:val="16"/>
          <w:szCs w:val="16"/>
        </w:rPr>
        <w:t>, page 6.</w:t>
      </w:r>
    </w:p>
  </w:endnote>
  <w:endnote w:id="25">
    <w:p w14:paraId="794FA599" w14:textId="77777777" w:rsidR="007C129D" w:rsidRPr="0060783D" w:rsidRDefault="007C129D" w:rsidP="00936B38">
      <w:pPr>
        <w:pStyle w:val="SourceBeschriftung"/>
        <w:spacing w:before="0" w:after="0" w:line="240" w:lineRule="auto"/>
        <w:jc w:val="both"/>
        <w:rPr>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Joseph A.</w:t>
      </w:r>
      <w:r>
        <w:rPr>
          <w:rFonts w:ascii="Arial" w:hAnsi="Arial" w:cs="Arial"/>
          <w:sz w:val="16"/>
          <w:szCs w:val="16"/>
        </w:rPr>
        <w:t xml:space="preserve"> </w:t>
      </w:r>
      <w:r w:rsidRPr="0060783D">
        <w:rPr>
          <w:rFonts w:ascii="Arial" w:hAnsi="Arial" w:cs="Arial"/>
          <w:sz w:val="16"/>
          <w:szCs w:val="16"/>
        </w:rPr>
        <w:t>DiMasi, Henry G.</w:t>
      </w:r>
      <w:r>
        <w:rPr>
          <w:rFonts w:ascii="Arial" w:hAnsi="Arial" w:cs="Arial"/>
          <w:sz w:val="16"/>
          <w:szCs w:val="16"/>
        </w:rPr>
        <w:t xml:space="preserve"> </w:t>
      </w:r>
      <w:r w:rsidRPr="0060783D">
        <w:rPr>
          <w:rFonts w:ascii="Arial" w:hAnsi="Arial" w:cs="Arial"/>
          <w:sz w:val="16"/>
          <w:szCs w:val="16"/>
        </w:rPr>
        <w:t>Grabowski, and Ronald W.</w:t>
      </w:r>
      <w:r>
        <w:rPr>
          <w:rFonts w:ascii="Arial" w:hAnsi="Arial" w:cs="Arial"/>
          <w:sz w:val="16"/>
          <w:szCs w:val="16"/>
        </w:rPr>
        <w:t xml:space="preserve"> </w:t>
      </w:r>
      <w:r w:rsidRPr="0060783D">
        <w:rPr>
          <w:rFonts w:ascii="Arial" w:hAnsi="Arial" w:cs="Arial"/>
          <w:sz w:val="16"/>
          <w:szCs w:val="16"/>
        </w:rPr>
        <w:t xml:space="preserve">Hansen, “Innovation in the </w:t>
      </w:r>
      <w:r>
        <w:rPr>
          <w:rFonts w:ascii="Arial" w:hAnsi="Arial" w:cs="Arial"/>
          <w:sz w:val="16"/>
          <w:szCs w:val="16"/>
        </w:rPr>
        <w:t>P</w:t>
      </w:r>
      <w:r w:rsidRPr="0060783D">
        <w:rPr>
          <w:rFonts w:ascii="Arial" w:hAnsi="Arial" w:cs="Arial"/>
          <w:sz w:val="16"/>
          <w:szCs w:val="16"/>
        </w:rPr>
        <w:t xml:space="preserve">harmaceutical </w:t>
      </w:r>
      <w:r>
        <w:rPr>
          <w:rFonts w:ascii="Arial" w:hAnsi="Arial" w:cs="Arial"/>
          <w:sz w:val="16"/>
          <w:szCs w:val="16"/>
        </w:rPr>
        <w:t>I</w:t>
      </w:r>
      <w:r w:rsidRPr="0060783D">
        <w:rPr>
          <w:rFonts w:ascii="Arial" w:hAnsi="Arial" w:cs="Arial"/>
          <w:sz w:val="16"/>
          <w:szCs w:val="16"/>
        </w:rPr>
        <w:t xml:space="preserve">ndustry: New </w:t>
      </w:r>
      <w:r>
        <w:rPr>
          <w:rFonts w:ascii="Arial" w:hAnsi="Arial" w:cs="Arial"/>
          <w:sz w:val="16"/>
          <w:szCs w:val="16"/>
        </w:rPr>
        <w:t>E</w:t>
      </w:r>
      <w:r w:rsidRPr="0060783D">
        <w:rPr>
          <w:rFonts w:ascii="Arial" w:hAnsi="Arial" w:cs="Arial"/>
          <w:sz w:val="16"/>
          <w:szCs w:val="16"/>
        </w:rPr>
        <w:t>stimates of</w:t>
      </w:r>
      <w:r>
        <w:rPr>
          <w:rFonts w:ascii="Arial" w:hAnsi="Arial" w:cs="Arial"/>
          <w:sz w:val="16"/>
          <w:szCs w:val="16"/>
        </w:rPr>
        <w:t xml:space="preserve"> </w:t>
      </w:r>
      <w:r w:rsidRPr="0060783D">
        <w:rPr>
          <w:rFonts w:ascii="Arial" w:hAnsi="Arial" w:cs="Arial"/>
          <w:sz w:val="16"/>
          <w:szCs w:val="16"/>
        </w:rPr>
        <w:t>R&amp;D</w:t>
      </w:r>
      <w:r>
        <w:rPr>
          <w:rFonts w:ascii="Arial" w:hAnsi="Arial" w:cs="Arial"/>
          <w:sz w:val="16"/>
          <w:szCs w:val="16"/>
        </w:rPr>
        <w:t xml:space="preserve"> C</w:t>
      </w:r>
      <w:r w:rsidRPr="0060783D">
        <w:rPr>
          <w:rFonts w:ascii="Arial" w:hAnsi="Arial" w:cs="Arial"/>
          <w:sz w:val="16"/>
          <w:szCs w:val="16"/>
        </w:rPr>
        <w:t>osts,”</w:t>
      </w:r>
      <w:r>
        <w:rPr>
          <w:rFonts w:ascii="Arial" w:hAnsi="Arial" w:cs="Arial"/>
          <w:sz w:val="16"/>
          <w:szCs w:val="16"/>
        </w:rPr>
        <w:t xml:space="preserve"> </w:t>
      </w:r>
      <w:r w:rsidRPr="0060783D">
        <w:rPr>
          <w:rFonts w:ascii="Arial" w:hAnsi="Arial" w:cs="Arial"/>
          <w:i/>
          <w:iCs/>
          <w:sz w:val="16"/>
          <w:szCs w:val="16"/>
        </w:rPr>
        <w:t>Journal</w:t>
      </w:r>
      <w:r>
        <w:rPr>
          <w:rFonts w:ascii="Arial" w:hAnsi="Arial" w:cs="Arial"/>
          <w:i/>
          <w:iCs/>
          <w:sz w:val="16"/>
          <w:szCs w:val="16"/>
        </w:rPr>
        <w:t xml:space="preserve"> </w:t>
      </w:r>
      <w:r w:rsidRPr="0060783D">
        <w:rPr>
          <w:rFonts w:ascii="Arial" w:hAnsi="Arial" w:cs="Arial"/>
          <w:i/>
          <w:iCs/>
          <w:sz w:val="16"/>
          <w:szCs w:val="16"/>
        </w:rPr>
        <w:t>of</w:t>
      </w:r>
      <w:r>
        <w:rPr>
          <w:rFonts w:ascii="Arial" w:hAnsi="Arial" w:cs="Arial"/>
          <w:i/>
          <w:iCs/>
          <w:sz w:val="16"/>
          <w:szCs w:val="16"/>
        </w:rPr>
        <w:t xml:space="preserve"> </w:t>
      </w:r>
      <w:r w:rsidRPr="0060783D">
        <w:rPr>
          <w:rFonts w:ascii="Arial" w:hAnsi="Arial" w:cs="Arial"/>
          <w:i/>
          <w:iCs/>
          <w:sz w:val="16"/>
          <w:szCs w:val="16"/>
        </w:rPr>
        <w:t>Health</w:t>
      </w:r>
      <w:r>
        <w:rPr>
          <w:rFonts w:ascii="Arial" w:hAnsi="Arial" w:cs="Arial"/>
          <w:i/>
          <w:iCs/>
          <w:sz w:val="16"/>
          <w:szCs w:val="16"/>
        </w:rPr>
        <w:t xml:space="preserve"> </w:t>
      </w:r>
      <w:r w:rsidRPr="0060783D">
        <w:rPr>
          <w:rFonts w:ascii="Arial" w:hAnsi="Arial" w:cs="Arial"/>
          <w:i/>
          <w:iCs/>
          <w:sz w:val="16"/>
          <w:szCs w:val="16"/>
        </w:rPr>
        <w:t>Economics</w:t>
      </w:r>
      <w:r>
        <w:rPr>
          <w:rFonts w:ascii="Arial" w:hAnsi="Arial" w:cs="Arial"/>
          <w:sz w:val="16"/>
          <w:szCs w:val="16"/>
        </w:rPr>
        <w:t xml:space="preserve"> </w:t>
      </w:r>
      <w:r w:rsidRPr="0060783D">
        <w:rPr>
          <w:rFonts w:ascii="Arial" w:hAnsi="Arial" w:cs="Arial"/>
          <w:iCs/>
          <w:sz w:val="16"/>
          <w:szCs w:val="16"/>
        </w:rPr>
        <w:t>47</w:t>
      </w:r>
      <w:r>
        <w:rPr>
          <w:rFonts w:ascii="Arial" w:hAnsi="Arial" w:cs="Arial"/>
          <w:sz w:val="16"/>
          <w:szCs w:val="16"/>
        </w:rPr>
        <w:t xml:space="preserve"> </w:t>
      </w:r>
      <w:r w:rsidRPr="0060783D">
        <w:rPr>
          <w:rFonts w:ascii="Arial" w:hAnsi="Arial" w:cs="Arial"/>
          <w:sz w:val="16"/>
          <w:szCs w:val="16"/>
        </w:rPr>
        <w:t>(2016):</w:t>
      </w:r>
      <w:r>
        <w:rPr>
          <w:rFonts w:ascii="Arial" w:hAnsi="Arial" w:cs="Arial"/>
          <w:sz w:val="16"/>
          <w:szCs w:val="16"/>
        </w:rPr>
        <w:t xml:space="preserve"> </w:t>
      </w:r>
      <w:r w:rsidRPr="0060783D">
        <w:rPr>
          <w:rFonts w:ascii="Arial" w:hAnsi="Arial" w:cs="Arial"/>
          <w:sz w:val="16"/>
          <w:szCs w:val="16"/>
        </w:rPr>
        <w:t>20–33.</w:t>
      </w:r>
    </w:p>
  </w:endnote>
  <w:endnote w:id="26">
    <w:p w14:paraId="7F90E9B8" w14:textId="45BCB696" w:rsidR="007C129D" w:rsidRPr="0060783D" w:rsidRDefault="007C129D" w:rsidP="00936B38">
      <w:pPr>
        <w:pStyle w:val="Fussnote"/>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w:t>
      </w:r>
      <w:r w:rsidRPr="0060783D">
        <w:rPr>
          <w:rFonts w:ascii="Arial" w:hAnsi="Arial" w:cs="Arial"/>
          <w:sz w:val="16"/>
          <w:szCs w:val="16"/>
          <w:lang w:val="en"/>
        </w:rPr>
        <w:t>FDA,</w:t>
      </w:r>
      <w:r w:rsidRPr="0060783D">
        <w:rPr>
          <w:rFonts w:ascii="Arial" w:hAnsi="Arial" w:cs="Arial"/>
          <w:sz w:val="16"/>
          <w:szCs w:val="16"/>
        </w:rPr>
        <w:t xml:space="preserve"> “</w:t>
      </w:r>
      <w:r w:rsidRPr="0060783D">
        <w:rPr>
          <w:rFonts w:ascii="Arial" w:hAnsi="Arial" w:cs="Arial"/>
          <w:sz w:val="16"/>
          <w:szCs w:val="16"/>
          <w:lang w:val="en"/>
        </w:rPr>
        <w:t>The Drug Development Process,</w:t>
      </w:r>
      <w:r w:rsidRPr="0060783D">
        <w:rPr>
          <w:rFonts w:ascii="Arial" w:hAnsi="Arial" w:cs="Arial"/>
          <w:sz w:val="16"/>
          <w:szCs w:val="16"/>
        </w:rPr>
        <w:t xml:space="preserve">” </w:t>
      </w:r>
      <w:r>
        <w:rPr>
          <w:rFonts w:ascii="Arial" w:hAnsi="Arial" w:cs="Arial"/>
          <w:sz w:val="16"/>
          <w:szCs w:val="16"/>
        </w:rPr>
        <w:t>US</w:t>
      </w:r>
      <w:r w:rsidRPr="0060783D">
        <w:rPr>
          <w:rFonts w:ascii="Arial" w:hAnsi="Arial" w:cs="Arial"/>
          <w:sz w:val="16"/>
          <w:szCs w:val="16"/>
        </w:rPr>
        <w:t xml:space="preserve"> Food and Drug Administration, April 1, 2018, accessed May 13, 2019, www.fda.gov/ForPatients/Approvals/Drugs/default.htm.</w:t>
      </w:r>
    </w:p>
  </w:endnote>
  <w:endnote w:id="27">
    <w:p w14:paraId="756343E2" w14:textId="77777777" w:rsidR="007C129D" w:rsidRPr="0060783D" w:rsidRDefault="007C129D" w:rsidP="00936B38">
      <w:pPr>
        <w:pStyle w:val="SourceBeschriftung"/>
        <w:spacing w:before="0" w:after="0" w:line="240" w:lineRule="auto"/>
        <w:jc w:val="both"/>
        <w:rPr>
          <w:rFonts w:ascii="Arial" w:hAnsi="Arial" w:cs="Arial"/>
          <w:spacing w:val="-6"/>
          <w:kern w:val="17"/>
          <w:sz w:val="16"/>
          <w:szCs w:val="16"/>
        </w:rPr>
      </w:pPr>
      <w:r w:rsidRPr="0060783D">
        <w:rPr>
          <w:rStyle w:val="EndnoteReference"/>
          <w:rFonts w:ascii="Arial" w:hAnsi="Arial" w:cs="Arial"/>
          <w:spacing w:val="-6"/>
          <w:kern w:val="17"/>
          <w:sz w:val="16"/>
          <w:szCs w:val="16"/>
        </w:rPr>
        <w:endnoteRef/>
      </w:r>
      <w:r w:rsidRPr="0060783D">
        <w:rPr>
          <w:rFonts w:ascii="Arial" w:hAnsi="Arial" w:cs="Arial"/>
          <w:spacing w:val="-6"/>
          <w:kern w:val="17"/>
          <w:sz w:val="16"/>
          <w:szCs w:val="16"/>
        </w:rPr>
        <w:t xml:space="preserve"> EFPIA, op. cit.; About one third of drugs in clinical trials awaiting FDA approval </w:t>
      </w:r>
      <w:r>
        <w:rPr>
          <w:rFonts w:ascii="Arial" w:hAnsi="Arial" w:cs="Arial"/>
          <w:spacing w:val="-6"/>
          <w:kern w:val="17"/>
          <w:sz w:val="16"/>
          <w:szCs w:val="16"/>
        </w:rPr>
        <w:t>we</w:t>
      </w:r>
      <w:r w:rsidRPr="0060783D">
        <w:rPr>
          <w:rFonts w:ascii="Arial" w:hAnsi="Arial" w:cs="Arial"/>
          <w:spacing w:val="-6"/>
          <w:kern w:val="17"/>
          <w:sz w:val="16"/>
          <w:szCs w:val="16"/>
        </w:rPr>
        <w:t xml:space="preserve">re biologics, Pharmafile, “2016 Top </w:t>
      </w:r>
      <w:r>
        <w:rPr>
          <w:rFonts w:ascii="Arial" w:hAnsi="Arial" w:cs="Arial"/>
          <w:spacing w:val="-6"/>
          <w:kern w:val="17"/>
          <w:sz w:val="16"/>
          <w:szCs w:val="16"/>
        </w:rPr>
        <w:t>M</w:t>
      </w:r>
      <w:r w:rsidRPr="0060783D">
        <w:rPr>
          <w:rFonts w:ascii="Arial" w:hAnsi="Arial" w:cs="Arial"/>
          <w:spacing w:val="-6"/>
          <w:kern w:val="17"/>
          <w:sz w:val="16"/>
          <w:szCs w:val="16"/>
        </w:rPr>
        <w:t xml:space="preserve">arkets </w:t>
      </w:r>
      <w:r>
        <w:rPr>
          <w:rFonts w:ascii="Arial" w:hAnsi="Arial" w:cs="Arial"/>
          <w:spacing w:val="-6"/>
          <w:kern w:val="17"/>
          <w:sz w:val="16"/>
          <w:szCs w:val="16"/>
        </w:rPr>
        <w:t>R</w:t>
      </w:r>
      <w:r w:rsidRPr="0060783D">
        <w:rPr>
          <w:rFonts w:ascii="Arial" w:hAnsi="Arial" w:cs="Arial"/>
          <w:spacing w:val="-6"/>
          <w:kern w:val="17"/>
          <w:sz w:val="16"/>
          <w:szCs w:val="16"/>
        </w:rPr>
        <w:t>eport</w:t>
      </w:r>
      <w:r>
        <w:rPr>
          <w:rFonts w:ascii="Arial" w:hAnsi="Arial" w:cs="Arial"/>
          <w:spacing w:val="-6"/>
          <w:kern w:val="17"/>
          <w:sz w:val="16"/>
          <w:szCs w:val="16"/>
        </w:rPr>
        <w:t xml:space="preserve">, </w:t>
      </w:r>
      <w:r w:rsidRPr="0060783D">
        <w:rPr>
          <w:rFonts w:ascii="Arial" w:hAnsi="Arial" w:cs="Arial"/>
          <w:spacing w:val="-6"/>
          <w:kern w:val="17"/>
          <w:sz w:val="16"/>
          <w:szCs w:val="16"/>
        </w:rPr>
        <w:t>”</w:t>
      </w:r>
      <w:r>
        <w:rPr>
          <w:rFonts w:ascii="Arial" w:hAnsi="Arial" w:cs="Arial"/>
          <w:spacing w:val="-6"/>
          <w:kern w:val="17"/>
          <w:sz w:val="16"/>
          <w:szCs w:val="16"/>
        </w:rPr>
        <w:t xml:space="preserve"> accessed July 23, 2019, </w:t>
      </w:r>
      <w:r w:rsidRPr="00D82072">
        <w:rPr>
          <w:rFonts w:ascii="Arial" w:hAnsi="Arial" w:cs="Arial"/>
          <w:spacing w:val="-6"/>
          <w:kern w:val="17"/>
          <w:sz w:val="16"/>
          <w:szCs w:val="16"/>
        </w:rPr>
        <w:t>www.pharmafile.com/news/512059/2016-top-markets-report</w:t>
      </w:r>
      <w:r>
        <w:rPr>
          <w:rFonts w:ascii="Arial" w:hAnsi="Arial" w:cs="Arial"/>
          <w:spacing w:val="-6"/>
          <w:kern w:val="17"/>
          <w:sz w:val="16"/>
          <w:szCs w:val="16"/>
        </w:rPr>
        <w:t>.</w:t>
      </w:r>
    </w:p>
  </w:endnote>
  <w:endnote w:id="28">
    <w:p w14:paraId="7C3021AB" w14:textId="77777777" w:rsidR="007C129D" w:rsidRPr="0060783D" w:rsidRDefault="007C129D" w:rsidP="00936B38">
      <w:pPr>
        <w:pStyle w:val="Fussnoten"/>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Sy Mukherjee, “Big Pharma CEOs </w:t>
      </w:r>
      <w:r>
        <w:rPr>
          <w:rFonts w:ascii="Arial" w:hAnsi="Arial" w:cs="Arial"/>
          <w:sz w:val="16"/>
          <w:szCs w:val="16"/>
        </w:rPr>
        <w:t>M</w:t>
      </w:r>
      <w:r w:rsidRPr="0060783D">
        <w:rPr>
          <w:rFonts w:ascii="Arial" w:hAnsi="Arial" w:cs="Arial"/>
          <w:sz w:val="16"/>
          <w:szCs w:val="16"/>
        </w:rPr>
        <w:t xml:space="preserve">eet with President Trump,” </w:t>
      </w:r>
      <w:r w:rsidRPr="0060783D">
        <w:rPr>
          <w:rFonts w:ascii="Arial" w:hAnsi="Arial" w:cs="Arial"/>
          <w:i/>
          <w:sz w:val="16"/>
          <w:szCs w:val="16"/>
        </w:rPr>
        <w:t>Fortune</w:t>
      </w:r>
      <w:r w:rsidRPr="0060783D">
        <w:rPr>
          <w:rFonts w:ascii="Arial" w:hAnsi="Arial" w:cs="Arial"/>
          <w:sz w:val="16"/>
          <w:szCs w:val="16"/>
        </w:rPr>
        <w:t>, January 31, 2017, accessed May 28, 2019, http://fortune.com/2017/01/31/trump-pharma-ceos-meeting-demands/.</w:t>
      </w:r>
    </w:p>
  </w:endnote>
  <w:endnote w:id="29">
    <w:p w14:paraId="5D88A4F7" w14:textId="77777777" w:rsidR="007C129D" w:rsidRPr="00DC7877" w:rsidRDefault="007C129D" w:rsidP="00936B38">
      <w:pPr>
        <w:pStyle w:val="EndnoteText"/>
        <w:jc w:val="both"/>
        <w:rPr>
          <w:rFonts w:ascii="Arial" w:hAnsi="Arial" w:cs="Arial"/>
          <w:sz w:val="16"/>
          <w:szCs w:val="16"/>
        </w:rPr>
      </w:pPr>
      <w:r w:rsidRPr="00DC7877">
        <w:rPr>
          <w:rStyle w:val="EndnoteReference"/>
          <w:rFonts w:ascii="Arial" w:hAnsi="Arial" w:cs="Arial"/>
          <w:sz w:val="16"/>
          <w:szCs w:val="16"/>
        </w:rPr>
        <w:endnoteRef/>
      </w:r>
      <w:r w:rsidRPr="00DC7877">
        <w:rPr>
          <w:rFonts w:ascii="Arial" w:hAnsi="Arial" w:cs="Arial"/>
          <w:sz w:val="16"/>
          <w:szCs w:val="16"/>
        </w:rPr>
        <w:t xml:space="preserve"> </w:t>
      </w:r>
      <w:r w:rsidRPr="00DC7877">
        <w:rPr>
          <w:rStyle w:val="FussnoteZchn"/>
          <w:rFonts w:ascii="Arial" w:eastAsia="Calibri" w:hAnsi="Arial" w:cs="Arial"/>
          <w:sz w:val="16"/>
          <w:szCs w:val="16"/>
        </w:rPr>
        <w:t>Patent-cliff</w:t>
      </w:r>
      <w:r w:rsidRPr="00DC7877">
        <w:rPr>
          <w:rStyle w:val="FussnoteZchn"/>
          <w:rFonts w:ascii="Arial" w:eastAsia="Calibri" w:hAnsi="Arial" w:cs="Arial"/>
          <w:sz w:val="16"/>
          <w:szCs w:val="16"/>
          <w:lang w:val="en-CA"/>
        </w:rPr>
        <w:t xml:space="preserve"> was when a</w:t>
      </w:r>
      <w:r w:rsidRPr="00DC7877">
        <w:rPr>
          <w:rStyle w:val="FussnoteZchn"/>
          <w:rFonts w:ascii="Arial" w:eastAsia="Calibri" w:hAnsi="Arial" w:cs="Arial"/>
          <w:sz w:val="16"/>
          <w:szCs w:val="16"/>
        </w:rPr>
        <w:t xml:space="preserve"> company’s sales numbers “f</w:t>
      </w:r>
      <w:r w:rsidRPr="00DC7877">
        <w:rPr>
          <w:rStyle w:val="FussnoteZchn"/>
          <w:rFonts w:ascii="Arial" w:eastAsia="Calibri" w:hAnsi="Arial" w:cs="Arial"/>
          <w:sz w:val="16"/>
          <w:szCs w:val="16"/>
          <w:lang w:val="en-CA"/>
        </w:rPr>
        <w:t>e</w:t>
      </w:r>
      <w:r w:rsidRPr="00DC7877">
        <w:rPr>
          <w:rStyle w:val="FussnoteZchn"/>
          <w:rFonts w:ascii="Arial" w:eastAsia="Calibri" w:hAnsi="Arial" w:cs="Arial"/>
          <w:sz w:val="16"/>
          <w:szCs w:val="16"/>
        </w:rPr>
        <w:t xml:space="preserve">ll off a cliff” as one or more established products </w:t>
      </w:r>
      <w:r w:rsidRPr="00DC7877">
        <w:rPr>
          <w:rStyle w:val="FussnoteZchn"/>
          <w:rFonts w:ascii="Arial" w:eastAsia="Calibri" w:hAnsi="Arial" w:cs="Arial"/>
          <w:sz w:val="16"/>
          <w:szCs w:val="16"/>
          <w:lang w:val="en-CA"/>
        </w:rPr>
        <w:t>went</w:t>
      </w:r>
      <w:r w:rsidRPr="00DC7877">
        <w:rPr>
          <w:rStyle w:val="FussnoteZchn"/>
          <w:rFonts w:ascii="Arial" w:eastAsia="Calibri" w:hAnsi="Arial" w:cs="Arial"/>
          <w:sz w:val="16"/>
          <w:szCs w:val="16"/>
        </w:rPr>
        <w:t xml:space="preserve"> off-patent and other companies (i.e., generics producers) c</w:t>
      </w:r>
      <w:r w:rsidRPr="00DC7877">
        <w:rPr>
          <w:rStyle w:val="FussnoteZchn"/>
          <w:rFonts w:ascii="Arial" w:eastAsia="Calibri" w:hAnsi="Arial" w:cs="Arial"/>
          <w:sz w:val="16"/>
          <w:szCs w:val="16"/>
          <w:lang w:val="en-CA"/>
        </w:rPr>
        <w:t>ould</w:t>
      </w:r>
      <w:r w:rsidRPr="00DC7877">
        <w:rPr>
          <w:rStyle w:val="FussnoteZchn"/>
          <w:rFonts w:ascii="Arial" w:eastAsia="Calibri" w:hAnsi="Arial" w:cs="Arial"/>
          <w:sz w:val="16"/>
          <w:szCs w:val="16"/>
        </w:rPr>
        <w:t xml:space="preserve"> produce them </w:t>
      </w:r>
      <w:r w:rsidRPr="00DC7877">
        <w:rPr>
          <w:rStyle w:val="FussnoteZchn"/>
          <w:rFonts w:ascii="Arial" w:eastAsia="Calibri" w:hAnsi="Arial" w:cs="Arial"/>
          <w:sz w:val="16"/>
          <w:szCs w:val="16"/>
          <w:lang w:val="en-CA"/>
        </w:rPr>
        <w:t>more</w:t>
      </w:r>
      <w:r w:rsidRPr="00DC7877">
        <w:rPr>
          <w:rStyle w:val="FussnoteZchn"/>
          <w:rFonts w:ascii="Arial" w:eastAsia="Calibri" w:hAnsi="Arial" w:cs="Arial"/>
          <w:sz w:val="16"/>
          <w:szCs w:val="16"/>
        </w:rPr>
        <w:t xml:space="preserve"> cheap</w:t>
      </w:r>
      <w:r w:rsidRPr="00DC7877">
        <w:rPr>
          <w:rStyle w:val="FussnoteZchn"/>
          <w:rFonts w:ascii="Arial" w:eastAsia="Calibri" w:hAnsi="Arial" w:cs="Arial"/>
          <w:sz w:val="16"/>
          <w:szCs w:val="16"/>
          <w:lang w:val="en-CA"/>
        </w:rPr>
        <w:t>ly</w:t>
      </w:r>
      <w:r w:rsidRPr="00DC7877">
        <w:rPr>
          <w:rStyle w:val="FussnoteZchn"/>
          <w:rFonts w:ascii="Arial" w:eastAsia="Calibri" w:hAnsi="Arial" w:cs="Arial"/>
          <w:sz w:val="16"/>
          <w:szCs w:val="16"/>
        </w:rPr>
        <w:t>.</w:t>
      </w:r>
    </w:p>
  </w:endnote>
  <w:endnote w:id="30">
    <w:p w14:paraId="5E2D7DB5" w14:textId="77777777" w:rsidR="007C129D" w:rsidRPr="0030399D" w:rsidRDefault="007C129D" w:rsidP="00936B38">
      <w:pPr>
        <w:pStyle w:val="SourceBeschriftung"/>
        <w:spacing w:before="0" w:after="0" w:line="240" w:lineRule="auto"/>
        <w:jc w:val="both"/>
        <w:rPr>
          <w:sz w:val="16"/>
          <w:szCs w:val="16"/>
          <w:lang w:val="de-DE"/>
        </w:rPr>
      </w:pPr>
      <w:r w:rsidRPr="0060783D">
        <w:rPr>
          <w:rFonts w:ascii="Arial" w:hAnsi="Arial" w:cs="Arial"/>
          <w:sz w:val="16"/>
          <w:szCs w:val="16"/>
          <w:vertAlign w:val="superscript"/>
        </w:rPr>
        <w:endnoteRef/>
      </w:r>
      <w:r w:rsidRPr="0030399D">
        <w:rPr>
          <w:rFonts w:ascii="Arial" w:hAnsi="Arial" w:cs="Arial"/>
          <w:sz w:val="16"/>
          <w:szCs w:val="16"/>
          <w:lang w:val="de-DE"/>
        </w:rPr>
        <w:t xml:space="preserve"> Evaluate, op. cit.</w:t>
      </w:r>
    </w:p>
  </w:endnote>
  <w:endnote w:id="31">
    <w:p w14:paraId="123C6AC3" w14:textId="77777777" w:rsidR="007C129D" w:rsidRPr="0030399D" w:rsidRDefault="007C129D" w:rsidP="00936B38">
      <w:pPr>
        <w:pStyle w:val="IVEYText"/>
        <w:rPr>
          <w:rFonts w:ascii="Arial" w:hAnsi="Arial" w:cs="Arial"/>
          <w:sz w:val="16"/>
          <w:szCs w:val="16"/>
          <w:lang w:val="de-DE"/>
        </w:rPr>
      </w:pPr>
      <w:r w:rsidRPr="0060783D">
        <w:rPr>
          <w:rFonts w:ascii="Arial" w:eastAsia="Times New Roman" w:hAnsi="Arial" w:cs="Arial"/>
          <w:noProof w:val="0"/>
          <w:sz w:val="16"/>
          <w:szCs w:val="16"/>
          <w:vertAlign w:val="superscript"/>
          <w:lang w:eastAsia="de-DE"/>
        </w:rPr>
        <w:endnoteRef/>
      </w:r>
      <w:r w:rsidRPr="0030399D">
        <w:rPr>
          <w:rFonts w:ascii="Arial" w:eastAsia="Times New Roman" w:hAnsi="Arial" w:cs="Arial"/>
          <w:noProof w:val="0"/>
          <w:sz w:val="16"/>
          <w:szCs w:val="16"/>
          <w:lang w:val="de-DE" w:eastAsia="de-DE"/>
        </w:rPr>
        <w:t xml:space="preserve"> </w:t>
      </w:r>
      <w:r w:rsidRPr="0030399D">
        <w:rPr>
          <w:rStyle w:val="FussnotenZchn"/>
          <w:rFonts w:ascii="Arial" w:hAnsi="Arial" w:cs="Arial"/>
          <w:sz w:val="16"/>
          <w:szCs w:val="16"/>
          <w:lang w:val="de-DE"/>
        </w:rPr>
        <w:t xml:space="preserve">Bremmer, op. cit.; </w:t>
      </w:r>
      <w:r w:rsidRPr="0060783D">
        <w:rPr>
          <w:rFonts w:ascii="Arial" w:hAnsi="Arial" w:cs="Arial"/>
          <w:sz w:val="16"/>
          <w:szCs w:val="16"/>
          <w:lang w:val="de-CH"/>
        </w:rPr>
        <w:t xml:space="preserve">Spiegel, “Indien: Roche nimmt Patentantrag für Krebsmedikamente zurück,” </w:t>
      </w:r>
      <w:r w:rsidRPr="0060783D">
        <w:rPr>
          <w:rFonts w:ascii="Arial" w:hAnsi="Arial" w:cs="Arial"/>
          <w:i/>
          <w:sz w:val="16"/>
          <w:szCs w:val="16"/>
          <w:lang w:val="de-CH"/>
        </w:rPr>
        <w:t>Spiegel</w:t>
      </w:r>
      <w:r w:rsidRPr="0060783D">
        <w:rPr>
          <w:rFonts w:ascii="Arial" w:hAnsi="Arial" w:cs="Arial"/>
          <w:sz w:val="16"/>
          <w:szCs w:val="16"/>
          <w:lang w:val="de-CH"/>
        </w:rPr>
        <w:t>, August 17, 2013.</w:t>
      </w:r>
      <w:r w:rsidRPr="0030399D">
        <w:rPr>
          <w:rStyle w:val="FussnotenZchn"/>
          <w:rFonts w:ascii="Arial" w:hAnsi="Arial" w:cs="Arial"/>
          <w:sz w:val="16"/>
          <w:szCs w:val="16"/>
          <w:lang w:val="de-DE"/>
        </w:rPr>
        <w:t xml:space="preserve"> </w:t>
      </w:r>
    </w:p>
  </w:endnote>
  <w:endnote w:id="32">
    <w:p w14:paraId="32D884CC" w14:textId="21E65CFE" w:rsidR="007C129D" w:rsidRPr="0060783D" w:rsidRDefault="007C129D" w:rsidP="00936B38">
      <w:pPr>
        <w:pStyle w:val="IVEYText"/>
        <w:rPr>
          <w:rFonts w:ascii="Arial" w:eastAsia="Times New Roman" w:hAnsi="Arial" w:cs="Arial"/>
          <w:noProof w:val="0"/>
          <w:sz w:val="16"/>
          <w:szCs w:val="16"/>
          <w:lang w:eastAsia="de-DE"/>
        </w:rPr>
      </w:pPr>
      <w:r w:rsidRPr="0060783D">
        <w:rPr>
          <w:rFonts w:ascii="Arial" w:eastAsia="Times New Roman" w:hAnsi="Arial" w:cs="Arial"/>
          <w:noProof w:val="0"/>
          <w:sz w:val="16"/>
          <w:szCs w:val="16"/>
          <w:vertAlign w:val="superscript"/>
          <w:lang w:eastAsia="de-DE"/>
        </w:rPr>
        <w:endnoteRef/>
      </w:r>
      <w:r w:rsidRPr="0060783D">
        <w:rPr>
          <w:rFonts w:ascii="Arial" w:eastAsia="Times New Roman" w:hAnsi="Arial" w:cs="Arial"/>
          <w:noProof w:val="0"/>
          <w:sz w:val="16"/>
          <w:szCs w:val="16"/>
          <w:vertAlign w:val="superscript"/>
          <w:lang w:eastAsia="de-DE"/>
        </w:rPr>
        <w:t xml:space="preserve"> </w:t>
      </w:r>
      <w:r w:rsidRPr="0060783D">
        <w:rPr>
          <w:rFonts w:ascii="Arial" w:eastAsia="Times New Roman" w:hAnsi="Arial" w:cs="Arial"/>
          <w:noProof w:val="0"/>
          <w:sz w:val="16"/>
          <w:szCs w:val="16"/>
          <w:lang w:eastAsia="de-DE"/>
        </w:rPr>
        <w:t>O</w:t>
      </w:r>
      <w:r w:rsidRPr="0060783D">
        <w:rPr>
          <w:rFonts w:ascii="Arial" w:hAnsi="Arial" w:cs="Arial"/>
          <w:noProof w:val="0"/>
          <w:sz w:val="16"/>
          <w:szCs w:val="16"/>
        </w:rPr>
        <w:t xml:space="preserve">ther WTO members allowed for an extension of the Sutent patent protection. </w:t>
      </w:r>
      <w:r w:rsidRPr="00936B38">
        <w:rPr>
          <w:rFonts w:ascii="Arial" w:hAnsi="Arial" w:cs="Arial"/>
          <w:noProof w:val="0"/>
          <w:sz w:val="16"/>
          <w:szCs w:val="16"/>
        </w:rPr>
        <w:t xml:space="preserve">However, a 2012 article in the </w:t>
      </w:r>
      <w:r w:rsidRPr="00936B38">
        <w:rPr>
          <w:rFonts w:ascii="Arial" w:hAnsi="Arial" w:cs="Arial"/>
          <w:i/>
          <w:noProof w:val="0"/>
          <w:sz w:val="16"/>
          <w:szCs w:val="16"/>
        </w:rPr>
        <w:t>Economist</w:t>
      </w:r>
      <w:r w:rsidRPr="00936B38">
        <w:rPr>
          <w:rFonts w:ascii="Arial" w:hAnsi="Arial" w:cs="Arial"/>
          <w:noProof w:val="0"/>
          <w:sz w:val="16"/>
          <w:szCs w:val="16"/>
        </w:rPr>
        <w:t xml:space="preserve"> noted that “a</w:t>
      </w:r>
      <w:r w:rsidRPr="00936B38">
        <w:rPr>
          <w:rFonts w:ascii="Arial" w:eastAsia="Times New Roman" w:hAnsi="Arial" w:cs="Arial"/>
          <w:noProof w:val="0"/>
          <w:sz w:val="16"/>
          <w:szCs w:val="16"/>
          <w:lang w:eastAsia="de-DE"/>
        </w:rPr>
        <w:t xml:space="preserve"> WTO agreement allows countries, in some instances, to force a firm to license a patented</w:t>
      </w:r>
      <w:r w:rsidRPr="0060783D">
        <w:rPr>
          <w:rFonts w:ascii="Arial" w:eastAsia="Times New Roman" w:hAnsi="Arial" w:cs="Arial"/>
          <w:noProof w:val="0"/>
          <w:sz w:val="16"/>
          <w:szCs w:val="16"/>
          <w:lang w:eastAsia="de-DE"/>
        </w:rPr>
        <w:t xml:space="preserve"> drug to a generic company. India’s rules give officials broad powers to do this</w:t>
      </w:r>
      <w:r>
        <w:rPr>
          <w:rFonts w:ascii="Arial" w:eastAsia="Times New Roman" w:hAnsi="Arial" w:cs="Arial"/>
          <w:noProof w:val="0"/>
          <w:sz w:val="16"/>
          <w:szCs w:val="16"/>
          <w:lang w:eastAsia="de-DE"/>
        </w:rPr>
        <w:t>;</w:t>
      </w:r>
      <w:r w:rsidRPr="0060783D">
        <w:rPr>
          <w:rFonts w:ascii="Arial" w:eastAsia="Times New Roman" w:hAnsi="Arial" w:cs="Arial"/>
          <w:noProof w:val="0"/>
          <w:sz w:val="16"/>
          <w:szCs w:val="16"/>
          <w:lang w:eastAsia="de-DE"/>
        </w:rPr>
        <w:t xml:space="preserve">” </w:t>
      </w:r>
      <w:r>
        <w:rPr>
          <w:rFonts w:ascii="Arial" w:eastAsia="Times New Roman" w:hAnsi="Arial" w:cs="Arial"/>
          <w:noProof w:val="0"/>
          <w:sz w:val="16"/>
          <w:szCs w:val="16"/>
          <w:lang w:eastAsia="de-DE"/>
        </w:rPr>
        <w:t>The Economist, “</w:t>
      </w:r>
      <w:r w:rsidRPr="00AA737B">
        <w:rPr>
          <w:rFonts w:ascii="Arial" w:eastAsia="Times New Roman" w:hAnsi="Arial" w:cs="Arial"/>
          <w:noProof w:val="0"/>
          <w:sz w:val="16"/>
          <w:szCs w:val="16"/>
          <w:lang w:eastAsia="de-DE"/>
        </w:rPr>
        <w:t>Indian drug patents</w:t>
      </w:r>
      <w:r>
        <w:rPr>
          <w:rFonts w:ascii="Arial" w:eastAsia="Times New Roman" w:hAnsi="Arial" w:cs="Arial"/>
          <w:noProof w:val="0"/>
          <w:sz w:val="16"/>
          <w:szCs w:val="16"/>
          <w:lang w:eastAsia="de-DE"/>
        </w:rPr>
        <w:t xml:space="preserve">: </w:t>
      </w:r>
      <w:r w:rsidRPr="00AA737B">
        <w:rPr>
          <w:rFonts w:ascii="Arial" w:eastAsia="Times New Roman" w:hAnsi="Arial" w:cs="Arial"/>
          <w:noProof w:val="0"/>
          <w:sz w:val="16"/>
          <w:szCs w:val="16"/>
          <w:lang w:eastAsia="de-DE"/>
        </w:rPr>
        <w:t>Taking pains</w:t>
      </w:r>
      <w:r>
        <w:rPr>
          <w:rFonts w:ascii="Arial" w:eastAsia="Times New Roman" w:hAnsi="Arial" w:cs="Arial"/>
          <w:noProof w:val="0"/>
          <w:sz w:val="16"/>
          <w:szCs w:val="16"/>
          <w:lang w:eastAsia="de-DE"/>
        </w:rPr>
        <w:t xml:space="preserve">,” Economist, September 8, 2012, accessed May 13, 2019, </w:t>
      </w:r>
      <w:r w:rsidR="00DC7877">
        <w:rPr>
          <w:rFonts w:ascii="Arial" w:eastAsia="Times New Roman" w:hAnsi="Arial" w:cs="Arial"/>
          <w:noProof w:val="0"/>
          <w:sz w:val="16"/>
          <w:szCs w:val="16"/>
          <w:lang w:eastAsia="de-DE"/>
        </w:rPr>
        <w:t>www</w:t>
      </w:r>
      <w:r w:rsidRPr="00AA737B">
        <w:rPr>
          <w:rFonts w:ascii="Arial" w:eastAsia="Times New Roman" w:hAnsi="Arial" w:cs="Arial"/>
          <w:noProof w:val="0"/>
          <w:sz w:val="16"/>
          <w:szCs w:val="16"/>
          <w:lang w:eastAsia="de-DE"/>
        </w:rPr>
        <w:t>.economist.com/business/2012/09/08/taking-pains</w:t>
      </w:r>
      <w:r>
        <w:rPr>
          <w:rFonts w:ascii="Arial" w:eastAsia="Times New Roman" w:hAnsi="Arial" w:cs="Arial"/>
          <w:noProof w:val="0"/>
          <w:sz w:val="16"/>
          <w:szCs w:val="16"/>
          <w:lang w:eastAsia="de-DE"/>
        </w:rPr>
        <w:t>.</w:t>
      </w:r>
    </w:p>
  </w:endnote>
  <w:endnote w:id="33">
    <w:p w14:paraId="376B444D" w14:textId="431C2A4C" w:rsidR="007C129D" w:rsidRPr="0060783D" w:rsidRDefault="007C129D" w:rsidP="00936B38">
      <w:pPr>
        <w:pStyle w:val="Footnote"/>
        <w:rPr>
          <w:sz w:val="16"/>
          <w:szCs w:val="16"/>
        </w:rPr>
      </w:pPr>
      <w:r w:rsidRPr="0060783D">
        <w:rPr>
          <w:rStyle w:val="EndnoteReference"/>
          <w:sz w:val="16"/>
          <w:szCs w:val="16"/>
        </w:rPr>
        <w:endnoteRef/>
      </w:r>
      <w:r>
        <w:rPr>
          <w:sz w:val="16"/>
          <w:szCs w:val="16"/>
        </w:rPr>
        <w:t> </w:t>
      </w:r>
      <w:r w:rsidRPr="0060783D">
        <w:rPr>
          <w:sz w:val="16"/>
          <w:szCs w:val="16"/>
        </w:rPr>
        <w:t>The</w:t>
      </w:r>
      <w:r>
        <w:rPr>
          <w:sz w:val="16"/>
          <w:szCs w:val="16"/>
        </w:rPr>
        <w:t> </w:t>
      </w:r>
      <w:r w:rsidRPr="0060783D">
        <w:rPr>
          <w:sz w:val="16"/>
          <w:szCs w:val="16"/>
        </w:rPr>
        <w:t>Economist,</w:t>
      </w:r>
      <w:r>
        <w:rPr>
          <w:sz w:val="16"/>
          <w:szCs w:val="16"/>
        </w:rPr>
        <w:t> </w:t>
      </w:r>
      <w:r w:rsidRPr="0060783D">
        <w:rPr>
          <w:sz w:val="16"/>
          <w:szCs w:val="16"/>
        </w:rPr>
        <w:t>“A</w:t>
      </w:r>
      <w:r>
        <w:rPr>
          <w:sz w:val="16"/>
          <w:szCs w:val="16"/>
        </w:rPr>
        <w:t> F</w:t>
      </w:r>
      <w:r w:rsidRPr="0060783D">
        <w:rPr>
          <w:sz w:val="16"/>
          <w:szCs w:val="16"/>
        </w:rPr>
        <w:t>ool’s</w:t>
      </w:r>
      <w:r>
        <w:rPr>
          <w:sz w:val="16"/>
          <w:szCs w:val="16"/>
        </w:rPr>
        <w:t> G</w:t>
      </w:r>
      <w:r w:rsidRPr="0060783D">
        <w:rPr>
          <w:sz w:val="16"/>
          <w:szCs w:val="16"/>
        </w:rPr>
        <w:t>ame,”</w:t>
      </w:r>
      <w:r>
        <w:rPr>
          <w:sz w:val="16"/>
          <w:szCs w:val="16"/>
        </w:rPr>
        <w:t> </w:t>
      </w:r>
      <w:r w:rsidRPr="0060783D">
        <w:rPr>
          <w:i/>
          <w:sz w:val="16"/>
          <w:szCs w:val="16"/>
        </w:rPr>
        <w:t>Economist</w:t>
      </w:r>
      <w:r w:rsidRPr="0060783D">
        <w:rPr>
          <w:sz w:val="16"/>
          <w:szCs w:val="16"/>
        </w:rPr>
        <w:t>,</w:t>
      </w:r>
      <w:r>
        <w:rPr>
          <w:sz w:val="16"/>
          <w:szCs w:val="16"/>
        </w:rPr>
        <w:t> </w:t>
      </w:r>
      <w:r w:rsidRPr="0060783D">
        <w:rPr>
          <w:sz w:val="16"/>
          <w:szCs w:val="16"/>
        </w:rPr>
        <w:t>April</w:t>
      </w:r>
      <w:r>
        <w:rPr>
          <w:sz w:val="16"/>
          <w:szCs w:val="16"/>
        </w:rPr>
        <w:t> </w:t>
      </w:r>
      <w:r w:rsidRPr="0060783D">
        <w:rPr>
          <w:sz w:val="16"/>
          <w:szCs w:val="16"/>
        </w:rPr>
        <w:t>1,</w:t>
      </w:r>
      <w:r>
        <w:rPr>
          <w:sz w:val="16"/>
          <w:szCs w:val="16"/>
        </w:rPr>
        <w:t> </w:t>
      </w:r>
      <w:r w:rsidRPr="0060783D">
        <w:rPr>
          <w:sz w:val="16"/>
          <w:szCs w:val="16"/>
        </w:rPr>
        <w:t>2013,</w:t>
      </w:r>
      <w:r>
        <w:rPr>
          <w:sz w:val="16"/>
          <w:szCs w:val="16"/>
        </w:rPr>
        <w:t> </w:t>
      </w:r>
      <w:r w:rsidRPr="0060783D">
        <w:rPr>
          <w:sz w:val="16"/>
          <w:szCs w:val="16"/>
        </w:rPr>
        <w:t>accessed</w:t>
      </w:r>
      <w:r>
        <w:rPr>
          <w:sz w:val="16"/>
          <w:szCs w:val="16"/>
        </w:rPr>
        <w:t> </w:t>
      </w:r>
      <w:r w:rsidRPr="0060783D">
        <w:rPr>
          <w:sz w:val="16"/>
          <w:szCs w:val="16"/>
        </w:rPr>
        <w:t>May</w:t>
      </w:r>
      <w:r>
        <w:rPr>
          <w:sz w:val="16"/>
          <w:szCs w:val="16"/>
        </w:rPr>
        <w:t> </w:t>
      </w:r>
      <w:r w:rsidRPr="0060783D">
        <w:rPr>
          <w:sz w:val="16"/>
          <w:szCs w:val="16"/>
        </w:rPr>
        <w:t>28,</w:t>
      </w:r>
      <w:r>
        <w:rPr>
          <w:sz w:val="16"/>
          <w:szCs w:val="16"/>
        </w:rPr>
        <w:t> </w:t>
      </w:r>
      <w:r w:rsidRPr="0060783D">
        <w:rPr>
          <w:sz w:val="16"/>
          <w:szCs w:val="16"/>
        </w:rPr>
        <w:t>2019,</w:t>
      </w:r>
      <w:r>
        <w:rPr>
          <w:sz w:val="16"/>
          <w:szCs w:val="16"/>
        </w:rPr>
        <w:t> </w:t>
      </w:r>
      <w:r w:rsidRPr="0060783D">
        <w:rPr>
          <w:sz w:val="16"/>
          <w:szCs w:val="16"/>
        </w:rPr>
        <w:t>www.economist.com/schumpeter/2013/04/01/a-fools-game.</w:t>
      </w:r>
    </w:p>
  </w:endnote>
  <w:endnote w:id="34">
    <w:p w14:paraId="29280EAC" w14:textId="77777777" w:rsidR="007C129D" w:rsidRPr="0060783D" w:rsidRDefault="007C129D" w:rsidP="00936B38">
      <w:pPr>
        <w:pStyle w:val="WUSource"/>
        <w:spacing w:before="0" w:line="240" w:lineRule="auto"/>
        <w:rPr>
          <w:rFonts w:ascii="Arial" w:hAnsi="Arial" w:cs="Arial"/>
          <w:sz w:val="16"/>
          <w:szCs w:val="16"/>
        </w:rPr>
      </w:pPr>
      <w:r w:rsidRPr="0060783D">
        <w:rPr>
          <w:rStyle w:val="EndnoteReference"/>
          <w:rFonts w:ascii="Arial" w:hAnsi="Arial" w:cs="Arial"/>
          <w:i w:val="0"/>
          <w:sz w:val="16"/>
          <w:szCs w:val="16"/>
        </w:rPr>
        <w:endnoteRef/>
      </w:r>
      <w:r w:rsidRPr="0060783D">
        <w:rPr>
          <w:rFonts w:ascii="Arial" w:hAnsi="Arial" w:cs="Arial"/>
          <w:sz w:val="16"/>
          <w:szCs w:val="16"/>
        </w:rPr>
        <w:t xml:space="preserve"> </w:t>
      </w:r>
      <w:r w:rsidRPr="0060783D">
        <w:rPr>
          <w:rFonts w:ascii="Arial" w:hAnsi="Arial" w:cs="Arial"/>
          <w:i w:val="0"/>
          <w:sz w:val="16"/>
          <w:szCs w:val="16"/>
        </w:rPr>
        <w:t xml:space="preserve">The Economist, “FDA </w:t>
      </w:r>
      <w:r>
        <w:rPr>
          <w:rFonts w:ascii="Arial" w:hAnsi="Arial" w:cs="Arial"/>
          <w:i w:val="0"/>
          <w:sz w:val="16"/>
          <w:szCs w:val="16"/>
        </w:rPr>
        <w:t>W</w:t>
      </w:r>
      <w:r w:rsidRPr="0060783D">
        <w:rPr>
          <w:rFonts w:ascii="Arial" w:hAnsi="Arial" w:cs="Arial"/>
          <w:i w:val="0"/>
          <w:sz w:val="16"/>
          <w:szCs w:val="16"/>
        </w:rPr>
        <w:t xml:space="preserve">ants to </w:t>
      </w:r>
      <w:r>
        <w:rPr>
          <w:rFonts w:ascii="Arial" w:hAnsi="Arial" w:cs="Arial"/>
          <w:i w:val="0"/>
          <w:sz w:val="16"/>
          <w:szCs w:val="16"/>
        </w:rPr>
        <w:t>H</w:t>
      </w:r>
      <w:r w:rsidRPr="0060783D">
        <w:rPr>
          <w:rFonts w:ascii="Arial" w:hAnsi="Arial" w:cs="Arial"/>
          <w:i w:val="0"/>
          <w:sz w:val="16"/>
          <w:szCs w:val="16"/>
        </w:rPr>
        <w:t xml:space="preserve">elp </w:t>
      </w:r>
      <w:r>
        <w:rPr>
          <w:rFonts w:ascii="Arial" w:hAnsi="Arial" w:cs="Arial"/>
          <w:i w:val="0"/>
          <w:sz w:val="16"/>
          <w:szCs w:val="16"/>
        </w:rPr>
        <w:t>U</w:t>
      </w:r>
      <w:r w:rsidRPr="0060783D">
        <w:rPr>
          <w:rFonts w:ascii="Arial" w:hAnsi="Arial" w:cs="Arial"/>
          <w:i w:val="0"/>
          <w:sz w:val="16"/>
          <w:szCs w:val="16"/>
        </w:rPr>
        <w:t xml:space="preserve">nproductive </w:t>
      </w:r>
      <w:r>
        <w:rPr>
          <w:rFonts w:ascii="Arial" w:hAnsi="Arial" w:cs="Arial"/>
          <w:i w:val="0"/>
          <w:sz w:val="16"/>
          <w:szCs w:val="16"/>
        </w:rPr>
        <w:t>D</w:t>
      </w:r>
      <w:r w:rsidRPr="0060783D">
        <w:rPr>
          <w:rFonts w:ascii="Arial" w:hAnsi="Arial" w:cs="Arial"/>
          <w:i w:val="0"/>
          <w:sz w:val="16"/>
          <w:szCs w:val="16"/>
        </w:rPr>
        <w:t xml:space="preserve">rug </w:t>
      </w:r>
      <w:r>
        <w:rPr>
          <w:rFonts w:ascii="Arial" w:hAnsi="Arial" w:cs="Arial"/>
          <w:i w:val="0"/>
          <w:sz w:val="16"/>
          <w:szCs w:val="16"/>
        </w:rPr>
        <w:t>M</w:t>
      </w:r>
      <w:r w:rsidRPr="0060783D">
        <w:rPr>
          <w:rFonts w:ascii="Arial" w:hAnsi="Arial" w:cs="Arial"/>
          <w:i w:val="0"/>
          <w:sz w:val="16"/>
          <w:szCs w:val="16"/>
        </w:rPr>
        <w:t>akers.” op. cit.</w:t>
      </w:r>
    </w:p>
  </w:endnote>
  <w:endnote w:id="35">
    <w:p w14:paraId="00C7A804" w14:textId="77777777" w:rsidR="007C129D" w:rsidRPr="0060783D" w:rsidRDefault="007C129D" w:rsidP="00936B38">
      <w:pPr>
        <w:pStyle w:val="EndnoteText"/>
        <w:jc w:val="both"/>
        <w:rPr>
          <w:rFonts w:ascii="Verdana" w:hAnsi="Verdana"/>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Peter Pollak, </w:t>
      </w:r>
      <w:r w:rsidRPr="0060783D">
        <w:rPr>
          <w:rFonts w:ascii="Arial" w:hAnsi="Arial" w:cs="Arial"/>
          <w:i/>
          <w:sz w:val="16"/>
          <w:szCs w:val="16"/>
        </w:rPr>
        <w:t>Fine Chemicals – The Industry and the Business</w:t>
      </w:r>
      <w:r w:rsidRPr="0060783D">
        <w:rPr>
          <w:rFonts w:ascii="Arial" w:hAnsi="Arial" w:cs="Arial"/>
          <w:sz w:val="16"/>
          <w:szCs w:val="16"/>
        </w:rPr>
        <w:t xml:space="preserve">, 2nd ed. (Wiley &amp; Sons: New Jersey, 2011).  </w:t>
      </w:r>
    </w:p>
  </w:endnote>
  <w:endnote w:id="36">
    <w:p w14:paraId="0A5D11E0" w14:textId="77777777" w:rsidR="007C129D" w:rsidRPr="0060783D" w:rsidRDefault="007C129D" w:rsidP="007C129D">
      <w:pPr>
        <w:pStyle w:val="EndnoteText"/>
        <w:jc w:val="both"/>
        <w:rPr>
          <w:rFonts w:ascii="Arial" w:eastAsiaTheme="minorHAnsi" w:hAnsi="Arial" w:cs="Arial"/>
          <w:sz w:val="16"/>
          <w:szCs w:val="16"/>
        </w:rPr>
      </w:pPr>
      <w:r w:rsidRPr="0060783D">
        <w:rPr>
          <w:rFonts w:ascii="Arial" w:eastAsiaTheme="minorHAnsi" w:hAnsi="Arial" w:cs="Arial"/>
          <w:sz w:val="16"/>
          <w:szCs w:val="16"/>
          <w:vertAlign w:val="superscript"/>
        </w:rPr>
        <w:endnoteRef/>
      </w:r>
      <w:r w:rsidRPr="0060783D">
        <w:rPr>
          <w:rFonts w:ascii="Arial" w:eastAsiaTheme="minorHAnsi" w:hAnsi="Arial" w:cs="Arial"/>
          <w:sz w:val="16"/>
          <w:szCs w:val="16"/>
        </w:rPr>
        <w:t xml:space="preserve"> </w:t>
      </w:r>
      <w:r w:rsidRPr="0060783D">
        <w:rPr>
          <w:rFonts w:ascii="Arial" w:hAnsi="Arial" w:cs="Arial"/>
          <w:sz w:val="16"/>
          <w:szCs w:val="16"/>
        </w:rPr>
        <w:t xml:space="preserve">EFPIA, op. cit. </w:t>
      </w:r>
    </w:p>
  </w:endnote>
  <w:endnote w:id="37">
    <w:p w14:paraId="44A1F9ED" w14:textId="77777777" w:rsidR="007C129D" w:rsidRPr="0060783D" w:rsidRDefault="007C129D" w:rsidP="00936B38">
      <w:pPr>
        <w:pStyle w:val="Fussnoten"/>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OECD, “Global Forum on Competition,” OECD, accessed May 13, 2019, www.oecd.org/competition/globalforum/fighting-corruption-and-promoting-competition.htm.</w:t>
      </w:r>
    </w:p>
  </w:endnote>
  <w:endnote w:id="38">
    <w:p w14:paraId="14FDD7FE" w14:textId="77777777" w:rsidR="007C129D" w:rsidRPr="0060783D" w:rsidRDefault="007C129D" w:rsidP="00936B38">
      <w:pPr>
        <w:pStyle w:val="EndnoteText"/>
        <w:jc w:val="both"/>
        <w:rPr>
          <w:rFonts w:ascii="Verdana" w:hAnsi="Verdana"/>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EFPIA, op. cit. </w:t>
      </w:r>
    </w:p>
  </w:endnote>
  <w:endnote w:id="39">
    <w:p w14:paraId="6953EC29" w14:textId="77777777" w:rsidR="007C129D" w:rsidRPr="0060783D" w:rsidRDefault="007C129D" w:rsidP="00936B38">
      <w:pPr>
        <w:pStyle w:val="SourceBeschriftung"/>
        <w:spacing w:before="0" w:after="0" w:line="240" w:lineRule="auto"/>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Mukherjee, op. cit</w:t>
      </w:r>
      <w:r>
        <w:rPr>
          <w:rFonts w:ascii="Arial" w:hAnsi="Arial" w:cs="Arial"/>
          <w:sz w:val="16"/>
          <w:szCs w:val="16"/>
        </w:rPr>
        <w:t>.</w:t>
      </w:r>
      <w:r w:rsidRPr="0060783D">
        <w:rPr>
          <w:rFonts w:ascii="Arial" w:hAnsi="Arial" w:cs="Arial"/>
          <w:sz w:val="16"/>
          <w:szCs w:val="16"/>
        </w:rPr>
        <w:t xml:space="preserve"> </w:t>
      </w:r>
    </w:p>
  </w:endnote>
  <w:endnote w:id="40">
    <w:p w14:paraId="5397C646" w14:textId="77777777" w:rsidR="007C129D" w:rsidRPr="0060783D" w:rsidRDefault="007C129D" w:rsidP="00936B38">
      <w:pPr>
        <w:pStyle w:val="Footnote"/>
        <w:rPr>
          <w:sz w:val="16"/>
          <w:szCs w:val="16"/>
        </w:rPr>
      </w:pPr>
      <w:r w:rsidRPr="0060783D">
        <w:rPr>
          <w:rStyle w:val="EndnoteReference"/>
          <w:sz w:val="16"/>
          <w:szCs w:val="16"/>
        </w:rPr>
        <w:endnoteRef/>
      </w:r>
      <w:r w:rsidRPr="0060783D">
        <w:rPr>
          <w:sz w:val="16"/>
          <w:szCs w:val="16"/>
        </w:rPr>
        <w:t xml:space="preserve"> Richard Anderson, “Pharmaceutical industry gets high on fat profits,” </w:t>
      </w:r>
      <w:r w:rsidRPr="0060783D">
        <w:rPr>
          <w:i/>
          <w:sz w:val="16"/>
          <w:szCs w:val="16"/>
        </w:rPr>
        <w:t>BBC</w:t>
      </w:r>
      <w:r w:rsidRPr="0060783D">
        <w:rPr>
          <w:sz w:val="16"/>
          <w:szCs w:val="16"/>
        </w:rPr>
        <w:t>, November 6, 2014, accessed May 29, 2019, www.bbc.com/news/business-28212223.</w:t>
      </w:r>
    </w:p>
  </w:endnote>
  <w:endnote w:id="41">
    <w:p w14:paraId="009E3C0F" w14:textId="49B483E7" w:rsidR="007C129D" w:rsidRPr="0060783D" w:rsidRDefault="007C129D" w:rsidP="00936B38">
      <w:pPr>
        <w:pStyle w:val="Footnote"/>
        <w:rPr>
          <w:sz w:val="16"/>
          <w:szCs w:val="16"/>
        </w:rPr>
      </w:pPr>
      <w:r w:rsidRPr="0060783D">
        <w:rPr>
          <w:rStyle w:val="EndnoteReference"/>
          <w:sz w:val="16"/>
          <w:szCs w:val="16"/>
        </w:rPr>
        <w:endnoteRef/>
      </w:r>
      <w:r>
        <w:rPr>
          <w:sz w:val="16"/>
          <w:szCs w:val="16"/>
        </w:rPr>
        <w:t> </w:t>
      </w:r>
      <w:r w:rsidRPr="0060783D">
        <w:rPr>
          <w:sz w:val="16"/>
          <w:szCs w:val="16"/>
        </w:rPr>
        <w:t xml:space="preserve">The Economist, “Billion </w:t>
      </w:r>
      <w:r>
        <w:rPr>
          <w:sz w:val="16"/>
          <w:szCs w:val="16"/>
        </w:rPr>
        <w:t>D</w:t>
      </w:r>
      <w:r w:rsidRPr="0060783D">
        <w:rPr>
          <w:sz w:val="16"/>
          <w:szCs w:val="16"/>
        </w:rPr>
        <w:t xml:space="preserve">ollar </w:t>
      </w:r>
      <w:r>
        <w:rPr>
          <w:sz w:val="16"/>
          <w:szCs w:val="16"/>
        </w:rPr>
        <w:t>P</w:t>
      </w:r>
      <w:r w:rsidRPr="0060783D">
        <w:rPr>
          <w:sz w:val="16"/>
          <w:szCs w:val="16"/>
        </w:rPr>
        <w:t xml:space="preserve">ills,” </w:t>
      </w:r>
      <w:r w:rsidRPr="0060783D">
        <w:rPr>
          <w:i/>
          <w:sz w:val="16"/>
          <w:szCs w:val="16"/>
        </w:rPr>
        <w:t>Economist</w:t>
      </w:r>
      <w:r w:rsidRPr="0060783D">
        <w:rPr>
          <w:sz w:val="16"/>
          <w:szCs w:val="16"/>
        </w:rPr>
        <w:t>, January 25, 2007, accessed May 29, 2019, www.economist.com/briefing/2007/01/25/billion-dollar-pills.</w:t>
      </w:r>
    </w:p>
  </w:endnote>
  <w:endnote w:id="42">
    <w:p w14:paraId="5172A9A5" w14:textId="77777777" w:rsidR="007C129D" w:rsidRPr="0060783D" w:rsidRDefault="007C129D" w:rsidP="00936B38">
      <w:pPr>
        <w:pStyle w:val="Footnote"/>
        <w:rPr>
          <w:sz w:val="16"/>
          <w:szCs w:val="16"/>
        </w:rPr>
      </w:pPr>
      <w:r w:rsidRPr="0060783D">
        <w:rPr>
          <w:rStyle w:val="EndnoteReference"/>
          <w:sz w:val="16"/>
          <w:szCs w:val="16"/>
        </w:rPr>
        <w:endnoteRef/>
      </w:r>
      <w:r w:rsidRPr="0060783D">
        <w:rPr>
          <w:sz w:val="16"/>
          <w:szCs w:val="16"/>
        </w:rPr>
        <w:t xml:space="preserve"> Jeanne Whalen and Vera Sprothen, </w:t>
      </w:r>
      <w:r>
        <w:rPr>
          <w:sz w:val="16"/>
          <w:szCs w:val="16"/>
        </w:rPr>
        <w:t>“</w:t>
      </w:r>
      <w:r w:rsidRPr="0060783D">
        <w:rPr>
          <w:sz w:val="16"/>
          <w:szCs w:val="16"/>
        </w:rPr>
        <w:t xml:space="preserve">German </w:t>
      </w:r>
      <w:r>
        <w:rPr>
          <w:sz w:val="16"/>
          <w:szCs w:val="16"/>
        </w:rPr>
        <w:t>C</w:t>
      </w:r>
      <w:r w:rsidRPr="0060783D">
        <w:rPr>
          <w:sz w:val="16"/>
          <w:szCs w:val="16"/>
        </w:rPr>
        <w:t xml:space="preserve">urbs on </w:t>
      </w:r>
      <w:r>
        <w:rPr>
          <w:sz w:val="16"/>
          <w:szCs w:val="16"/>
        </w:rPr>
        <w:t>D</w:t>
      </w:r>
      <w:r w:rsidRPr="0060783D">
        <w:rPr>
          <w:sz w:val="16"/>
          <w:szCs w:val="16"/>
        </w:rPr>
        <w:t xml:space="preserve">rug </w:t>
      </w:r>
      <w:r>
        <w:rPr>
          <w:sz w:val="16"/>
          <w:szCs w:val="16"/>
        </w:rPr>
        <w:t>C</w:t>
      </w:r>
      <w:r w:rsidRPr="0060783D">
        <w:rPr>
          <w:sz w:val="16"/>
          <w:szCs w:val="16"/>
        </w:rPr>
        <w:t xml:space="preserve">osts </w:t>
      </w:r>
      <w:r>
        <w:rPr>
          <w:sz w:val="16"/>
          <w:szCs w:val="16"/>
        </w:rPr>
        <w:t>R</w:t>
      </w:r>
      <w:r w:rsidRPr="0060783D">
        <w:rPr>
          <w:sz w:val="16"/>
          <w:szCs w:val="16"/>
        </w:rPr>
        <w:t xml:space="preserve">ile </w:t>
      </w:r>
      <w:r>
        <w:rPr>
          <w:sz w:val="16"/>
          <w:szCs w:val="16"/>
        </w:rPr>
        <w:t>B</w:t>
      </w:r>
      <w:r w:rsidRPr="0060783D">
        <w:rPr>
          <w:sz w:val="16"/>
          <w:szCs w:val="16"/>
        </w:rPr>
        <w:t xml:space="preserve">ig </w:t>
      </w:r>
      <w:r>
        <w:rPr>
          <w:sz w:val="16"/>
          <w:szCs w:val="16"/>
        </w:rPr>
        <w:t>B</w:t>
      </w:r>
      <w:r w:rsidRPr="0060783D">
        <w:rPr>
          <w:sz w:val="16"/>
          <w:szCs w:val="16"/>
        </w:rPr>
        <w:t xml:space="preserve">rands,” </w:t>
      </w:r>
      <w:r w:rsidRPr="0060783D">
        <w:rPr>
          <w:i/>
          <w:sz w:val="16"/>
          <w:szCs w:val="16"/>
        </w:rPr>
        <w:t>Wall Street Journal</w:t>
      </w:r>
      <w:r w:rsidRPr="0060783D">
        <w:rPr>
          <w:sz w:val="16"/>
          <w:szCs w:val="16"/>
        </w:rPr>
        <w:t xml:space="preserve">, May 2, 2005, accessed May 29, 2019, www.wsj.com/articles/SB111499847653821851. </w:t>
      </w:r>
    </w:p>
  </w:endnote>
  <w:endnote w:id="43">
    <w:p w14:paraId="36E30080" w14:textId="77777777" w:rsidR="007C129D" w:rsidRPr="0060783D" w:rsidRDefault="007C129D" w:rsidP="00936B38">
      <w:pPr>
        <w:pStyle w:val="Fussnoten"/>
        <w:jc w:val="both"/>
        <w:rPr>
          <w:rFonts w:ascii="Arial" w:hAnsi="Arial" w:cs="Arial"/>
          <w:sz w:val="16"/>
          <w:szCs w:val="16"/>
        </w:rPr>
      </w:pPr>
      <w:r w:rsidRPr="0060783D">
        <w:rPr>
          <w:rStyle w:val="EndnoteReference"/>
          <w:rFonts w:ascii="Arial" w:hAnsi="Arial" w:cs="Arial"/>
          <w:sz w:val="16"/>
          <w:szCs w:val="16"/>
        </w:rPr>
        <w:endnoteRef/>
      </w:r>
      <w:r w:rsidRPr="0060783D">
        <w:rPr>
          <w:rFonts w:ascii="Arial" w:hAnsi="Arial" w:cs="Arial"/>
          <w:sz w:val="16"/>
          <w:szCs w:val="16"/>
        </w:rPr>
        <w:t xml:space="preserve"> Patricia M. Danzon and Jonathan D. Ketcham, “Reference Pricing of Pharmaceuticals for Medicare: Evidence from Germany, the Netherlands and New Zealand,” </w:t>
      </w:r>
      <w:r w:rsidRPr="0060783D">
        <w:rPr>
          <w:rFonts w:ascii="Arial" w:hAnsi="Arial" w:cs="Arial"/>
          <w:i/>
          <w:sz w:val="16"/>
          <w:szCs w:val="16"/>
        </w:rPr>
        <w:t>Forum for Health &amp; Economics</w:t>
      </w:r>
      <w:r w:rsidRPr="0060783D">
        <w:rPr>
          <w:rFonts w:ascii="Arial" w:hAnsi="Arial" w:cs="Arial"/>
          <w:sz w:val="16"/>
          <w:szCs w:val="16"/>
        </w:rPr>
        <w:t xml:space="preserve"> 7, no. 1 (2005): 1</w:t>
      </w:r>
      <w:r w:rsidRPr="0060783D">
        <w:rPr>
          <w:rFonts w:eastAsia="Calibri"/>
          <w:spacing w:val="-2"/>
          <w:kern w:val="22"/>
          <w:sz w:val="16"/>
          <w:szCs w:val="16"/>
          <w:lang w:val="en-GB"/>
        </w:rPr>
        <w:t>–</w:t>
      </w:r>
      <w:r w:rsidRPr="0060783D">
        <w:rPr>
          <w:rFonts w:ascii="Arial" w:hAnsi="Arial" w:cs="Arial"/>
          <w:sz w:val="16"/>
          <w:szCs w:val="16"/>
        </w:rPr>
        <w:t>56</w:t>
      </w:r>
      <w:r>
        <w:rPr>
          <w:rFonts w:ascii="Arial" w:hAnsi="Arial" w:cs="Arial"/>
          <w:sz w:val="16"/>
          <w:szCs w:val="16"/>
        </w:rPr>
        <w:t>.</w:t>
      </w:r>
      <w:r w:rsidRPr="0060783D">
        <w:rPr>
          <w:rFonts w:ascii="Arial" w:hAnsi="Arial" w:cs="Arial"/>
          <w:sz w:val="16"/>
          <w:szCs w:val="16"/>
        </w:rPr>
        <w:t xml:space="preserve"> </w:t>
      </w:r>
    </w:p>
  </w:endnote>
  <w:endnote w:id="44">
    <w:p w14:paraId="3D970079" w14:textId="77777777" w:rsidR="007C129D" w:rsidRPr="0060783D" w:rsidRDefault="007C129D" w:rsidP="00936B38">
      <w:pPr>
        <w:pStyle w:val="SourceBeschriftung"/>
        <w:spacing w:before="0" w:after="0" w:line="240" w:lineRule="auto"/>
        <w:jc w:val="both"/>
        <w:rPr>
          <w:rFonts w:ascii="Arial" w:hAnsi="Arial" w:cs="Arial"/>
          <w:sz w:val="16"/>
          <w:szCs w:val="16"/>
        </w:rPr>
      </w:pPr>
      <w:r w:rsidRPr="0060783D">
        <w:rPr>
          <w:rStyle w:val="EndnoteReference"/>
          <w:rFonts w:ascii="Arial" w:hAnsi="Arial" w:cs="Arial"/>
          <w:sz w:val="16"/>
          <w:szCs w:val="16"/>
        </w:rPr>
        <w:endnoteRef/>
      </w:r>
      <w:r w:rsidRPr="0060783D">
        <w:rPr>
          <w:sz w:val="16"/>
          <w:szCs w:val="16"/>
        </w:rPr>
        <w:t xml:space="preserve"> </w:t>
      </w:r>
      <w:r w:rsidRPr="0060783D">
        <w:rPr>
          <w:rFonts w:ascii="Arial" w:hAnsi="Arial" w:cs="Arial"/>
          <w:sz w:val="16"/>
          <w:szCs w:val="16"/>
        </w:rPr>
        <w:t xml:space="preserve">Alistair McGuire, “The European value-pricing game,” </w:t>
      </w:r>
      <w:r w:rsidRPr="0060783D">
        <w:rPr>
          <w:rFonts w:ascii="Arial" w:hAnsi="Arial" w:cs="Arial"/>
          <w:i/>
          <w:sz w:val="16"/>
          <w:szCs w:val="16"/>
        </w:rPr>
        <w:t>Expert Review of Pharmacoeconomics &amp; Outcomes Research</w:t>
      </w:r>
      <w:r w:rsidRPr="0060783D">
        <w:rPr>
          <w:rFonts w:ascii="Arial" w:hAnsi="Arial" w:cs="Arial"/>
          <w:sz w:val="16"/>
          <w:szCs w:val="16"/>
        </w:rPr>
        <w:t>, 12 no. 1, (2012): 5-6, accessed May 13, 2019, www.tandfonline.com/doi/abs/10.1586/erp.11.85.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MiloSerifPro">
    <w:altName w:val="Times New Roman"/>
    <w:charset w:val="00"/>
    <w:family w:val="auto"/>
    <w:pitch w:val="default"/>
  </w:font>
  <w:font w:name="MiloTE">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7C129D" w:rsidRDefault="007C129D" w:rsidP="00D75295">
      <w:r>
        <w:separator/>
      </w:r>
    </w:p>
  </w:footnote>
  <w:footnote w:type="continuationSeparator" w:id="0">
    <w:p w14:paraId="31BC9002" w14:textId="77777777" w:rsidR="007C129D" w:rsidRDefault="007C129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F926755" w:rsidR="007C129D" w:rsidRPr="00C92CC4" w:rsidRDefault="007C129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C7877">
      <w:rPr>
        <w:rFonts w:ascii="Arial" w:hAnsi="Arial"/>
        <w:b/>
        <w:noProof/>
      </w:rPr>
      <w:t>17</w:t>
    </w:r>
    <w:r>
      <w:rPr>
        <w:rFonts w:ascii="Arial" w:hAnsi="Arial"/>
        <w:b/>
      </w:rPr>
      <w:fldChar w:fldCharType="end"/>
    </w:r>
    <w:r>
      <w:rPr>
        <w:rFonts w:ascii="Arial" w:hAnsi="Arial"/>
        <w:b/>
      </w:rPr>
      <w:tab/>
      <w:t>9B19M076</w:t>
    </w:r>
  </w:p>
  <w:p w14:paraId="2B53C0A0" w14:textId="77777777" w:rsidR="007C129D" w:rsidRDefault="007C129D" w:rsidP="00D13667">
    <w:pPr>
      <w:pStyle w:val="Header"/>
      <w:tabs>
        <w:tab w:val="clear" w:pos="4680"/>
      </w:tabs>
      <w:rPr>
        <w:sz w:val="18"/>
        <w:szCs w:val="18"/>
      </w:rPr>
    </w:pPr>
  </w:p>
  <w:p w14:paraId="47119730" w14:textId="77777777" w:rsidR="007C129D" w:rsidRPr="00C92CC4" w:rsidRDefault="007C129D"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A7B"/>
    <w:multiLevelType w:val="hybridMultilevel"/>
    <w:tmpl w:val="8D94E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1"/>
  </w:num>
  <w:num w:numId="8">
    <w:abstractNumId w:val="12"/>
  </w:num>
  <w:num w:numId="9">
    <w:abstractNumId w:val="9"/>
  </w:num>
  <w:num w:numId="10">
    <w:abstractNumId w:val="2"/>
  </w:num>
  <w:num w:numId="11">
    <w:abstractNumId w:val="6"/>
  </w:num>
  <w:num w:numId="12">
    <w:abstractNumId w:val="7"/>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C129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36B38"/>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C7877"/>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66071"/>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rsid w:val="00F66071"/>
    <w:pPr>
      <w:tabs>
        <w:tab w:val="num" w:pos="1152"/>
      </w:tabs>
      <w:spacing w:before="240" w:after="60"/>
      <w:ind w:left="1152" w:hanging="1152"/>
      <w:outlineLvl w:val="5"/>
    </w:pPr>
    <w:rPr>
      <w:b/>
      <w:bCs/>
      <w:sz w:val="22"/>
      <w:szCs w:val="22"/>
      <w:lang w:eastAsia="de-DE"/>
    </w:rPr>
  </w:style>
  <w:style w:type="paragraph" w:styleId="Heading7">
    <w:name w:val="heading 7"/>
    <w:basedOn w:val="Normal"/>
    <w:next w:val="Normal"/>
    <w:link w:val="Heading7Char"/>
    <w:uiPriority w:val="99"/>
    <w:qFormat/>
    <w:rsid w:val="004273F8"/>
    <w:pPr>
      <w:keepNext/>
      <w:outlineLvl w:val="6"/>
    </w:pPr>
    <w:rPr>
      <w:b/>
      <w:bCs/>
      <w:sz w:val="24"/>
      <w:szCs w:val="24"/>
      <w:lang w:val="en-GB" w:eastAsia="x-none"/>
    </w:rPr>
  </w:style>
  <w:style w:type="paragraph" w:styleId="Heading8">
    <w:name w:val="heading 8"/>
    <w:basedOn w:val="Normal"/>
    <w:next w:val="Normal"/>
    <w:link w:val="Heading8Char"/>
    <w:uiPriority w:val="99"/>
    <w:qFormat/>
    <w:rsid w:val="00711642"/>
    <w:pPr>
      <w:tabs>
        <w:tab w:val="left" w:pos="0"/>
      </w:tabs>
      <w:jc w:val="center"/>
      <w:outlineLvl w:val="7"/>
    </w:pPr>
    <w:rPr>
      <w:b/>
      <w:sz w:val="18"/>
      <w:lang w:val="en-AU"/>
    </w:rPr>
  </w:style>
  <w:style w:type="paragraph" w:styleId="Heading9">
    <w:name w:val="heading 9"/>
    <w:basedOn w:val="Normal"/>
    <w:next w:val="Normal"/>
    <w:link w:val="Heading9Char"/>
    <w:uiPriority w:val="99"/>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uiPriority w:val="99"/>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uiPriority w:val="99"/>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IVEYText">
    <w:name w:val="IVEY Text"/>
    <w:basedOn w:val="Normal"/>
    <w:link w:val="IVEYTextZchn"/>
    <w:qFormat/>
    <w:rsid w:val="00F66071"/>
    <w:pPr>
      <w:jc w:val="both"/>
    </w:pPr>
    <w:rPr>
      <w:rFonts w:eastAsiaTheme="minorHAnsi" w:cstheme="minorBidi"/>
      <w:noProof/>
      <w:sz w:val="22"/>
      <w:szCs w:val="18"/>
    </w:rPr>
  </w:style>
  <w:style w:type="character" w:customStyle="1" w:styleId="IVEYTextZchn">
    <w:name w:val="IVEY Text Zchn"/>
    <w:basedOn w:val="DefaultParagraphFont"/>
    <w:link w:val="IVEYText"/>
    <w:rsid w:val="00F66071"/>
    <w:rPr>
      <w:rFonts w:ascii="Times New Roman" w:hAnsi="Times New Roman"/>
      <w:noProof/>
      <w:szCs w:val="18"/>
    </w:rPr>
  </w:style>
  <w:style w:type="paragraph" w:customStyle="1" w:styleId="IVEYTitle">
    <w:name w:val="IVEY Title"/>
    <w:basedOn w:val="Normal"/>
    <w:link w:val="IVEYTitleZchn"/>
    <w:qFormat/>
    <w:rsid w:val="00F66071"/>
    <w:rPr>
      <w:rFonts w:ascii="Arial" w:eastAsia="Calibri" w:hAnsi="Arial"/>
      <w:b/>
      <w:caps/>
      <w:szCs w:val="17"/>
    </w:rPr>
  </w:style>
  <w:style w:type="character" w:customStyle="1" w:styleId="IVEYTitleZchn">
    <w:name w:val="IVEY Title Zchn"/>
    <w:basedOn w:val="DefaultParagraphFont"/>
    <w:link w:val="IVEYTitle"/>
    <w:rsid w:val="00F66071"/>
    <w:rPr>
      <w:rFonts w:ascii="Arial" w:eastAsia="Calibri" w:hAnsi="Arial" w:cs="Times New Roman"/>
      <w:b/>
      <w:caps/>
      <w:sz w:val="20"/>
      <w:szCs w:val="17"/>
    </w:rPr>
  </w:style>
  <w:style w:type="paragraph" w:customStyle="1" w:styleId="Fussnoten">
    <w:name w:val="Fussnoten"/>
    <w:basedOn w:val="Normal"/>
    <w:link w:val="FussnotenZchn"/>
    <w:qFormat/>
    <w:rsid w:val="00F66071"/>
    <w:rPr>
      <w:rFonts w:ascii="Verdana" w:eastAsiaTheme="minorHAnsi" w:hAnsi="Verdana" w:cstheme="minorBidi"/>
      <w:sz w:val="14"/>
      <w:szCs w:val="14"/>
    </w:rPr>
  </w:style>
  <w:style w:type="paragraph" w:customStyle="1" w:styleId="SourceBeschriftung">
    <w:name w:val="Source Beschriftung"/>
    <w:basedOn w:val="Normal"/>
    <w:link w:val="SourceBeschriftungZchn"/>
    <w:qFormat/>
    <w:rsid w:val="00F66071"/>
    <w:pPr>
      <w:spacing w:before="60" w:after="60" w:line="276" w:lineRule="auto"/>
    </w:pPr>
    <w:rPr>
      <w:rFonts w:ascii="Verdana" w:eastAsiaTheme="minorHAnsi" w:hAnsi="Verdana" w:cstheme="minorBidi"/>
      <w:sz w:val="14"/>
      <w:szCs w:val="14"/>
    </w:rPr>
  </w:style>
  <w:style w:type="character" w:customStyle="1" w:styleId="FussnotenZchn">
    <w:name w:val="Fussnoten Zchn"/>
    <w:basedOn w:val="DefaultParagraphFont"/>
    <w:link w:val="Fussnoten"/>
    <w:rsid w:val="00F66071"/>
    <w:rPr>
      <w:rFonts w:ascii="Verdana" w:hAnsi="Verdana"/>
      <w:sz w:val="14"/>
      <w:szCs w:val="14"/>
    </w:rPr>
  </w:style>
  <w:style w:type="character" w:customStyle="1" w:styleId="SourceBeschriftungZchn">
    <w:name w:val="Source Beschriftung Zchn"/>
    <w:basedOn w:val="DefaultParagraphFont"/>
    <w:link w:val="SourceBeschriftung"/>
    <w:rsid w:val="00F66071"/>
    <w:rPr>
      <w:rFonts w:ascii="Verdana" w:hAnsi="Verdana"/>
      <w:sz w:val="14"/>
      <w:szCs w:val="14"/>
    </w:rPr>
  </w:style>
  <w:style w:type="paragraph" w:customStyle="1" w:styleId="Fussnote">
    <w:name w:val="Fussnote"/>
    <w:basedOn w:val="FootnoteText"/>
    <w:link w:val="FussnoteZchn"/>
    <w:qFormat/>
    <w:rsid w:val="00F66071"/>
    <w:rPr>
      <w:rFonts w:ascii="Verdana" w:hAnsi="Verdana"/>
      <w:sz w:val="14"/>
      <w:szCs w:val="14"/>
      <w:lang w:eastAsia="de-DE"/>
    </w:rPr>
  </w:style>
  <w:style w:type="character" w:customStyle="1" w:styleId="FussnoteZchn">
    <w:name w:val="Fussnote Zchn"/>
    <w:basedOn w:val="FootnoteTextChar"/>
    <w:link w:val="Fussnote"/>
    <w:rsid w:val="00F66071"/>
    <w:rPr>
      <w:rFonts w:ascii="Verdana" w:eastAsia="Times New Roman" w:hAnsi="Verdana" w:cs="Times New Roman"/>
      <w:sz w:val="14"/>
      <w:szCs w:val="14"/>
      <w:lang w:eastAsia="de-DE"/>
    </w:rPr>
  </w:style>
  <w:style w:type="character" w:customStyle="1" w:styleId="WUSourceZchn">
    <w:name w:val="WU Source Zchn"/>
    <w:basedOn w:val="DefaultParagraphFont"/>
    <w:link w:val="WUSource"/>
    <w:locked/>
    <w:rsid w:val="00F66071"/>
    <w:rPr>
      <w:rFonts w:ascii="Verdana" w:hAnsi="Verdana"/>
      <w:i/>
      <w:sz w:val="14"/>
      <w:szCs w:val="14"/>
    </w:rPr>
  </w:style>
  <w:style w:type="paragraph" w:customStyle="1" w:styleId="WUSource">
    <w:name w:val="WU Source"/>
    <w:basedOn w:val="Normal"/>
    <w:link w:val="WUSourceZchn"/>
    <w:qFormat/>
    <w:rsid w:val="00F66071"/>
    <w:pPr>
      <w:spacing w:before="120" w:line="276" w:lineRule="auto"/>
      <w:jc w:val="both"/>
    </w:pPr>
    <w:rPr>
      <w:rFonts w:ascii="Verdana" w:eastAsiaTheme="minorHAnsi" w:hAnsi="Verdana" w:cstheme="minorBidi"/>
      <w:i/>
      <w:sz w:val="14"/>
      <w:szCs w:val="14"/>
    </w:rPr>
  </w:style>
  <w:style w:type="character" w:customStyle="1" w:styleId="Heading6Char">
    <w:name w:val="Heading 6 Char"/>
    <w:basedOn w:val="DefaultParagraphFont"/>
    <w:link w:val="Heading6"/>
    <w:uiPriority w:val="99"/>
    <w:rsid w:val="00F66071"/>
    <w:rPr>
      <w:rFonts w:ascii="Times New Roman" w:eastAsia="Times New Roman" w:hAnsi="Times New Roman" w:cs="Times New Roman"/>
      <w:b/>
      <w:bCs/>
      <w:lang w:eastAsia="de-DE"/>
    </w:rPr>
  </w:style>
  <w:style w:type="paragraph" w:styleId="TOC1">
    <w:name w:val="toc 1"/>
    <w:basedOn w:val="Normal"/>
    <w:next w:val="Normal"/>
    <w:autoRedefine/>
    <w:uiPriority w:val="39"/>
    <w:rsid w:val="00F66071"/>
    <w:pPr>
      <w:tabs>
        <w:tab w:val="left" w:pos="480"/>
        <w:tab w:val="right" w:leader="dot" w:pos="9062"/>
      </w:tabs>
      <w:spacing w:line="360" w:lineRule="auto"/>
      <w:jc w:val="both"/>
    </w:pPr>
    <w:rPr>
      <w:b/>
      <w:bCs/>
      <w:noProof/>
      <w:lang w:val="de-DE" w:eastAsia="de-DE"/>
    </w:rPr>
  </w:style>
  <w:style w:type="paragraph" w:customStyle="1" w:styleId="StyleJustified">
    <w:name w:val="Style Justified"/>
    <w:basedOn w:val="Normal"/>
    <w:uiPriority w:val="99"/>
    <w:rsid w:val="00F66071"/>
    <w:pPr>
      <w:jc w:val="both"/>
    </w:pPr>
    <w:rPr>
      <w:lang w:eastAsia="de-DE"/>
    </w:rPr>
  </w:style>
  <w:style w:type="paragraph" w:styleId="ListBullet2">
    <w:name w:val="List Bullet 2"/>
    <w:basedOn w:val="Normal"/>
    <w:autoRedefine/>
    <w:uiPriority w:val="99"/>
    <w:rsid w:val="00F66071"/>
    <w:pPr>
      <w:tabs>
        <w:tab w:val="num" w:pos="643"/>
      </w:tabs>
      <w:ind w:left="643" w:hanging="360"/>
    </w:pPr>
    <w:rPr>
      <w:sz w:val="24"/>
      <w:szCs w:val="24"/>
      <w:lang w:eastAsia="de-DE"/>
    </w:rPr>
  </w:style>
  <w:style w:type="paragraph" w:styleId="Caption">
    <w:name w:val="caption"/>
    <w:basedOn w:val="Normal"/>
    <w:next w:val="Normal"/>
    <w:rsid w:val="00F66071"/>
    <w:rPr>
      <w:rFonts w:eastAsia="SimSun"/>
      <w:b/>
      <w:bCs/>
      <w:lang w:val="de-AT" w:eastAsia="zh-CN"/>
    </w:rPr>
  </w:style>
  <w:style w:type="character" w:customStyle="1" w:styleId="FormatvorlageVerzeichnis1BlockZchn1">
    <w:name w:val="Formatvorlage Verzeichnis 1 + Block Zchn1"/>
    <w:basedOn w:val="DefaultParagraphFont"/>
    <w:rsid w:val="00F66071"/>
    <w:rPr>
      <w:rFonts w:ascii="Arial" w:hAnsi="Arial" w:cs="Arial"/>
      <w:b/>
      <w:bCs/>
      <w:noProof/>
      <w:sz w:val="24"/>
      <w:szCs w:val="24"/>
      <w:lang w:val="en-US" w:eastAsia="de-DE"/>
    </w:rPr>
  </w:style>
  <w:style w:type="character" w:customStyle="1" w:styleId="st1">
    <w:name w:val="st1"/>
    <w:basedOn w:val="DefaultParagraphFont"/>
    <w:rsid w:val="00F66071"/>
  </w:style>
  <w:style w:type="character" w:customStyle="1" w:styleId="quotecard">
    <w:name w:val="quotecard"/>
    <w:basedOn w:val="DefaultParagraphFont"/>
    <w:rsid w:val="00F66071"/>
  </w:style>
  <w:style w:type="character" w:customStyle="1" w:styleId="card-preview2">
    <w:name w:val="card-preview2"/>
    <w:basedOn w:val="DefaultParagraphFont"/>
    <w:rsid w:val="00F66071"/>
  </w:style>
  <w:style w:type="character" w:customStyle="1" w:styleId="flytitle-and-titletitle11">
    <w:name w:val="flytitle-and-title__title11"/>
    <w:basedOn w:val="DefaultParagraphFont"/>
    <w:rsid w:val="00F66071"/>
    <w:rPr>
      <w:rFonts w:ascii="MiloSerifPro" w:hAnsi="MiloSerifPro" w:hint="default"/>
      <w:b w:val="0"/>
      <w:bCs w:val="0"/>
      <w:vanish w:val="0"/>
      <w:webHidden w:val="0"/>
      <w:color w:val="121212"/>
      <w:spacing w:val="-5"/>
      <w:sz w:val="43"/>
      <w:szCs w:val="43"/>
      <w:specVanish w:val="0"/>
    </w:rPr>
  </w:style>
  <w:style w:type="character" w:customStyle="1" w:styleId="flytitle-and-titletitle">
    <w:name w:val="flytitle-and-title__title"/>
    <w:basedOn w:val="DefaultParagraphFont"/>
    <w:rsid w:val="00F66071"/>
  </w:style>
  <w:style w:type="character" w:customStyle="1" w:styleId="WUFigureTitleZchn">
    <w:name w:val="WU Figure Title Zchn"/>
    <w:basedOn w:val="DefaultParagraphFont"/>
    <w:link w:val="WUFigureTitle"/>
    <w:locked/>
    <w:rsid w:val="00F66071"/>
    <w:rPr>
      <w:rFonts w:ascii="Verdana" w:hAnsi="Verdana"/>
      <w:sz w:val="16"/>
      <w:szCs w:val="14"/>
    </w:rPr>
  </w:style>
  <w:style w:type="paragraph" w:customStyle="1" w:styleId="WUFigureTitle">
    <w:name w:val="WU Figure Title"/>
    <w:basedOn w:val="Normal"/>
    <w:link w:val="WUFigureTitleZchn"/>
    <w:qFormat/>
    <w:rsid w:val="00F66071"/>
    <w:pPr>
      <w:spacing w:before="60" w:after="60" w:line="276" w:lineRule="auto"/>
    </w:pPr>
    <w:rPr>
      <w:rFonts w:ascii="Verdana" w:eastAsiaTheme="minorHAnsi" w:hAnsi="Verdana" w:cstheme="minorBidi"/>
      <w:sz w:val="16"/>
      <w:szCs w:val="14"/>
    </w:rPr>
  </w:style>
  <w:style w:type="character" w:customStyle="1" w:styleId="mw-headline">
    <w:name w:val="mw-headline"/>
    <w:basedOn w:val="DefaultParagraphFont"/>
    <w:rsid w:val="00F66071"/>
  </w:style>
  <w:style w:type="character" w:customStyle="1" w:styleId="mw-editsection1">
    <w:name w:val="mw-editsection1"/>
    <w:basedOn w:val="DefaultParagraphFont"/>
    <w:rsid w:val="00F66071"/>
  </w:style>
  <w:style w:type="character" w:customStyle="1" w:styleId="mw-editsection-bracket">
    <w:name w:val="mw-editsection-bracket"/>
    <w:basedOn w:val="DefaultParagraphFont"/>
    <w:rsid w:val="00F66071"/>
  </w:style>
  <w:style w:type="paragraph" w:customStyle="1" w:styleId="IVEYappTitel">
    <w:name w:val="IVEY app Titel"/>
    <w:basedOn w:val="IVEYText"/>
    <w:link w:val="IVEYappTitelZchn"/>
    <w:qFormat/>
    <w:rsid w:val="00F66071"/>
    <w:pPr>
      <w:jc w:val="center"/>
    </w:pPr>
    <w:rPr>
      <w:rFonts w:ascii="Arial" w:hAnsi="Arial"/>
      <w:b/>
      <w:caps/>
      <w:sz w:val="20"/>
      <w:szCs w:val="14"/>
    </w:rPr>
  </w:style>
  <w:style w:type="character" w:customStyle="1" w:styleId="IVEYappTitelZchn">
    <w:name w:val="IVEY app Titel Zchn"/>
    <w:basedOn w:val="IVEYTextZchn"/>
    <w:link w:val="IVEYappTitel"/>
    <w:rsid w:val="00F66071"/>
    <w:rPr>
      <w:rFonts w:ascii="Arial" w:hAnsi="Arial"/>
      <w:b/>
      <w:caps/>
      <w:noProof/>
      <w:sz w:val="20"/>
      <w:szCs w:val="14"/>
    </w:rPr>
  </w:style>
  <w:style w:type="paragraph" w:customStyle="1" w:styleId="Titelappendix">
    <w:name w:val="Titel appendix"/>
    <w:basedOn w:val="IVEYText"/>
    <w:link w:val="TitelappendixZchn"/>
    <w:rsid w:val="00F66071"/>
    <w:pPr>
      <w:spacing w:before="240"/>
    </w:pPr>
    <w:rPr>
      <w:b/>
      <w:sz w:val="14"/>
      <w:szCs w:val="14"/>
    </w:rPr>
  </w:style>
  <w:style w:type="character" w:customStyle="1" w:styleId="TitelappendixZchn">
    <w:name w:val="Titel appendix Zchn"/>
    <w:basedOn w:val="IVEYTextZchn"/>
    <w:link w:val="Titelappendix"/>
    <w:rsid w:val="00F66071"/>
    <w:rPr>
      <w:rFonts w:ascii="Times New Roman" w:hAnsi="Times New Roman"/>
      <w:b/>
      <w:noProof/>
      <w:sz w:val="14"/>
      <w:szCs w:val="14"/>
    </w:rPr>
  </w:style>
  <w:style w:type="character" w:styleId="HTMLCite">
    <w:name w:val="HTML Cite"/>
    <w:basedOn w:val="DefaultParagraphFont"/>
    <w:uiPriority w:val="99"/>
    <w:semiHidden/>
    <w:unhideWhenUsed/>
    <w:rsid w:val="00F66071"/>
    <w:rPr>
      <w:i/>
      <w:iCs/>
    </w:rPr>
  </w:style>
  <w:style w:type="character" w:customStyle="1" w:styleId="titleauthoretc5">
    <w:name w:val="titleauthoretc5"/>
    <w:basedOn w:val="DefaultParagraphFont"/>
    <w:rsid w:val="00F66071"/>
  </w:style>
  <w:style w:type="character" w:customStyle="1" w:styleId="article-classifiergap">
    <w:name w:val="article-classifier__gap"/>
    <w:basedOn w:val="DefaultParagraphFont"/>
    <w:rsid w:val="00F66071"/>
  </w:style>
  <w:style w:type="paragraph" w:customStyle="1" w:styleId="WUTITLE">
    <w:name w:val="WU TITLE"/>
    <w:basedOn w:val="Heading2"/>
    <w:link w:val="WUTITLEZchn"/>
    <w:qFormat/>
    <w:rsid w:val="00F66071"/>
    <w:pPr>
      <w:spacing w:before="40" w:after="360"/>
    </w:pPr>
    <w:rPr>
      <w:rFonts w:ascii="Verdana" w:eastAsiaTheme="majorEastAsia" w:hAnsi="Verdana" w:cstheme="majorBidi"/>
      <w:bCs w:val="0"/>
      <w:sz w:val="40"/>
      <w:szCs w:val="40"/>
      <w:lang w:eastAsia="de-DE"/>
    </w:rPr>
  </w:style>
  <w:style w:type="character" w:customStyle="1" w:styleId="WUTITLEZchn">
    <w:name w:val="WU TITLE Zchn"/>
    <w:basedOn w:val="Heading2Char"/>
    <w:link w:val="WUTITLE"/>
    <w:rsid w:val="00F66071"/>
    <w:rPr>
      <w:rFonts w:ascii="Verdana" w:eastAsiaTheme="majorEastAsia" w:hAnsi="Verdana" w:cstheme="majorBidi"/>
      <w:b/>
      <w:bCs w:val="0"/>
      <w:color w:val="4F81BD"/>
      <w:sz w:val="40"/>
      <w:szCs w:val="40"/>
      <w:lang w:val="x-none" w:eastAsia="de-DE"/>
    </w:rPr>
  </w:style>
  <w:style w:type="paragraph" w:customStyle="1" w:styleId="WUText">
    <w:name w:val="WU Text"/>
    <w:basedOn w:val="Normal"/>
    <w:link w:val="WUTextZchn"/>
    <w:qFormat/>
    <w:rsid w:val="00F66071"/>
    <w:pPr>
      <w:spacing w:before="120" w:after="240"/>
      <w:jc w:val="both"/>
    </w:pPr>
    <w:rPr>
      <w:rFonts w:ascii="Verdana" w:eastAsiaTheme="minorHAnsi" w:hAnsi="Verdana" w:cstheme="minorBidi"/>
      <w:noProof/>
      <w:sz w:val="18"/>
      <w:szCs w:val="18"/>
    </w:rPr>
  </w:style>
  <w:style w:type="character" w:customStyle="1" w:styleId="WUTextZchn">
    <w:name w:val="WU Text Zchn"/>
    <w:basedOn w:val="DefaultParagraphFont"/>
    <w:link w:val="WUText"/>
    <w:rsid w:val="00F66071"/>
    <w:rPr>
      <w:rFonts w:ascii="Verdana" w:hAnsi="Verdana"/>
      <w:noProof/>
      <w:sz w:val="18"/>
      <w:szCs w:val="18"/>
    </w:rPr>
  </w:style>
  <w:style w:type="character" w:customStyle="1" w:styleId="flytitle-and-titletitle20">
    <w:name w:val="flytitle-and-title__title20"/>
    <w:basedOn w:val="DefaultParagraphFont"/>
    <w:rsid w:val="00F66071"/>
    <w:rPr>
      <w:rFonts w:ascii="MiloTE" w:hAnsi="MiloTE" w:hint="default"/>
      <w:b w:val="0"/>
      <w:bCs w:val="0"/>
      <w:vanish w:val="0"/>
      <w:webHidden w:val="0"/>
      <w:color w:val="121212"/>
      <w:spacing w:val="-5"/>
      <w:sz w:val="43"/>
      <w:szCs w:val="43"/>
      <w:specVanish w:val="0"/>
    </w:rPr>
  </w:style>
  <w:style w:type="character" w:customStyle="1" w:styleId="text2">
    <w:name w:val="text2"/>
    <w:basedOn w:val="DefaultParagraphFont"/>
    <w:rsid w:val="00F66071"/>
  </w:style>
  <w:style w:type="character" w:customStyle="1" w:styleId="author-ref">
    <w:name w:val="author-ref"/>
    <w:basedOn w:val="DefaultParagraphFont"/>
    <w:rsid w:val="00F66071"/>
  </w:style>
  <w:style w:type="paragraph" w:customStyle="1" w:styleId="footeraddress">
    <w:name w:val="footer_address"/>
    <w:basedOn w:val="Normal"/>
    <w:rsid w:val="00F66071"/>
    <w:pPr>
      <w:spacing w:before="100" w:beforeAutospacing="1" w:after="100" w:afterAutospacing="1"/>
    </w:pPr>
    <w:rPr>
      <w:sz w:val="24"/>
      <w:szCs w:val="24"/>
      <w:lang w:val="de-DE" w:eastAsia="de-DE"/>
    </w:rPr>
  </w:style>
  <w:style w:type="character" w:customStyle="1" w:styleId="italic">
    <w:name w:val="italic"/>
    <w:basedOn w:val="DefaultParagraphFont"/>
    <w:rsid w:val="00F66071"/>
  </w:style>
  <w:style w:type="character" w:customStyle="1" w:styleId="italic1">
    <w:name w:val="italic1"/>
    <w:basedOn w:val="DefaultParagraphFont"/>
    <w:rsid w:val="00F660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info.evaluategroup.com/rs/607-YGS-364/images/wp16.pdf"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Tabelle1!$B$1</c:f>
              <c:strCache>
                <c:ptCount val="1"/>
                <c:pt idx="0">
                  <c:v>Europe</c:v>
                </c:pt>
              </c:strCache>
            </c:strRef>
          </c:tx>
          <c:spPr>
            <a:solidFill>
              <a:schemeClr val="dk1">
                <a:tint val="885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Tabelle1!$A$2:$A$5</c:f>
              <c:numCache>
                <c:formatCode>General</c:formatCode>
                <c:ptCount val="4"/>
                <c:pt idx="0">
                  <c:v>1990</c:v>
                </c:pt>
                <c:pt idx="1">
                  <c:v>2000</c:v>
                </c:pt>
                <c:pt idx="2">
                  <c:v>2010</c:v>
                </c:pt>
                <c:pt idx="3">
                  <c:v>2015</c:v>
                </c:pt>
              </c:numCache>
            </c:numRef>
          </c:cat>
          <c:val>
            <c:numRef>
              <c:f>Tabelle1!$B$2:$B$5</c:f>
              <c:numCache>
                <c:formatCode>General</c:formatCode>
                <c:ptCount val="4"/>
                <c:pt idx="0">
                  <c:v>7766</c:v>
                </c:pt>
                <c:pt idx="1">
                  <c:v>17849</c:v>
                </c:pt>
                <c:pt idx="2">
                  <c:v>28920</c:v>
                </c:pt>
                <c:pt idx="3">
                  <c:v>33415</c:v>
                </c:pt>
              </c:numCache>
            </c:numRef>
          </c:val>
          <c:extLst>
            <c:ext xmlns:c16="http://schemas.microsoft.com/office/drawing/2014/chart" uri="{C3380CC4-5D6E-409C-BE32-E72D297353CC}">
              <c16:uniqueId val="{00000000-743F-40CC-B5B0-EED0AF3B906E}"/>
            </c:ext>
          </c:extLst>
        </c:ser>
        <c:ser>
          <c:idx val="1"/>
          <c:order val="1"/>
          <c:tx>
            <c:strRef>
              <c:f>Tabelle1!$C$1</c:f>
              <c:strCache>
                <c:ptCount val="1"/>
                <c:pt idx="0">
                  <c:v>USA</c:v>
                </c:pt>
              </c:strCache>
            </c:strRef>
          </c:tx>
          <c:spPr>
            <a:solidFill>
              <a:schemeClr val="dk1">
                <a:tint val="5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Tabelle1!$A$2:$A$5</c:f>
              <c:numCache>
                <c:formatCode>General</c:formatCode>
                <c:ptCount val="4"/>
                <c:pt idx="0">
                  <c:v>1990</c:v>
                </c:pt>
                <c:pt idx="1">
                  <c:v>2000</c:v>
                </c:pt>
                <c:pt idx="2">
                  <c:v>2010</c:v>
                </c:pt>
                <c:pt idx="3">
                  <c:v>2015</c:v>
                </c:pt>
              </c:numCache>
            </c:numRef>
          </c:cat>
          <c:val>
            <c:numRef>
              <c:f>Tabelle1!$C$2:$C$5</c:f>
              <c:numCache>
                <c:formatCode>General</c:formatCode>
                <c:ptCount val="4"/>
                <c:pt idx="0">
                  <c:v>6803</c:v>
                </c:pt>
                <c:pt idx="1">
                  <c:v>21364</c:v>
                </c:pt>
                <c:pt idx="2">
                  <c:v>40688</c:v>
                </c:pt>
                <c:pt idx="3">
                  <c:v>48111</c:v>
                </c:pt>
              </c:numCache>
            </c:numRef>
          </c:val>
          <c:extLst>
            <c:ext xmlns:c16="http://schemas.microsoft.com/office/drawing/2014/chart" uri="{C3380CC4-5D6E-409C-BE32-E72D297353CC}">
              <c16:uniqueId val="{00000001-743F-40CC-B5B0-EED0AF3B906E}"/>
            </c:ext>
          </c:extLst>
        </c:ser>
        <c:ser>
          <c:idx val="2"/>
          <c:order val="2"/>
          <c:tx>
            <c:strRef>
              <c:f>Tabelle1!$D$1</c:f>
              <c:strCache>
                <c:ptCount val="1"/>
                <c:pt idx="0">
                  <c:v>Japan</c:v>
                </c:pt>
              </c:strCache>
            </c:strRef>
          </c:tx>
          <c:spPr>
            <a:solidFill>
              <a:schemeClr val="dk1">
                <a:tint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Tabelle1!$A$2:$A$5</c:f>
              <c:numCache>
                <c:formatCode>General</c:formatCode>
                <c:ptCount val="4"/>
                <c:pt idx="0">
                  <c:v>1990</c:v>
                </c:pt>
                <c:pt idx="1">
                  <c:v>2000</c:v>
                </c:pt>
                <c:pt idx="2">
                  <c:v>2010</c:v>
                </c:pt>
                <c:pt idx="3">
                  <c:v>2015</c:v>
                </c:pt>
              </c:numCache>
            </c:numRef>
          </c:cat>
          <c:val>
            <c:numRef>
              <c:f>Tabelle1!$D$2:$D$5</c:f>
              <c:numCache>
                <c:formatCode>General</c:formatCode>
                <c:ptCount val="4"/>
                <c:pt idx="0">
                  <c:v>5161</c:v>
                </c:pt>
                <c:pt idx="1">
                  <c:v>7462</c:v>
                </c:pt>
                <c:pt idx="2">
                  <c:v>12760</c:v>
                </c:pt>
                <c:pt idx="3">
                  <c:v>14577</c:v>
                </c:pt>
              </c:numCache>
            </c:numRef>
          </c:val>
          <c:extLst>
            <c:ext xmlns:c16="http://schemas.microsoft.com/office/drawing/2014/chart" uri="{C3380CC4-5D6E-409C-BE32-E72D297353CC}">
              <c16:uniqueId val="{00000002-743F-40CC-B5B0-EED0AF3B906E}"/>
            </c:ext>
          </c:extLst>
        </c:ser>
        <c:dLbls>
          <c:dLblPos val="outEnd"/>
          <c:showLegendKey val="0"/>
          <c:showVal val="1"/>
          <c:showCatName val="0"/>
          <c:showSerName val="0"/>
          <c:showPercent val="0"/>
          <c:showBubbleSize val="0"/>
        </c:dLbls>
        <c:gapWidth val="150"/>
        <c:overlap val="-35"/>
        <c:axId val="479968736"/>
        <c:axId val="479970696"/>
      </c:barChart>
      <c:catAx>
        <c:axId val="47996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solidFill>
                <a:latin typeface="Verdana" panose="020B0604030504040204" pitchFamily="34" charset="0"/>
                <a:ea typeface="Verdana" panose="020B0604030504040204" pitchFamily="34" charset="0"/>
                <a:cs typeface="Verdana" panose="020B0604030504040204" pitchFamily="34" charset="0"/>
              </a:defRPr>
            </a:pPr>
            <a:endParaRPr lang="en-US"/>
          </a:p>
        </c:txPr>
        <c:crossAx val="479970696"/>
        <c:crosses val="autoZero"/>
        <c:auto val="1"/>
        <c:lblAlgn val="ctr"/>
        <c:lblOffset val="100"/>
        <c:noMultiLvlLbl val="0"/>
      </c:catAx>
      <c:valAx>
        <c:axId val="479970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479968736"/>
        <c:crosses val="autoZero"/>
        <c:crossBetween val="between"/>
        <c:majorUnit val="10000"/>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Verdana" panose="020B0604030504040204" pitchFamily="34" charset="0"/>
              <a:ea typeface="Verdana" panose="020B0604030504040204" pitchFamily="34" charset="0"/>
              <a:cs typeface="Verdana" panose="020B060403050404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83B1A-17F6-42FA-AFC5-7F04A8E9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7755</Words>
  <Characters>44208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2015-03-04T20:34:00Z</cp:lastPrinted>
  <dcterms:created xsi:type="dcterms:W3CDTF">2019-07-29T13:12:00Z</dcterms:created>
  <dcterms:modified xsi:type="dcterms:W3CDTF">2019-07-31T15:39:00Z</dcterms:modified>
</cp:coreProperties>
</file>