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13C45" w14:textId="23354D97" w:rsidR="00553B93" w:rsidRPr="00286D9F" w:rsidRDefault="00286D9F" w:rsidP="00C02410">
      <w:pPr>
        <w:pBdr>
          <w:bottom w:val="single" w:sz="18" w:space="1" w:color="auto"/>
        </w:pBdr>
        <w:tabs>
          <w:tab w:val="left" w:pos="-1440"/>
          <w:tab w:val="left" w:pos="-720"/>
          <w:tab w:val="left" w:pos="1"/>
        </w:tabs>
        <w:jc w:val="both"/>
        <w:rPr>
          <w:rFonts w:ascii="Arial" w:hAnsi="Arial"/>
          <w:b/>
          <w:sz w:val="24"/>
          <w:lang w:val="en-CA"/>
        </w:rPr>
      </w:pPr>
      <w:r w:rsidRPr="00286D9F">
        <w:rPr>
          <w:rFonts w:ascii="Arial" w:hAnsi="Arial"/>
          <w:b/>
          <w:noProof/>
          <w:sz w:val="24"/>
          <w:lang w:val="en-CA" w:eastAsia="en-CA"/>
        </w:rPr>
        <w:drawing>
          <wp:inline distT="0" distB="0" distL="0" distR="0" wp14:anchorId="7095C6BD" wp14:editId="3CF623A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1B0D544" w:rsidR="00C02410" w:rsidRPr="00286D9F" w:rsidRDefault="00BA638C" w:rsidP="00C02410">
      <w:pPr>
        <w:pStyle w:val="ProductNumber"/>
        <w:rPr>
          <w:lang w:val="en-CA"/>
        </w:rPr>
      </w:pPr>
      <w:r w:rsidRPr="00286D9F">
        <w:rPr>
          <w:lang w:val="en-CA"/>
        </w:rPr>
        <w:t>9B19M</w:t>
      </w:r>
      <w:r w:rsidR="00286D9F" w:rsidRPr="00286D9F">
        <w:rPr>
          <w:lang w:val="en-CA"/>
        </w:rPr>
        <w:t>077</w:t>
      </w:r>
    </w:p>
    <w:p w14:paraId="4E057522" w14:textId="7A113CB1" w:rsidR="00D75295" w:rsidRPr="00286D9F" w:rsidRDefault="00D75295" w:rsidP="00D75295">
      <w:pPr>
        <w:jc w:val="right"/>
        <w:rPr>
          <w:rFonts w:ascii="Arial" w:hAnsi="Arial"/>
          <w:b/>
          <w:lang w:val="en-CA"/>
        </w:rPr>
      </w:pPr>
    </w:p>
    <w:p w14:paraId="02524312" w14:textId="77777777" w:rsidR="001901C0" w:rsidRPr="00286D9F" w:rsidRDefault="001901C0" w:rsidP="00D75295">
      <w:pPr>
        <w:jc w:val="right"/>
        <w:rPr>
          <w:rFonts w:ascii="Arial" w:hAnsi="Arial"/>
          <w:b/>
          <w:lang w:val="en-CA"/>
        </w:rPr>
      </w:pPr>
    </w:p>
    <w:p w14:paraId="2F03D26A" w14:textId="38927FAC" w:rsidR="00013360" w:rsidRPr="00286D9F" w:rsidRDefault="004970B9" w:rsidP="00013360">
      <w:pPr>
        <w:pStyle w:val="CaseTitle"/>
        <w:spacing w:after="0" w:line="240" w:lineRule="auto"/>
        <w:rPr>
          <w:sz w:val="20"/>
          <w:szCs w:val="20"/>
          <w:lang w:val="en-CA"/>
        </w:rPr>
      </w:pPr>
      <w:r w:rsidRPr="00286D9F">
        <w:rPr>
          <w:lang w:val="en-CA"/>
        </w:rPr>
        <w:t>Pfizer and the Challenges of the Pharmaceutical Industry (b)</w:t>
      </w:r>
    </w:p>
    <w:p w14:paraId="40ABF6FD" w14:textId="77777777" w:rsidR="00CA3976" w:rsidRPr="00286D9F" w:rsidRDefault="00CA3976" w:rsidP="00013360">
      <w:pPr>
        <w:pStyle w:val="CaseTitle"/>
        <w:spacing w:after="0" w:line="240" w:lineRule="auto"/>
        <w:rPr>
          <w:sz w:val="20"/>
          <w:szCs w:val="20"/>
          <w:lang w:val="en-CA"/>
        </w:rPr>
      </w:pPr>
    </w:p>
    <w:p w14:paraId="202F1085" w14:textId="77777777" w:rsidR="00013360" w:rsidRPr="00286D9F" w:rsidRDefault="00013360" w:rsidP="00013360">
      <w:pPr>
        <w:pStyle w:val="CaseTitle"/>
        <w:spacing w:after="0" w:line="240" w:lineRule="auto"/>
        <w:rPr>
          <w:sz w:val="20"/>
          <w:szCs w:val="20"/>
          <w:lang w:val="en-CA"/>
        </w:rPr>
      </w:pPr>
    </w:p>
    <w:p w14:paraId="58B0C73F" w14:textId="37846768" w:rsidR="00086B26" w:rsidRPr="00286D9F" w:rsidRDefault="004970B9" w:rsidP="00086B26">
      <w:pPr>
        <w:pStyle w:val="StyleCopyrightStatementAfter0ptBottomSinglesolidline1"/>
        <w:rPr>
          <w:lang w:val="en-CA"/>
        </w:rPr>
      </w:pPr>
      <w:r w:rsidRPr="00286D9F">
        <w:rPr>
          <w:lang w:val="en-CA"/>
        </w:rPr>
        <w:t>Renate Kratochvil and Phil</w:t>
      </w:r>
      <w:r w:rsidR="004D62A7" w:rsidRPr="00286D9F">
        <w:rPr>
          <w:lang w:val="en-CA"/>
        </w:rPr>
        <w:t>l</w:t>
      </w:r>
      <w:r w:rsidRPr="00286D9F">
        <w:rPr>
          <w:lang w:val="en-CA"/>
        </w:rPr>
        <w:t>ip C. Nell</w:t>
      </w:r>
      <w:r w:rsidR="00ED7922" w:rsidRPr="00286D9F">
        <w:rPr>
          <w:rFonts w:cs="Arial"/>
          <w:szCs w:val="16"/>
          <w:lang w:val="en-CA"/>
        </w:rPr>
        <w:t xml:space="preserve"> </w:t>
      </w:r>
      <w:r w:rsidR="00086B26" w:rsidRPr="00286D9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D1F95FD" w:rsidR="00086B26" w:rsidRPr="00286D9F" w:rsidRDefault="00086B26" w:rsidP="00086B26">
      <w:pPr>
        <w:pStyle w:val="StyleCopyrightStatementAfter0ptBottomSinglesolidline1"/>
        <w:rPr>
          <w:lang w:val="en-CA"/>
        </w:rPr>
      </w:pPr>
    </w:p>
    <w:p w14:paraId="67FEADAA" w14:textId="77777777" w:rsidR="00286D9F" w:rsidRPr="00286D9F" w:rsidRDefault="00286D9F" w:rsidP="00286D9F">
      <w:pPr>
        <w:pStyle w:val="StyleStyleCopyrightStatementAfter0ptBottomSinglesolid"/>
        <w:rPr>
          <w:rFonts w:cs="Arial"/>
          <w:color w:val="FFFFFF" w:themeColor="background1"/>
          <w:szCs w:val="16"/>
          <w:lang w:val="en-CA"/>
        </w:rPr>
      </w:pPr>
      <w:r w:rsidRPr="00286D9F">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286D9F">
        <w:rPr>
          <w:rFonts w:cs="Arial"/>
          <w:color w:val="FFFFFF" w:themeColor="background1"/>
          <w:szCs w:val="16"/>
          <w:lang w:val="en-CA"/>
        </w:rPr>
        <w:t>i1v2e5y5pubs</w:t>
      </w:r>
    </w:p>
    <w:p w14:paraId="69BFE7DA" w14:textId="77777777" w:rsidR="00286D9F" w:rsidRPr="00286D9F" w:rsidRDefault="00286D9F" w:rsidP="00286D9F">
      <w:pPr>
        <w:pStyle w:val="StyleStyleCopyrightStatementAfter0ptBottomSinglesolid"/>
        <w:rPr>
          <w:rFonts w:cs="Arial"/>
          <w:color w:val="FFFFFF" w:themeColor="background1"/>
          <w:szCs w:val="16"/>
          <w:lang w:val="en-CA"/>
        </w:rPr>
      </w:pPr>
    </w:p>
    <w:p w14:paraId="3922E14F" w14:textId="62537411" w:rsidR="00751E0B" w:rsidRPr="00286D9F" w:rsidRDefault="00286D9F" w:rsidP="00A323B0">
      <w:pPr>
        <w:pStyle w:val="StyleStyleCopyrightStatementAfter0ptBottomSinglesolid"/>
        <w:rPr>
          <w:rFonts w:cs="Arial"/>
          <w:color w:val="FFFFFF" w:themeColor="background1"/>
          <w:szCs w:val="16"/>
          <w:lang w:val="en-CA"/>
        </w:rPr>
      </w:pPr>
      <w:r w:rsidRPr="00286D9F">
        <w:rPr>
          <w:rFonts w:cs="Arial"/>
          <w:iCs w:val="0"/>
          <w:color w:val="auto"/>
          <w:szCs w:val="16"/>
          <w:lang w:val="en-CA"/>
        </w:rPr>
        <w:t>Copyright © 2019, Ivey Business School Foundation</w:t>
      </w:r>
      <w:r w:rsidR="00A323B0" w:rsidRPr="00286D9F">
        <w:rPr>
          <w:rFonts w:cs="Arial"/>
          <w:iCs w:val="0"/>
          <w:color w:val="auto"/>
          <w:szCs w:val="16"/>
          <w:lang w:val="en-CA"/>
        </w:rPr>
        <w:tab/>
      </w:r>
      <w:r w:rsidR="004970B9" w:rsidRPr="00286D9F">
        <w:rPr>
          <w:rFonts w:cs="Arial"/>
          <w:iCs w:val="0"/>
          <w:color w:val="auto"/>
          <w:szCs w:val="16"/>
          <w:lang w:val="en-CA"/>
        </w:rPr>
        <w:t>Version: 2019-0</w:t>
      </w:r>
      <w:r w:rsidR="00553B93" w:rsidRPr="00286D9F">
        <w:rPr>
          <w:rFonts w:cs="Arial"/>
          <w:iCs w:val="0"/>
          <w:color w:val="auto"/>
          <w:szCs w:val="16"/>
          <w:lang w:val="en-CA"/>
        </w:rPr>
        <w:t>7</w:t>
      </w:r>
      <w:r w:rsidR="004970B9" w:rsidRPr="00286D9F">
        <w:rPr>
          <w:rFonts w:cs="Arial"/>
          <w:iCs w:val="0"/>
          <w:color w:val="auto"/>
          <w:szCs w:val="16"/>
          <w:lang w:val="en-CA"/>
        </w:rPr>
        <w:t>-</w:t>
      </w:r>
      <w:r w:rsidR="00C4370A">
        <w:rPr>
          <w:rFonts w:cs="Arial"/>
          <w:iCs w:val="0"/>
          <w:color w:val="auto"/>
          <w:szCs w:val="16"/>
          <w:lang w:val="en-CA"/>
        </w:rPr>
        <w:t>31</w:t>
      </w:r>
    </w:p>
    <w:p w14:paraId="0A2A54E4" w14:textId="77777777" w:rsidR="00751E0B" w:rsidRPr="00286D9F" w:rsidRDefault="00751E0B" w:rsidP="00751E0B">
      <w:pPr>
        <w:pStyle w:val="StyleCopyrightStatementAfter0ptBottomSinglesolidline1"/>
        <w:rPr>
          <w:rFonts w:ascii="Times New Roman" w:hAnsi="Times New Roman"/>
          <w:szCs w:val="16"/>
          <w:lang w:val="en-CA"/>
        </w:rPr>
      </w:pPr>
    </w:p>
    <w:p w14:paraId="62053AA7" w14:textId="77777777" w:rsidR="004970B9" w:rsidRPr="00286D9F" w:rsidRDefault="004970B9" w:rsidP="00751E0B">
      <w:pPr>
        <w:pStyle w:val="StyleCopyrightStatementAfter0ptBottomSinglesolidline1"/>
        <w:rPr>
          <w:rFonts w:ascii="Times New Roman" w:hAnsi="Times New Roman"/>
          <w:szCs w:val="16"/>
          <w:lang w:val="en-CA"/>
        </w:rPr>
      </w:pPr>
    </w:p>
    <w:p w14:paraId="0EB26474" w14:textId="1B3EAD75" w:rsidR="00E12CB1" w:rsidRPr="00286D9F" w:rsidRDefault="004970B9" w:rsidP="004970B9">
      <w:pPr>
        <w:jc w:val="both"/>
        <w:rPr>
          <w:rFonts w:eastAsia="Calibri"/>
          <w:spacing w:val="-4"/>
          <w:kern w:val="22"/>
          <w:sz w:val="22"/>
          <w:szCs w:val="18"/>
          <w:lang w:val="en-CA"/>
        </w:rPr>
      </w:pPr>
      <w:r w:rsidRPr="00286D9F">
        <w:rPr>
          <w:rFonts w:eastAsia="Calibri"/>
          <w:spacing w:val="-4"/>
          <w:kern w:val="22"/>
          <w:sz w:val="22"/>
          <w:szCs w:val="18"/>
          <w:lang w:val="en-CA"/>
        </w:rPr>
        <w:t xml:space="preserve">In general, </w:t>
      </w:r>
      <w:r w:rsidR="00C8786B" w:rsidRPr="00286D9F">
        <w:rPr>
          <w:rFonts w:eastAsia="Calibri"/>
          <w:spacing w:val="-4"/>
          <w:kern w:val="22"/>
          <w:sz w:val="22"/>
          <w:szCs w:val="18"/>
          <w:lang w:val="en-CA"/>
        </w:rPr>
        <w:t xml:space="preserve">by 2018, </w:t>
      </w:r>
      <w:r w:rsidRPr="00286D9F">
        <w:rPr>
          <w:rFonts w:eastAsia="Calibri"/>
          <w:spacing w:val="-4"/>
          <w:kern w:val="22"/>
          <w:sz w:val="22"/>
          <w:szCs w:val="18"/>
          <w:lang w:val="en-CA"/>
        </w:rPr>
        <w:t>pharmaceutical companies ha</w:t>
      </w:r>
      <w:r w:rsidR="00C8786B" w:rsidRPr="00286D9F">
        <w:rPr>
          <w:rFonts w:eastAsia="Calibri"/>
          <w:spacing w:val="-4"/>
          <w:kern w:val="22"/>
          <w:sz w:val="22"/>
          <w:szCs w:val="18"/>
          <w:lang w:val="en-CA"/>
        </w:rPr>
        <w:t>d</w:t>
      </w:r>
      <w:r w:rsidRPr="00286D9F">
        <w:rPr>
          <w:rFonts w:eastAsia="Calibri"/>
          <w:spacing w:val="-4"/>
          <w:kern w:val="22"/>
          <w:sz w:val="22"/>
          <w:szCs w:val="18"/>
          <w:lang w:val="en-CA"/>
        </w:rPr>
        <w:t xml:space="preserve"> displayed a diverse set of responses to overcoming market challenges. Over the past few decades, for example, there </w:t>
      </w:r>
      <w:r w:rsidR="00BC20B3" w:rsidRPr="00286D9F">
        <w:rPr>
          <w:rFonts w:eastAsia="Calibri"/>
          <w:spacing w:val="-4"/>
          <w:kern w:val="22"/>
          <w:sz w:val="22"/>
          <w:szCs w:val="18"/>
          <w:lang w:val="en-CA"/>
        </w:rPr>
        <w:t xml:space="preserve">had </w:t>
      </w:r>
      <w:r w:rsidRPr="00286D9F">
        <w:rPr>
          <w:rFonts w:eastAsia="Calibri"/>
          <w:spacing w:val="-4"/>
          <w:kern w:val="22"/>
          <w:sz w:val="22"/>
          <w:szCs w:val="18"/>
          <w:lang w:val="en-CA"/>
        </w:rPr>
        <w:t xml:space="preserve">been a tendency for firms to consolidate, accomplished predominantly through large </w:t>
      </w:r>
      <w:r w:rsidR="00120944" w:rsidRPr="00286D9F">
        <w:rPr>
          <w:rFonts w:eastAsia="Calibri"/>
          <w:spacing w:val="-4"/>
          <w:kern w:val="22"/>
          <w:sz w:val="22"/>
          <w:szCs w:val="18"/>
          <w:lang w:val="en-CA"/>
        </w:rPr>
        <w:t>mergers and acquisitions (</w:t>
      </w:r>
      <w:r w:rsidRPr="00286D9F">
        <w:rPr>
          <w:rFonts w:eastAsia="Calibri"/>
          <w:spacing w:val="-4"/>
          <w:kern w:val="22"/>
          <w:sz w:val="22"/>
          <w:szCs w:val="18"/>
          <w:lang w:val="en-CA"/>
        </w:rPr>
        <w:t>M&amp;</w:t>
      </w:r>
      <w:proofErr w:type="gramStart"/>
      <w:r w:rsidRPr="00286D9F">
        <w:rPr>
          <w:rFonts w:eastAsia="Calibri"/>
          <w:spacing w:val="-4"/>
          <w:kern w:val="22"/>
          <w:sz w:val="22"/>
          <w:szCs w:val="18"/>
          <w:lang w:val="en-CA"/>
        </w:rPr>
        <w:t>As</w:t>
      </w:r>
      <w:proofErr w:type="gramEnd"/>
      <w:r w:rsidR="00120944" w:rsidRPr="00286D9F">
        <w:rPr>
          <w:rFonts w:eastAsia="Calibri"/>
          <w:spacing w:val="-4"/>
          <w:kern w:val="22"/>
          <w:sz w:val="22"/>
          <w:szCs w:val="18"/>
          <w:lang w:val="en-CA"/>
        </w:rPr>
        <w:t>).</w:t>
      </w:r>
      <w:r w:rsidR="00E12CB1" w:rsidRPr="00286D9F">
        <w:rPr>
          <w:rFonts w:eastAsia="Calibri"/>
          <w:spacing w:val="-4"/>
          <w:kern w:val="22"/>
          <w:sz w:val="22"/>
          <w:szCs w:val="18"/>
          <w:vertAlign w:val="superscript"/>
          <w:lang w:val="en-CA"/>
        </w:rPr>
        <w:endnoteReference w:id="1"/>
      </w:r>
      <w:r w:rsidR="00E12CB1" w:rsidRPr="00286D9F">
        <w:rPr>
          <w:rFonts w:eastAsia="Calibri"/>
          <w:spacing w:val="-4"/>
          <w:kern w:val="22"/>
          <w:sz w:val="22"/>
          <w:szCs w:val="18"/>
          <w:lang w:val="en-CA"/>
        </w:rPr>
        <w:t xml:space="preserve"> These strategic moves resulted in a reduction from 60 large pharmaceutical companies down to 10. In 2016, these top-10 pharmaceutical firms had a global market share </w:t>
      </w:r>
      <w:r w:rsidR="00E12CB1" w:rsidRPr="00286D9F">
        <w:rPr>
          <w:rFonts w:eastAsia="Calibri"/>
          <w:color w:val="000000"/>
          <w:spacing w:val="-4"/>
          <w:kern w:val="22"/>
          <w:sz w:val="22"/>
          <w:szCs w:val="18"/>
          <w:lang w:val="en-CA"/>
        </w:rPr>
        <w:t xml:space="preserve">of around 35 </w:t>
      </w:r>
      <w:r w:rsidR="00E12CB1" w:rsidRPr="00286D9F">
        <w:rPr>
          <w:rFonts w:eastAsia="Calibri"/>
          <w:spacing w:val="-4"/>
          <w:kern w:val="22"/>
          <w:sz w:val="22"/>
          <w:szCs w:val="18"/>
          <w:lang w:val="en-CA"/>
        </w:rPr>
        <w:t>per cent</w:t>
      </w:r>
      <w:r w:rsidR="00E12CB1" w:rsidRPr="00286D9F">
        <w:rPr>
          <w:rFonts w:eastAsia="Calibri"/>
          <w:color w:val="000000"/>
          <w:spacing w:val="-4"/>
          <w:kern w:val="22"/>
          <w:sz w:val="22"/>
          <w:szCs w:val="18"/>
          <w:lang w:val="en-CA"/>
        </w:rPr>
        <w:t>.</w:t>
      </w:r>
      <w:r w:rsidR="00E12CB1" w:rsidRPr="00286D9F">
        <w:rPr>
          <w:rFonts w:eastAsia="Calibri"/>
          <w:spacing w:val="-4"/>
          <w:kern w:val="22"/>
          <w:sz w:val="22"/>
          <w:szCs w:val="18"/>
          <w:vertAlign w:val="superscript"/>
          <w:lang w:val="en-CA"/>
        </w:rPr>
        <w:endnoteReference w:id="2"/>
      </w:r>
      <w:r w:rsidR="00E12CB1" w:rsidRPr="00286D9F">
        <w:rPr>
          <w:rFonts w:eastAsia="Calibri"/>
          <w:color w:val="000000"/>
          <w:spacing w:val="-4"/>
          <w:kern w:val="22"/>
          <w:sz w:val="22"/>
          <w:szCs w:val="18"/>
          <w:lang w:val="en-CA"/>
        </w:rPr>
        <w:t xml:space="preserve"> </w:t>
      </w:r>
      <w:r w:rsidR="00E12CB1" w:rsidRPr="00286D9F">
        <w:rPr>
          <w:rFonts w:eastAsia="Calibri"/>
          <w:spacing w:val="-4"/>
          <w:kern w:val="22"/>
          <w:sz w:val="22"/>
          <w:szCs w:val="18"/>
          <w:lang w:val="en-CA"/>
        </w:rPr>
        <w:t xml:space="preserve">Pfizer Inc. (Pfizer), for example, acquired Warner-Lambert for $111.8 billion in 2000 and Wyeth LLC (Wyeth) for </w:t>
      </w:r>
      <w:r w:rsidR="00EF3D80">
        <w:rPr>
          <w:rFonts w:eastAsia="Calibri"/>
          <w:spacing w:val="-4"/>
          <w:kern w:val="22"/>
          <w:sz w:val="22"/>
          <w:szCs w:val="18"/>
          <w:lang w:val="en-CA"/>
        </w:rPr>
        <w:t>US</w:t>
      </w:r>
      <w:r w:rsidR="00E12CB1" w:rsidRPr="00286D9F">
        <w:rPr>
          <w:rFonts w:eastAsia="Calibri"/>
          <w:spacing w:val="-4"/>
          <w:kern w:val="22"/>
          <w:sz w:val="22"/>
          <w:szCs w:val="18"/>
          <w:lang w:val="en-CA"/>
        </w:rPr>
        <w:t>$68.0 billion</w:t>
      </w:r>
      <w:r w:rsidR="00EF3D80">
        <w:rPr>
          <w:rStyle w:val="EndnoteReference"/>
          <w:rFonts w:eastAsia="Calibri"/>
          <w:spacing w:val="-4"/>
          <w:kern w:val="22"/>
          <w:sz w:val="22"/>
          <w:szCs w:val="18"/>
          <w:lang w:val="en-CA"/>
        </w:rPr>
        <w:endnoteReference w:id="3"/>
      </w:r>
      <w:r w:rsidR="00E12CB1" w:rsidRPr="00286D9F">
        <w:rPr>
          <w:rFonts w:eastAsia="Calibri"/>
          <w:spacing w:val="-4"/>
          <w:kern w:val="22"/>
          <w:sz w:val="22"/>
          <w:szCs w:val="18"/>
          <w:lang w:val="en-CA"/>
        </w:rPr>
        <w:t xml:space="preserve"> in 2009 (see Case A, Exhibit 2). </w:t>
      </w:r>
    </w:p>
    <w:p w14:paraId="6CC464AB" w14:textId="77777777" w:rsidR="00E12CB1" w:rsidRPr="00286D9F" w:rsidRDefault="00E12CB1" w:rsidP="004970B9">
      <w:pPr>
        <w:jc w:val="both"/>
        <w:rPr>
          <w:rFonts w:eastAsia="Calibri"/>
          <w:sz w:val="18"/>
          <w:szCs w:val="18"/>
          <w:lang w:val="en-CA"/>
        </w:rPr>
      </w:pPr>
    </w:p>
    <w:p w14:paraId="4556EC9B" w14:textId="688221B6" w:rsidR="00E12CB1" w:rsidRPr="00286D9F" w:rsidRDefault="00E12CB1" w:rsidP="004970B9">
      <w:pPr>
        <w:jc w:val="both"/>
        <w:rPr>
          <w:rFonts w:eastAsia="Calibri"/>
          <w:sz w:val="22"/>
          <w:szCs w:val="18"/>
          <w:lang w:val="en-CA"/>
        </w:rPr>
      </w:pPr>
      <w:r w:rsidRPr="00286D9F">
        <w:rPr>
          <w:rFonts w:eastAsia="Calibri"/>
          <w:sz w:val="22"/>
          <w:szCs w:val="18"/>
          <w:lang w:val="en-CA"/>
        </w:rPr>
        <w:t>Patents were a major issue for pharmaceutical companies, and finding strategies for overcoming them was crucial to ongoing success in the marketplace. Thus “patent cliffs,”</w:t>
      </w:r>
      <w:r w:rsidRPr="00286D9F">
        <w:rPr>
          <w:rStyle w:val="EndnoteReference"/>
          <w:rFonts w:eastAsia="Calibri"/>
          <w:sz w:val="22"/>
          <w:szCs w:val="18"/>
          <w:lang w:val="en-CA"/>
        </w:rPr>
        <w:endnoteReference w:id="4"/>
      </w:r>
      <w:r w:rsidRPr="00286D9F">
        <w:rPr>
          <w:rFonts w:eastAsia="Calibri"/>
          <w:sz w:val="22"/>
          <w:szCs w:val="18"/>
          <w:lang w:val="en-CA"/>
        </w:rPr>
        <w:t xml:space="preserve"> along with cost savings, were major motivations for undertaking large M&amp;As.</w:t>
      </w:r>
      <w:r w:rsidRPr="00286D9F">
        <w:rPr>
          <w:rFonts w:eastAsia="Calibri"/>
          <w:sz w:val="22"/>
          <w:szCs w:val="18"/>
          <w:vertAlign w:val="superscript"/>
          <w:lang w:val="en-CA"/>
        </w:rPr>
        <w:endnoteReference w:id="5"/>
      </w:r>
      <w:r w:rsidRPr="00286D9F">
        <w:rPr>
          <w:rFonts w:eastAsia="Calibri"/>
          <w:sz w:val="22"/>
          <w:szCs w:val="18"/>
          <w:lang w:val="en-CA"/>
        </w:rPr>
        <w:t xml:space="preserve"> M&amp;As had also come to be used as a tactical move to help pharmaceutical companies grow in size and power and add value to their research pipelines, and as such they were increasing in number industry-wide.</w:t>
      </w:r>
      <w:r w:rsidRPr="00286D9F">
        <w:rPr>
          <w:rFonts w:eastAsia="Calibri"/>
          <w:sz w:val="22"/>
          <w:szCs w:val="18"/>
          <w:vertAlign w:val="superscript"/>
          <w:lang w:val="en-CA"/>
        </w:rPr>
        <w:endnoteReference w:id="6"/>
      </w:r>
      <w:r w:rsidRPr="00286D9F">
        <w:rPr>
          <w:rFonts w:eastAsia="Calibri"/>
          <w:sz w:val="22"/>
          <w:szCs w:val="18"/>
          <w:lang w:val="en-CA"/>
        </w:rPr>
        <w:t xml:space="preserve"> Pharmaceutical companies had tended to favour risk-averse M&amp;</w:t>
      </w:r>
      <w:proofErr w:type="gramStart"/>
      <w:r w:rsidRPr="00286D9F">
        <w:rPr>
          <w:rFonts w:eastAsia="Calibri"/>
          <w:sz w:val="22"/>
          <w:szCs w:val="18"/>
          <w:lang w:val="en-CA"/>
        </w:rPr>
        <w:t>As</w:t>
      </w:r>
      <w:proofErr w:type="gramEnd"/>
      <w:r w:rsidRPr="00286D9F">
        <w:rPr>
          <w:rFonts w:eastAsia="Calibri"/>
          <w:lang w:val="en-CA"/>
        </w:rPr>
        <w:t xml:space="preserve">: </w:t>
      </w:r>
      <w:r w:rsidRPr="00286D9F">
        <w:rPr>
          <w:rFonts w:eastAsia="Calibri"/>
          <w:sz w:val="22"/>
          <w:szCs w:val="18"/>
          <w:lang w:val="en-CA"/>
        </w:rPr>
        <w:t>of the ten biggest M&amp;As in 2016 (see Exhibit 1), seven involved companies with established products and another two, companies with products at the end of the approval process.</w:t>
      </w:r>
      <w:r w:rsidRPr="00286D9F">
        <w:rPr>
          <w:rFonts w:eastAsia="Calibri"/>
          <w:sz w:val="22"/>
          <w:szCs w:val="18"/>
          <w:vertAlign w:val="superscript"/>
          <w:lang w:val="en-CA"/>
        </w:rPr>
        <w:endnoteReference w:id="7"/>
      </w:r>
    </w:p>
    <w:p w14:paraId="32BFD325" w14:textId="77777777" w:rsidR="00E12CB1" w:rsidRPr="00286D9F" w:rsidRDefault="00E12CB1" w:rsidP="004970B9">
      <w:pPr>
        <w:jc w:val="both"/>
        <w:rPr>
          <w:rFonts w:eastAsia="Calibri"/>
          <w:sz w:val="18"/>
          <w:szCs w:val="18"/>
          <w:lang w:val="en-CA"/>
        </w:rPr>
      </w:pPr>
    </w:p>
    <w:p w14:paraId="09C88475" w14:textId="345C3571" w:rsidR="00E12CB1" w:rsidRPr="00286D9F" w:rsidRDefault="00E12CB1" w:rsidP="004970B9">
      <w:pPr>
        <w:jc w:val="both"/>
        <w:rPr>
          <w:rFonts w:eastAsia="Calibri"/>
          <w:color w:val="000000"/>
          <w:spacing w:val="-4"/>
          <w:kern w:val="22"/>
          <w:sz w:val="22"/>
          <w:szCs w:val="18"/>
          <w:lang w:val="en-CA"/>
        </w:rPr>
      </w:pPr>
      <w:r w:rsidRPr="00286D9F">
        <w:rPr>
          <w:rFonts w:eastAsia="Calibri"/>
          <w:spacing w:val="-4"/>
          <w:kern w:val="22"/>
          <w:sz w:val="22"/>
          <w:szCs w:val="18"/>
          <w:lang w:val="en-CA"/>
        </w:rPr>
        <w:t>As the trend for engaging in M&amp;</w:t>
      </w:r>
      <w:proofErr w:type="gramStart"/>
      <w:r w:rsidRPr="00286D9F">
        <w:rPr>
          <w:rFonts w:eastAsia="Calibri"/>
          <w:spacing w:val="-4"/>
          <w:kern w:val="22"/>
          <w:sz w:val="22"/>
          <w:szCs w:val="18"/>
          <w:lang w:val="en-CA"/>
        </w:rPr>
        <w:t>As</w:t>
      </w:r>
      <w:proofErr w:type="gramEnd"/>
      <w:r w:rsidRPr="00286D9F">
        <w:rPr>
          <w:rFonts w:eastAsia="Calibri"/>
          <w:spacing w:val="-4"/>
          <w:kern w:val="22"/>
          <w:sz w:val="22"/>
          <w:szCs w:val="18"/>
          <w:lang w:val="en-CA"/>
        </w:rPr>
        <w:t xml:space="preserve"> evolved within the pharmaceutical industry, companies seeking mergers shifted their focus onto smaller companies (e.g., young biotechnology firms and established niche product providers) and onto those divisions of </w:t>
      </w:r>
      <w:r w:rsidRPr="00286D9F">
        <w:rPr>
          <w:rFonts w:eastAsia="Calibri"/>
          <w:color w:val="000000"/>
          <w:spacing w:val="-4"/>
          <w:kern w:val="22"/>
          <w:sz w:val="22"/>
          <w:szCs w:val="18"/>
          <w:lang w:val="en-CA"/>
        </w:rPr>
        <w:t xml:space="preserve">established pharmaceutical companies that had the potential to strengthen their own core activities. This was because less diversified companies with a narrow focus had been shown to produce higher returns (around 12 </w:t>
      </w:r>
      <w:r w:rsidRPr="00286D9F">
        <w:rPr>
          <w:rFonts w:eastAsia="Calibri"/>
          <w:spacing w:val="-4"/>
          <w:kern w:val="22"/>
          <w:sz w:val="22"/>
          <w:szCs w:val="18"/>
          <w:lang w:val="en-CA"/>
        </w:rPr>
        <w:t>per cent</w:t>
      </w:r>
      <w:r w:rsidRPr="00286D9F">
        <w:rPr>
          <w:rFonts w:eastAsia="Calibri"/>
          <w:color w:val="000000"/>
          <w:spacing w:val="-4"/>
          <w:kern w:val="22"/>
          <w:sz w:val="22"/>
          <w:szCs w:val="18"/>
          <w:lang w:val="en-CA"/>
        </w:rPr>
        <w:t>) and to exhibit greater efficiency.</w:t>
      </w:r>
      <w:r w:rsidRPr="00286D9F">
        <w:rPr>
          <w:rFonts w:eastAsia="Calibri"/>
          <w:color w:val="000000"/>
          <w:spacing w:val="-4"/>
          <w:kern w:val="22"/>
          <w:sz w:val="22"/>
          <w:szCs w:val="18"/>
          <w:vertAlign w:val="superscript"/>
          <w:lang w:val="en-CA"/>
        </w:rPr>
        <w:endnoteReference w:id="8"/>
      </w:r>
      <w:r w:rsidRPr="00286D9F">
        <w:rPr>
          <w:rFonts w:eastAsia="Calibri"/>
          <w:color w:val="000000"/>
          <w:spacing w:val="-4"/>
          <w:kern w:val="22"/>
          <w:sz w:val="22"/>
          <w:szCs w:val="18"/>
          <w:lang w:val="en-CA"/>
        </w:rPr>
        <w:t xml:space="preserve"> A process had thus begun, with companies buying and selling divisions according to whether they fit with their main business portfolios. Pfizer, for example, strengthened its vaccine segment by acquiring the vaccine division of Baxter for $635 million</w:t>
      </w:r>
      <w:r w:rsidRPr="00286D9F">
        <w:rPr>
          <w:rFonts w:eastAsia="Calibri"/>
          <w:color w:val="000000"/>
          <w:spacing w:val="-4"/>
          <w:kern w:val="22"/>
          <w:sz w:val="22"/>
          <w:szCs w:val="18"/>
          <w:vertAlign w:val="superscript"/>
          <w:lang w:val="en-CA"/>
        </w:rPr>
        <w:endnoteReference w:id="9"/>
      </w:r>
      <w:r w:rsidRPr="00286D9F">
        <w:rPr>
          <w:rFonts w:eastAsia="Calibri"/>
          <w:color w:val="000000"/>
          <w:spacing w:val="-4"/>
          <w:kern w:val="22"/>
          <w:sz w:val="22"/>
          <w:szCs w:val="18"/>
          <w:lang w:val="en-CA"/>
        </w:rPr>
        <w:t xml:space="preserve"> and selling its animal and infant nutrition business. Pfizer also divested from its Alzheimer’s and Parkinson’s research in 2018,</w:t>
      </w:r>
      <w:r w:rsidRPr="00286D9F">
        <w:rPr>
          <w:rFonts w:eastAsia="Calibri"/>
          <w:color w:val="000000"/>
          <w:spacing w:val="-4"/>
          <w:kern w:val="22"/>
          <w:sz w:val="22"/>
          <w:szCs w:val="18"/>
          <w:vertAlign w:val="superscript"/>
          <w:lang w:val="en-CA"/>
        </w:rPr>
        <w:endnoteReference w:id="10"/>
      </w:r>
      <w:r w:rsidRPr="00286D9F">
        <w:rPr>
          <w:rFonts w:eastAsia="Calibri"/>
          <w:color w:val="000000"/>
          <w:spacing w:val="-4"/>
          <w:kern w:val="22"/>
          <w:sz w:val="22"/>
          <w:szCs w:val="18"/>
          <w:lang w:val="en-CA"/>
        </w:rPr>
        <w:t xml:space="preserve"> despite the fact that the Food and Drug Administration (FDA) cited this as an important research area and was encouraging research by relaxing drug approval regulations for drugs aimed at these diseases.</w:t>
      </w:r>
      <w:r w:rsidRPr="00286D9F">
        <w:rPr>
          <w:rFonts w:eastAsia="Calibri"/>
          <w:color w:val="000000"/>
          <w:spacing w:val="-4"/>
          <w:kern w:val="22"/>
          <w:sz w:val="22"/>
          <w:szCs w:val="18"/>
          <w:vertAlign w:val="superscript"/>
          <w:lang w:val="en-CA"/>
        </w:rPr>
        <w:endnoteReference w:id="11"/>
      </w:r>
      <w:r w:rsidRPr="00286D9F">
        <w:rPr>
          <w:rFonts w:eastAsia="Calibri"/>
          <w:color w:val="000000"/>
          <w:spacing w:val="-4"/>
          <w:kern w:val="22"/>
          <w:sz w:val="22"/>
          <w:szCs w:val="18"/>
          <w:lang w:val="en-CA"/>
        </w:rPr>
        <w:t xml:space="preserve"> </w:t>
      </w:r>
    </w:p>
    <w:p w14:paraId="6C8E2E7B" w14:textId="77777777" w:rsidR="00E12CB1" w:rsidRPr="00286D9F" w:rsidRDefault="00E12CB1" w:rsidP="004970B9">
      <w:pPr>
        <w:jc w:val="both"/>
        <w:rPr>
          <w:rFonts w:eastAsia="Calibri"/>
          <w:color w:val="000000"/>
          <w:sz w:val="18"/>
          <w:szCs w:val="18"/>
          <w:lang w:val="en-CA"/>
        </w:rPr>
      </w:pPr>
    </w:p>
    <w:p w14:paraId="259A0472" w14:textId="25D3BAF9" w:rsidR="00E12CB1" w:rsidRPr="00286D9F" w:rsidRDefault="00E12CB1" w:rsidP="004970B9">
      <w:pPr>
        <w:jc w:val="both"/>
        <w:rPr>
          <w:rFonts w:eastAsia="Calibri"/>
          <w:color w:val="000000"/>
          <w:sz w:val="22"/>
          <w:szCs w:val="18"/>
          <w:lang w:val="en-CA"/>
        </w:rPr>
      </w:pPr>
      <w:r w:rsidRPr="00286D9F">
        <w:rPr>
          <w:rFonts w:eastAsia="Calibri"/>
          <w:sz w:val="22"/>
          <w:szCs w:val="18"/>
          <w:lang w:val="en-CA"/>
        </w:rPr>
        <w:t>In contrast, other big players in the market, such as Hoffmann-La Roche Ltd. (Roche) went through relatively few, small consolidations or else followed an organic growth approach.</w:t>
      </w:r>
      <w:r w:rsidRPr="00286D9F">
        <w:rPr>
          <w:rFonts w:eastAsia="Calibri"/>
          <w:sz w:val="22"/>
          <w:szCs w:val="18"/>
          <w:vertAlign w:val="superscript"/>
          <w:lang w:val="en-CA"/>
        </w:rPr>
        <w:endnoteReference w:id="12"/>
      </w:r>
      <w:r w:rsidRPr="00286D9F">
        <w:rPr>
          <w:rFonts w:eastAsia="Calibri"/>
          <w:sz w:val="22"/>
          <w:szCs w:val="18"/>
          <w:lang w:val="en-CA"/>
        </w:rPr>
        <w:t xml:space="preserve"> O</w:t>
      </w:r>
      <w:r w:rsidRPr="00286D9F">
        <w:rPr>
          <w:rFonts w:eastAsia="Calibri"/>
          <w:color w:val="000000"/>
          <w:sz w:val="22"/>
          <w:szCs w:val="18"/>
          <w:lang w:val="en-CA"/>
        </w:rPr>
        <w:t xml:space="preserve">ther innovative companies, such as Sanofi SA (Sanofi) and Novartis International AG (Novartis), developed and/or absorbed large generics businesses, over-the-counter (OTC) products and diagnostics and non-medical consumer goods (e.g., Johnson &amp; Johnson). </w:t>
      </w:r>
    </w:p>
    <w:p w14:paraId="342B3521" w14:textId="553FCCE3" w:rsidR="00E12CB1" w:rsidRPr="00286D9F" w:rsidRDefault="00E12CB1" w:rsidP="002E500C">
      <w:pPr>
        <w:pStyle w:val="BodyTextMain"/>
        <w:rPr>
          <w:rFonts w:eastAsia="Calibri"/>
          <w:lang w:val="en-CA"/>
        </w:rPr>
      </w:pPr>
      <w:r w:rsidRPr="00286D9F">
        <w:rPr>
          <w:rFonts w:eastAsia="Calibri"/>
          <w:lang w:val="en-CA"/>
        </w:rPr>
        <w:lastRenderedPageBreak/>
        <w:t xml:space="preserve">Another area of strategic activity was the attempt to decentralize research and development (R&amp;D) units. Most large pharmaceutical firms had until recently had relatively centralized R&amp;D, a position which hardly changed for a number of years. However, the increasing importance of new sciences like biotechnology and genetics, driven by companies like </w:t>
      </w:r>
      <w:proofErr w:type="spellStart"/>
      <w:r w:rsidRPr="00286D9F">
        <w:rPr>
          <w:rFonts w:eastAsia="Calibri"/>
          <w:lang w:val="en-CA"/>
        </w:rPr>
        <w:t>Pharmaco</w:t>
      </w:r>
      <w:proofErr w:type="spellEnd"/>
      <w:r w:rsidRPr="00286D9F">
        <w:rPr>
          <w:rFonts w:eastAsia="Calibri"/>
          <w:lang w:val="en-CA"/>
        </w:rPr>
        <w:t>, Genomics, and Proteomics, led to a growing trend in “personalized drugs.” These were described as “a form of medicine that uses information about a person’s genes, proteins, and environment to prevent, diagnose, and treat disease.”</w:t>
      </w:r>
      <w:r w:rsidRPr="00286D9F">
        <w:rPr>
          <w:rFonts w:eastAsia="Calibri"/>
          <w:vertAlign w:val="superscript"/>
          <w:lang w:val="en-CA"/>
        </w:rPr>
        <w:endnoteReference w:id="13"/>
      </w:r>
      <w:r w:rsidRPr="00286D9F">
        <w:rPr>
          <w:rFonts w:eastAsia="Calibri"/>
          <w:lang w:val="en-CA"/>
        </w:rPr>
        <w:t xml:space="preserve"> Due to the individual adjustment of such drugs to patients and some relatively minor privacy concerns on t</w:t>
      </w:r>
      <w:r w:rsidRPr="00286D9F">
        <w:rPr>
          <w:rFonts w:eastAsia="Calibri"/>
          <w:color w:val="000000"/>
          <w:szCs w:val="18"/>
          <w:lang w:val="en-CA"/>
        </w:rPr>
        <w:t>he part of patients, the value added by such medicines was of interest to a variety of stakeholders (especially insurers and national health systems), and this justified the higher drug prices involved. Nevertheless, personalized drugs promised rather marginal rates of return, since R&amp;D costs were spread across a smaller pool of patients.</w:t>
      </w:r>
      <w:r w:rsidRPr="00286D9F">
        <w:rPr>
          <w:rFonts w:eastAsia="Calibri"/>
          <w:color w:val="000000"/>
          <w:szCs w:val="18"/>
          <w:vertAlign w:val="superscript"/>
          <w:lang w:val="en-CA"/>
        </w:rPr>
        <w:endnoteReference w:id="14"/>
      </w:r>
    </w:p>
    <w:p w14:paraId="7FCD2515" w14:textId="77777777" w:rsidR="00E12CB1" w:rsidRPr="00286D9F" w:rsidRDefault="00E12CB1" w:rsidP="00286D9F">
      <w:pPr>
        <w:pStyle w:val="BodyTextMain"/>
        <w:rPr>
          <w:rFonts w:eastAsia="Calibri"/>
        </w:rPr>
      </w:pPr>
    </w:p>
    <w:p w14:paraId="1860BF31" w14:textId="0BA3F3CA" w:rsidR="00E12CB1" w:rsidRPr="00286D9F" w:rsidRDefault="00E12CB1" w:rsidP="002E500C">
      <w:pPr>
        <w:pStyle w:val="BodyTextMain"/>
        <w:rPr>
          <w:rFonts w:eastAsia="Calibri"/>
          <w:lang w:val="en-CA"/>
        </w:rPr>
      </w:pPr>
      <w:r w:rsidRPr="00286D9F">
        <w:rPr>
          <w:rFonts w:eastAsia="Calibri"/>
          <w:lang w:val="en-CA"/>
        </w:rPr>
        <w:t xml:space="preserve">The “one-drug-fits-all” approach, which previously characterized the “blockbusters” </w:t>
      </w:r>
      <w:r w:rsidRPr="00286D9F">
        <w:rPr>
          <w:lang w:val="en-CA"/>
        </w:rPr>
        <w:t xml:space="preserve">(drugs with more than $1 billion in yearly revenues), </w:t>
      </w:r>
      <w:r w:rsidRPr="00286D9F">
        <w:rPr>
          <w:rFonts w:eastAsia="Calibri"/>
          <w:lang w:val="en-CA"/>
        </w:rPr>
        <w:t>was becoming outmoded.</w:t>
      </w:r>
      <w:r w:rsidRPr="00286D9F">
        <w:rPr>
          <w:rFonts w:eastAsia="Calibri"/>
          <w:color w:val="000000"/>
          <w:vertAlign w:val="superscript"/>
          <w:lang w:val="en-CA"/>
        </w:rPr>
        <w:endnoteReference w:id="15"/>
      </w:r>
      <w:r w:rsidRPr="00286D9F">
        <w:rPr>
          <w:rFonts w:eastAsia="Calibri"/>
          <w:color w:val="000000"/>
          <w:lang w:val="en-CA"/>
        </w:rPr>
        <w:t xml:space="preserve"> Blockbuster drugs usually targeted diseases that affected a large population. D</w:t>
      </w:r>
      <w:r w:rsidRPr="00286D9F">
        <w:rPr>
          <w:rFonts w:eastAsia="Calibri"/>
          <w:lang w:val="en-CA"/>
        </w:rPr>
        <w:t>rugs for specific patient groups had become more numerous, supported by further developments in the research process such as iterative test procedures that used imaging methods. These new procedures had little to do with traditional R&amp;D (see Case A). More and more often, universities and smaller biotechnology firms had been ranking higher than the large pharmaceutical firms in terms of number of innovations. This led to changes in how R&amp;D was conducted. GlaxoSmithKline Plc (GSK), for example, initiated a decentralization process and designed an open innovation strategy in order to have more flexibility at the research front.</w:t>
      </w:r>
    </w:p>
    <w:p w14:paraId="52937804" w14:textId="77777777" w:rsidR="00E12CB1" w:rsidRPr="00286D9F" w:rsidRDefault="00E12CB1" w:rsidP="00286D9F">
      <w:pPr>
        <w:pStyle w:val="BodyTextMain"/>
        <w:rPr>
          <w:rFonts w:eastAsia="Calibri"/>
          <w:lang w:val="en-CA"/>
        </w:rPr>
      </w:pPr>
    </w:p>
    <w:p w14:paraId="7E701AA6" w14:textId="2BCC3F43" w:rsidR="00E12CB1" w:rsidRPr="00286D9F" w:rsidRDefault="00E12CB1" w:rsidP="004970B9">
      <w:pPr>
        <w:jc w:val="both"/>
        <w:rPr>
          <w:rFonts w:eastAsia="Calibri"/>
          <w:color w:val="000000"/>
          <w:sz w:val="22"/>
          <w:szCs w:val="18"/>
          <w:lang w:val="en-CA"/>
        </w:rPr>
      </w:pPr>
      <w:r w:rsidRPr="00286D9F">
        <w:rPr>
          <w:rFonts w:eastAsia="Calibri"/>
          <w:sz w:val="22"/>
          <w:szCs w:val="18"/>
          <w:lang w:val="en-CA"/>
        </w:rPr>
        <w:t>For drugs with a relatively small patient population, the profit might be increased by targeting the disease pathways and biological mechanisms of other disorders within the same therapeutic area. No</w:t>
      </w:r>
      <w:r w:rsidRPr="00286D9F">
        <w:rPr>
          <w:rFonts w:eastAsia="Calibri"/>
          <w:color w:val="000000"/>
          <w:sz w:val="22"/>
          <w:szCs w:val="18"/>
          <w:lang w:val="en-CA"/>
        </w:rPr>
        <w:t xml:space="preserve">vartis successfully demonstrated this approach with </w:t>
      </w:r>
      <w:proofErr w:type="spellStart"/>
      <w:r w:rsidRPr="00286D9F">
        <w:rPr>
          <w:rFonts w:eastAsia="Calibri"/>
          <w:color w:val="000000"/>
          <w:sz w:val="22"/>
          <w:szCs w:val="18"/>
          <w:lang w:val="en-CA"/>
        </w:rPr>
        <w:t>Afinitor</w:t>
      </w:r>
      <w:proofErr w:type="spellEnd"/>
      <w:r w:rsidRPr="00286D9F">
        <w:rPr>
          <w:rFonts w:eastAsia="Calibri"/>
          <w:color w:val="000000"/>
          <w:sz w:val="22"/>
          <w:szCs w:val="18"/>
          <w:lang w:val="en-CA"/>
        </w:rPr>
        <w:t xml:space="preserve">, a cancer drug initially developed to treat kidney cancers, which was subsequently broadened to treat lung and breast cancers. The combined sales turned </w:t>
      </w:r>
      <w:proofErr w:type="spellStart"/>
      <w:r w:rsidRPr="00286D9F">
        <w:rPr>
          <w:rFonts w:eastAsia="Calibri"/>
          <w:color w:val="000000"/>
          <w:sz w:val="22"/>
          <w:szCs w:val="18"/>
          <w:lang w:val="en-CA"/>
        </w:rPr>
        <w:t>Afinitor</w:t>
      </w:r>
      <w:proofErr w:type="spellEnd"/>
      <w:r w:rsidRPr="00286D9F">
        <w:rPr>
          <w:rFonts w:eastAsia="Calibri"/>
          <w:color w:val="000000"/>
          <w:sz w:val="22"/>
          <w:szCs w:val="18"/>
          <w:lang w:val="en-CA"/>
        </w:rPr>
        <w:t xml:space="preserve"> into a blockbuster. </w:t>
      </w:r>
    </w:p>
    <w:p w14:paraId="067B956D" w14:textId="796A95B8" w:rsidR="00E12CB1" w:rsidRPr="00286D9F" w:rsidRDefault="00E12CB1" w:rsidP="00286D9F">
      <w:pPr>
        <w:pStyle w:val="BodyTextMain"/>
        <w:rPr>
          <w:rFonts w:eastAsia="Calibri"/>
          <w:lang w:val="en-CA"/>
        </w:rPr>
      </w:pPr>
    </w:p>
    <w:p w14:paraId="424B9477" w14:textId="1AFFD947" w:rsidR="00E12CB1" w:rsidRPr="00286D9F" w:rsidRDefault="00E12CB1" w:rsidP="004970B9">
      <w:pPr>
        <w:jc w:val="both"/>
        <w:rPr>
          <w:rFonts w:eastAsia="Calibri"/>
          <w:color w:val="000000"/>
          <w:sz w:val="22"/>
          <w:szCs w:val="18"/>
          <w:lang w:val="en-CA"/>
        </w:rPr>
      </w:pPr>
      <w:r w:rsidRPr="00286D9F">
        <w:rPr>
          <w:rFonts w:eastAsia="Calibri"/>
          <w:sz w:val="22"/>
          <w:szCs w:val="18"/>
          <w:lang w:val="en-CA"/>
        </w:rPr>
        <w:t>Growth leveraging also occurred through the exploitation of developing markets, which in 2015 accounted for 22 per cent of global pharmaceutical sales.</w:t>
      </w:r>
      <w:r w:rsidRPr="00286D9F">
        <w:rPr>
          <w:rFonts w:eastAsia="Calibri"/>
          <w:sz w:val="22"/>
          <w:szCs w:val="18"/>
          <w:vertAlign w:val="superscript"/>
          <w:lang w:val="en-CA"/>
        </w:rPr>
        <w:endnoteReference w:id="16"/>
      </w:r>
      <w:r w:rsidRPr="00286D9F">
        <w:rPr>
          <w:rFonts w:eastAsia="Calibri"/>
          <w:sz w:val="22"/>
          <w:szCs w:val="18"/>
          <w:lang w:val="en-CA"/>
        </w:rPr>
        <w:t xml:space="preserve"> Pfizer, as a way of sharpening its focus, added emerging market sections to all of its units. Developing markets themselves also spotted the opportunities in the pharmaceutical market. The Chinese government, for example, encouraged the industry to invest in pharmaceutical R&amp;D and to consolidate; the Chinese pharmaceutical market </w:t>
      </w:r>
      <w:r w:rsidRPr="00286D9F">
        <w:rPr>
          <w:rFonts w:eastAsia="Calibri"/>
          <w:color w:val="000000"/>
          <w:sz w:val="22"/>
          <w:szCs w:val="18"/>
          <w:lang w:val="en-CA"/>
        </w:rPr>
        <w:t xml:space="preserve">in 2017 </w:t>
      </w:r>
      <w:r w:rsidRPr="00286D9F">
        <w:rPr>
          <w:rFonts w:eastAsia="Calibri"/>
          <w:sz w:val="22"/>
          <w:szCs w:val="18"/>
          <w:lang w:val="en-CA"/>
        </w:rPr>
        <w:t xml:space="preserve">was fragmented, with </w:t>
      </w:r>
      <w:r w:rsidRPr="00286D9F">
        <w:rPr>
          <w:rFonts w:eastAsia="Calibri"/>
          <w:color w:val="000000"/>
          <w:sz w:val="22"/>
          <w:szCs w:val="18"/>
          <w:lang w:val="en-CA"/>
        </w:rPr>
        <w:t>thousands of small manufacturers.</w:t>
      </w:r>
      <w:r w:rsidRPr="00286D9F">
        <w:rPr>
          <w:rFonts w:eastAsia="Calibri"/>
          <w:color w:val="000000"/>
          <w:sz w:val="22"/>
          <w:szCs w:val="18"/>
          <w:vertAlign w:val="superscript"/>
          <w:lang w:val="en-CA"/>
        </w:rPr>
        <w:endnoteReference w:id="17"/>
      </w:r>
    </w:p>
    <w:p w14:paraId="688B6176" w14:textId="77777777" w:rsidR="00E12CB1" w:rsidRPr="00286D9F" w:rsidRDefault="00E12CB1" w:rsidP="00286D9F">
      <w:pPr>
        <w:pStyle w:val="BodyTextMain"/>
        <w:rPr>
          <w:rFonts w:eastAsia="Calibri"/>
          <w:lang w:val="en-CA"/>
        </w:rPr>
      </w:pPr>
    </w:p>
    <w:p w14:paraId="4626C99A" w14:textId="643F3A5B" w:rsidR="00E12CB1" w:rsidRPr="00286D9F" w:rsidRDefault="00E12CB1" w:rsidP="004970B9">
      <w:pPr>
        <w:jc w:val="both"/>
        <w:rPr>
          <w:rFonts w:eastAsia="Calibri"/>
          <w:color w:val="000000"/>
          <w:spacing w:val="-4"/>
          <w:kern w:val="22"/>
          <w:sz w:val="22"/>
          <w:szCs w:val="18"/>
          <w:lang w:val="en-CA"/>
        </w:rPr>
      </w:pPr>
      <w:r w:rsidRPr="00286D9F">
        <w:rPr>
          <w:rFonts w:eastAsia="Calibri"/>
          <w:color w:val="000000"/>
          <w:spacing w:val="-4"/>
          <w:kern w:val="22"/>
          <w:sz w:val="22"/>
          <w:szCs w:val="18"/>
          <w:lang w:val="en-CA"/>
        </w:rPr>
        <w:t>Another important means of counteracting the patent expiry problem was to experiment with the product’s life cycle. The goal of this was either to increase the time a branded product was on the market before it was exposed to competition from generics, or to increase the revenue a product would generate under patent protection, or to minimize the loss of revenue to competing generics once the patent expired. For example, after the loss of exclusivity of Lipitor</w:t>
      </w:r>
      <w:r w:rsidRPr="00286D9F">
        <w:rPr>
          <w:rFonts w:ascii="Arial" w:eastAsia="Calibri" w:hAnsi="Arial" w:cs="Arial"/>
          <w:bCs/>
          <w:spacing w:val="-4"/>
          <w:kern w:val="22"/>
          <w:sz w:val="17"/>
          <w:szCs w:val="17"/>
          <w:lang w:val="en-CA"/>
        </w:rPr>
        <w:t xml:space="preserve"> </w:t>
      </w:r>
      <w:r w:rsidRPr="00286D9F">
        <w:rPr>
          <w:rFonts w:eastAsia="Calibri"/>
          <w:color w:val="000000"/>
          <w:spacing w:val="-4"/>
          <w:kern w:val="22"/>
          <w:sz w:val="22"/>
          <w:szCs w:val="18"/>
          <w:lang w:val="en-CA"/>
        </w:rPr>
        <w:t xml:space="preserve">in the United States in 2011, Pfizer embarked on four innovative initiatives: </w:t>
      </w:r>
    </w:p>
    <w:p w14:paraId="5910FBB3" w14:textId="77777777" w:rsidR="00E12CB1" w:rsidRPr="00286D9F" w:rsidRDefault="00E12CB1" w:rsidP="00286D9F">
      <w:pPr>
        <w:pStyle w:val="BodyTextMain"/>
        <w:rPr>
          <w:rFonts w:eastAsia="Calibri"/>
          <w:lang w:val="en-CA"/>
        </w:rPr>
      </w:pPr>
    </w:p>
    <w:p w14:paraId="7B94EB4C" w14:textId="6216B4D3" w:rsidR="00E12CB1" w:rsidRPr="00286D9F" w:rsidRDefault="00E12CB1" w:rsidP="004970B9">
      <w:pPr>
        <w:numPr>
          <w:ilvl w:val="0"/>
          <w:numId w:val="13"/>
        </w:numPr>
        <w:jc w:val="both"/>
        <w:rPr>
          <w:rFonts w:eastAsia="Calibri"/>
          <w:color w:val="000000"/>
          <w:spacing w:val="-4"/>
          <w:kern w:val="22"/>
          <w:sz w:val="22"/>
          <w:szCs w:val="18"/>
          <w:lang w:val="en-CA"/>
        </w:rPr>
      </w:pPr>
      <w:r w:rsidRPr="00286D9F">
        <w:rPr>
          <w:rFonts w:eastAsia="Calibri"/>
          <w:color w:val="000000"/>
          <w:spacing w:val="-4"/>
          <w:kern w:val="22"/>
          <w:sz w:val="22"/>
          <w:szCs w:val="18"/>
          <w:lang w:val="en-CA"/>
        </w:rPr>
        <w:t xml:space="preserve">First, it entered into “pay-to-delay” deals, in which it paid generics producers to postpone launches. The result was that only one generics producer, Watson Pharmaceuticals, brought an authorized generic version onto the market. It shared around 70 </w:t>
      </w:r>
      <w:r w:rsidRPr="00286D9F">
        <w:rPr>
          <w:rFonts w:eastAsia="Calibri"/>
          <w:spacing w:val="-4"/>
          <w:kern w:val="22"/>
          <w:sz w:val="22"/>
          <w:szCs w:val="18"/>
          <w:lang w:val="en-CA"/>
        </w:rPr>
        <w:t>per cent</w:t>
      </w:r>
      <w:r w:rsidRPr="00286D9F">
        <w:rPr>
          <w:rFonts w:eastAsia="Calibri"/>
          <w:color w:val="000000"/>
          <w:spacing w:val="-4"/>
          <w:kern w:val="22"/>
          <w:sz w:val="22"/>
          <w:szCs w:val="18"/>
          <w:lang w:val="en-CA"/>
        </w:rPr>
        <w:t xml:space="preserve"> of the product’s profits from the generic version with Pfizer. </w:t>
      </w:r>
    </w:p>
    <w:p w14:paraId="1B13CAAF" w14:textId="68AEA36D" w:rsidR="00E12CB1" w:rsidRPr="00286D9F" w:rsidRDefault="00E12CB1" w:rsidP="004970B9">
      <w:pPr>
        <w:numPr>
          <w:ilvl w:val="0"/>
          <w:numId w:val="13"/>
        </w:numPr>
        <w:jc w:val="both"/>
        <w:rPr>
          <w:rFonts w:eastAsia="Calibri"/>
          <w:color w:val="000000"/>
          <w:sz w:val="22"/>
          <w:szCs w:val="18"/>
          <w:lang w:val="en-CA"/>
        </w:rPr>
      </w:pPr>
      <w:r w:rsidRPr="00286D9F">
        <w:rPr>
          <w:rFonts w:eastAsia="Calibri"/>
          <w:color w:val="000000"/>
          <w:sz w:val="22"/>
          <w:szCs w:val="18"/>
          <w:lang w:val="en-CA"/>
        </w:rPr>
        <w:t xml:space="preserve">Second, in the last year of patent protection, Pfizer raised the price of the drug in the United States by 17 </w:t>
      </w:r>
      <w:r w:rsidRPr="00286D9F">
        <w:rPr>
          <w:rFonts w:eastAsia="Calibri"/>
          <w:sz w:val="22"/>
          <w:szCs w:val="18"/>
          <w:lang w:val="en-CA"/>
        </w:rPr>
        <w:t>per cent</w:t>
      </w:r>
      <w:r w:rsidRPr="00286D9F">
        <w:rPr>
          <w:rFonts w:eastAsia="Calibri"/>
          <w:color w:val="000000"/>
          <w:sz w:val="22"/>
          <w:szCs w:val="18"/>
          <w:lang w:val="en-CA"/>
        </w:rPr>
        <w:t xml:space="preserve">. </w:t>
      </w:r>
    </w:p>
    <w:p w14:paraId="615349A7" w14:textId="234B58E3" w:rsidR="00E12CB1" w:rsidRDefault="00E12CB1" w:rsidP="004970B9">
      <w:pPr>
        <w:numPr>
          <w:ilvl w:val="0"/>
          <w:numId w:val="13"/>
        </w:numPr>
        <w:jc w:val="both"/>
        <w:rPr>
          <w:rFonts w:eastAsia="Calibri"/>
          <w:color w:val="000000"/>
          <w:sz w:val="22"/>
          <w:szCs w:val="18"/>
          <w:lang w:val="en-CA"/>
        </w:rPr>
      </w:pPr>
      <w:r w:rsidRPr="00286D9F">
        <w:rPr>
          <w:rFonts w:eastAsia="Calibri"/>
          <w:color w:val="000000"/>
          <w:sz w:val="22"/>
          <w:szCs w:val="18"/>
          <w:lang w:val="en-CA"/>
        </w:rPr>
        <w:t xml:space="preserve">Third, if patients ordered Lipitor through certain pharmacies, they received a discount and the product was delivered straight from Pfizer to the customer. </w:t>
      </w:r>
    </w:p>
    <w:p w14:paraId="1C9DB82F" w14:textId="77777777" w:rsidR="00286D9F" w:rsidRPr="00286D9F" w:rsidRDefault="00286D9F" w:rsidP="00286D9F">
      <w:pPr>
        <w:jc w:val="both"/>
        <w:rPr>
          <w:rFonts w:eastAsia="Calibri"/>
          <w:color w:val="000000"/>
          <w:sz w:val="22"/>
          <w:szCs w:val="18"/>
          <w:lang w:val="en-CA"/>
        </w:rPr>
      </w:pPr>
    </w:p>
    <w:p w14:paraId="46B326AB" w14:textId="214B2C4D" w:rsidR="00E12CB1" w:rsidRPr="00286D9F" w:rsidRDefault="00E12CB1" w:rsidP="004970B9">
      <w:pPr>
        <w:numPr>
          <w:ilvl w:val="0"/>
          <w:numId w:val="13"/>
        </w:numPr>
        <w:jc w:val="both"/>
        <w:rPr>
          <w:rFonts w:eastAsia="Calibri"/>
          <w:color w:val="000000"/>
          <w:sz w:val="22"/>
          <w:szCs w:val="22"/>
          <w:lang w:val="en-CA"/>
        </w:rPr>
      </w:pPr>
      <w:r w:rsidRPr="00286D9F">
        <w:rPr>
          <w:rFonts w:eastAsia="Calibri"/>
          <w:sz w:val="22"/>
          <w:szCs w:val="22"/>
          <w:lang w:val="en-CA"/>
        </w:rPr>
        <w:lastRenderedPageBreak/>
        <w:t>Fourth, the “Lipitor for you” coupon program offered patients out-of-pocket savings of up to $100 a month. Pfizer maintained a market share of 33 per cent in the first four months, three times the amount expired blockbuster drugs usually made.</w:t>
      </w:r>
      <w:r w:rsidRPr="00286D9F">
        <w:rPr>
          <w:rFonts w:eastAsia="Calibri"/>
          <w:sz w:val="22"/>
          <w:szCs w:val="22"/>
          <w:vertAlign w:val="superscript"/>
          <w:lang w:val="en-CA"/>
        </w:rPr>
        <w:endnoteReference w:id="18"/>
      </w:r>
      <w:r w:rsidRPr="00286D9F">
        <w:rPr>
          <w:rFonts w:eastAsia="Calibri"/>
          <w:sz w:val="22"/>
          <w:szCs w:val="22"/>
          <w:lang w:val="en-CA"/>
        </w:rPr>
        <w:t xml:space="preserve"> The strategy nevertheless proved unsuccessful in the long term. After six months, the market was opened to competition, and a year after the loss of its exclusivity, Lipitor had a market share of only five per cent.</w:t>
      </w:r>
      <w:r w:rsidRPr="00286D9F">
        <w:rPr>
          <w:rFonts w:eastAsia="Calibri"/>
          <w:sz w:val="22"/>
          <w:szCs w:val="22"/>
          <w:vertAlign w:val="superscript"/>
          <w:lang w:val="en-CA"/>
        </w:rPr>
        <w:endnoteReference w:id="19"/>
      </w:r>
    </w:p>
    <w:p w14:paraId="7CB29425" w14:textId="77777777" w:rsidR="00E12CB1" w:rsidRPr="00286D9F" w:rsidRDefault="00E12CB1" w:rsidP="00553B93">
      <w:pPr>
        <w:jc w:val="both"/>
        <w:rPr>
          <w:rFonts w:eastAsia="Calibri"/>
          <w:sz w:val="22"/>
          <w:szCs w:val="22"/>
          <w:lang w:val="en-CA"/>
        </w:rPr>
      </w:pPr>
    </w:p>
    <w:p w14:paraId="69EA3BDC" w14:textId="77777777" w:rsidR="00E12CB1" w:rsidRPr="00286D9F" w:rsidRDefault="00E12CB1" w:rsidP="00553B93">
      <w:pPr>
        <w:jc w:val="both"/>
        <w:rPr>
          <w:rFonts w:eastAsia="Calibri"/>
          <w:color w:val="000000"/>
          <w:sz w:val="22"/>
          <w:szCs w:val="22"/>
          <w:lang w:val="en-CA"/>
        </w:rPr>
      </w:pPr>
    </w:p>
    <w:p w14:paraId="28D06042" w14:textId="0EC07BCB" w:rsidR="00E12CB1" w:rsidRPr="00286D9F" w:rsidRDefault="00E12CB1" w:rsidP="004970B9">
      <w:pPr>
        <w:rPr>
          <w:rFonts w:ascii="Arial" w:eastAsia="Calibri" w:hAnsi="Arial"/>
          <w:b/>
          <w:caps/>
          <w:szCs w:val="17"/>
          <w:lang w:val="en-CA"/>
        </w:rPr>
      </w:pPr>
      <w:bookmarkStart w:id="0" w:name="_Toc180298937"/>
      <w:bookmarkStart w:id="1" w:name="_Toc242072341"/>
      <w:bookmarkStart w:id="2" w:name="_Toc149911723"/>
      <w:r w:rsidRPr="00286D9F">
        <w:rPr>
          <w:rFonts w:ascii="Arial" w:eastAsia="Calibri" w:hAnsi="Arial"/>
          <w:b/>
          <w:caps/>
          <w:szCs w:val="17"/>
          <w:lang w:val="en-CA"/>
        </w:rPr>
        <w:t xml:space="preserve">Pfizer’S </w:t>
      </w:r>
      <w:bookmarkEnd w:id="0"/>
      <w:bookmarkEnd w:id="1"/>
      <w:r w:rsidRPr="00286D9F">
        <w:rPr>
          <w:rFonts w:ascii="Arial" w:eastAsia="Calibri" w:hAnsi="Arial"/>
          <w:b/>
          <w:caps/>
          <w:szCs w:val="17"/>
          <w:lang w:val="en-CA"/>
        </w:rPr>
        <w:t>chief executive officers</w:t>
      </w:r>
    </w:p>
    <w:p w14:paraId="5D0980BE" w14:textId="77777777" w:rsidR="00E12CB1" w:rsidRPr="00286D9F" w:rsidRDefault="00E12CB1" w:rsidP="004970B9">
      <w:pPr>
        <w:jc w:val="both"/>
        <w:rPr>
          <w:rFonts w:ascii="Verdana" w:eastAsia="Calibri" w:hAnsi="Verdana"/>
          <w:b/>
          <w:caps/>
          <w:sz w:val="17"/>
          <w:szCs w:val="17"/>
          <w:lang w:val="en-CA"/>
        </w:rPr>
      </w:pPr>
    </w:p>
    <w:bookmarkEnd w:id="2"/>
    <w:p w14:paraId="509CDEC6" w14:textId="71DFBCA2" w:rsidR="00E12CB1" w:rsidRPr="00286D9F" w:rsidRDefault="00E12CB1" w:rsidP="004970B9">
      <w:pPr>
        <w:jc w:val="both"/>
        <w:rPr>
          <w:rFonts w:eastAsia="Calibri"/>
          <w:spacing w:val="-4"/>
          <w:kern w:val="2"/>
          <w:sz w:val="22"/>
          <w:szCs w:val="18"/>
          <w:lang w:val="en-CA"/>
        </w:rPr>
      </w:pPr>
      <w:r w:rsidRPr="00286D9F">
        <w:rPr>
          <w:rFonts w:eastAsia="Calibri"/>
          <w:spacing w:val="-4"/>
          <w:kern w:val="2"/>
          <w:sz w:val="22"/>
          <w:szCs w:val="18"/>
          <w:lang w:val="en-CA"/>
        </w:rPr>
        <w:t>In 2010, Ian Read became chief executive officer (CEO) of Pfizer. Jeff Kindler, his predecessor, had implemented several major strategic changes. In January 2007, he announced the redundancy of 10,000 employees</w:t>
      </w:r>
      <w:r w:rsidRPr="00286D9F">
        <w:rPr>
          <w:rFonts w:eastAsia="Calibri"/>
          <w:spacing w:val="-4"/>
          <w:kern w:val="2"/>
          <w:lang w:val="en-CA"/>
        </w:rPr>
        <w:t>—</w:t>
      </w:r>
      <w:r w:rsidRPr="00286D9F">
        <w:rPr>
          <w:rFonts w:eastAsia="Calibri"/>
          <w:spacing w:val="-4"/>
          <w:kern w:val="2"/>
          <w:sz w:val="22"/>
          <w:szCs w:val="18"/>
          <w:lang w:val="en-CA"/>
        </w:rPr>
        <w:t xml:space="preserve">around a tenth of Pfizer’s total workforce. This was very unusual in a hitherto profitable industry. The layoffs included one-fifth of the sales force in the United States and Europe as well as the closure of five research centres and several factories. </w:t>
      </w:r>
    </w:p>
    <w:p w14:paraId="2D1B4565" w14:textId="77777777" w:rsidR="00E12CB1" w:rsidRPr="00286D9F" w:rsidRDefault="00E12CB1" w:rsidP="004970B9">
      <w:pPr>
        <w:jc w:val="both"/>
        <w:rPr>
          <w:rFonts w:eastAsia="Calibri"/>
          <w:sz w:val="22"/>
          <w:szCs w:val="18"/>
          <w:lang w:val="en-CA"/>
        </w:rPr>
      </w:pPr>
    </w:p>
    <w:p w14:paraId="0A420A03" w14:textId="736DCBD3" w:rsidR="00E12CB1" w:rsidRPr="00286D9F" w:rsidRDefault="00E12CB1" w:rsidP="004970B9">
      <w:pPr>
        <w:jc w:val="both"/>
        <w:rPr>
          <w:rFonts w:eastAsia="Calibri"/>
          <w:sz w:val="22"/>
          <w:szCs w:val="18"/>
          <w:lang w:val="en-CA"/>
        </w:rPr>
      </w:pPr>
      <w:r w:rsidRPr="00286D9F">
        <w:rPr>
          <w:rFonts w:eastAsia="Calibri"/>
          <w:sz w:val="22"/>
          <w:szCs w:val="18"/>
          <w:lang w:val="en-CA"/>
        </w:rPr>
        <w:t xml:space="preserve">The R&amp;D departments had also undergone reorganization. Instead of globally dispersed “Centers of Excellence,” research activities were now structured around therapeutic areas (e.g., oncology, vaccines). Pfizer’s objective was to offset R&amp;D costs that had resulted from the late identification of potentially long-term side effects of drugs such as </w:t>
      </w:r>
      <w:proofErr w:type="spellStart"/>
      <w:r w:rsidRPr="00286D9F">
        <w:rPr>
          <w:rFonts w:eastAsia="Calibri"/>
          <w:sz w:val="22"/>
          <w:szCs w:val="18"/>
          <w:lang w:val="en-CA"/>
        </w:rPr>
        <w:t>Torcetrapib</w:t>
      </w:r>
      <w:proofErr w:type="spellEnd"/>
      <w:r w:rsidRPr="00286D9F">
        <w:rPr>
          <w:rFonts w:eastAsia="Calibri"/>
          <w:sz w:val="22"/>
          <w:szCs w:val="18"/>
          <w:lang w:val="en-CA"/>
        </w:rPr>
        <w:t xml:space="preserve">. Kindler also encouraged his “traditionally isolated” researchers to take part in more external collaborations. He issued instructions to the effect that Pfizer should increase the transparency of its research initiatives and publish information that would serve to facilitate acquisitions and focused collaborations. In 2010, the company launched the Centers for Therapeutic Innovation (CTI) program, connecting academia with the drug developer. Anthony </w:t>
      </w:r>
      <w:proofErr w:type="spellStart"/>
      <w:r w:rsidRPr="00286D9F">
        <w:rPr>
          <w:rFonts w:eastAsia="Calibri"/>
          <w:sz w:val="22"/>
          <w:szCs w:val="18"/>
          <w:lang w:val="en-CA"/>
        </w:rPr>
        <w:t>Colye</w:t>
      </w:r>
      <w:proofErr w:type="spellEnd"/>
      <w:r w:rsidRPr="00286D9F">
        <w:rPr>
          <w:rFonts w:eastAsia="Calibri"/>
          <w:sz w:val="22"/>
          <w:szCs w:val="18"/>
          <w:lang w:val="en-CA"/>
        </w:rPr>
        <w:t>, the head of the centre, said that CTI was “bridging the know-how for taking a great idea from these [academic] labs and turning it into something that looks and feels like a drug.”</w:t>
      </w:r>
      <w:r w:rsidRPr="00286D9F">
        <w:rPr>
          <w:rFonts w:eastAsia="Calibri"/>
          <w:sz w:val="22"/>
          <w:szCs w:val="18"/>
          <w:vertAlign w:val="superscript"/>
          <w:lang w:val="en-CA"/>
        </w:rPr>
        <w:endnoteReference w:id="20"/>
      </w:r>
      <w:r w:rsidRPr="00286D9F">
        <w:rPr>
          <w:rFonts w:eastAsia="Calibri"/>
          <w:sz w:val="22"/>
          <w:szCs w:val="18"/>
          <w:lang w:val="en-CA"/>
        </w:rPr>
        <w:t xml:space="preserve"> This move was intended to enhance the discovery process, improve the quality of early research studies and clinical trials, and reduce costs. Pfizer competitors such as Novartis and Sanofi followed suit and launched their own programs.</w:t>
      </w:r>
    </w:p>
    <w:p w14:paraId="2286D229" w14:textId="77777777" w:rsidR="00E12CB1" w:rsidRPr="00286D9F" w:rsidRDefault="00E12CB1" w:rsidP="004970B9">
      <w:pPr>
        <w:jc w:val="both"/>
        <w:rPr>
          <w:rFonts w:eastAsia="Calibri"/>
          <w:sz w:val="22"/>
          <w:szCs w:val="18"/>
          <w:lang w:val="en-CA"/>
        </w:rPr>
      </w:pPr>
    </w:p>
    <w:p w14:paraId="293923CC" w14:textId="6CFD1A9C" w:rsidR="00E12CB1" w:rsidRPr="00286D9F" w:rsidRDefault="00E12CB1" w:rsidP="004970B9">
      <w:pPr>
        <w:jc w:val="both"/>
        <w:rPr>
          <w:rFonts w:eastAsia="Calibri"/>
          <w:sz w:val="22"/>
          <w:szCs w:val="18"/>
          <w:lang w:val="en-CA"/>
        </w:rPr>
      </w:pPr>
      <w:r w:rsidRPr="00286D9F">
        <w:rPr>
          <w:rFonts w:eastAsia="Calibri"/>
          <w:sz w:val="22"/>
          <w:szCs w:val="18"/>
          <w:lang w:val="en-CA"/>
        </w:rPr>
        <w:t>Finally, Kindler prompted a paradigm shift in the product portfolio, recognizing that the era of blockbusters was coming to an end: “We need to be as effective at selling a large number of $500 million drugs as we were at selling drugs with multi-billion dollar sales.”</w:t>
      </w:r>
      <w:r w:rsidRPr="00286D9F">
        <w:rPr>
          <w:rFonts w:eastAsia="Calibri"/>
          <w:sz w:val="22"/>
          <w:szCs w:val="18"/>
          <w:vertAlign w:val="superscript"/>
          <w:lang w:val="en-CA"/>
        </w:rPr>
        <w:endnoteReference w:id="21"/>
      </w:r>
      <w:r w:rsidRPr="00286D9F">
        <w:rPr>
          <w:rFonts w:eastAsia="Calibri"/>
          <w:sz w:val="22"/>
          <w:szCs w:val="18"/>
          <w:lang w:val="en-CA"/>
        </w:rPr>
        <w:t xml:space="preserve"> Kindler also introduced the “string of pearls” acquisition strategy</w:t>
      </w:r>
      <w:r w:rsidRPr="00286D9F">
        <w:rPr>
          <w:rFonts w:eastAsia="Calibri"/>
          <w:lang w:val="en-CA"/>
        </w:rPr>
        <w:t>; its</w:t>
      </w:r>
      <w:r w:rsidRPr="00286D9F">
        <w:rPr>
          <w:rFonts w:eastAsia="Calibri"/>
          <w:sz w:val="22"/>
          <w:szCs w:val="18"/>
          <w:lang w:val="en-CA"/>
        </w:rPr>
        <w:t xml:space="preserve"> goal was to buy smaller, innovative companies with a focus on biotech. This approach, however, only lasted until Kindler initiated a $68 billion deal with Wyeth, making Pfizer bigger than ever. After the Wyeth acquisition, cost-cutting continued, including in the R&amp;D division, where outgoings totalled a further $9.5 billion by 2010, even given the cost cutting initiatives.</w:t>
      </w:r>
      <w:r w:rsidRPr="00286D9F">
        <w:rPr>
          <w:rFonts w:eastAsia="Calibri"/>
          <w:sz w:val="22"/>
          <w:szCs w:val="18"/>
          <w:vertAlign w:val="superscript"/>
          <w:lang w:val="en-CA"/>
        </w:rPr>
        <w:endnoteReference w:id="22"/>
      </w:r>
    </w:p>
    <w:p w14:paraId="101F05BB" w14:textId="77777777" w:rsidR="00E12CB1" w:rsidRPr="00286D9F" w:rsidRDefault="00E12CB1" w:rsidP="004970B9">
      <w:pPr>
        <w:jc w:val="both"/>
        <w:rPr>
          <w:rFonts w:eastAsia="Calibri"/>
          <w:sz w:val="22"/>
          <w:szCs w:val="18"/>
          <w:lang w:val="en-CA"/>
        </w:rPr>
      </w:pPr>
    </w:p>
    <w:p w14:paraId="112B8864" w14:textId="44F2CC21" w:rsidR="00E12CB1" w:rsidRPr="00286D9F" w:rsidRDefault="00E12CB1" w:rsidP="004970B9">
      <w:pPr>
        <w:jc w:val="both"/>
        <w:rPr>
          <w:rFonts w:eastAsia="Calibri"/>
          <w:spacing w:val="-4"/>
          <w:kern w:val="22"/>
          <w:sz w:val="22"/>
          <w:szCs w:val="18"/>
          <w:lang w:val="en-CA"/>
        </w:rPr>
      </w:pPr>
      <w:r w:rsidRPr="00286D9F">
        <w:rPr>
          <w:rFonts w:eastAsia="Calibri"/>
          <w:spacing w:val="-4"/>
          <w:kern w:val="22"/>
          <w:sz w:val="22"/>
          <w:szCs w:val="18"/>
          <w:lang w:val="en-CA"/>
        </w:rPr>
        <w:t>When Read took over as Pfizer CEO in November 2010, his mission was clear. He was expected to lead Pfizer’s R&amp;D division back to success. He made it his goal to enhance the “ability to respond to market dynamics, greater visibility and focus distinctive capabilities optimized to deliver value to patients and shareholders.”</w:t>
      </w:r>
      <w:r w:rsidRPr="00286D9F">
        <w:rPr>
          <w:rFonts w:eastAsia="Calibri"/>
          <w:spacing w:val="-4"/>
          <w:kern w:val="22"/>
          <w:sz w:val="22"/>
          <w:szCs w:val="18"/>
          <w:vertAlign w:val="superscript"/>
          <w:lang w:val="en-CA"/>
        </w:rPr>
        <w:endnoteReference w:id="23"/>
      </w:r>
      <w:r w:rsidRPr="00286D9F">
        <w:rPr>
          <w:rFonts w:eastAsia="Calibri"/>
          <w:spacing w:val="-4"/>
          <w:kern w:val="22"/>
          <w:sz w:val="22"/>
          <w:szCs w:val="18"/>
          <w:lang w:val="en-CA"/>
        </w:rPr>
        <w:t xml:space="preserve"> In 2012, he stated that “Pfizer has achieved the scale it needs, both in its science and in its global reach.”</w:t>
      </w:r>
      <w:r w:rsidRPr="00286D9F">
        <w:rPr>
          <w:rFonts w:eastAsia="Calibri"/>
          <w:spacing w:val="-4"/>
          <w:kern w:val="22"/>
          <w:sz w:val="22"/>
          <w:szCs w:val="18"/>
          <w:vertAlign w:val="superscript"/>
          <w:lang w:val="en-CA"/>
        </w:rPr>
        <w:endnoteReference w:id="24"/>
      </w:r>
    </w:p>
    <w:p w14:paraId="4E1C134F" w14:textId="77777777" w:rsidR="00E12CB1" w:rsidRPr="00286D9F" w:rsidRDefault="00E12CB1" w:rsidP="004970B9">
      <w:pPr>
        <w:jc w:val="both"/>
        <w:rPr>
          <w:rFonts w:eastAsia="Calibri"/>
          <w:sz w:val="22"/>
          <w:szCs w:val="18"/>
          <w:lang w:val="en-CA"/>
        </w:rPr>
      </w:pPr>
    </w:p>
    <w:p w14:paraId="261D9345" w14:textId="2E8D2476" w:rsidR="00E12CB1" w:rsidRPr="00286D9F" w:rsidRDefault="00E12CB1" w:rsidP="004970B9">
      <w:pPr>
        <w:jc w:val="both"/>
        <w:rPr>
          <w:rFonts w:eastAsia="Calibri"/>
          <w:sz w:val="22"/>
          <w:szCs w:val="18"/>
          <w:lang w:val="en-CA"/>
        </w:rPr>
      </w:pPr>
      <w:r w:rsidRPr="00286D9F">
        <w:rPr>
          <w:rFonts w:eastAsia="Calibri"/>
          <w:sz w:val="22"/>
          <w:szCs w:val="18"/>
          <w:lang w:val="en-CA"/>
        </w:rPr>
        <w:t>A mere two months after he became CEO, Read’s iron hand was already in evidence. He began the restructuring of the company into five core therapeutic areas (see Exhibit 2), and he actively pursued the cost-cutting program of his predecessor: 20 per cent of the staff were laid off. One year after Read took over, Pfizer’s costs were the lowest they had been since 1980. The workforce was reduced by a further 38,500 people, which was double the amount that Kindler had originally planned.</w:t>
      </w:r>
      <w:r w:rsidRPr="00286D9F">
        <w:rPr>
          <w:rFonts w:eastAsia="Calibri"/>
          <w:sz w:val="22"/>
          <w:szCs w:val="18"/>
          <w:vertAlign w:val="superscript"/>
          <w:lang w:val="en-CA"/>
        </w:rPr>
        <w:endnoteReference w:id="25"/>
      </w:r>
      <w:r w:rsidRPr="00286D9F">
        <w:rPr>
          <w:rFonts w:eastAsia="Calibri"/>
          <w:sz w:val="22"/>
          <w:szCs w:val="18"/>
          <w:lang w:val="en-CA"/>
        </w:rPr>
        <w:t xml:space="preserve"> Then, in 2012 and 2013, Read decided to sell the health nutrition and animal health businesses in order to be “better positioned to focus on the core business,” and went on to concentrate the company’s efforts into buying smaller biotech companies that fitted with Pfizer’s R&amp;D focus. </w:t>
      </w:r>
    </w:p>
    <w:p w14:paraId="57A7822D" w14:textId="77777777" w:rsidR="00E12CB1" w:rsidRPr="00286D9F" w:rsidRDefault="00E12CB1" w:rsidP="004970B9">
      <w:pPr>
        <w:jc w:val="both"/>
        <w:rPr>
          <w:rFonts w:eastAsia="Calibri"/>
          <w:sz w:val="22"/>
          <w:szCs w:val="18"/>
          <w:lang w:val="en-CA"/>
        </w:rPr>
      </w:pPr>
    </w:p>
    <w:p w14:paraId="5039D675" w14:textId="77BC919D" w:rsidR="00E12CB1" w:rsidRPr="00286D9F" w:rsidRDefault="00E12CB1" w:rsidP="004970B9">
      <w:pPr>
        <w:jc w:val="both"/>
        <w:rPr>
          <w:rFonts w:eastAsia="Calibri"/>
          <w:sz w:val="22"/>
          <w:szCs w:val="18"/>
          <w:lang w:val="en-CA"/>
        </w:rPr>
      </w:pPr>
      <w:r w:rsidRPr="00286D9F">
        <w:rPr>
          <w:rFonts w:eastAsia="Calibri"/>
          <w:sz w:val="22"/>
          <w:szCs w:val="18"/>
          <w:lang w:val="en-CA"/>
        </w:rPr>
        <w:lastRenderedPageBreak/>
        <w:t>In 2017, Read announced his intention to split Pfizer into its constituent businesses, something that mimicked to some extent</w:t>
      </w:r>
      <w:r w:rsidRPr="00286D9F" w:rsidDel="00431D1E">
        <w:rPr>
          <w:rFonts w:eastAsia="Calibri"/>
          <w:sz w:val="22"/>
          <w:szCs w:val="18"/>
          <w:lang w:val="en-CA"/>
        </w:rPr>
        <w:t xml:space="preserve"> </w:t>
      </w:r>
      <w:r w:rsidRPr="00286D9F">
        <w:rPr>
          <w:rFonts w:eastAsia="Calibri"/>
          <w:sz w:val="22"/>
          <w:szCs w:val="18"/>
          <w:lang w:val="en-CA"/>
        </w:rPr>
        <w:t>the activities of other corporations. A strategic move of this kind had been under consideration in 2013</w:t>
      </w:r>
      <w:r w:rsidRPr="00286D9F">
        <w:rPr>
          <w:rFonts w:eastAsia="Calibri"/>
          <w:sz w:val="22"/>
          <w:szCs w:val="18"/>
          <w:vertAlign w:val="superscript"/>
          <w:lang w:val="en-CA"/>
        </w:rPr>
        <w:endnoteReference w:id="26"/>
      </w:r>
      <w:r w:rsidRPr="00286D9F">
        <w:rPr>
          <w:rFonts w:eastAsia="Calibri"/>
          <w:sz w:val="22"/>
          <w:szCs w:val="18"/>
          <w:lang w:val="en-CA"/>
        </w:rPr>
        <w:t xml:space="preserve"> but had subsequently been dropped. </w:t>
      </w:r>
    </w:p>
    <w:p w14:paraId="55E525BD" w14:textId="77777777" w:rsidR="00E12CB1" w:rsidRPr="00286D9F" w:rsidRDefault="00E12CB1" w:rsidP="004970B9">
      <w:pPr>
        <w:jc w:val="both"/>
        <w:rPr>
          <w:rFonts w:eastAsia="Calibri"/>
          <w:sz w:val="22"/>
          <w:szCs w:val="18"/>
          <w:lang w:val="en-CA"/>
        </w:rPr>
      </w:pPr>
    </w:p>
    <w:p w14:paraId="52E59854" w14:textId="182B3092" w:rsidR="00E12CB1" w:rsidRPr="00286D9F" w:rsidRDefault="00E12CB1" w:rsidP="004970B9">
      <w:pPr>
        <w:jc w:val="both"/>
        <w:rPr>
          <w:rFonts w:eastAsia="Calibri"/>
          <w:sz w:val="22"/>
          <w:szCs w:val="18"/>
          <w:lang w:val="en-CA"/>
        </w:rPr>
      </w:pPr>
      <w:r w:rsidRPr="00286D9F">
        <w:rPr>
          <w:rFonts w:eastAsia="Calibri"/>
          <w:sz w:val="22"/>
          <w:szCs w:val="18"/>
          <w:lang w:val="en-CA"/>
        </w:rPr>
        <w:t>It seems that, by 2017 it was higher up on the agenda. According to a company press release,</w:t>
      </w:r>
    </w:p>
    <w:p w14:paraId="4D11B218" w14:textId="77777777" w:rsidR="00E12CB1" w:rsidRPr="00286D9F" w:rsidRDefault="00E12CB1" w:rsidP="004970B9">
      <w:pPr>
        <w:jc w:val="both"/>
        <w:rPr>
          <w:rFonts w:eastAsia="Calibri"/>
          <w:sz w:val="22"/>
          <w:szCs w:val="18"/>
          <w:lang w:val="en-CA"/>
        </w:rPr>
      </w:pPr>
    </w:p>
    <w:p w14:paraId="3AEA2BEB" w14:textId="4047CBC4" w:rsidR="00E12CB1" w:rsidRPr="00286D9F" w:rsidRDefault="00E12CB1" w:rsidP="0031014C">
      <w:pPr>
        <w:pStyle w:val="BodyTextMain"/>
        <w:ind w:left="720"/>
        <w:rPr>
          <w:rFonts w:eastAsia="Calibri"/>
          <w:color w:val="000000"/>
          <w:vertAlign w:val="superscript"/>
          <w:lang w:val="en-CA"/>
        </w:rPr>
      </w:pPr>
      <w:r w:rsidRPr="00286D9F">
        <w:rPr>
          <w:rFonts w:eastAsia="Calibri"/>
          <w:lang w:val="en-CA"/>
        </w:rPr>
        <w:t>Pfizer Consumer Healthcare is a leading player in the largest OTC categories, with iconic brands, robust retail partnerships, global reach and strong fundamentals . . . Although there is a strong connection between Consumer Healthcare and elements of our core biopharmaceutical businesses, it is also distinct enough from our core business that there is potential for its value to be more fully realized outside the company. By exploring strategic options, we can evaluate how best to fuel the future success and expansion of Consumer Healthcare while simultaneously unlocking potential value for our shareholders.</w:t>
      </w:r>
      <w:r w:rsidRPr="00286D9F">
        <w:rPr>
          <w:rFonts w:eastAsia="Calibri"/>
          <w:vertAlign w:val="superscript"/>
          <w:lang w:val="en-CA"/>
        </w:rPr>
        <w:endnoteReference w:id="27"/>
      </w:r>
    </w:p>
    <w:p w14:paraId="44A3B11C" w14:textId="77777777" w:rsidR="00E12CB1" w:rsidRPr="00286D9F" w:rsidRDefault="00E12CB1" w:rsidP="004970B9">
      <w:pPr>
        <w:jc w:val="both"/>
        <w:rPr>
          <w:rFonts w:eastAsia="Calibri"/>
          <w:color w:val="000000"/>
          <w:sz w:val="22"/>
          <w:szCs w:val="18"/>
          <w:highlight w:val="yellow"/>
          <w:lang w:val="en-CA"/>
        </w:rPr>
      </w:pPr>
    </w:p>
    <w:p w14:paraId="56CE57BC" w14:textId="621A0568" w:rsidR="00E12CB1" w:rsidRPr="00286D9F" w:rsidRDefault="000E70FA" w:rsidP="004970B9">
      <w:pPr>
        <w:jc w:val="both"/>
        <w:rPr>
          <w:rFonts w:eastAsia="Calibri"/>
          <w:spacing w:val="-2"/>
          <w:kern w:val="2"/>
          <w:sz w:val="22"/>
          <w:szCs w:val="18"/>
          <w:vertAlign w:val="superscript"/>
          <w:lang w:val="en-CA"/>
        </w:rPr>
      </w:pPr>
      <w:r>
        <w:rPr>
          <w:rFonts w:eastAsia="Calibri"/>
          <w:color w:val="000000"/>
          <w:spacing w:val="-2"/>
          <w:kern w:val="2"/>
          <w:sz w:val="22"/>
          <w:szCs w:val="18"/>
          <w:lang w:val="en-CA"/>
        </w:rPr>
        <w:t>However, Pfizer did</w:t>
      </w:r>
      <w:r w:rsidR="00553B93" w:rsidRPr="00286D9F">
        <w:rPr>
          <w:rFonts w:eastAsia="Calibri"/>
          <w:color w:val="000000"/>
          <w:spacing w:val="-2"/>
          <w:kern w:val="2"/>
          <w:sz w:val="22"/>
          <w:szCs w:val="18"/>
          <w:lang w:val="en-CA"/>
        </w:rPr>
        <w:t xml:space="preserve"> not </w:t>
      </w:r>
      <w:r w:rsidRPr="00286D9F">
        <w:rPr>
          <w:rFonts w:eastAsia="Calibri"/>
          <w:color w:val="000000"/>
          <w:spacing w:val="-2"/>
          <w:kern w:val="2"/>
          <w:sz w:val="22"/>
          <w:szCs w:val="18"/>
          <w:lang w:val="en-CA"/>
        </w:rPr>
        <w:t>(again)</w:t>
      </w:r>
      <w:r>
        <w:rPr>
          <w:rFonts w:eastAsia="Calibri"/>
          <w:color w:val="000000"/>
          <w:spacing w:val="-2"/>
          <w:kern w:val="2"/>
          <w:sz w:val="22"/>
          <w:szCs w:val="18"/>
          <w:lang w:val="en-CA"/>
        </w:rPr>
        <w:t xml:space="preserve"> </w:t>
      </w:r>
      <w:r w:rsidR="00553B93" w:rsidRPr="00286D9F">
        <w:rPr>
          <w:rFonts w:eastAsia="Calibri"/>
          <w:color w:val="000000"/>
          <w:spacing w:val="-2"/>
          <w:kern w:val="2"/>
          <w:sz w:val="22"/>
          <w:szCs w:val="18"/>
          <w:lang w:val="en-CA"/>
        </w:rPr>
        <w:t xml:space="preserve">finalize the split. </w:t>
      </w:r>
      <w:r w:rsidR="00E12CB1" w:rsidRPr="00286D9F">
        <w:rPr>
          <w:rFonts w:eastAsia="Calibri"/>
          <w:color w:val="000000"/>
          <w:spacing w:val="-2"/>
          <w:kern w:val="2"/>
          <w:sz w:val="22"/>
          <w:szCs w:val="18"/>
          <w:lang w:val="en-CA"/>
        </w:rPr>
        <w:t xml:space="preserve">From 2010, Pfizer </w:t>
      </w:r>
      <w:r w:rsidR="00E12CB1" w:rsidRPr="00286D9F">
        <w:rPr>
          <w:rFonts w:eastAsia="Calibri"/>
          <w:spacing w:val="-2"/>
          <w:kern w:val="2"/>
          <w:sz w:val="22"/>
          <w:szCs w:val="18"/>
          <w:lang w:val="en-CA"/>
        </w:rPr>
        <w:t>experienced many ups and downs over the course of its various</w:t>
      </w:r>
      <w:r w:rsidR="00E12CB1" w:rsidRPr="00286D9F">
        <w:rPr>
          <w:rFonts w:eastAsia="Calibri"/>
          <w:color w:val="000000"/>
          <w:spacing w:val="-2"/>
          <w:kern w:val="2"/>
          <w:sz w:val="22"/>
          <w:szCs w:val="18"/>
          <w:lang w:val="en-CA"/>
        </w:rPr>
        <w:t xml:space="preserve"> M&amp;As</w:t>
      </w:r>
      <w:r w:rsidR="00E12CB1" w:rsidRPr="00286D9F">
        <w:rPr>
          <w:rFonts w:eastAsia="Calibri"/>
          <w:spacing w:val="-2"/>
          <w:kern w:val="2"/>
          <w:sz w:val="22"/>
          <w:szCs w:val="18"/>
          <w:lang w:val="en-CA"/>
        </w:rPr>
        <w:t>. The planned takeover in 2013</w:t>
      </w:r>
      <w:r w:rsidR="00E12CB1" w:rsidRPr="00286D9F">
        <w:rPr>
          <w:rFonts w:eastAsia="Calibri"/>
          <w:spacing w:val="-2"/>
          <w:kern w:val="2"/>
          <w:lang w:val="en-CA"/>
        </w:rPr>
        <w:t>–</w:t>
      </w:r>
      <w:r w:rsidR="00E12CB1" w:rsidRPr="00286D9F">
        <w:rPr>
          <w:rFonts w:eastAsia="Calibri"/>
          <w:spacing w:val="-2"/>
          <w:kern w:val="2"/>
          <w:sz w:val="22"/>
          <w:szCs w:val="18"/>
          <w:lang w:val="en-CA"/>
        </w:rPr>
        <w:t>14 of AstraZeneca’s late-stage, small-molecule anti-infective business had failed.</w:t>
      </w:r>
      <w:r w:rsidR="00E12CB1" w:rsidRPr="00286D9F">
        <w:rPr>
          <w:rFonts w:eastAsia="Calibri"/>
          <w:spacing w:val="-2"/>
          <w:kern w:val="2"/>
          <w:sz w:val="22"/>
          <w:szCs w:val="18"/>
          <w:vertAlign w:val="superscript"/>
          <w:lang w:val="en-CA"/>
        </w:rPr>
        <w:endnoteReference w:id="28"/>
      </w:r>
      <w:r w:rsidR="00E12CB1" w:rsidRPr="00286D9F">
        <w:rPr>
          <w:rFonts w:eastAsia="Calibri"/>
          <w:spacing w:val="-2"/>
          <w:kern w:val="2"/>
          <w:sz w:val="22"/>
          <w:szCs w:val="18"/>
          <w:lang w:val="en-CA"/>
        </w:rPr>
        <w:t xml:space="preserve"> Pfizer had in 2016 also planned a merger with Allergan in a deal worth $160 billion</w:t>
      </w:r>
      <w:r w:rsidR="00E12CB1" w:rsidRPr="00286D9F">
        <w:rPr>
          <w:rFonts w:eastAsia="Calibri"/>
          <w:spacing w:val="-2"/>
          <w:kern w:val="2"/>
          <w:lang w:val="en-CA"/>
        </w:rPr>
        <w:t>—</w:t>
      </w:r>
      <w:r w:rsidR="00E12CB1" w:rsidRPr="00286D9F">
        <w:rPr>
          <w:rFonts w:eastAsia="Calibri"/>
          <w:spacing w:val="-2"/>
          <w:kern w:val="2"/>
          <w:sz w:val="22"/>
          <w:szCs w:val="18"/>
          <w:lang w:val="en-CA"/>
        </w:rPr>
        <w:t>potentially the biggest merger to date in the pharmaceutical industry</w:t>
      </w:r>
      <w:r w:rsidR="00E12CB1" w:rsidRPr="00286D9F">
        <w:rPr>
          <w:rFonts w:eastAsia="Calibri"/>
          <w:spacing w:val="-2"/>
          <w:kern w:val="2"/>
          <w:lang w:val="en-CA"/>
        </w:rPr>
        <w:t>—</w:t>
      </w:r>
      <w:r w:rsidR="00E12CB1" w:rsidRPr="00286D9F">
        <w:rPr>
          <w:rFonts w:eastAsia="Calibri"/>
          <w:spacing w:val="-2"/>
          <w:kern w:val="2"/>
          <w:sz w:val="22"/>
          <w:szCs w:val="18"/>
          <w:lang w:val="en-CA"/>
        </w:rPr>
        <w:t>the main intention being to move its corporate headquarters and fiscal affairs to the more tax-friendly Republic of Ireland. This merger was frustrated by a recently implemented U.S. administration policy aimed at restricting mega-deals. The underlying purpose of the new policy was to prevent U.S. companies from moving monetary and fiscal responsibilities abroad. The failure of this merger may have been a victory for President Barack Obama (in office at this time), but it was not so for Read.</w:t>
      </w:r>
      <w:r w:rsidR="00E12CB1" w:rsidRPr="00286D9F">
        <w:rPr>
          <w:rFonts w:eastAsia="Calibri"/>
          <w:spacing w:val="-2"/>
          <w:kern w:val="2"/>
          <w:sz w:val="22"/>
          <w:szCs w:val="18"/>
          <w:vertAlign w:val="superscript"/>
          <w:lang w:val="en-CA"/>
        </w:rPr>
        <w:endnoteReference w:id="29"/>
      </w:r>
    </w:p>
    <w:p w14:paraId="4508BBF6" w14:textId="77777777" w:rsidR="00E12CB1" w:rsidRPr="00286D9F" w:rsidRDefault="00E12CB1" w:rsidP="004970B9">
      <w:pPr>
        <w:jc w:val="both"/>
        <w:rPr>
          <w:rFonts w:eastAsia="Calibri"/>
          <w:color w:val="000000"/>
          <w:sz w:val="22"/>
          <w:szCs w:val="18"/>
          <w:highlight w:val="yellow"/>
          <w:lang w:val="en-CA"/>
        </w:rPr>
      </w:pPr>
    </w:p>
    <w:p w14:paraId="7B1F9F16" w14:textId="26A72422" w:rsidR="00E12CB1" w:rsidRPr="00286D9F" w:rsidRDefault="00E12CB1" w:rsidP="004970B9">
      <w:pPr>
        <w:jc w:val="both"/>
        <w:rPr>
          <w:rFonts w:eastAsia="Calibri"/>
          <w:color w:val="000000"/>
          <w:sz w:val="22"/>
          <w:szCs w:val="18"/>
          <w:lang w:val="en-CA"/>
        </w:rPr>
      </w:pPr>
      <w:r w:rsidRPr="00286D9F">
        <w:rPr>
          <w:rFonts w:eastAsia="Calibri"/>
          <w:color w:val="000000"/>
          <w:sz w:val="22"/>
          <w:szCs w:val="18"/>
          <w:lang w:val="en-CA"/>
        </w:rPr>
        <w:t>In 2018, the forecasts for Pfizer’s future could have been rosier. Such forecasts would evaluate pharmaceutical companies’ research pipelines and the prospective value creation from recently launched innovative products. As a result, Pfizer was now viewed as having fallen behind its major competitors Gilead, Novartis, Roche, and Johnson &amp; Johnson.</w:t>
      </w:r>
      <w:r w:rsidRPr="00286D9F">
        <w:rPr>
          <w:rFonts w:eastAsia="Calibri"/>
          <w:color w:val="000000"/>
          <w:sz w:val="22"/>
          <w:szCs w:val="18"/>
          <w:vertAlign w:val="superscript"/>
          <w:lang w:val="en-CA"/>
        </w:rPr>
        <w:endnoteReference w:id="30"/>
      </w:r>
    </w:p>
    <w:p w14:paraId="0726FD37" w14:textId="77777777" w:rsidR="004970B9" w:rsidRPr="00286D9F" w:rsidRDefault="004970B9" w:rsidP="004970B9">
      <w:pPr>
        <w:jc w:val="both"/>
        <w:rPr>
          <w:rFonts w:eastAsia="Calibri"/>
          <w:color w:val="000000"/>
          <w:sz w:val="22"/>
          <w:szCs w:val="18"/>
          <w:highlight w:val="yellow"/>
          <w:lang w:val="en-CA"/>
        </w:rPr>
      </w:pPr>
    </w:p>
    <w:p w14:paraId="4EC29101" w14:textId="77777777" w:rsidR="0031014C" w:rsidRPr="00286D9F" w:rsidRDefault="0031014C" w:rsidP="004970B9">
      <w:pPr>
        <w:jc w:val="both"/>
        <w:rPr>
          <w:rFonts w:eastAsia="Calibri"/>
          <w:color w:val="000000"/>
          <w:sz w:val="22"/>
          <w:szCs w:val="18"/>
          <w:highlight w:val="yellow"/>
          <w:lang w:val="en-CA"/>
        </w:rPr>
      </w:pPr>
    </w:p>
    <w:p w14:paraId="7DCCE1F2" w14:textId="77777777" w:rsidR="004970B9" w:rsidRPr="00286D9F" w:rsidRDefault="004970B9" w:rsidP="004970B9">
      <w:pPr>
        <w:rPr>
          <w:rFonts w:ascii="Arial" w:eastAsia="Calibri" w:hAnsi="Arial"/>
          <w:b/>
          <w:caps/>
          <w:szCs w:val="17"/>
          <w:lang w:val="en-CA"/>
        </w:rPr>
      </w:pPr>
      <w:r w:rsidRPr="00286D9F">
        <w:rPr>
          <w:rFonts w:ascii="Arial" w:eastAsia="Calibri" w:hAnsi="Arial"/>
          <w:b/>
          <w:caps/>
          <w:szCs w:val="17"/>
          <w:lang w:val="en-CA"/>
        </w:rPr>
        <w:t>How to turn it around?</w:t>
      </w:r>
    </w:p>
    <w:p w14:paraId="3804FF3E" w14:textId="77777777" w:rsidR="004970B9" w:rsidRPr="00286D9F" w:rsidRDefault="004970B9" w:rsidP="004970B9">
      <w:pPr>
        <w:jc w:val="both"/>
        <w:rPr>
          <w:rFonts w:eastAsia="Calibri"/>
          <w:sz w:val="22"/>
          <w:szCs w:val="18"/>
          <w:lang w:val="en-CA"/>
        </w:rPr>
      </w:pPr>
    </w:p>
    <w:p w14:paraId="32C0D0F4" w14:textId="3A41E88B" w:rsidR="004970B9" w:rsidRPr="00286D9F" w:rsidRDefault="004970B9" w:rsidP="004970B9">
      <w:pPr>
        <w:jc w:val="both"/>
        <w:rPr>
          <w:rFonts w:eastAsia="Calibri"/>
          <w:sz w:val="22"/>
          <w:szCs w:val="18"/>
          <w:lang w:val="en-CA"/>
        </w:rPr>
      </w:pPr>
      <w:r w:rsidRPr="00286D9F">
        <w:rPr>
          <w:rFonts w:eastAsia="Calibri"/>
          <w:sz w:val="22"/>
          <w:szCs w:val="18"/>
          <w:lang w:val="en-CA"/>
        </w:rPr>
        <w:t xml:space="preserve">By </w:t>
      </w:r>
      <w:r w:rsidR="00553B93" w:rsidRPr="00286D9F">
        <w:rPr>
          <w:rFonts w:eastAsia="Calibri"/>
          <w:sz w:val="22"/>
          <w:szCs w:val="18"/>
          <w:lang w:val="en-CA"/>
        </w:rPr>
        <w:t>July</w:t>
      </w:r>
      <w:r w:rsidRPr="00286D9F">
        <w:rPr>
          <w:rFonts w:eastAsia="Calibri"/>
          <w:sz w:val="22"/>
          <w:szCs w:val="18"/>
          <w:lang w:val="en-CA"/>
        </w:rPr>
        <w:t xml:space="preserve"> 2018, Read felt that there was some cause for optimism when Pfizer’s stock price reached a new peak of $39.9</w:t>
      </w:r>
      <w:r w:rsidR="006E19A5" w:rsidRPr="00286D9F">
        <w:rPr>
          <w:rFonts w:eastAsia="Calibri"/>
          <w:sz w:val="22"/>
          <w:szCs w:val="18"/>
          <w:lang w:val="en-CA"/>
        </w:rPr>
        <w:t>0</w:t>
      </w:r>
      <w:r w:rsidRPr="00286D9F">
        <w:rPr>
          <w:rFonts w:eastAsia="Calibri"/>
          <w:sz w:val="22"/>
          <w:szCs w:val="18"/>
          <w:lang w:val="en-CA"/>
        </w:rPr>
        <w:t>. But Pfizer was not the only company with a rising share price. Roche and Novartis had also hit new price peaks (</w:t>
      </w:r>
      <w:r w:rsidR="006E19A5" w:rsidRPr="00286D9F">
        <w:rPr>
          <w:rFonts w:eastAsia="Calibri"/>
          <w:sz w:val="22"/>
          <w:szCs w:val="18"/>
          <w:lang w:val="en-CA"/>
        </w:rPr>
        <w:t xml:space="preserve">see </w:t>
      </w:r>
      <w:r w:rsidRPr="00286D9F">
        <w:rPr>
          <w:rFonts w:eastAsia="Calibri"/>
          <w:sz w:val="22"/>
          <w:szCs w:val="18"/>
          <w:lang w:val="en-CA"/>
        </w:rPr>
        <w:t xml:space="preserve">Exhibit 3). </w:t>
      </w:r>
    </w:p>
    <w:p w14:paraId="2A1CFBE8" w14:textId="77777777" w:rsidR="004970B9" w:rsidRPr="00286D9F" w:rsidRDefault="004970B9" w:rsidP="004970B9">
      <w:pPr>
        <w:jc w:val="both"/>
        <w:rPr>
          <w:rFonts w:eastAsia="Calibri"/>
          <w:sz w:val="22"/>
          <w:szCs w:val="18"/>
          <w:lang w:val="en-CA"/>
        </w:rPr>
      </w:pPr>
    </w:p>
    <w:p w14:paraId="34F8AFE6" w14:textId="77777777" w:rsidR="004970B9" w:rsidRPr="00286D9F" w:rsidRDefault="004970B9" w:rsidP="004970B9">
      <w:pPr>
        <w:jc w:val="both"/>
        <w:rPr>
          <w:rFonts w:eastAsia="Calibri"/>
          <w:sz w:val="22"/>
          <w:szCs w:val="18"/>
          <w:lang w:val="en-CA"/>
        </w:rPr>
      </w:pPr>
      <w:r w:rsidRPr="00286D9F">
        <w:rPr>
          <w:rFonts w:eastAsia="Calibri"/>
          <w:sz w:val="22"/>
          <w:szCs w:val="18"/>
          <w:lang w:val="en-CA"/>
        </w:rPr>
        <w:t xml:space="preserve">Considering the difficulties Pfizer had faced during the preceding years and the various industry challenges that lay ahead, was Read’s current optimism justified and would he </w:t>
      </w:r>
      <w:r w:rsidRPr="00286D9F">
        <w:rPr>
          <w:rFonts w:eastAsia="Calibri"/>
          <w:color w:val="000000"/>
          <w:sz w:val="22"/>
          <w:szCs w:val="18"/>
          <w:lang w:val="en-CA"/>
        </w:rPr>
        <w:t xml:space="preserve">be able to maintain the firm’s strong position? </w:t>
      </w:r>
      <w:r w:rsidRPr="00286D9F">
        <w:rPr>
          <w:rFonts w:eastAsia="Calibri"/>
          <w:sz w:val="22"/>
          <w:szCs w:val="18"/>
          <w:lang w:val="en-CA"/>
        </w:rPr>
        <w:t xml:space="preserve">Were Pfizer’s recent strategic moves a sufficient response to the developments in the industry? And what was next for Pfizer? </w:t>
      </w:r>
    </w:p>
    <w:p w14:paraId="2C183161" w14:textId="38C0C3EC" w:rsidR="004970B9" w:rsidRPr="00286D9F" w:rsidRDefault="004970B9">
      <w:pPr>
        <w:spacing w:after="200" w:line="276" w:lineRule="auto"/>
        <w:rPr>
          <w:rFonts w:ascii="Arial" w:hAnsi="Arial" w:cs="Arial"/>
          <w:b/>
          <w:caps/>
          <w:lang w:val="en-CA"/>
        </w:rPr>
      </w:pPr>
      <w:r w:rsidRPr="00286D9F">
        <w:rPr>
          <w:lang w:val="en-CA"/>
        </w:rPr>
        <w:br w:type="page"/>
      </w:r>
    </w:p>
    <w:p w14:paraId="334C704F" w14:textId="77777777" w:rsidR="004970B9" w:rsidRPr="00286D9F" w:rsidRDefault="004970B9" w:rsidP="0031014C">
      <w:pPr>
        <w:pStyle w:val="ExhibitHeading"/>
        <w:rPr>
          <w:lang w:val="en-CA"/>
        </w:rPr>
      </w:pPr>
      <w:bookmarkStart w:id="3" w:name="_Toc180298940"/>
      <w:bookmarkStart w:id="4" w:name="_Toc242072343"/>
      <w:r w:rsidRPr="00286D9F">
        <w:rPr>
          <w:lang w:val="en-CA"/>
        </w:rPr>
        <w:lastRenderedPageBreak/>
        <w:t>Exhibit 1: The biggest Pharma and Biotech M&amp;A Deals of 2016</w:t>
      </w:r>
    </w:p>
    <w:p w14:paraId="62CAE15B" w14:textId="77777777" w:rsidR="004970B9" w:rsidRPr="00286D9F" w:rsidRDefault="004970B9" w:rsidP="004970B9">
      <w:pPr>
        <w:pStyle w:val="IVEYappTitel"/>
        <w:rPr>
          <w:b w:val="0"/>
          <w:noProof w:val="0"/>
          <w:sz w:val="12"/>
          <w:szCs w:val="12"/>
          <w:lang w:val="en-CA"/>
        </w:rPr>
      </w:pPr>
    </w:p>
    <w:tbl>
      <w:tblPr>
        <w:tblW w:w="72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37"/>
        <w:gridCol w:w="3513"/>
        <w:gridCol w:w="1440"/>
      </w:tblGrid>
      <w:tr w:rsidR="004970B9" w:rsidRPr="00286D9F" w14:paraId="055489E4" w14:textId="77777777" w:rsidTr="00BB3A5E">
        <w:trPr>
          <w:trHeight w:val="94"/>
          <w:jc w:val="center"/>
        </w:trPr>
        <w:tc>
          <w:tcPr>
            <w:tcW w:w="2337" w:type="dxa"/>
            <w:shd w:val="clear" w:color="auto" w:fill="auto"/>
            <w:noWrap/>
            <w:vAlign w:val="center"/>
            <w:hideMark/>
          </w:tcPr>
          <w:p w14:paraId="1C34448A" w14:textId="2EA065EF" w:rsidR="004970B9" w:rsidRPr="00286D9F" w:rsidRDefault="004970B9" w:rsidP="00E61616">
            <w:pPr>
              <w:jc w:val="center"/>
              <w:rPr>
                <w:rFonts w:ascii="Arial" w:eastAsia="Calibri" w:hAnsi="Arial" w:cs="Arial"/>
                <w:b/>
                <w:sz w:val="16"/>
                <w:szCs w:val="16"/>
                <w:lang w:val="en-CA"/>
              </w:rPr>
            </w:pPr>
            <w:r w:rsidRPr="00286D9F">
              <w:rPr>
                <w:rFonts w:ascii="Arial" w:eastAsia="Calibri" w:hAnsi="Arial" w:cs="Arial"/>
                <w:b/>
                <w:sz w:val="16"/>
                <w:szCs w:val="16"/>
                <w:lang w:val="en-CA"/>
              </w:rPr>
              <w:t>Acquirer</w:t>
            </w:r>
          </w:p>
        </w:tc>
        <w:tc>
          <w:tcPr>
            <w:tcW w:w="3513" w:type="dxa"/>
            <w:shd w:val="clear" w:color="auto" w:fill="auto"/>
            <w:vAlign w:val="center"/>
            <w:hideMark/>
          </w:tcPr>
          <w:p w14:paraId="1C362BDD" w14:textId="5AEF0C93" w:rsidR="004970B9" w:rsidRPr="00286D9F" w:rsidRDefault="004970B9" w:rsidP="00E61616">
            <w:pPr>
              <w:jc w:val="center"/>
              <w:rPr>
                <w:rFonts w:ascii="Arial" w:eastAsia="Calibri" w:hAnsi="Arial" w:cs="Arial"/>
                <w:b/>
                <w:sz w:val="16"/>
                <w:szCs w:val="16"/>
                <w:lang w:val="en-CA"/>
              </w:rPr>
            </w:pPr>
            <w:r w:rsidRPr="00286D9F">
              <w:rPr>
                <w:rFonts w:ascii="Arial" w:eastAsia="Calibri" w:hAnsi="Arial" w:cs="Arial"/>
                <w:b/>
                <w:sz w:val="16"/>
                <w:szCs w:val="16"/>
                <w:lang w:val="en-CA"/>
              </w:rPr>
              <w:t>Target</w:t>
            </w:r>
          </w:p>
        </w:tc>
        <w:tc>
          <w:tcPr>
            <w:tcW w:w="1440" w:type="dxa"/>
            <w:shd w:val="clear" w:color="auto" w:fill="auto"/>
            <w:vAlign w:val="center"/>
            <w:hideMark/>
          </w:tcPr>
          <w:p w14:paraId="653D8CEF" w14:textId="74D2C73B" w:rsidR="004970B9" w:rsidRPr="00286D9F" w:rsidRDefault="00BA638C" w:rsidP="00E61616">
            <w:pPr>
              <w:jc w:val="center"/>
              <w:rPr>
                <w:rFonts w:ascii="Arial" w:eastAsia="Calibri" w:hAnsi="Arial" w:cs="Arial"/>
                <w:b/>
                <w:sz w:val="16"/>
                <w:szCs w:val="16"/>
                <w:lang w:val="en-CA"/>
              </w:rPr>
            </w:pPr>
            <w:r w:rsidRPr="00286D9F">
              <w:rPr>
                <w:rFonts w:ascii="Arial" w:eastAsia="Calibri" w:hAnsi="Arial" w:cs="Arial"/>
                <w:b/>
                <w:sz w:val="16"/>
                <w:szCs w:val="16"/>
                <w:lang w:val="en-CA"/>
              </w:rPr>
              <w:t xml:space="preserve">Value </w:t>
            </w:r>
            <w:r w:rsidR="004970B9" w:rsidRPr="00286D9F">
              <w:rPr>
                <w:rFonts w:ascii="Arial" w:eastAsia="Calibri" w:hAnsi="Arial" w:cs="Arial"/>
                <w:b/>
                <w:sz w:val="16"/>
                <w:szCs w:val="16"/>
                <w:lang w:val="en-CA"/>
              </w:rPr>
              <w:t>(</w:t>
            </w:r>
            <w:r w:rsidR="000E70FA">
              <w:rPr>
                <w:rFonts w:ascii="Arial" w:eastAsia="Calibri" w:hAnsi="Arial" w:cs="Arial"/>
                <w:b/>
                <w:sz w:val="16"/>
                <w:szCs w:val="16"/>
                <w:lang w:val="en-CA"/>
              </w:rPr>
              <w:t>US</w:t>
            </w:r>
            <w:r w:rsidR="004970B9" w:rsidRPr="00286D9F">
              <w:rPr>
                <w:rFonts w:ascii="Arial" w:eastAsia="Calibri" w:hAnsi="Arial" w:cs="Arial"/>
                <w:b/>
                <w:sz w:val="16"/>
                <w:szCs w:val="16"/>
                <w:lang w:val="en-CA"/>
              </w:rPr>
              <w:t xml:space="preserve">$ </w:t>
            </w:r>
            <w:proofErr w:type="spellStart"/>
            <w:r w:rsidR="004970B9" w:rsidRPr="00286D9F">
              <w:rPr>
                <w:rFonts w:ascii="Arial" w:eastAsia="Calibri" w:hAnsi="Arial" w:cs="Arial"/>
                <w:b/>
                <w:sz w:val="16"/>
                <w:szCs w:val="16"/>
                <w:lang w:val="en-CA"/>
              </w:rPr>
              <w:t>bn</w:t>
            </w:r>
            <w:proofErr w:type="spellEnd"/>
            <w:r w:rsidR="004970B9" w:rsidRPr="00286D9F">
              <w:rPr>
                <w:rFonts w:ascii="Arial" w:eastAsia="Calibri" w:hAnsi="Arial" w:cs="Arial"/>
                <w:b/>
                <w:sz w:val="16"/>
                <w:szCs w:val="16"/>
                <w:lang w:val="en-CA"/>
              </w:rPr>
              <w:t>)</w:t>
            </w:r>
          </w:p>
        </w:tc>
      </w:tr>
      <w:tr w:rsidR="004970B9" w:rsidRPr="00286D9F" w14:paraId="33C8D25B" w14:textId="77777777" w:rsidTr="00BB3A5E">
        <w:trPr>
          <w:trHeight w:val="85"/>
          <w:jc w:val="center"/>
        </w:trPr>
        <w:tc>
          <w:tcPr>
            <w:tcW w:w="2337" w:type="dxa"/>
            <w:shd w:val="clear" w:color="auto" w:fill="auto"/>
            <w:noWrap/>
            <w:vAlign w:val="center"/>
          </w:tcPr>
          <w:p w14:paraId="173A93DF"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Shire</w:t>
            </w:r>
          </w:p>
        </w:tc>
        <w:tc>
          <w:tcPr>
            <w:tcW w:w="3513" w:type="dxa"/>
            <w:shd w:val="clear" w:color="auto" w:fill="auto"/>
            <w:vAlign w:val="center"/>
          </w:tcPr>
          <w:p w14:paraId="3D4793A6"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Baxalta</w:t>
            </w:r>
            <w:proofErr w:type="spellEnd"/>
          </w:p>
        </w:tc>
        <w:tc>
          <w:tcPr>
            <w:tcW w:w="1440" w:type="dxa"/>
            <w:shd w:val="clear" w:color="auto" w:fill="auto"/>
            <w:vAlign w:val="center"/>
          </w:tcPr>
          <w:p w14:paraId="7DF825A3"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32.0</w:t>
            </w:r>
          </w:p>
        </w:tc>
      </w:tr>
      <w:tr w:rsidR="004970B9" w:rsidRPr="00286D9F" w14:paraId="1F201F21" w14:textId="77777777" w:rsidTr="00BB3A5E">
        <w:trPr>
          <w:trHeight w:val="67"/>
          <w:jc w:val="center"/>
        </w:trPr>
        <w:tc>
          <w:tcPr>
            <w:tcW w:w="2337" w:type="dxa"/>
            <w:shd w:val="clear" w:color="auto" w:fill="auto"/>
            <w:vAlign w:val="center"/>
          </w:tcPr>
          <w:p w14:paraId="3A3AB584"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Pfizer</w:t>
            </w:r>
          </w:p>
        </w:tc>
        <w:tc>
          <w:tcPr>
            <w:tcW w:w="3513" w:type="dxa"/>
            <w:shd w:val="clear" w:color="auto" w:fill="auto"/>
            <w:vAlign w:val="center"/>
          </w:tcPr>
          <w:p w14:paraId="7952553A"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Medivation</w:t>
            </w:r>
            <w:proofErr w:type="spellEnd"/>
          </w:p>
        </w:tc>
        <w:tc>
          <w:tcPr>
            <w:tcW w:w="1440" w:type="dxa"/>
            <w:shd w:val="clear" w:color="auto" w:fill="auto"/>
            <w:vAlign w:val="center"/>
          </w:tcPr>
          <w:p w14:paraId="669C8ED3"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14.0</w:t>
            </w:r>
          </w:p>
        </w:tc>
      </w:tr>
      <w:tr w:rsidR="004970B9" w:rsidRPr="00286D9F" w14:paraId="0D8F997C" w14:textId="77777777" w:rsidTr="00BB3A5E">
        <w:trPr>
          <w:trHeight w:val="67"/>
          <w:jc w:val="center"/>
        </w:trPr>
        <w:tc>
          <w:tcPr>
            <w:tcW w:w="2337" w:type="dxa"/>
            <w:shd w:val="clear" w:color="auto" w:fill="auto"/>
            <w:noWrap/>
            <w:vAlign w:val="center"/>
          </w:tcPr>
          <w:p w14:paraId="2E56ECBD"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AbbVie</w:t>
            </w:r>
          </w:p>
        </w:tc>
        <w:tc>
          <w:tcPr>
            <w:tcW w:w="3513" w:type="dxa"/>
            <w:shd w:val="clear" w:color="auto" w:fill="auto"/>
            <w:vAlign w:val="center"/>
          </w:tcPr>
          <w:p w14:paraId="57C4C788"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Stemcentrx</w:t>
            </w:r>
            <w:proofErr w:type="spellEnd"/>
          </w:p>
        </w:tc>
        <w:tc>
          <w:tcPr>
            <w:tcW w:w="1440" w:type="dxa"/>
            <w:shd w:val="clear" w:color="auto" w:fill="auto"/>
            <w:vAlign w:val="center"/>
          </w:tcPr>
          <w:p w14:paraId="33278114"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9.8</w:t>
            </w:r>
          </w:p>
        </w:tc>
      </w:tr>
      <w:tr w:rsidR="004970B9" w:rsidRPr="00286D9F" w14:paraId="79CB78EE" w14:textId="77777777" w:rsidTr="00BB3A5E">
        <w:trPr>
          <w:trHeight w:val="61"/>
          <w:jc w:val="center"/>
        </w:trPr>
        <w:tc>
          <w:tcPr>
            <w:tcW w:w="2337" w:type="dxa"/>
            <w:shd w:val="clear" w:color="auto" w:fill="auto"/>
            <w:noWrap/>
            <w:vAlign w:val="center"/>
          </w:tcPr>
          <w:p w14:paraId="58FFECE2"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Mylan</w:t>
            </w:r>
          </w:p>
        </w:tc>
        <w:tc>
          <w:tcPr>
            <w:tcW w:w="3513" w:type="dxa"/>
            <w:shd w:val="clear" w:color="auto" w:fill="auto"/>
            <w:vAlign w:val="center"/>
          </w:tcPr>
          <w:p w14:paraId="6D2F74D6"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Meda</w:t>
            </w:r>
            <w:proofErr w:type="spellEnd"/>
          </w:p>
        </w:tc>
        <w:tc>
          <w:tcPr>
            <w:tcW w:w="1440" w:type="dxa"/>
            <w:shd w:val="clear" w:color="auto" w:fill="auto"/>
            <w:vAlign w:val="center"/>
          </w:tcPr>
          <w:p w14:paraId="50A234AC"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7.2</w:t>
            </w:r>
          </w:p>
        </w:tc>
      </w:tr>
      <w:tr w:rsidR="004970B9" w:rsidRPr="00286D9F" w14:paraId="5AA5AF27" w14:textId="77777777" w:rsidTr="00BB3A5E">
        <w:trPr>
          <w:trHeight w:val="61"/>
          <w:jc w:val="center"/>
        </w:trPr>
        <w:tc>
          <w:tcPr>
            <w:tcW w:w="2337" w:type="dxa"/>
            <w:shd w:val="clear" w:color="auto" w:fill="auto"/>
            <w:noWrap/>
            <w:vAlign w:val="center"/>
          </w:tcPr>
          <w:p w14:paraId="0DEB497C"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Pfizer</w:t>
            </w:r>
          </w:p>
        </w:tc>
        <w:tc>
          <w:tcPr>
            <w:tcW w:w="3513" w:type="dxa"/>
            <w:shd w:val="clear" w:color="auto" w:fill="auto"/>
            <w:vAlign w:val="center"/>
          </w:tcPr>
          <w:p w14:paraId="166ED9D0"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Anacor</w:t>
            </w:r>
            <w:proofErr w:type="spellEnd"/>
            <w:r w:rsidRPr="00286D9F">
              <w:rPr>
                <w:rFonts w:ascii="Arial" w:eastAsia="Calibri" w:hAnsi="Arial" w:cs="Arial"/>
                <w:sz w:val="16"/>
                <w:szCs w:val="16"/>
                <w:lang w:val="en-CA"/>
              </w:rPr>
              <w:t xml:space="preserve"> Pharmaceuticals</w:t>
            </w:r>
          </w:p>
        </w:tc>
        <w:tc>
          <w:tcPr>
            <w:tcW w:w="1440" w:type="dxa"/>
            <w:shd w:val="clear" w:color="auto" w:fill="auto"/>
            <w:vAlign w:val="center"/>
          </w:tcPr>
          <w:p w14:paraId="35A6CA25"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5.2</w:t>
            </w:r>
          </w:p>
        </w:tc>
      </w:tr>
      <w:tr w:rsidR="004970B9" w:rsidRPr="00286D9F" w14:paraId="4B8B13A9" w14:textId="77777777" w:rsidTr="00BB3A5E">
        <w:trPr>
          <w:trHeight w:val="85"/>
          <w:jc w:val="center"/>
        </w:trPr>
        <w:tc>
          <w:tcPr>
            <w:tcW w:w="2337" w:type="dxa"/>
            <w:shd w:val="clear" w:color="auto" w:fill="auto"/>
            <w:noWrap/>
            <w:vAlign w:val="center"/>
          </w:tcPr>
          <w:p w14:paraId="213D5079"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Lonza</w:t>
            </w:r>
            <w:proofErr w:type="spellEnd"/>
          </w:p>
        </w:tc>
        <w:tc>
          <w:tcPr>
            <w:tcW w:w="3513" w:type="dxa"/>
            <w:shd w:val="clear" w:color="auto" w:fill="auto"/>
            <w:vAlign w:val="center"/>
          </w:tcPr>
          <w:p w14:paraId="4844FB9D"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Capsugel</w:t>
            </w:r>
            <w:proofErr w:type="spellEnd"/>
          </w:p>
        </w:tc>
        <w:tc>
          <w:tcPr>
            <w:tcW w:w="1440" w:type="dxa"/>
            <w:shd w:val="clear" w:color="auto" w:fill="auto"/>
            <w:vAlign w:val="center"/>
          </w:tcPr>
          <w:p w14:paraId="19757EB8"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3.5</w:t>
            </w:r>
          </w:p>
        </w:tc>
      </w:tr>
      <w:tr w:rsidR="004970B9" w:rsidRPr="00286D9F" w14:paraId="2BA0CDCE" w14:textId="77777777" w:rsidTr="00BB3A5E">
        <w:trPr>
          <w:trHeight w:val="121"/>
          <w:jc w:val="center"/>
        </w:trPr>
        <w:tc>
          <w:tcPr>
            <w:tcW w:w="2337" w:type="dxa"/>
            <w:shd w:val="clear" w:color="auto" w:fill="auto"/>
            <w:vAlign w:val="center"/>
          </w:tcPr>
          <w:p w14:paraId="317E2ACA"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Allergan</w:t>
            </w:r>
          </w:p>
        </w:tc>
        <w:tc>
          <w:tcPr>
            <w:tcW w:w="3513" w:type="dxa"/>
            <w:shd w:val="clear" w:color="auto" w:fill="auto"/>
            <w:vAlign w:val="center"/>
          </w:tcPr>
          <w:p w14:paraId="503C4C8A"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Tobira Therapeutics</w:t>
            </w:r>
          </w:p>
        </w:tc>
        <w:tc>
          <w:tcPr>
            <w:tcW w:w="1440" w:type="dxa"/>
            <w:shd w:val="clear" w:color="auto" w:fill="auto"/>
            <w:vAlign w:val="center"/>
          </w:tcPr>
          <w:p w14:paraId="34513D13"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1.7</w:t>
            </w:r>
          </w:p>
        </w:tc>
      </w:tr>
      <w:tr w:rsidR="004970B9" w:rsidRPr="00286D9F" w14:paraId="4CF4AC2E" w14:textId="77777777" w:rsidTr="00BB3A5E">
        <w:trPr>
          <w:trHeight w:val="76"/>
          <w:jc w:val="center"/>
        </w:trPr>
        <w:tc>
          <w:tcPr>
            <w:tcW w:w="2337" w:type="dxa"/>
            <w:shd w:val="clear" w:color="auto" w:fill="auto"/>
            <w:vAlign w:val="center"/>
          </w:tcPr>
          <w:p w14:paraId="530431C0"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Pfizer</w:t>
            </w:r>
          </w:p>
        </w:tc>
        <w:tc>
          <w:tcPr>
            <w:tcW w:w="3513" w:type="dxa"/>
            <w:shd w:val="clear" w:color="auto" w:fill="auto"/>
            <w:vAlign w:val="center"/>
          </w:tcPr>
          <w:p w14:paraId="62F56B63"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Astra Zeneca’s ex-US anti-</w:t>
            </w:r>
            <w:proofErr w:type="spellStart"/>
            <w:r w:rsidRPr="00286D9F">
              <w:rPr>
                <w:rFonts w:ascii="Arial" w:eastAsia="Calibri" w:hAnsi="Arial" w:cs="Arial"/>
                <w:sz w:val="16"/>
                <w:szCs w:val="16"/>
                <w:lang w:val="en-CA"/>
              </w:rPr>
              <w:t>infectives</w:t>
            </w:r>
            <w:proofErr w:type="spellEnd"/>
          </w:p>
        </w:tc>
        <w:tc>
          <w:tcPr>
            <w:tcW w:w="1440" w:type="dxa"/>
            <w:shd w:val="clear" w:color="auto" w:fill="auto"/>
            <w:vAlign w:val="center"/>
          </w:tcPr>
          <w:p w14:paraId="7C25B098"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1.6</w:t>
            </w:r>
          </w:p>
        </w:tc>
      </w:tr>
      <w:tr w:rsidR="004970B9" w:rsidRPr="00286D9F" w14:paraId="4E78A0B9" w14:textId="77777777" w:rsidTr="00BB3A5E">
        <w:trPr>
          <w:trHeight w:val="61"/>
          <w:jc w:val="center"/>
        </w:trPr>
        <w:tc>
          <w:tcPr>
            <w:tcW w:w="2337" w:type="dxa"/>
            <w:shd w:val="clear" w:color="auto" w:fill="auto"/>
            <w:vAlign w:val="center"/>
          </w:tcPr>
          <w:p w14:paraId="617E4F61"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Galenica</w:t>
            </w:r>
            <w:proofErr w:type="spellEnd"/>
          </w:p>
        </w:tc>
        <w:tc>
          <w:tcPr>
            <w:tcW w:w="3513" w:type="dxa"/>
            <w:shd w:val="clear" w:color="auto" w:fill="auto"/>
            <w:vAlign w:val="center"/>
          </w:tcPr>
          <w:p w14:paraId="45B820F1" w14:textId="77777777" w:rsidR="004970B9" w:rsidRPr="00286D9F" w:rsidRDefault="004970B9" w:rsidP="00E61616">
            <w:pPr>
              <w:rPr>
                <w:rFonts w:ascii="Arial" w:eastAsia="Calibri" w:hAnsi="Arial" w:cs="Arial"/>
                <w:sz w:val="16"/>
                <w:szCs w:val="16"/>
                <w:lang w:val="en-CA"/>
              </w:rPr>
            </w:pPr>
            <w:proofErr w:type="spellStart"/>
            <w:r w:rsidRPr="00286D9F">
              <w:rPr>
                <w:rFonts w:ascii="Arial" w:eastAsia="Calibri" w:hAnsi="Arial" w:cs="Arial"/>
                <w:sz w:val="16"/>
                <w:szCs w:val="16"/>
                <w:lang w:val="en-CA"/>
              </w:rPr>
              <w:t>Relypsa</w:t>
            </w:r>
            <w:proofErr w:type="spellEnd"/>
          </w:p>
        </w:tc>
        <w:tc>
          <w:tcPr>
            <w:tcW w:w="1440" w:type="dxa"/>
            <w:shd w:val="clear" w:color="auto" w:fill="auto"/>
            <w:vAlign w:val="center"/>
          </w:tcPr>
          <w:p w14:paraId="43D49C2F"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1.5</w:t>
            </w:r>
          </w:p>
        </w:tc>
      </w:tr>
      <w:tr w:rsidR="004970B9" w:rsidRPr="00286D9F" w14:paraId="2BE24699" w14:textId="77777777" w:rsidTr="00BB3A5E">
        <w:trPr>
          <w:trHeight w:val="61"/>
          <w:jc w:val="center"/>
        </w:trPr>
        <w:tc>
          <w:tcPr>
            <w:tcW w:w="2337" w:type="dxa"/>
            <w:shd w:val="clear" w:color="auto" w:fill="auto"/>
            <w:vAlign w:val="center"/>
          </w:tcPr>
          <w:p w14:paraId="04BAB765"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Jazz Pharmaceuticals</w:t>
            </w:r>
          </w:p>
        </w:tc>
        <w:tc>
          <w:tcPr>
            <w:tcW w:w="3513" w:type="dxa"/>
            <w:shd w:val="clear" w:color="auto" w:fill="auto"/>
            <w:vAlign w:val="center"/>
          </w:tcPr>
          <w:p w14:paraId="0A1A5D89"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sz w:val="16"/>
                <w:szCs w:val="16"/>
                <w:lang w:val="en-CA"/>
              </w:rPr>
              <w:t>Celator Pharmaceuticals</w:t>
            </w:r>
          </w:p>
        </w:tc>
        <w:tc>
          <w:tcPr>
            <w:tcW w:w="1440" w:type="dxa"/>
            <w:shd w:val="clear" w:color="auto" w:fill="auto"/>
            <w:vAlign w:val="center"/>
          </w:tcPr>
          <w:p w14:paraId="3082FAF5" w14:textId="77777777" w:rsidR="004970B9" w:rsidRPr="00286D9F" w:rsidRDefault="004970B9" w:rsidP="00E61616">
            <w:pPr>
              <w:jc w:val="right"/>
              <w:rPr>
                <w:rFonts w:ascii="Arial" w:eastAsia="Calibri" w:hAnsi="Arial" w:cs="Arial"/>
                <w:sz w:val="16"/>
                <w:szCs w:val="16"/>
                <w:lang w:val="en-CA"/>
              </w:rPr>
            </w:pPr>
            <w:r w:rsidRPr="00286D9F">
              <w:rPr>
                <w:rFonts w:ascii="Arial" w:eastAsia="Calibri" w:hAnsi="Arial" w:cs="Arial"/>
                <w:sz w:val="16"/>
                <w:szCs w:val="16"/>
                <w:lang w:val="en-CA"/>
              </w:rPr>
              <w:t>1.5</w:t>
            </w:r>
          </w:p>
        </w:tc>
      </w:tr>
    </w:tbl>
    <w:p w14:paraId="3A74150E" w14:textId="77777777" w:rsidR="00010830" w:rsidRPr="00286D9F" w:rsidRDefault="00010830" w:rsidP="00010830">
      <w:pPr>
        <w:pStyle w:val="ExhibitText"/>
        <w:rPr>
          <w:sz w:val="12"/>
          <w:szCs w:val="12"/>
          <w:lang w:val="en-CA"/>
        </w:rPr>
      </w:pPr>
    </w:p>
    <w:p w14:paraId="22BB1AE6" w14:textId="75046488" w:rsidR="004970B9" w:rsidRPr="00286D9F" w:rsidRDefault="004970B9" w:rsidP="00010830">
      <w:pPr>
        <w:pStyle w:val="Footnote"/>
        <w:rPr>
          <w:i/>
          <w:lang w:val="en-CA"/>
        </w:rPr>
      </w:pPr>
      <w:r w:rsidRPr="00286D9F">
        <w:rPr>
          <w:lang w:val="en-CA"/>
        </w:rPr>
        <w:t xml:space="preserve">Source: </w:t>
      </w:r>
      <w:proofErr w:type="spellStart"/>
      <w:r w:rsidRPr="00286D9F">
        <w:rPr>
          <w:lang w:val="en-CA" w:eastAsia="de-DE"/>
        </w:rPr>
        <w:t>Sy</w:t>
      </w:r>
      <w:proofErr w:type="spellEnd"/>
      <w:r w:rsidRPr="00286D9F">
        <w:rPr>
          <w:lang w:val="en-CA" w:eastAsia="de-DE"/>
        </w:rPr>
        <w:t xml:space="preserve"> Mukherjee,</w:t>
      </w:r>
      <w:r w:rsidRPr="00286D9F">
        <w:rPr>
          <w:lang w:val="en-CA"/>
        </w:rPr>
        <w:t xml:space="preserve"> “These </w:t>
      </w:r>
      <w:proofErr w:type="gramStart"/>
      <w:r w:rsidR="00FA6B6F" w:rsidRPr="00286D9F">
        <w:rPr>
          <w:lang w:val="en-CA"/>
        </w:rPr>
        <w:t>Were</w:t>
      </w:r>
      <w:proofErr w:type="gramEnd"/>
      <w:r w:rsidR="00FA6B6F" w:rsidRPr="00286D9F">
        <w:rPr>
          <w:lang w:val="en-CA"/>
        </w:rPr>
        <w:t xml:space="preserve"> </w:t>
      </w:r>
      <w:r w:rsidRPr="00286D9F">
        <w:rPr>
          <w:lang w:val="en-CA"/>
        </w:rPr>
        <w:t xml:space="preserve">the 10 Biggest Pharmaceutical Deals of 2016,” </w:t>
      </w:r>
      <w:r w:rsidRPr="00286D9F">
        <w:rPr>
          <w:i/>
          <w:lang w:val="en-CA"/>
        </w:rPr>
        <w:t>Fortune</w:t>
      </w:r>
      <w:r w:rsidRPr="00286D9F">
        <w:rPr>
          <w:lang w:val="en-CA"/>
        </w:rPr>
        <w:t>, February 24, 2017</w:t>
      </w:r>
      <w:r w:rsidR="00556525" w:rsidRPr="00286D9F">
        <w:rPr>
          <w:sz w:val="16"/>
          <w:szCs w:val="16"/>
          <w:lang w:val="en-CA"/>
        </w:rPr>
        <w:t>, accessed May 29, 2019,</w:t>
      </w:r>
      <w:r w:rsidR="00556525" w:rsidRPr="00286D9F">
        <w:rPr>
          <w:lang w:val="en-CA"/>
        </w:rPr>
        <w:t xml:space="preserve"> http://fortune.com/2017/02/24/biggest-biopharma-deals-2016/.</w:t>
      </w:r>
    </w:p>
    <w:p w14:paraId="7F03AFAF" w14:textId="77777777" w:rsidR="004970B9" w:rsidRPr="00286D9F" w:rsidRDefault="004970B9" w:rsidP="004970B9">
      <w:pPr>
        <w:pStyle w:val="IVEYappTitel"/>
        <w:rPr>
          <w:b w:val="0"/>
          <w:noProof w:val="0"/>
          <w:sz w:val="12"/>
          <w:szCs w:val="12"/>
          <w:lang w:val="en-CA"/>
        </w:rPr>
      </w:pPr>
    </w:p>
    <w:p w14:paraId="4B77CD60" w14:textId="77777777" w:rsidR="004970B9" w:rsidRPr="00286D9F" w:rsidRDefault="004970B9" w:rsidP="004970B9">
      <w:pPr>
        <w:pStyle w:val="IVEYappTitel"/>
        <w:rPr>
          <w:b w:val="0"/>
          <w:noProof w:val="0"/>
          <w:sz w:val="12"/>
          <w:szCs w:val="12"/>
          <w:lang w:val="en-CA"/>
        </w:rPr>
      </w:pPr>
    </w:p>
    <w:p w14:paraId="4E0EBF01" w14:textId="77777777" w:rsidR="004970B9" w:rsidRPr="00286D9F" w:rsidRDefault="004970B9" w:rsidP="004970B9">
      <w:pPr>
        <w:pStyle w:val="IVEYappTitel"/>
        <w:rPr>
          <w:noProof w:val="0"/>
          <w:lang w:val="en-CA"/>
        </w:rPr>
      </w:pPr>
      <w:r w:rsidRPr="00286D9F">
        <w:rPr>
          <w:noProof w:val="0"/>
          <w:lang w:val="en-CA"/>
        </w:rPr>
        <w:t>Exhibit 2: Proxy Statement for the Annual Meeting of Shareholders in 2017</w:t>
      </w:r>
    </w:p>
    <w:p w14:paraId="0C2D9F01" w14:textId="77777777" w:rsidR="004970B9" w:rsidRPr="00286D9F" w:rsidRDefault="004970B9" w:rsidP="004970B9">
      <w:pPr>
        <w:pStyle w:val="IVEYappTitel"/>
        <w:rPr>
          <w:b w:val="0"/>
          <w:noProof w:val="0"/>
          <w:sz w:val="12"/>
          <w:szCs w:val="12"/>
          <w:lang w:val="en-CA"/>
        </w:rPr>
      </w:pPr>
    </w:p>
    <w:tbl>
      <w:tblPr>
        <w:tblW w:w="93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57"/>
        <w:gridCol w:w="7700"/>
      </w:tblGrid>
      <w:tr w:rsidR="004970B9" w:rsidRPr="00286D9F" w14:paraId="7956FBD1" w14:textId="77777777" w:rsidTr="00BB3A5E">
        <w:trPr>
          <w:trHeight w:val="445"/>
        </w:trPr>
        <w:tc>
          <w:tcPr>
            <w:tcW w:w="1657" w:type="dxa"/>
            <w:vMerge w:val="restart"/>
            <w:shd w:val="clear" w:color="auto" w:fill="auto"/>
            <w:noWrap/>
            <w:vAlign w:val="center"/>
          </w:tcPr>
          <w:p w14:paraId="4D399951" w14:textId="77777777" w:rsidR="004970B9" w:rsidRPr="00286D9F" w:rsidRDefault="004970B9" w:rsidP="002E500C">
            <w:pPr>
              <w:rPr>
                <w:rFonts w:ascii="Arial" w:eastAsia="Calibri" w:hAnsi="Arial" w:cs="Arial"/>
                <w:sz w:val="16"/>
                <w:szCs w:val="16"/>
                <w:lang w:val="en-CA"/>
              </w:rPr>
            </w:pPr>
            <w:r w:rsidRPr="00286D9F">
              <w:rPr>
                <w:rFonts w:ascii="Arial" w:hAnsi="Arial" w:cs="Arial"/>
                <w:b/>
                <w:sz w:val="16"/>
                <w:szCs w:val="16"/>
                <w:lang w:val="en-CA"/>
              </w:rPr>
              <w:t>Our Strategic Imperatives</w:t>
            </w:r>
          </w:p>
        </w:tc>
        <w:tc>
          <w:tcPr>
            <w:tcW w:w="7700" w:type="dxa"/>
            <w:shd w:val="clear" w:color="auto" w:fill="auto"/>
            <w:vAlign w:val="center"/>
          </w:tcPr>
          <w:p w14:paraId="35BB9BDB" w14:textId="748DCB46" w:rsidR="004970B9" w:rsidRPr="00286D9F" w:rsidRDefault="004970B9" w:rsidP="00E61616">
            <w:pPr>
              <w:rPr>
                <w:rFonts w:ascii="Arial" w:eastAsia="Calibri" w:hAnsi="Arial" w:cs="Arial"/>
                <w:sz w:val="16"/>
                <w:szCs w:val="16"/>
                <w:lang w:val="en-CA"/>
              </w:rPr>
            </w:pPr>
            <w:r w:rsidRPr="00286D9F">
              <w:rPr>
                <w:rFonts w:ascii="Arial" w:eastAsia="Calibri" w:hAnsi="Arial" w:cs="Arial"/>
                <w:i/>
                <w:sz w:val="16"/>
                <w:szCs w:val="16"/>
                <w:lang w:val="en-CA"/>
              </w:rPr>
              <w:t>1. Innovate and lead</w:t>
            </w:r>
            <w:r w:rsidRPr="00286D9F">
              <w:rPr>
                <w:rFonts w:ascii="Arial" w:eastAsia="Calibri" w:hAnsi="Arial" w:cs="Arial"/>
                <w:sz w:val="16"/>
                <w:szCs w:val="16"/>
                <w:lang w:val="en-CA"/>
              </w:rPr>
              <w:t xml:space="preserve"> </w:t>
            </w:r>
            <w:r w:rsidRPr="00286D9F">
              <w:rPr>
                <w:rFonts w:ascii="Arial" w:eastAsia="Calibri" w:hAnsi="Arial" w:cs="Arial"/>
                <w:sz w:val="16"/>
                <w:szCs w:val="16"/>
                <w:lang w:val="en-CA"/>
              </w:rPr>
              <w:br/>
              <w:t>Improve Pfizer's abi</w:t>
            </w:r>
            <w:r w:rsidR="000E70FA">
              <w:rPr>
                <w:rFonts w:ascii="Arial" w:eastAsia="Calibri" w:hAnsi="Arial" w:cs="Arial"/>
                <w:sz w:val="16"/>
                <w:szCs w:val="16"/>
                <w:lang w:val="en-CA"/>
              </w:rPr>
              <w:t>lity to innovate in biomedical research and development</w:t>
            </w:r>
            <w:r w:rsidRPr="00286D9F">
              <w:rPr>
                <w:rFonts w:ascii="Arial" w:eastAsia="Calibri" w:hAnsi="Arial" w:cs="Arial"/>
                <w:sz w:val="16"/>
                <w:szCs w:val="16"/>
                <w:lang w:val="en-CA"/>
              </w:rPr>
              <w:t xml:space="preserve"> and develop a new generation of high-value, highly differentiated medicines and vaccines.</w:t>
            </w:r>
          </w:p>
        </w:tc>
      </w:tr>
      <w:tr w:rsidR="004970B9" w:rsidRPr="00286D9F" w14:paraId="113EA352" w14:textId="77777777" w:rsidTr="00BB3A5E">
        <w:trPr>
          <w:trHeight w:val="256"/>
        </w:trPr>
        <w:tc>
          <w:tcPr>
            <w:tcW w:w="1657" w:type="dxa"/>
            <w:vMerge/>
            <w:shd w:val="clear" w:color="auto" w:fill="auto"/>
            <w:noWrap/>
            <w:vAlign w:val="center"/>
          </w:tcPr>
          <w:p w14:paraId="19078A46" w14:textId="77777777" w:rsidR="004970B9" w:rsidRPr="00286D9F" w:rsidRDefault="004970B9" w:rsidP="002E500C">
            <w:pPr>
              <w:rPr>
                <w:rFonts w:ascii="Arial" w:eastAsia="Calibri" w:hAnsi="Arial" w:cs="Arial"/>
                <w:sz w:val="16"/>
                <w:szCs w:val="16"/>
                <w:lang w:val="en-CA"/>
              </w:rPr>
            </w:pPr>
          </w:p>
        </w:tc>
        <w:tc>
          <w:tcPr>
            <w:tcW w:w="7700" w:type="dxa"/>
            <w:shd w:val="clear" w:color="auto" w:fill="auto"/>
            <w:vAlign w:val="center"/>
          </w:tcPr>
          <w:p w14:paraId="515050F5"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i/>
                <w:sz w:val="16"/>
                <w:szCs w:val="16"/>
                <w:lang w:val="en-CA"/>
              </w:rPr>
              <w:t>2. Maximize value</w:t>
            </w:r>
            <w:r w:rsidRPr="00286D9F">
              <w:rPr>
                <w:rFonts w:ascii="Arial" w:eastAsia="Calibri" w:hAnsi="Arial" w:cs="Arial"/>
                <w:sz w:val="16"/>
                <w:szCs w:val="16"/>
                <w:lang w:val="en-CA"/>
              </w:rPr>
              <w:br/>
              <w:t xml:space="preserve">Invest and allocate our resources in ways that create the greatest long-term returns for our shareholders. </w:t>
            </w:r>
          </w:p>
        </w:tc>
      </w:tr>
      <w:tr w:rsidR="004970B9" w:rsidRPr="00286D9F" w14:paraId="38ED7683" w14:textId="77777777" w:rsidTr="00BB3A5E">
        <w:trPr>
          <w:trHeight w:val="409"/>
        </w:trPr>
        <w:tc>
          <w:tcPr>
            <w:tcW w:w="1657" w:type="dxa"/>
            <w:vMerge/>
            <w:shd w:val="clear" w:color="auto" w:fill="auto"/>
            <w:noWrap/>
            <w:vAlign w:val="center"/>
          </w:tcPr>
          <w:p w14:paraId="2B0C2BE0" w14:textId="77777777" w:rsidR="004970B9" w:rsidRPr="00286D9F" w:rsidRDefault="004970B9" w:rsidP="002E500C">
            <w:pPr>
              <w:rPr>
                <w:rFonts w:ascii="Arial" w:eastAsia="Calibri" w:hAnsi="Arial" w:cs="Arial"/>
                <w:sz w:val="16"/>
                <w:szCs w:val="16"/>
                <w:lang w:val="en-CA"/>
              </w:rPr>
            </w:pPr>
          </w:p>
        </w:tc>
        <w:tc>
          <w:tcPr>
            <w:tcW w:w="7700" w:type="dxa"/>
            <w:shd w:val="clear" w:color="auto" w:fill="auto"/>
            <w:vAlign w:val="center"/>
          </w:tcPr>
          <w:p w14:paraId="0CFBF4DD"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i/>
                <w:sz w:val="16"/>
                <w:szCs w:val="16"/>
                <w:lang w:val="en-CA"/>
              </w:rPr>
              <w:t>3. Earn greater respect</w:t>
            </w:r>
            <w:r w:rsidRPr="00286D9F">
              <w:rPr>
                <w:rFonts w:ascii="Arial" w:eastAsia="Calibri" w:hAnsi="Arial" w:cs="Arial"/>
                <w:sz w:val="16"/>
                <w:szCs w:val="16"/>
                <w:lang w:val="en-CA"/>
              </w:rPr>
              <w:t xml:space="preserve"> </w:t>
            </w:r>
            <w:r w:rsidRPr="00286D9F">
              <w:rPr>
                <w:rFonts w:ascii="Arial" w:eastAsia="Calibri" w:hAnsi="Arial" w:cs="Arial"/>
                <w:sz w:val="16"/>
                <w:szCs w:val="16"/>
                <w:lang w:val="en-CA"/>
              </w:rPr>
              <w:br/>
              <w:t xml:space="preserve">Earn society's respect by generating breakthrough therapies, improving access, expanding the dialogue on healthcare and acting as a responsible corporate citizen. </w:t>
            </w:r>
          </w:p>
        </w:tc>
      </w:tr>
      <w:tr w:rsidR="004970B9" w:rsidRPr="00286D9F" w14:paraId="4B850270" w14:textId="77777777" w:rsidTr="00BB3A5E">
        <w:trPr>
          <w:trHeight w:val="490"/>
        </w:trPr>
        <w:tc>
          <w:tcPr>
            <w:tcW w:w="1657" w:type="dxa"/>
            <w:vMerge/>
            <w:shd w:val="clear" w:color="auto" w:fill="auto"/>
            <w:noWrap/>
            <w:vAlign w:val="center"/>
          </w:tcPr>
          <w:p w14:paraId="08E84A39" w14:textId="77777777" w:rsidR="004970B9" w:rsidRPr="00286D9F" w:rsidRDefault="004970B9" w:rsidP="002E500C">
            <w:pPr>
              <w:rPr>
                <w:rFonts w:ascii="Arial" w:eastAsia="Calibri" w:hAnsi="Arial" w:cs="Arial"/>
                <w:sz w:val="16"/>
                <w:szCs w:val="16"/>
                <w:lang w:val="en-CA"/>
              </w:rPr>
            </w:pPr>
          </w:p>
        </w:tc>
        <w:tc>
          <w:tcPr>
            <w:tcW w:w="7700" w:type="dxa"/>
            <w:shd w:val="clear" w:color="auto" w:fill="auto"/>
            <w:vAlign w:val="center"/>
          </w:tcPr>
          <w:p w14:paraId="52741CE3" w14:textId="77777777" w:rsidR="004970B9" w:rsidRPr="00286D9F" w:rsidRDefault="004970B9" w:rsidP="00E61616">
            <w:pPr>
              <w:rPr>
                <w:rFonts w:ascii="Arial" w:eastAsia="Calibri" w:hAnsi="Arial" w:cs="Arial"/>
                <w:sz w:val="16"/>
                <w:szCs w:val="16"/>
                <w:lang w:val="en-CA"/>
              </w:rPr>
            </w:pPr>
            <w:r w:rsidRPr="00286D9F">
              <w:rPr>
                <w:rFonts w:ascii="Arial" w:eastAsia="Calibri" w:hAnsi="Arial" w:cs="Arial"/>
                <w:i/>
                <w:sz w:val="16"/>
                <w:szCs w:val="16"/>
                <w:lang w:val="en-CA"/>
              </w:rPr>
              <w:t>4. Own our culture</w:t>
            </w:r>
            <w:r w:rsidRPr="00286D9F">
              <w:rPr>
                <w:rFonts w:ascii="Arial" w:eastAsia="Calibri" w:hAnsi="Arial" w:cs="Arial"/>
                <w:sz w:val="16"/>
                <w:szCs w:val="16"/>
                <w:lang w:val="en-CA"/>
              </w:rPr>
              <w:t xml:space="preserve"> </w:t>
            </w:r>
            <w:r w:rsidRPr="00286D9F">
              <w:rPr>
                <w:rFonts w:ascii="Arial" w:eastAsia="Calibri" w:hAnsi="Arial" w:cs="Arial"/>
                <w:sz w:val="16"/>
                <w:szCs w:val="16"/>
                <w:lang w:val="en-CA"/>
              </w:rPr>
              <w:br/>
            </w:r>
            <w:r w:rsidRPr="00286D9F">
              <w:rPr>
                <w:rFonts w:ascii="Arial" w:eastAsia="Calibri" w:hAnsi="Arial" w:cs="Arial"/>
                <w:spacing w:val="-4"/>
                <w:kern w:val="20"/>
                <w:sz w:val="16"/>
                <w:szCs w:val="16"/>
                <w:lang w:val="en-CA"/>
              </w:rPr>
              <w:t>Build and sustain a culture where colleagues view themselves as owners, generating new ideas, dealing with problems in a straightforward way, investing in open and candid conversations and working as teammates on challenges and opportunities.</w:t>
            </w:r>
            <w:r w:rsidRPr="00286D9F">
              <w:rPr>
                <w:rFonts w:ascii="Arial" w:eastAsia="Calibri" w:hAnsi="Arial" w:cs="Arial"/>
                <w:sz w:val="16"/>
                <w:szCs w:val="16"/>
                <w:lang w:val="en-CA"/>
              </w:rPr>
              <w:t xml:space="preserve"> </w:t>
            </w:r>
          </w:p>
        </w:tc>
      </w:tr>
      <w:tr w:rsidR="004970B9" w:rsidRPr="00286D9F" w14:paraId="0BD079D6" w14:textId="77777777" w:rsidTr="00BB3A5E">
        <w:trPr>
          <w:trHeight w:val="202"/>
        </w:trPr>
        <w:tc>
          <w:tcPr>
            <w:tcW w:w="1657" w:type="dxa"/>
            <w:shd w:val="clear" w:color="auto" w:fill="auto"/>
            <w:noWrap/>
            <w:vAlign w:val="center"/>
          </w:tcPr>
          <w:p w14:paraId="48BB5196" w14:textId="77777777" w:rsidR="004970B9" w:rsidRPr="00286D9F" w:rsidRDefault="004970B9" w:rsidP="002E500C">
            <w:pPr>
              <w:pStyle w:val="WUText"/>
              <w:spacing w:before="0" w:after="0"/>
              <w:jc w:val="left"/>
              <w:rPr>
                <w:rFonts w:ascii="Arial" w:hAnsi="Arial" w:cs="Arial"/>
                <w:b/>
                <w:noProof w:val="0"/>
                <w:sz w:val="16"/>
                <w:szCs w:val="16"/>
                <w:lang w:val="en-CA"/>
              </w:rPr>
            </w:pPr>
            <w:r w:rsidRPr="00286D9F">
              <w:rPr>
                <w:rFonts w:ascii="Arial" w:hAnsi="Arial" w:cs="Arial"/>
                <w:b/>
                <w:noProof w:val="0"/>
                <w:sz w:val="16"/>
                <w:szCs w:val="16"/>
                <w:lang w:val="en-CA"/>
              </w:rPr>
              <w:t>Our Purpose</w:t>
            </w:r>
          </w:p>
        </w:tc>
        <w:tc>
          <w:tcPr>
            <w:tcW w:w="7700" w:type="dxa"/>
            <w:shd w:val="clear" w:color="auto" w:fill="auto"/>
            <w:vAlign w:val="center"/>
          </w:tcPr>
          <w:p w14:paraId="5535CB98" w14:textId="7974348E" w:rsidR="004970B9" w:rsidRPr="00286D9F" w:rsidRDefault="004970B9" w:rsidP="00E61616">
            <w:pPr>
              <w:shd w:val="clear" w:color="auto" w:fill="FFFFFF"/>
              <w:rPr>
                <w:rFonts w:ascii="Arial" w:eastAsia="Calibri" w:hAnsi="Arial" w:cs="Arial"/>
                <w:sz w:val="16"/>
                <w:szCs w:val="16"/>
                <w:lang w:val="en-CA"/>
              </w:rPr>
            </w:pPr>
            <w:r w:rsidRPr="00286D9F">
              <w:rPr>
                <w:rFonts w:ascii="Arial" w:eastAsia="Calibri" w:hAnsi="Arial" w:cs="Arial"/>
                <w:sz w:val="16"/>
                <w:szCs w:val="16"/>
                <w:lang w:val="en-CA"/>
              </w:rPr>
              <w:t>Innovate to bring therapies to patients that significantly improve their lives</w:t>
            </w:r>
            <w:r w:rsidR="007C17F0" w:rsidRPr="00286D9F">
              <w:rPr>
                <w:rFonts w:ascii="Arial" w:eastAsia="Calibri" w:hAnsi="Arial" w:cs="Arial"/>
                <w:sz w:val="16"/>
                <w:szCs w:val="16"/>
                <w:lang w:val="en-CA"/>
              </w:rPr>
              <w:t>.</w:t>
            </w:r>
            <w:r w:rsidRPr="00286D9F">
              <w:rPr>
                <w:rFonts w:ascii="Arial" w:eastAsia="Calibri" w:hAnsi="Arial" w:cs="Arial"/>
                <w:sz w:val="16"/>
                <w:szCs w:val="16"/>
                <w:lang w:val="en-CA"/>
              </w:rPr>
              <w:t xml:space="preserve"> </w:t>
            </w:r>
          </w:p>
        </w:tc>
      </w:tr>
      <w:tr w:rsidR="004970B9" w:rsidRPr="00286D9F" w14:paraId="2B3399A5" w14:textId="77777777" w:rsidTr="00BB3A5E">
        <w:trPr>
          <w:trHeight w:val="175"/>
        </w:trPr>
        <w:tc>
          <w:tcPr>
            <w:tcW w:w="1657" w:type="dxa"/>
            <w:shd w:val="clear" w:color="auto" w:fill="auto"/>
            <w:noWrap/>
            <w:vAlign w:val="center"/>
          </w:tcPr>
          <w:p w14:paraId="57DEC4A2" w14:textId="77777777" w:rsidR="004970B9" w:rsidRPr="00286D9F" w:rsidRDefault="004970B9" w:rsidP="002E500C">
            <w:pPr>
              <w:pStyle w:val="WUText"/>
              <w:spacing w:before="0" w:after="0"/>
              <w:jc w:val="left"/>
              <w:rPr>
                <w:rFonts w:ascii="Arial" w:hAnsi="Arial" w:cs="Arial"/>
                <w:b/>
                <w:noProof w:val="0"/>
                <w:sz w:val="16"/>
                <w:szCs w:val="16"/>
                <w:lang w:val="en-CA"/>
              </w:rPr>
            </w:pPr>
            <w:r w:rsidRPr="00286D9F">
              <w:rPr>
                <w:rFonts w:ascii="Arial" w:hAnsi="Arial" w:cs="Arial"/>
                <w:b/>
                <w:noProof w:val="0"/>
                <w:sz w:val="16"/>
                <w:szCs w:val="16"/>
                <w:lang w:val="en-CA"/>
              </w:rPr>
              <w:t>Our Mission</w:t>
            </w:r>
          </w:p>
        </w:tc>
        <w:tc>
          <w:tcPr>
            <w:tcW w:w="7700" w:type="dxa"/>
            <w:shd w:val="clear" w:color="auto" w:fill="auto"/>
            <w:vAlign w:val="center"/>
          </w:tcPr>
          <w:p w14:paraId="182A560B" w14:textId="77777777" w:rsidR="004970B9" w:rsidRPr="00286D9F" w:rsidRDefault="004970B9" w:rsidP="00E61616">
            <w:pPr>
              <w:shd w:val="clear" w:color="auto" w:fill="FFFFFF"/>
              <w:rPr>
                <w:rFonts w:ascii="Arial" w:eastAsia="Calibri" w:hAnsi="Arial" w:cs="Arial"/>
                <w:sz w:val="16"/>
                <w:szCs w:val="16"/>
                <w:lang w:val="en-CA"/>
              </w:rPr>
            </w:pPr>
            <w:r w:rsidRPr="00286D9F">
              <w:rPr>
                <w:rFonts w:ascii="Arial" w:eastAsia="Calibri" w:hAnsi="Arial" w:cs="Arial"/>
                <w:sz w:val="16"/>
                <w:szCs w:val="16"/>
                <w:lang w:val="en-CA"/>
              </w:rPr>
              <w:t xml:space="preserve">To be the premier innovative biopharmaceutical company </w:t>
            </w:r>
          </w:p>
        </w:tc>
      </w:tr>
      <w:tr w:rsidR="004970B9" w:rsidRPr="00286D9F" w14:paraId="60E5CEFE" w14:textId="77777777" w:rsidTr="00BB3A5E">
        <w:trPr>
          <w:trHeight w:val="247"/>
        </w:trPr>
        <w:tc>
          <w:tcPr>
            <w:tcW w:w="1657" w:type="dxa"/>
            <w:shd w:val="clear" w:color="auto" w:fill="auto"/>
            <w:noWrap/>
            <w:vAlign w:val="center"/>
          </w:tcPr>
          <w:p w14:paraId="759A2AE0" w14:textId="77777777" w:rsidR="004970B9" w:rsidRPr="00286D9F" w:rsidRDefault="004970B9" w:rsidP="002E500C">
            <w:pPr>
              <w:pStyle w:val="WUText"/>
              <w:spacing w:before="0" w:after="0"/>
              <w:jc w:val="left"/>
              <w:rPr>
                <w:rFonts w:ascii="Arial" w:hAnsi="Arial" w:cs="Arial"/>
                <w:b/>
                <w:noProof w:val="0"/>
                <w:sz w:val="16"/>
                <w:szCs w:val="16"/>
                <w:lang w:val="en-CA"/>
              </w:rPr>
            </w:pPr>
            <w:r w:rsidRPr="00286D9F">
              <w:rPr>
                <w:rFonts w:ascii="Arial" w:hAnsi="Arial" w:cs="Arial"/>
                <w:b/>
                <w:noProof w:val="0"/>
                <w:sz w:val="16"/>
                <w:szCs w:val="16"/>
                <w:lang w:val="en-CA"/>
              </w:rPr>
              <w:t>Our Values</w:t>
            </w:r>
          </w:p>
        </w:tc>
        <w:tc>
          <w:tcPr>
            <w:tcW w:w="7700" w:type="dxa"/>
            <w:shd w:val="clear" w:color="auto" w:fill="auto"/>
            <w:vAlign w:val="center"/>
          </w:tcPr>
          <w:p w14:paraId="366BCEB5" w14:textId="77777777" w:rsidR="004970B9" w:rsidRPr="00286D9F" w:rsidRDefault="004970B9" w:rsidP="00E61616">
            <w:pPr>
              <w:pStyle w:val="WUSource"/>
              <w:spacing w:before="0" w:line="240" w:lineRule="auto"/>
              <w:jc w:val="left"/>
              <w:rPr>
                <w:rFonts w:ascii="Arial" w:eastAsia="Calibri" w:hAnsi="Arial" w:cs="Arial"/>
                <w:i w:val="0"/>
                <w:sz w:val="16"/>
                <w:szCs w:val="16"/>
                <w:lang w:val="en-CA"/>
              </w:rPr>
            </w:pPr>
            <w:r w:rsidRPr="00286D9F">
              <w:rPr>
                <w:rFonts w:ascii="Arial" w:eastAsia="Calibri" w:hAnsi="Arial" w:cs="Arial"/>
                <w:i w:val="0"/>
                <w:sz w:val="16"/>
                <w:szCs w:val="16"/>
                <w:lang w:val="en-CA"/>
              </w:rPr>
              <w:t xml:space="preserve">Customer focus, community, respect for people, performance, collaboration, leadership, integrity, quality, innovation </w:t>
            </w:r>
          </w:p>
        </w:tc>
      </w:tr>
    </w:tbl>
    <w:p w14:paraId="1258804C" w14:textId="77777777" w:rsidR="00010830" w:rsidRPr="00286D9F" w:rsidRDefault="00010830" w:rsidP="00010830">
      <w:pPr>
        <w:pStyle w:val="ExhibitText"/>
        <w:rPr>
          <w:sz w:val="12"/>
          <w:szCs w:val="12"/>
          <w:lang w:val="en-CA"/>
        </w:rPr>
      </w:pPr>
    </w:p>
    <w:p w14:paraId="6B42CCEC" w14:textId="377FCD4A" w:rsidR="004970B9" w:rsidRPr="00286D9F" w:rsidRDefault="004970B9" w:rsidP="00BB3A5E">
      <w:pPr>
        <w:pStyle w:val="Footnote"/>
        <w:rPr>
          <w:i/>
          <w:lang w:val="en-CA"/>
        </w:rPr>
      </w:pPr>
      <w:r w:rsidRPr="00286D9F">
        <w:rPr>
          <w:lang w:val="en-CA"/>
        </w:rPr>
        <w:t xml:space="preserve">Source: Pfizer, </w:t>
      </w:r>
      <w:r w:rsidRPr="00286D9F">
        <w:rPr>
          <w:rFonts w:eastAsia="Calibri"/>
          <w:lang w:val="en-CA"/>
        </w:rPr>
        <w:t>Proxy Statement for 2017 Annual Meeting of Shareholders,</w:t>
      </w:r>
      <w:r w:rsidRPr="00286D9F">
        <w:rPr>
          <w:lang w:val="en-CA"/>
        </w:rPr>
        <w:t xml:space="preserve"> April 26, 2018, accessed May 13, 2019, </w:t>
      </w:r>
      <w:r w:rsidR="000E70FA">
        <w:rPr>
          <w:lang w:val="en-CA"/>
        </w:rPr>
        <w:t>www</w:t>
      </w:r>
      <w:r w:rsidR="00FC0751" w:rsidRPr="00286D9F">
        <w:rPr>
          <w:lang w:val="en-CA"/>
        </w:rPr>
        <w:t>.pfizer.com/sites/default/files/presentation/2017_Proxy_Statement.pdf</w:t>
      </w:r>
      <w:r w:rsidRPr="00286D9F">
        <w:rPr>
          <w:lang w:val="en-CA"/>
        </w:rPr>
        <w:t>.</w:t>
      </w:r>
    </w:p>
    <w:p w14:paraId="7CBC7417" w14:textId="77777777" w:rsidR="004970B9" w:rsidRPr="00286D9F" w:rsidRDefault="004970B9" w:rsidP="00BB3A5E">
      <w:pPr>
        <w:pStyle w:val="ExhibitText"/>
        <w:rPr>
          <w:sz w:val="12"/>
          <w:szCs w:val="12"/>
          <w:lang w:val="en-CA"/>
        </w:rPr>
      </w:pPr>
    </w:p>
    <w:p w14:paraId="7C7516C8" w14:textId="06D85B79" w:rsidR="004970B9" w:rsidRDefault="004970B9" w:rsidP="00BB3A5E">
      <w:pPr>
        <w:pStyle w:val="ExhibitText"/>
        <w:rPr>
          <w:rFonts w:eastAsiaTheme="minorHAnsi" w:cstheme="minorBidi"/>
          <w:b/>
          <w:caps/>
          <w:sz w:val="12"/>
          <w:szCs w:val="12"/>
          <w:lang w:val="en-CA"/>
        </w:rPr>
      </w:pPr>
    </w:p>
    <w:p w14:paraId="3539D872" w14:textId="77777777" w:rsidR="00286D9F" w:rsidRPr="00286D9F" w:rsidRDefault="00286D9F" w:rsidP="00BB3A5E">
      <w:pPr>
        <w:pStyle w:val="ExhibitText"/>
        <w:rPr>
          <w:rFonts w:eastAsiaTheme="minorHAnsi" w:cstheme="minorBidi"/>
          <w:b/>
          <w:caps/>
          <w:sz w:val="12"/>
          <w:szCs w:val="12"/>
          <w:lang w:val="en-CA"/>
        </w:rPr>
      </w:pPr>
    </w:p>
    <w:p w14:paraId="32F7F73C" w14:textId="77777777" w:rsidR="004970B9" w:rsidRPr="00286D9F" w:rsidRDefault="004970B9" w:rsidP="00553B93">
      <w:pPr>
        <w:pStyle w:val="IVEYappTitel"/>
        <w:keepNext/>
        <w:keepLines/>
        <w:rPr>
          <w:noProof w:val="0"/>
          <w:lang w:val="en-CA"/>
        </w:rPr>
      </w:pPr>
      <w:r w:rsidRPr="00286D9F">
        <w:rPr>
          <w:noProof w:val="0"/>
          <w:lang w:val="en-CA"/>
        </w:rPr>
        <w:t xml:space="preserve">Exhibit 3: Stock prices of Pfizer compared to Novartis AND ROCHE, 2009–2018 [Close price, </w:t>
      </w:r>
      <w:r w:rsidRPr="00286D9F">
        <w:rPr>
          <w:noProof w:val="0"/>
          <w:color w:val="000000" w:themeColor="text1"/>
          <w:lang w:val="en-CA"/>
        </w:rPr>
        <w:t>$]</w:t>
      </w:r>
    </w:p>
    <w:p w14:paraId="6DD486F2" w14:textId="77777777" w:rsidR="004970B9" w:rsidRPr="00286D9F" w:rsidRDefault="004970B9" w:rsidP="00553B93">
      <w:pPr>
        <w:pStyle w:val="IVEYappTitel"/>
        <w:keepNext/>
        <w:keepLines/>
        <w:rPr>
          <w:b w:val="0"/>
          <w:noProof w:val="0"/>
          <w:sz w:val="12"/>
          <w:szCs w:val="12"/>
          <w:lang w:val="en-CA"/>
        </w:rPr>
      </w:pPr>
    </w:p>
    <w:p w14:paraId="0D49DD11" w14:textId="77777777" w:rsidR="004970B9" w:rsidRPr="00286D9F" w:rsidRDefault="004970B9" w:rsidP="00286D9F">
      <w:pPr>
        <w:pStyle w:val="Fussnote"/>
        <w:keepNext/>
        <w:keepLines/>
        <w:spacing w:after="120"/>
        <w:jc w:val="center"/>
        <w:rPr>
          <w:rFonts w:ascii="Arial" w:hAnsi="Arial" w:cs="Arial"/>
          <w:sz w:val="17"/>
          <w:szCs w:val="17"/>
          <w:lang w:val="en-CA"/>
        </w:rPr>
      </w:pPr>
      <w:r w:rsidRPr="00286D9F">
        <w:rPr>
          <w:noProof/>
          <w:lang w:val="en-CA" w:eastAsia="en-CA"/>
        </w:rPr>
        <w:drawing>
          <wp:inline distT="0" distB="0" distL="0" distR="0" wp14:anchorId="0BC150E6" wp14:editId="082F9A13">
            <wp:extent cx="5391302" cy="2282343"/>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5" w:name="_GoBack"/>
      <w:bookmarkEnd w:id="5"/>
    </w:p>
    <w:p w14:paraId="45594B9A" w14:textId="77777777" w:rsidR="00010830" w:rsidRPr="00286D9F" w:rsidRDefault="00010830" w:rsidP="00553B93">
      <w:pPr>
        <w:pStyle w:val="ExhibitText"/>
        <w:keepNext/>
        <w:keepLines/>
        <w:rPr>
          <w:sz w:val="12"/>
          <w:szCs w:val="12"/>
          <w:lang w:val="en-CA"/>
        </w:rPr>
      </w:pPr>
    </w:p>
    <w:p w14:paraId="7B1EF981" w14:textId="65804D14" w:rsidR="002E500C" w:rsidRPr="00286D9F" w:rsidRDefault="004970B9" w:rsidP="00553B93">
      <w:pPr>
        <w:pStyle w:val="Footnote"/>
        <w:keepNext/>
        <w:keepLines/>
        <w:rPr>
          <w:lang w:val="en-CA"/>
        </w:rPr>
      </w:pPr>
      <w:r w:rsidRPr="00286D9F">
        <w:rPr>
          <w:lang w:val="en-CA"/>
        </w:rPr>
        <w:t>Source</w:t>
      </w:r>
      <w:r w:rsidRPr="00286D9F">
        <w:rPr>
          <w:i/>
          <w:lang w:val="en-CA"/>
        </w:rPr>
        <w:t xml:space="preserve">: </w:t>
      </w:r>
      <w:r w:rsidRPr="00286D9F">
        <w:rPr>
          <w:lang w:val="en-CA"/>
        </w:rPr>
        <w:t>Novartis (NVS), Pfizer (PFE), Roche (</w:t>
      </w:r>
      <w:r w:rsidRPr="00286D9F">
        <w:rPr>
          <w:rFonts w:eastAsia="Calibri"/>
          <w:lang w:val="en-CA"/>
        </w:rPr>
        <w:t>RHHBY</w:t>
      </w:r>
      <w:r w:rsidRPr="00286D9F">
        <w:rPr>
          <w:lang w:val="en-CA"/>
        </w:rPr>
        <w:t>), “Stock Prices”, Yahoo</w:t>
      </w:r>
      <w:r w:rsidR="00D6145B" w:rsidRPr="00286D9F">
        <w:rPr>
          <w:lang w:val="en-CA"/>
        </w:rPr>
        <w:t>!</w:t>
      </w:r>
      <w:r w:rsidRPr="00286D9F">
        <w:rPr>
          <w:lang w:val="en-CA"/>
        </w:rPr>
        <w:t xml:space="preserve"> Finance, accessed May 13, 2019, </w:t>
      </w:r>
      <w:r w:rsidR="00690617" w:rsidRPr="00286D9F">
        <w:rPr>
          <w:lang w:val="en-CA"/>
        </w:rPr>
        <w:t>https://finance.yahoo.com/quote/PFE/history?p=PFE</w:t>
      </w:r>
      <w:r w:rsidR="008F5706" w:rsidRPr="00286D9F">
        <w:rPr>
          <w:lang w:val="en-CA"/>
        </w:rPr>
        <w:t>.</w:t>
      </w:r>
      <w:r w:rsidR="002E500C" w:rsidRPr="00286D9F">
        <w:rPr>
          <w:lang w:val="en-CA"/>
        </w:rPr>
        <w:br w:type="page"/>
      </w:r>
    </w:p>
    <w:p w14:paraId="5629091A" w14:textId="7D5584E6" w:rsidR="00B87DC0" w:rsidRPr="00286D9F" w:rsidRDefault="002E500C" w:rsidP="00BA638C">
      <w:pPr>
        <w:pStyle w:val="ExhibitHeading"/>
        <w:jc w:val="left"/>
        <w:rPr>
          <w:lang w:val="en-CA"/>
        </w:rPr>
      </w:pPr>
      <w:r w:rsidRPr="00286D9F">
        <w:rPr>
          <w:lang w:val="en-CA"/>
        </w:rPr>
        <w:lastRenderedPageBreak/>
        <w:t>ENDNOTES</w:t>
      </w:r>
      <w:bookmarkEnd w:id="3"/>
      <w:bookmarkEnd w:id="4"/>
    </w:p>
    <w:sectPr w:rsidR="00B87DC0" w:rsidRPr="00286D9F"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8EC69" w14:textId="77777777" w:rsidR="00465F04" w:rsidRDefault="00465F04" w:rsidP="00D75295">
      <w:r>
        <w:separator/>
      </w:r>
    </w:p>
  </w:endnote>
  <w:endnote w:type="continuationSeparator" w:id="0">
    <w:p w14:paraId="55C6C51F" w14:textId="77777777" w:rsidR="00465F04" w:rsidRDefault="00465F04" w:rsidP="00D75295">
      <w:r>
        <w:continuationSeparator/>
      </w:r>
    </w:p>
  </w:endnote>
  <w:endnote w:id="1">
    <w:p w14:paraId="4380E25F" w14:textId="2F6679AD" w:rsidR="00E12CB1" w:rsidRPr="00BA638C" w:rsidRDefault="00E12CB1" w:rsidP="004970B9">
      <w:pPr>
        <w:pStyle w:val="Footnote"/>
        <w:rPr>
          <w:sz w:val="16"/>
          <w:szCs w:val="16"/>
        </w:rPr>
      </w:pPr>
      <w:r w:rsidRPr="00BA638C">
        <w:rPr>
          <w:rStyle w:val="FussnoteZchn"/>
          <w:sz w:val="16"/>
          <w:szCs w:val="16"/>
          <w:vertAlign w:val="superscript"/>
        </w:rPr>
        <w:endnoteRef/>
      </w:r>
      <w:r w:rsidRPr="00BA638C">
        <w:rPr>
          <w:rStyle w:val="FussnoteZchn"/>
          <w:sz w:val="16"/>
          <w:szCs w:val="16"/>
        </w:rPr>
        <w:t xml:space="preserve"> </w:t>
      </w:r>
      <w:r w:rsidRPr="00BA638C">
        <w:rPr>
          <w:rStyle w:val="FussnoteZchn"/>
          <w:rFonts w:ascii="Arial" w:hAnsi="Arial" w:cs="Arial"/>
          <w:color w:val="000000"/>
          <w:sz w:val="16"/>
          <w:szCs w:val="16"/>
        </w:rPr>
        <w:t xml:space="preserve">The Economist, “Invent It, Swap It or </w:t>
      </w:r>
      <w:r>
        <w:rPr>
          <w:rStyle w:val="FussnoteZchn"/>
          <w:rFonts w:ascii="Arial" w:hAnsi="Arial" w:cs="Arial"/>
          <w:color w:val="000000"/>
          <w:sz w:val="16"/>
          <w:szCs w:val="16"/>
        </w:rPr>
        <w:t>B</w:t>
      </w:r>
      <w:r w:rsidRPr="00BA638C">
        <w:rPr>
          <w:rStyle w:val="FussnoteZchn"/>
          <w:rFonts w:ascii="Arial" w:hAnsi="Arial" w:cs="Arial"/>
          <w:color w:val="000000"/>
          <w:sz w:val="16"/>
          <w:szCs w:val="16"/>
        </w:rPr>
        <w:t xml:space="preserve">uy </w:t>
      </w:r>
      <w:r>
        <w:rPr>
          <w:rStyle w:val="FussnoteZchn"/>
          <w:rFonts w:ascii="Arial" w:hAnsi="Arial" w:cs="Arial"/>
          <w:color w:val="000000"/>
          <w:sz w:val="16"/>
          <w:szCs w:val="16"/>
        </w:rPr>
        <w:t>I</w:t>
      </w:r>
      <w:r w:rsidRPr="00BA638C">
        <w:rPr>
          <w:rStyle w:val="FussnoteZchn"/>
          <w:rFonts w:ascii="Arial" w:hAnsi="Arial" w:cs="Arial"/>
          <w:color w:val="000000"/>
          <w:sz w:val="16"/>
          <w:szCs w:val="16"/>
        </w:rPr>
        <w:t xml:space="preserve">t,” </w:t>
      </w:r>
      <w:r w:rsidRPr="00BA638C">
        <w:rPr>
          <w:i/>
          <w:sz w:val="16"/>
          <w:szCs w:val="16"/>
        </w:rPr>
        <w:t>Economist</w:t>
      </w:r>
      <w:r w:rsidRPr="00BA638C">
        <w:rPr>
          <w:sz w:val="16"/>
          <w:szCs w:val="16"/>
        </w:rPr>
        <w:t>, November 15, 2014, accessed May 29, 2019, www.economist.com/business/2014/11/15/invent-it-swap-it-or-buy-it</w:t>
      </w:r>
      <w:r w:rsidRPr="00553B93">
        <w:rPr>
          <w:rStyle w:val="Hyperlink"/>
          <w:color w:val="000000"/>
          <w:sz w:val="16"/>
          <w:szCs w:val="16"/>
          <w:u w:val="none"/>
        </w:rPr>
        <w:t>.</w:t>
      </w:r>
    </w:p>
  </w:endnote>
  <w:endnote w:id="2">
    <w:p w14:paraId="42792BDB" w14:textId="787D8D96" w:rsidR="00E12CB1" w:rsidRPr="00286D9F" w:rsidRDefault="00E12CB1" w:rsidP="004970B9">
      <w:pPr>
        <w:pStyle w:val="Footnote"/>
        <w:rPr>
          <w:spacing w:val="-4"/>
          <w:kern w:val="16"/>
          <w:sz w:val="16"/>
          <w:szCs w:val="16"/>
        </w:rPr>
      </w:pPr>
      <w:r w:rsidRPr="00286D9F">
        <w:rPr>
          <w:rStyle w:val="EndnoteReference"/>
          <w:spacing w:val="-4"/>
          <w:kern w:val="16"/>
          <w:sz w:val="16"/>
          <w:szCs w:val="16"/>
        </w:rPr>
        <w:endnoteRef/>
      </w:r>
      <w:r w:rsidRPr="00286D9F">
        <w:rPr>
          <w:spacing w:val="-4"/>
          <w:kern w:val="16"/>
          <w:sz w:val="16"/>
          <w:szCs w:val="16"/>
        </w:rPr>
        <w:t xml:space="preserve"> Deloitte, </w:t>
      </w:r>
      <w:r w:rsidRPr="00286D9F">
        <w:rPr>
          <w:i/>
          <w:spacing w:val="-4"/>
          <w:kern w:val="16"/>
          <w:sz w:val="16"/>
          <w:szCs w:val="16"/>
        </w:rPr>
        <w:t>Balancing the R&amp;D Equation: Measuring the Return from Pharmaceutical Innovation</w:t>
      </w:r>
      <w:r w:rsidRPr="00286D9F">
        <w:rPr>
          <w:spacing w:val="-4"/>
          <w:kern w:val="16"/>
          <w:sz w:val="16"/>
          <w:szCs w:val="16"/>
        </w:rPr>
        <w:t>, 2016, accessed May 13, 2019, www2.deloitte.com/content/dam/Deloitte/uk/Documents/life-sciences-health-care/deloitte-uk-measuring-the-return-pharma-report-2016.pdf.</w:t>
      </w:r>
    </w:p>
  </w:endnote>
  <w:endnote w:id="3">
    <w:p w14:paraId="4E911BA6" w14:textId="49C730FE" w:rsidR="00EF3D80" w:rsidRPr="00EF3D80" w:rsidRDefault="00EF3D80">
      <w:pPr>
        <w:pStyle w:val="EndnoteText"/>
        <w:rPr>
          <w:rFonts w:ascii="Arial" w:hAnsi="Arial" w:cs="Arial"/>
          <w:sz w:val="16"/>
          <w:szCs w:val="16"/>
          <w:lang w:val="en-US"/>
        </w:rPr>
      </w:pPr>
      <w:r w:rsidRPr="00EF3D80">
        <w:rPr>
          <w:rStyle w:val="EndnoteReference"/>
          <w:rFonts w:ascii="Arial" w:hAnsi="Arial" w:cs="Arial"/>
          <w:sz w:val="16"/>
          <w:szCs w:val="16"/>
        </w:rPr>
        <w:endnoteRef/>
      </w:r>
      <w:r w:rsidRPr="00EF3D80">
        <w:rPr>
          <w:rFonts w:ascii="Arial" w:hAnsi="Arial" w:cs="Arial"/>
          <w:sz w:val="16"/>
          <w:szCs w:val="16"/>
        </w:rPr>
        <w:t xml:space="preserve"> </w:t>
      </w:r>
      <w:r w:rsidRPr="00EF3D80">
        <w:rPr>
          <w:rFonts w:ascii="Arial" w:hAnsi="Arial" w:cs="Arial"/>
          <w:sz w:val="16"/>
          <w:szCs w:val="16"/>
          <w:lang w:val="en-US"/>
        </w:rPr>
        <w:t>All dollar amounts are in USD unless otherwise specified.</w:t>
      </w:r>
    </w:p>
  </w:endnote>
  <w:endnote w:id="4">
    <w:p w14:paraId="147805F1" w14:textId="5E71EBDA" w:rsidR="00E12CB1" w:rsidRPr="00BA638C" w:rsidRDefault="00E12CB1" w:rsidP="002E500C">
      <w:pPr>
        <w:pStyle w:val="CommentText"/>
        <w:rPr>
          <w:sz w:val="16"/>
          <w:szCs w:val="16"/>
        </w:rPr>
      </w:pPr>
      <w:r w:rsidRPr="00BA638C">
        <w:rPr>
          <w:rStyle w:val="EndnoteReference"/>
          <w:sz w:val="16"/>
          <w:szCs w:val="16"/>
        </w:rPr>
        <w:endnoteRef/>
      </w:r>
      <w:r w:rsidRPr="00BA638C">
        <w:rPr>
          <w:sz w:val="16"/>
          <w:szCs w:val="16"/>
        </w:rPr>
        <w:t xml:space="preserve"> </w:t>
      </w:r>
      <w:r>
        <w:rPr>
          <w:rStyle w:val="FussnoteZchn"/>
          <w:rFonts w:ascii="Arial" w:hAnsi="Arial" w:cs="Arial"/>
          <w:sz w:val="16"/>
          <w:szCs w:val="16"/>
        </w:rPr>
        <w:t>A p</w:t>
      </w:r>
      <w:r w:rsidRPr="00553B93">
        <w:rPr>
          <w:rStyle w:val="FussnoteZchn"/>
          <w:rFonts w:ascii="Arial" w:hAnsi="Arial" w:cs="Arial"/>
          <w:sz w:val="16"/>
          <w:szCs w:val="16"/>
        </w:rPr>
        <w:t>atent</w:t>
      </w:r>
      <w:r>
        <w:rPr>
          <w:rStyle w:val="FussnoteZchn"/>
          <w:rFonts w:ascii="Arial" w:hAnsi="Arial" w:cs="Arial"/>
          <w:sz w:val="16"/>
          <w:szCs w:val="16"/>
        </w:rPr>
        <w:t xml:space="preserve"> c</w:t>
      </w:r>
      <w:r w:rsidRPr="00553B93">
        <w:rPr>
          <w:rStyle w:val="FussnoteZchn"/>
          <w:rFonts w:ascii="Arial" w:hAnsi="Arial" w:cs="Arial"/>
          <w:sz w:val="16"/>
          <w:szCs w:val="16"/>
        </w:rPr>
        <w:t>liff</w:t>
      </w:r>
      <w:r>
        <w:rPr>
          <w:rStyle w:val="FussnoteZchn"/>
          <w:rFonts w:ascii="Arial" w:hAnsi="Arial" w:cs="Arial"/>
          <w:sz w:val="16"/>
          <w:szCs w:val="16"/>
        </w:rPr>
        <w:t xml:space="preserve"> meant that t</w:t>
      </w:r>
      <w:r w:rsidRPr="00BA638C">
        <w:rPr>
          <w:rStyle w:val="FussnoteZchn"/>
          <w:rFonts w:ascii="Arial" w:hAnsi="Arial" w:cs="Arial"/>
          <w:sz w:val="16"/>
          <w:szCs w:val="16"/>
        </w:rPr>
        <w:t>he company’s sales numbers "f</w:t>
      </w:r>
      <w:r>
        <w:rPr>
          <w:rStyle w:val="FussnoteZchn"/>
          <w:rFonts w:ascii="Arial" w:hAnsi="Arial" w:cs="Arial"/>
          <w:sz w:val="16"/>
          <w:szCs w:val="16"/>
        </w:rPr>
        <w:t>e</w:t>
      </w:r>
      <w:r w:rsidRPr="00BA638C">
        <w:rPr>
          <w:rStyle w:val="FussnoteZchn"/>
          <w:rFonts w:ascii="Arial" w:hAnsi="Arial" w:cs="Arial"/>
          <w:sz w:val="16"/>
          <w:szCs w:val="16"/>
        </w:rPr>
        <w:t>ll off a</w:t>
      </w:r>
      <w:r>
        <w:rPr>
          <w:rStyle w:val="FussnoteZchn"/>
          <w:rFonts w:ascii="Arial" w:hAnsi="Arial" w:cs="Arial"/>
          <w:sz w:val="16"/>
          <w:szCs w:val="16"/>
        </w:rPr>
        <w:t xml:space="preserve"> </w:t>
      </w:r>
      <w:r w:rsidRPr="00BA638C">
        <w:rPr>
          <w:rStyle w:val="FussnoteZchn"/>
          <w:rFonts w:ascii="Arial" w:hAnsi="Arial" w:cs="Arial"/>
          <w:sz w:val="16"/>
          <w:szCs w:val="16"/>
        </w:rPr>
        <w:t xml:space="preserve">cliff" as one or more established products </w:t>
      </w:r>
      <w:r>
        <w:rPr>
          <w:rStyle w:val="FussnoteZchn"/>
          <w:rFonts w:ascii="Arial" w:hAnsi="Arial" w:cs="Arial"/>
          <w:sz w:val="16"/>
          <w:szCs w:val="16"/>
        </w:rPr>
        <w:t>went</w:t>
      </w:r>
      <w:r w:rsidRPr="00BA638C">
        <w:rPr>
          <w:rStyle w:val="FussnoteZchn"/>
          <w:rFonts w:ascii="Arial" w:hAnsi="Arial" w:cs="Arial"/>
          <w:sz w:val="16"/>
          <w:szCs w:val="16"/>
        </w:rPr>
        <w:t xml:space="preserve"> off-patent and other companies (i.e., generics producers) c</w:t>
      </w:r>
      <w:r>
        <w:rPr>
          <w:rStyle w:val="FussnoteZchn"/>
          <w:rFonts w:ascii="Arial" w:hAnsi="Arial" w:cs="Arial"/>
          <w:sz w:val="16"/>
          <w:szCs w:val="16"/>
        </w:rPr>
        <w:t>ould</w:t>
      </w:r>
      <w:r w:rsidRPr="00BA638C">
        <w:rPr>
          <w:rStyle w:val="FussnoteZchn"/>
          <w:rFonts w:ascii="Arial" w:hAnsi="Arial" w:cs="Arial"/>
          <w:sz w:val="16"/>
          <w:szCs w:val="16"/>
        </w:rPr>
        <w:t xml:space="preserve"> produce them for cheaper prices.</w:t>
      </w:r>
    </w:p>
  </w:endnote>
  <w:endnote w:id="5">
    <w:p w14:paraId="3D944621" w14:textId="34D6DFC4" w:rsidR="00E12CB1" w:rsidRPr="00BA638C" w:rsidRDefault="00E12CB1" w:rsidP="00D15CD5">
      <w:pPr>
        <w:pStyle w:val="Footnote"/>
        <w:rPr>
          <w:sz w:val="16"/>
          <w:szCs w:val="16"/>
        </w:rPr>
      </w:pPr>
      <w:r w:rsidRPr="00BA638C">
        <w:rPr>
          <w:rStyle w:val="FussnoteZchn"/>
          <w:sz w:val="16"/>
          <w:szCs w:val="16"/>
          <w:vertAlign w:val="superscript"/>
        </w:rPr>
        <w:endnoteRef/>
      </w:r>
      <w:r w:rsidRPr="00BA638C">
        <w:rPr>
          <w:rStyle w:val="FussnoteZchn"/>
          <w:sz w:val="16"/>
          <w:szCs w:val="16"/>
        </w:rPr>
        <w:t xml:space="preserve"> </w:t>
      </w:r>
      <w:r w:rsidRPr="00BA638C">
        <w:rPr>
          <w:sz w:val="16"/>
          <w:szCs w:val="16"/>
        </w:rPr>
        <w:t xml:space="preserve">This </w:t>
      </w:r>
      <w:r>
        <w:rPr>
          <w:sz w:val="16"/>
          <w:szCs w:val="16"/>
        </w:rPr>
        <w:t>wa</w:t>
      </w:r>
      <w:r w:rsidRPr="00BA638C">
        <w:rPr>
          <w:sz w:val="16"/>
          <w:szCs w:val="16"/>
        </w:rPr>
        <w:t>s gaining steam as regulatory pressures increase</w:t>
      </w:r>
      <w:r>
        <w:rPr>
          <w:sz w:val="16"/>
          <w:szCs w:val="16"/>
        </w:rPr>
        <w:t>d</w:t>
      </w:r>
      <w:r w:rsidRPr="00BA638C">
        <w:rPr>
          <w:sz w:val="16"/>
          <w:szCs w:val="16"/>
        </w:rPr>
        <w:t>, R&amp;D productivity diminishe</w:t>
      </w:r>
      <w:r>
        <w:rPr>
          <w:sz w:val="16"/>
          <w:szCs w:val="16"/>
        </w:rPr>
        <w:t>d,</w:t>
      </w:r>
      <w:r w:rsidRPr="00BA638C">
        <w:rPr>
          <w:sz w:val="16"/>
          <w:szCs w:val="16"/>
        </w:rPr>
        <w:t xml:space="preserve"> and the number of M&amp;</w:t>
      </w:r>
      <w:proofErr w:type="gramStart"/>
      <w:r w:rsidRPr="00BA638C">
        <w:rPr>
          <w:sz w:val="16"/>
          <w:szCs w:val="16"/>
        </w:rPr>
        <w:t>As</w:t>
      </w:r>
      <w:proofErr w:type="gramEnd"/>
      <w:r w:rsidRPr="00BA638C">
        <w:rPr>
          <w:sz w:val="16"/>
          <w:szCs w:val="16"/>
        </w:rPr>
        <w:t xml:space="preserve"> gr</w:t>
      </w:r>
      <w:r>
        <w:rPr>
          <w:sz w:val="16"/>
          <w:szCs w:val="16"/>
        </w:rPr>
        <w:t>ew</w:t>
      </w:r>
      <w:r w:rsidRPr="00BA638C">
        <w:rPr>
          <w:sz w:val="16"/>
          <w:szCs w:val="16"/>
        </w:rPr>
        <w:t>.</w:t>
      </w:r>
    </w:p>
  </w:endnote>
  <w:endnote w:id="6">
    <w:p w14:paraId="7C532418" w14:textId="7DF852FF" w:rsidR="00E12CB1" w:rsidRPr="00BA638C" w:rsidRDefault="00E12CB1" w:rsidP="004970B9">
      <w:pPr>
        <w:pStyle w:val="Footnote"/>
        <w:rPr>
          <w:sz w:val="16"/>
          <w:szCs w:val="16"/>
        </w:rPr>
      </w:pPr>
      <w:r w:rsidRPr="00BA638C">
        <w:rPr>
          <w:rStyle w:val="EndnoteReference"/>
          <w:sz w:val="16"/>
          <w:szCs w:val="16"/>
        </w:rPr>
        <w:endnoteRef/>
      </w:r>
      <w:r w:rsidRPr="00BA638C">
        <w:rPr>
          <w:sz w:val="16"/>
          <w:szCs w:val="16"/>
        </w:rPr>
        <w:t xml:space="preserve"> Before a drug </w:t>
      </w:r>
      <w:r>
        <w:rPr>
          <w:sz w:val="16"/>
          <w:szCs w:val="16"/>
        </w:rPr>
        <w:t>could</w:t>
      </w:r>
      <w:r w:rsidRPr="00BA638C">
        <w:rPr>
          <w:sz w:val="16"/>
          <w:szCs w:val="16"/>
        </w:rPr>
        <w:t xml:space="preserve"> be sold to the public, it </w:t>
      </w:r>
      <w:r>
        <w:rPr>
          <w:sz w:val="16"/>
          <w:szCs w:val="16"/>
        </w:rPr>
        <w:t>had to</w:t>
      </w:r>
      <w:r w:rsidRPr="00BA638C">
        <w:rPr>
          <w:sz w:val="16"/>
          <w:szCs w:val="16"/>
        </w:rPr>
        <w:t xml:space="preserve"> undergo various processes. Hence, a company’s “drug pipeline” contain</w:t>
      </w:r>
      <w:r>
        <w:rPr>
          <w:sz w:val="16"/>
          <w:szCs w:val="16"/>
        </w:rPr>
        <w:t>ed</w:t>
      </w:r>
      <w:r w:rsidRPr="00BA638C">
        <w:rPr>
          <w:sz w:val="16"/>
          <w:szCs w:val="16"/>
        </w:rPr>
        <w:t xml:space="preserve"> all drugs which they ha</w:t>
      </w:r>
      <w:r>
        <w:rPr>
          <w:sz w:val="16"/>
          <w:szCs w:val="16"/>
        </w:rPr>
        <w:t xml:space="preserve">d </w:t>
      </w:r>
      <w:r w:rsidRPr="00BA638C">
        <w:rPr>
          <w:sz w:val="16"/>
          <w:szCs w:val="16"/>
        </w:rPr>
        <w:t xml:space="preserve">discovered or developed. It </w:t>
      </w:r>
      <w:r>
        <w:rPr>
          <w:sz w:val="16"/>
          <w:szCs w:val="16"/>
        </w:rPr>
        <w:t>wa</w:t>
      </w:r>
      <w:r w:rsidRPr="00BA638C">
        <w:rPr>
          <w:sz w:val="16"/>
          <w:szCs w:val="16"/>
        </w:rPr>
        <w:t>s a critical predictor of a pharmaceutical company’s long-term success.</w:t>
      </w:r>
      <w:r w:rsidRPr="00BF1BFE">
        <w:rPr>
          <w:sz w:val="16"/>
          <w:szCs w:val="16"/>
        </w:rPr>
        <w:t xml:space="preserve"> </w:t>
      </w:r>
      <w:r w:rsidRPr="00BA638C">
        <w:rPr>
          <w:sz w:val="16"/>
          <w:szCs w:val="16"/>
        </w:rPr>
        <w:t xml:space="preserve">The acquisition of </w:t>
      </w:r>
      <w:proofErr w:type="spellStart"/>
      <w:r w:rsidRPr="00BA638C">
        <w:rPr>
          <w:sz w:val="16"/>
          <w:szCs w:val="16"/>
        </w:rPr>
        <w:t>Hospira</w:t>
      </w:r>
      <w:proofErr w:type="spellEnd"/>
      <w:r w:rsidRPr="00BA638C">
        <w:rPr>
          <w:sz w:val="16"/>
          <w:szCs w:val="16"/>
        </w:rPr>
        <w:t xml:space="preserve"> and </w:t>
      </w:r>
      <w:proofErr w:type="spellStart"/>
      <w:r w:rsidRPr="00BA638C">
        <w:rPr>
          <w:sz w:val="16"/>
          <w:szCs w:val="16"/>
        </w:rPr>
        <w:t>Medivation</w:t>
      </w:r>
      <w:proofErr w:type="spellEnd"/>
      <w:r w:rsidRPr="00BA638C">
        <w:rPr>
          <w:sz w:val="16"/>
          <w:szCs w:val="16"/>
        </w:rPr>
        <w:t>, for example, added $3.1 billion to Pfizer’s global revenue.</w:t>
      </w:r>
    </w:p>
  </w:endnote>
  <w:endnote w:id="7">
    <w:p w14:paraId="42468409" w14:textId="3A94F959" w:rsidR="00E12CB1" w:rsidRPr="00BA638C" w:rsidRDefault="00E12CB1" w:rsidP="004970B9">
      <w:pPr>
        <w:pStyle w:val="Footnote"/>
        <w:rPr>
          <w:sz w:val="16"/>
          <w:szCs w:val="16"/>
        </w:rPr>
      </w:pPr>
      <w:r w:rsidRPr="00BA638C">
        <w:rPr>
          <w:rStyle w:val="EndnoteReference"/>
          <w:sz w:val="16"/>
          <w:szCs w:val="16"/>
        </w:rPr>
        <w:endnoteRef/>
      </w:r>
      <w:r w:rsidRPr="00BA638C">
        <w:rPr>
          <w:sz w:val="16"/>
          <w:szCs w:val="16"/>
        </w:rPr>
        <w:t xml:space="preserve"> </w:t>
      </w:r>
      <w:proofErr w:type="spellStart"/>
      <w:r w:rsidRPr="00BA638C">
        <w:rPr>
          <w:sz w:val="16"/>
          <w:szCs w:val="16"/>
        </w:rPr>
        <w:t>Sy</w:t>
      </w:r>
      <w:proofErr w:type="spellEnd"/>
      <w:r w:rsidRPr="00BA638C">
        <w:rPr>
          <w:sz w:val="16"/>
          <w:szCs w:val="16"/>
        </w:rPr>
        <w:t xml:space="preserve"> Mukherjee, “These </w:t>
      </w:r>
      <w:proofErr w:type="gramStart"/>
      <w:r>
        <w:rPr>
          <w:sz w:val="16"/>
          <w:szCs w:val="16"/>
        </w:rPr>
        <w:t>W</w:t>
      </w:r>
      <w:r w:rsidRPr="00BA638C">
        <w:rPr>
          <w:sz w:val="16"/>
          <w:szCs w:val="16"/>
        </w:rPr>
        <w:t>ere</w:t>
      </w:r>
      <w:proofErr w:type="gramEnd"/>
      <w:r w:rsidRPr="00BA638C">
        <w:rPr>
          <w:sz w:val="16"/>
          <w:szCs w:val="16"/>
        </w:rPr>
        <w:t xml:space="preserve"> the 10 Biggest Pharmaceutical Deals of 2016,” </w:t>
      </w:r>
      <w:r w:rsidRPr="00BA638C">
        <w:rPr>
          <w:i/>
          <w:sz w:val="16"/>
          <w:szCs w:val="16"/>
        </w:rPr>
        <w:t>Fortune</w:t>
      </w:r>
      <w:r w:rsidRPr="00BA638C">
        <w:rPr>
          <w:sz w:val="16"/>
          <w:szCs w:val="16"/>
        </w:rPr>
        <w:t>, February 24, 2017, accessed May 29, 2019, http://fortune.com/2017/02/24/biggest-biopharma-deals-2016/.</w:t>
      </w:r>
    </w:p>
  </w:endnote>
  <w:endnote w:id="8">
    <w:p w14:paraId="264421F1" w14:textId="4D6A4D6A" w:rsidR="00E12CB1" w:rsidRPr="00BA638C" w:rsidRDefault="00E12CB1" w:rsidP="002E500C">
      <w:pPr>
        <w:pStyle w:val="Footnote"/>
        <w:rPr>
          <w:rStyle w:val="FootnoteChar"/>
          <w:sz w:val="16"/>
          <w:szCs w:val="16"/>
        </w:rPr>
      </w:pPr>
      <w:r w:rsidRPr="00BA638C">
        <w:rPr>
          <w:rStyle w:val="EndnoteReference"/>
          <w:sz w:val="16"/>
          <w:szCs w:val="16"/>
        </w:rPr>
        <w:endnoteRef/>
      </w:r>
      <w:r w:rsidRPr="00BA638C">
        <w:rPr>
          <w:sz w:val="16"/>
          <w:szCs w:val="16"/>
        </w:rPr>
        <w:t xml:space="preserve"> </w:t>
      </w:r>
      <w:r w:rsidRPr="00BA638C">
        <w:rPr>
          <w:rStyle w:val="FootnoteChar"/>
          <w:sz w:val="16"/>
          <w:szCs w:val="16"/>
        </w:rPr>
        <w:t xml:space="preserve">The Economist, “FDA Wants </w:t>
      </w:r>
      <w:r>
        <w:rPr>
          <w:rStyle w:val="FootnoteChar"/>
          <w:sz w:val="16"/>
          <w:szCs w:val="16"/>
        </w:rPr>
        <w:t>t</w:t>
      </w:r>
      <w:r w:rsidRPr="00BA638C">
        <w:rPr>
          <w:rStyle w:val="FootnoteChar"/>
          <w:sz w:val="16"/>
          <w:szCs w:val="16"/>
        </w:rPr>
        <w:t xml:space="preserve">o Help Unproductive Drug Makers,” </w:t>
      </w:r>
      <w:r w:rsidRPr="00553B93">
        <w:rPr>
          <w:rStyle w:val="FootnoteChar"/>
          <w:i/>
          <w:sz w:val="16"/>
          <w:szCs w:val="16"/>
        </w:rPr>
        <w:t>Economist</w:t>
      </w:r>
      <w:r w:rsidRPr="00BA638C">
        <w:rPr>
          <w:rStyle w:val="FootnoteChar"/>
          <w:sz w:val="16"/>
          <w:szCs w:val="16"/>
        </w:rPr>
        <w:t>, Ma</w:t>
      </w:r>
      <w:r>
        <w:rPr>
          <w:rStyle w:val="FootnoteChar"/>
          <w:sz w:val="16"/>
          <w:szCs w:val="16"/>
        </w:rPr>
        <w:t>rch</w:t>
      </w:r>
      <w:r w:rsidRPr="00BA638C">
        <w:rPr>
          <w:rStyle w:val="FootnoteChar"/>
          <w:sz w:val="16"/>
          <w:szCs w:val="16"/>
        </w:rPr>
        <w:t xml:space="preserve"> 22, 2018, accessed May 29, 2019, </w:t>
      </w:r>
      <w:r w:rsidRPr="00BA638C">
        <w:rPr>
          <w:sz w:val="16"/>
          <w:szCs w:val="16"/>
        </w:rPr>
        <w:t>www.economist.com/business/2018/03/22/fda-wants-to-help-unproductive-drugmakers</w:t>
      </w:r>
      <w:r w:rsidRPr="00BA638C">
        <w:rPr>
          <w:rStyle w:val="FootnoteChar"/>
          <w:sz w:val="16"/>
          <w:szCs w:val="16"/>
        </w:rPr>
        <w:t>.</w:t>
      </w:r>
    </w:p>
  </w:endnote>
  <w:endnote w:id="9">
    <w:p w14:paraId="1ED6D7C5" w14:textId="064B8936" w:rsidR="00E12CB1" w:rsidRPr="00BA638C" w:rsidRDefault="00E12CB1">
      <w:pPr>
        <w:pStyle w:val="Footnote"/>
        <w:rPr>
          <w:sz w:val="16"/>
          <w:szCs w:val="16"/>
        </w:rPr>
      </w:pPr>
      <w:r w:rsidRPr="00BA638C">
        <w:rPr>
          <w:sz w:val="16"/>
          <w:szCs w:val="16"/>
          <w:vertAlign w:val="superscript"/>
        </w:rPr>
        <w:endnoteRef/>
      </w:r>
      <w:r w:rsidRPr="00BA638C">
        <w:rPr>
          <w:sz w:val="16"/>
          <w:szCs w:val="16"/>
        </w:rPr>
        <w:t xml:space="preserve"> Anna Prior, “Pfizer to Buy Baxter's Vaccines for USD 635 M</w:t>
      </w:r>
      <w:r>
        <w:rPr>
          <w:sz w:val="16"/>
          <w:szCs w:val="16"/>
        </w:rPr>
        <w:t>illion</w:t>
      </w:r>
      <w:r w:rsidRPr="00BA638C">
        <w:rPr>
          <w:sz w:val="16"/>
          <w:szCs w:val="16"/>
        </w:rPr>
        <w:t xml:space="preserve">,” </w:t>
      </w:r>
      <w:r>
        <w:rPr>
          <w:sz w:val="16"/>
          <w:szCs w:val="16"/>
        </w:rPr>
        <w:t xml:space="preserve">Market Watch, </w:t>
      </w:r>
      <w:r w:rsidRPr="00553B93">
        <w:rPr>
          <w:sz w:val="16"/>
          <w:szCs w:val="16"/>
        </w:rPr>
        <w:t>July 30, 2014, accessed May 29, 2019, www.marketwatch.com/story/pfizer-to-buy-baxters-vaccines-for-635-million-2014-07-30</w:t>
      </w:r>
    </w:p>
  </w:endnote>
  <w:endnote w:id="10">
    <w:p w14:paraId="33206367" w14:textId="7FD4EAEC" w:rsidR="00E12CB1" w:rsidRPr="00BA638C" w:rsidRDefault="00E12CB1" w:rsidP="004970B9">
      <w:pPr>
        <w:pStyle w:val="Footnote"/>
        <w:rPr>
          <w:sz w:val="16"/>
          <w:szCs w:val="16"/>
        </w:rPr>
      </w:pPr>
      <w:r w:rsidRPr="00BA638C">
        <w:rPr>
          <w:spacing w:val="-4"/>
          <w:kern w:val="17"/>
          <w:sz w:val="16"/>
          <w:szCs w:val="16"/>
          <w:vertAlign w:val="superscript"/>
        </w:rPr>
        <w:endnoteRef/>
      </w:r>
      <w:r w:rsidRPr="00BA638C">
        <w:rPr>
          <w:spacing w:val="-4"/>
          <w:kern w:val="17"/>
          <w:sz w:val="16"/>
          <w:szCs w:val="16"/>
        </w:rPr>
        <w:t xml:space="preserve"> Elizabeth </w:t>
      </w:r>
      <w:proofErr w:type="spellStart"/>
      <w:r w:rsidRPr="00BA638C">
        <w:rPr>
          <w:spacing w:val="-4"/>
          <w:kern w:val="17"/>
          <w:sz w:val="16"/>
          <w:szCs w:val="16"/>
        </w:rPr>
        <w:t>Dilts</w:t>
      </w:r>
      <w:proofErr w:type="spellEnd"/>
      <w:r w:rsidRPr="00BA638C">
        <w:rPr>
          <w:spacing w:val="-4"/>
          <w:kern w:val="17"/>
          <w:sz w:val="16"/>
          <w:szCs w:val="16"/>
        </w:rPr>
        <w:t xml:space="preserve">, “Pfizer </w:t>
      </w:r>
      <w:r>
        <w:rPr>
          <w:spacing w:val="-4"/>
          <w:kern w:val="17"/>
          <w:sz w:val="16"/>
          <w:szCs w:val="16"/>
        </w:rPr>
        <w:t>E</w:t>
      </w:r>
      <w:r w:rsidRPr="00BA638C">
        <w:rPr>
          <w:spacing w:val="-4"/>
          <w:kern w:val="17"/>
          <w:sz w:val="16"/>
          <w:szCs w:val="16"/>
        </w:rPr>
        <w:t xml:space="preserve">nds </w:t>
      </w:r>
      <w:r>
        <w:rPr>
          <w:spacing w:val="-4"/>
          <w:kern w:val="17"/>
          <w:sz w:val="16"/>
          <w:szCs w:val="16"/>
        </w:rPr>
        <w:t>R</w:t>
      </w:r>
      <w:r w:rsidRPr="00BA638C">
        <w:rPr>
          <w:spacing w:val="-4"/>
          <w:kern w:val="17"/>
          <w:sz w:val="16"/>
          <w:szCs w:val="16"/>
        </w:rPr>
        <w:t>esearch for new Alzheimer</w:t>
      </w:r>
      <w:r>
        <w:rPr>
          <w:spacing w:val="-4"/>
          <w:kern w:val="17"/>
          <w:sz w:val="16"/>
          <w:szCs w:val="16"/>
        </w:rPr>
        <w:t>’</w:t>
      </w:r>
      <w:r w:rsidRPr="00BA638C">
        <w:rPr>
          <w:spacing w:val="-4"/>
          <w:kern w:val="17"/>
          <w:sz w:val="16"/>
          <w:szCs w:val="16"/>
        </w:rPr>
        <w:t>s, Parkinson</w:t>
      </w:r>
      <w:r>
        <w:rPr>
          <w:spacing w:val="-4"/>
          <w:kern w:val="17"/>
          <w:sz w:val="16"/>
          <w:szCs w:val="16"/>
        </w:rPr>
        <w:t>’</w:t>
      </w:r>
      <w:r w:rsidRPr="00BA638C">
        <w:rPr>
          <w:spacing w:val="-4"/>
          <w:kern w:val="17"/>
          <w:sz w:val="16"/>
          <w:szCs w:val="16"/>
        </w:rPr>
        <w:t xml:space="preserve">s </w:t>
      </w:r>
      <w:r>
        <w:rPr>
          <w:spacing w:val="-4"/>
          <w:kern w:val="17"/>
          <w:sz w:val="16"/>
          <w:szCs w:val="16"/>
        </w:rPr>
        <w:t>D</w:t>
      </w:r>
      <w:r w:rsidRPr="00BA638C">
        <w:rPr>
          <w:spacing w:val="-4"/>
          <w:kern w:val="17"/>
          <w:sz w:val="16"/>
          <w:szCs w:val="16"/>
        </w:rPr>
        <w:t>rugs,” Reuters, January 7, 2018, accessed May 13, 2019,</w:t>
      </w:r>
      <w:r>
        <w:rPr>
          <w:spacing w:val="-4"/>
          <w:kern w:val="17"/>
          <w:sz w:val="16"/>
          <w:szCs w:val="16"/>
        </w:rPr>
        <w:t xml:space="preserve"> </w:t>
      </w:r>
      <w:r w:rsidRPr="00BA638C">
        <w:rPr>
          <w:spacing w:val="-4"/>
          <w:kern w:val="17"/>
          <w:sz w:val="16"/>
          <w:szCs w:val="16"/>
        </w:rPr>
        <w:t>www.reuters.com/article/us-pfizer-alzheimers/pfizer-ends-research-for-new-alzheimers-parkinsons-drugs-idUSKBN1EW0TN.</w:t>
      </w:r>
      <w:r w:rsidRPr="00BA638C">
        <w:rPr>
          <w:sz w:val="16"/>
          <w:szCs w:val="16"/>
        </w:rPr>
        <w:t xml:space="preserve"> </w:t>
      </w:r>
    </w:p>
  </w:endnote>
  <w:endnote w:id="11">
    <w:p w14:paraId="7C924127" w14:textId="06B64981" w:rsidR="00E12CB1" w:rsidRPr="00BA638C" w:rsidRDefault="00E12CB1" w:rsidP="004970B9">
      <w:pPr>
        <w:pStyle w:val="Footnote"/>
        <w:rPr>
          <w:sz w:val="16"/>
          <w:szCs w:val="16"/>
        </w:rPr>
      </w:pPr>
      <w:r w:rsidRPr="00BA638C">
        <w:rPr>
          <w:sz w:val="16"/>
          <w:szCs w:val="16"/>
          <w:vertAlign w:val="superscript"/>
        </w:rPr>
        <w:endnoteRef/>
      </w:r>
      <w:r w:rsidRPr="00BA638C">
        <w:rPr>
          <w:sz w:val="16"/>
          <w:szCs w:val="16"/>
        </w:rPr>
        <w:t xml:space="preserve"> The Economist, op. cit</w:t>
      </w:r>
      <w:r>
        <w:rPr>
          <w:sz w:val="16"/>
          <w:szCs w:val="16"/>
        </w:rPr>
        <w:t>.</w:t>
      </w:r>
      <w:r w:rsidRPr="00BA638C">
        <w:rPr>
          <w:sz w:val="16"/>
          <w:szCs w:val="16"/>
        </w:rPr>
        <w:t xml:space="preserve"> </w:t>
      </w:r>
    </w:p>
  </w:endnote>
  <w:endnote w:id="12">
    <w:p w14:paraId="11DA741A" w14:textId="72150775" w:rsidR="00E12CB1" w:rsidRPr="00BA638C" w:rsidRDefault="00E12CB1" w:rsidP="004970B9">
      <w:pPr>
        <w:pStyle w:val="Footnote"/>
        <w:rPr>
          <w:sz w:val="16"/>
          <w:szCs w:val="16"/>
        </w:rPr>
      </w:pPr>
      <w:r w:rsidRPr="00BA638C">
        <w:rPr>
          <w:rStyle w:val="EndnoteReference"/>
          <w:sz w:val="16"/>
          <w:szCs w:val="16"/>
        </w:rPr>
        <w:endnoteRef/>
      </w:r>
      <w:r w:rsidRPr="00BA638C">
        <w:rPr>
          <w:sz w:val="16"/>
          <w:szCs w:val="16"/>
        </w:rPr>
        <w:t xml:space="preserve"> Organic growth = growing from within by focusing on internal R&amp;D.</w:t>
      </w:r>
    </w:p>
  </w:endnote>
  <w:endnote w:id="13">
    <w:p w14:paraId="61041B93" w14:textId="01503DB4" w:rsidR="00E12CB1" w:rsidRPr="00BA638C" w:rsidRDefault="00E12CB1" w:rsidP="00527088">
      <w:pPr>
        <w:pStyle w:val="EndnoteText"/>
        <w:rPr>
          <w:rFonts w:ascii="Arial" w:hAnsi="Arial" w:cs="Arial"/>
          <w:color w:val="545454"/>
          <w:sz w:val="16"/>
          <w:szCs w:val="16"/>
          <w:shd w:val="clear" w:color="auto" w:fill="FFFFFF"/>
          <w:lang w:val="en-US"/>
        </w:rPr>
      </w:pPr>
      <w:r w:rsidRPr="00BA638C">
        <w:rPr>
          <w:rFonts w:ascii="Arial" w:eastAsia="Times New Roman" w:hAnsi="Arial" w:cs="Arial"/>
          <w:sz w:val="16"/>
          <w:szCs w:val="16"/>
          <w:vertAlign w:val="superscript"/>
          <w:lang w:val="en-US" w:eastAsia="en-US"/>
        </w:rPr>
        <w:endnoteRef/>
      </w:r>
      <w:r w:rsidRPr="00BA638C">
        <w:rPr>
          <w:rFonts w:ascii="Arial" w:eastAsia="Times New Roman" w:hAnsi="Arial" w:cs="Arial"/>
          <w:sz w:val="16"/>
          <w:szCs w:val="16"/>
          <w:lang w:val="en-US" w:eastAsia="en-US"/>
        </w:rPr>
        <w:t xml:space="preserve"> National Cancer Institute, </w:t>
      </w:r>
      <w:r w:rsidRPr="00BA638C">
        <w:rPr>
          <w:sz w:val="16"/>
          <w:szCs w:val="16"/>
        </w:rPr>
        <w:t>“</w:t>
      </w:r>
      <w:r w:rsidRPr="00BA638C">
        <w:rPr>
          <w:rFonts w:ascii="Arial" w:eastAsia="Times New Roman" w:hAnsi="Arial" w:cs="Arial"/>
          <w:sz w:val="16"/>
          <w:szCs w:val="16"/>
          <w:lang w:val="en-US" w:eastAsia="en-US"/>
        </w:rPr>
        <w:t xml:space="preserve">Personalized </w:t>
      </w:r>
      <w:r>
        <w:rPr>
          <w:rFonts w:ascii="Arial" w:eastAsia="Times New Roman" w:hAnsi="Arial" w:cs="Arial"/>
          <w:sz w:val="16"/>
          <w:szCs w:val="16"/>
          <w:lang w:val="en-US" w:eastAsia="en-US"/>
        </w:rPr>
        <w:t>M</w:t>
      </w:r>
      <w:r w:rsidRPr="00BA638C">
        <w:rPr>
          <w:rFonts w:ascii="Arial" w:eastAsia="Times New Roman" w:hAnsi="Arial" w:cs="Arial"/>
          <w:sz w:val="16"/>
          <w:szCs w:val="16"/>
          <w:lang w:val="en-US" w:eastAsia="en-US"/>
        </w:rPr>
        <w:t>edicine,</w:t>
      </w:r>
      <w:r w:rsidRPr="00BA638C">
        <w:rPr>
          <w:bCs/>
          <w:sz w:val="16"/>
          <w:szCs w:val="16"/>
        </w:rPr>
        <w:t>”</w:t>
      </w:r>
      <w:r w:rsidRPr="00BA638C">
        <w:rPr>
          <w:rFonts w:ascii="Arial" w:eastAsia="Times New Roman" w:hAnsi="Arial" w:cs="Arial"/>
          <w:sz w:val="16"/>
          <w:szCs w:val="16"/>
          <w:lang w:val="en-US" w:eastAsia="en-US"/>
        </w:rPr>
        <w:t xml:space="preserve"> </w:t>
      </w:r>
      <w:r w:rsidRPr="00556525">
        <w:rPr>
          <w:rFonts w:ascii="Arial" w:eastAsia="Times New Roman" w:hAnsi="Arial" w:cs="Arial"/>
          <w:sz w:val="16"/>
          <w:szCs w:val="16"/>
          <w:lang w:val="en-US" w:eastAsia="en-US"/>
        </w:rPr>
        <w:t>NCI Dictionary of Cancer Terms</w:t>
      </w:r>
      <w:r w:rsidRPr="00BA638C">
        <w:rPr>
          <w:rFonts w:ascii="Arial" w:eastAsia="Times New Roman" w:hAnsi="Arial" w:cs="Arial"/>
          <w:sz w:val="16"/>
          <w:szCs w:val="16"/>
          <w:lang w:val="en-US" w:eastAsia="en-US"/>
        </w:rPr>
        <w:t>, accessed May 29 2019, www.ca ncer.gov/publications/dictionaries/cancer-terms/def/personalized-medicine.</w:t>
      </w:r>
    </w:p>
  </w:endnote>
  <w:endnote w:id="14">
    <w:p w14:paraId="44B1FA99" w14:textId="0FD2C87A" w:rsidR="00E12CB1" w:rsidRPr="00BA638C" w:rsidRDefault="00E12CB1" w:rsidP="00527088">
      <w:pPr>
        <w:pStyle w:val="EndnoteText"/>
        <w:rPr>
          <w:rFonts w:ascii="Arial" w:hAnsi="Arial" w:cs="Arial"/>
          <w:color w:val="545454"/>
          <w:sz w:val="16"/>
          <w:szCs w:val="16"/>
          <w:shd w:val="clear" w:color="auto" w:fill="FFFFFF"/>
          <w:lang w:val="en-US"/>
        </w:rPr>
      </w:pPr>
      <w:r w:rsidRPr="00BA638C">
        <w:rPr>
          <w:rFonts w:ascii="Arial" w:eastAsia="Times New Roman" w:hAnsi="Arial" w:cs="Arial"/>
          <w:sz w:val="16"/>
          <w:szCs w:val="16"/>
          <w:vertAlign w:val="superscript"/>
          <w:lang w:val="en-US" w:eastAsia="en-US"/>
        </w:rPr>
        <w:endnoteRef/>
      </w:r>
      <w:r w:rsidRPr="00BA638C">
        <w:rPr>
          <w:rFonts w:ascii="Arial" w:eastAsia="Times New Roman" w:hAnsi="Arial" w:cs="Arial"/>
          <w:sz w:val="16"/>
          <w:szCs w:val="16"/>
          <w:lang w:val="en-US" w:eastAsia="en-US"/>
        </w:rPr>
        <w:t xml:space="preserve"> </w:t>
      </w:r>
      <w:r>
        <w:rPr>
          <w:rFonts w:ascii="Arial" w:eastAsia="Times New Roman" w:hAnsi="Arial" w:cs="Arial"/>
          <w:sz w:val="16"/>
          <w:szCs w:val="16"/>
          <w:lang w:val="en-US" w:eastAsia="en-US"/>
        </w:rPr>
        <w:t>Ibid</w:t>
      </w:r>
      <w:r w:rsidRPr="00BA638C">
        <w:rPr>
          <w:rFonts w:ascii="Arial" w:eastAsia="Times New Roman" w:hAnsi="Arial" w:cs="Arial"/>
          <w:sz w:val="16"/>
          <w:szCs w:val="16"/>
          <w:lang w:val="en-US" w:eastAsia="en-US"/>
        </w:rPr>
        <w:t>.</w:t>
      </w:r>
    </w:p>
    <w:p w14:paraId="0E1968AB" w14:textId="76EECF69" w:rsidR="00E12CB1" w:rsidRPr="00BA638C" w:rsidRDefault="00E12CB1" w:rsidP="00527088">
      <w:pPr>
        <w:pStyle w:val="Footnote"/>
        <w:rPr>
          <w:sz w:val="16"/>
          <w:szCs w:val="16"/>
        </w:rPr>
      </w:pPr>
      <w:r w:rsidRPr="00BA638C">
        <w:rPr>
          <w:rStyle w:val="EndnoteReference"/>
          <w:sz w:val="16"/>
          <w:szCs w:val="16"/>
        </w:rPr>
        <w:endnoteRef/>
      </w:r>
      <w:r w:rsidRPr="00BA638C">
        <w:rPr>
          <w:sz w:val="16"/>
          <w:szCs w:val="16"/>
        </w:rPr>
        <w:t xml:space="preserve"> The Economist</w:t>
      </w:r>
      <w:r w:rsidRPr="00E12CB1">
        <w:rPr>
          <w:sz w:val="16"/>
          <w:szCs w:val="16"/>
        </w:rPr>
        <w:t>, op. cit</w:t>
      </w:r>
      <w:r>
        <w:rPr>
          <w:sz w:val="16"/>
          <w:szCs w:val="16"/>
        </w:rPr>
        <w:t>.</w:t>
      </w:r>
    </w:p>
  </w:endnote>
  <w:endnote w:id="15">
    <w:p w14:paraId="04A4B189" w14:textId="0D715DC1" w:rsidR="00E12CB1" w:rsidRPr="00BA638C" w:rsidRDefault="00E12CB1" w:rsidP="004970B9">
      <w:pPr>
        <w:pStyle w:val="Footnote"/>
        <w:rPr>
          <w:rStyle w:val="WUFigureTitleZchn"/>
          <w:szCs w:val="16"/>
        </w:rPr>
      </w:pPr>
      <w:r w:rsidRPr="00BA638C">
        <w:rPr>
          <w:rStyle w:val="EndnoteReference"/>
          <w:sz w:val="16"/>
          <w:szCs w:val="16"/>
        </w:rPr>
        <w:endnoteRef/>
      </w:r>
      <w:r w:rsidRPr="00BA638C">
        <w:rPr>
          <w:sz w:val="16"/>
          <w:szCs w:val="16"/>
        </w:rPr>
        <w:t xml:space="preserve"> Shelley Dubois</w:t>
      </w:r>
      <w:r w:rsidRPr="00BA638C">
        <w:rPr>
          <w:i/>
          <w:sz w:val="16"/>
          <w:szCs w:val="16"/>
        </w:rPr>
        <w:t xml:space="preserve">, </w:t>
      </w:r>
      <w:r w:rsidRPr="00BA638C">
        <w:rPr>
          <w:sz w:val="16"/>
          <w:szCs w:val="16"/>
        </w:rPr>
        <w:t>“</w:t>
      </w:r>
      <w:r w:rsidRPr="00BA638C">
        <w:rPr>
          <w:bCs/>
          <w:sz w:val="16"/>
          <w:szCs w:val="16"/>
        </w:rPr>
        <w:t xml:space="preserve">Novartis CEO: We </w:t>
      </w:r>
      <w:r>
        <w:rPr>
          <w:bCs/>
          <w:sz w:val="16"/>
          <w:szCs w:val="16"/>
        </w:rPr>
        <w:t>N</w:t>
      </w:r>
      <w:r w:rsidRPr="00BA638C">
        <w:rPr>
          <w:bCs/>
          <w:sz w:val="16"/>
          <w:szCs w:val="16"/>
        </w:rPr>
        <w:t xml:space="preserve">eed to </w:t>
      </w:r>
      <w:r>
        <w:rPr>
          <w:bCs/>
          <w:sz w:val="16"/>
          <w:szCs w:val="16"/>
        </w:rPr>
        <w:t>R</w:t>
      </w:r>
      <w:r w:rsidRPr="00BA638C">
        <w:rPr>
          <w:bCs/>
          <w:sz w:val="16"/>
          <w:szCs w:val="16"/>
        </w:rPr>
        <w:t xml:space="preserve">e-think the </w:t>
      </w:r>
      <w:r>
        <w:rPr>
          <w:bCs/>
          <w:sz w:val="16"/>
          <w:szCs w:val="16"/>
        </w:rPr>
        <w:t>B</w:t>
      </w:r>
      <w:r w:rsidRPr="00BA638C">
        <w:rPr>
          <w:bCs/>
          <w:sz w:val="16"/>
          <w:szCs w:val="16"/>
        </w:rPr>
        <w:t xml:space="preserve">lockbuster,” </w:t>
      </w:r>
      <w:r w:rsidRPr="00BA638C">
        <w:rPr>
          <w:i/>
          <w:sz w:val="16"/>
          <w:szCs w:val="16"/>
        </w:rPr>
        <w:t xml:space="preserve">Fortune, </w:t>
      </w:r>
      <w:r w:rsidRPr="00BA638C">
        <w:rPr>
          <w:sz w:val="16"/>
          <w:szCs w:val="16"/>
        </w:rPr>
        <w:t>March 4, 2013, accessed May 29, 2019, http://fortune.com/2013/03/04/novartis-ceo-we-need-to-re-think-the-blockbuster/.</w:t>
      </w:r>
    </w:p>
  </w:endnote>
  <w:endnote w:id="16">
    <w:p w14:paraId="7231AD63" w14:textId="056AFC15" w:rsidR="00E12CB1" w:rsidRPr="00BA638C" w:rsidRDefault="00E12CB1" w:rsidP="0031014C">
      <w:pPr>
        <w:pStyle w:val="Footnote"/>
        <w:rPr>
          <w:sz w:val="16"/>
          <w:szCs w:val="16"/>
        </w:rPr>
      </w:pPr>
      <w:r w:rsidRPr="00BA638C">
        <w:rPr>
          <w:sz w:val="16"/>
          <w:szCs w:val="16"/>
          <w:vertAlign w:val="superscript"/>
        </w:rPr>
        <w:endnoteRef/>
      </w:r>
      <w:r w:rsidRPr="00BA638C">
        <w:rPr>
          <w:sz w:val="16"/>
          <w:szCs w:val="16"/>
        </w:rPr>
        <w:t xml:space="preserve"> “Global </w:t>
      </w:r>
      <w:r>
        <w:rPr>
          <w:sz w:val="16"/>
          <w:szCs w:val="16"/>
        </w:rPr>
        <w:t>P</w:t>
      </w:r>
      <w:r w:rsidRPr="00BA638C">
        <w:rPr>
          <w:sz w:val="16"/>
          <w:szCs w:val="16"/>
        </w:rPr>
        <w:t xml:space="preserve">harmaceutical </w:t>
      </w:r>
      <w:r>
        <w:rPr>
          <w:sz w:val="16"/>
          <w:szCs w:val="16"/>
        </w:rPr>
        <w:t>S</w:t>
      </w:r>
      <w:r w:rsidRPr="00BA638C">
        <w:rPr>
          <w:sz w:val="16"/>
          <w:szCs w:val="16"/>
        </w:rPr>
        <w:t xml:space="preserve">ales from 2013 to 2015, by </w:t>
      </w:r>
      <w:r>
        <w:rPr>
          <w:sz w:val="16"/>
          <w:szCs w:val="16"/>
        </w:rPr>
        <w:t>R</w:t>
      </w:r>
      <w:r w:rsidRPr="00BA638C">
        <w:rPr>
          <w:sz w:val="16"/>
          <w:szCs w:val="16"/>
        </w:rPr>
        <w:t>egion,” Statista, accessed May 29, 2019, www.statista.com/statistics/272181/world-pharmaceutical-sales-by-region/.</w:t>
      </w:r>
    </w:p>
  </w:endnote>
  <w:endnote w:id="17">
    <w:p w14:paraId="76D59F48" w14:textId="5363A021" w:rsidR="00E12CB1" w:rsidRPr="00BA638C" w:rsidRDefault="00E12CB1" w:rsidP="0031014C">
      <w:pPr>
        <w:pStyle w:val="Footnote"/>
        <w:rPr>
          <w:sz w:val="16"/>
          <w:szCs w:val="16"/>
        </w:rPr>
      </w:pPr>
      <w:r w:rsidRPr="00BA638C">
        <w:rPr>
          <w:rStyle w:val="EndnoteReference"/>
          <w:sz w:val="16"/>
          <w:szCs w:val="16"/>
        </w:rPr>
        <w:endnoteRef/>
      </w:r>
      <w:r w:rsidRPr="00BA638C">
        <w:rPr>
          <w:sz w:val="16"/>
          <w:szCs w:val="16"/>
        </w:rPr>
        <w:t xml:space="preserve"> The Economist, “A </w:t>
      </w:r>
      <w:r>
        <w:rPr>
          <w:sz w:val="16"/>
          <w:szCs w:val="16"/>
        </w:rPr>
        <w:t>B</w:t>
      </w:r>
      <w:r w:rsidRPr="00BA638C">
        <w:rPr>
          <w:sz w:val="16"/>
          <w:szCs w:val="16"/>
        </w:rPr>
        <w:t xml:space="preserve">etter </w:t>
      </w:r>
      <w:r>
        <w:rPr>
          <w:sz w:val="16"/>
          <w:szCs w:val="16"/>
        </w:rPr>
        <w:t>P</w:t>
      </w:r>
      <w:r w:rsidRPr="00BA638C">
        <w:rPr>
          <w:sz w:val="16"/>
          <w:szCs w:val="16"/>
        </w:rPr>
        <w:t xml:space="preserve">ill from China: Chinese </w:t>
      </w:r>
      <w:r>
        <w:rPr>
          <w:sz w:val="16"/>
          <w:szCs w:val="16"/>
        </w:rPr>
        <w:t>P</w:t>
      </w:r>
      <w:r w:rsidRPr="00BA638C">
        <w:rPr>
          <w:sz w:val="16"/>
          <w:szCs w:val="16"/>
        </w:rPr>
        <w:t xml:space="preserve">harma </w:t>
      </w:r>
      <w:r>
        <w:rPr>
          <w:sz w:val="16"/>
          <w:szCs w:val="16"/>
        </w:rPr>
        <w:t>F</w:t>
      </w:r>
      <w:r w:rsidRPr="00BA638C">
        <w:rPr>
          <w:sz w:val="16"/>
          <w:szCs w:val="16"/>
        </w:rPr>
        <w:t xml:space="preserve">irms </w:t>
      </w:r>
      <w:r>
        <w:rPr>
          <w:sz w:val="16"/>
          <w:szCs w:val="16"/>
        </w:rPr>
        <w:t>T</w:t>
      </w:r>
      <w:r w:rsidRPr="00BA638C">
        <w:rPr>
          <w:sz w:val="16"/>
          <w:szCs w:val="16"/>
        </w:rPr>
        <w:t xml:space="preserve">arget the </w:t>
      </w:r>
      <w:r>
        <w:rPr>
          <w:sz w:val="16"/>
          <w:szCs w:val="16"/>
        </w:rPr>
        <w:t>G</w:t>
      </w:r>
      <w:r w:rsidRPr="00BA638C">
        <w:rPr>
          <w:sz w:val="16"/>
          <w:szCs w:val="16"/>
        </w:rPr>
        <w:t xml:space="preserve">lobal </w:t>
      </w:r>
      <w:r>
        <w:rPr>
          <w:sz w:val="16"/>
          <w:szCs w:val="16"/>
        </w:rPr>
        <w:t>M</w:t>
      </w:r>
      <w:r w:rsidRPr="00BA638C">
        <w:rPr>
          <w:sz w:val="16"/>
          <w:szCs w:val="16"/>
        </w:rPr>
        <w:t xml:space="preserve">arket,” </w:t>
      </w:r>
      <w:r w:rsidRPr="00BA638C">
        <w:rPr>
          <w:i/>
          <w:sz w:val="16"/>
          <w:szCs w:val="16"/>
        </w:rPr>
        <w:t>Economist</w:t>
      </w:r>
      <w:r w:rsidRPr="00BA638C">
        <w:rPr>
          <w:sz w:val="16"/>
          <w:szCs w:val="16"/>
        </w:rPr>
        <w:t>, March 16, 2017, accessed May 29, 2019, www.economist.com/business/2017/03/16/chinese-pharma-firms-target-the-global-market.</w:t>
      </w:r>
    </w:p>
  </w:endnote>
  <w:endnote w:id="18">
    <w:p w14:paraId="2B94DB3B" w14:textId="7CA2043A" w:rsidR="00E12CB1" w:rsidRPr="00BA638C" w:rsidRDefault="00E12CB1" w:rsidP="0031014C">
      <w:pPr>
        <w:pStyle w:val="Footnote"/>
        <w:rPr>
          <w:spacing w:val="-6"/>
          <w:kern w:val="17"/>
          <w:sz w:val="16"/>
          <w:szCs w:val="16"/>
        </w:rPr>
      </w:pPr>
      <w:r w:rsidRPr="00BA638C">
        <w:rPr>
          <w:rStyle w:val="EndnoteReference"/>
          <w:spacing w:val="-6"/>
          <w:kern w:val="17"/>
          <w:sz w:val="16"/>
          <w:szCs w:val="16"/>
        </w:rPr>
        <w:endnoteRef/>
      </w:r>
      <w:r w:rsidRPr="00BA638C">
        <w:rPr>
          <w:spacing w:val="-6"/>
          <w:kern w:val="17"/>
          <w:sz w:val="16"/>
          <w:szCs w:val="16"/>
        </w:rPr>
        <w:t xml:space="preserve"> Leigh Purvis and Stephen W. </w:t>
      </w:r>
      <w:proofErr w:type="spellStart"/>
      <w:r w:rsidRPr="00BA638C">
        <w:rPr>
          <w:spacing w:val="-6"/>
          <w:kern w:val="17"/>
          <w:sz w:val="16"/>
          <w:szCs w:val="16"/>
        </w:rPr>
        <w:t>Schondelmeyer</w:t>
      </w:r>
      <w:proofErr w:type="spellEnd"/>
      <w:r w:rsidRPr="00BA638C">
        <w:rPr>
          <w:spacing w:val="-6"/>
          <w:kern w:val="17"/>
          <w:sz w:val="16"/>
          <w:szCs w:val="16"/>
        </w:rPr>
        <w:t xml:space="preserve">, “Efforts to Reduce </w:t>
      </w:r>
      <w:r>
        <w:rPr>
          <w:spacing w:val="-6"/>
          <w:kern w:val="17"/>
          <w:sz w:val="16"/>
          <w:szCs w:val="16"/>
        </w:rPr>
        <w:t>t</w:t>
      </w:r>
      <w:r w:rsidRPr="00BA638C">
        <w:rPr>
          <w:spacing w:val="-6"/>
          <w:kern w:val="17"/>
          <w:sz w:val="16"/>
          <w:szCs w:val="16"/>
        </w:rPr>
        <w:t xml:space="preserve">he Impact </w:t>
      </w:r>
      <w:r>
        <w:rPr>
          <w:spacing w:val="-6"/>
          <w:kern w:val="17"/>
          <w:sz w:val="16"/>
          <w:szCs w:val="16"/>
        </w:rPr>
        <w:t>o</w:t>
      </w:r>
      <w:r w:rsidRPr="00BA638C">
        <w:rPr>
          <w:spacing w:val="-6"/>
          <w:kern w:val="17"/>
          <w:sz w:val="16"/>
          <w:szCs w:val="16"/>
        </w:rPr>
        <w:t xml:space="preserve">f Generic Competitor Lipitor,” </w:t>
      </w:r>
      <w:r w:rsidRPr="00553B93">
        <w:rPr>
          <w:spacing w:val="-6"/>
          <w:kern w:val="17"/>
          <w:sz w:val="16"/>
          <w:szCs w:val="16"/>
        </w:rPr>
        <w:t>AARP Public Policy Institute</w:t>
      </w:r>
      <w:r w:rsidRPr="00E12CB1">
        <w:rPr>
          <w:spacing w:val="-6"/>
          <w:kern w:val="17"/>
          <w:sz w:val="16"/>
          <w:szCs w:val="16"/>
        </w:rPr>
        <w:t>,</w:t>
      </w:r>
      <w:r w:rsidRPr="00BA638C">
        <w:rPr>
          <w:spacing w:val="-6"/>
          <w:kern w:val="17"/>
          <w:sz w:val="16"/>
          <w:szCs w:val="16"/>
        </w:rPr>
        <w:t xml:space="preserve"> June 2013, accessed May 13, 2019, www.aarp.org/content/dam/aarp/ppi/2015/lipitor-final-report-AARP-ppi-health-june-13.pdf.</w:t>
      </w:r>
    </w:p>
  </w:endnote>
  <w:endnote w:id="19">
    <w:p w14:paraId="08AB29CC" w14:textId="61E48002" w:rsidR="00E12CB1" w:rsidRPr="00BA638C" w:rsidRDefault="00E12CB1" w:rsidP="0031014C">
      <w:pPr>
        <w:pStyle w:val="Footnote"/>
        <w:rPr>
          <w:sz w:val="16"/>
          <w:szCs w:val="16"/>
        </w:rPr>
      </w:pPr>
      <w:r w:rsidRPr="00BA638C">
        <w:rPr>
          <w:b/>
          <w:bCs/>
          <w:sz w:val="16"/>
          <w:szCs w:val="16"/>
          <w:vertAlign w:val="superscript"/>
          <w:lang w:val="en"/>
        </w:rPr>
        <w:endnoteRef/>
      </w:r>
      <w:r w:rsidRPr="00BA638C">
        <w:rPr>
          <w:b/>
          <w:bCs/>
          <w:sz w:val="16"/>
          <w:szCs w:val="16"/>
          <w:vertAlign w:val="superscript"/>
          <w:lang w:val="en"/>
        </w:rPr>
        <w:t xml:space="preserve"> </w:t>
      </w:r>
      <w:r w:rsidRPr="00BA638C">
        <w:rPr>
          <w:bCs/>
          <w:sz w:val="16"/>
          <w:szCs w:val="16"/>
          <w:lang w:val="en"/>
        </w:rPr>
        <w:t xml:space="preserve">CNBC, “Pfizer Profit Drops on Loss of Lipitor Exclusivity,” CNBC, November 9, 2012, accessed </w:t>
      </w:r>
      <w:r w:rsidRPr="00BA638C">
        <w:rPr>
          <w:sz w:val="16"/>
          <w:szCs w:val="16"/>
        </w:rPr>
        <w:t>May 13, 2019, www.cnbc.com/id/49573157.</w:t>
      </w:r>
    </w:p>
  </w:endnote>
  <w:endnote w:id="20">
    <w:p w14:paraId="30BB1E4B" w14:textId="2784729F" w:rsidR="00E12CB1" w:rsidRPr="00BA638C" w:rsidRDefault="00E12CB1" w:rsidP="0031014C">
      <w:pPr>
        <w:pStyle w:val="Footnote"/>
        <w:rPr>
          <w:sz w:val="16"/>
          <w:szCs w:val="16"/>
        </w:rPr>
      </w:pPr>
      <w:r w:rsidRPr="00BA638C">
        <w:rPr>
          <w:rStyle w:val="EndnoteReference"/>
          <w:sz w:val="16"/>
          <w:szCs w:val="16"/>
        </w:rPr>
        <w:endnoteRef/>
      </w:r>
      <w:r w:rsidRPr="00BA638C">
        <w:rPr>
          <w:sz w:val="16"/>
          <w:szCs w:val="16"/>
        </w:rPr>
        <w:t xml:space="preserve"> </w:t>
      </w:r>
      <w:r w:rsidRPr="00BA638C">
        <w:rPr>
          <w:color w:val="000000"/>
          <w:sz w:val="16"/>
          <w:szCs w:val="16"/>
        </w:rPr>
        <w:t xml:space="preserve">Robert Weisman, “For Pfizer, Boston’s </w:t>
      </w:r>
      <w:r>
        <w:rPr>
          <w:color w:val="000000"/>
          <w:sz w:val="16"/>
          <w:szCs w:val="16"/>
        </w:rPr>
        <w:t>M</w:t>
      </w:r>
      <w:r w:rsidRPr="00BA638C">
        <w:rPr>
          <w:color w:val="000000"/>
          <w:sz w:val="16"/>
          <w:szCs w:val="16"/>
        </w:rPr>
        <w:t xml:space="preserve">edical </w:t>
      </w:r>
      <w:r>
        <w:rPr>
          <w:color w:val="000000"/>
          <w:sz w:val="16"/>
          <w:szCs w:val="16"/>
        </w:rPr>
        <w:t>L</w:t>
      </w:r>
      <w:r w:rsidRPr="00BA638C">
        <w:rPr>
          <w:color w:val="000000"/>
          <w:sz w:val="16"/>
          <w:szCs w:val="16"/>
        </w:rPr>
        <w:t xml:space="preserve">abs a </w:t>
      </w:r>
      <w:r>
        <w:rPr>
          <w:color w:val="000000"/>
          <w:sz w:val="16"/>
          <w:szCs w:val="16"/>
        </w:rPr>
        <w:t>L</w:t>
      </w:r>
      <w:r w:rsidRPr="00BA638C">
        <w:rPr>
          <w:color w:val="000000"/>
          <w:sz w:val="16"/>
          <w:szCs w:val="16"/>
        </w:rPr>
        <w:t xml:space="preserve">ure,” Boston.com, July 30, 2011, accessed May 13, 2019, </w:t>
      </w:r>
      <w:r w:rsidRPr="00BA638C">
        <w:rPr>
          <w:sz w:val="16"/>
          <w:szCs w:val="16"/>
        </w:rPr>
        <w:t>http://archive.boston.com/business/healthcare/articles/2012/07/30/pfizer_uses_centers_for_therapeutic_innovation_to_test_new_research_and_development_model/</w:t>
      </w:r>
      <w:r w:rsidRPr="00553B93">
        <w:rPr>
          <w:rStyle w:val="Hyperlink"/>
          <w:color w:val="000000"/>
          <w:sz w:val="16"/>
          <w:szCs w:val="16"/>
          <w:u w:val="none"/>
        </w:rPr>
        <w:t>.</w:t>
      </w:r>
    </w:p>
  </w:endnote>
  <w:endnote w:id="21">
    <w:p w14:paraId="1585DD8B" w14:textId="0CB8F0C7" w:rsidR="00E12CB1" w:rsidRPr="00BA638C" w:rsidRDefault="00E12CB1" w:rsidP="0031014C">
      <w:pPr>
        <w:pStyle w:val="Footnote"/>
        <w:rPr>
          <w:sz w:val="16"/>
          <w:szCs w:val="16"/>
        </w:rPr>
      </w:pPr>
      <w:r w:rsidRPr="00BA638C">
        <w:rPr>
          <w:rStyle w:val="EndnoteReference"/>
          <w:sz w:val="16"/>
          <w:szCs w:val="16"/>
        </w:rPr>
        <w:endnoteRef/>
      </w:r>
      <w:r w:rsidRPr="00BA638C">
        <w:rPr>
          <w:sz w:val="16"/>
          <w:szCs w:val="16"/>
        </w:rPr>
        <w:t xml:space="preserve"> </w:t>
      </w:r>
      <w:r w:rsidRPr="00BA638C">
        <w:rPr>
          <w:color w:val="000000"/>
          <w:sz w:val="16"/>
          <w:szCs w:val="16"/>
        </w:rPr>
        <w:t xml:space="preserve">The Economist, “Billion </w:t>
      </w:r>
      <w:r>
        <w:rPr>
          <w:color w:val="000000"/>
          <w:sz w:val="16"/>
          <w:szCs w:val="16"/>
        </w:rPr>
        <w:t>D</w:t>
      </w:r>
      <w:r w:rsidRPr="00BA638C">
        <w:rPr>
          <w:color w:val="000000"/>
          <w:sz w:val="16"/>
          <w:szCs w:val="16"/>
        </w:rPr>
        <w:t xml:space="preserve">ollar </w:t>
      </w:r>
      <w:r>
        <w:rPr>
          <w:color w:val="000000"/>
          <w:sz w:val="16"/>
          <w:szCs w:val="16"/>
        </w:rPr>
        <w:t>P</w:t>
      </w:r>
      <w:r w:rsidRPr="00BA638C">
        <w:rPr>
          <w:color w:val="000000"/>
          <w:sz w:val="16"/>
          <w:szCs w:val="16"/>
        </w:rPr>
        <w:t xml:space="preserve">ills,” </w:t>
      </w:r>
      <w:r w:rsidRPr="00BA638C">
        <w:rPr>
          <w:i/>
          <w:color w:val="000000"/>
          <w:sz w:val="16"/>
          <w:szCs w:val="16"/>
        </w:rPr>
        <w:t>Economist</w:t>
      </w:r>
      <w:r w:rsidRPr="00BA638C">
        <w:rPr>
          <w:color w:val="000000"/>
          <w:sz w:val="16"/>
          <w:szCs w:val="16"/>
        </w:rPr>
        <w:t xml:space="preserve">, January 25, 2007, accessed May 29, 2019, </w:t>
      </w:r>
      <w:r w:rsidRPr="00BA638C">
        <w:rPr>
          <w:sz w:val="16"/>
          <w:szCs w:val="16"/>
        </w:rPr>
        <w:t>www.economist.com/briefing/2007/01/25/billion-dollar-pills</w:t>
      </w:r>
      <w:r w:rsidRPr="00BA638C">
        <w:rPr>
          <w:color w:val="000000"/>
          <w:sz w:val="16"/>
          <w:szCs w:val="16"/>
        </w:rPr>
        <w:t>.</w:t>
      </w:r>
    </w:p>
  </w:endnote>
  <w:endnote w:id="22">
    <w:p w14:paraId="4B90DD1C" w14:textId="5F717BBA" w:rsidR="00E12CB1" w:rsidRPr="00BA638C" w:rsidRDefault="00E12CB1" w:rsidP="0031014C">
      <w:pPr>
        <w:pStyle w:val="Footnote"/>
        <w:rPr>
          <w:sz w:val="16"/>
          <w:szCs w:val="16"/>
        </w:rPr>
      </w:pPr>
      <w:r w:rsidRPr="00BA638C">
        <w:rPr>
          <w:rStyle w:val="EndnoteReference"/>
          <w:sz w:val="16"/>
          <w:szCs w:val="16"/>
        </w:rPr>
        <w:endnoteRef/>
      </w:r>
      <w:r w:rsidRPr="00BA638C">
        <w:rPr>
          <w:sz w:val="16"/>
          <w:szCs w:val="16"/>
        </w:rPr>
        <w:t xml:space="preserve"> </w:t>
      </w:r>
      <w:r w:rsidRPr="00BA638C">
        <w:rPr>
          <w:color w:val="000000"/>
          <w:sz w:val="16"/>
          <w:szCs w:val="16"/>
        </w:rPr>
        <w:t xml:space="preserve">Peter </w:t>
      </w:r>
      <w:proofErr w:type="spellStart"/>
      <w:r w:rsidRPr="00BA638C">
        <w:rPr>
          <w:color w:val="000000"/>
          <w:sz w:val="16"/>
          <w:szCs w:val="16"/>
        </w:rPr>
        <w:t>Elkind</w:t>
      </w:r>
      <w:proofErr w:type="spellEnd"/>
      <w:r w:rsidRPr="00BA638C">
        <w:rPr>
          <w:color w:val="000000"/>
          <w:sz w:val="16"/>
          <w:szCs w:val="16"/>
        </w:rPr>
        <w:t xml:space="preserve"> and Jennifer </w:t>
      </w:r>
      <w:proofErr w:type="spellStart"/>
      <w:r w:rsidRPr="00BA638C">
        <w:rPr>
          <w:color w:val="000000"/>
          <w:sz w:val="16"/>
          <w:szCs w:val="16"/>
        </w:rPr>
        <w:t>Reingold</w:t>
      </w:r>
      <w:proofErr w:type="spellEnd"/>
      <w:r w:rsidRPr="00BA638C">
        <w:rPr>
          <w:color w:val="000000"/>
          <w:sz w:val="16"/>
          <w:szCs w:val="16"/>
        </w:rPr>
        <w:t xml:space="preserve">, “Inside Pfizer’s </w:t>
      </w:r>
      <w:r>
        <w:rPr>
          <w:color w:val="000000"/>
          <w:sz w:val="16"/>
          <w:szCs w:val="16"/>
        </w:rPr>
        <w:t>P</w:t>
      </w:r>
      <w:r w:rsidRPr="00BA638C">
        <w:rPr>
          <w:color w:val="000000"/>
          <w:sz w:val="16"/>
          <w:szCs w:val="16"/>
        </w:rPr>
        <w:t xml:space="preserve">alace </w:t>
      </w:r>
      <w:r>
        <w:rPr>
          <w:color w:val="000000"/>
          <w:sz w:val="16"/>
          <w:szCs w:val="16"/>
        </w:rPr>
        <w:t>C</w:t>
      </w:r>
      <w:r w:rsidRPr="00BA638C">
        <w:rPr>
          <w:color w:val="000000"/>
          <w:sz w:val="16"/>
          <w:szCs w:val="16"/>
        </w:rPr>
        <w:t xml:space="preserve">oup,” </w:t>
      </w:r>
      <w:r w:rsidRPr="00BA638C">
        <w:rPr>
          <w:i/>
          <w:color w:val="000000"/>
          <w:sz w:val="16"/>
          <w:szCs w:val="16"/>
        </w:rPr>
        <w:t>Fortune</w:t>
      </w:r>
      <w:r w:rsidRPr="00BA638C">
        <w:rPr>
          <w:color w:val="000000"/>
          <w:sz w:val="16"/>
          <w:szCs w:val="16"/>
        </w:rPr>
        <w:t xml:space="preserve">, July 28, 2011, accessed May 29, 2019, </w:t>
      </w:r>
      <w:r w:rsidRPr="00BA638C">
        <w:rPr>
          <w:sz w:val="16"/>
          <w:szCs w:val="16"/>
        </w:rPr>
        <w:t>http://fortune.com/2011/07/28/inside-pfizers-palace-coup/</w:t>
      </w:r>
      <w:r w:rsidRPr="00BA638C">
        <w:rPr>
          <w:color w:val="000000"/>
          <w:sz w:val="16"/>
          <w:szCs w:val="16"/>
        </w:rPr>
        <w:t>.</w:t>
      </w:r>
    </w:p>
  </w:endnote>
  <w:endnote w:id="23">
    <w:p w14:paraId="0F7F5D2E" w14:textId="1FA48A81" w:rsidR="00E12CB1" w:rsidRPr="00BA638C" w:rsidRDefault="00E12CB1" w:rsidP="0031014C">
      <w:pPr>
        <w:pStyle w:val="Footnote"/>
        <w:rPr>
          <w:sz w:val="16"/>
          <w:szCs w:val="16"/>
        </w:rPr>
      </w:pPr>
      <w:r w:rsidRPr="00BA638C">
        <w:rPr>
          <w:rStyle w:val="EndnoteReference"/>
          <w:sz w:val="16"/>
          <w:szCs w:val="16"/>
        </w:rPr>
        <w:endnoteRef/>
      </w:r>
      <w:r w:rsidRPr="00BA638C">
        <w:rPr>
          <w:sz w:val="16"/>
          <w:szCs w:val="16"/>
        </w:rPr>
        <w:t xml:space="preserve"> Jonathan D. </w:t>
      </w:r>
      <w:proofErr w:type="spellStart"/>
      <w:r w:rsidRPr="00BA638C">
        <w:rPr>
          <w:sz w:val="16"/>
          <w:szCs w:val="16"/>
        </w:rPr>
        <w:t>Rockoff</w:t>
      </w:r>
      <w:proofErr w:type="spellEnd"/>
      <w:r w:rsidRPr="00BA638C">
        <w:rPr>
          <w:sz w:val="16"/>
          <w:szCs w:val="16"/>
        </w:rPr>
        <w:t xml:space="preserve"> and </w:t>
      </w:r>
      <w:proofErr w:type="spellStart"/>
      <w:r w:rsidRPr="00BA638C">
        <w:rPr>
          <w:sz w:val="16"/>
          <w:szCs w:val="16"/>
        </w:rPr>
        <w:t>Melodie</w:t>
      </w:r>
      <w:proofErr w:type="spellEnd"/>
      <w:r w:rsidRPr="00BA638C">
        <w:rPr>
          <w:sz w:val="16"/>
          <w:szCs w:val="16"/>
        </w:rPr>
        <w:t xml:space="preserve"> Warner, “Pfizer Reorganizes Commercial Operations,” </w:t>
      </w:r>
      <w:r w:rsidRPr="00BA638C">
        <w:rPr>
          <w:i/>
          <w:sz w:val="16"/>
          <w:szCs w:val="16"/>
        </w:rPr>
        <w:t>Wall Street Journal</w:t>
      </w:r>
      <w:r w:rsidRPr="00BA638C">
        <w:rPr>
          <w:sz w:val="16"/>
          <w:szCs w:val="16"/>
        </w:rPr>
        <w:t>, July 29, 2013, accessed May 29, 2019, www.wsj.com/articles/SB10001424127887323854904578635732039397180.</w:t>
      </w:r>
    </w:p>
  </w:endnote>
  <w:endnote w:id="24">
    <w:p w14:paraId="242677AB" w14:textId="06623AFA" w:rsidR="00E12CB1" w:rsidRPr="00BA638C" w:rsidRDefault="00E12CB1" w:rsidP="0031014C">
      <w:pPr>
        <w:pStyle w:val="Footnote"/>
        <w:rPr>
          <w:sz w:val="16"/>
          <w:szCs w:val="16"/>
        </w:rPr>
      </w:pPr>
      <w:r w:rsidRPr="00BA638C">
        <w:rPr>
          <w:rStyle w:val="EndnoteReference"/>
          <w:sz w:val="16"/>
          <w:szCs w:val="16"/>
        </w:rPr>
        <w:endnoteRef/>
      </w:r>
      <w:r w:rsidRPr="00BA638C">
        <w:rPr>
          <w:color w:val="000000"/>
          <w:sz w:val="16"/>
          <w:szCs w:val="16"/>
        </w:rPr>
        <w:t xml:space="preserve"> Drew Armstrong,</w:t>
      </w:r>
      <w:r w:rsidRPr="00BA638C">
        <w:rPr>
          <w:color w:val="000000"/>
          <w:sz w:val="16"/>
          <w:szCs w:val="16"/>
          <w:lang w:val="en"/>
        </w:rPr>
        <w:t xml:space="preserve"> </w:t>
      </w:r>
      <w:r w:rsidRPr="00BA638C">
        <w:rPr>
          <w:color w:val="000000"/>
          <w:sz w:val="16"/>
          <w:szCs w:val="16"/>
        </w:rPr>
        <w:t xml:space="preserve">“Pfizer </w:t>
      </w:r>
      <w:r>
        <w:rPr>
          <w:color w:val="000000"/>
          <w:sz w:val="16"/>
          <w:szCs w:val="16"/>
        </w:rPr>
        <w:t>N</w:t>
      </w:r>
      <w:r w:rsidRPr="00BA638C">
        <w:rPr>
          <w:color w:val="000000"/>
          <w:sz w:val="16"/>
          <w:szCs w:val="16"/>
        </w:rPr>
        <w:t xml:space="preserve">arrows Its Focus,” </w:t>
      </w:r>
      <w:r w:rsidRPr="00553B93">
        <w:rPr>
          <w:color w:val="000000"/>
          <w:sz w:val="16"/>
          <w:szCs w:val="16"/>
        </w:rPr>
        <w:t>Bloomberg</w:t>
      </w:r>
      <w:r w:rsidRPr="00E12CB1">
        <w:rPr>
          <w:color w:val="000000"/>
          <w:sz w:val="16"/>
          <w:szCs w:val="16"/>
        </w:rPr>
        <w:t>,</w:t>
      </w:r>
      <w:r w:rsidRPr="00BA638C">
        <w:rPr>
          <w:color w:val="000000"/>
          <w:sz w:val="16"/>
          <w:szCs w:val="16"/>
        </w:rPr>
        <w:t xml:space="preserve"> March 9, 2012, accessed May 13, 2019, </w:t>
      </w:r>
      <w:r w:rsidRPr="00BA638C">
        <w:rPr>
          <w:sz w:val="16"/>
          <w:szCs w:val="16"/>
        </w:rPr>
        <w:t>www.bloomberg.com/news/articles/2012-03-08/pfizer-narrows-its-focus</w:t>
      </w:r>
      <w:r w:rsidRPr="00553B93">
        <w:rPr>
          <w:rStyle w:val="Hyperlink"/>
          <w:color w:val="000000"/>
          <w:sz w:val="16"/>
          <w:szCs w:val="16"/>
          <w:u w:val="none"/>
        </w:rPr>
        <w:t>.</w:t>
      </w:r>
    </w:p>
  </w:endnote>
  <w:endnote w:id="25">
    <w:p w14:paraId="3B0B62C3" w14:textId="55C248E8" w:rsidR="00E12CB1" w:rsidRPr="00BA638C" w:rsidRDefault="00E12CB1" w:rsidP="0031014C">
      <w:pPr>
        <w:pStyle w:val="Footnote"/>
        <w:rPr>
          <w:iCs/>
          <w:color w:val="000000"/>
          <w:sz w:val="16"/>
          <w:szCs w:val="16"/>
        </w:rPr>
      </w:pPr>
      <w:r w:rsidRPr="00BA638C">
        <w:rPr>
          <w:rStyle w:val="EndnoteReference"/>
          <w:sz w:val="16"/>
          <w:szCs w:val="16"/>
        </w:rPr>
        <w:endnoteRef/>
      </w:r>
      <w:r w:rsidR="00286D9F">
        <w:rPr>
          <w:sz w:val="16"/>
          <w:szCs w:val="16"/>
        </w:rPr>
        <w:t> </w:t>
      </w:r>
      <w:r w:rsidRPr="00BA638C">
        <w:rPr>
          <w:color w:val="000000"/>
          <w:sz w:val="16"/>
          <w:szCs w:val="16"/>
        </w:rPr>
        <w:t>Pfizer,</w:t>
      </w:r>
      <w:r w:rsidR="00286D9F">
        <w:rPr>
          <w:color w:val="000000"/>
          <w:sz w:val="16"/>
          <w:szCs w:val="16"/>
        </w:rPr>
        <w:t> </w:t>
      </w:r>
      <w:r w:rsidRPr="00BA638C">
        <w:rPr>
          <w:i/>
          <w:color w:val="000000"/>
          <w:sz w:val="16"/>
          <w:szCs w:val="16"/>
        </w:rPr>
        <w:t>Financial</w:t>
      </w:r>
      <w:r w:rsidR="00286D9F">
        <w:rPr>
          <w:i/>
          <w:color w:val="000000"/>
          <w:sz w:val="16"/>
          <w:szCs w:val="16"/>
        </w:rPr>
        <w:t> </w:t>
      </w:r>
      <w:r w:rsidRPr="00BA638C">
        <w:rPr>
          <w:i/>
          <w:color w:val="000000"/>
          <w:sz w:val="16"/>
          <w:szCs w:val="16"/>
        </w:rPr>
        <w:t>Review</w:t>
      </w:r>
      <w:r w:rsidR="00286D9F">
        <w:rPr>
          <w:i/>
          <w:color w:val="000000"/>
          <w:sz w:val="16"/>
          <w:szCs w:val="16"/>
        </w:rPr>
        <w:t> </w:t>
      </w:r>
      <w:r w:rsidRPr="00BA638C">
        <w:rPr>
          <w:i/>
          <w:color w:val="000000"/>
          <w:sz w:val="16"/>
          <w:szCs w:val="16"/>
        </w:rPr>
        <w:t>2012</w:t>
      </w:r>
      <w:r w:rsidRPr="00BA638C">
        <w:rPr>
          <w:color w:val="000000"/>
          <w:sz w:val="16"/>
          <w:szCs w:val="16"/>
        </w:rPr>
        <w:t>,</w:t>
      </w:r>
      <w:r w:rsidR="00286D9F">
        <w:rPr>
          <w:color w:val="000000"/>
          <w:sz w:val="16"/>
          <w:szCs w:val="16"/>
        </w:rPr>
        <w:t> </w:t>
      </w:r>
      <w:r w:rsidRPr="00BA638C">
        <w:rPr>
          <w:color w:val="000000"/>
          <w:sz w:val="16"/>
          <w:szCs w:val="16"/>
        </w:rPr>
        <w:t>January</w:t>
      </w:r>
      <w:r w:rsidR="00286D9F">
        <w:rPr>
          <w:color w:val="000000"/>
          <w:sz w:val="16"/>
          <w:szCs w:val="16"/>
        </w:rPr>
        <w:t> </w:t>
      </w:r>
      <w:r w:rsidRPr="00BA638C">
        <w:rPr>
          <w:color w:val="000000"/>
          <w:sz w:val="16"/>
          <w:szCs w:val="16"/>
        </w:rPr>
        <w:t>30,</w:t>
      </w:r>
      <w:r w:rsidR="00286D9F">
        <w:rPr>
          <w:color w:val="000000"/>
          <w:sz w:val="16"/>
          <w:szCs w:val="16"/>
        </w:rPr>
        <w:t> </w:t>
      </w:r>
      <w:r w:rsidRPr="00BA638C">
        <w:rPr>
          <w:color w:val="000000"/>
          <w:sz w:val="16"/>
          <w:szCs w:val="16"/>
        </w:rPr>
        <w:t>2013,</w:t>
      </w:r>
      <w:r w:rsidR="00286D9F">
        <w:rPr>
          <w:color w:val="000000"/>
          <w:sz w:val="16"/>
          <w:szCs w:val="16"/>
        </w:rPr>
        <w:t> </w:t>
      </w:r>
      <w:r w:rsidRPr="00BA638C">
        <w:rPr>
          <w:color w:val="000000"/>
          <w:sz w:val="16"/>
          <w:szCs w:val="16"/>
        </w:rPr>
        <w:t>accessed</w:t>
      </w:r>
      <w:r w:rsidR="00286D9F">
        <w:rPr>
          <w:color w:val="000000"/>
          <w:sz w:val="16"/>
          <w:szCs w:val="16"/>
        </w:rPr>
        <w:t> </w:t>
      </w:r>
      <w:r w:rsidRPr="00BA638C">
        <w:rPr>
          <w:color w:val="000000"/>
          <w:sz w:val="16"/>
          <w:szCs w:val="16"/>
        </w:rPr>
        <w:t>May</w:t>
      </w:r>
      <w:r w:rsidR="00286D9F">
        <w:rPr>
          <w:color w:val="000000"/>
          <w:sz w:val="16"/>
          <w:szCs w:val="16"/>
        </w:rPr>
        <w:t> </w:t>
      </w:r>
      <w:r w:rsidRPr="00BA638C">
        <w:rPr>
          <w:color w:val="000000"/>
          <w:sz w:val="16"/>
          <w:szCs w:val="16"/>
        </w:rPr>
        <w:t>13,</w:t>
      </w:r>
      <w:r w:rsidR="00286D9F">
        <w:rPr>
          <w:color w:val="000000"/>
          <w:sz w:val="16"/>
          <w:szCs w:val="16"/>
        </w:rPr>
        <w:t> </w:t>
      </w:r>
      <w:r w:rsidRPr="00BA638C">
        <w:rPr>
          <w:color w:val="000000"/>
          <w:sz w:val="16"/>
          <w:szCs w:val="16"/>
        </w:rPr>
        <w:t>2019,</w:t>
      </w:r>
      <w:r w:rsidR="00286D9F">
        <w:rPr>
          <w:color w:val="000000"/>
          <w:sz w:val="16"/>
          <w:szCs w:val="16"/>
        </w:rPr>
        <w:t> </w:t>
      </w:r>
      <w:r w:rsidRPr="00BA638C">
        <w:rPr>
          <w:sz w:val="16"/>
          <w:szCs w:val="16"/>
        </w:rPr>
        <w:t>www.pfizer.com/files/annualreport/2012/financial/financial2012.pdf</w:t>
      </w:r>
      <w:r w:rsidRPr="00BA638C">
        <w:rPr>
          <w:rStyle w:val="HTMLCite"/>
          <w:color w:val="000000"/>
          <w:sz w:val="16"/>
          <w:szCs w:val="16"/>
        </w:rPr>
        <w:t>.</w:t>
      </w:r>
    </w:p>
  </w:endnote>
  <w:endnote w:id="26">
    <w:p w14:paraId="3ED89E71" w14:textId="206ED52E" w:rsidR="00E12CB1" w:rsidRPr="00BA638C" w:rsidRDefault="00E12CB1" w:rsidP="0031014C">
      <w:pPr>
        <w:pStyle w:val="Footnote"/>
        <w:rPr>
          <w:color w:val="000000"/>
          <w:sz w:val="16"/>
          <w:szCs w:val="16"/>
        </w:rPr>
      </w:pPr>
      <w:r w:rsidRPr="00BA638C">
        <w:rPr>
          <w:rStyle w:val="EndnoteReference"/>
          <w:sz w:val="16"/>
          <w:szCs w:val="16"/>
        </w:rPr>
        <w:endnoteRef/>
      </w:r>
      <w:r w:rsidRPr="00BA638C">
        <w:rPr>
          <w:sz w:val="16"/>
          <w:szCs w:val="16"/>
        </w:rPr>
        <w:t xml:space="preserve"> </w:t>
      </w:r>
      <w:r w:rsidRPr="00BA638C">
        <w:rPr>
          <w:color w:val="000000"/>
          <w:sz w:val="16"/>
          <w:szCs w:val="16"/>
        </w:rPr>
        <w:t xml:space="preserve">Financial Times, “Pfizer </w:t>
      </w:r>
      <w:r>
        <w:rPr>
          <w:color w:val="000000"/>
          <w:sz w:val="16"/>
          <w:szCs w:val="16"/>
        </w:rPr>
        <w:t>H</w:t>
      </w:r>
      <w:r w:rsidRPr="00BA638C">
        <w:rPr>
          <w:color w:val="000000"/>
          <w:sz w:val="16"/>
          <w:szCs w:val="16"/>
        </w:rPr>
        <w:t xml:space="preserve">ints </w:t>
      </w:r>
      <w:r>
        <w:rPr>
          <w:color w:val="000000"/>
          <w:sz w:val="16"/>
          <w:szCs w:val="16"/>
        </w:rPr>
        <w:t>C</w:t>
      </w:r>
      <w:r w:rsidRPr="00BA638C">
        <w:rPr>
          <w:color w:val="000000"/>
          <w:sz w:val="16"/>
          <w:szCs w:val="16"/>
        </w:rPr>
        <w:t xml:space="preserve">ore </w:t>
      </w:r>
      <w:r>
        <w:rPr>
          <w:color w:val="000000"/>
          <w:sz w:val="16"/>
          <w:szCs w:val="16"/>
        </w:rPr>
        <w:t>D</w:t>
      </w:r>
      <w:r w:rsidRPr="00BA638C">
        <w:rPr>
          <w:color w:val="000000"/>
          <w:sz w:val="16"/>
          <w:szCs w:val="16"/>
        </w:rPr>
        <w:t xml:space="preserve">rugs </w:t>
      </w:r>
      <w:r>
        <w:rPr>
          <w:color w:val="000000"/>
          <w:sz w:val="16"/>
          <w:szCs w:val="16"/>
        </w:rPr>
        <w:t>U</w:t>
      </w:r>
      <w:r w:rsidRPr="00BA638C">
        <w:rPr>
          <w:color w:val="000000"/>
          <w:sz w:val="16"/>
          <w:szCs w:val="16"/>
        </w:rPr>
        <w:t xml:space="preserve">nit </w:t>
      </w:r>
      <w:r>
        <w:rPr>
          <w:color w:val="000000"/>
          <w:sz w:val="16"/>
          <w:szCs w:val="16"/>
        </w:rPr>
        <w:t>M</w:t>
      </w:r>
      <w:r w:rsidRPr="00BA638C">
        <w:rPr>
          <w:color w:val="000000"/>
          <w:sz w:val="16"/>
          <w:szCs w:val="16"/>
        </w:rPr>
        <w:t xml:space="preserve">ay be </w:t>
      </w:r>
      <w:r>
        <w:rPr>
          <w:color w:val="000000"/>
          <w:sz w:val="16"/>
          <w:szCs w:val="16"/>
        </w:rPr>
        <w:t>S</w:t>
      </w:r>
      <w:r w:rsidRPr="00BA638C">
        <w:rPr>
          <w:color w:val="000000"/>
          <w:sz w:val="16"/>
          <w:szCs w:val="16"/>
        </w:rPr>
        <w:t xml:space="preserve">plit,” </w:t>
      </w:r>
      <w:r w:rsidRPr="00BA638C">
        <w:rPr>
          <w:i/>
          <w:color w:val="000000"/>
          <w:sz w:val="16"/>
          <w:szCs w:val="16"/>
        </w:rPr>
        <w:t>Financial Times</w:t>
      </w:r>
      <w:r w:rsidRPr="00BA638C">
        <w:rPr>
          <w:color w:val="000000"/>
          <w:sz w:val="16"/>
          <w:szCs w:val="16"/>
        </w:rPr>
        <w:t xml:space="preserve">, July 11, 2013, accessed May 29, 2019, </w:t>
      </w:r>
      <w:r w:rsidRPr="00BA638C">
        <w:rPr>
          <w:sz w:val="16"/>
          <w:szCs w:val="16"/>
        </w:rPr>
        <w:t>www.ft.com/content/39b608e6-6a14-11e2-a7d2-00144feab49a</w:t>
      </w:r>
      <w:r w:rsidRPr="00BA638C">
        <w:rPr>
          <w:color w:val="000000"/>
          <w:sz w:val="16"/>
          <w:szCs w:val="16"/>
        </w:rPr>
        <w:t>.</w:t>
      </w:r>
    </w:p>
  </w:endnote>
  <w:endnote w:id="27">
    <w:p w14:paraId="17433975" w14:textId="56F5083F" w:rsidR="00E12CB1" w:rsidRPr="00BA638C" w:rsidRDefault="00E12CB1" w:rsidP="0031014C">
      <w:pPr>
        <w:pStyle w:val="Footnote"/>
        <w:rPr>
          <w:color w:val="000000"/>
          <w:sz w:val="16"/>
          <w:szCs w:val="16"/>
        </w:rPr>
      </w:pPr>
      <w:r w:rsidRPr="00BA638C">
        <w:rPr>
          <w:rStyle w:val="EndnoteReference"/>
          <w:sz w:val="16"/>
          <w:szCs w:val="16"/>
        </w:rPr>
        <w:endnoteRef/>
      </w:r>
      <w:r w:rsidRPr="00BA638C">
        <w:rPr>
          <w:sz w:val="16"/>
          <w:szCs w:val="16"/>
        </w:rPr>
        <w:t xml:space="preserve"> </w:t>
      </w:r>
      <w:r w:rsidRPr="00BA638C">
        <w:rPr>
          <w:color w:val="000000"/>
          <w:sz w:val="16"/>
          <w:szCs w:val="16"/>
        </w:rPr>
        <w:t xml:space="preserve">Pfizer, “Pfizer Reviewing Strategic Alternatives for Consumer Healthcare Business,” </w:t>
      </w:r>
      <w:r>
        <w:rPr>
          <w:color w:val="000000"/>
          <w:sz w:val="16"/>
          <w:szCs w:val="16"/>
        </w:rPr>
        <w:t xml:space="preserve">news release, </w:t>
      </w:r>
      <w:r w:rsidRPr="00BA638C">
        <w:rPr>
          <w:color w:val="000000"/>
          <w:sz w:val="16"/>
          <w:szCs w:val="16"/>
          <w:lang w:eastAsia="de-DE"/>
        </w:rPr>
        <w:t>October 10, 2017,</w:t>
      </w:r>
      <w:r w:rsidRPr="00BA638C">
        <w:rPr>
          <w:color w:val="000000"/>
          <w:sz w:val="16"/>
          <w:szCs w:val="16"/>
        </w:rPr>
        <w:t xml:space="preserve"> accessed May 13, 2019,</w:t>
      </w:r>
      <w:r>
        <w:rPr>
          <w:color w:val="000000"/>
          <w:sz w:val="16"/>
          <w:szCs w:val="16"/>
        </w:rPr>
        <w:t xml:space="preserve"> </w:t>
      </w:r>
      <w:r w:rsidRPr="00BA638C">
        <w:rPr>
          <w:sz w:val="16"/>
          <w:szCs w:val="16"/>
        </w:rPr>
        <w:t xml:space="preserve">www.pfizer.com/news/press-release/press-release-detail/pfizer_reviewing_strategic_alternatives_for_consumer_healt </w:t>
      </w:r>
      <w:proofErr w:type="spellStart"/>
      <w:r w:rsidRPr="00BA638C">
        <w:rPr>
          <w:sz w:val="16"/>
          <w:szCs w:val="16"/>
        </w:rPr>
        <w:t>hcare_business</w:t>
      </w:r>
      <w:proofErr w:type="spellEnd"/>
      <w:r w:rsidRPr="00BA638C">
        <w:rPr>
          <w:color w:val="000000"/>
          <w:sz w:val="16"/>
          <w:szCs w:val="16"/>
        </w:rPr>
        <w:t xml:space="preserve">; Fortune, “Pfizer Has Abandoned Its Plan to Split Into Two Companies,” </w:t>
      </w:r>
      <w:r w:rsidRPr="00BA638C">
        <w:rPr>
          <w:i/>
          <w:color w:val="000000"/>
          <w:sz w:val="16"/>
          <w:szCs w:val="16"/>
        </w:rPr>
        <w:t xml:space="preserve">Fortune, </w:t>
      </w:r>
      <w:r w:rsidRPr="00BA638C">
        <w:rPr>
          <w:color w:val="000000"/>
          <w:sz w:val="16"/>
          <w:szCs w:val="16"/>
        </w:rPr>
        <w:t xml:space="preserve">September 26, 2016, accessed May 29, 2019, </w:t>
      </w:r>
      <w:r w:rsidRPr="00BA638C">
        <w:rPr>
          <w:sz w:val="16"/>
          <w:szCs w:val="16"/>
        </w:rPr>
        <w:t>http://fortune.com/2016/09/26/pfizer-split-companies/</w:t>
      </w:r>
      <w:r w:rsidRPr="00BA638C">
        <w:rPr>
          <w:color w:val="000000"/>
          <w:sz w:val="16"/>
          <w:szCs w:val="16"/>
        </w:rPr>
        <w:t>.</w:t>
      </w:r>
    </w:p>
  </w:endnote>
  <w:endnote w:id="28">
    <w:p w14:paraId="60170479" w14:textId="2C106EA3" w:rsidR="00E12CB1" w:rsidRPr="00BA638C" w:rsidRDefault="00E12CB1" w:rsidP="0031014C">
      <w:pPr>
        <w:pStyle w:val="Footnote"/>
        <w:rPr>
          <w:noProof/>
          <w:sz w:val="16"/>
          <w:szCs w:val="16"/>
        </w:rPr>
      </w:pPr>
      <w:r w:rsidRPr="00BA638C">
        <w:rPr>
          <w:noProof/>
          <w:sz w:val="16"/>
          <w:szCs w:val="16"/>
          <w:vertAlign w:val="superscript"/>
        </w:rPr>
        <w:endnoteRef/>
      </w:r>
      <w:r w:rsidRPr="00BA638C">
        <w:rPr>
          <w:noProof/>
          <w:sz w:val="16"/>
          <w:szCs w:val="16"/>
        </w:rPr>
        <w:t xml:space="preserve"> </w:t>
      </w:r>
      <w:r w:rsidRPr="00BA638C">
        <w:rPr>
          <w:color w:val="000000"/>
          <w:sz w:val="16"/>
          <w:szCs w:val="16"/>
        </w:rPr>
        <w:t xml:space="preserve">Financial Times, “Pfizer </w:t>
      </w:r>
      <w:r>
        <w:rPr>
          <w:color w:val="000000"/>
          <w:sz w:val="16"/>
          <w:szCs w:val="16"/>
        </w:rPr>
        <w:t>S</w:t>
      </w:r>
      <w:r w:rsidRPr="00BA638C">
        <w:rPr>
          <w:color w:val="000000"/>
          <w:sz w:val="16"/>
          <w:szCs w:val="16"/>
        </w:rPr>
        <w:t xml:space="preserve">trategy in </w:t>
      </w:r>
      <w:r>
        <w:rPr>
          <w:color w:val="000000"/>
          <w:sz w:val="16"/>
          <w:szCs w:val="16"/>
        </w:rPr>
        <w:t>S</w:t>
      </w:r>
      <w:r w:rsidRPr="00BA638C">
        <w:rPr>
          <w:color w:val="000000"/>
          <w:sz w:val="16"/>
          <w:szCs w:val="16"/>
        </w:rPr>
        <w:t xml:space="preserve">potlight after </w:t>
      </w:r>
      <w:r>
        <w:rPr>
          <w:color w:val="000000"/>
          <w:sz w:val="16"/>
          <w:szCs w:val="16"/>
        </w:rPr>
        <w:t>F</w:t>
      </w:r>
      <w:r w:rsidRPr="00BA638C">
        <w:rPr>
          <w:color w:val="000000"/>
          <w:sz w:val="16"/>
          <w:szCs w:val="16"/>
        </w:rPr>
        <w:t xml:space="preserve">ailure of AstraZeneca </w:t>
      </w:r>
      <w:r>
        <w:rPr>
          <w:color w:val="000000"/>
          <w:sz w:val="16"/>
          <w:szCs w:val="16"/>
        </w:rPr>
        <w:t>D</w:t>
      </w:r>
      <w:r w:rsidRPr="00BA638C">
        <w:rPr>
          <w:color w:val="000000"/>
          <w:sz w:val="16"/>
          <w:szCs w:val="16"/>
        </w:rPr>
        <w:t xml:space="preserve">eal,” </w:t>
      </w:r>
      <w:r w:rsidRPr="00BA638C">
        <w:rPr>
          <w:i/>
          <w:color w:val="000000"/>
          <w:sz w:val="16"/>
          <w:szCs w:val="16"/>
        </w:rPr>
        <w:t>Financial Times</w:t>
      </w:r>
      <w:r w:rsidRPr="00BA638C">
        <w:rPr>
          <w:color w:val="000000"/>
          <w:sz w:val="16"/>
          <w:szCs w:val="16"/>
        </w:rPr>
        <w:t xml:space="preserve">, May 20, 2014, accessed May 29, 2019, </w:t>
      </w:r>
      <w:r w:rsidRPr="00BA638C">
        <w:rPr>
          <w:sz w:val="16"/>
          <w:szCs w:val="16"/>
        </w:rPr>
        <w:t>www.ft.com/content/05e0389c-e039-11e3-9534-00144feabdc0</w:t>
      </w:r>
      <w:r w:rsidRPr="00BA638C">
        <w:rPr>
          <w:color w:val="000000"/>
          <w:sz w:val="16"/>
          <w:szCs w:val="16"/>
        </w:rPr>
        <w:t>.</w:t>
      </w:r>
    </w:p>
  </w:endnote>
  <w:endnote w:id="29">
    <w:p w14:paraId="6E1372A4" w14:textId="0D713CFB" w:rsidR="00E12CB1" w:rsidRPr="00BA638C" w:rsidRDefault="00E12CB1" w:rsidP="0031014C">
      <w:pPr>
        <w:pStyle w:val="Footnote"/>
        <w:rPr>
          <w:color w:val="000000"/>
          <w:sz w:val="16"/>
          <w:szCs w:val="16"/>
        </w:rPr>
      </w:pPr>
      <w:r w:rsidRPr="00BA638C">
        <w:rPr>
          <w:sz w:val="16"/>
          <w:szCs w:val="16"/>
          <w:vertAlign w:val="superscript"/>
        </w:rPr>
        <w:endnoteRef/>
      </w:r>
      <w:r w:rsidRPr="00BA638C">
        <w:rPr>
          <w:sz w:val="16"/>
          <w:szCs w:val="16"/>
        </w:rPr>
        <w:t xml:space="preserve"> </w:t>
      </w:r>
      <w:r w:rsidRPr="00BA638C">
        <w:rPr>
          <w:color w:val="000000"/>
          <w:sz w:val="16"/>
          <w:szCs w:val="16"/>
        </w:rPr>
        <w:t xml:space="preserve">Jeffrey McCracken, “Pfizer to Terminate $160 Billion Merger With Allergan,” </w:t>
      </w:r>
      <w:r w:rsidRPr="00553B93">
        <w:rPr>
          <w:color w:val="000000"/>
          <w:sz w:val="16"/>
          <w:szCs w:val="16"/>
        </w:rPr>
        <w:t>Bloomberg</w:t>
      </w:r>
      <w:r w:rsidRPr="00E12CB1">
        <w:rPr>
          <w:color w:val="000000"/>
          <w:sz w:val="16"/>
          <w:szCs w:val="16"/>
        </w:rPr>
        <w:t xml:space="preserve">, </w:t>
      </w:r>
      <w:r w:rsidRPr="00BA638C">
        <w:rPr>
          <w:color w:val="000000"/>
          <w:sz w:val="16"/>
          <w:szCs w:val="16"/>
        </w:rPr>
        <w:t xml:space="preserve">April 6, 2016, accessed May 13, 2019, </w:t>
      </w:r>
      <w:r w:rsidRPr="00BA638C">
        <w:rPr>
          <w:sz w:val="16"/>
          <w:szCs w:val="16"/>
        </w:rPr>
        <w:t>www.bloomberg.com/news/articles/2016-04-06/pfizer-allergan-plan-to-mutually-end-merger-cnbc-reports</w:t>
      </w:r>
      <w:r w:rsidRPr="00BA638C">
        <w:rPr>
          <w:color w:val="000000"/>
          <w:sz w:val="16"/>
          <w:szCs w:val="16"/>
        </w:rPr>
        <w:t xml:space="preserve">; Corinne </w:t>
      </w:r>
      <w:proofErr w:type="spellStart"/>
      <w:r w:rsidRPr="00BA638C">
        <w:rPr>
          <w:color w:val="000000"/>
          <w:sz w:val="16"/>
          <w:szCs w:val="16"/>
        </w:rPr>
        <w:t>Jurney</w:t>
      </w:r>
      <w:proofErr w:type="spellEnd"/>
      <w:r w:rsidRPr="00BA638C">
        <w:rPr>
          <w:color w:val="000000"/>
          <w:sz w:val="16"/>
          <w:szCs w:val="16"/>
        </w:rPr>
        <w:t xml:space="preserve">, “2016 Global 2000: The World's Largest Drug And Biotech Companies,” </w:t>
      </w:r>
      <w:r w:rsidRPr="00BA638C">
        <w:rPr>
          <w:i/>
          <w:color w:val="000000"/>
          <w:sz w:val="16"/>
          <w:szCs w:val="16"/>
        </w:rPr>
        <w:t>Forbes</w:t>
      </w:r>
      <w:r w:rsidRPr="00BA638C">
        <w:rPr>
          <w:color w:val="000000"/>
          <w:sz w:val="16"/>
          <w:szCs w:val="16"/>
        </w:rPr>
        <w:t xml:space="preserve">, May 27, 2016, accessed May 29, 2019, </w:t>
      </w:r>
      <w:r w:rsidRPr="00BA638C">
        <w:rPr>
          <w:sz w:val="16"/>
          <w:szCs w:val="16"/>
        </w:rPr>
        <w:t>www.forbes.com/sites/corinnejurney/2016/05/27/2016-global-2000-the-worlds-largest-drug-and-biotech-companies/</w:t>
      </w:r>
      <w:r w:rsidRPr="00BA638C">
        <w:rPr>
          <w:color w:val="000000"/>
          <w:sz w:val="16"/>
          <w:szCs w:val="16"/>
        </w:rPr>
        <w:t xml:space="preserve">; The Economist, “The Retreat of the Global Company,” </w:t>
      </w:r>
      <w:r w:rsidRPr="00553B93">
        <w:rPr>
          <w:i/>
          <w:color w:val="000000"/>
          <w:sz w:val="16"/>
          <w:szCs w:val="16"/>
        </w:rPr>
        <w:t>Economist</w:t>
      </w:r>
      <w:r w:rsidRPr="00BA638C">
        <w:rPr>
          <w:color w:val="000000"/>
          <w:sz w:val="16"/>
          <w:szCs w:val="16"/>
        </w:rPr>
        <w:t xml:space="preserve">, January 28, 2017, accessed May 29, 2019, </w:t>
      </w:r>
      <w:r w:rsidRPr="00BA638C">
        <w:rPr>
          <w:sz w:val="16"/>
          <w:szCs w:val="16"/>
        </w:rPr>
        <w:t>www.economist.com/briefing/2017/01/28/the-retreat-of-the-global-company</w:t>
      </w:r>
      <w:r w:rsidRPr="00BA638C">
        <w:rPr>
          <w:color w:val="000000"/>
          <w:sz w:val="16"/>
          <w:szCs w:val="16"/>
        </w:rPr>
        <w:t>.</w:t>
      </w:r>
    </w:p>
  </w:endnote>
  <w:endnote w:id="30">
    <w:p w14:paraId="5E5DB25D" w14:textId="7EBF0A32" w:rsidR="00E12CB1" w:rsidRPr="00BA638C" w:rsidRDefault="00E12CB1" w:rsidP="0031014C">
      <w:pPr>
        <w:pStyle w:val="Footnote"/>
        <w:rPr>
          <w:color w:val="000000"/>
          <w:sz w:val="16"/>
          <w:szCs w:val="16"/>
        </w:rPr>
      </w:pPr>
      <w:r w:rsidRPr="00BA638C">
        <w:rPr>
          <w:rStyle w:val="EndnoteReference"/>
          <w:sz w:val="16"/>
          <w:szCs w:val="16"/>
        </w:rPr>
        <w:endnoteRef/>
      </w:r>
      <w:r w:rsidRPr="00BA638C">
        <w:rPr>
          <w:sz w:val="16"/>
          <w:szCs w:val="16"/>
        </w:rPr>
        <w:t xml:space="preserve"> </w:t>
      </w:r>
      <w:r w:rsidR="00690617" w:rsidRPr="00BA638C">
        <w:rPr>
          <w:color w:val="000000"/>
          <w:sz w:val="16"/>
          <w:szCs w:val="16"/>
        </w:rPr>
        <w:t>Evaluate, “World Preview 201</w:t>
      </w:r>
      <w:r w:rsidR="00690617">
        <w:rPr>
          <w:color w:val="000000"/>
          <w:sz w:val="16"/>
          <w:szCs w:val="16"/>
        </w:rPr>
        <w:t>6, Outlook to 2022</w:t>
      </w:r>
      <w:r w:rsidR="00690617" w:rsidRPr="00BA638C">
        <w:rPr>
          <w:color w:val="000000"/>
          <w:sz w:val="16"/>
          <w:szCs w:val="16"/>
        </w:rPr>
        <w:t xml:space="preserve">,” Evaluate Group, June 2018, accessed May 13, 2019, </w:t>
      </w:r>
      <w:r w:rsidR="00690617" w:rsidRPr="00286D9F">
        <w:t>http://info.evaluategroup.com/rs/607-YGS-364/images/wp16.pdf</w:t>
      </w:r>
      <w:r w:rsidR="00690617" w:rsidRPr="00BA638C">
        <w:rPr>
          <w:color w:val="000000"/>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A6DDA" w14:textId="77777777" w:rsidR="00465F04" w:rsidRDefault="00465F04" w:rsidP="00D75295">
      <w:r>
        <w:separator/>
      </w:r>
    </w:p>
  </w:footnote>
  <w:footnote w:type="continuationSeparator" w:id="0">
    <w:p w14:paraId="3FD36F43" w14:textId="77777777" w:rsidR="00465F04" w:rsidRDefault="00465F0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293FAB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E70FA">
      <w:rPr>
        <w:rFonts w:ascii="Arial" w:hAnsi="Arial"/>
        <w:b/>
        <w:noProof/>
      </w:rPr>
      <w:t>6</w:t>
    </w:r>
    <w:r>
      <w:rPr>
        <w:rFonts w:ascii="Arial" w:hAnsi="Arial"/>
        <w:b/>
      </w:rPr>
      <w:fldChar w:fldCharType="end"/>
    </w:r>
    <w:r>
      <w:rPr>
        <w:rFonts w:ascii="Arial" w:hAnsi="Arial"/>
        <w:b/>
      </w:rPr>
      <w:tab/>
    </w:r>
    <w:r w:rsidR="00286D9F">
      <w:rPr>
        <w:rFonts w:ascii="Arial" w:hAnsi="Arial"/>
        <w:b/>
      </w:rPr>
      <w:t>9B19M077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5AA"/>
    <w:multiLevelType w:val="hybridMultilevel"/>
    <w:tmpl w:val="C66EE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830"/>
    <w:rsid w:val="00013360"/>
    <w:rsid w:val="00016759"/>
    <w:rsid w:val="000216CE"/>
    <w:rsid w:val="00024ED4"/>
    <w:rsid w:val="00025DC7"/>
    <w:rsid w:val="00035F09"/>
    <w:rsid w:val="00042426"/>
    <w:rsid w:val="00044ECC"/>
    <w:rsid w:val="000531D3"/>
    <w:rsid w:val="0005646B"/>
    <w:rsid w:val="00057282"/>
    <w:rsid w:val="000615D1"/>
    <w:rsid w:val="0008102D"/>
    <w:rsid w:val="00086B26"/>
    <w:rsid w:val="00091AF1"/>
    <w:rsid w:val="00094C0E"/>
    <w:rsid w:val="000A146D"/>
    <w:rsid w:val="000C18F4"/>
    <w:rsid w:val="000C2515"/>
    <w:rsid w:val="000D2A2F"/>
    <w:rsid w:val="000D7091"/>
    <w:rsid w:val="000E70FA"/>
    <w:rsid w:val="000F0C22"/>
    <w:rsid w:val="000F6B09"/>
    <w:rsid w:val="000F6FDC"/>
    <w:rsid w:val="00104567"/>
    <w:rsid w:val="00104916"/>
    <w:rsid w:val="00104AA7"/>
    <w:rsid w:val="00116ED4"/>
    <w:rsid w:val="00120944"/>
    <w:rsid w:val="0012732D"/>
    <w:rsid w:val="00143F25"/>
    <w:rsid w:val="00152682"/>
    <w:rsid w:val="00154FC9"/>
    <w:rsid w:val="00167C3B"/>
    <w:rsid w:val="00172C45"/>
    <w:rsid w:val="001900D2"/>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74CE3"/>
    <w:rsid w:val="00286D9F"/>
    <w:rsid w:val="002B40FF"/>
    <w:rsid w:val="002C4E29"/>
    <w:rsid w:val="002E500C"/>
    <w:rsid w:val="002F460C"/>
    <w:rsid w:val="002F48D6"/>
    <w:rsid w:val="0031014C"/>
    <w:rsid w:val="00317391"/>
    <w:rsid w:val="00326216"/>
    <w:rsid w:val="003336B5"/>
    <w:rsid w:val="00336580"/>
    <w:rsid w:val="003442FA"/>
    <w:rsid w:val="00354899"/>
    <w:rsid w:val="00355FD6"/>
    <w:rsid w:val="00364A5C"/>
    <w:rsid w:val="00373FB1"/>
    <w:rsid w:val="00380C6F"/>
    <w:rsid w:val="00396C76"/>
    <w:rsid w:val="003A5D11"/>
    <w:rsid w:val="003B30D8"/>
    <w:rsid w:val="003B7EF2"/>
    <w:rsid w:val="003C3FA4"/>
    <w:rsid w:val="003D0BA1"/>
    <w:rsid w:val="003F2B0C"/>
    <w:rsid w:val="004105B2"/>
    <w:rsid w:val="0041145A"/>
    <w:rsid w:val="00412900"/>
    <w:rsid w:val="004207AB"/>
    <w:rsid w:val="004221E4"/>
    <w:rsid w:val="004273F8"/>
    <w:rsid w:val="004355A3"/>
    <w:rsid w:val="00446546"/>
    <w:rsid w:val="00452769"/>
    <w:rsid w:val="00454FA7"/>
    <w:rsid w:val="00456CDE"/>
    <w:rsid w:val="0046292F"/>
    <w:rsid w:val="00464113"/>
    <w:rsid w:val="00465348"/>
    <w:rsid w:val="00465F04"/>
    <w:rsid w:val="004970B9"/>
    <w:rsid w:val="004979A5"/>
    <w:rsid w:val="004A25E0"/>
    <w:rsid w:val="004B1CCB"/>
    <w:rsid w:val="004B632F"/>
    <w:rsid w:val="004D3FB1"/>
    <w:rsid w:val="004D62A7"/>
    <w:rsid w:val="004D6F21"/>
    <w:rsid w:val="004D73A5"/>
    <w:rsid w:val="00505BFC"/>
    <w:rsid w:val="005160F1"/>
    <w:rsid w:val="00524F2F"/>
    <w:rsid w:val="00527088"/>
    <w:rsid w:val="00527E5C"/>
    <w:rsid w:val="00530619"/>
    <w:rsid w:val="00532CF5"/>
    <w:rsid w:val="005528CB"/>
    <w:rsid w:val="00553B93"/>
    <w:rsid w:val="00556525"/>
    <w:rsid w:val="00566771"/>
    <w:rsid w:val="0057169D"/>
    <w:rsid w:val="00574F71"/>
    <w:rsid w:val="005818EE"/>
    <w:rsid w:val="00581E2E"/>
    <w:rsid w:val="00584F15"/>
    <w:rsid w:val="00593D68"/>
    <w:rsid w:val="0059514B"/>
    <w:rsid w:val="005A1B0F"/>
    <w:rsid w:val="005B4CE6"/>
    <w:rsid w:val="005B5EFE"/>
    <w:rsid w:val="005B6FA0"/>
    <w:rsid w:val="006163F7"/>
    <w:rsid w:val="00627C63"/>
    <w:rsid w:val="00632963"/>
    <w:rsid w:val="0063350B"/>
    <w:rsid w:val="00651A80"/>
    <w:rsid w:val="00652606"/>
    <w:rsid w:val="0066250D"/>
    <w:rsid w:val="00690617"/>
    <w:rsid w:val="006946EE"/>
    <w:rsid w:val="006A00ED"/>
    <w:rsid w:val="006A58A9"/>
    <w:rsid w:val="006A606D"/>
    <w:rsid w:val="006C0371"/>
    <w:rsid w:val="006C08B6"/>
    <w:rsid w:val="006C0B1A"/>
    <w:rsid w:val="006C6065"/>
    <w:rsid w:val="006C7F9F"/>
    <w:rsid w:val="006E19A5"/>
    <w:rsid w:val="006E2F6D"/>
    <w:rsid w:val="006E58F6"/>
    <w:rsid w:val="006E77E1"/>
    <w:rsid w:val="006F131D"/>
    <w:rsid w:val="00711642"/>
    <w:rsid w:val="007213C6"/>
    <w:rsid w:val="007507C6"/>
    <w:rsid w:val="00751E0B"/>
    <w:rsid w:val="00752BCD"/>
    <w:rsid w:val="00754806"/>
    <w:rsid w:val="00766DA1"/>
    <w:rsid w:val="00771069"/>
    <w:rsid w:val="00780D94"/>
    <w:rsid w:val="007866A6"/>
    <w:rsid w:val="007A130D"/>
    <w:rsid w:val="007A2538"/>
    <w:rsid w:val="007B05B9"/>
    <w:rsid w:val="007C17F0"/>
    <w:rsid w:val="007D1A2D"/>
    <w:rsid w:val="007D32E6"/>
    <w:rsid w:val="007D4102"/>
    <w:rsid w:val="007E54A7"/>
    <w:rsid w:val="007F43B7"/>
    <w:rsid w:val="00821FFC"/>
    <w:rsid w:val="008271CA"/>
    <w:rsid w:val="00837BA3"/>
    <w:rsid w:val="008467D5"/>
    <w:rsid w:val="00886E75"/>
    <w:rsid w:val="008A4DC4"/>
    <w:rsid w:val="008B438C"/>
    <w:rsid w:val="008D06CA"/>
    <w:rsid w:val="008D3A46"/>
    <w:rsid w:val="008F2385"/>
    <w:rsid w:val="008F5706"/>
    <w:rsid w:val="009067A4"/>
    <w:rsid w:val="00930885"/>
    <w:rsid w:val="00933D68"/>
    <w:rsid w:val="009340DB"/>
    <w:rsid w:val="00936F9E"/>
    <w:rsid w:val="0094618C"/>
    <w:rsid w:val="0095684B"/>
    <w:rsid w:val="009706E5"/>
    <w:rsid w:val="00972498"/>
    <w:rsid w:val="0097481F"/>
    <w:rsid w:val="00974CC6"/>
    <w:rsid w:val="00976AD4"/>
    <w:rsid w:val="00995547"/>
    <w:rsid w:val="009A007D"/>
    <w:rsid w:val="009A1BF0"/>
    <w:rsid w:val="009A312F"/>
    <w:rsid w:val="009A5348"/>
    <w:rsid w:val="009B0AB7"/>
    <w:rsid w:val="009C43BE"/>
    <w:rsid w:val="009C76D5"/>
    <w:rsid w:val="009D4AE4"/>
    <w:rsid w:val="009F7AA4"/>
    <w:rsid w:val="00A0009B"/>
    <w:rsid w:val="00A10AD7"/>
    <w:rsid w:val="00A323B0"/>
    <w:rsid w:val="00A43C60"/>
    <w:rsid w:val="00A559DB"/>
    <w:rsid w:val="00A569EA"/>
    <w:rsid w:val="00A569FA"/>
    <w:rsid w:val="00A676A0"/>
    <w:rsid w:val="00A8435C"/>
    <w:rsid w:val="00AB10A5"/>
    <w:rsid w:val="00AC1076"/>
    <w:rsid w:val="00AF35FC"/>
    <w:rsid w:val="00AF5556"/>
    <w:rsid w:val="00B03639"/>
    <w:rsid w:val="00B0652A"/>
    <w:rsid w:val="00B40937"/>
    <w:rsid w:val="00B423EF"/>
    <w:rsid w:val="00B453DE"/>
    <w:rsid w:val="00B62497"/>
    <w:rsid w:val="00B656AC"/>
    <w:rsid w:val="00B72597"/>
    <w:rsid w:val="00B84983"/>
    <w:rsid w:val="00B87DC0"/>
    <w:rsid w:val="00B901F9"/>
    <w:rsid w:val="00BA638C"/>
    <w:rsid w:val="00BB3A5E"/>
    <w:rsid w:val="00BB5432"/>
    <w:rsid w:val="00BC20B3"/>
    <w:rsid w:val="00BC4D98"/>
    <w:rsid w:val="00BD6EFB"/>
    <w:rsid w:val="00BE3DF5"/>
    <w:rsid w:val="00BE5A6D"/>
    <w:rsid w:val="00BF1BFE"/>
    <w:rsid w:val="00BF5EAB"/>
    <w:rsid w:val="00C02410"/>
    <w:rsid w:val="00C1584D"/>
    <w:rsid w:val="00C15BE2"/>
    <w:rsid w:val="00C25ED8"/>
    <w:rsid w:val="00C27B3F"/>
    <w:rsid w:val="00C3447F"/>
    <w:rsid w:val="00C4370A"/>
    <w:rsid w:val="00C44714"/>
    <w:rsid w:val="00C61AE4"/>
    <w:rsid w:val="00C67102"/>
    <w:rsid w:val="00C81491"/>
    <w:rsid w:val="00C81676"/>
    <w:rsid w:val="00C85C5D"/>
    <w:rsid w:val="00C8786B"/>
    <w:rsid w:val="00C92CC4"/>
    <w:rsid w:val="00CA0A1D"/>
    <w:rsid w:val="00CA0AFB"/>
    <w:rsid w:val="00CA2CE1"/>
    <w:rsid w:val="00CA3976"/>
    <w:rsid w:val="00CA50E3"/>
    <w:rsid w:val="00CA757B"/>
    <w:rsid w:val="00CC1787"/>
    <w:rsid w:val="00CC182C"/>
    <w:rsid w:val="00CD0824"/>
    <w:rsid w:val="00CD2908"/>
    <w:rsid w:val="00CD535C"/>
    <w:rsid w:val="00CE0DDB"/>
    <w:rsid w:val="00CE4480"/>
    <w:rsid w:val="00CE4C70"/>
    <w:rsid w:val="00D03A82"/>
    <w:rsid w:val="00D13667"/>
    <w:rsid w:val="00D15344"/>
    <w:rsid w:val="00D15CD5"/>
    <w:rsid w:val="00D23F57"/>
    <w:rsid w:val="00D31BEC"/>
    <w:rsid w:val="00D34DA9"/>
    <w:rsid w:val="00D55178"/>
    <w:rsid w:val="00D6145B"/>
    <w:rsid w:val="00D63150"/>
    <w:rsid w:val="00D636BA"/>
    <w:rsid w:val="00D64A32"/>
    <w:rsid w:val="00D64EFC"/>
    <w:rsid w:val="00D75295"/>
    <w:rsid w:val="00D76CE9"/>
    <w:rsid w:val="00D97F12"/>
    <w:rsid w:val="00DA52D2"/>
    <w:rsid w:val="00DA6095"/>
    <w:rsid w:val="00DB0E8E"/>
    <w:rsid w:val="00DB42E7"/>
    <w:rsid w:val="00DB79A2"/>
    <w:rsid w:val="00DC09D8"/>
    <w:rsid w:val="00DE01A6"/>
    <w:rsid w:val="00DE7A98"/>
    <w:rsid w:val="00DF32C2"/>
    <w:rsid w:val="00E12CB1"/>
    <w:rsid w:val="00E471A7"/>
    <w:rsid w:val="00E513BC"/>
    <w:rsid w:val="00E62467"/>
    <w:rsid w:val="00E635CF"/>
    <w:rsid w:val="00EB1E3B"/>
    <w:rsid w:val="00EC6E0A"/>
    <w:rsid w:val="00ED492B"/>
    <w:rsid w:val="00ED4E18"/>
    <w:rsid w:val="00ED7922"/>
    <w:rsid w:val="00EE02C4"/>
    <w:rsid w:val="00EE1F37"/>
    <w:rsid w:val="00EF3D80"/>
    <w:rsid w:val="00F0159C"/>
    <w:rsid w:val="00F105B7"/>
    <w:rsid w:val="00F13220"/>
    <w:rsid w:val="00F17A21"/>
    <w:rsid w:val="00F36FC2"/>
    <w:rsid w:val="00F37B27"/>
    <w:rsid w:val="00F46556"/>
    <w:rsid w:val="00F50E91"/>
    <w:rsid w:val="00F56799"/>
    <w:rsid w:val="00F57D29"/>
    <w:rsid w:val="00F60786"/>
    <w:rsid w:val="00F90653"/>
    <w:rsid w:val="00F918C4"/>
    <w:rsid w:val="00F91BC7"/>
    <w:rsid w:val="00F96201"/>
    <w:rsid w:val="00FA1BBC"/>
    <w:rsid w:val="00FA6B6F"/>
    <w:rsid w:val="00FC0751"/>
    <w:rsid w:val="00FD0B18"/>
    <w:rsid w:val="00FD2FAD"/>
    <w:rsid w:val="00FE30CE"/>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WUFigureTitleZchn">
    <w:name w:val="WU Figure Title Zchn"/>
    <w:basedOn w:val="DefaultParagraphFont"/>
    <w:link w:val="WUFigureTitle"/>
    <w:locked/>
    <w:rsid w:val="004970B9"/>
    <w:rPr>
      <w:rFonts w:ascii="Verdana" w:hAnsi="Verdana"/>
      <w:sz w:val="16"/>
      <w:szCs w:val="14"/>
    </w:rPr>
  </w:style>
  <w:style w:type="paragraph" w:customStyle="1" w:styleId="WUFigureTitle">
    <w:name w:val="WU Figure Title"/>
    <w:basedOn w:val="Normal"/>
    <w:link w:val="WUFigureTitleZchn"/>
    <w:qFormat/>
    <w:rsid w:val="004970B9"/>
    <w:pPr>
      <w:spacing w:before="60" w:after="60" w:line="276" w:lineRule="auto"/>
    </w:pPr>
    <w:rPr>
      <w:rFonts w:ascii="Verdana" w:eastAsiaTheme="minorHAnsi" w:hAnsi="Verdana" w:cstheme="minorBidi"/>
      <w:sz w:val="16"/>
      <w:szCs w:val="14"/>
    </w:rPr>
  </w:style>
  <w:style w:type="paragraph" w:customStyle="1" w:styleId="SourceBeschriftung">
    <w:name w:val="Source Beschriftung"/>
    <w:basedOn w:val="WUFigureTitle"/>
    <w:link w:val="SourceBeschriftungZchn"/>
    <w:qFormat/>
    <w:rsid w:val="004970B9"/>
    <w:rPr>
      <w:rFonts w:eastAsia="Calibri" w:cs="Times New Roman"/>
      <w:sz w:val="14"/>
    </w:rPr>
  </w:style>
  <w:style w:type="character" w:customStyle="1" w:styleId="SourceBeschriftungZchn">
    <w:name w:val="Source Beschriftung Zchn"/>
    <w:basedOn w:val="WUFigureTitleZchn"/>
    <w:link w:val="SourceBeschriftung"/>
    <w:rsid w:val="004970B9"/>
    <w:rPr>
      <w:rFonts w:ascii="Verdana" w:eastAsia="Calibri" w:hAnsi="Verdana" w:cs="Times New Roman"/>
      <w:sz w:val="14"/>
      <w:szCs w:val="14"/>
    </w:rPr>
  </w:style>
  <w:style w:type="paragraph" w:customStyle="1" w:styleId="Fussnote">
    <w:name w:val="Fussnote"/>
    <w:basedOn w:val="FootnoteText"/>
    <w:link w:val="FussnoteZchn"/>
    <w:qFormat/>
    <w:rsid w:val="004970B9"/>
    <w:rPr>
      <w:rFonts w:ascii="Verdana" w:hAnsi="Verdana"/>
      <w:sz w:val="14"/>
      <w:szCs w:val="14"/>
      <w:lang w:eastAsia="de-DE"/>
    </w:rPr>
  </w:style>
  <w:style w:type="character" w:customStyle="1" w:styleId="FussnoteZchn">
    <w:name w:val="Fussnote Zchn"/>
    <w:basedOn w:val="FootnoteTextChar"/>
    <w:link w:val="Fussnote"/>
    <w:rsid w:val="004970B9"/>
    <w:rPr>
      <w:rFonts w:ascii="Verdana" w:eastAsia="Times New Roman" w:hAnsi="Verdana" w:cs="Times New Roman"/>
      <w:sz w:val="14"/>
      <w:szCs w:val="14"/>
      <w:lang w:eastAsia="de-DE"/>
    </w:rPr>
  </w:style>
  <w:style w:type="character" w:customStyle="1" w:styleId="WUSourceZchn">
    <w:name w:val="WU Source Zchn"/>
    <w:basedOn w:val="DefaultParagraphFont"/>
    <w:link w:val="WUSource"/>
    <w:locked/>
    <w:rsid w:val="004970B9"/>
    <w:rPr>
      <w:rFonts w:ascii="Verdana" w:hAnsi="Verdana"/>
      <w:i/>
      <w:sz w:val="14"/>
      <w:szCs w:val="14"/>
    </w:rPr>
  </w:style>
  <w:style w:type="paragraph" w:customStyle="1" w:styleId="WUSource">
    <w:name w:val="WU Source"/>
    <w:basedOn w:val="Normal"/>
    <w:link w:val="WUSourceZchn"/>
    <w:qFormat/>
    <w:rsid w:val="004970B9"/>
    <w:pPr>
      <w:spacing w:before="120" w:line="276" w:lineRule="auto"/>
      <w:jc w:val="both"/>
    </w:pPr>
    <w:rPr>
      <w:rFonts w:ascii="Verdana" w:eastAsiaTheme="minorHAnsi" w:hAnsi="Verdana" w:cstheme="minorBidi"/>
      <w:i/>
      <w:sz w:val="14"/>
      <w:szCs w:val="14"/>
    </w:rPr>
  </w:style>
  <w:style w:type="character" w:styleId="HTMLCite">
    <w:name w:val="HTML Cite"/>
    <w:basedOn w:val="DefaultParagraphFont"/>
    <w:uiPriority w:val="99"/>
    <w:semiHidden/>
    <w:unhideWhenUsed/>
    <w:rsid w:val="004970B9"/>
    <w:rPr>
      <w:i/>
      <w:iCs/>
    </w:rPr>
  </w:style>
  <w:style w:type="paragraph" w:customStyle="1" w:styleId="WUText">
    <w:name w:val="WU Text"/>
    <w:basedOn w:val="Normal"/>
    <w:link w:val="WUTextZchn"/>
    <w:qFormat/>
    <w:rsid w:val="004970B9"/>
    <w:pPr>
      <w:spacing w:before="120" w:after="240"/>
      <w:jc w:val="both"/>
    </w:pPr>
    <w:rPr>
      <w:rFonts w:ascii="Verdana" w:eastAsia="Calibri" w:hAnsi="Verdana"/>
      <w:noProof/>
      <w:sz w:val="18"/>
      <w:szCs w:val="18"/>
    </w:rPr>
  </w:style>
  <w:style w:type="character" w:customStyle="1" w:styleId="WUTextZchn">
    <w:name w:val="WU Text Zchn"/>
    <w:basedOn w:val="DefaultParagraphFont"/>
    <w:link w:val="WUText"/>
    <w:rsid w:val="004970B9"/>
    <w:rPr>
      <w:rFonts w:ascii="Verdana" w:eastAsia="Calibri" w:hAnsi="Verdana" w:cs="Times New Roman"/>
      <w:noProof/>
      <w:sz w:val="18"/>
      <w:szCs w:val="18"/>
    </w:rPr>
  </w:style>
  <w:style w:type="paragraph" w:customStyle="1" w:styleId="IVEYappTitel">
    <w:name w:val="IVEY app Titel"/>
    <w:basedOn w:val="Normal"/>
    <w:link w:val="IVEYappTitelZchn"/>
    <w:qFormat/>
    <w:rsid w:val="004970B9"/>
    <w:pPr>
      <w:jc w:val="center"/>
    </w:pPr>
    <w:rPr>
      <w:rFonts w:ascii="Arial" w:eastAsiaTheme="minorHAnsi" w:hAnsi="Arial" w:cstheme="minorBidi"/>
      <w:b/>
      <w:caps/>
      <w:noProof/>
      <w:szCs w:val="14"/>
    </w:rPr>
  </w:style>
  <w:style w:type="character" w:customStyle="1" w:styleId="IVEYappTitelZchn">
    <w:name w:val="IVEY app Titel Zchn"/>
    <w:basedOn w:val="DefaultParagraphFont"/>
    <w:link w:val="IVEYappTitel"/>
    <w:rsid w:val="004970B9"/>
    <w:rPr>
      <w:rFonts w:ascii="Arial" w:hAnsi="Arial"/>
      <w:b/>
      <w:caps/>
      <w:noProof/>
      <w:sz w:val="20"/>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2"/>
          <c:order val="0"/>
          <c:tx>
            <c:strRef>
              <c:f>'Sheet1 (2)'!$B$1</c:f>
              <c:strCache>
                <c:ptCount val="1"/>
                <c:pt idx="0">
                  <c:v>NVS</c:v>
                </c:pt>
              </c:strCache>
            </c:strRef>
          </c:tx>
          <c:spPr>
            <a:ln w="28575" cap="rnd" cmpd="sng" algn="ctr">
              <a:solidFill>
                <a:schemeClr val="dk1">
                  <a:tint val="75000"/>
                  <a:shade val="95000"/>
                  <a:satMod val="105000"/>
                </a:schemeClr>
              </a:solidFill>
              <a:prstDash val="solid"/>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 (2)'!$A$4:$A$13</c:f>
              <c:strCache>
                <c:ptCount val="10"/>
                <c:pt idx="0">
                  <c:v>06/30/2009</c:v>
                </c:pt>
                <c:pt idx="1">
                  <c:v>06/30/2010</c:v>
                </c:pt>
                <c:pt idx="2">
                  <c:v>06/30/2011</c:v>
                </c:pt>
                <c:pt idx="3">
                  <c:v>06/30/2012</c:v>
                </c:pt>
                <c:pt idx="4">
                  <c:v>06/30//2013</c:v>
                </c:pt>
                <c:pt idx="5">
                  <c:v>06/30/2014</c:v>
                </c:pt>
                <c:pt idx="6">
                  <c:v>06/30/2015</c:v>
                </c:pt>
                <c:pt idx="7">
                  <c:v>06/30/2016</c:v>
                </c:pt>
                <c:pt idx="8">
                  <c:v>06/30/2017</c:v>
                </c:pt>
                <c:pt idx="9">
                  <c:v>06/30/2018</c:v>
                </c:pt>
              </c:strCache>
            </c:strRef>
          </c:cat>
          <c:val>
            <c:numRef>
              <c:f>'Sheet1 (2)'!$B$4:$B$13</c:f>
              <c:numCache>
                <c:formatCode>0</c:formatCode>
                <c:ptCount val="10"/>
                <c:pt idx="0">
                  <c:v>45.6</c:v>
                </c:pt>
                <c:pt idx="1">
                  <c:v>48.7</c:v>
                </c:pt>
                <c:pt idx="2">
                  <c:v>61.2</c:v>
                </c:pt>
                <c:pt idx="3">
                  <c:v>58.6</c:v>
                </c:pt>
                <c:pt idx="4">
                  <c:v>71.599999999999994</c:v>
                </c:pt>
                <c:pt idx="5">
                  <c:v>86.9</c:v>
                </c:pt>
                <c:pt idx="6">
                  <c:v>103.8</c:v>
                </c:pt>
                <c:pt idx="7">
                  <c:v>83.3</c:v>
                </c:pt>
                <c:pt idx="8">
                  <c:v>85.2</c:v>
                </c:pt>
                <c:pt idx="9">
                  <c:v>83.9</c:v>
                </c:pt>
              </c:numCache>
            </c:numRef>
          </c:val>
          <c:smooth val="0"/>
          <c:extLst>
            <c:ext xmlns:c16="http://schemas.microsoft.com/office/drawing/2014/chart" uri="{C3380CC4-5D6E-409C-BE32-E72D297353CC}">
              <c16:uniqueId val="{00000000-83FD-4E1D-AFF2-708EBF3CD94E}"/>
            </c:ext>
          </c:extLst>
        </c:ser>
        <c:ser>
          <c:idx val="0"/>
          <c:order val="1"/>
          <c:tx>
            <c:strRef>
              <c:f>'Sheet1 (2)'!$C$1</c:f>
              <c:strCache>
                <c:ptCount val="1"/>
                <c:pt idx="0">
                  <c:v>PFE</c:v>
                </c:pt>
              </c:strCache>
            </c:strRef>
          </c:tx>
          <c:spPr>
            <a:ln w="28575" cap="rnd" cmpd="sng" algn="ctr">
              <a:solidFill>
                <a:schemeClr val="dk1">
                  <a:tint val="88500"/>
                  <a:shade val="95000"/>
                  <a:satMod val="105000"/>
                </a:schemeClr>
              </a:solidFill>
              <a:prstDash val="solid"/>
              <a:round/>
            </a:ln>
            <a:effectLst/>
          </c:spPr>
          <c:marker>
            <c:symbol val="none"/>
          </c:marker>
          <c:dLbls>
            <c:dLbl>
              <c:idx val="7"/>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1-D110-444D-9659-F50941A31CD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 (2)'!$A$4:$A$13</c:f>
              <c:strCache>
                <c:ptCount val="10"/>
                <c:pt idx="0">
                  <c:v>06/30/2009</c:v>
                </c:pt>
                <c:pt idx="1">
                  <c:v>06/30/2010</c:v>
                </c:pt>
                <c:pt idx="2">
                  <c:v>06/30/2011</c:v>
                </c:pt>
                <c:pt idx="3">
                  <c:v>06/30/2012</c:v>
                </c:pt>
                <c:pt idx="4">
                  <c:v>06/30//2013</c:v>
                </c:pt>
                <c:pt idx="5">
                  <c:v>06/30/2014</c:v>
                </c:pt>
                <c:pt idx="6">
                  <c:v>06/30/2015</c:v>
                </c:pt>
                <c:pt idx="7">
                  <c:v>06/30/2016</c:v>
                </c:pt>
                <c:pt idx="8">
                  <c:v>06/30/2017</c:v>
                </c:pt>
                <c:pt idx="9">
                  <c:v>06/30/2018</c:v>
                </c:pt>
              </c:strCache>
            </c:strRef>
          </c:cat>
          <c:val>
            <c:numRef>
              <c:f>'Sheet1 (2)'!$C$4:$C$13</c:f>
              <c:numCache>
                <c:formatCode>0</c:formatCode>
                <c:ptCount val="10"/>
                <c:pt idx="0">
                  <c:v>15.9</c:v>
                </c:pt>
                <c:pt idx="1">
                  <c:v>15</c:v>
                </c:pt>
                <c:pt idx="2">
                  <c:v>19.3</c:v>
                </c:pt>
                <c:pt idx="3">
                  <c:v>24</c:v>
                </c:pt>
                <c:pt idx="4">
                  <c:v>29.2</c:v>
                </c:pt>
                <c:pt idx="5">
                  <c:v>28.7</c:v>
                </c:pt>
                <c:pt idx="6">
                  <c:v>36.1</c:v>
                </c:pt>
                <c:pt idx="7">
                  <c:v>36.9</c:v>
                </c:pt>
                <c:pt idx="8">
                  <c:v>33.1</c:v>
                </c:pt>
                <c:pt idx="9">
                  <c:v>39.9</c:v>
                </c:pt>
              </c:numCache>
            </c:numRef>
          </c:val>
          <c:smooth val="0"/>
          <c:extLst>
            <c:ext xmlns:c16="http://schemas.microsoft.com/office/drawing/2014/chart" uri="{C3380CC4-5D6E-409C-BE32-E72D297353CC}">
              <c16:uniqueId val="{00000001-83FD-4E1D-AFF2-708EBF3CD94E}"/>
            </c:ext>
          </c:extLst>
        </c:ser>
        <c:ser>
          <c:idx val="1"/>
          <c:order val="2"/>
          <c:tx>
            <c:strRef>
              <c:f>'Sheet1 (2)'!$D$1</c:f>
              <c:strCache>
                <c:ptCount val="1"/>
                <c:pt idx="0">
                  <c:v>RHHBY</c:v>
                </c:pt>
              </c:strCache>
            </c:strRef>
          </c:tx>
          <c:spPr>
            <a:ln w="28575" cap="rnd" cmpd="sng" algn="ctr">
              <a:solidFill>
                <a:schemeClr val="dk1">
                  <a:tint val="55000"/>
                  <a:shade val="95000"/>
                  <a:satMod val="105000"/>
                </a:schemeClr>
              </a:solidFill>
              <a:prstDash val="solid"/>
              <a:round/>
            </a:ln>
            <a:effectLst/>
          </c:spPr>
          <c:marker>
            <c:symbol val="none"/>
          </c:marker>
          <c:dLbls>
            <c:dLbl>
              <c:idx val="7"/>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b"/>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D110-444D-9659-F50941A31CD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 (2)'!$A$4:$A$13</c:f>
              <c:strCache>
                <c:ptCount val="10"/>
                <c:pt idx="0">
                  <c:v>06/30/2009</c:v>
                </c:pt>
                <c:pt idx="1">
                  <c:v>06/30/2010</c:v>
                </c:pt>
                <c:pt idx="2">
                  <c:v>06/30/2011</c:v>
                </c:pt>
                <c:pt idx="3">
                  <c:v>06/30/2012</c:v>
                </c:pt>
                <c:pt idx="4">
                  <c:v>06/30//2013</c:v>
                </c:pt>
                <c:pt idx="5">
                  <c:v>06/30/2014</c:v>
                </c:pt>
                <c:pt idx="6">
                  <c:v>06/30/2015</c:v>
                </c:pt>
                <c:pt idx="7">
                  <c:v>06/30/2016</c:v>
                </c:pt>
                <c:pt idx="8">
                  <c:v>06/30/2017</c:v>
                </c:pt>
                <c:pt idx="9">
                  <c:v>06/30/2018</c:v>
                </c:pt>
              </c:strCache>
            </c:strRef>
          </c:cat>
          <c:val>
            <c:numRef>
              <c:f>'Sheet1 (2)'!$D$4:$D$13</c:f>
              <c:numCache>
                <c:formatCode>0</c:formatCode>
                <c:ptCount val="10"/>
                <c:pt idx="0">
                  <c:v>19.7</c:v>
                </c:pt>
                <c:pt idx="1">
                  <c:v>16.3</c:v>
                </c:pt>
                <c:pt idx="2">
                  <c:v>22.3</c:v>
                </c:pt>
                <c:pt idx="3">
                  <c:v>22.2</c:v>
                </c:pt>
                <c:pt idx="4">
                  <c:v>30.7</c:v>
                </c:pt>
                <c:pt idx="5">
                  <c:v>36.299999999999997</c:v>
                </c:pt>
                <c:pt idx="6">
                  <c:v>36.1</c:v>
                </c:pt>
                <c:pt idx="7">
                  <c:v>32.1</c:v>
                </c:pt>
                <c:pt idx="8">
                  <c:v>31.7</c:v>
                </c:pt>
                <c:pt idx="9">
                  <c:v>27.6</c:v>
                </c:pt>
              </c:numCache>
            </c:numRef>
          </c:val>
          <c:smooth val="0"/>
          <c:extLst>
            <c:ext xmlns:c16="http://schemas.microsoft.com/office/drawing/2014/chart" uri="{C3380CC4-5D6E-409C-BE32-E72D297353CC}">
              <c16:uniqueId val="{00000002-83FD-4E1D-AFF2-708EBF3CD94E}"/>
            </c:ext>
          </c:extLst>
        </c:ser>
        <c:dLbls>
          <c:showLegendKey val="0"/>
          <c:showVal val="0"/>
          <c:showCatName val="0"/>
          <c:showSerName val="0"/>
          <c:showPercent val="0"/>
          <c:showBubbleSize val="0"/>
        </c:dLbls>
        <c:smooth val="0"/>
        <c:axId val="477982832"/>
        <c:axId val="477988320"/>
      </c:lineChart>
      <c:catAx>
        <c:axId val="47798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77988320"/>
        <c:crosses val="autoZero"/>
        <c:auto val="1"/>
        <c:lblAlgn val="ctr"/>
        <c:lblOffset val="100"/>
        <c:noMultiLvlLbl val="0"/>
      </c:catAx>
      <c:valAx>
        <c:axId val="477988320"/>
        <c:scaling>
          <c:orientation val="minMax"/>
          <c:max val="120"/>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Arial" panose="020B0604020202020204" pitchFamily="34" charset="0"/>
                    <a:cs typeface="Arial" panose="020B0604020202020204" pitchFamily="34" charset="0"/>
                  </a:rPr>
                  <a:t>Close price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77982832"/>
        <c:crosses val="autoZero"/>
        <c:crossBetween val="between"/>
        <c:majorUnit val="10"/>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5CD576-D854-4CA4-BF77-CC8B65AE78E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2EC69C-751E-49DF-89B7-B85161DD3A3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35BF8-F08D-4423-AC2C-E8043EBBE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2019-07-29T13:39:00Z</dcterms:created>
  <dcterms:modified xsi:type="dcterms:W3CDTF">2019-07-31T16:44:00Z</dcterms:modified>
</cp:coreProperties>
</file>