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661C31" w14:paraId="1AF06E33" w14:textId="77777777" w:rsidTr="00C331A6">
        <w:tc>
          <w:tcPr>
            <w:tcW w:w="4788" w:type="dxa"/>
          </w:tcPr>
          <w:p w14:paraId="3E462758" w14:textId="77777777" w:rsidR="00661C31" w:rsidRDefault="00661C31" w:rsidP="00C331A6">
            <w:pPr>
              <w:tabs>
                <w:tab w:val="left" w:pos="-1440"/>
                <w:tab w:val="left" w:pos="-720"/>
                <w:tab w:val="left" w:pos="1"/>
              </w:tabs>
              <w:jc w:val="both"/>
              <w:rPr>
                <w:rFonts w:ascii="Arial" w:hAnsi="Arial"/>
                <w:b/>
                <w:sz w:val="24"/>
              </w:rPr>
            </w:pPr>
            <w:r w:rsidRPr="00521B55">
              <w:rPr>
                <w:rFonts w:ascii="Arial" w:hAnsi="Arial"/>
                <w:b/>
                <w:noProof/>
                <w:sz w:val="24"/>
                <w:lang w:val="en-CA" w:eastAsia="en-CA"/>
              </w:rPr>
              <w:drawing>
                <wp:inline distT="0" distB="0" distL="0" distR="0" wp14:anchorId="7B1126DA" wp14:editId="5C0C7979">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4603C27" w14:textId="77777777" w:rsidR="00661C31" w:rsidRDefault="00661C31" w:rsidP="00C331A6">
            <w:pPr>
              <w:tabs>
                <w:tab w:val="left" w:pos="-1440"/>
                <w:tab w:val="left" w:pos="-720"/>
                <w:tab w:val="left" w:pos="1"/>
              </w:tabs>
              <w:jc w:val="both"/>
              <w:rPr>
                <w:rFonts w:ascii="Arial" w:hAnsi="Arial"/>
                <w:b/>
                <w:sz w:val="24"/>
              </w:rPr>
            </w:pPr>
            <w:r>
              <w:rPr>
                <w:rFonts w:ascii="Arial" w:hAnsi="Arial"/>
                <w:b/>
                <w:noProof/>
                <w:sz w:val="24"/>
                <w:lang w:val="en-CA" w:eastAsia="en-CA"/>
              </w:rPr>
              <w:drawing>
                <wp:anchor distT="0" distB="0" distL="114300" distR="114300" simplePos="0" relativeHeight="251659264" behindDoc="1" locked="0" layoutInCell="1" allowOverlap="1" wp14:anchorId="659CEF98" wp14:editId="50A095DA">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4C05FB0" w14:textId="77777777" w:rsidR="00661C31" w:rsidRPr="00441F90" w:rsidRDefault="00661C31" w:rsidP="00661C31">
      <w:pPr>
        <w:pBdr>
          <w:bottom w:val="single" w:sz="18" w:space="1" w:color="auto"/>
        </w:pBdr>
        <w:tabs>
          <w:tab w:val="left" w:pos="-1440"/>
          <w:tab w:val="left" w:pos="-720"/>
          <w:tab w:val="left" w:pos="1"/>
        </w:tabs>
        <w:jc w:val="both"/>
        <w:rPr>
          <w:rFonts w:ascii="Arial" w:hAnsi="Arial"/>
          <w:b/>
          <w:sz w:val="2"/>
          <w:szCs w:val="2"/>
          <w:lang w:val="en-CA"/>
        </w:rPr>
      </w:pPr>
    </w:p>
    <w:p w14:paraId="3323AF84" w14:textId="2AA0D3AF" w:rsidR="00661C31" w:rsidRPr="00007B22" w:rsidRDefault="006179A0" w:rsidP="00661C31">
      <w:pPr>
        <w:pStyle w:val="ProductNumber"/>
        <w:rPr>
          <w:lang w:val="en-CA"/>
        </w:rPr>
      </w:pPr>
      <w:r>
        <w:rPr>
          <w:lang w:val="en-CA"/>
        </w:rPr>
        <w:t>9B19M080</w:t>
      </w:r>
    </w:p>
    <w:p w14:paraId="4E057522" w14:textId="7A113CB1" w:rsidR="00D75295" w:rsidRPr="00C70F23" w:rsidRDefault="00D75295" w:rsidP="00D75295">
      <w:pPr>
        <w:jc w:val="right"/>
        <w:rPr>
          <w:rFonts w:ascii="Arial" w:hAnsi="Arial"/>
          <w:b/>
        </w:rPr>
      </w:pPr>
    </w:p>
    <w:p w14:paraId="02524312" w14:textId="77777777" w:rsidR="001901C0" w:rsidRPr="00C70F23" w:rsidRDefault="001901C0" w:rsidP="00D75295">
      <w:pPr>
        <w:jc w:val="right"/>
        <w:rPr>
          <w:rFonts w:ascii="Arial" w:hAnsi="Arial"/>
          <w:b/>
        </w:rPr>
      </w:pPr>
    </w:p>
    <w:p w14:paraId="2F03D26A" w14:textId="1503BC94" w:rsidR="00013360" w:rsidRPr="00C70F23" w:rsidRDefault="00351B65" w:rsidP="00013360">
      <w:pPr>
        <w:pStyle w:val="CaseTitle"/>
        <w:spacing w:after="0" w:line="240" w:lineRule="auto"/>
        <w:rPr>
          <w:sz w:val="20"/>
          <w:szCs w:val="20"/>
        </w:rPr>
      </w:pPr>
      <w:r w:rsidRPr="00C70F23">
        <w:t xml:space="preserve">SAMSUI: </w:t>
      </w:r>
      <w:r w:rsidR="00323A31">
        <w:t>Social return on investment</w:t>
      </w:r>
    </w:p>
    <w:p w14:paraId="40ABF6FD" w14:textId="77777777" w:rsidR="00CA3976" w:rsidRPr="00C70F23" w:rsidRDefault="00CA3976" w:rsidP="00013360">
      <w:pPr>
        <w:pStyle w:val="CaseTitle"/>
        <w:spacing w:after="0" w:line="240" w:lineRule="auto"/>
        <w:rPr>
          <w:sz w:val="20"/>
          <w:szCs w:val="20"/>
        </w:rPr>
      </w:pPr>
    </w:p>
    <w:p w14:paraId="202F1085" w14:textId="77777777" w:rsidR="00013360" w:rsidRPr="00C70F23" w:rsidRDefault="00013360" w:rsidP="00013360">
      <w:pPr>
        <w:pStyle w:val="CaseTitle"/>
        <w:spacing w:after="0" w:line="240" w:lineRule="auto"/>
        <w:rPr>
          <w:sz w:val="20"/>
          <w:szCs w:val="20"/>
        </w:rPr>
      </w:pPr>
    </w:p>
    <w:p w14:paraId="58B0C73F" w14:textId="34BC7AA0" w:rsidR="00086B26" w:rsidRPr="00C70F23" w:rsidRDefault="00351B65" w:rsidP="00086B26">
      <w:pPr>
        <w:pStyle w:val="StyleCopyrightStatementAfter0ptBottomSinglesolidline1"/>
      </w:pPr>
      <w:r w:rsidRPr="00C70F23">
        <w:t xml:space="preserve">Weina Zhang, Ruth S. K. Tan, </w:t>
      </w:r>
      <w:proofErr w:type="spellStart"/>
      <w:r w:rsidRPr="00C70F23">
        <w:t>Dingyan</w:t>
      </w:r>
      <w:proofErr w:type="spellEnd"/>
      <w:r w:rsidR="00B718D7" w:rsidRPr="00C70F23">
        <w:t xml:space="preserve"> </w:t>
      </w:r>
      <w:proofErr w:type="spellStart"/>
      <w:r w:rsidR="00B718D7" w:rsidRPr="00C70F23">
        <w:t>Khoo</w:t>
      </w:r>
      <w:proofErr w:type="spellEnd"/>
      <w:r w:rsidRPr="00C70F23">
        <w:t xml:space="preserve">, Gerald Chee </w:t>
      </w:r>
      <w:proofErr w:type="spellStart"/>
      <w:r w:rsidRPr="00C70F23">
        <w:t>Hean</w:t>
      </w:r>
      <w:proofErr w:type="spellEnd"/>
      <w:r w:rsidR="0052685B">
        <w:t xml:space="preserve"> </w:t>
      </w:r>
      <w:proofErr w:type="spellStart"/>
      <w:r w:rsidR="0052685B">
        <w:t>Koh</w:t>
      </w:r>
      <w:proofErr w:type="spellEnd"/>
      <w:r w:rsidRPr="00C70F23">
        <w:t xml:space="preserve">, Damien </w:t>
      </w:r>
      <w:proofErr w:type="spellStart"/>
      <w:r w:rsidRPr="00C70F23">
        <w:t>Wai</w:t>
      </w:r>
      <w:proofErr w:type="spellEnd"/>
      <w:r w:rsidRPr="00C70F23">
        <w:t xml:space="preserve"> Cheong</w:t>
      </w:r>
      <w:r w:rsidR="0052685B">
        <w:t xml:space="preserve"> Lam</w:t>
      </w:r>
      <w:r w:rsidRPr="00C70F23">
        <w:t xml:space="preserve">, and </w:t>
      </w:r>
      <w:proofErr w:type="spellStart"/>
      <w:r w:rsidRPr="00C70F23">
        <w:t>Dehn</w:t>
      </w:r>
      <w:proofErr w:type="spellEnd"/>
      <w:r w:rsidRPr="00C70F23">
        <w:t xml:space="preserve"> Wei </w:t>
      </w:r>
      <w:proofErr w:type="spellStart"/>
      <w:r w:rsidRPr="00C70F23">
        <w:t>Jie</w:t>
      </w:r>
      <w:proofErr w:type="spellEnd"/>
      <w:r w:rsidR="00ED7922" w:rsidRPr="00C70F23">
        <w:t xml:space="preserve"> </w:t>
      </w:r>
      <w:r w:rsidR="0052685B" w:rsidRPr="00C70F23">
        <w:t xml:space="preserve">See </w:t>
      </w:r>
      <w:proofErr w:type="spellStart"/>
      <w:r w:rsidR="0052685B" w:rsidRPr="00C70F23">
        <w:t>Toh</w:t>
      </w:r>
      <w:proofErr w:type="spellEnd"/>
      <w:r w:rsidR="0052685B" w:rsidRPr="00C70F23">
        <w:t xml:space="preserve"> </w:t>
      </w:r>
      <w:r w:rsidR="00086B26" w:rsidRPr="00C70F23">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70F23" w:rsidRDefault="00086B26" w:rsidP="00086B26">
      <w:pPr>
        <w:pStyle w:val="StyleCopyrightStatementAfter0ptBottomSinglesolidline1"/>
      </w:pPr>
    </w:p>
    <w:p w14:paraId="7A991030" w14:textId="3B9FED9B" w:rsidR="00295151" w:rsidRDefault="00295151" w:rsidP="00295151">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D3580A">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452769">
        <w:rPr>
          <w:rFonts w:ascii="Arial" w:hAnsi="Arial" w:cs="Arial"/>
          <w:i/>
          <w:iCs/>
          <w:sz w:val="16"/>
          <w:szCs w:val="16"/>
          <w:lang w:val="en-CA"/>
        </w:rPr>
        <w:t>cases@ivey.ca</w:t>
      </w:r>
      <w:r>
        <w:rPr>
          <w:rFonts w:ascii="Arial" w:hAnsi="Arial" w:cs="Arial"/>
          <w:i/>
          <w:iCs/>
          <w:sz w:val="16"/>
          <w:szCs w:val="16"/>
          <w:lang w:val="en-CA"/>
        </w:rPr>
        <w:t xml:space="preserve">; </w:t>
      </w:r>
      <w:r w:rsidRPr="00452769">
        <w:rPr>
          <w:rFonts w:ascii="Arial" w:hAnsi="Arial" w:cs="Arial"/>
          <w:i/>
          <w:iCs/>
          <w:sz w:val="16"/>
          <w:szCs w:val="16"/>
          <w:lang w:val="en-CA"/>
        </w:rPr>
        <w:t>www.iveycases.com</w:t>
      </w:r>
      <w:r>
        <w:rPr>
          <w:rFonts w:ascii="Arial" w:hAnsi="Arial" w:cs="Arial"/>
          <w:i/>
          <w:iCs/>
          <w:sz w:val="16"/>
          <w:szCs w:val="16"/>
          <w:lang w:val="en-CA"/>
        </w:rPr>
        <w:t>.</w:t>
      </w:r>
    </w:p>
    <w:p w14:paraId="47B7FDDE" w14:textId="77777777" w:rsidR="00351B65" w:rsidRPr="00C70F23" w:rsidRDefault="00351B65" w:rsidP="00A323B0">
      <w:pPr>
        <w:pStyle w:val="StyleStyleCopyrightStatementAfter0ptBottomSinglesolid"/>
        <w:rPr>
          <w:rFonts w:cs="Arial"/>
          <w:szCs w:val="16"/>
        </w:rPr>
      </w:pPr>
    </w:p>
    <w:p w14:paraId="3922E14F" w14:textId="3B2B1811" w:rsidR="00751E0B" w:rsidRPr="00C70F23" w:rsidRDefault="00661C31" w:rsidP="00A323B0">
      <w:pPr>
        <w:pStyle w:val="StyleStyleCopyrightStatementAfter0ptBottomSinglesolid"/>
        <w:rPr>
          <w:rFonts w:cs="Arial"/>
          <w:szCs w:val="16"/>
        </w:rPr>
      </w:pPr>
      <w:r>
        <w:t xml:space="preserve">Copyright © 2019, </w:t>
      </w:r>
      <w:r w:rsidRPr="004415A3">
        <w:rPr>
          <w:lang w:val="en-CA"/>
        </w:rPr>
        <w:t>National University of Singapore and Ivey School of Business Foundation</w:t>
      </w:r>
      <w:r w:rsidR="00A323B0" w:rsidRPr="00C70F23">
        <w:rPr>
          <w:rFonts w:cs="Arial"/>
          <w:iCs w:val="0"/>
          <w:color w:val="auto"/>
          <w:szCs w:val="16"/>
        </w:rPr>
        <w:tab/>
        <w:t xml:space="preserve">Version: </w:t>
      </w:r>
      <w:r w:rsidR="00351B65" w:rsidRPr="00C70F23">
        <w:rPr>
          <w:rFonts w:cs="Arial"/>
          <w:iCs w:val="0"/>
          <w:color w:val="auto"/>
          <w:szCs w:val="16"/>
        </w:rPr>
        <w:t>2019-</w:t>
      </w:r>
      <w:r w:rsidR="00B94C62">
        <w:rPr>
          <w:rFonts w:cs="Arial"/>
          <w:iCs w:val="0"/>
          <w:color w:val="auto"/>
          <w:szCs w:val="16"/>
        </w:rPr>
        <w:t>08-02</w:t>
      </w:r>
      <w:bookmarkStart w:id="0" w:name="_GoBack"/>
      <w:bookmarkEnd w:id="0"/>
    </w:p>
    <w:p w14:paraId="0A2A54E4" w14:textId="6F7CB67C" w:rsidR="00751E0B" w:rsidRPr="00C70F23" w:rsidRDefault="00751E0B" w:rsidP="00751E0B">
      <w:pPr>
        <w:pStyle w:val="StyleCopyrightStatementAfter0ptBottomSinglesolidline1"/>
        <w:rPr>
          <w:rFonts w:ascii="Times New Roman" w:hAnsi="Times New Roman"/>
          <w:sz w:val="20"/>
        </w:rPr>
      </w:pPr>
    </w:p>
    <w:p w14:paraId="1E71B87F" w14:textId="77777777" w:rsidR="00A0299B" w:rsidRPr="00C70F23" w:rsidRDefault="00A0299B" w:rsidP="00751E0B">
      <w:pPr>
        <w:pStyle w:val="StyleCopyrightStatementAfter0ptBottomSinglesolidline1"/>
        <w:rPr>
          <w:rFonts w:ascii="Times New Roman" w:hAnsi="Times New Roman"/>
          <w:sz w:val="20"/>
        </w:rPr>
      </w:pPr>
    </w:p>
    <w:p w14:paraId="74DD2B72" w14:textId="77777777" w:rsidR="00984615" w:rsidRPr="00DE5DA7" w:rsidRDefault="00984615" w:rsidP="00984615">
      <w:pPr>
        <w:pStyle w:val="BodyTextMain"/>
        <w:rPr>
          <w:rFonts w:eastAsia="Arial"/>
          <w:lang w:eastAsia="zh-CN"/>
        </w:rPr>
      </w:pPr>
      <w:r w:rsidRPr="00DE5DA7">
        <w:rPr>
          <w:rFonts w:eastAsia="Arial"/>
          <w:lang w:eastAsia="zh-CN"/>
        </w:rPr>
        <w:t xml:space="preserve">In April 2018, Kian Peng </w:t>
      </w:r>
      <w:proofErr w:type="spellStart"/>
      <w:r w:rsidRPr="00DE5DA7">
        <w:rPr>
          <w:rFonts w:eastAsia="Arial"/>
          <w:lang w:eastAsia="zh-CN"/>
        </w:rPr>
        <w:t>Ang</w:t>
      </w:r>
      <w:proofErr w:type="spellEnd"/>
      <w:r>
        <w:rPr>
          <w:rFonts w:eastAsia="Arial"/>
          <w:lang w:eastAsia="zh-CN"/>
        </w:rPr>
        <w:t xml:space="preserve">, director of </w:t>
      </w:r>
      <w:proofErr w:type="spellStart"/>
      <w:r>
        <w:rPr>
          <w:rFonts w:eastAsia="Arial"/>
          <w:lang w:eastAsia="zh-CN"/>
        </w:rPr>
        <w:t>Samsui</w:t>
      </w:r>
      <w:proofErr w:type="spellEnd"/>
      <w:r>
        <w:rPr>
          <w:rFonts w:eastAsia="Arial"/>
          <w:lang w:eastAsia="zh-CN"/>
        </w:rPr>
        <w:t xml:space="preserve"> Supplies &amp; Services Private Limited (</w:t>
      </w:r>
      <w:proofErr w:type="spellStart"/>
      <w:r>
        <w:rPr>
          <w:rFonts w:eastAsia="Arial"/>
          <w:lang w:eastAsia="zh-CN"/>
        </w:rPr>
        <w:t>Samsui</w:t>
      </w:r>
      <w:proofErr w:type="spellEnd"/>
      <w:r>
        <w:rPr>
          <w:rFonts w:eastAsia="Arial"/>
          <w:lang w:eastAsia="zh-CN"/>
        </w:rPr>
        <w:t>),</w:t>
      </w:r>
      <w:r w:rsidRPr="00DE5DA7">
        <w:rPr>
          <w:rFonts w:eastAsia="Arial"/>
          <w:lang w:eastAsia="zh-CN"/>
        </w:rPr>
        <w:t xml:space="preserve"> wondered</w:t>
      </w:r>
      <w:r>
        <w:rPr>
          <w:rFonts w:eastAsia="Arial"/>
          <w:lang w:eastAsia="zh-CN"/>
        </w:rPr>
        <w:t xml:space="preserve"> how he c</w:t>
      </w:r>
      <w:r w:rsidRPr="00DE5DA7">
        <w:rPr>
          <w:rFonts w:eastAsia="Arial"/>
          <w:lang w:eastAsia="zh-CN"/>
        </w:rPr>
        <w:t>ould illustrate to the key stakeholders of</w:t>
      </w:r>
      <w:r>
        <w:rPr>
          <w:rFonts w:eastAsia="Arial"/>
          <w:lang w:eastAsia="zh-CN"/>
        </w:rPr>
        <w:t xml:space="preserve"> </w:t>
      </w:r>
      <w:proofErr w:type="spellStart"/>
      <w:r>
        <w:rPr>
          <w:rFonts w:eastAsia="Arial"/>
          <w:lang w:eastAsia="zh-CN"/>
        </w:rPr>
        <w:t>Samsui</w:t>
      </w:r>
      <w:proofErr w:type="spellEnd"/>
      <w:r w:rsidRPr="00DE5DA7">
        <w:rPr>
          <w:rFonts w:eastAsia="Arial"/>
          <w:lang w:eastAsia="zh-CN"/>
        </w:rPr>
        <w:t xml:space="preserve"> </w:t>
      </w:r>
      <w:r>
        <w:rPr>
          <w:rFonts w:eastAsia="Arial"/>
          <w:lang w:eastAsia="zh-CN"/>
        </w:rPr>
        <w:t>the social impact his</w:t>
      </w:r>
      <w:r w:rsidRPr="00DE5DA7">
        <w:rPr>
          <w:rFonts w:eastAsia="Arial"/>
          <w:lang w:eastAsia="zh-CN"/>
        </w:rPr>
        <w:t xml:space="preserve"> </w:t>
      </w:r>
      <w:r>
        <w:rPr>
          <w:rFonts w:eastAsia="Arial"/>
          <w:lang w:eastAsia="zh-CN"/>
        </w:rPr>
        <w:t>company</w:t>
      </w:r>
      <w:r w:rsidRPr="00DE5DA7">
        <w:rPr>
          <w:rFonts w:eastAsia="Arial"/>
          <w:lang w:eastAsia="zh-CN"/>
        </w:rPr>
        <w:t xml:space="preserve"> was having in the SG$89 million</w:t>
      </w:r>
      <w:r w:rsidRPr="00DE5DA7">
        <w:rPr>
          <w:rFonts w:eastAsia="DengXian"/>
          <w:vertAlign w:val="superscript"/>
        </w:rPr>
        <w:endnoteReference w:id="1"/>
      </w:r>
      <w:r w:rsidRPr="00DE5DA7">
        <w:rPr>
          <w:rFonts w:eastAsia="Arial"/>
          <w:lang w:eastAsia="zh-CN"/>
        </w:rPr>
        <w:t xml:space="preserve"> market of providing meals for long-term care facilities. </w:t>
      </w:r>
      <w:proofErr w:type="spellStart"/>
      <w:r w:rsidRPr="00DE5DA7">
        <w:rPr>
          <w:rFonts w:eastAsia="Arial"/>
          <w:lang w:eastAsia="zh-CN"/>
        </w:rPr>
        <w:t>Samsui</w:t>
      </w:r>
      <w:proofErr w:type="spellEnd"/>
      <w:r w:rsidRPr="00DE5DA7">
        <w:rPr>
          <w:rFonts w:eastAsia="Arial"/>
          <w:lang w:eastAsia="zh-CN"/>
        </w:rPr>
        <w:t xml:space="preserve"> Central Kitchen (SCK)</w:t>
      </w:r>
      <w:r>
        <w:rPr>
          <w:rFonts w:eastAsia="Arial"/>
          <w:lang w:eastAsia="zh-CN"/>
        </w:rPr>
        <w:t xml:space="preserve">, </w:t>
      </w:r>
      <w:proofErr w:type="spellStart"/>
      <w:r>
        <w:rPr>
          <w:rFonts w:eastAsia="Arial"/>
          <w:lang w:eastAsia="zh-CN"/>
        </w:rPr>
        <w:t>Samsui’s</w:t>
      </w:r>
      <w:proofErr w:type="spellEnd"/>
      <w:r>
        <w:rPr>
          <w:rFonts w:eastAsia="Arial"/>
          <w:lang w:eastAsia="zh-CN"/>
        </w:rPr>
        <w:t xml:space="preserve"> flagship corporate social responsibility (CSR) project </w:t>
      </w:r>
      <w:r w:rsidRPr="00DE5DA7">
        <w:rPr>
          <w:rFonts w:eastAsia="Arial"/>
          <w:lang w:eastAsia="zh-CN"/>
        </w:rPr>
        <w:t>provided 1.8 million meals annually to various long-term care facilities for the elderly</w:t>
      </w:r>
      <w:r w:rsidRPr="00DE5DA7">
        <w:rPr>
          <w:rFonts w:eastAsia="Arial"/>
          <w:vertAlign w:val="superscript"/>
        </w:rPr>
        <w:endnoteReference w:id="2"/>
      </w:r>
      <w:r>
        <w:rPr>
          <w:rFonts w:eastAsia="Arial"/>
          <w:lang w:eastAsia="zh-CN"/>
        </w:rPr>
        <w:t xml:space="preserve"> and </w:t>
      </w:r>
      <w:r w:rsidRPr="00DE5DA7">
        <w:rPr>
          <w:rFonts w:eastAsia="Arial"/>
          <w:lang w:eastAsia="zh-CN"/>
        </w:rPr>
        <w:t xml:space="preserve">was especially crucial because the existing SCK facility was reaching maximum capacity and stakeholder buy-in would be needed to expand it. </w:t>
      </w:r>
    </w:p>
    <w:p w14:paraId="63D8A747" w14:textId="77777777" w:rsidR="00984615" w:rsidRPr="00DE5DA7" w:rsidRDefault="00984615" w:rsidP="00984615">
      <w:pPr>
        <w:pStyle w:val="BodyTextMain"/>
        <w:rPr>
          <w:rFonts w:eastAsia="Arial"/>
          <w:lang w:eastAsia="zh-CN"/>
        </w:rPr>
      </w:pPr>
    </w:p>
    <w:p w14:paraId="09963A2B" w14:textId="77777777" w:rsidR="00984615" w:rsidRPr="00DE5DA7" w:rsidRDefault="00984615" w:rsidP="00984615">
      <w:pPr>
        <w:pStyle w:val="BodyTextMain"/>
        <w:rPr>
          <w:rFonts w:eastAsia="DengXian"/>
          <w:lang w:eastAsia="zh-CN"/>
        </w:rPr>
      </w:pPr>
      <w:proofErr w:type="spellStart"/>
      <w:r w:rsidRPr="00DE5DA7">
        <w:rPr>
          <w:rFonts w:eastAsia="Arial"/>
          <w:lang w:eastAsia="zh-CN"/>
        </w:rPr>
        <w:t>Ang</w:t>
      </w:r>
      <w:proofErr w:type="spellEnd"/>
      <w:r w:rsidRPr="00DE5DA7">
        <w:rPr>
          <w:rFonts w:eastAsia="Arial"/>
          <w:lang w:eastAsia="zh-CN"/>
        </w:rPr>
        <w:t xml:space="preserve"> strongly believed in </w:t>
      </w:r>
      <w:proofErr w:type="spellStart"/>
      <w:r>
        <w:rPr>
          <w:rFonts w:eastAsia="Arial"/>
          <w:lang w:eastAsia="zh-CN"/>
        </w:rPr>
        <w:t>Samsui’s</w:t>
      </w:r>
      <w:proofErr w:type="spellEnd"/>
      <w:r w:rsidRPr="00DE5DA7">
        <w:rPr>
          <w:rFonts w:eastAsia="Arial"/>
          <w:lang w:eastAsia="zh-CN"/>
        </w:rPr>
        <w:t xml:space="preserve"> ambition to embed CSR</w:t>
      </w:r>
      <w:r>
        <w:rPr>
          <w:rFonts w:eastAsia="Arial"/>
          <w:lang w:eastAsia="zh-CN"/>
        </w:rPr>
        <w:t xml:space="preserve"> in its core company strategy. </w:t>
      </w:r>
      <w:r w:rsidRPr="00DE5DA7">
        <w:rPr>
          <w:rFonts w:eastAsia="Arial"/>
          <w:color w:val="000000"/>
          <w:lang w:eastAsia="zh-CN"/>
        </w:rPr>
        <w:t>Having achieved his initial objectives for the central kitchen, he set his sights on expansion to impact more beneficiaries</w:t>
      </w:r>
      <w:r>
        <w:rPr>
          <w:rFonts w:eastAsia="Arial"/>
          <w:color w:val="000000"/>
          <w:lang w:eastAsia="zh-CN"/>
        </w:rPr>
        <w:t xml:space="preserve"> in the company’s home base of Singapore</w:t>
      </w:r>
      <w:r w:rsidRPr="00DE5DA7">
        <w:rPr>
          <w:rFonts w:eastAsia="Arial"/>
          <w:color w:val="000000"/>
          <w:lang w:eastAsia="zh-CN"/>
        </w:rPr>
        <w:t xml:space="preserve">. </w:t>
      </w:r>
      <w:r w:rsidRPr="00DE5DA7">
        <w:rPr>
          <w:rFonts w:eastAsia="Arial"/>
          <w:lang w:eastAsia="zh-CN"/>
        </w:rPr>
        <w:t xml:space="preserve">He wondered how to quantify the impact of SCK’s CSR initiatives in a clear and simple message in order to communicate the impact to various stakeholders and justify the further expansion of SCK. </w:t>
      </w:r>
    </w:p>
    <w:p w14:paraId="63424242" w14:textId="77777777" w:rsidR="00984615" w:rsidRDefault="00984615" w:rsidP="00984615">
      <w:pPr>
        <w:pStyle w:val="BodyTextMain"/>
      </w:pPr>
    </w:p>
    <w:p w14:paraId="7FF4D87B" w14:textId="77777777" w:rsidR="00984615" w:rsidRDefault="00984615" w:rsidP="00984615">
      <w:pPr>
        <w:pStyle w:val="BodyTextMain"/>
      </w:pPr>
    </w:p>
    <w:p w14:paraId="6F21E636" w14:textId="77777777" w:rsidR="00984615" w:rsidRPr="00C70F23" w:rsidRDefault="00984615" w:rsidP="00984615">
      <w:pPr>
        <w:pStyle w:val="Casehead1"/>
        <w:rPr>
          <w:rFonts w:eastAsia="Arial"/>
          <w:lang w:eastAsia="zh-CN"/>
        </w:rPr>
      </w:pPr>
      <w:bookmarkStart w:id="1" w:name="_Toc525155070"/>
      <w:bookmarkStart w:id="2" w:name="_Toc526190969"/>
      <w:bookmarkStart w:id="3" w:name="_Toc526348047"/>
      <w:bookmarkStart w:id="4" w:name="_Toc527292064"/>
      <w:r>
        <w:rPr>
          <w:rFonts w:eastAsia="Arial"/>
          <w:lang w:eastAsia="zh-CN"/>
        </w:rPr>
        <w:t xml:space="preserve">Samsui’s </w:t>
      </w:r>
      <w:r w:rsidRPr="00C70F23">
        <w:rPr>
          <w:rFonts w:eastAsia="Arial"/>
          <w:lang w:eastAsia="zh-CN"/>
        </w:rPr>
        <w:t>BACKGROUND</w:t>
      </w:r>
    </w:p>
    <w:p w14:paraId="02898574" w14:textId="77777777" w:rsidR="00984615" w:rsidRPr="00C70F23" w:rsidRDefault="00984615" w:rsidP="00984615">
      <w:pPr>
        <w:pStyle w:val="BodyTextMain"/>
        <w:rPr>
          <w:rFonts w:eastAsia="Arial"/>
        </w:rPr>
      </w:pPr>
    </w:p>
    <w:bookmarkEnd w:id="1"/>
    <w:bookmarkEnd w:id="2"/>
    <w:bookmarkEnd w:id="3"/>
    <w:bookmarkEnd w:id="4"/>
    <w:p w14:paraId="70D172E7" w14:textId="77777777" w:rsidR="00984615" w:rsidRPr="00C70F23" w:rsidRDefault="00984615" w:rsidP="00984615">
      <w:pPr>
        <w:pStyle w:val="BodyTextMain"/>
        <w:rPr>
          <w:rFonts w:eastAsia="DengXian"/>
          <w:lang w:eastAsia="zh-CN"/>
        </w:rPr>
      </w:pPr>
      <w:r>
        <w:rPr>
          <w:rFonts w:eastAsia="DengXian"/>
          <w:lang w:eastAsia="zh-CN"/>
        </w:rPr>
        <w:t xml:space="preserve">In 2013, </w:t>
      </w:r>
      <w:proofErr w:type="spellStart"/>
      <w:r>
        <w:rPr>
          <w:rFonts w:eastAsia="DengXian"/>
          <w:lang w:eastAsia="zh-CN"/>
        </w:rPr>
        <w:t>Samsui</w:t>
      </w:r>
      <w:proofErr w:type="spellEnd"/>
      <w:r>
        <w:rPr>
          <w:rFonts w:eastAsia="DengXian"/>
          <w:lang w:eastAsia="zh-CN"/>
        </w:rPr>
        <w:t xml:space="preserve"> was set up by Soup Restaurant Group Limited (Soup Restaurant) to spearhead Soup Kitchen’s CSR efforts as part of its “drive to do </w:t>
      </w:r>
      <w:proofErr w:type="gramStart"/>
      <w:r>
        <w:rPr>
          <w:rFonts w:eastAsia="DengXian"/>
          <w:lang w:eastAsia="zh-CN"/>
        </w:rPr>
        <w:t>good</w:t>
      </w:r>
      <w:proofErr w:type="gramEnd"/>
      <w:r>
        <w:rPr>
          <w:rFonts w:eastAsia="DengXian"/>
          <w:lang w:eastAsia="zh-CN"/>
        </w:rPr>
        <w:t xml:space="preserve">.” </w:t>
      </w:r>
      <w:r w:rsidRPr="00C70F23">
        <w:rPr>
          <w:rFonts w:eastAsia="DengXian"/>
          <w:lang w:eastAsia="zh-CN"/>
        </w:rPr>
        <w:t xml:space="preserve">Soup Restaurant </w:t>
      </w:r>
      <w:r>
        <w:rPr>
          <w:rFonts w:eastAsia="DengXian"/>
          <w:lang w:eastAsia="zh-CN"/>
        </w:rPr>
        <w:t xml:space="preserve">had </w:t>
      </w:r>
      <w:r w:rsidRPr="00C70F23">
        <w:rPr>
          <w:rFonts w:eastAsia="DengXian"/>
          <w:lang w:eastAsia="zh-CN"/>
        </w:rPr>
        <w:t xml:space="preserve">started </w:t>
      </w:r>
      <w:r>
        <w:rPr>
          <w:rFonts w:eastAsia="DengXian"/>
          <w:lang w:eastAsia="zh-CN"/>
        </w:rPr>
        <w:t xml:space="preserve">in 1991 </w:t>
      </w:r>
      <w:r w:rsidRPr="00C70F23">
        <w:rPr>
          <w:rFonts w:eastAsia="DengXian"/>
          <w:lang w:eastAsia="zh-CN"/>
        </w:rPr>
        <w:t>as a restaurant operating out of a single shop-house in Singapore’s Chinatown with only six employees and six dining tables.</w:t>
      </w:r>
      <w:r w:rsidRPr="00370ECF">
        <w:rPr>
          <w:rStyle w:val="EndnoteReference"/>
          <w:rFonts w:eastAsia="DengXian"/>
        </w:rPr>
        <w:endnoteReference w:id="3"/>
      </w:r>
      <w:r w:rsidRPr="00C70F23">
        <w:rPr>
          <w:rFonts w:eastAsia="DengXian"/>
          <w:lang w:eastAsia="zh-CN"/>
        </w:rPr>
        <w:t xml:space="preserve"> The restaurant sold various herbal soups and home-cooked Chinese dishes at an affordable price-point to mass-market consumers. Soup Restaurant had since expanded to 17 restaurants across Singapore and Malaysia, with a franchise in Indonesia. The company had been listed on the mainboard of the Singapore Exchange since 2007 and operated an entire portfolio of brands and verticals in the food and beverage (F&amp;B) sector.</w:t>
      </w:r>
      <w:r w:rsidRPr="00370ECF">
        <w:rPr>
          <w:rStyle w:val="EndnoteReference"/>
          <w:rFonts w:eastAsia="DengXian"/>
        </w:rPr>
        <w:endnoteReference w:id="4"/>
      </w:r>
      <w:r w:rsidRPr="00C70F23">
        <w:rPr>
          <w:rFonts w:eastAsia="DengXian"/>
          <w:lang w:eastAsia="zh-CN"/>
        </w:rPr>
        <w:t xml:space="preserve"> The products ranged from prepared condiments and sauces to frozen supermarket food</w:t>
      </w:r>
      <w:r>
        <w:rPr>
          <w:rFonts w:eastAsia="DengXian"/>
          <w:lang w:eastAsia="zh-CN"/>
        </w:rPr>
        <w:t xml:space="preserve"> (see Exhibit 1)</w:t>
      </w:r>
      <w:r w:rsidRPr="00C70F23">
        <w:rPr>
          <w:rFonts w:eastAsia="DengXian"/>
          <w:lang w:eastAsia="zh-CN"/>
        </w:rPr>
        <w:t>.</w:t>
      </w:r>
      <w:r w:rsidRPr="00370ECF">
        <w:rPr>
          <w:rStyle w:val="EndnoteReference"/>
          <w:rFonts w:eastAsia="DengXian"/>
        </w:rPr>
        <w:endnoteReference w:id="5"/>
      </w:r>
    </w:p>
    <w:p w14:paraId="2E31F7DD" w14:textId="77777777" w:rsidR="00984615" w:rsidRPr="00C331A6" w:rsidRDefault="00984615" w:rsidP="00984615">
      <w:pPr>
        <w:pStyle w:val="BodyTextMain"/>
        <w:rPr>
          <w:rFonts w:eastAsia="DengXian"/>
          <w:sz w:val="20"/>
          <w:lang w:eastAsia="zh-CN"/>
        </w:rPr>
      </w:pPr>
    </w:p>
    <w:p w14:paraId="4DFEB213" w14:textId="77777777" w:rsidR="00984615" w:rsidRPr="00C70F23" w:rsidRDefault="00984615" w:rsidP="00984615">
      <w:pPr>
        <w:pStyle w:val="BodyTextMain"/>
        <w:rPr>
          <w:rFonts w:eastAsia="DengXian"/>
          <w:lang w:eastAsia="zh-CN"/>
        </w:rPr>
      </w:pPr>
      <w:r w:rsidRPr="00C70F23">
        <w:rPr>
          <w:rFonts w:eastAsia="DengXian"/>
          <w:lang w:eastAsia="zh-CN"/>
        </w:rPr>
        <w:t>A major</w:t>
      </w:r>
      <w:r w:rsidRPr="00C70F23" w:rsidDel="00790F33">
        <w:rPr>
          <w:rFonts w:eastAsia="DengXian"/>
          <w:lang w:eastAsia="zh-CN"/>
        </w:rPr>
        <w:t xml:space="preserve"> </w:t>
      </w:r>
      <w:r w:rsidRPr="00C70F23">
        <w:rPr>
          <w:rFonts w:eastAsia="DengXian"/>
          <w:lang w:eastAsia="zh-CN"/>
        </w:rPr>
        <w:t>reason for</w:t>
      </w:r>
      <w:r>
        <w:rPr>
          <w:rFonts w:eastAsia="DengXian"/>
          <w:lang w:eastAsia="zh-CN"/>
        </w:rPr>
        <w:t xml:space="preserve"> Soup Restaurant’s</w:t>
      </w:r>
      <w:r w:rsidRPr="00C70F23">
        <w:rPr>
          <w:rFonts w:eastAsia="DengXian"/>
          <w:lang w:eastAsia="zh-CN"/>
        </w:rPr>
        <w:t xml:space="preserve"> decision to set up </w:t>
      </w:r>
      <w:proofErr w:type="spellStart"/>
      <w:r>
        <w:rPr>
          <w:rFonts w:eastAsia="DengXian"/>
          <w:lang w:eastAsia="zh-CN"/>
        </w:rPr>
        <w:t>Samsui</w:t>
      </w:r>
      <w:proofErr w:type="spellEnd"/>
      <w:r w:rsidRPr="00C70F23">
        <w:rPr>
          <w:rFonts w:eastAsia="DengXian"/>
          <w:lang w:eastAsia="zh-CN"/>
        </w:rPr>
        <w:t xml:space="preserve"> was to enable better tracking of key process indicators and the resources needed for these activities, with the goal of doing sustainable good. In 2016, Soup Restaurant received the President’s Volunteerism and Philanthropy Award for Small and Medium Enterprises. The following year, the company was recognized as a Champion of Good by the NVPC.</w:t>
      </w:r>
    </w:p>
    <w:p w14:paraId="49D23362" w14:textId="77777777" w:rsidR="0045624B" w:rsidRPr="00C331A6" w:rsidRDefault="0045624B" w:rsidP="00A0299B">
      <w:pPr>
        <w:pStyle w:val="BodyTextMain"/>
        <w:rPr>
          <w:rFonts w:eastAsia="DengXian"/>
          <w:sz w:val="20"/>
          <w:lang w:eastAsia="zh-CN"/>
        </w:rPr>
      </w:pPr>
    </w:p>
    <w:p w14:paraId="200A05F4" w14:textId="048F727D" w:rsidR="0045624B" w:rsidRPr="00C70F23" w:rsidRDefault="004C5C4C" w:rsidP="00A0299B">
      <w:pPr>
        <w:pStyle w:val="BodyTextMain"/>
        <w:rPr>
          <w:rFonts w:eastAsia="DengXian"/>
          <w:lang w:eastAsia="zh-CN"/>
        </w:rPr>
      </w:pPr>
      <w:proofErr w:type="spellStart"/>
      <w:r>
        <w:rPr>
          <w:rFonts w:eastAsia="DengXian"/>
          <w:lang w:eastAsia="zh-CN"/>
        </w:rPr>
        <w:t>Ang</w:t>
      </w:r>
      <w:proofErr w:type="spellEnd"/>
      <w:r w:rsidR="0045624B" w:rsidRPr="00C70F23">
        <w:rPr>
          <w:rFonts w:eastAsia="DengXian"/>
          <w:lang w:eastAsia="zh-CN"/>
        </w:rPr>
        <w:t xml:space="preserve"> and the rest of </w:t>
      </w:r>
      <w:proofErr w:type="spellStart"/>
      <w:r w:rsidR="0045624B" w:rsidRPr="00C70F23">
        <w:rPr>
          <w:rFonts w:eastAsia="DengXian"/>
          <w:lang w:eastAsia="zh-CN"/>
        </w:rPr>
        <w:t>Samsui’s</w:t>
      </w:r>
      <w:proofErr w:type="spellEnd"/>
      <w:r w:rsidR="0045624B" w:rsidRPr="00C70F23">
        <w:rPr>
          <w:rFonts w:eastAsia="DengXian"/>
          <w:lang w:eastAsia="zh-CN"/>
        </w:rPr>
        <w:t xml:space="preserve"> management team decided that </w:t>
      </w:r>
      <w:r w:rsidR="00512D41" w:rsidRPr="00C70F23">
        <w:rPr>
          <w:rFonts w:eastAsia="DengXian"/>
          <w:lang w:eastAsia="zh-CN"/>
        </w:rPr>
        <w:t>the company’s</w:t>
      </w:r>
      <w:r w:rsidR="0045624B" w:rsidRPr="00C70F23">
        <w:rPr>
          <w:rFonts w:eastAsia="DengXian"/>
          <w:lang w:eastAsia="zh-CN"/>
        </w:rPr>
        <w:t xml:space="preserve"> philanthropic efforts </w:t>
      </w:r>
      <w:r w:rsidR="00512D41" w:rsidRPr="00C70F23">
        <w:rPr>
          <w:rFonts w:eastAsia="DengXian"/>
          <w:lang w:eastAsia="zh-CN"/>
        </w:rPr>
        <w:t>should</w:t>
      </w:r>
      <w:r w:rsidR="0045624B" w:rsidRPr="00C70F23">
        <w:rPr>
          <w:rFonts w:eastAsia="DengXian"/>
          <w:lang w:eastAsia="zh-CN"/>
        </w:rPr>
        <w:t xml:space="preserve"> not be restricted to one-off projects and events, preferring sustainable and long-term initiatives. Given </w:t>
      </w:r>
      <w:proofErr w:type="spellStart"/>
      <w:r w:rsidR="0045624B" w:rsidRPr="00C70F23">
        <w:rPr>
          <w:rFonts w:eastAsia="DengXian"/>
          <w:lang w:eastAsia="zh-CN"/>
        </w:rPr>
        <w:lastRenderedPageBreak/>
        <w:t>Samsui’s</w:t>
      </w:r>
      <w:proofErr w:type="spellEnd"/>
      <w:r w:rsidR="0045624B" w:rsidRPr="00C70F23">
        <w:rPr>
          <w:rFonts w:eastAsia="DengXian"/>
          <w:lang w:eastAsia="zh-CN"/>
        </w:rPr>
        <w:t xml:space="preserve"> extensive experience in the F&amp;B industry</w:t>
      </w:r>
      <w:r w:rsidR="00512D41" w:rsidRPr="00C70F23">
        <w:rPr>
          <w:rFonts w:eastAsia="DengXian"/>
          <w:lang w:eastAsia="zh-CN"/>
        </w:rPr>
        <w:t>,</w:t>
      </w:r>
      <w:r w:rsidR="0045624B" w:rsidRPr="00C70F23">
        <w:rPr>
          <w:rFonts w:eastAsia="DengXian"/>
          <w:lang w:eastAsia="zh-CN"/>
        </w:rPr>
        <w:t xml:space="preserve"> as well as </w:t>
      </w:r>
      <w:r w:rsidR="00890A10">
        <w:rPr>
          <w:rFonts w:eastAsia="DengXian"/>
          <w:lang w:eastAsia="zh-CN"/>
        </w:rPr>
        <w:t>the experience</w:t>
      </w:r>
      <w:r w:rsidR="00890A10" w:rsidRPr="00C70F23">
        <w:rPr>
          <w:rFonts w:eastAsia="DengXian"/>
          <w:lang w:eastAsia="zh-CN"/>
        </w:rPr>
        <w:t xml:space="preserve"> </w:t>
      </w:r>
      <w:r w:rsidR="0045624B" w:rsidRPr="00C70F23">
        <w:rPr>
          <w:rFonts w:eastAsia="DengXian"/>
          <w:lang w:eastAsia="zh-CN"/>
        </w:rPr>
        <w:t xml:space="preserve">of its parent company, </w:t>
      </w:r>
      <w:proofErr w:type="spellStart"/>
      <w:r w:rsidR="00013895">
        <w:rPr>
          <w:rFonts w:eastAsia="DengXian"/>
          <w:lang w:eastAsia="zh-CN"/>
        </w:rPr>
        <w:t>Samsui</w:t>
      </w:r>
      <w:proofErr w:type="spellEnd"/>
      <w:r w:rsidR="00013895" w:rsidRPr="00C70F23">
        <w:rPr>
          <w:rFonts w:eastAsia="DengXian"/>
          <w:lang w:eastAsia="zh-CN"/>
        </w:rPr>
        <w:t xml:space="preserve"> </w:t>
      </w:r>
      <w:r w:rsidR="0045624B" w:rsidRPr="00C70F23">
        <w:rPr>
          <w:rFonts w:eastAsia="DengXian"/>
          <w:lang w:eastAsia="zh-CN"/>
        </w:rPr>
        <w:t>decided to leverage its knowledge of the food value chain to help charitable organi</w:t>
      </w:r>
      <w:r w:rsidR="00512D41" w:rsidRPr="00C70F23">
        <w:rPr>
          <w:rFonts w:eastAsia="DengXian"/>
          <w:lang w:eastAsia="zh-CN"/>
        </w:rPr>
        <w:t>z</w:t>
      </w:r>
      <w:r w:rsidR="0045624B" w:rsidRPr="00C70F23">
        <w:rPr>
          <w:rFonts w:eastAsia="DengXian"/>
          <w:lang w:eastAsia="zh-CN"/>
        </w:rPr>
        <w:t xml:space="preserve">ations. </w:t>
      </w:r>
      <w:r w:rsidR="00DE34F8">
        <w:rPr>
          <w:rFonts w:eastAsia="DengXian"/>
          <w:lang w:eastAsia="zh-CN"/>
        </w:rPr>
        <w:t xml:space="preserve">Traditionally, </w:t>
      </w:r>
      <w:r w:rsidR="00DE34F8" w:rsidRPr="00C70F23">
        <w:rPr>
          <w:rFonts w:eastAsia="DengXian"/>
          <w:lang w:eastAsia="zh-CN"/>
        </w:rPr>
        <w:t xml:space="preserve">charitable organizations could not leverage economies of scale to negotiate lower prices for ingredients, and </w:t>
      </w:r>
      <w:r w:rsidR="00013895">
        <w:rPr>
          <w:rFonts w:eastAsia="DengXian"/>
          <w:lang w:eastAsia="zh-CN"/>
        </w:rPr>
        <w:t xml:space="preserve">they </w:t>
      </w:r>
      <w:r w:rsidR="00DE34F8" w:rsidRPr="00C70F23">
        <w:rPr>
          <w:rFonts w:eastAsia="DengXian"/>
          <w:lang w:eastAsia="zh-CN"/>
        </w:rPr>
        <w:t>often lacked distribution networks for logistics.</w:t>
      </w:r>
      <w:r w:rsidR="00DE34F8">
        <w:rPr>
          <w:rFonts w:eastAsia="DengXian"/>
          <w:lang w:eastAsia="zh-CN"/>
        </w:rPr>
        <w:t xml:space="preserve"> </w:t>
      </w:r>
      <w:r w:rsidR="00EF1B0F">
        <w:rPr>
          <w:rFonts w:eastAsia="DengXian"/>
          <w:lang w:eastAsia="zh-CN"/>
        </w:rPr>
        <w:t>But</w:t>
      </w:r>
      <w:r w:rsidR="00DE34F8">
        <w:rPr>
          <w:rFonts w:eastAsia="DengXian"/>
          <w:lang w:eastAsia="zh-CN"/>
        </w:rPr>
        <w:t xml:space="preserve"> </w:t>
      </w:r>
      <w:proofErr w:type="spellStart"/>
      <w:r w:rsidR="0045624B" w:rsidRPr="00C70F23">
        <w:rPr>
          <w:rFonts w:eastAsia="DengXian"/>
          <w:lang w:eastAsia="zh-CN"/>
        </w:rPr>
        <w:t>Samsui</w:t>
      </w:r>
      <w:proofErr w:type="spellEnd"/>
      <w:r w:rsidR="0045624B" w:rsidRPr="00C70F23">
        <w:rPr>
          <w:rFonts w:eastAsia="DengXian"/>
          <w:lang w:eastAsia="zh-CN"/>
        </w:rPr>
        <w:t xml:space="preserve"> had strong bargaining power in its relationships with suppliers</w:t>
      </w:r>
      <w:r w:rsidR="000F7CB0" w:rsidRPr="00C70F23">
        <w:rPr>
          <w:rFonts w:eastAsia="DengXian"/>
          <w:lang w:eastAsia="zh-CN"/>
        </w:rPr>
        <w:t>,</w:t>
      </w:r>
      <w:r w:rsidR="0045624B" w:rsidRPr="00C70F23">
        <w:rPr>
          <w:rFonts w:eastAsia="DengXian"/>
          <w:lang w:eastAsia="zh-CN"/>
        </w:rPr>
        <w:t xml:space="preserve"> due to the collective clout of Soup Restaurant</w:t>
      </w:r>
      <w:r w:rsidR="000F7CB0" w:rsidRPr="00C70F23">
        <w:rPr>
          <w:rFonts w:eastAsia="DengXian"/>
          <w:lang w:eastAsia="zh-CN"/>
        </w:rPr>
        <w:t>,</w:t>
      </w:r>
      <w:r w:rsidR="0045624B" w:rsidRPr="00C70F23">
        <w:rPr>
          <w:rFonts w:eastAsia="DengXian"/>
          <w:lang w:eastAsia="zh-CN"/>
        </w:rPr>
        <w:t xml:space="preserve"> when purchasing ingredients. </w:t>
      </w:r>
      <w:proofErr w:type="spellStart"/>
      <w:r w:rsidR="0045624B" w:rsidRPr="00C70F23">
        <w:rPr>
          <w:rFonts w:eastAsia="DengXian"/>
          <w:lang w:eastAsia="zh-CN"/>
        </w:rPr>
        <w:t>Samsui</w:t>
      </w:r>
      <w:proofErr w:type="spellEnd"/>
      <w:r w:rsidR="0045624B" w:rsidRPr="00C70F23">
        <w:rPr>
          <w:rFonts w:eastAsia="DengXian"/>
          <w:lang w:eastAsia="zh-CN"/>
        </w:rPr>
        <w:t xml:space="preserve"> also had distribution networks in place </w:t>
      </w:r>
      <w:r w:rsidR="000F7CB0" w:rsidRPr="00C70F23">
        <w:rPr>
          <w:rFonts w:eastAsia="DengXian"/>
          <w:lang w:eastAsia="zh-CN"/>
        </w:rPr>
        <w:t>that</w:t>
      </w:r>
      <w:r w:rsidR="0045624B" w:rsidRPr="00C70F23">
        <w:rPr>
          <w:rFonts w:eastAsia="DengXian"/>
          <w:lang w:eastAsia="zh-CN"/>
        </w:rPr>
        <w:t xml:space="preserve"> it could leverage for the transportation and logistics of ingredients and cooked meals. </w:t>
      </w:r>
    </w:p>
    <w:p w14:paraId="3B9322D4" w14:textId="77777777" w:rsidR="0045624B" w:rsidRPr="00C331A6" w:rsidRDefault="0045624B" w:rsidP="00A0299B">
      <w:pPr>
        <w:pStyle w:val="BodyTextMain"/>
        <w:rPr>
          <w:rFonts w:eastAsia="DengXian"/>
          <w:sz w:val="20"/>
          <w:lang w:eastAsia="zh-CN"/>
        </w:rPr>
      </w:pPr>
    </w:p>
    <w:p w14:paraId="16ABF9E8" w14:textId="1C7A6379" w:rsidR="0045624B" w:rsidRPr="00C70F23" w:rsidRDefault="0045624B" w:rsidP="00A0299B">
      <w:pPr>
        <w:pStyle w:val="BodyTextMain"/>
        <w:rPr>
          <w:rFonts w:eastAsia="DengXian"/>
          <w:lang w:eastAsia="zh-CN"/>
        </w:rPr>
      </w:pPr>
      <w:r w:rsidRPr="00C70F23">
        <w:rPr>
          <w:rFonts w:eastAsia="DengXian"/>
          <w:lang w:eastAsia="zh-CN"/>
        </w:rPr>
        <w:t xml:space="preserve">This competency-based approach ensured that </w:t>
      </w:r>
      <w:proofErr w:type="spellStart"/>
      <w:r w:rsidRPr="00C70F23">
        <w:rPr>
          <w:rFonts w:eastAsia="DengXian"/>
          <w:lang w:eastAsia="zh-CN"/>
        </w:rPr>
        <w:t>Samsui</w:t>
      </w:r>
      <w:proofErr w:type="spellEnd"/>
      <w:r w:rsidRPr="00C70F23">
        <w:rPr>
          <w:rFonts w:eastAsia="DengXian"/>
          <w:lang w:eastAsia="zh-CN"/>
        </w:rPr>
        <w:t xml:space="preserve"> focused on its core expertise of food manufacturing</w:t>
      </w:r>
      <w:r w:rsidR="000F7CB0" w:rsidRPr="00C70F23">
        <w:rPr>
          <w:rFonts w:eastAsia="DengXian"/>
          <w:lang w:eastAsia="zh-CN"/>
        </w:rPr>
        <w:t>, which</w:t>
      </w:r>
      <w:r w:rsidRPr="00C70F23">
        <w:rPr>
          <w:rFonts w:eastAsia="DengXian"/>
          <w:lang w:eastAsia="zh-CN"/>
        </w:rPr>
        <w:t xml:space="preserve"> culminated in launching the “</w:t>
      </w:r>
      <w:proofErr w:type="spellStart"/>
      <w:r w:rsidRPr="00C70F23">
        <w:rPr>
          <w:rFonts w:eastAsia="DengXian"/>
          <w:lang w:eastAsia="zh-CN"/>
        </w:rPr>
        <w:t>Makan</w:t>
      </w:r>
      <w:proofErr w:type="spellEnd"/>
      <w:r w:rsidRPr="00C70F23">
        <w:rPr>
          <w:rFonts w:eastAsia="DengXian"/>
          <w:lang w:eastAsia="zh-CN"/>
        </w:rPr>
        <w:t xml:space="preserve"> Project</w:t>
      </w:r>
      <w:r w:rsidR="005C1ABD">
        <w:rPr>
          <w:rFonts w:eastAsia="DengXian"/>
          <w:lang w:eastAsia="zh-CN"/>
        </w:rPr>
        <w:t>”</w:t>
      </w:r>
      <w:r w:rsidRPr="00C70F23">
        <w:rPr>
          <w:rFonts w:eastAsia="DengXian"/>
          <w:lang w:eastAsia="zh-CN"/>
        </w:rPr>
        <w:t xml:space="preserve"> in 2013</w:t>
      </w:r>
      <w:r w:rsidR="000F7CB0" w:rsidRPr="00C70F23">
        <w:rPr>
          <w:rFonts w:eastAsia="DengXian"/>
          <w:lang w:eastAsia="zh-CN"/>
        </w:rPr>
        <w:t xml:space="preserve">. </w:t>
      </w:r>
      <w:proofErr w:type="spellStart"/>
      <w:r w:rsidR="000F7CB0" w:rsidRPr="00C70F23">
        <w:rPr>
          <w:rFonts w:eastAsia="DengXian"/>
          <w:lang w:eastAsia="zh-CN"/>
        </w:rPr>
        <w:t>Makan</w:t>
      </w:r>
      <w:proofErr w:type="spellEnd"/>
      <w:r w:rsidR="000F7CB0" w:rsidRPr="00C70F23">
        <w:rPr>
          <w:rFonts w:eastAsia="DengXian"/>
          <w:lang w:eastAsia="zh-CN"/>
        </w:rPr>
        <w:t xml:space="preserve"> was</w:t>
      </w:r>
      <w:r w:rsidRPr="00C70F23">
        <w:rPr>
          <w:rFonts w:eastAsia="DengXian"/>
          <w:lang w:eastAsia="zh-CN"/>
        </w:rPr>
        <w:t xml:space="preserve"> a program</w:t>
      </w:r>
      <w:r w:rsidR="000F7CB0" w:rsidRPr="00C70F23">
        <w:rPr>
          <w:rFonts w:eastAsia="DengXian"/>
          <w:lang w:eastAsia="zh-CN"/>
        </w:rPr>
        <w:t xml:space="preserve"> that</w:t>
      </w:r>
      <w:r w:rsidRPr="00C70F23">
        <w:rPr>
          <w:rFonts w:eastAsia="DengXian"/>
          <w:lang w:eastAsia="zh-CN"/>
        </w:rPr>
        <w:t xml:space="preserve"> deliver</w:t>
      </w:r>
      <w:r w:rsidR="000F7CB0" w:rsidRPr="00C70F23">
        <w:rPr>
          <w:rFonts w:eastAsia="DengXian"/>
          <w:lang w:eastAsia="zh-CN"/>
        </w:rPr>
        <w:t>ed</w:t>
      </w:r>
      <w:r w:rsidRPr="00C70F23">
        <w:rPr>
          <w:rFonts w:eastAsia="DengXian"/>
          <w:lang w:eastAsia="zh-CN"/>
        </w:rPr>
        <w:t xml:space="preserve"> better quality food to 20,000 underprivileged recipients in homes and care centres. The initial 30,000 meals were prepared in the existing central kitchen of </w:t>
      </w:r>
      <w:proofErr w:type="spellStart"/>
      <w:r w:rsidRPr="00C70F23">
        <w:rPr>
          <w:rFonts w:eastAsia="DengXian"/>
          <w:lang w:eastAsia="zh-CN"/>
        </w:rPr>
        <w:t>Samsui’s</w:t>
      </w:r>
      <w:proofErr w:type="spellEnd"/>
      <w:r w:rsidRPr="00C70F23">
        <w:rPr>
          <w:rFonts w:eastAsia="DengXian"/>
          <w:lang w:eastAsia="zh-CN"/>
        </w:rPr>
        <w:t xml:space="preserve"> parent company during downtime </w:t>
      </w:r>
      <w:r w:rsidR="000F7CB0" w:rsidRPr="00C70F23">
        <w:rPr>
          <w:rFonts w:eastAsia="DengXian"/>
          <w:lang w:eastAsia="zh-CN"/>
        </w:rPr>
        <w:t xml:space="preserve">periods, </w:t>
      </w:r>
      <w:r w:rsidRPr="00C70F23">
        <w:rPr>
          <w:rFonts w:eastAsia="DengXian"/>
          <w:lang w:eastAsia="zh-CN"/>
        </w:rPr>
        <w:t>when excess production capacity could be utili</w:t>
      </w:r>
      <w:r w:rsidR="000F7CB0" w:rsidRPr="00C70F23">
        <w:rPr>
          <w:rFonts w:eastAsia="DengXian"/>
          <w:lang w:eastAsia="zh-CN"/>
        </w:rPr>
        <w:t>z</w:t>
      </w:r>
      <w:r w:rsidRPr="00C70F23">
        <w:rPr>
          <w:rFonts w:eastAsia="DengXian"/>
          <w:lang w:eastAsia="zh-CN"/>
        </w:rPr>
        <w:t>ed. As the program</w:t>
      </w:r>
      <w:r w:rsidR="000F7CB0" w:rsidRPr="00C70F23">
        <w:rPr>
          <w:rFonts w:eastAsia="DengXian"/>
          <w:lang w:eastAsia="zh-CN"/>
        </w:rPr>
        <w:t>’s popularity increased</w:t>
      </w:r>
      <w:r w:rsidRPr="00C70F23">
        <w:rPr>
          <w:rFonts w:eastAsia="DengXian"/>
          <w:lang w:eastAsia="zh-CN"/>
        </w:rPr>
        <w:t xml:space="preserve">, </w:t>
      </w:r>
      <w:proofErr w:type="spellStart"/>
      <w:r w:rsidRPr="00C70F23">
        <w:rPr>
          <w:rFonts w:eastAsia="DengXian"/>
          <w:lang w:eastAsia="zh-CN"/>
        </w:rPr>
        <w:t>Samsui</w:t>
      </w:r>
      <w:proofErr w:type="spellEnd"/>
      <w:r w:rsidRPr="00C70F23">
        <w:rPr>
          <w:rFonts w:eastAsia="DengXian"/>
          <w:lang w:eastAsia="zh-CN"/>
        </w:rPr>
        <w:t xml:space="preserve"> explored </w:t>
      </w:r>
      <w:r w:rsidR="00F95AFA" w:rsidRPr="00C70F23">
        <w:rPr>
          <w:rFonts w:eastAsia="DengXian"/>
          <w:lang w:eastAsia="zh-CN"/>
        </w:rPr>
        <w:t xml:space="preserve">ways of </w:t>
      </w:r>
      <w:r w:rsidRPr="00C70F23">
        <w:rPr>
          <w:rFonts w:eastAsia="DengXian"/>
          <w:lang w:eastAsia="zh-CN"/>
        </w:rPr>
        <w:t>expanding this CSR initiative by increasing the number of meals provided to beneficiaries.</w:t>
      </w:r>
      <w:r w:rsidRPr="00370ECF">
        <w:rPr>
          <w:rStyle w:val="EndnoteReference"/>
          <w:rFonts w:eastAsia="DengXian"/>
        </w:rPr>
        <w:endnoteReference w:id="6"/>
      </w:r>
      <w:r w:rsidRPr="00C70F23">
        <w:rPr>
          <w:rFonts w:eastAsia="DengXian"/>
          <w:lang w:eastAsia="zh-CN"/>
        </w:rPr>
        <w:t xml:space="preserve"> Consequently, </w:t>
      </w:r>
      <w:proofErr w:type="spellStart"/>
      <w:r w:rsidRPr="00C70F23">
        <w:rPr>
          <w:rFonts w:eastAsia="DengXian"/>
          <w:lang w:eastAsia="zh-CN"/>
        </w:rPr>
        <w:t>Samsui</w:t>
      </w:r>
      <w:proofErr w:type="spellEnd"/>
      <w:r w:rsidRPr="00C70F23">
        <w:rPr>
          <w:rFonts w:eastAsia="DengXian"/>
          <w:lang w:eastAsia="zh-CN"/>
        </w:rPr>
        <w:t xml:space="preserve"> decided that setting up a new central kitchen was necessary, with the existing kitchens already running at full capacity. </w:t>
      </w:r>
    </w:p>
    <w:p w14:paraId="5E9EF96B" w14:textId="77777777" w:rsidR="0045624B" w:rsidRPr="00C331A6" w:rsidRDefault="0045624B" w:rsidP="00A0299B">
      <w:pPr>
        <w:pStyle w:val="BodyTextMain"/>
        <w:rPr>
          <w:rFonts w:eastAsia="DengXian"/>
          <w:sz w:val="20"/>
          <w:lang w:eastAsia="zh-CN"/>
        </w:rPr>
      </w:pPr>
    </w:p>
    <w:p w14:paraId="13D36A4C" w14:textId="5A48A7E5" w:rsidR="0045624B" w:rsidRPr="00C70F23" w:rsidRDefault="0045624B" w:rsidP="00A0299B">
      <w:pPr>
        <w:pStyle w:val="BodyTextMain"/>
        <w:rPr>
          <w:rFonts w:eastAsia="DengXian"/>
          <w:lang w:eastAsia="zh-CN"/>
        </w:rPr>
      </w:pPr>
      <w:proofErr w:type="spellStart"/>
      <w:r w:rsidRPr="00C70F23">
        <w:rPr>
          <w:rFonts w:eastAsia="DengXian"/>
          <w:lang w:eastAsia="zh-CN"/>
        </w:rPr>
        <w:t>Samsui’s</w:t>
      </w:r>
      <w:proofErr w:type="spellEnd"/>
      <w:r w:rsidRPr="00C70F23">
        <w:rPr>
          <w:rFonts w:eastAsia="DengXian"/>
          <w:lang w:eastAsia="zh-CN"/>
        </w:rPr>
        <w:t xml:space="preserve"> decision to pursue strategic CSR </w:t>
      </w:r>
      <w:r w:rsidR="00DE34F8">
        <w:rPr>
          <w:rFonts w:eastAsia="DengXian"/>
          <w:lang w:eastAsia="zh-CN"/>
        </w:rPr>
        <w:t>was exemplary</w:t>
      </w:r>
      <w:r w:rsidRPr="00C70F23">
        <w:rPr>
          <w:rFonts w:eastAsia="DengXian"/>
          <w:lang w:eastAsia="zh-CN"/>
        </w:rPr>
        <w:t xml:space="preserve">. Industry experts had criticized the philanthropic CSR approach on the basis that CSR </w:t>
      </w:r>
      <w:r w:rsidR="00DE34F8">
        <w:rPr>
          <w:rFonts w:eastAsia="DengXian"/>
          <w:lang w:eastAsia="zh-CN"/>
        </w:rPr>
        <w:t xml:space="preserve">should </w:t>
      </w:r>
      <w:r w:rsidRPr="00C70F23">
        <w:rPr>
          <w:rFonts w:eastAsia="DengXian"/>
          <w:lang w:eastAsia="zh-CN"/>
        </w:rPr>
        <w:t>encompass more than just philanthropy, volunteerism</w:t>
      </w:r>
      <w:r w:rsidR="00EA3A4C" w:rsidRPr="00C70F23">
        <w:rPr>
          <w:rFonts w:eastAsia="DengXian"/>
          <w:lang w:eastAsia="zh-CN"/>
        </w:rPr>
        <w:t>,</w:t>
      </w:r>
      <w:r w:rsidRPr="00C70F23">
        <w:rPr>
          <w:rFonts w:eastAsia="DengXian"/>
          <w:lang w:eastAsia="zh-CN"/>
        </w:rPr>
        <w:t xml:space="preserve"> and eco-friendliness.</w:t>
      </w:r>
      <w:r w:rsidRPr="00370ECF">
        <w:rPr>
          <w:rStyle w:val="EndnoteReference"/>
          <w:rFonts w:eastAsia="DengXian"/>
        </w:rPr>
        <w:endnoteReference w:id="7"/>
      </w:r>
      <w:r w:rsidRPr="00C70F23">
        <w:rPr>
          <w:rFonts w:eastAsia="DengXian"/>
          <w:lang w:eastAsia="zh-CN"/>
        </w:rPr>
        <w:t xml:space="preserve"> This view was echoed by research from McKinsey</w:t>
      </w:r>
      <w:r w:rsidR="0068150B">
        <w:rPr>
          <w:rFonts w:eastAsia="DengXian"/>
          <w:lang w:eastAsia="zh-CN"/>
        </w:rPr>
        <w:t xml:space="preserve"> &amp; Company</w:t>
      </w:r>
      <w:r w:rsidRPr="00C70F23">
        <w:rPr>
          <w:rFonts w:eastAsia="DengXian"/>
          <w:lang w:eastAsia="zh-CN"/>
        </w:rPr>
        <w:t>, which argued that companies typically t</w:t>
      </w:r>
      <w:r w:rsidR="00EA3A4C" w:rsidRPr="00C70F23">
        <w:rPr>
          <w:rFonts w:eastAsia="DengXian"/>
          <w:lang w:eastAsia="zh-CN"/>
        </w:rPr>
        <w:t>oo</w:t>
      </w:r>
      <w:r w:rsidRPr="00C70F23">
        <w:rPr>
          <w:rFonts w:eastAsia="DengXian"/>
          <w:lang w:eastAsia="zh-CN"/>
        </w:rPr>
        <w:t>k a too inward-looking perspective of CSR efforts and view</w:t>
      </w:r>
      <w:r w:rsidR="007A67E8" w:rsidRPr="00C70F23">
        <w:rPr>
          <w:rFonts w:eastAsia="DengXian"/>
          <w:lang w:eastAsia="zh-CN"/>
        </w:rPr>
        <w:t>ed</w:t>
      </w:r>
      <w:r w:rsidRPr="00C70F23">
        <w:rPr>
          <w:rFonts w:eastAsia="DengXian"/>
          <w:lang w:eastAsia="zh-CN"/>
        </w:rPr>
        <w:t xml:space="preserve"> </w:t>
      </w:r>
      <w:r w:rsidR="0068150B">
        <w:rPr>
          <w:rFonts w:eastAsia="DengXian"/>
          <w:lang w:eastAsia="zh-CN"/>
        </w:rPr>
        <w:t>CSR</w:t>
      </w:r>
      <w:r w:rsidR="0068150B" w:rsidRPr="00C70F23">
        <w:rPr>
          <w:rFonts w:eastAsia="DengXian"/>
          <w:lang w:eastAsia="zh-CN"/>
        </w:rPr>
        <w:t xml:space="preserve"> </w:t>
      </w:r>
      <w:r w:rsidRPr="00C70F23">
        <w:rPr>
          <w:rFonts w:eastAsia="DengXian"/>
          <w:lang w:eastAsia="zh-CN"/>
        </w:rPr>
        <w:t xml:space="preserve">as a distinct program in </w:t>
      </w:r>
      <w:r w:rsidR="00BB459E">
        <w:rPr>
          <w:rFonts w:eastAsia="DengXian"/>
          <w:lang w:eastAsia="zh-CN"/>
        </w:rPr>
        <w:t xml:space="preserve">a </w:t>
      </w:r>
      <w:r w:rsidR="00CE3D7E">
        <w:rPr>
          <w:rFonts w:eastAsia="DengXian"/>
          <w:lang w:eastAsia="zh-CN"/>
        </w:rPr>
        <w:t xml:space="preserve">company’s </w:t>
      </w:r>
      <w:r w:rsidRPr="00C70F23">
        <w:rPr>
          <w:rFonts w:eastAsia="DengXian"/>
          <w:lang w:eastAsia="zh-CN"/>
        </w:rPr>
        <w:t>operations.</w:t>
      </w:r>
      <w:r w:rsidRPr="00370ECF">
        <w:rPr>
          <w:rStyle w:val="EndnoteReference"/>
          <w:rFonts w:eastAsia="DengXian"/>
        </w:rPr>
        <w:endnoteReference w:id="8"/>
      </w:r>
      <w:r w:rsidRPr="00C70F23">
        <w:rPr>
          <w:rFonts w:eastAsia="DengXian"/>
          <w:lang w:eastAsia="zh-CN"/>
        </w:rPr>
        <w:t xml:space="preserve"> In contrast, </w:t>
      </w:r>
      <w:proofErr w:type="spellStart"/>
      <w:r w:rsidRPr="00C70F23">
        <w:rPr>
          <w:rFonts w:eastAsia="DengXian"/>
          <w:lang w:eastAsia="zh-CN"/>
        </w:rPr>
        <w:t>Samsui</w:t>
      </w:r>
      <w:proofErr w:type="spellEnd"/>
      <w:r w:rsidRPr="00C70F23">
        <w:rPr>
          <w:rFonts w:eastAsia="DengXian"/>
          <w:lang w:eastAsia="zh-CN"/>
        </w:rPr>
        <w:t xml:space="preserve"> relied on its core competencies</w:t>
      </w:r>
      <w:r w:rsidR="007A67E8" w:rsidRPr="00C70F23">
        <w:rPr>
          <w:rFonts w:eastAsia="DengXian"/>
          <w:lang w:eastAsia="zh-CN"/>
        </w:rPr>
        <w:t>,</w:t>
      </w:r>
      <w:r w:rsidRPr="00C70F23">
        <w:rPr>
          <w:rFonts w:eastAsia="DengXian"/>
          <w:lang w:eastAsia="zh-CN"/>
        </w:rPr>
        <w:t xml:space="preserve"> instead of reinventing the wheel</w:t>
      </w:r>
      <w:r w:rsidR="007A67E8" w:rsidRPr="00C70F23">
        <w:rPr>
          <w:rFonts w:eastAsia="DengXian"/>
          <w:lang w:eastAsia="zh-CN"/>
        </w:rPr>
        <w:t>,</w:t>
      </w:r>
      <w:r w:rsidRPr="00C70F23">
        <w:rPr>
          <w:rFonts w:eastAsia="DengXian"/>
          <w:lang w:eastAsia="zh-CN"/>
        </w:rPr>
        <w:t xml:space="preserve"> to bring about social benefits in an innovative way that allowed it to create a sustainable initiative in the form of SCK. It could thus be argued that </w:t>
      </w:r>
      <w:proofErr w:type="spellStart"/>
      <w:r w:rsidRPr="00C70F23">
        <w:rPr>
          <w:rFonts w:eastAsia="DengXian"/>
          <w:lang w:eastAsia="zh-CN"/>
        </w:rPr>
        <w:t>Samsui’s</w:t>
      </w:r>
      <w:proofErr w:type="spellEnd"/>
      <w:r w:rsidRPr="00C70F23">
        <w:rPr>
          <w:rFonts w:eastAsia="DengXian"/>
          <w:lang w:eastAsia="zh-CN"/>
        </w:rPr>
        <w:t xml:space="preserve"> approach was ahead of its time </w:t>
      </w:r>
      <w:r w:rsidR="007A67E8" w:rsidRPr="00C70F23">
        <w:rPr>
          <w:rFonts w:eastAsia="DengXian"/>
          <w:lang w:eastAsia="zh-CN"/>
        </w:rPr>
        <w:t>in respect to its</w:t>
      </w:r>
      <w:r w:rsidRPr="00C70F23">
        <w:rPr>
          <w:rFonts w:eastAsia="DengXian"/>
          <w:lang w:eastAsia="zh-CN"/>
        </w:rPr>
        <w:t xml:space="preserve"> Singaporean peers.</w:t>
      </w:r>
    </w:p>
    <w:p w14:paraId="30A192B8" w14:textId="77777777" w:rsidR="0045624B" w:rsidRPr="00C331A6" w:rsidRDefault="0045624B" w:rsidP="00A0299B">
      <w:pPr>
        <w:pStyle w:val="BodyTextMain"/>
        <w:rPr>
          <w:rFonts w:eastAsia="DengXian"/>
          <w:sz w:val="20"/>
          <w:lang w:eastAsia="zh-CN"/>
        </w:rPr>
      </w:pPr>
    </w:p>
    <w:p w14:paraId="41865DA8" w14:textId="362C524A" w:rsidR="0045624B" w:rsidRPr="00C70F23" w:rsidRDefault="007A67E8" w:rsidP="00A0299B">
      <w:pPr>
        <w:pStyle w:val="BodyTextMain"/>
        <w:rPr>
          <w:rFonts w:eastAsia="DengXian"/>
          <w:lang w:eastAsia="zh-CN"/>
        </w:rPr>
      </w:pPr>
      <w:r w:rsidRPr="00A001AB">
        <w:rPr>
          <w:rFonts w:eastAsia="DengXian"/>
        </w:rPr>
        <w:t>However</w:t>
      </w:r>
      <w:r w:rsidR="0045624B" w:rsidRPr="00A001AB">
        <w:rPr>
          <w:rFonts w:eastAsia="DengXian"/>
        </w:rPr>
        <w:t xml:space="preserve">, there was a clear need for a framework in the decision-making process for CSR. When </w:t>
      </w:r>
      <w:proofErr w:type="spellStart"/>
      <w:r w:rsidR="0045624B" w:rsidRPr="00A001AB">
        <w:rPr>
          <w:rFonts w:eastAsia="DengXian"/>
        </w:rPr>
        <w:t>Samsui</w:t>
      </w:r>
      <w:proofErr w:type="spellEnd"/>
      <w:r w:rsidR="0045624B" w:rsidRPr="00A001AB">
        <w:rPr>
          <w:rFonts w:eastAsia="DengXian"/>
        </w:rPr>
        <w:t xml:space="preserve"> was just starting out, new CSR projects could be quickly ideated, materiali</w:t>
      </w:r>
      <w:r w:rsidRPr="00A001AB">
        <w:rPr>
          <w:rFonts w:eastAsia="DengXian"/>
        </w:rPr>
        <w:t>z</w:t>
      </w:r>
      <w:r w:rsidR="0045624B" w:rsidRPr="00A001AB">
        <w:rPr>
          <w:rFonts w:eastAsia="DengXian"/>
        </w:rPr>
        <w:t>ed</w:t>
      </w:r>
      <w:r w:rsidRPr="00A001AB">
        <w:rPr>
          <w:rFonts w:eastAsia="DengXian"/>
        </w:rPr>
        <w:t>,</w:t>
      </w:r>
      <w:r w:rsidR="0045624B" w:rsidRPr="00A001AB">
        <w:rPr>
          <w:rFonts w:eastAsia="DengXian"/>
        </w:rPr>
        <w:t xml:space="preserve"> and tested to determine whether they met the expected objectives and were sustainable. However, the absence of a formal and rigorous framework that considered the implications </w:t>
      </w:r>
      <w:r w:rsidRPr="00A001AB">
        <w:rPr>
          <w:rFonts w:eastAsia="DengXian"/>
        </w:rPr>
        <w:t>and</w:t>
      </w:r>
      <w:r w:rsidR="0045624B" w:rsidRPr="00A001AB">
        <w:rPr>
          <w:rFonts w:eastAsia="DengXian"/>
        </w:rPr>
        <w:t xml:space="preserve"> viability of an initiative conflicted with </w:t>
      </w:r>
      <w:proofErr w:type="spellStart"/>
      <w:r w:rsidR="0045624B" w:rsidRPr="00A001AB">
        <w:rPr>
          <w:rFonts w:eastAsia="DengXian"/>
        </w:rPr>
        <w:t>Samsui’s</w:t>
      </w:r>
      <w:proofErr w:type="spellEnd"/>
      <w:r w:rsidR="0045624B" w:rsidRPr="00A001AB">
        <w:rPr>
          <w:rFonts w:eastAsia="DengXian"/>
        </w:rPr>
        <w:t xml:space="preserve"> ambition of embedding CSR into its core company strategy. Given that </w:t>
      </w:r>
      <w:proofErr w:type="spellStart"/>
      <w:r w:rsidR="0045624B" w:rsidRPr="00A001AB">
        <w:rPr>
          <w:rFonts w:eastAsia="DengXian"/>
        </w:rPr>
        <w:t>Samsui</w:t>
      </w:r>
      <w:proofErr w:type="spellEnd"/>
      <w:r w:rsidR="0045624B" w:rsidRPr="00A001AB">
        <w:rPr>
          <w:rFonts w:eastAsia="DengXian"/>
        </w:rPr>
        <w:t xml:space="preserve"> </w:t>
      </w:r>
      <w:r w:rsidRPr="00A001AB">
        <w:rPr>
          <w:rFonts w:eastAsia="DengXian"/>
        </w:rPr>
        <w:t>had</w:t>
      </w:r>
      <w:r w:rsidR="0045624B" w:rsidRPr="00A001AB">
        <w:rPr>
          <w:rFonts w:eastAsia="DengXian"/>
        </w:rPr>
        <w:t xml:space="preserve"> limited resources as a</w:t>
      </w:r>
      <w:r w:rsidRPr="00A001AB">
        <w:rPr>
          <w:rFonts w:eastAsia="DengXian"/>
        </w:rPr>
        <w:t xml:space="preserve"> relatively small enterprise</w:t>
      </w:r>
      <w:r w:rsidR="0045624B" w:rsidRPr="00A001AB">
        <w:rPr>
          <w:rFonts w:eastAsia="DengXian"/>
        </w:rPr>
        <w:t xml:space="preserve">, it was prudent to avoid initiatives that were merely well-meaning but not profitable. Otherwise, </w:t>
      </w:r>
      <w:proofErr w:type="spellStart"/>
      <w:r w:rsidR="0045624B" w:rsidRPr="00A001AB">
        <w:rPr>
          <w:rFonts w:eastAsia="DengXian"/>
        </w:rPr>
        <w:t>Samsui</w:t>
      </w:r>
      <w:proofErr w:type="spellEnd"/>
      <w:r w:rsidR="0045624B" w:rsidRPr="00A001AB">
        <w:rPr>
          <w:rFonts w:eastAsia="DengXian"/>
        </w:rPr>
        <w:t xml:space="preserve"> would risk creating an assortment of uncoordinated and unfocused CSR activities that would become unsustainable.</w:t>
      </w:r>
      <w:r w:rsidR="0045624B" w:rsidRPr="00370ECF">
        <w:rPr>
          <w:rStyle w:val="EndnoteReference"/>
          <w:rFonts w:eastAsia="DengXian"/>
        </w:rPr>
        <w:endnoteReference w:id="9"/>
      </w:r>
      <w:r w:rsidR="0045624B" w:rsidRPr="00A001AB">
        <w:rPr>
          <w:rFonts w:eastAsia="DengXian"/>
        </w:rPr>
        <w:t xml:space="preserve"> Therefore, it was imperative for </w:t>
      </w:r>
      <w:proofErr w:type="spellStart"/>
      <w:r w:rsidR="0045624B" w:rsidRPr="00A001AB">
        <w:rPr>
          <w:rFonts w:eastAsia="DengXian"/>
        </w:rPr>
        <w:t>Samsui</w:t>
      </w:r>
      <w:proofErr w:type="spellEnd"/>
      <w:r w:rsidR="0045624B" w:rsidRPr="00A001AB">
        <w:rPr>
          <w:rFonts w:eastAsia="DengXian"/>
        </w:rPr>
        <w:t xml:space="preserve"> to create effective key performance indicators to benchmark its performance and the achievements of the company. This was especially </w:t>
      </w:r>
      <w:r w:rsidRPr="00A001AB">
        <w:rPr>
          <w:rFonts w:eastAsia="DengXian"/>
        </w:rPr>
        <w:t>important because</w:t>
      </w:r>
      <w:r w:rsidR="0045624B" w:rsidRPr="00A001AB">
        <w:rPr>
          <w:rFonts w:eastAsia="DengXian"/>
        </w:rPr>
        <w:t xml:space="preserve"> </w:t>
      </w:r>
      <w:proofErr w:type="spellStart"/>
      <w:r w:rsidR="0045624B" w:rsidRPr="00A001AB">
        <w:rPr>
          <w:rFonts w:eastAsia="DengXian"/>
        </w:rPr>
        <w:t>Samsui</w:t>
      </w:r>
      <w:proofErr w:type="spellEnd"/>
      <w:r w:rsidR="0045624B" w:rsidRPr="00A001AB">
        <w:rPr>
          <w:rFonts w:eastAsia="DengXian"/>
        </w:rPr>
        <w:t xml:space="preserve"> was engaged in CSR projects that were no longer small in terms of time, operational </w:t>
      </w:r>
      <w:r w:rsidR="00A508CF" w:rsidRPr="00A001AB">
        <w:rPr>
          <w:rFonts w:eastAsia="DengXian"/>
        </w:rPr>
        <w:t xml:space="preserve">scope, </w:t>
      </w:r>
      <w:r w:rsidR="0045624B" w:rsidRPr="00A001AB">
        <w:rPr>
          <w:rFonts w:eastAsia="DengXian"/>
        </w:rPr>
        <w:t>and capital commitments</w:t>
      </w:r>
      <w:r w:rsidRPr="00A001AB">
        <w:rPr>
          <w:rFonts w:eastAsia="DengXian"/>
        </w:rPr>
        <w:t>,</w:t>
      </w:r>
      <w:r w:rsidR="0045624B" w:rsidRPr="00A001AB">
        <w:rPr>
          <w:rFonts w:eastAsia="DengXian"/>
        </w:rPr>
        <w:t xml:space="preserve"> </w:t>
      </w:r>
      <w:r w:rsidRPr="00A001AB">
        <w:rPr>
          <w:rFonts w:eastAsia="DengXian"/>
        </w:rPr>
        <w:t xml:space="preserve">despite </w:t>
      </w:r>
      <w:proofErr w:type="spellStart"/>
      <w:r w:rsidR="00A508CF" w:rsidRPr="00A001AB">
        <w:rPr>
          <w:rFonts w:eastAsia="DengXian"/>
        </w:rPr>
        <w:t>Samsui’s</w:t>
      </w:r>
      <w:proofErr w:type="spellEnd"/>
      <w:r w:rsidRPr="00A001AB">
        <w:rPr>
          <w:rFonts w:eastAsia="DengXian"/>
        </w:rPr>
        <w:t xml:space="preserve"> limited</w:t>
      </w:r>
      <w:r w:rsidR="0045624B" w:rsidRPr="00A001AB">
        <w:rPr>
          <w:rFonts w:eastAsia="DengXian"/>
        </w:rPr>
        <w:t xml:space="preserve"> resources. The most recent </w:t>
      </w:r>
      <w:r w:rsidRPr="00A001AB">
        <w:rPr>
          <w:rFonts w:eastAsia="DengXian"/>
        </w:rPr>
        <w:t xml:space="preserve">addition of a </w:t>
      </w:r>
      <w:r w:rsidR="0045624B" w:rsidRPr="00A001AB">
        <w:rPr>
          <w:rFonts w:eastAsia="DengXian"/>
        </w:rPr>
        <w:t xml:space="preserve">flagship SCK had cost </w:t>
      </w:r>
      <w:r w:rsidRPr="00A001AB">
        <w:rPr>
          <w:rFonts w:eastAsia="DengXian"/>
        </w:rPr>
        <w:t xml:space="preserve">the company </w:t>
      </w:r>
      <w:r w:rsidR="0045624B" w:rsidRPr="00A001AB">
        <w:rPr>
          <w:rFonts w:eastAsia="DengXian"/>
        </w:rPr>
        <w:t>$1 million in capital.</w:t>
      </w:r>
      <w:r w:rsidR="00DE34F8" w:rsidRPr="00DE34F8">
        <w:rPr>
          <w:rStyle w:val="EndnoteReference"/>
          <w:rFonts w:eastAsia="DengXian"/>
          <w:lang w:eastAsia="zh-CN"/>
        </w:rPr>
        <w:t xml:space="preserve"> </w:t>
      </w:r>
    </w:p>
    <w:p w14:paraId="4E24AC90" w14:textId="77777777" w:rsidR="005C1ABD" w:rsidRDefault="005C1ABD" w:rsidP="00A0299B">
      <w:pPr>
        <w:pStyle w:val="BodyTextMain"/>
        <w:rPr>
          <w:rFonts w:eastAsia="DengXian"/>
          <w:lang w:eastAsia="zh-CN"/>
        </w:rPr>
      </w:pPr>
    </w:p>
    <w:p w14:paraId="5AC3D471" w14:textId="57052E74" w:rsidR="0045624B" w:rsidRPr="00C70F23" w:rsidRDefault="004C5C4C" w:rsidP="00A0299B">
      <w:pPr>
        <w:pStyle w:val="BodyTextMain"/>
        <w:rPr>
          <w:rFonts w:eastAsia="DengXian"/>
          <w:lang w:eastAsia="zh-CN"/>
        </w:rPr>
      </w:pPr>
      <w:proofErr w:type="spellStart"/>
      <w:r>
        <w:rPr>
          <w:rFonts w:eastAsia="DengXian"/>
          <w:lang w:eastAsia="zh-CN"/>
        </w:rPr>
        <w:t>Ang</w:t>
      </w:r>
      <w:proofErr w:type="spellEnd"/>
      <w:r w:rsidR="0045624B" w:rsidRPr="00C70F23">
        <w:rPr>
          <w:rFonts w:eastAsia="DengXian"/>
          <w:lang w:eastAsia="zh-CN"/>
        </w:rPr>
        <w:t xml:space="preserve"> shared </w:t>
      </w:r>
      <w:proofErr w:type="spellStart"/>
      <w:r w:rsidR="0045624B" w:rsidRPr="00C70F23">
        <w:rPr>
          <w:rFonts w:eastAsia="DengXian"/>
          <w:lang w:eastAsia="zh-CN"/>
        </w:rPr>
        <w:t>Samsui’s</w:t>
      </w:r>
      <w:proofErr w:type="spellEnd"/>
      <w:r w:rsidR="0045624B" w:rsidRPr="00C70F23">
        <w:rPr>
          <w:rFonts w:eastAsia="DengXian"/>
          <w:lang w:eastAsia="zh-CN"/>
        </w:rPr>
        <w:t xml:space="preserve"> preference for working with like-minded program partners </w:t>
      </w:r>
      <w:r w:rsidR="00A508CF" w:rsidRPr="00C70F23">
        <w:rPr>
          <w:rFonts w:eastAsia="DengXian"/>
          <w:lang w:eastAsia="zh-CN"/>
        </w:rPr>
        <w:t>such as</w:t>
      </w:r>
      <w:r w:rsidR="0045624B" w:rsidRPr="00C70F23">
        <w:rPr>
          <w:rFonts w:eastAsia="DengXian"/>
          <w:lang w:eastAsia="zh-CN"/>
        </w:rPr>
        <w:t xml:space="preserve"> Standard Chartered Bank.</w:t>
      </w:r>
      <w:r w:rsidR="0045624B" w:rsidRPr="00C70F23" w:rsidDel="006E0C0C">
        <w:rPr>
          <w:rFonts w:eastAsia="DengXian"/>
          <w:lang w:eastAsia="zh-CN"/>
        </w:rPr>
        <w:t xml:space="preserve"> </w:t>
      </w:r>
      <w:r w:rsidR="001F6B2C" w:rsidRPr="00C70F23">
        <w:rPr>
          <w:rFonts w:eastAsia="DengXian"/>
          <w:lang w:eastAsia="zh-CN"/>
        </w:rPr>
        <w:t>In addition to</w:t>
      </w:r>
      <w:r w:rsidR="0045624B" w:rsidRPr="00C70F23">
        <w:rPr>
          <w:rFonts w:eastAsia="DengXian"/>
          <w:lang w:eastAsia="zh-CN"/>
        </w:rPr>
        <w:t xml:space="preserve"> collaborat</w:t>
      </w:r>
      <w:r w:rsidR="001F6B2C" w:rsidRPr="00C70F23">
        <w:rPr>
          <w:rFonts w:eastAsia="DengXian"/>
          <w:lang w:eastAsia="zh-CN"/>
        </w:rPr>
        <w:t>ing</w:t>
      </w:r>
      <w:r w:rsidR="0045624B" w:rsidRPr="00C70F23">
        <w:rPr>
          <w:rFonts w:eastAsia="DengXian"/>
          <w:lang w:eastAsia="zh-CN"/>
        </w:rPr>
        <w:t xml:space="preserve"> with </w:t>
      </w:r>
      <w:proofErr w:type="spellStart"/>
      <w:r w:rsidR="0045624B" w:rsidRPr="00C70F23">
        <w:rPr>
          <w:rFonts w:eastAsia="DengXian"/>
          <w:lang w:eastAsia="zh-CN"/>
        </w:rPr>
        <w:t>Samsui</w:t>
      </w:r>
      <w:proofErr w:type="spellEnd"/>
      <w:r w:rsidR="0045624B" w:rsidRPr="00C70F23">
        <w:rPr>
          <w:rFonts w:eastAsia="DengXian"/>
          <w:lang w:eastAsia="zh-CN"/>
        </w:rPr>
        <w:t xml:space="preserve"> to build SCK</w:t>
      </w:r>
      <w:r w:rsidR="001F6B2C" w:rsidRPr="00C70F23">
        <w:rPr>
          <w:rFonts w:eastAsia="DengXian"/>
          <w:lang w:eastAsia="zh-CN"/>
        </w:rPr>
        <w:t>, Standard Chartered Bank</w:t>
      </w:r>
      <w:r w:rsidR="0045624B" w:rsidRPr="00C70F23">
        <w:rPr>
          <w:rFonts w:eastAsia="DengXian"/>
          <w:lang w:eastAsia="zh-CN"/>
        </w:rPr>
        <w:t xml:space="preserve"> had its own program</w:t>
      </w:r>
      <w:r w:rsidR="001F6B2C" w:rsidRPr="00C70F23">
        <w:rPr>
          <w:rFonts w:eastAsia="DengXian"/>
          <w:lang w:eastAsia="zh-CN"/>
        </w:rPr>
        <w:t>—</w:t>
      </w:r>
      <w:r w:rsidR="0045624B" w:rsidRPr="00C70F23">
        <w:rPr>
          <w:rFonts w:eastAsia="DengXian"/>
          <w:lang w:eastAsia="zh-CN"/>
        </w:rPr>
        <w:t>the Silver Lining</w:t>
      </w:r>
      <w:r w:rsidR="001F6B2C" w:rsidRPr="00C70F23">
        <w:rPr>
          <w:rFonts w:eastAsia="DengXian"/>
          <w:lang w:eastAsia="zh-CN"/>
        </w:rPr>
        <w:t>—</w:t>
      </w:r>
      <w:r w:rsidR="0045624B" w:rsidRPr="00C70F23">
        <w:rPr>
          <w:rFonts w:eastAsia="DengXian"/>
          <w:lang w:eastAsia="zh-CN"/>
        </w:rPr>
        <w:t>aimed at improving quality of life f</w:t>
      </w:r>
      <w:r w:rsidR="00A508CF" w:rsidRPr="00C70F23">
        <w:rPr>
          <w:rFonts w:eastAsia="DengXian"/>
          <w:lang w:eastAsia="zh-CN"/>
        </w:rPr>
        <w:t>or</w:t>
      </w:r>
      <w:r w:rsidR="0045624B" w:rsidRPr="00C70F23">
        <w:rPr>
          <w:rFonts w:eastAsia="DengXian"/>
          <w:lang w:eastAsia="zh-CN"/>
        </w:rPr>
        <w:t xml:space="preserve"> the elderly. The</w:t>
      </w:r>
      <w:r w:rsidR="0045624B" w:rsidRPr="00C70F23" w:rsidDel="00D4522B">
        <w:rPr>
          <w:rFonts w:eastAsia="DengXian"/>
          <w:lang w:eastAsia="zh-CN"/>
        </w:rPr>
        <w:t xml:space="preserve"> </w:t>
      </w:r>
      <w:r w:rsidR="0045624B" w:rsidRPr="00C70F23">
        <w:rPr>
          <w:rFonts w:eastAsia="DengXian"/>
          <w:lang w:eastAsia="zh-CN"/>
        </w:rPr>
        <w:t xml:space="preserve">program, launched in 2012, involved the bank’s employees engaging with seniors through various community initiatives. </w:t>
      </w:r>
    </w:p>
    <w:p w14:paraId="25B9C7CC" w14:textId="77777777" w:rsidR="0045624B" w:rsidRPr="00C70F23" w:rsidRDefault="0045624B" w:rsidP="0045624B">
      <w:pPr>
        <w:pStyle w:val="BodyTextMain"/>
      </w:pPr>
    </w:p>
    <w:p w14:paraId="6332A14B" w14:textId="77777777" w:rsidR="0045624B" w:rsidRPr="00C70F23" w:rsidRDefault="0045624B" w:rsidP="0045624B">
      <w:pPr>
        <w:pStyle w:val="BodyTextMain"/>
      </w:pPr>
    </w:p>
    <w:p w14:paraId="28629F53" w14:textId="1005E51F" w:rsidR="0045624B" w:rsidRPr="00C70F23" w:rsidRDefault="0045624B" w:rsidP="0045624B">
      <w:pPr>
        <w:pStyle w:val="Casehead1"/>
        <w:rPr>
          <w:rFonts w:eastAsia="DengXian"/>
          <w:lang w:eastAsia="zh-CN"/>
        </w:rPr>
      </w:pPr>
      <w:r w:rsidRPr="00C70F23">
        <w:rPr>
          <w:rFonts w:eastAsia="DengXian"/>
          <w:lang w:eastAsia="zh-CN"/>
        </w:rPr>
        <w:t xml:space="preserve">BETTER FOOD NEEDED AT </w:t>
      </w:r>
      <w:r w:rsidR="000962F6" w:rsidRPr="00C70F23">
        <w:rPr>
          <w:rFonts w:eastAsia="DengXian"/>
          <w:lang w:eastAsia="zh-CN"/>
        </w:rPr>
        <w:t>Long-Term Care Faciliti</w:t>
      </w:r>
      <w:r w:rsidRPr="00C70F23">
        <w:rPr>
          <w:rFonts w:eastAsia="DengXian"/>
          <w:lang w:eastAsia="zh-CN"/>
        </w:rPr>
        <w:t>ES</w:t>
      </w:r>
    </w:p>
    <w:p w14:paraId="6A870E43" w14:textId="77777777" w:rsidR="0045624B" w:rsidRPr="00C70F23" w:rsidRDefault="0045624B" w:rsidP="0045624B">
      <w:pPr>
        <w:pStyle w:val="BodyTextMain"/>
      </w:pPr>
    </w:p>
    <w:p w14:paraId="5A3B1BBF" w14:textId="4D2E7B47" w:rsidR="0045624B" w:rsidRPr="00D861E0" w:rsidRDefault="0045624B" w:rsidP="00A0299B">
      <w:pPr>
        <w:pStyle w:val="BodyTextMain"/>
        <w:rPr>
          <w:spacing w:val="-4"/>
          <w:lang w:eastAsia="zh-CN"/>
        </w:rPr>
      </w:pPr>
      <w:r w:rsidRPr="00D861E0">
        <w:rPr>
          <w:spacing w:val="-4"/>
          <w:lang w:eastAsia="zh-CN"/>
        </w:rPr>
        <w:t xml:space="preserve">Through market research, </w:t>
      </w:r>
      <w:proofErr w:type="spellStart"/>
      <w:r w:rsidR="004C5C4C" w:rsidRPr="00D861E0">
        <w:rPr>
          <w:spacing w:val="-4"/>
          <w:lang w:eastAsia="zh-CN"/>
        </w:rPr>
        <w:t>Ang</w:t>
      </w:r>
      <w:proofErr w:type="spellEnd"/>
      <w:r w:rsidRPr="00D861E0">
        <w:rPr>
          <w:spacing w:val="-4"/>
          <w:lang w:eastAsia="zh-CN"/>
        </w:rPr>
        <w:t xml:space="preserve"> found that the food served in Singapore</w:t>
      </w:r>
      <w:r w:rsidR="00DF6F64" w:rsidRPr="00D861E0">
        <w:rPr>
          <w:spacing w:val="-4"/>
          <w:lang w:eastAsia="zh-CN"/>
        </w:rPr>
        <w:t>’s</w:t>
      </w:r>
      <w:r w:rsidRPr="00D861E0">
        <w:rPr>
          <w:spacing w:val="-4"/>
          <w:lang w:eastAsia="zh-CN"/>
        </w:rPr>
        <w:t xml:space="preserve"> </w:t>
      </w:r>
      <w:r w:rsidR="002C6F3C" w:rsidRPr="00D861E0">
        <w:rPr>
          <w:spacing w:val="-4"/>
          <w:lang w:eastAsia="zh-CN"/>
        </w:rPr>
        <w:t>long-term care facilities for the e</w:t>
      </w:r>
      <w:r w:rsidR="00DD36BD" w:rsidRPr="00D861E0">
        <w:rPr>
          <w:spacing w:val="-4"/>
          <w:lang w:eastAsia="zh-CN"/>
        </w:rPr>
        <w:t>l</w:t>
      </w:r>
      <w:r w:rsidR="002C6F3C" w:rsidRPr="00D861E0">
        <w:rPr>
          <w:spacing w:val="-4"/>
          <w:lang w:eastAsia="zh-CN"/>
        </w:rPr>
        <w:t>derly</w:t>
      </w:r>
      <w:r w:rsidRPr="00D861E0">
        <w:rPr>
          <w:spacing w:val="-4"/>
          <w:lang w:eastAsia="zh-CN"/>
        </w:rPr>
        <w:t xml:space="preserve"> had been the subject of criticism by industry experts. The two main criticisms were the lack of nutrition and the lack of variety. Many </w:t>
      </w:r>
      <w:r w:rsidR="00DE34F8" w:rsidRPr="00D861E0">
        <w:rPr>
          <w:spacing w:val="-4"/>
          <w:lang w:eastAsia="zh-CN"/>
        </w:rPr>
        <w:t xml:space="preserve">care </w:t>
      </w:r>
      <w:r w:rsidR="00DD36BD" w:rsidRPr="00D861E0">
        <w:rPr>
          <w:spacing w:val="-4"/>
          <w:lang w:eastAsia="zh-CN"/>
        </w:rPr>
        <w:t>facilities</w:t>
      </w:r>
      <w:r w:rsidRPr="00D861E0">
        <w:rPr>
          <w:spacing w:val="-4"/>
          <w:lang w:eastAsia="zh-CN"/>
        </w:rPr>
        <w:t xml:space="preserve"> ran their own kitchens, with mixed results. The issue of lack of nutrition had </w:t>
      </w:r>
      <w:r w:rsidRPr="00D861E0">
        <w:rPr>
          <w:spacing w:val="-4"/>
          <w:lang w:eastAsia="zh-CN"/>
        </w:rPr>
        <w:lastRenderedPageBreak/>
        <w:t xml:space="preserve">been well-documented, with the most common nutritional problems for residents in </w:t>
      </w:r>
      <w:r w:rsidR="004369B6" w:rsidRPr="00D861E0">
        <w:rPr>
          <w:spacing w:val="-4"/>
          <w:lang w:eastAsia="zh-CN"/>
        </w:rPr>
        <w:t>long-term</w:t>
      </w:r>
      <w:r w:rsidRPr="00D861E0">
        <w:rPr>
          <w:spacing w:val="-4"/>
          <w:lang w:eastAsia="zh-CN"/>
        </w:rPr>
        <w:t xml:space="preserve"> </w:t>
      </w:r>
      <w:r w:rsidR="004369B6" w:rsidRPr="00D861E0">
        <w:rPr>
          <w:spacing w:val="-4"/>
          <w:lang w:eastAsia="zh-CN"/>
        </w:rPr>
        <w:t>c</w:t>
      </w:r>
      <w:r w:rsidRPr="00D861E0">
        <w:rPr>
          <w:spacing w:val="-4"/>
          <w:lang w:eastAsia="zh-CN"/>
        </w:rPr>
        <w:t xml:space="preserve">are facilities being weight loss and associated protein-energy malnutrition. </w:t>
      </w:r>
      <w:r w:rsidR="002C6F3C" w:rsidRPr="00D861E0">
        <w:rPr>
          <w:spacing w:val="-4"/>
          <w:lang w:eastAsia="zh-CN"/>
        </w:rPr>
        <w:t>The p</w:t>
      </w:r>
      <w:r w:rsidRPr="00D861E0">
        <w:rPr>
          <w:spacing w:val="-4"/>
          <w:lang w:eastAsia="zh-CN"/>
        </w:rPr>
        <w:t xml:space="preserve">revalence of these two factors among the elderly in </w:t>
      </w:r>
      <w:r w:rsidR="002C6F3C" w:rsidRPr="00D861E0">
        <w:rPr>
          <w:spacing w:val="-4"/>
          <w:lang w:eastAsia="zh-CN"/>
        </w:rPr>
        <w:t xml:space="preserve">these facilities in </w:t>
      </w:r>
      <w:r w:rsidRPr="00D861E0">
        <w:rPr>
          <w:spacing w:val="-4"/>
          <w:lang w:eastAsia="zh-CN"/>
        </w:rPr>
        <w:t>Singapore ranged between 23</w:t>
      </w:r>
      <w:r w:rsidR="002C6F3C" w:rsidRPr="00D861E0">
        <w:rPr>
          <w:spacing w:val="-4"/>
          <w:lang w:eastAsia="zh-CN"/>
        </w:rPr>
        <w:t xml:space="preserve"> and </w:t>
      </w:r>
      <w:r w:rsidRPr="00D861E0">
        <w:rPr>
          <w:spacing w:val="-4"/>
          <w:lang w:eastAsia="zh-CN"/>
        </w:rPr>
        <w:t>85</w:t>
      </w:r>
      <w:r w:rsidR="002C6F3C" w:rsidRPr="00D861E0">
        <w:rPr>
          <w:spacing w:val="-4"/>
          <w:lang w:eastAsia="zh-CN"/>
        </w:rPr>
        <w:t xml:space="preserve"> per cent</w:t>
      </w:r>
      <w:r w:rsidRPr="00D861E0">
        <w:rPr>
          <w:spacing w:val="-4"/>
          <w:lang w:eastAsia="zh-CN"/>
        </w:rPr>
        <w:t>.</w:t>
      </w:r>
      <w:r w:rsidRPr="00D861E0">
        <w:rPr>
          <w:rStyle w:val="EndnoteReference"/>
          <w:spacing w:val="-4"/>
        </w:rPr>
        <w:endnoteReference w:id="10"/>
      </w:r>
      <w:r w:rsidRPr="00D861E0">
        <w:rPr>
          <w:spacing w:val="-4"/>
          <w:lang w:eastAsia="zh-CN"/>
        </w:rPr>
        <w:t xml:space="preserve"> The lack of variety in </w:t>
      </w:r>
      <w:r w:rsidR="00DD36BD" w:rsidRPr="00D861E0">
        <w:rPr>
          <w:spacing w:val="-4"/>
          <w:lang w:eastAsia="zh-CN"/>
        </w:rPr>
        <w:t>the</w:t>
      </w:r>
      <w:r w:rsidRPr="00D861E0">
        <w:rPr>
          <w:spacing w:val="-4"/>
          <w:lang w:eastAsia="zh-CN"/>
        </w:rPr>
        <w:t xml:space="preserve"> food </w:t>
      </w:r>
      <w:r w:rsidR="00DD36BD" w:rsidRPr="00D861E0">
        <w:rPr>
          <w:spacing w:val="-4"/>
          <w:lang w:eastAsia="zh-CN"/>
        </w:rPr>
        <w:t xml:space="preserve">served in these facilities </w:t>
      </w:r>
      <w:r w:rsidRPr="00D861E0">
        <w:rPr>
          <w:spacing w:val="-4"/>
          <w:lang w:eastAsia="zh-CN"/>
        </w:rPr>
        <w:t>had been attributed to outdated kitchen equipment and time constraints, resulting in limited menus</w:t>
      </w:r>
      <w:r w:rsidR="00DB1A92" w:rsidRPr="00D861E0">
        <w:rPr>
          <w:spacing w:val="-4"/>
          <w:lang w:eastAsia="zh-CN"/>
        </w:rPr>
        <w:t>,</w:t>
      </w:r>
      <w:r w:rsidRPr="00D861E0">
        <w:rPr>
          <w:spacing w:val="-4"/>
          <w:lang w:eastAsia="zh-CN"/>
        </w:rPr>
        <w:t xml:space="preserve"> with the same cooking methods and ingredients used repeatedly.</w:t>
      </w:r>
      <w:r w:rsidRPr="00D861E0">
        <w:rPr>
          <w:rStyle w:val="EndnoteReference"/>
          <w:spacing w:val="-4"/>
        </w:rPr>
        <w:endnoteReference w:id="11"/>
      </w:r>
      <w:r w:rsidRPr="00D861E0">
        <w:rPr>
          <w:spacing w:val="-4"/>
          <w:lang w:eastAsia="zh-CN"/>
        </w:rPr>
        <w:t xml:space="preserve"> In a 2016 study, it was found that a quarter of </w:t>
      </w:r>
      <w:r w:rsidR="00DD36BD" w:rsidRPr="00D861E0">
        <w:rPr>
          <w:spacing w:val="-4"/>
          <w:lang w:eastAsia="zh-CN"/>
        </w:rPr>
        <w:t>long-term care facility</w:t>
      </w:r>
      <w:r w:rsidRPr="00D861E0">
        <w:rPr>
          <w:spacing w:val="-4"/>
          <w:lang w:eastAsia="zh-CN"/>
        </w:rPr>
        <w:t xml:space="preserve"> residents did not enjoy the food provided, w</w:t>
      </w:r>
      <w:r w:rsidR="00DB1A92" w:rsidRPr="00D861E0">
        <w:rPr>
          <w:spacing w:val="-4"/>
          <w:lang w:eastAsia="zh-CN"/>
        </w:rPr>
        <w:t>h</w:t>
      </w:r>
      <w:r w:rsidRPr="00D861E0">
        <w:rPr>
          <w:spacing w:val="-4"/>
          <w:lang w:eastAsia="zh-CN"/>
        </w:rPr>
        <w:t>i</w:t>
      </w:r>
      <w:r w:rsidR="00DB1A92" w:rsidRPr="00D861E0">
        <w:rPr>
          <w:spacing w:val="-4"/>
          <w:lang w:eastAsia="zh-CN"/>
        </w:rPr>
        <w:t>le</w:t>
      </w:r>
      <w:r w:rsidRPr="00D861E0">
        <w:rPr>
          <w:spacing w:val="-4"/>
          <w:lang w:eastAsia="zh-CN"/>
        </w:rPr>
        <w:t xml:space="preserve"> a third complain</w:t>
      </w:r>
      <w:r w:rsidR="00DB1A92" w:rsidRPr="00D861E0">
        <w:rPr>
          <w:spacing w:val="-4"/>
          <w:lang w:eastAsia="zh-CN"/>
        </w:rPr>
        <w:t>ed</w:t>
      </w:r>
      <w:r w:rsidRPr="00D861E0">
        <w:rPr>
          <w:spacing w:val="-4"/>
          <w:lang w:eastAsia="zh-CN"/>
        </w:rPr>
        <w:t xml:space="preserve"> that they were unable to find their favourite food among the offerings.</w:t>
      </w:r>
      <w:r w:rsidRPr="00D861E0">
        <w:rPr>
          <w:rStyle w:val="EndnoteReference"/>
          <w:spacing w:val="-4"/>
        </w:rPr>
        <w:endnoteReference w:id="12"/>
      </w:r>
    </w:p>
    <w:p w14:paraId="28A44E72" w14:textId="77777777" w:rsidR="0045624B" w:rsidRPr="00C70F23" w:rsidRDefault="0045624B" w:rsidP="00A0299B">
      <w:pPr>
        <w:pStyle w:val="BodyTextMain"/>
        <w:rPr>
          <w:lang w:eastAsia="zh-CN"/>
        </w:rPr>
      </w:pPr>
    </w:p>
    <w:p w14:paraId="42624002" w14:textId="1A417580" w:rsidR="0045624B" w:rsidRPr="00C70F23" w:rsidRDefault="0045624B" w:rsidP="00A0299B">
      <w:pPr>
        <w:pStyle w:val="BodyTextMain"/>
        <w:rPr>
          <w:lang w:eastAsia="zh-CN"/>
        </w:rPr>
      </w:pPr>
      <w:r w:rsidRPr="00C70F23">
        <w:rPr>
          <w:lang w:eastAsia="zh-CN"/>
        </w:rPr>
        <w:t>Both the lack of quality and lack of nutrition were issues that necessitated intervention</w:t>
      </w:r>
      <w:r w:rsidR="00BD717B" w:rsidRPr="00C70F23">
        <w:rPr>
          <w:lang w:eastAsia="zh-CN"/>
        </w:rPr>
        <w:t>. T</w:t>
      </w:r>
      <w:r w:rsidRPr="00C70F23">
        <w:rPr>
          <w:lang w:eastAsia="zh-CN"/>
        </w:rPr>
        <w:t xml:space="preserve">hese factors could lead to adverse effects on the health and quality of life of </w:t>
      </w:r>
      <w:r w:rsidR="00BD717B" w:rsidRPr="00C70F23">
        <w:rPr>
          <w:lang w:eastAsia="zh-CN"/>
        </w:rPr>
        <w:t>long-term care facility</w:t>
      </w:r>
      <w:r w:rsidRPr="00C70F23">
        <w:rPr>
          <w:lang w:eastAsia="zh-CN"/>
        </w:rPr>
        <w:t xml:space="preserve"> residents. Malnutrition had been found to compromise the</w:t>
      </w:r>
      <w:r w:rsidR="00BD717B" w:rsidRPr="00C70F23">
        <w:rPr>
          <w:lang w:eastAsia="zh-CN"/>
        </w:rPr>
        <w:t>ir</w:t>
      </w:r>
      <w:r w:rsidRPr="00C70F23">
        <w:rPr>
          <w:lang w:eastAsia="zh-CN"/>
        </w:rPr>
        <w:t xml:space="preserve"> quality of life</w:t>
      </w:r>
      <w:r w:rsidR="00BD717B" w:rsidRPr="00C70F23">
        <w:rPr>
          <w:lang w:eastAsia="zh-CN"/>
        </w:rPr>
        <w:t>,</w:t>
      </w:r>
      <w:r w:rsidRPr="00C70F23">
        <w:rPr>
          <w:lang w:eastAsia="zh-CN"/>
        </w:rPr>
        <w:t xml:space="preserve"> lead</w:t>
      </w:r>
      <w:r w:rsidR="00BD717B" w:rsidRPr="00C70F23">
        <w:rPr>
          <w:lang w:eastAsia="zh-CN"/>
        </w:rPr>
        <w:t>ing</w:t>
      </w:r>
      <w:r w:rsidRPr="00C70F23">
        <w:rPr>
          <w:lang w:eastAsia="zh-CN"/>
        </w:rPr>
        <w:t xml:space="preserve"> to chronic disability, functional decline, increased health care costs</w:t>
      </w:r>
      <w:r w:rsidR="00BD717B" w:rsidRPr="00C70F23">
        <w:rPr>
          <w:lang w:eastAsia="zh-CN"/>
        </w:rPr>
        <w:t>,</w:t>
      </w:r>
      <w:r w:rsidRPr="00C70F23">
        <w:rPr>
          <w:lang w:eastAsia="zh-CN"/>
        </w:rPr>
        <w:t xml:space="preserve"> and </w:t>
      </w:r>
      <w:r w:rsidR="00BD717B" w:rsidRPr="00C70F23">
        <w:rPr>
          <w:lang w:eastAsia="zh-CN"/>
        </w:rPr>
        <w:t xml:space="preserve">possibly </w:t>
      </w:r>
      <w:r w:rsidRPr="00C70F23">
        <w:rPr>
          <w:lang w:eastAsia="zh-CN"/>
        </w:rPr>
        <w:t>even death.</w:t>
      </w:r>
      <w:r w:rsidRPr="00370ECF">
        <w:rPr>
          <w:rStyle w:val="EndnoteReference"/>
        </w:rPr>
        <w:endnoteReference w:id="13"/>
      </w:r>
      <w:r w:rsidRPr="00C70F23">
        <w:rPr>
          <w:lang w:eastAsia="zh-CN"/>
        </w:rPr>
        <w:t xml:space="preserve"> A lack of food choice could result in inadequate food intake, leading to weight loss and a suboptimal body mass index, suggestive of malnutrition.</w:t>
      </w:r>
      <w:r w:rsidRPr="00370ECF">
        <w:rPr>
          <w:rStyle w:val="EndnoteReference"/>
        </w:rPr>
        <w:endnoteReference w:id="14"/>
      </w:r>
      <w:r w:rsidRPr="00C70F23">
        <w:rPr>
          <w:lang w:eastAsia="zh-CN"/>
        </w:rPr>
        <w:t xml:space="preserve"> As such, it was imperative to find a </w:t>
      </w:r>
      <w:r w:rsidR="00BD717B" w:rsidRPr="00C70F23">
        <w:rPr>
          <w:lang w:eastAsia="zh-CN"/>
        </w:rPr>
        <w:t>major company prepared</w:t>
      </w:r>
      <w:r w:rsidRPr="00C70F23">
        <w:rPr>
          <w:lang w:eastAsia="zh-CN"/>
        </w:rPr>
        <w:t xml:space="preserve"> to tackle the root of the problem by providing nutritious food to improve quality of life</w:t>
      </w:r>
      <w:r w:rsidR="00BD717B" w:rsidRPr="00C70F23">
        <w:rPr>
          <w:lang w:eastAsia="zh-CN"/>
        </w:rPr>
        <w:t xml:space="preserve"> f</w:t>
      </w:r>
      <w:r w:rsidR="003238D2" w:rsidRPr="00C70F23">
        <w:rPr>
          <w:lang w:eastAsia="zh-CN"/>
        </w:rPr>
        <w:t>or the</w:t>
      </w:r>
      <w:r w:rsidR="00BD717B" w:rsidRPr="00C70F23">
        <w:rPr>
          <w:lang w:eastAsia="zh-CN"/>
        </w:rPr>
        <w:t xml:space="preserve"> residents</w:t>
      </w:r>
      <w:r w:rsidRPr="00C70F23">
        <w:rPr>
          <w:lang w:eastAsia="zh-CN"/>
        </w:rPr>
        <w:t xml:space="preserve">. </w:t>
      </w:r>
    </w:p>
    <w:p w14:paraId="4E3E6956" w14:textId="77777777" w:rsidR="0045624B" w:rsidRPr="00C70F23" w:rsidRDefault="0045624B" w:rsidP="00A0299B">
      <w:pPr>
        <w:pStyle w:val="BodyTextMain"/>
        <w:rPr>
          <w:lang w:eastAsia="zh-CN"/>
        </w:rPr>
      </w:pPr>
    </w:p>
    <w:p w14:paraId="4B5BF590" w14:textId="782E6C45" w:rsidR="0045624B" w:rsidRPr="00C70F23" w:rsidRDefault="0045624B" w:rsidP="00A0299B">
      <w:pPr>
        <w:pStyle w:val="BodyTextMain"/>
        <w:rPr>
          <w:lang w:eastAsia="zh-CN"/>
        </w:rPr>
      </w:pPr>
      <w:r w:rsidRPr="00C70F23">
        <w:rPr>
          <w:lang w:eastAsia="zh-CN"/>
        </w:rPr>
        <w:t xml:space="preserve">Globally, autonomy of choice had been reported </w:t>
      </w:r>
      <w:r w:rsidR="004C6B21" w:rsidRPr="00C70F23">
        <w:rPr>
          <w:lang w:eastAsia="zh-CN"/>
        </w:rPr>
        <w:t>as</w:t>
      </w:r>
      <w:r w:rsidRPr="00C70F23">
        <w:rPr>
          <w:lang w:eastAsia="zh-CN"/>
        </w:rPr>
        <w:t xml:space="preserve"> one of the </w:t>
      </w:r>
      <w:r w:rsidR="004C6B21" w:rsidRPr="00C70F23">
        <w:rPr>
          <w:lang w:eastAsia="zh-CN"/>
        </w:rPr>
        <w:t>main</w:t>
      </w:r>
      <w:r w:rsidRPr="00C70F23">
        <w:rPr>
          <w:lang w:eastAsia="zh-CN"/>
        </w:rPr>
        <w:t xml:space="preserve"> reasons for improved food intake in </w:t>
      </w:r>
      <w:r w:rsidR="004C6B21" w:rsidRPr="00C70F23">
        <w:rPr>
          <w:lang w:eastAsia="zh-CN"/>
        </w:rPr>
        <w:t>long-term care facilities</w:t>
      </w:r>
      <w:r w:rsidRPr="00C70F23">
        <w:rPr>
          <w:lang w:eastAsia="zh-CN"/>
        </w:rPr>
        <w:t xml:space="preserve">, which could also indirectly tackle the malnutrition issue. </w:t>
      </w:r>
      <w:r w:rsidR="004C6B21" w:rsidRPr="00C70F23">
        <w:rPr>
          <w:lang w:eastAsia="zh-CN"/>
        </w:rPr>
        <w:t>The level of s</w:t>
      </w:r>
      <w:r w:rsidRPr="00C70F23">
        <w:rPr>
          <w:lang w:eastAsia="zh-CN"/>
        </w:rPr>
        <w:t xml:space="preserve">atisfaction </w:t>
      </w:r>
      <w:r w:rsidR="004C6B21" w:rsidRPr="00C70F23">
        <w:rPr>
          <w:lang w:eastAsia="zh-CN"/>
        </w:rPr>
        <w:t>with food service had increased</w:t>
      </w:r>
      <w:r w:rsidRPr="00C70F23">
        <w:rPr>
          <w:lang w:eastAsia="zh-CN"/>
        </w:rPr>
        <w:t xml:space="preserve"> up to 30</w:t>
      </w:r>
      <w:r w:rsidR="004C6B21" w:rsidRPr="00C70F23">
        <w:rPr>
          <w:lang w:eastAsia="zh-CN"/>
        </w:rPr>
        <w:t xml:space="preserve"> per cent after long-term care facility</w:t>
      </w:r>
      <w:r w:rsidRPr="00C70F23">
        <w:rPr>
          <w:lang w:eastAsia="zh-CN"/>
        </w:rPr>
        <w:t xml:space="preserve"> residents </w:t>
      </w:r>
      <w:r w:rsidR="004C6B21" w:rsidRPr="00C70F23">
        <w:rPr>
          <w:lang w:eastAsia="zh-CN"/>
        </w:rPr>
        <w:t>were offered</w:t>
      </w:r>
      <w:r w:rsidRPr="00C70F23">
        <w:rPr>
          <w:lang w:eastAsia="zh-CN"/>
        </w:rPr>
        <w:t xml:space="preserve"> the power to choose from a menu.</w:t>
      </w:r>
      <w:r w:rsidRPr="00370ECF">
        <w:rPr>
          <w:rStyle w:val="EndnoteReference"/>
        </w:rPr>
        <w:endnoteReference w:id="15"/>
      </w:r>
      <w:r w:rsidRPr="00C70F23">
        <w:rPr>
          <w:lang w:eastAsia="zh-CN"/>
        </w:rPr>
        <w:t xml:space="preserve"> </w:t>
      </w:r>
      <w:r w:rsidR="00366D33" w:rsidRPr="00C70F23">
        <w:rPr>
          <w:lang w:eastAsia="zh-CN"/>
        </w:rPr>
        <w:t>Therefore</w:t>
      </w:r>
      <w:r w:rsidRPr="00C70F23">
        <w:rPr>
          <w:lang w:eastAsia="zh-CN"/>
        </w:rPr>
        <w:t xml:space="preserve">, providing a range of food choices </w:t>
      </w:r>
      <w:r w:rsidR="00366D33" w:rsidRPr="00C70F23">
        <w:rPr>
          <w:lang w:eastAsia="zh-CN"/>
        </w:rPr>
        <w:t xml:space="preserve">was considered </w:t>
      </w:r>
      <w:r w:rsidRPr="00C70F23">
        <w:rPr>
          <w:lang w:eastAsia="zh-CN"/>
        </w:rPr>
        <w:t>the key to providing adequate nutrition in the form of a balance of carb</w:t>
      </w:r>
      <w:r w:rsidR="00366D33" w:rsidRPr="00C70F23">
        <w:rPr>
          <w:lang w:eastAsia="zh-CN"/>
        </w:rPr>
        <w:t>ohydrate</w:t>
      </w:r>
      <w:r w:rsidRPr="00C70F23">
        <w:rPr>
          <w:lang w:eastAsia="zh-CN"/>
        </w:rPr>
        <w:t>s, proteins</w:t>
      </w:r>
      <w:r w:rsidR="00366D33" w:rsidRPr="00C70F23">
        <w:rPr>
          <w:lang w:eastAsia="zh-CN"/>
        </w:rPr>
        <w:t>,</w:t>
      </w:r>
      <w:r w:rsidRPr="00C70F23">
        <w:rPr>
          <w:lang w:eastAsia="zh-CN"/>
        </w:rPr>
        <w:t xml:space="preserve"> and vegetables.</w:t>
      </w:r>
      <w:r w:rsidRPr="00370ECF">
        <w:rPr>
          <w:rStyle w:val="EndnoteReference"/>
        </w:rPr>
        <w:endnoteReference w:id="16"/>
      </w:r>
      <w:r w:rsidRPr="00C70F23">
        <w:rPr>
          <w:lang w:eastAsia="zh-CN"/>
        </w:rPr>
        <w:t xml:space="preserve"> </w:t>
      </w:r>
      <w:proofErr w:type="spellStart"/>
      <w:r w:rsidR="004C5C4C">
        <w:rPr>
          <w:lang w:eastAsia="zh-CN"/>
        </w:rPr>
        <w:t>Ang</w:t>
      </w:r>
      <w:proofErr w:type="spellEnd"/>
      <w:r w:rsidRPr="00C70F23">
        <w:rPr>
          <w:lang w:eastAsia="zh-CN"/>
        </w:rPr>
        <w:t xml:space="preserve"> felt that</w:t>
      </w:r>
      <w:r w:rsidR="00366D33" w:rsidRPr="00C70F23">
        <w:rPr>
          <w:lang w:eastAsia="zh-CN"/>
        </w:rPr>
        <w:t>,</w:t>
      </w:r>
      <w:r w:rsidRPr="00C70F23">
        <w:rPr>
          <w:lang w:eastAsia="zh-CN"/>
        </w:rPr>
        <w:t xml:space="preserve"> given </w:t>
      </w:r>
      <w:proofErr w:type="spellStart"/>
      <w:r w:rsidRPr="00C70F23">
        <w:rPr>
          <w:lang w:eastAsia="zh-CN"/>
        </w:rPr>
        <w:t>Samsui’s</w:t>
      </w:r>
      <w:proofErr w:type="spellEnd"/>
      <w:r w:rsidRPr="00C70F23">
        <w:rPr>
          <w:lang w:eastAsia="zh-CN"/>
        </w:rPr>
        <w:t xml:space="preserve"> unique position in the F&amp;B industry, it was well placed to tackle the issue by providing a variety of food </w:t>
      </w:r>
      <w:r w:rsidR="00366D33" w:rsidRPr="00C70F23">
        <w:rPr>
          <w:lang w:eastAsia="zh-CN"/>
        </w:rPr>
        <w:t>to</w:t>
      </w:r>
      <w:r w:rsidRPr="00C70F23">
        <w:rPr>
          <w:lang w:eastAsia="zh-CN"/>
        </w:rPr>
        <w:t xml:space="preserve"> improve </w:t>
      </w:r>
      <w:r w:rsidR="0023377E">
        <w:rPr>
          <w:lang w:eastAsia="zh-CN"/>
        </w:rPr>
        <w:t xml:space="preserve">the </w:t>
      </w:r>
      <w:r w:rsidRPr="00C70F23">
        <w:rPr>
          <w:lang w:eastAsia="zh-CN"/>
        </w:rPr>
        <w:t>quality of life for the elderly.</w:t>
      </w:r>
    </w:p>
    <w:p w14:paraId="21E86FAE" w14:textId="33A42980" w:rsidR="0045624B" w:rsidRPr="00C70F23" w:rsidRDefault="0045624B" w:rsidP="0045624B">
      <w:pPr>
        <w:pStyle w:val="BodyTextMain"/>
      </w:pPr>
    </w:p>
    <w:p w14:paraId="3BD8EF23" w14:textId="77777777" w:rsidR="0045624B" w:rsidRPr="00C70F23" w:rsidRDefault="0045624B" w:rsidP="0045624B">
      <w:pPr>
        <w:pStyle w:val="BodyTextMain"/>
      </w:pPr>
    </w:p>
    <w:p w14:paraId="6D111BEF" w14:textId="554A6D7E" w:rsidR="0045624B" w:rsidRPr="00C70F23" w:rsidRDefault="0045624B" w:rsidP="0045624B">
      <w:pPr>
        <w:pStyle w:val="Casehead1"/>
        <w:rPr>
          <w:rFonts w:eastAsia="DengXian Light"/>
          <w:lang w:eastAsia="zh-CN"/>
        </w:rPr>
      </w:pPr>
      <w:bookmarkStart w:id="5" w:name="_Toc526348052"/>
      <w:bookmarkStart w:id="6" w:name="_Toc527292069"/>
      <w:bookmarkStart w:id="7" w:name="_Toc530673326"/>
      <w:r w:rsidRPr="00C70F23">
        <w:rPr>
          <w:rFonts w:eastAsia="DengXian Light"/>
          <w:lang w:eastAsia="zh-CN"/>
        </w:rPr>
        <w:t>MARKET SIZ</w:t>
      </w:r>
      <w:r w:rsidR="001961B7" w:rsidRPr="00C70F23">
        <w:rPr>
          <w:rFonts w:eastAsia="DengXian Light"/>
          <w:lang w:eastAsia="zh-CN"/>
        </w:rPr>
        <w:t>e</w:t>
      </w:r>
      <w:bookmarkEnd w:id="5"/>
      <w:bookmarkEnd w:id="6"/>
      <w:bookmarkEnd w:id="7"/>
    </w:p>
    <w:p w14:paraId="446982BB" w14:textId="77777777" w:rsidR="0045624B" w:rsidRPr="00C70F23" w:rsidRDefault="0045624B" w:rsidP="0045624B">
      <w:pPr>
        <w:pStyle w:val="BodyTextMain"/>
      </w:pPr>
    </w:p>
    <w:p w14:paraId="1EC910C9" w14:textId="7BC6A730" w:rsidR="0045624B" w:rsidRPr="00C70F23" w:rsidRDefault="001961B7" w:rsidP="00A0299B">
      <w:pPr>
        <w:pStyle w:val="BodyTextMain"/>
        <w:rPr>
          <w:lang w:eastAsia="zh-CN"/>
        </w:rPr>
      </w:pPr>
      <w:r w:rsidRPr="00C70F23">
        <w:rPr>
          <w:lang w:eastAsia="zh-CN"/>
        </w:rPr>
        <w:t>Based on</w:t>
      </w:r>
      <w:r w:rsidR="0045624B" w:rsidRPr="00C70F23">
        <w:rPr>
          <w:lang w:eastAsia="zh-CN"/>
        </w:rPr>
        <w:t xml:space="preserve"> the NVPC </w:t>
      </w:r>
      <w:r w:rsidR="00DD6384">
        <w:rPr>
          <w:lang w:eastAsia="zh-CN"/>
        </w:rPr>
        <w:t xml:space="preserve">training </w:t>
      </w:r>
      <w:r w:rsidR="0045624B" w:rsidRPr="00C70F23">
        <w:rPr>
          <w:lang w:eastAsia="zh-CN"/>
        </w:rPr>
        <w:t>program</w:t>
      </w:r>
      <w:r w:rsidRPr="00C70F23">
        <w:rPr>
          <w:lang w:eastAsia="zh-CN"/>
        </w:rPr>
        <w:t xml:space="preserve">, </w:t>
      </w:r>
      <w:proofErr w:type="spellStart"/>
      <w:r w:rsidR="004C5C4C">
        <w:rPr>
          <w:lang w:eastAsia="zh-CN"/>
        </w:rPr>
        <w:t>Ang</w:t>
      </w:r>
      <w:proofErr w:type="spellEnd"/>
      <w:r w:rsidRPr="00C70F23">
        <w:rPr>
          <w:lang w:eastAsia="zh-CN"/>
        </w:rPr>
        <w:t xml:space="preserve"> realized</w:t>
      </w:r>
      <w:r w:rsidR="0045624B" w:rsidRPr="00C70F23">
        <w:rPr>
          <w:lang w:eastAsia="zh-CN"/>
        </w:rPr>
        <w:t xml:space="preserve"> that </w:t>
      </w:r>
      <w:r w:rsidR="00FB087C" w:rsidRPr="00C70F23">
        <w:rPr>
          <w:lang w:eastAsia="zh-CN"/>
        </w:rPr>
        <w:t>t</w:t>
      </w:r>
      <w:r w:rsidR="0045624B" w:rsidRPr="00C70F23">
        <w:rPr>
          <w:lang w:eastAsia="zh-CN"/>
        </w:rPr>
        <w:t xml:space="preserve">he </w:t>
      </w:r>
      <w:r w:rsidR="00FB087C" w:rsidRPr="00C70F23">
        <w:rPr>
          <w:lang w:eastAsia="zh-CN"/>
        </w:rPr>
        <w:t>first step was</w:t>
      </w:r>
      <w:r w:rsidR="0045624B" w:rsidRPr="00C70F23">
        <w:rPr>
          <w:lang w:eastAsia="zh-CN"/>
        </w:rPr>
        <w:t xml:space="preserve"> to estimate the number of meals for </w:t>
      </w:r>
      <w:r w:rsidRPr="00C70F23">
        <w:rPr>
          <w:lang w:eastAsia="zh-CN"/>
        </w:rPr>
        <w:t>long-term care facilities</w:t>
      </w:r>
      <w:r w:rsidR="0045624B" w:rsidRPr="00C70F23">
        <w:rPr>
          <w:lang w:eastAsia="zh-CN"/>
        </w:rPr>
        <w:t xml:space="preserve">. The first of two key figures </w:t>
      </w:r>
      <w:r w:rsidRPr="00C70F23">
        <w:rPr>
          <w:lang w:eastAsia="zh-CN"/>
        </w:rPr>
        <w:t xml:space="preserve">to be </w:t>
      </w:r>
      <w:r w:rsidR="0045624B" w:rsidRPr="00C70F23">
        <w:rPr>
          <w:lang w:eastAsia="zh-CN"/>
        </w:rPr>
        <w:t>used in estimatin</w:t>
      </w:r>
      <w:r w:rsidRPr="00C70F23">
        <w:rPr>
          <w:lang w:eastAsia="zh-CN"/>
        </w:rPr>
        <w:t xml:space="preserve">g </w:t>
      </w:r>
      <w:r w:rsidR="004F4197" w:rsidRPr="00C70F23">
        <w:rPr>
          <w:lang w:eastAsia="zh-CN"/>
        </w:rPr>
        <w:t>the number of meals</w:t>
      </w:r>
      <w:r w:rsidR="0045624B" w:rsidRPr="00C70F23">
        <w:rPr>
          <w:lang w:eastAsia="zh-CN"/>
        </w:rPr>
        <w:t xml:space="preserve"> was </w:t>
      </w:r>
      <w:proofErr w:type="spellStart"/>
      <w:r w:rsidR="0045624B" w:rsidRPr="00C70F23">
        <w:rPr>
          <w:lang w:eastAsia="zh-CN"/>
        </w:rPr>
        <w:t>Samsui’s</w:t>
      </w:r>
      <w:proofErr w:type="spellEnd"/>
      <w:r w:rsidR="0045624B" w:rsidRPr="00C70F23">
        <w:rPr>
          <w:lang w:eastAsia="zh-CN"/>
        </w:rPr>
        <w:t xml:space="preserve"> targeted market share of 30</w:t>
      </w:r>
      <w:r w:rsidR="004F4197" w:rsidRPr="00C70F23">
        <w:rPr>
          <w:lang w:eastAsia="zh-CN"/>
        </w:rPr>
        <w:t xml:space="preserve"> per cent</w:t>
      </w:r>
      <w:r w:rsidR="0045624B" w:rsidRPr="00C70F23">
        <w:rPr>
          <w:lang w:eastAsia="zh-CN"/>
        </w:rPr>
        <w:t xml:space="preserve"> in Singapore by 2031. Based on </w:t>
      </w:r>
      <w:proofErr w:type="spellStart"/>
      <w:r w:rsidR="00DE34F8">
        <w:rPr>
          <w:lang w:eastAsia="zh-CN"/>
        </w:rPr>
        <w:t>Ang</w:t>
      </w:r>
      <w:r w:rsidR="0045624B" w:rsidRPr="00C70F23">
        <w:rPr>
          <w:lang w:eastAsia="zh-CN"/>
        </w:rPr>
        <w:t>’</w:t>
      </w:r>
      <w:r w:rsidR="00DE34F8">
        <w:rPr>
          <w:lang w:eastAsia="zh-CN"/>
        </w:rPr>
        <w:t>s</w:t>
      </w:r>
      <w:proofErr w:type="spellEnd"/>
      <w:r w:rsidR="0045624B" w:rsidRPr="00C70F23">
        <w:rPr>
          <w:lang w:eastAsia="zh-CN"/>
        </w:rPr>
        <w:t xml:space="preserve"> calculations, </w:t>
      </w:r>
      <w:proofErr w:type="spellStart"/>
      <w:r w:rsidR="0045624B" w:rsidRPr="00C70F23">
        <w:rPr>
          <w:lang w:eastAsia="zh-CN"/>
        </w:rPr>
        <w:t>Samsui’s</w:t>
      </w:r>
      <w:proofErr w:type="spellEnd"/>
      <w:r w:rsidR="0045624B" w:rsidRPr="00C70F23">
        <w:rPr>
          <w:lang w:eastAsia="zh-CN"/>
        </w:rPr>
        <w:t xml:space="preserve"> current market share was </w:t>
      </w:r>
      <w:r w:rsidR="004F4197" w:rsidRPr="00C70F23">
        <w:rPr>
          <w:lang w:eastAsia="zh-CN"/>
        </w:rPr>
        <w:t>closer to</w:t>
      </w:r>
      <w:r w:rsidR="0045624B" w:rsidRPr="00C70F23">
        <w:rPr>
          <w:lang w:eastAsia="zh-CN"/>
        </w:rPr>
        <w:t xml:space="preserve"> 17</w:t>
      </w:r>
      <w:r w:rsidR="004F4197" w:rsidRPr="00C70F23">
        <w:rPr>
          <w:lang w:eastAsia="zh-CN"/>
        </w:rPr>
        <w:t xml:space="preserve"> per cent</w:t>
      </w:r>
      <w:r w:rsidR="0045624B" w:rsidRPr="00C70F23">
        <w:rPr>
          <w:lang w:eastAsia="zh-CN"/>
        </w:rPr>
        <w:t xml:space="preserve">. This estimate </w:t>
      </w:r>
      <w:r w:rsidR="004F4197" w:rsidRPr="00C70F23">
        <w:rPr>
          <w:lang w:eastAsia="zh-CN"/>
        </w:rPr>
        <w:t>wa</w:t>
      </w:r>
      <w:r w:rsidR="0045624B" w:rsidRPr="00C70F23">
        <w:rPr>
          <w:lang w:eastAsia="zh-CN"/>
        </w:rPr>
        <w:t>s based on a linear projection over time</w:t>
      </w:r>
      <w:r w:rsidR="00233927">
        <w:rPr>
          <w:lang w:eastAsia="zh-CN"/>
        </w:rPr>
        <w:t xml:space="preserve"> and </w:t>
      </w:r>
      <w:r w:rsidR="00DB5689">
        <w:rPr>
          <w:lang w:eastAsia="zh-CN"/>
        </w:rPr>
        <w:t xml:space="preserve">the first-mover advantage </w:t>
      </w:r>
      <w:r w:rsidR="0045624B" w:rsidRPr="00C70F23">
        <w:rPr>
          <w:lang w:eastAsia="zh-CN"/>
        </w:rPr>
        <w:t>SCK</w:t>
      </w:r>
      <w:r w:rsidR="00DB5689">
        <w:rPr>
          <w:lang w:eastAsia="zh-CN"/>
        </w:rPr>
        <w:t>’s</w:t>
      </w:r>
      <w:r w:rsidR="0045624B" w:rsidRPr="00C70F23">
        <w:rPr>
          <w:lang w:eastAsia="zh-CN"/>
        </w:rPr>
        <w:t xml:space="preserve"> project had </w:t>
      </w:r>
      <w:r w:rsidR="00DD6384">
        <w:rPr>
          <w:lang w:eastAsia="zh-CN"/>
        </w:rPr>
        <w:t xml:space="preserve">in serving </w:t>
      </w:r>
      <w:r w:rsidR="002E7096">
        <w:rPr>
          <w:lang w:eastAsia="zh-CN"/>
        </w:rPr>
        <w:t>the</w:t>
      </w:r>
      <w:r w:rsidR="0045624B" w:rsidRPr="00C70F23">
        <w:rPr>
          <w:lang w:eastAsia="zh-CN"/>
        </w:rPr>
        <w:t xml:space="preserve"> relatively closed market of the </w:t>
      </w:r>
      <w:r w:rsidR="004F4197" w:rsidRPr="00C70F23">
        <w:rPr>
          <w:lang w:eastAsia="zh-CN"/>
        </w:rPr>
        <w:t>long-term care facility</w:t>
      </w:r>
      <w:r w:rsidR="0045624B" w:rsidRPr="00C70F23">
        <w:rPr>
          <w:lang w:eastAsia="zh-CN"/>
        </w:rPr>
        <w:t xml:space="preserve"> meals industry. </w:t>
      </w:r>
    </w:p>
    <w:p w14:paraId="2295A21F" w14:textId="77777777" w:rsidR="0045624B" w:rsidRPr="00C70F23" w:rsidRDefault="0045624B" w:rsidP="00A0299B">
      <w:pPr>
        <w:pStyle w:val="BodyTextMain"/>
        <w:rPr>
          <w:rFonts w:eastAsia="DengXian"/>
          <w:lang w:eastAsia="zh-CN"/>
        </w:rPr>
      </w:pPr>
    </w:p>
    <w:p w14:paraId="61795474" w14:textId="5CDCF5AF" w:rsidR="0045624B" w:rsidRPr="00C70F23" w:rsidRDefault="0045624B" w:rsidP="00A0299B">
      <w:pPr>
        <w:pStyle w:val="BodyTextMain"/>
        <w:rPr>
          <w:rFonts w:eastAsia="DengXian"/>
          <w:lang w:eastAsia="zh-CN"/>
        </w:rPr>
      </w:pPr>
      <w:r w:rsidRPr="00C70F23">
        <w:rPr>
          <w:rFonts w:eastAsia="DengXian"/>
          <w:lang w:eastAsia="zh-CN"/>
        </w:rPr>
        <w:t xml:space="preserve">The second key figure was the total number of beds in institutional care </w:t>
      </w:r>
      <w:r w:rsidR="00E55B9E" w:rsidRPr="00C70F23">
        <w:rPr>
          <w:rFonts w:eastAsia="DengXian"/>
          <w:lang w:eastAsia="zh-CN"/>
        </w:rPr>
        <w:t>centres, which was</w:t>
      </w:r>
      <w:r w:rsidR="002E7096">
        <w:rPr>
          <w:rFonts w:eastAsia="DengXian"/>
          <w:lang w:eastAsia="zh-CN"/>
        </w:rPr>
        <w:t xml:space="preserve"> projected </w:t>
      </w:r>
      <w:r w:rsidR="00DD6384">
        <w:rPr>
          <w:rFonts w:eastAsia="DengXian"/>
          <w:lang w:eastAsia="zh-CN"/>
        </w:rPr>
        <w:t>by</w:t>
      </w:r>
      <w:r w:rsidR="002473F0">
        <w:rPr>
          <w:rFonts w:eastAsia="DengXian"/>
          <w:lang w:eastAsia="zh-CN"/>
        </w:rPr>
        <w:t xml:space="preserve"> the</w:t>
      </w:r>
      <w:r w:rsidR="00DD6384">
        <w:rPr>
          <w:rFonts w:eastAsia="DengXian"/>
          <w:lang w:eastAsia="zh-CN"/>
        </w:rPr>
        <w:t xml:space="preserve"> </w:t>
      </w:r>
      <w:r w:rsidR="00DD6384" w:rsidRPr="00C70F23">
        <w:rPr>
          <w:rFonts w:eastAsia="DengXian"/>
          <w:lang w:eastAsia="zh-CN"/>
        </w:rPr>
        <w:t>Singapore Ministry of Health</w:t>
      </w:r>
      <w:r w:rsidRPr="00C70F23">
        <w:rPr>
          <w:rFonts w:eastAsia="DengXian"/>
          <w:lang w:eastAsia="zh-CN"/>
        </w:rPr>
        <w:t xml:space="preserve"> </w:t>
      </w:r>
      <w:r w:rsidR="00DD6384">
        <w:rPr>
          <w:rFonts w:eastAsia="DengXian"/>
          <w:lang w:eastAsia="zh-CN"/>
        </w:rPr>
        <w:t xml:space="preserve">to be </w:t>
      </w:r>
      <w:r w:rsidRPr="00C70F23">
        <w:rPr>
          <w:rFonts w:eastAsia="DengXian"/>
          <w:lang w:eastAsia="zh-CN"/>
        </w:rPr>
        <w:t>17,000 by 2020.</w:t>
      </w:r>
      <w:r w:rsidRPr="00370ECF">
        <w:rPr>
          <w:rStyle w:val="EndnoteReference"/>
          <w:rFonts w:eastAsia="DengXian"/>
        </w:rPr>
        <w:endnoteReference w:id="17"/>
      </w:r>
      <w:r w:rsidRPr="00C70F23">
        <w:rPr>
          <w:rFonts w:eastAsia="DengXian"/>
          <w:lang w:eastAsia="zh-CN"/>
        </w:rPr>
        <w:t xml:space="preserve"> Th</w:t>
      </w:r>
      <w:r w:rsidR="00E55B9E" w:rsidRPr="00C70F23">
        <w:rPr>
          <w:rFonts w:eastAsia="DengXian"/>
          <w:lang w:eastAsia="zh-CN"/>
        </w:rPr>
        <w:t>e figure</w:t>
      </w:r>
      <w:r w:rsidRPr="00C70F23">
        <w:rPr>
          <w:rFonts w:eastAsia="DengXian"/>
          <w:lang w:eastAsia="zh-CN"/>
        </w:rPr>
        <w:t xml:space="preserve"> represented </w:t>
      </w:r>
      <w:r w:rsidR="00E55B9E" w:rsidRPr="00C70F23">
        <w:rPr>
          <w:rFonts w:eastAsia="DengXian"/>
          <w:lang w:eastAsia="zh-CN"/>
        </w:rPr>
        <w:t>growth of</w:t>
      </w:r>
      <w:r w:rsidRPr="00C70F23">
        <w:rPr>
          <w:rFonts w:eastAsia="DengXian"/>
          <w:lang w:eastAsia="zh-CN"/>
        </w:rPr>
        <w:t xml:space="preserve"> 85</w:t>
      </w:r>
      <w:r w:rsidR="00E55B9E" w:rsidRPr="00C70F23">
        <w:rPr>
          <w:rFonts w:eastAsia="DengXian"/>
          <w:lang w:eastAsia="zh-CN"/>
        </w:rPr>
        <w:t xml:space="preserve"> per cent</w:t>
      </w:r>
      <w:r w:rsidRPr="00C70F23">
        <w:rPr>
          <w:rFonts w:eastAsia="DengXian"/>
          <w:lang w:eastAsia="zh-CN"/>
        </w:rPr>
        <w:t xml:space="preserve"> from 2010.</w:t>
      </w:r>
      <w:r w:rsidRPr="00370ECF">
        <w:rPr>
          <w:rStyle w:val="EndnoteReference"/>
          <w:rFonts w:eastAsia="DengXian"/>
        </w:rPr>
        <w:endnoteReference w:id="18"/>
      </w:r>
      <w:r w:rsidRPr="00C70F23">
        <w:rPr>
          <w:rFonts w:eastAsia="DengXian"/>
          <w:lang w:eastAsia="zh-CN"/>
        </w:rPr>
        <w:t xml:space="preserve"> </w:t>
      </w:r>
      <w:proofErr w:type="spellStart"/>
      <w:r w:rsidR="00DE34F8">
        <w:rPr>
          <w:rFonts w:eastAsia="DengXian"/>
          <w:lang w:eastAsia="zh-CN"/>
        </w:rPr>
        <w:t>Ang</w:t>
      </w:r>
      <w:proofErr w:type="spellEnd"/>
      <w:r w:rsidR="00DE34F8">
        <w:rPr>
          <w:rFonts w:eastAsia="DengXian"/>
          <w:lang w:eastAsia="zh-CN"/>
        </w:rPr>
        <w:t xml:space="preserve"> </w:t>
      </w:r>
      <w:r w:rsidR="00DD6384">
        <w:rPr>
          <w:rFonts w:eastAsia="DengXian"/>
          <w:lang w:eastAsia="zh-CN"/>
        </w:rPr>
        <w:t>assumed</w:t>
      </w:r>
      <w:r w:rsidRPr="00C70F23">
        <w:rPr>
          <w:rFonts w:eastAsia="DengXian"/>
          <w:lang w:eastAsia="zh-CN"/>
        </w:rPr>
        <w:t xml:space="preserve"> that the number of beds would increase </w:t>
      </w:r>
      <w:r w:rsidR="00FB087C" w:rsidRPr="00C70F23">
        <w:rPr>
          <w:rFonts w:eastAsia="DengXian"/>
          <w:lang w:eastAsia="zh-CN"/>
        </w:rPr>
        <w:t xml:space="preserve">in a </w:t>
      </w:r>
      <w:r w:rsidRPr="00C70F23">
        <w:rPr>
          <w:rFonts w:eastAsia="DengXian"/>
          <w:lang w:eastAsia="zh-CN"/>
        </w:rPr>
        <w:t>linear</w:t>
      </w:r>
      <w:r w:rsidR="00FB087C" w:rsidRPr="00C70F23">
        <w:rPr>
          <w:rFonts w:eastAsia="DengXian"/>
          <w:lang w:eastAsia="zh-CN"/>
        </w:rPr>
        <w:t xml:space="preserve"> trend</w:t>
      </w:r>
      <w:r w:rsidRPr="00C70F23">
        <w:rPr>
          <w:rFonts w:eastAsia="DengXian"/>
          <w:lang w:eastAsia="zh-CN"/>
        </w:rPr>
        <w:t xml:space="preserve"> during the forecast</w:t>
      </w:r>
      <w:r w:rsidR="00E55B9E" w:rsidRPr="00C70F23">
        <w:rPr>
          <w:rFonts w:eastAsia="DengXian"/>
          <w:lang w:eastAsia="zh-CN"/>
        </w:rPr>
        <w:t>ed</w:t>
      </w:r>
      <w:r w:rsidRPr="00C70F23">
        <w:rPr>
          <w:rFonts w:eastAsia="DengXian"/>
          <w:lang w:eastAsia="zh-CN"/>
        </w:rPr>
        <w:t xml:space="preserve"> period</w:t>
      </w:r>
      <w:r w:rsidR="00E55B9E" w:rsidRPr="00C70F23">
        <w:rPr>
          <w:rFonts w:eastAsia="DengXian"/>
          <w:lang w:eastAsia="zh-CN"/>
        </w:rPr>
        <w:t>,</w:t>
      </w:r>
      <w:r w:rsidRPr="00C70F23">
        <w:rPr>
          <w:rFonts w:eastAsia="DengXian"/>
          <w:lang w:eastAsia="zh-CN"/>
        </w:rPr>
        <w:t xml:space="preserve"> as opposed to the exponential growth seen from 2010</w:t>
      </w:r>
      <w:r w:rsidR="00E55B9E" w:rsidRPr="00C70F23">
        <w:rPr>
          <w:rFonts w:eastAsia="DengXian"/>
          <w:lang w:eastAsia="zh-CN"/>
        </w:rPr>
        <w:t xml:space="preserve"> to </w:t>
      </w:r>
      <w:r w:rsidRPr="00C70F23">
        <w:rPr>
          <w:rFonts w:eastAsia="DengXian"/>
          <w:lang w:eastAsia="zh-CN"/>
        </w:rPr>
        <w:t>2020.</w:t>
      </w:r>
    </w:p>
    <w:p w14:paraId="6FFCF277" w14:textId="77777777" w:rsidR="005C1ABD" w:rsidRDefault="005C1ABD" w:rsidP="00A0299B">
      <w:pPr>
        <w:pStyle w:val="BodyTextMain"/>
        <w:rPr>
          <w:rFonts w:eastAsia="DengXian"/>
          <w:lang w:eastAsia="zh-CN"/>
        </w:rPr>
      </w:pPr>
    </w:p>
    <w:p w14:paraId="3C3C0F11" w14:textId="3365A213" w:rsidR="0045624B" w:rsidRPr="00C70F23" w:rsidRDefault="00DE34F8" w:rsidP="00A0299B">
      <w:pPr>
        <w:pStyle w:val="BodyTextMain"/>
        <w:rPr>
          <w:rFonts w:eastAsia="DengXian"/>
          <w:lang w:eastAsia="zh-CN"/>
        </w:rPr>
      </w:pPr>
      <w:proofErr w:type="spellStart"/>
      <w:r>
        <w:rPr>
          <w:rFonts w:eastAsia="DengXian"/>
          <w:lang w:eastAsia="zh-CN"/>
        </w:rPr>
        <w:t>Ang</w:t>
      </w:r>
      <w:proofErr w:type="spellEnd"/>
      <w:r w:rsidR="0045624B" w:rsidRPr="00C70F23">
        <w:rPr>
          <w:rFonts w:eastAsia="DengXian"/>
          <w:lang w:eastAsia="zh-CN"/>
        </w:rPr>
        <w:t xml:space="preserve"> also projected that the supply of beds </w:t>
      </w:r>
      <w:r w:rsidR="00801B71" w:rsidRPr="00C70F23">
        <w:rPr>
          <w:rFonts w:eastAsia="DengXian"/>
          <w:lang w:eastAsia="zh-CN"/>
        </w:rPr>
        <w:t xml:space="preserve">in </w:t>
      </w:r>
      <w:r w:rsidR="00801B71" w:rsidRPr="00C70F23">
        <w:rPr>
          <w:lang w:eastAsia="zh-CN"/>
        </w:rPr>
        <w:t xml:space="preserve">long-term care facilities </w:t>
      </w:r>
      <w:r w:rsidR="0045624B" w:rsidRPr="00C70F23">
        <w:rPr>
          <w:rFonts w:eastAsia="DengXian"/>
          <w:lang w:eastAsia="zh-CN"/>
        </w:rPr>
        <w:t xml:space="preserve">would increase to </w:t>
      </w:r>
      <w:r w:rsidR="00801B71" w:rsidRPr="00C70F23">
        <w:rPr>
          <w:rFonts w:eastAsia="DengXian"/>
          <w:lang w:eastAsia="zh-CN"/>
        </w:rPr>
        <w:t>meet</w:t>
      </w:r>
      <w:r w:rsidR="0045624B" w:rsidRPr="00C70F23">
        <w:rPr>
          <w:rFonts w:eastAsia="DengXian"/>
          <w:lang w:eastAsia="zh-CN"/>
        </w:rPr>
        <w:t xml:space="preserve"> demand</w:t>
      </w:r>
      <w:r w:rsidR="00801B71" w:rsidRPr="00C70F23">
        <w:rPr>
          <w:rFonts w:eastAsia="DengXian"/>
          <w:lang w:eastAsia="zh-CN"/>
        </w:rPr>
        <w:t>, which was dr</w:t>
      </w:r>
      <w:r w:rsidR="00FB087C" w:rsidRPr="00C70F23">
        <w:rPr>
          <w:rFonts w:eastAsia="DengXian"/>
          <w:lang w:eastAsia="zh-CN"/>
        </w:rPr>
        <w:t>i</w:t>
      </w:r>
      <w:r w:rsidR="00801B71" w:rsidRPr="00C70F23">
        <w:rPr>
          <w:rFonts w:eastAsia="DengXian"/>
          <w:lang w:eastAsia="zh-CN"/>
        </w:rPr>
        <w:t>ven in part by the</w:t>
      </w:r>
      <w:r w:rsidR="0045624B" w:rsidRPr="00C70F23">
        <w:rPr>
          <w:rFonts w:eastAsia="DengXian"/>
          <w:lang w:eastAsia="zh-CN"/>
        </w:rPr>
        <w:t xml:space="preserve"> lack of quality home care options. </w:t>
      </w:r>
      <w:r w:rsidR="00801B71" w:rsidRPr="00C70F23">
        <w:rPr>
          <w:rFonts w:eastAsia="DengXian"/>
          <w:lang w:eastAsia="zh-CN"/>
        </w:rPr>
        <w:t>A</w:t>
      </w:r>
      <w:r w:rsidR="0045624B" w:rsidRPr="00C70F23">
        <w:rPr>
          <w:rFonts w:eastAsia="DengXian"/>
          <w:lang w:eastAsia="zh-CN"/>
        </w:rPr>
        <w:t>pproximately 2</w:t>
      </w:r>
      <w:r w:rsidR="00801B71" w:rsidRPr="00C70F23">
        <w:rPr>
          <w:rFonts w:eastAsia="DengXian"/>
          <w:lang w:eastAsia="zh-CN"/>
        </w:rPr>
        <w:t xml:space="preserve"> per cent</w:t>
      </w:r>
      <w:r w:rsidR="0045624B" w:rsidRPr="00C70F23">
        <w:rPr>
          <w:rFonts w:eastAsia="DengXian"/>
          <w:lang w:eastAsia="zh-CN"/>
        </w:rPr>
        <w:t xml:space="preserve"> of Singapore</w:t>
      </w:r>
      <w:r w:rsidR="00801B71" w:rsidRPr="00C70F23">
        <w:rPr>
          <w:rFonts w:eastAsia="DengXian"/>
          <w:lang w:eastAsia="zh-CN"/>
        </w:rPr>
        <w:t>ans</w:t>
      </w:r>
      <w:r w:rsidR="0045624B" w:rsidRPr="00C70F23">
        <w:rPr>
          <w:rFonts w:eastAsia="DengXian"/>
          <w:lang w:eastAsia="zh-CN"/>
        </w:rPr>
        <w:t xml:space="preserve"> aged 65 and over stayed in </w:t>
      </w:r>
      <w:r w:rsidR="00801B71" w:rsidRPr="00C70F23">
        <w:rPr>
          <w:lang w:eastAsia="zh-CN"/>
        </w:rPr>
        <w:t>long-term care facilities, compared to an average of</w:t>
      </w:r>
      <w:r w:rsidR="0045624B" w:rsidRPr="00C70F23">
        <w:rPr>
          <w:rFonts w:eastAsia="DengXian"/>
          <w:lang w:eastAsia="zh-CN"/>
        </w:rPr>
        <w:t xml:space="preserve"> 6</w:t>
      </w:r>
      <w:r w:rsidR="00801B71" w:rsidRPr="00C70F23">
        <w:rPr>
          <w:rFonts w:eastAsia="DengXian"/>
          <w:lang w:eastAsia="zh-CN"/>
        </w:rPr>
        <w:t>–</w:t>
      </w:r>
      <w:r w:rsidR="0045624B" w:rsidRPr="00C70F23">
        <w:rPr>
          <w:rFonts w:eastAsia="DengXian"/>
          <w:lang w:eastAsia="zh-CN"/>
        </w:rPr>
        <w:t>8</w:t>
      </w:r>
      <w:r w:rsidR="00801B71" w:rsidRPr="00C70F23">
        <w:rPr>
          <w:rFonts w:eastAsia="DengXian"/>
          <w:lang w:eastAsia="zh-CN"/>
        </w:rPr>
        <w:t xml:space="preserve"> per cent</w:t>
      </w:r>
      <w:r w:rsidR="0045624B" w:rsidRPr="00C70F23">
        <w:rPr>
          <w:rFonts w:eastAsia="DengXian"/>
          <w:lang w:eastAsia="zh-CN"/>
        </w:rPr>
        <w:t xml:space="preserve"> in Northern Europe and Australia.</w:t>
      </w:r>
      <w:r w:rsidR="0045624B" w:rsidRPr="00370ECF">
        <w:rPr>
          <w:rStyle w:val="EndnoteReference"/>
          <w:rFonts w:eastAsia="DengXian"/>
        </w:rPr>
        <w:endnoteReference w:id="19"/>
      </w:r>
      <w:r w:rsidR="0045624B" w:rsidRPr="00C70F23">
        <w:rPr>
          <w:rFonts w:eastAsia="DengXian"/>
          <w:lang w:eastAsia="zh-CN"/>
        </w:rPr>
        <w:t xml:space="preserve"> </w:t>
      </w:r>
    </w:p>
    <w:p w14:paraId="671ADC89" w14:textId="50A4F737" w:rsidR="0045624B" w:rsidRPr="00C70F23" w:rsidRDefault="0045624B" w:rsidP="0045624B">
      <w:pPr>
        <w:pStyle w:val="BodyTextMain"/>
      </w:pPr>
    </w:p>
    <w:p w14:paraId="63ACCFAC" w14:textId="77777777" w:rsidR="0045624B" w:rsidRPr="00C70F23" w:rsidRDefault="0045624B" w:rsidP="0045624B">
      <w:pPr>
        <w:pStyle w:val="BodyTextMain"/>
      </w:pPr>
    </w:p>
    <w:p w14:paraId="0C8B5A0D" w14:textId="20E8ECF9" w:rsidR="0045624B" w:rsidRPr="00C70F23" w:rsidRDefault="0045624B" w:rsidP="0045624B">
      <w:pPr>
        <w:pStyle w:val="Casehead1"/>
        <w:rPr>
          <w:rFonts w:eastAsia="DengXian Light"/>
          <w:lang w:eastAsia="zh-CN"/>
        </w:rPr>
      </w:pPr>
      <w:bookmarkStart w:id="8" w:name="_Toc525155074"/>
      <w:bookmarkStart w:id="9" w:name="_Toc526190973"/>
      <w:bookmarkStart w:id="10" w:name="_Toc526348053"/>
      <w:bookmarkStart w:id="11" w:name="_Toc527292070"/>
      <w:bookmarkStart w:id="12" w:name="_Toc530673327"/>
      <w:r w:rsidRPr="00C70F23">
        <w:rPr>
          <w:rFonts w:eastAsia="DengXian Light"/>
          <w:lang w:eastAsia="zh-CN"/>
        </w:rPr>
        <w:t>SAMSUI CENTRAL KITCHEN</w:t>
      </w:r>
      <w:r w:rsidR="004966EC">
        <w:rPr>
          <w:rFonts w:eastAsia="DengXian Light"/>
          <w:lang w:eastAsia="zh-CN"/>
        </w:rPr>
        <w:t>’s</w:t>
      </w:r>
      <w:r w:rsidR="00DE34F8">
        <w:rPr>
          <w:rFonts w:eastAsia="DengXian Light"/>
          <w:lang w:eastAsia="zh-CN"/>
        </w:rPr>
        <w:t xml:space="preserve"> </w:t>
      </w:r>
      <w:r w:rsidRPr="00C70F23">
        <w:rPr>
          <w:rFonts w:eastAsia="DengXian Light"/>
          <w:lang w:eastAsia="zh-CN"/>
        </w:rPr>
        <w:t>PROJECT</w:t>
      </w:r>
      <w:bookmarkEnd w:id="8"/>
      <w:bookmarkEnd w:id="9"/>
      <w:bookmarkEnd w:id="10"/>
      <w:bookmarkEnd w:id="11"/>
      <w:bookmarkEnd w:id="12"/>
      <w:r w:rsidR="00DE34F8">
        <w:rPr>
          <w:rFonts w:eastAsia="DengXian Light"/>
          <w:lang w:eastAsia="zh-CN"/>
        </w:rPr>
        <w:t xml:space="preserve"> </w:t>
      </w:r>
    </w:p>
    <w:p w14:paraId="590A55E0" w14:textId="77777777" w:rsidR="0045624B" w:rsidRPr="00C70F23" w:rsidRDefault="0045624B" w:rsidP="0045624B">
      <w:pPr>
        <w:pStyle w:val="BodyTextMain"/>
      </w:pPr>
    </w:p>
    <w:p w14:paraId="7C8D5234" w14:textId="32E1A6D1" w:rsidR="0045624B" w:rsidRPr="00C70F23" w:rsidRDefault="0045624B" w:rsidP="00A0299B">
      <w:pPr>
        <w:pStyle w:val="BodyTextMain"/>
        <w:rPr>
          <w:rFonts w:eastAsia="DengXian"/>
          <w:lang w:eastAsia="zh-CN"/>
        </w:rPr>
      </w:pPr>
      <w:proofErr w:type="spellStart"/>
      <w:r w:rsidRPr="00C70F23">
        <w:rPr>
          <w:rFonts w:eastAsia="DengXian"/>
          <w:lang w:eastAsia="zh-CN"/>
        </w:rPr>
        <w:t>Samsui’s</w:t>
      </w:r>
      <w:proofErr w:type="spellEnd"/>
      <w:r w:rsidRPr="00C70F23">
        <w:rPr>
          <w:rFonts w:eastAsia="DengXian"/>
          <w:lang w:eastAsia="zh-CN"/>
        </w:rPr>
        <w:t xml:space="preserve"> flagship CSR project was the SCK project</w:t>
      </w:r>
      <w:r w:rsidR="00D37C5D" w:rsidRPr="00C70F23">
        <w:rPr>
          <w:rFonts w:eastAsia="DengXian"/>
          <w:lang w:eastAsia="zh-CN"/>
        </w:rPr>
        <w:t>.</w:t>
      </w:r>
      <w:r w:rsidRPr="00C70F23">
        <w:rPr>
          <w:rFonts w:eastAsia="DengXian"/>
          <w:lang w:eastAsia="zh-CN"/>
        </w:rPr>
        <w:t xml:space="preserve"> </w:t>
      </w:r>
      <w:r w:rsidR="00D37C5D" w:rsidRPr="00C70F23">
        <w:rPr>
          <w:rFonts w:eastAsia="DengXian"/>
          <w:lang w:eastAsia="zh-CN"/>
        </w:rPr>
        <w:t>I</w:t>
      </w:r>
      <w:r w:rsidRPr="00C70F23">
        <w:rPr>
          <w:rFonts w:eastAsia="DengXian"/>
          <w:lang w:eastAsia="zh-CN"/>
        </w:rPr>
        <w:t xml:space="preserve">t </w:t>
      </w:r>
      <w:r w:rsidR="00D41975" w:rsidRPr="00C70F23">
        <w:rPr>
          <w:rFonts w:eastAsia="DengXian"/>
          <w:lang w:eastAsia="zh-CN"/>
        </w:rPr>
        <w:t>was</w:t>
      </w:r>
      <w:r w:rsidRPr="00C70F23">
        <w:rPr>
          <w:rFonts w:eastAsia="DengXian"/>
          <w:lang w:eastAsia="zh-CN"/>
        </w:rPr>
        <w:t xml:space="preserve"> inten</w:t>
      </w:r>
      <w:r w:rsidR="00D41975" w:rsidRPr="00C70F23">
        <w:rPr>
          <w:rFonts w:eastAsia="DengXian"/>
          <w:lang w:eastAsia="zh-CN"/>
        </w:rPr>
        <w:t>ded to</w:t>
      </w:r>
      <w:r w:rsidRPr="00C70F23">
        <w:rPr>
          <w:rFonts w:eastAsia="DengXian"/>
          <w:lang w:eastAsia="zh-CN"/>
        </w:rPr>
        <w:t xml:space="preserve"> provid</w:t>
      </w:r>
      <w:r w:rsidR="00D41975" w:rsidRPr="00C70F23">
        <w:rPr>
          <w:rFonts w:eastAsia="DengXian"/>
          <w:lang w:eastAsia="zh-CN"/>
        </w:rPr>
        <w:t>e</w:t>
      </w:r>
      <w:r w:rsidRPr="00C70F23">
        <w:rPr>
          <w:rFonts w:eastAsia="DengXian"/>
          <w:lang w:eastAsia="zh-CN"/>
        </w:rPr>
        <w:t xml:space="preserve"> employment skills training to individuals in need. The SCK project was launched in October 2017 by </w:t>
      </w:r>
      <w:proofErr w:type="spellStart"/>
      <w:r w:rsidRPr="00C70F23">
        <w:rPr>
          <w:rFonts w:eastAsia="DengXian"/>
          <w:lang w:eastAsia="zh-CN"/>
        </w:rPr>
        <w:t>Samsui</w:t>
      </w:r>
      <w:proofErr w:type="spellEnd"/>
      <w:r w:rsidRPr="00C70F23">
        <w:rPr>
          <w:rFonts w:eastAsia="DengXian"/>
          <w:lang w:eastAsia="zh-CN"/>
        </w:rPr>
        <w:t xml:space="preserve"> and </w:t>
      </w:r>
      <w:r w:rsidR="00DF6F64" w:rsidRPr="00C70F23">
        <w:rPr>
          <w:rFonts w:eastAsia="DengXian"/>
          <w:lang w:eastAsia="zh-CN"/>
        </w:rPr>
        <w:t xml:space="preserve">the </w:t>
      </w:r>
      <w:r w:rsidRPr="00C70F23">
        <w:rPr>
          <w:rFonts w:eastAsia="DengXian"/>
          <w:lang w:eastAsia="zh-CN"/>
        </w:rPr>
        <w:t xml:space="preserve">Standard Chartered Bank </w:t>
      </w:r>
      <w:r w:rsidR="00DF6F64" w:rsidRPr="00C70F23">
        <w:rPr>
          <w:rFonts w:eastAsia="DengXian"/>
          <w:lang w:eastAsia="zh-CN"/>
        </w:rPr>
        <w:t xml:space="preserve">of </w:t>
      </w:r>
      <w:r w:rsidRPr="00C70F23">
        <w:rPr>
          <w:rFonts w:eastAsia="DengXian"/>
          <w:lang w:eastAsia="zh-CN"/>
        </w:rPr>
        <w:t xml:space="preserve">Singapore, with the support of Singapore Corporation of Rehabilitative Enterprises </w:t>
      </w:r>
      <w:r w:rsidRPr="00C70F23">
        <w:rPr>
          <w:rFonts w:eastAsia="DengXian"/>
          <w:lang w:eastAsia="zh-CN"/>
        </w:rPr>
        <w:lastRenderedPageBreak/>
        <w:t>(SCORE), a government organi</w:t>
      </w:r>
      <w:r w:rsidR="00DF6F64" w:rsidRPr="00C70F23">
        <w:rPr>
          <w:rFonts w:eastAsia="DengXian"/>
          <w:lang w:eastAsia="zh-CN"/>
        </w:rPr>
        <w:t>z</w:t>
      </w:r>
      <w:r w:rsidRPr="00C70F23">
        <w:rPr>
          <w:rFonts w:eastAsia="DengXian"/>
          <w:lang w:eastAsia="zh-CN"/>
        </w:rPr>
        <w:t xml:space="preserve">ation </w:t>
      </w:r>
      <w:r w:rsidR="00DF6F64" w:rsidRPr="00C70F23">
        <w:rPr>
          <w:rFonts w:eastAsia="DengXian"/>
          <w:lang w:eastAsia="zh-CN"/>
        </w:rPr>
        <w:t xml:space="preserve">that </w:t>
      </w:r>
      <w:r w:rsidRPr="00C70F23">
        <w:rPr>
          <w:rFonts w:eastAsia="DengXian"/>
          <w:lang w:eastAsia="zh-CN"/>
        </w:rPr>
        <w:t>provid</w:t>
      </w:r>
      <w:r w:rsidR="00DF6F64" w:rsidRPr="00C70F23">
        <w:rPr>
          <w:rFonts w:eastAsia="DengXian"/>
          <w:lang w:eastAsia="zh-CN"/>
        </w:rPr>
        <w:t>ed</w:t>
      </w:r>
      <w:r w:rsidRPr="00C70F23">
        <w:rPr>
          <w:rFonts w:eastAsia="DengXian"/>
          <w:lang w:eastAsia="zh-CN"/>
        </w:rPr>
        <w:t xml:space="preserve"> the matching service between the trainees and </w:t>
      </w:r>
      <w:proofErr w:type="spellStart"/>
      <w:r w:rsidRPr="00C70F23">
        <w:rPr>
          <w:rFonts w:eastAsia="DengXian"/>
          <w:lang w:eastAsia="zh-CN"/>
        </w:rPr>
        <w:t>Samsui</w:t>
      </w:r>
      <w:proofErr w:type="spellEnd"/>
      <w:r w:rsidRPr="00C70F23">
        <w:rPr>
          <w:rFonts w:eastAsia="DengXian"/>
          <w:lang w:eastAsia="zh-CN"/>
        </w:rPr>
        <w:t>. The project had been touted as the first social service system in Singapore</w:t>
      </w:r>
      <w:r w:rsidR="00DF6F64" w:rsidRPr="00C70F23">
        <w:rPr>
          <w:rFonts w:eastAsia="DengXian"/>
          <w:lang w:eastAsia="zh-CN"/>
        </w:rPr>
        <w:t>. It was</w:t>
      </w:r>
      <w:r w:rsidRPr="00C70F23">
        <w:rPr>
          <w:rFonts w:eastAsia="DengXian"/>
          <w:lang w:eastAsia="zh-CN"/>
        </w:rPr>
        <w:t xml:space="preserve"> a collaboration between the public sector, private sector</w:t>
      </w:r>
      <w:r w:rsidR="00DF6F64" w:rsidRPr="00C70F23">
        <w:rPr>
          <w:rFonts w:eastAsia="DengXian"/>
          <w:lang w:eastAsia="zh-CN"/>
        </w:rPr>
        <w:t>,</w:t>
      </w:r>
      <w:r w:rsidRPr="00C70F23">
        <w:rPr>
          <w:rFonts w:eastAsia="DengXian"/>
          <w:lang w:eastAsia="zh-CN"/>
        </w:rPr>
        <w:t xml:space="preserve"> and social enterprise</w:t>
      </w:r>
      <w:r w:rsidR="00DF6F64" w:rsidRPr="00C70F23">
        <w:rPr>
          <w:rFonts w:eastAsia="DengXian"/>
          <w:lang w:eastAsia="zh-CN"/>
        </w:rPr>
        <w:t>s</w:t>
      </w:r>
      <w:r w:rsidRPr="00C70F23">
        <w:rPr>
          <w:rFonts w:eastAsia="DengXian"/>
          <w:lang w:eastAsia="zh-CN"/>
        </w:rPr>
        <w:t xml:space="preserve"> leveraging their respective strengths and resources to deliver sustainable long-term impact on the community.</w:t>
      </w:r>
      <w:r w:rsidRPr="00370ECF">
        <w:rPr>
          <w:rStyle w:val="EndnoteReference"/>
          <w:rFonts w:eastAsia="DengXian"/>
        </w:rPr>
        <w:endnoteReference w:id="20"/>
      </w:r>
      <w:r w:rsidRPr="00C70F23">
        <w:rPr>
          <w:rFonts w:eastAsia="DengXian"/>
          <w:lang w:eastAsia="zh-CN"/>
        </w:rPr>
        <w:t xml:space="preserve"> </w:t>
      </w:r>
    </w:p>
    <w:p w14:paraId="5497A14E" w14:textId="77777777" w:rsidR="0045624B" w:rsidRPr="00C70F23" w:rsidRDefault="0045624B" w:rsidP="00A0299B">
      <w:pPr>
        <w:pStyle w:val="BodyTextMain"/>
        <w:rPr>
          <w:rFonts w:eastAsia="DengXian"/>
          <w:lang w:eastAsia="zh-CN"/>
        </w:rPr>
      </w:pPr>
    </w:p>
    <w:p w14:paraId="58141676" w14:textId="3AC2B45A" w:rsidR="0045624B" w:rsidRPr="00C70F23" w:rsidRDefault="0045624B" w:rsidP="00A0299B">
      <w:pPr>
        <w:pStyle w:val="BodyTextMain"/>
        <w:rPr>
          <w:rFonts w:eastAsia="DengXian"/>
          <w:lang w:eastAsia="zh-CN"/>
        </w:rPr>
      </w:pPr>
      <w:r w:rsidRPr="00C70F23">
        <w:rPr>
          <w:rFonts w:eastAsia="DengXian"/>
          <w:lang w:eastAsia="zh-CN"/>
        </w:rPr>
        <w:t>The current facility was staffed by 30 trainees and produced 1.8 million meals annually. The trainees would prepare meals to be served to beneficiaries at various non-profit organi</w:t>
      </w:r>
      <w:r w:rsidR="00DF6F64" w:rsidRPr="00C70F23">
        <w:rPr>
          <w:rFonts w:eastAsia="DengXian"/>
          <w:lang w:eastAsia="zh-CN"/>
        </w:rPr>
        <w:t>z</w:t>
      </w:r>
      <w:r w:rsidRPr="00C70F23">
        <w:rPr>
          <w:rFonts w:eastAsia="DengXian"/>
          <w:lang w:eastAsia="zh-CN"/>
        </w:rPr>
        <w:t xml:space="preserve">ations. </w:t>
      </w:r>
      <w:proofErr w:type="spellStart"/>
      <w:r w:rsidRPr="00C70F23">
        <w:rPr>
          <w:rFonts w:eastAsia="DengXian"/>
          <w:lang w:eastAsia="zh-CN"/>
        </w:rPr>
        <w:t>Samsui’s</w:t>
      </w:r>
      <w:proofErr w:type="spellEnd"/>
      <w:r w:rsidRPr="00C70F23">
        <w:rPr>
          <w:rFonts w:eastAsia="DengXian"/>
          <w:lang w:eastAsia="zh-CN"/>
        </w:rPr>
        <w:t xml:space="preserve"> menus were approved by dieticians and nutritionists before being rolled out.</w:t>
      </w:r>
      <w:r w:rsidRPr="00370ECF">
        <w:rPr>
          <w:rStyle w:val="EndnoteReference"/>
          <w:rFonts w:eastAsia="DengXian"/>
        </w:rPr>
        <w:endnoteReference w:id="21"/>
      </w:r>
      <w:r w:rsidRPr="00C70F23">
        <w:rPr>
          <w:rFonts w:eastAsia="DengXian"/>
          <w:lang w:eastAsia="zh-CN"/>
        </w:rPr>
        <w:t xml:space="preserve"> Through this</w:t>
      </w:r>
      <w:r w:rsidR="00DF6F64" w:rsidRPr="00C70F23">
        <w:rPr>
          <w:rFonts w:eastAsia="DengXian"/>
          <w:lang w:eastAsia="zh-CN"/>
        </w:rPr>
        <w:t xml:space="preserve"> project</w:t>
      </w:r>
      <w:r w:rsidRPr="00C70F23">
        <w:rPr>
          <w:rFonts w:eastAsia="DengXian"/>
          <w:lang w:eastAsia="zh-CN"/>
        </w:rPr>
        <w:t xml:space="preserve">, </w:t>
      </w:r>
      <w:proofErr w:type="spellStart"/>
      <w:r w:rsidRPr="00C70F23">
        <w:rPr>
          <w:rFonts w:eastAsia="DengXian"/>
          <w:lang w:eastAsia="zh-CN"/>
        </w:rPr>
        <w:t>Samsui</w:t>
      </w:r>
      <w:proofErr w:type="spellEnd"/>
      <w:r w:rsidRPr="00C70F23">
        <w:rPr>
          <w:rFonts w:eastAsia="DengXian"/>
          <w:lang w:eastAsia="zh-CN"/>
        </w:rPr>
        <w:t xml:space="preserve"> aimed to provide a greater variety of nutritious food options to increase the overall satisfaction of care, health</w:t>
      </w:r>
      <w:r w:rsidR="00DF6F64" w:rsidRPr="00C70F23">
        <w:rPr>
          <w:rFonts w:eastAsia="DengXian"/>
          <w:lang w:eastAsia="zh-CN"/>
        </w:rPr>
        <w:t>,</w:t>
      </w:r>
      <w:r w:rsidRPr="00C70F23">
        <w:rPr>
          <w:rFonts w:eastAsia="DengXian"/>
          <w:lang w:eastAsia="zh-CN"/>
        </w:rPr>
        <w:t xml:space="preserve"> and quality of life for residents.</w:t>
      </w:r>
      <w:r w:rsidR="00DE34F8" w:rsidRPr="00DE34F8">
        <w:rPr>
          <w:rFonts w:eastAsia="DengXian"/>
          <w:vertAlign w:val="superscript"/>
          <w:lang w:eastAsia="zh-CN"/>
        </w:rPr>
        <w:t xml:space="preserve"> </w:t>
      </w:r>
      <w:r w:rsidR="00DE34F8" w:rsidRPr="00370ECF">
        <w:rPr>
          <w:rStyle w:val="EndnoteReference"/>
          <w:rFonts w:eastAsia="DengXian"/>
        </w:rPr>
        <w:endnoteReference w:id="22"/>
      </w:r>
      <w:r w:rsidRPr="00C70F23">
        <w:rPr>
          <w:rFonts w:eastAsia="DengXian"/>
          <w:lang w:eastAsia="zh-CN"/>
        </w:rPr>
        <w:t xml:space="preserve"> </w:t>
      </w:r>
    </w:p>
    <w:p w14:paraId="15AE80A4" w14:textId="77777777" w:rsidR="0045624B" w:rsidRPr="00C70F23" w:rsidRDefault="0045624B" w:rsidP="00A0299B">
      <w:pPr>
        <w:pStyle w:val="BodyTextMain"/>
        <w:rPr>
          <w:rFonts w:eastAsia="DengXian"/>
          <w:lang w:eastAsia="zh-CN"/>
        </w:rPr>
      </w:pPr>
    </w:p>
    <w:p w14:paraId="6289C9E6" w14:textId="4CDB7C06" w:rsidR="0045624B" w:rsidRPr="00C70F23" w:rsidRDefault="0045624B" w:rsidP="00A0299B">
      <w:pPr>
        <w:pStyle w:val="BodyTextMain"/>
        <w:rPr>
          <w:rFonts w:eastAsia="DengXian"/>
          <w:lang w:eastAsia="zh-CN"/>
        </w:rPr>
      </w:pPr>
      <w:r w:rsidRPr="00C70F23">
        <w:rPr>
          <w:rFonts w:eastAsia="DengXian"/>
          <w:lang w:eastAsia="zh-CN"/>
        </w:rPr>
        <w:t>One immediate impact of the</w:t>
      </w:r>
      <w:r w:rsidR="00DF6F64" w:rsidRPr="00C70F23">
        <w:rPr>
          <w:rFonts w:eastAsia="DengXian"/>
          <w:lang w:eastAsia="zh-CN"/>
        </w:rPr>
        <w:t xml:space="preserve"> </w:t>
      </w:r>
      <w:r w:rsidRPr="00C70F23">
        <w:rPr>
          <w:rFonts w:eastAsia="DengXian"/>
          <w:lang w:eastAsia="zh-CN"/>
        </w:rPr>
        <w:t xml:space="preserve">launch was </w:t>
      </w:r>
      <w:r w:rsidR="00E332F7" w:rsidRPr="00C70F23">
        <w:rPr>
          <w:rFonts w:eastAsia="DengXian"/>
          <w:lang w:eastAsia="zh-CN"/>
        </w:rPr>
        <w:t>SCK</w:t>
      </w:r>
      <w:r w:rsidR="00E332F7">
        <w:rPr>
          <w:rFonts w:eastAsia="DengXian"/>
          <w:lang w:eastAsia="zh-CN"/>
        </w:rPr>
        <w:t>’s</w:t>
      </w:r>
      <w:r w:rsidR="00E332F7" w:rsidRPr="00C70F23">
        <w:rPr>
          <w:rFonts w:eastAsia="DengXian"/>
          <w:lang w:eastAsia="zh-CN"/>
        </w:rPr>
        <w:t xml:space="preserve"> </w:t>
      </w:r>
      <w:r w:rsidRPr="00C70F23">
        <w:rPr>
          <w:rFonts w:eastAsia="DengXian"/>
          <w:lang w:eastAsia="zh-CN"/>
        </w:rPr>
        <w:t>increased capacity, with an almost 500</w:t>
      </w:r>
      <w:r w:rsidR="00DF6F64" w:rsidRPr="00C70F23">
        <w:rPr>
          <w:rFonts w:eastAsia="DengXian"/>
          <w:lang w:eastAsia="zh-CN"/>
        </w:rPr>
        <w:t xml:space="preserve"> per cent</w:t>
      </w:r>
      <w:r w:rsidRPr="00C70F23">
        <w:rPr>
          <w:rFonts w:eastAsia="DengXian"/>
          <w:lang w:eastAsia="zh-CN"/>
        </w:rPr>
        <w:t xml:space="preserve"> increase from the 365,000 meals previously delivered by </w:t>
      </w:r>
      <w:proofErr w:type="spellStart"/>
      <w:r w:rsidRPr="00C70F23">
        <w:rPr>
          <w:rFonts w:eastAsia="DengXian"/>
          <w:lang w:eastAsia="zh-CN"/>
        </w:rPr>
        <w:t>Samsui</w:t>
      </w:r>
      <w:proofErr w:type="spellEnd"/>
      <w:r w:rsidRPr="00C70F23">
        <w:rPr>
          <w:rFonts w:eastAsia="DengXian"/>
          <w:lang w:eastAsia="zh-CN"/>
        </w:rPr>
        <w:t>.</w:t>
      </w:r>
      <w:r w:rsidRPr="00370ECF">
        <w:rPr>
          <w:rStyle w:val="EndnoteReference"/>
          <w:rFonts w:eastAsia="DengXian"/>
        </w:rPr>
        <w:endnoteReference w:id="23"/>
      </w:r>
      <w:r w:rsidRPr="00C70F23">
        <w:rPr>
          <w:rFonts w:eastAsia="DengXian"/>
          <w:lang w:eastAsia="zh-CN"/>
        </w:rPr>
        <w:t xml:space="preserve"> The impact on food quality was also</w:t>
      </w:r>
      <w:r w:rsidRPr="00C70F23" w:rsidDel="00D301CD">
        <w:rPr>
          <w:rFonts w:eastAsia="DengXian"/>
          <w:lang w:eastAsia="zh-CN"/>
        </w:rPr>
        <w:t xml:space="preserve"> </w:t>
      </w:r>
      <w:r w:rsidRPr="00C70F23">
        <w:rPr>
          <w:rFonts w:eastAsia="DengXian"/>
          <w:lang w:eastAsia="zh-CN"/>
        </w:rPr>
        <w:t xml:space="preserve">palpable, according to the recipients of the meals. James Tan, chief executive of Touch Community Services, </w:t>
      </w:r>
      <w:r w:rsidR="00D861E0">
        <w:rPr>
          <w:rFonts w:eastAsia="DengXian"/>
          <w:lang w:eastAsia="zh-CN"/>
        </w:rPr>
        <w:t>(</w:t>
      </w:r>
      <w:r w:rsidRPr="00C70F23">
        <w:rPr>
          <w:rFonts w:eastAsia="DengXian"/>
          <w:lang w:eastAsia="zh-CN"/>
        </w:rPr>
        <w:t>one of t</w:t>
      </w:r>
      <w:r w:rsidR="00D861E0">
        <w:rPr>
          <w:rFonts w:eastAsia="DengXian"/>
          <w:lang w:eastAsia="zh-CN"/>
        </w:rPr>
        <w:t>he beneficiaries of the kitchen)</w:t>
      </w:r>
      <w:r w:rsidRPr="00C70F23">
        <w:rPr>
          <w:rFonts w:eastAsia="DengXian"/>
          <w:lang w:eastAsia="zh-CN"/>
        </w:rPr>
        <w:t xml:space="preserve"> </w:t>
      </w:r>
      <w:r w:rsidR="00BD046D">
        <w:rPr>
          <w:rFonts w:eastAsia="DengXian"/>
          <w:lang w:eastAsia="zh-CN"/>
        </w:rPr>
        <w:t>said</w:t>
      </w:r>
      <w:r w:rsidRPr="00C70F23">
        <w:rPr>
          <w:rFonts w:eastAsia="DengXian"/>
          <w:lang w:eastAsia="zh-CN"/>
        </w:rPr>
        <w:t xml:space="preserve"> that the food was delicious and that it helped</w:t>
      </w:r>
      <w:r w:rsidRPr="00C70F23" w:rsidDel="009F141E">
        <w:rPr>
          <w:rFonts w:eastAsia="DengXian"/>
          <w:lang w:eastAsia="zh-CN"/>
        </w:rPr>
        <w:t xml:space="preserve"> </w:t>
      </w:r>
      <w:r w:rsidRPr="00C70F23">
        <w:rPr>
          <w:rFonts w:eastAsia="DengXian"/>
          <w:lang w:eastAsia="zh-CN"/>
        </w:rPr>
        <w:t xml:space="preserve">to get good quality food at good prices. Trainees who worked in the kitchen were also offered jobs with </w:t>
      </w:r>
      <w:proofErr w:type="spellStart"/>
      <w:r w:rsidRPr="00C70F23">
        <w:rPr>
          <w:rFonts w:eastAsia="DengXian"/>
          <w:lang w:eastAsia="zh-CN"/>
        </w:rPr>
        <w:t>Samsui</w:t>
      </w:r>
      <w:proofErr w:type="spellEnd"/>
      <w:r w:rsidRPr="00C70F23">
        <w:rPr>
          <w:rFonts w:eastAsia="DengXian"/>
          <w:lang w:eastAsia="zh-CN"/>
        </w:rPr>
        <w:t xml:space="preserve"> upon completion of their training. Even if these trainees chose not to work with </w:t>
      </w:r>
      <w:proofErr w:type="spellStart"/>
      <w:r w:rsidRPr="00C70F23">
        <w:rPr>
          <w:rFonts w:eastAsia="DengXian"/>
          <w:lang w:eastAsia="zh-CN"/>
        </w:rPr>
        <w:t>Samsui</w:t>
      </w:r>
      <w:proofErr w:type="spellEnd"/>
      <w:r w:rsidRPr="00C70F23">
        <w:rPr>
          <w:rFonts w:eastAsia="DengXian"/>
          <w:lang w:eastAsia="zh-CN"/>
        </w:rPr>
        <w:t>, they would have picked up some useful skills for employment opportunities elsewhere.</w:t>
      </w:r>
      <w:r w:rsidRPr="00370ECF">
        <w:rPr>
          <w:rStyle w:val="EndnoteReference"/>
          <w:rFonts w:eastAsia="DengXian"/>
        </w:rPr>
        <w:endnoteReference w:id="24"/>
      </w:r>
      <w:r w:rsidRPr="00C70F23">
        <w:rPr>
          <w:rFonts w:eastAsia="DengXian"/>
          <w:lang w:eastAsia="zh-CN"/>
        </w:rPr>
        <w:t xml:space="preserve"> </w:t>
      </w:r>
      <w:proofErr w:type="spellStart"/>
      <w:r w:rsidR="004C5C4C">
        <w:rPr>
          <w:rFonts w:eastAsia="DengXian"/>
          <w:lang w:eastAsia="zh-CN"/>
        </w:rPr>
        <w:t>Ang</w:t>
      </w:r>
      <w:proofErr w:type="spellEnd"/>
      <w:r w:rsidRPr="00C70F23">
        <w:rPr>
          <w:rFonts w:eastAsia="DengXian"/>
          <w:lang w:eastAsia="zh-CN"/>
        </w:rPr>
        <w:t xml:space="preserve"> also </w:t>
      </w:r>
      <w:r w:rsidR="00DF6F64" w:rsidRPr="00C70F23">
        <w:rPr>
          <w:rFonts w:eastAsia="DengXian"/>
          <w:lang w:eastAsia="zh-CN"/>
        </w:rPr>
        <w:t>noted</w:t>
      </w:r>
      <w:r w:rsidRPr="00C70F23">
        <w:rPr>
          <w:rFonts w:eastAsia="DengXian"/>
          <w:lang w:eastAsia="zh-CN"/>
        </w:rPr>
        <w:t xml:space="preserve"> another less apparent impact of the SCK </w:t>
      </w:r>
      <w:r w:rsidR="00DF6F64" w:rsidRPr="00C70F23">
        <w:rPr>
          <w:rFonts w:eastAsia="DengXian"/>
          <w:lang w:eastAsia="zh-CN"/>
        </w:rPr>
        <w:t>project</w:t>
      </w:r>
      <w:r w:rsidR="00F71B9A">
        <w:rPr>
          <w:rFonts w:eastAsia="DengXian"/>
          <w:lang w:eastAsia="zh-CN"/>
        </w:rPr>
        <w:t>: b</w:t>
      </w:r>
      <w:r w:rsidRPr="00C70F23">
        <w:rPr>
          <w:rFonts w:eastAsia="DengXian"/>
          <w:lang w:eastAsia="zh-CN"/>
        </w:rPr>
        <w:t xml:space="preserve">y outsourcing food operations, the </w:t>
      </w:r>
      <w:r w:rsidR="00DF6F64" w:rsidRPr="00C70F23">
        <w:rPr>
          <w:rFonts w:eastAsia="DengXian"/>
          <w:lang w:eastAsia="zh-CN"/>
        </w:rPr>
        <w:t>long-term care faciliti</w:t>
      </w:r>
      <w:r w:rsidRPr="00C70F23">
        <w:rPr>
          <w:rFonts w:eastAsia="DengXian"/>
          <w:lang w:eastAsia="zh-CN"/>
        </w:rPr>
        <w:t xml:space="preserve">es could free up </w:t>
      </w:r>
      <w:r w:rsidR="00DF6F64" w:rsidRPr="00C70F23">
        <w:rPr>
          <w:rFonts w:eastAsia="DengXian"/>
          <w:lang w:eastAsia="zh-CN"/>
        </w:rPr>
        <w:t>workers</w:t>
      </w:r>
      <w:r w:rsidRPr="00C70F23">
        <w:rPr>
          <w:rFonts w:eastAsia="DengXian"/>
          <w:lang w:eastAsia="zh-CN"/>
        </w:rPr>
        <w:t xml:space="preserve"> and related resources for other activities. This enabled the</w:t>
      </w:r>
      <w:r w:rsidR="00DF6F64" w:rsidRPr="00C70F23">
        <w:rPr>
          <w:rFonts w:eastAsia="DengXian"/>
          <w:lang w:eastAsia="zh-CN"/>
        </w:rPr>
        <w:t xml:space="preserve"> facilities</w:t>
      </w:r>
      <w:r w:rsidRPr="00C70F23">
        <w:rPr>
          <w:rFonts w:eastAsia="DengXian"/>
          <w:lang w:eastAsia="zh-CN"/>
        </w:rPr>
        <w:t xml:space="preserve"> to focus on their core strength of providing quality care.</w:t>
      </w:r>
    </w:p>
    <w:p w14:paraId="5B1370D8" w14:textId="50034803" w:rsidR="0045624B" w:rsidRPr="00C70F23" w:rsidRDefault="0045624B" w:rsidP="00A0299B">
      <w:pPr>
        <w:pStyle w:val="BodyTextMain"/>
        <w:rPr>
          <w:rFonts w:eastAsia="DengXian"/>
          <w:lang w:eastAsia="zh-CN"/>
        </w:rPr>
      </w:pPr>
    </w:p>
    <w:p w14:paraId="28EE7FCC" w14:textId="77777777" w:rsidR="0045624B" w:rsidRPr="00C70F23" w:rsidRDefault="0045624B" w:rsidP="00A0299B">
      <w:pPr>
        <w:pStyle w:val="BodyTextMain"/>
        <w:rPr>
          <w:rFonts w:eastAsia="DengXian"/>
          <w:lang w:eastAsia="zh-CN"/>
        </w:rPr>
      </w:pPr>
    </w:p>
    <w:p w14:paraId="13DCE4B7" w14:textId="77777777" w:rsidR="0045624B" w:rsidRPr="00C70F23" w:rsidRDefault="0045624B" w:rsidP="0045624B">
      <w:pPr>
        <w:pStyle w:val="Casehead1"/>
      </w:pPr>
      <w:r w:rsidRPr="00C70F23">
        <w:t>SAMSUI’S PLAN FOR EXPANSION</w:t>
      </w:r>
    </w:p>
    <w:p w14:paraId="1C3EF695" w14:textId="77777777" w:rsidR="0045624B" w:rsidRPr="00C70F23" w:rsidRDefault="0045624B" w:rsidP="00A0299B">
      <w:pPr>
        <w:pStyle w:val="BodyTextMain"/>
        <w:rPr>
          <w:rFonts w:eastAsia="DengXian"/>
          <w:lang w:eastAsia="zh-CN"/>
        </w:rPr>
      </w:pPr>
    </w:p>
    <w:p w14:paraId="36866B26" w14:textId="483B47F8" w:rsidR="0045624B" w:rsidRPr="00C70F23" w:rsidRDefault="00D861E0" w:rsidP="00A0299B">
      <w:pPr>
        <w:pStyle w:val="BodyTextMain"/>
        <w:rPr>
          <w:rFonts w:eastAsia="DengXian"/>
          <w:lang w:eastAsia="zh-CN"/>
        </w:rPr>
      </w:pPr>
      <w:r>
        <w:rPr>
          <w:rFonts w:eastAsia="DengXian"/>
          <w:lang w:eastAsia="zh-CN"/>
        </w:rPr>
        <w:t>In 2018, the</w:t>
      </w:r>
      <w:r w:rsidR="0045624B" w:rsidRPr="00C70F23">
        <w:rPr>
          <w:rFonts w:eastAsia="DengXian"/>
          <w:lang w:eastAsia="zh-CN"/>
        </w:rPr>
        <w:t xml:space="preserve"> capacity of SCK was 1.8 million meals </w:t>
      </w:r>
      <w:r w:rsidR="00DF6F64" w:rsidRPr="00C70F23">
        <w:rPr>
          <w:rFonts w:eastAsia="DengXian"/>
          <w:lang w:eastAsia="zh-CN"/>
        </w:rPr>
        <w:t>per</w:t>
      </w:r>
      <w:r w:rsidR="0045624B" w:rsidRPr="00C70F23">
        <w:rPr>
          <w:rFonts w:eastAsia="DengXian"/>
          <w:lang w:eastAsia="zh-CN"/>
        </w:rPr>
        <w:t xml:space="preserve"> year. This could meet the needs of approximately 2,465 </w:t>
      </w:r>
      <w:r w:rsidR="00DF6F64" w:rsidRPr="00C70F23">
        <w:rPr>
          <w:rFonts w:eastAsia="DengXian"/>
          <w:lang w:eastAsia="zh-CN"/>
        </w:rPr>
        <w:t>long-term care facility</w:t>
      </w:r>
      <w:r w:rsidR="0045624B" w:rsidRPr="00C70F23">
        <w:rPr>
          <w:rFonts w:eastAsia="DengXian"/>
          <w:lang w:eastAsia="zh-CN"/>
        </w:rPr>
        <w:t xml:space="preserve"> residents annually, which was a fraction of the 17,000-capacity requirement set by the </w:t>
      </w:r>
      <w:r w:rsidR="00DF6F64" w:rsidRPr="00C70F23">
        <w:rPr>
          <w:rFonts w:eastAsia="DengXian"/>
          <w:lang w:eastAsia="zh-CN"/>
        </w:rPr>
        <w:t xml:space="preserve">Singapore </w:t>
      </w:r>
      <w:r w:rsidR="0045624B" w:rsidRPr="00C70F23">
        <w:rPr>
          <w:rFonts w:eastAsia="DengXian"/>
          <w:lang w:eastAsia="zh-CN"/>
        </w:rPr>
        <w:t>Ministry of Health for 2020.</w:t>
      </w:r>
      <w:r w:rsidR="0045624B" w:rsidRPr="00370ECF">
        <w:rPr>
          <w:rStyle w:val="EndnoteReference"/>
          <w:rFonts w:eastAsia="DengXian"/>
        </w:rPr>
        <w:endnoteReference w:id="25"/>
      </w:r>
      <w:r w:rsidR="0045624B" w:rsidRPr="00C70F23">
        <w:rPr>
          <w:rFonts w:eastAsia="DengXian"/>
          <w:lang w:eastAsia="zh-CN"/>
        </w:rPr>
        <w:t xml:space="preserve"> </w:t>
      </w:r>
      <w:proofErr w:type="spellStart"/>
      <w:r w:rsidR="004C5C4C">
        <w:rPr>
          <w:rFonts w:eastAsia="DengXian"/>
          <w:lang w:eastAsia="zh-CN"/>
        </w:rPr>
        <w:t>Ang</w:t>
      </w:r>
      <w:proofErr w:type="spellEnd"/>
      <w:r w:rsidR="0045624B" w:rsidRPr="00C70F23">
        <w:rPr>
          <w:rFonts w:eastAsia="DengXian"/>
          <w:lang w:eastAsia="zh-CN"/>
        </w:rPr>
        <w:t xml:space="preserve"> </w:t>
      </w:r>
      <w:r w:rsidR="00DF6F64" w:rsidRPr="00C70F23">
        <w:rPr>
          <w:rFonts w:eastAsia="DengXian"/>
          <w:lang w:eastAsia="zh-CN"/>
        </w:rPr>
        <w:t>saw</w:t>
      </w:r>
      <w:r w:rsidR="0045624B" w:rsidRPr="00C70F23">
        <w:rPr>
          <w:rFonts w:eastAsia="DengXian"/>
          <w:lang w:eastAsia="zh-CN"/>
        </w:rPr>
        <w:t xml:space="preserve"> an opportunity for </w:t>
      </w:r>
      <w:proofErr w:type="spellStart"/>
      <w:r w:rsidR="0045624B" w:rsidRPr="00C70F23">
        <w:rPr>
          <w:rFonts w:eastAsia="DengXian"/>
          <w:lang w:eastAsia="zh-CN"/>
        </w:rPr>
        <w:t>Samsui</w:t>
      </w:r>
      <w:proofErr w:type="spellEnd"/>
      <w:r w:rsidR="0045624B" w:rsidRPr="00C70F23">
        <w:rPr>
          <w:rFonts w:eastAsia="DengXian"/>
          <w:lang w:eastAsia="zh-CN"/>
        </w:rPr>
        <w:t xml:space="preserve"> to make use of </w:t>
      </w:r>
      <w:r w:rsidR="00DD6384">
        <w:rPr>
          <w:rFonts w:eastAsia="DengXian"/>
          <w:lang w:eastAsia="zh-CN"/>
        </w:rPr>
        <w:t>its</w:t>
      </w:r>
      <w:r w:rsidR="0045624B" w:rsidRPr="00C70F23">
        <w:rPr>
          <w:rFonts w:eastAsia="DengXian"/>
          <w:lang w:eastAsia="zh-CN"/>
        </w:rPr>
        <w:t xml:space="preserve"> comparative advantage </w:t>
      </w:r>
      <w:r w:rsidR="00DD6384">
        <w:rPr>
          <w:rFonts w:eastAsia="DengXian"/>
          <w:lang w:eastAsia="zh-CN"/>
        </w:rPr>
        <w:t xml:space="preserve">to </w:t>
      </w:r>
      <w:r w:rsidR="0045624B" w:rsidRPr="00C70F23">
        <w:rPr>
          <w:rFonts w:eastAsia="DengXian"/>
          <w:lang w:eastAsia="zh-CN"/>
        </w:rPr>
        <w:t xml:space="preserve">meet the needs of even more </w:t>
      </w:r>
      <w:r w:rsidR="00764F2F" w:rsidRPr="00C70F23">
        <w:rPr>
          <w:rFonts w:eastAsia="DengXian"/>
          <w:lang w:eastAsia="zh-CN"/>
        </w:rPr>
        <w:t>long-term care faciliti</w:t>
      </w:r>
      <w:r w:rsidR="0045624B" w:rsidRPr="00C70F23">
        <w:rPr>
          <w:rFonts w:eastAsia="DengXian"/>
          <w:lang w:eastAsia="zh-CN"/>
        </w:rPr>
        <w:t xml:space="preserve">es and residents. </w:t>
      </w:r>
      <w:proofErr w:type="spellStart"/>
      <w:r w:rsidR="0045624B" w:rsidRPr="00C70F23">
        <w:rPr>
          <w:rFonts w:eastAsia="DengXian"/>
          <w:lang w:eastAsia="zh-CN"/>
        </w:rPr>
        <w:t>Samsui</w:t>
      </w:r>
      <w:proofErr w:type="spellEnd"/>
      <w:r w:rsidR="0045624B" w:rsidRPr="00C70F23">
        <w:rPr>
          <w:rFonts w:eastAsia="DengXian"/>
          <w:lang w:eastAsia="zh-CN"/>
        </w:rPr>
        <w:t xml:space="preserve"> would be able to negotiate better prices for food ingredients and make use of </w:t>
      </w:r>
      <w:r w:rsidR="00764F2F" w:rsidRPr="00C70F23">
        <w:rPr>
          <w:rFonts w:eastAsia="DengXian"/>
          <w:lang w:eastAsia="zh-CN"/>
        </w:rPr>
        <w:t>i</w:t>
      </w:r>
      <w:r w:rsidR="0045624B" w:rsidRPr="00C70F23">
        <w:rPr>
          <w:rFonts w:eastAsia="DengXian"/>
          <w:lang w:eastAsia="zh-CN"/>
        </w:rPr>
        <w:t>t</w:t>
      </w:r>
      <w:r w:rsidR="00764F2F" w:rsidRPr="00C70F23">
        <w:rPr>
          <w:rFonts w:eastAsia="DengXian"/>
          <w:lang w:eastAsia="zh-CN"/>
        </w:rPr>
        <w:t>s</w:t>
      </w:r>
      <w:r w:rsidR="0045624B" w:rsidRPr="00C70F23">
        <w:rPr>
          <w:rFonts w:eastAsia="DengXian"/>
          <w:lang w:eastAsia="zh-CN"/>
        </w:rPr>
        <w:t xml:space="preserve"> </w:t>
      </w:r>
      <w:r w:rsidR="00764F2F" w:rsidRPr="00C70F23">
        <w:rPr>
          <w:rFonts w:eastAsia="DengXian"/>
          <w:lang w:eastAsia="zh-CN"/>
        </w:rPr>
        <w:t xml:space="preserve">inherent </w:t>
      </w:r>
      <w:r w:rsidR="0045624B" w:rsidRPr="00C70F23">
        <w:rPr>
          <w:rFonts w:eastAsia="DengXian"/>
          <w:lang w:eastAsia="zh-CN"/>
        </w:rPr>
        <w:t>knowledge in food production to provide a greater social good.</w:t>
      </w:r>
    </w:p>
    <w:p w14:paraId="5DC97369" w14:textId="77777777" w:rsidR="0045624B" w:rsidRPr="00C70F23" w:rsidRDefault="0045624B" w:rsidP="00A0299B">
      <w:pPr>
        <w:pStyle w:val="BodyTextMain"/>
        <w:rPr>
          <w:rFonts w:eastAsia="DengXian"/>
          <w:lang w:eastAsia="zh-CN"/>
        </w:rPr>
      </w:pPr>
    </w:p>
    <w:p w14:paraId="145D5E7C" w14:textId="4513D114" w:rsidR="0045624B" w:rsidRPr="00C70F23" w:rsidRDefault="00764F2F" w:rsidP="00A0299B">
      <w:pPr>
        <w:pStyle w:val="BodyTextMain"/>
        <w:rPr>
          <w:rFonts w:eastAsia="DengXian"/>
          <w:lang w:eastAsia="zh-CN"/>
        </w:rPr>
      </w:pPr>
      <w:r w:rsidRPr="00C70F23">
        <w:rPr>
          <w:rFonts w:eastAsia="DengXian"/>
          <w:lang w:eastAsia="zh-CN"/>
        </w:rPr>
        <w:t>A</w:t>
      </w:r>
      <w:r w:rsidR="0045624B" w:rsidRPr="00C70F23">
        <w:rPr>
          <w:rFonts w:eastAsia="DengXian"/>
          <w:lang w:eastAsia="zh-CN"/>
        </w:rPr>
        <w:t xml:space="preserve"> key challenge faced by </w:t>
      </w:r>
      <w:r w:rsidRPr="00C70F23">
        <w:rPr>
          <w:rFonts w:eastAsia="DengXian"/>
          <w:lang w:eastAsia="zh-CN"/>
        </w:rPr>
        <w:t>long-term care faciliti</w:t>
      </w:r>
      <w:r w:rsidR="0045624B" w:rsidRPr="00C70F23">
        <w:rPr>
          <w:rFonts w:eastAsia="DengXian"/>
          <w:lang w:eastAsia="zh-CN"/>
        </w:rPr>
        <w:t xml:space="preserve">es was providing nutritious and varied meals at a cost-effective price point. Options included setting up a kitchen within the </w:t>
      </w:r>
      <w:r w:rsidR="006D67FE" w:rsidRPr="00C70F23">
        <w:rPr>
          <w:rFonts w:eastAsia="DengXian"/>
          <w:lang w:eastAsia="zh-CN"/>
        </w:rPr>
        <w:t>long-term care facility</w:t>
      </w:r>
      <w:r w:rsidR="0045624B" w:rsidRPr="00C70F23">
        <w:rPr>
          <w:rFonts w:eastAsia="DengXian"/>
          <w:lang w:eastAsia="zh-CN"/>
        </w:rPr>
        <w:t xml:space="preserve"> and engaging third-party food caterers. </w:t>
      </w:r>
      <w:proofErr w:type="spellStart"/>
      <w:r w:rsidR="004C5C4C">
        <w:rPr>
          <w:rFonts w:eastAsia="DengXian"/>
          <w:lang w:eastAsia="zh-CN"/>
        </w:rPr>
        <w:t>Ang</w:t>
      </w:r>
      <w:proofErr w:type="spellEnd"/>
      <w:r w:rsidR="0045624B" w:rsidRPr="00C70F23">
        <w:rPr>
          <w:rFonts w:eastAsia="DengXian"/>
          <w:lang w:eastAsia="zh-CN"/>
        </w:rPr>
        <w:t xml:space="preserve"> noted </w:t>
      </w:r>
      <w:r w:rsidRPr="00C70F23">
        <w:rPr>
          <w:rFonts w:eastAsia="DengXian"/>
          <w:lang w:eastAsia="zh-CN"/>
        </w:rPr>
        <w:t xml:space="preserve">that </w:t>
      </w:r>
      <w:r w:rsidR="0045624B" w:rsidRPr="00C70F23">
        <w:rPr>
          <w:rFonts w:eastAsia="DengXian"/>
          <w:lang w:eastAsia="zh-CN"/>
        </w:rPr>
        <w:t>setting up a kitchen was expensive</w:t>
      </w:r>
      <w:r w:rsidRPr="00C70F23">
        <w:rPr>
          <w:rFonts w:eastAsia="DengXian"/>
          <w:lang w:eastAsia="zh-CN"/>
        </w:rPr>
        <w:t>.</w:t>
      </w:r>
      <w:r w:rsidR="0045624B" w:rsidRPr="00C70F23">
        <w:rPr>
          <w:rFonts w:eastAsia="DengXian"/>
          <w:lang w:eastAsia="zh-CN"/>
        </w:rPr>
        <w:t xml:space="preserve"> </w:t>
      </w:r>
      <w:r w:rsidRPr="00C70F23">
        <w:rPr>
          <w:rFonts w:eastAsia="DengXian"/>
          <w:lang w:eastAsia="zh-CN"/>
        </w:rPr>
        <w:t>U</w:t>
      </w:r>
      <w:r w:rsidR="0045624B" w:rsidRPr="00C70F23">
        <w:rPr>
          <w:rFonts w:eastAsia="DengXian"/>
          <w:lang w:eastAsia="zh-CN"/>
        </w:rPr>
        <w:t xml:space="preserve">sing third-party food caterers was </w:t>
      </w:r>
      <w:r w:rsidRPr="00C70F23">
        <w:rPr>
          <w:rFonts w:eastAsia="DengXian"/>
          <w:lang w:eastAsia="zh-CN"/>
        </w:rPr>
        <w:t xml:space="preserve">also </w:t>
      </w:r>
      <w:r w:rsidR="0045624B" w:rsidRPr="00C70F23">
        <w:rPr>
          <w:rFonts w:eastAsia="DengXian"/>
          <w:lang w:eastAsia="zh-CN"/>
        </w:rPr>
        <w:t xml:space="preserve">not ideal </w:t>
      </w:r>
      <w:r w:rsidRPr="00C70F23">
        <w:rPr>
          <w:rFonts w:eastAsia="DengXian"/>
          <w:lang w:eastAsia="zh-CN"/>
        </w:rPr>
        <w:t>bec</w:t>
      </w:r>
      <w:r w:rsidR="0045624B" w:rsidRPr="00C70F23">
        <w:rPr>
          <w:rFonts w:eastAsia="DengXian"/>
          <w:lang w:eastAsia="zh-CN"/>
        </w:rPr>
        <w:t>a</w:t>
      </w:r>
      <w:r w:rsidRPr="00C70F23">
        <w:rPr>
          <w:rFonts w:eastAsia="DengXian"/>
          <w:lang w:eastAsia="zh-CN"/>
        </w:rPr>
        <w:t>u</w:t>
      </w:r>
      <w:r w:rsidR="0045624B" w:rsidRPr="00C70F23">
        <w:rPr>
          <w:rFonts w:eastAsia="DengXian"/>
          <w:lang w:eastAsia="zh-CN"/>
        </w:rPr>
        <w:t>s</w:t>
      </w:r>
      <w:r w:rsidRPr="00C70F23">
        <w:rPr>
          <w:rFonts w:eastAsia="DengXian"/>
          <w:lang w:eastAsia="zh-CN"/>
        </w:rPr>
        <w:t>e</w:t>
      </w:r>
      <w:r w:rsidR="0045624B" w:rsidRPr="00C70F23">
        <w:rPr>
          <w:rFonts w:eastAsia="DengXian"/>
          <w:lang w:eastAsia="zh-CN"/>
        </w:rPr>
        <w:t xml:space="preserve"> </w:t>
      </w:r>
      <w:r w:rsidRPr="00C70F23">
        <w:rPr>
          <w:rFonts w:eastAsia="DengXian"/>
          <w:lang w:eastAsia="zh-CN"/>
        </w:rPr>
        <w:t>caterers</w:t>
      </w:r>
      <w:r w:rsidR="0045624B" w:rsidRPr="00C70F23">
        <w:rPr>
          <w:rFonts w:eastAsia="DengXian"/>
          <w:lang w:eastAsia="zh-CN"/>
        </w:rPr>
        <w:t xml:space="preserve"> had little experience and ability </w:t>
      </w:r>
      <w:r w:rsidR="0090236B">
        <w:rPr>
          <w:rFonts w:eastAsia="DengXian"/>
          <w:lang w:eastAsia="zh-CN"/>
        </w:rPr>
        <w:t>to address</w:t>
      </w:r>
      <w:r w:rsidR="0045624B" w:rsidRPr="00C70F23">
        <w:rPr>
          <w:rFonts w:eastAsia="DengXian"/>
          <w:lang w:eastAsia="zh-CN"/>
        </w:rPr>
        <w:t xml:space="preserve"> the dietary requirements of the residents</w:t>
      </w:r>
      <w:r w:rsidRPr="00C70F23">
        <w:rPr>
          <w:rFonts w:eastAsia="DengXian"/>
          <w:lang w:eastAsia="zh-CN"/>
        </w:rPr>
        <w:t>,</w:t>
      </w:r>
      <w:r w:rsidR="0045624B" w:rsidRPr="00C70F23">
        <w:rPr>
          <w:rFonts w:eastAsia="DengXian"/>
          <w:lang w:eastAsia="zh-CN"/>
        </w:rPr>
        <w:t xml:space="preserve"> often result</w:t>
      </w:r>
      <w:r w:rsidRPr="00C70F23">
        <w:rPr>
          <w:rFonts w:eastAsia="DengXian"/>
          <w:lang w:eastAsia="zh-CN"/>
        </w:rPr>
        <w:t>ing</w:t>
      </w:r>
      <w:r w:rsidR="0045624B" w:rsidRPr="00C70F23">
        <w:rPr>
          <w:rFonts w:eastAsia="DengXian"/>
          <w:lang w:eastAsia="zh-CN"/>
        </w:rPr>
        <w:t xml:space="preserve"> in bland and unvaried meal plans. In contrast, S</w:t>
      </w:r>
      <w:r w:rsidRPr="00C70F23">
        <w:rPr>
          <w:rFonts w:eastAsia="DengXian"/>
          <w:lang w:eastAsia="zh-CN"/>
        </w:rPr>
        <w:t>CK</w:t>
      </w:r>
      <w:r w:rsidR="0045624B" w:rsidRPr="00C70F23">
        <w:rPr>
          <w:rFonts w:eastAsia="DengXian"/>
          <w:lang w:eastAsia="zh-CN"/>
        </w:rPr>
        <w:t xml:space="preserve"> aimed to provide sufficiently nutritious and varied meals, without being prohibitively expensive.</w:t>
      </w:r>
    </w:p>
    <w:p w14:paraId="5CFE7EA1" w14:textId="77777777" w:rsidR="0045624B" w:rsidRPr="00C70F23" w:rsidRDefault="0045624B" w:rsidP="00A0299B">
      <w:pPr>
        <w:pStyle w:val="BodyTextMain"/>
        <w:rPr>
          <w:rFonts w:eastAsia="DengXian"/>
          <w:lang w:eastAsia="zh-CN"/>
        </w:rPr>
      </w:pPr>
    </w:p>
    <w:p w14:paraId="2A4CE08C" w14:textId="56F89A06" w:rsidR="0045624B" w:rsidRPr="00C70F23" w:rsidRDefault="004C5C4C" w:rsidP="00A0299B">
      <w:pPr>
        <w:pStyle w:val="BodyTextMain"/>
        <w:rPr>
          <w:rFonts w:eastAsia="DengXian"/>
          <w:lang w:eastAsia="zh-CN"/>
        </w:rPr>
      </w:pPr>
      <w:proofErr w:type="spellStart"/>
      <w:r>
        <w:rPr>
          <w:rFonts w:eastAsia="DengXian"/>
          <w:lang w:eastAsia="zh-CN"/>
        </w:rPr>
        <w:t>Ang</w:t>
      </w:r>
      <w:proofErr w:type="spellEnd"/>
      <w:r w:rsidR="0045624B" w:rsidRPr="00C70F23">
        <w:rPr>
          <w:rFonts w:eastAsia="DengXian"/>
          <w:lang w:eastAsia="zh-CN"/>
        </w:rPr>
        <w:t xml:space="preserve"> felt that with </w:t>
      </w:r>
      <w:proofErr w:type="spellStart"/>
      <w:r w:rsidR="0045624B" w:rsidRPr="00C70F23">
        <w:rPr>
          <w:rFonts w:eastAsia="DengXian"/>
          <w:lang w:eastAsia="zh-CN"/>
        </w:rPr>
        <w:t>Samsui’s</w:t>
      </w:r>
      <w:proofErr w:type="spellEnd"/>
      <w:r w:rsidR="0045624B" w:rsidRPr="00C70F23">
        <w:rPr>
          <w:rFonts w:eastAsia="DengXian"/>
          <w:lang w:eastAsia="zh-CN"/>
        </w:rPr>
        <w:t xml:space="preserve"> team of professional chefs and the ability to purchase bulk ingredients from wholesalers, </w:t>
      </w:r>
      <w:r w:rsidR="00764F2F" w:rsidRPr="00C70F23">
        <w:rPr>
          <w:rFonts w:eastAsia="DengXian"/>
          <w:lang w:eastAsia="zh-CN"/>
        </w:rPr>
        <w:t>SCK</w:t>
      </w:r>
      <w:r w:rsidR="0045624B" w:rsidRPr="00C70F23">
        <w:rPr>
          <w:rFonts w:eastAsia="DengXian"/>
          <w:lang w:eastAsia="zh-CN"/>
        </w:rPr>
        <w:t xml:space="preserve"> could provide an extensive balanced menu to </w:t>
      </w:r>
      <w:r w:rsidR="00764F2F" w:rsidRPr="00C70F23">
        <w:rPr>
          <w:rFonts w:eastAsia="DengXian"/>
          <w:lang w:eastAsia="zh-CN"/>
        </w:rPr>
        <w:t>long-term care faciliti</w:t>
      </w:r>
      <w:r w:rsidR="0045624B" w:rsidRPr="00C70F23">
        <w:rPr>
          <w:rFonts w:eastAsia="DengXian"/>
          <w:lang w:eastAsia="zh-CN"/>
        </w:rPr>
        <w:t>es, with high-quality ingredients</w:t>
      </w:r>
      <w:r w:rsidR="00764F2F" w:rsidRPr="00C70F23">
        <w:rPr>
          <w:rFonts w:eastAsia="DengXian"/>
          <w:lang w:eastAsia="zh-CN"/>
        </w:rPr>
        <w:t xml:space="preserve"> and</w:t>
      </w:r>
      <w:r w:rsidR="0045624B" w:rsidRPr="00C70F23">
        <w:rPr>
          <w:rFonts w:eastAsia="DengXian"/>
          <w:lang w:eastAsia="zh-CN"/>
        </w:rPr>
        <w:t xml:space="preserve"> at a lower cost</w:t>
      </w:r>
      <w:r w:rsidR="0045624B" w:rsidRPr="00C70F23" w:rsidDel="00703955">
        <w:rPr>
          <w:rFonts w:eastAsia="DengXian"/>
          <w:lang w:eastAsia="zh-CN"/>
        </w:rPr>
        <w:t xml:space="preserve"> </w:t>
      </w:r>
      <w:r w:rsidR="0045624B" w:rsidRPr="00C70F23">
        <w:rPr>
          <w:rFonts w:eastAsia="DengXian"/>
          <w:lang w:eastAsia="zh-CN"/>
        </w:rPr>
        <w:t>than other available catering options. The meals offered included local favourites</w:t>
      </w:r>
      <w:r w:rsidR="00764F2F" w:rsidRPr="00C70F23">
        <w:rPr>
          <w:rFonts w:eastAsia="DengXian"/>
          <w:lang w:eastAsia="zh-CN"/>
        </w:rPr>
        <w:t>,</w:t>
      </w:r>
      <w:r w:rsidR="0045624B" w:rsidRPr="00C70F23">
        <w:rPr>
          <w:rFonts w:eastAsia="DengXian"/>
          <w:lang w:eastAsia="zh-CN"/>
        </w:rPr>
        <w:t xml:space="preserve"> tweaked to match the dietary requirements of the residents.</w:t>
      </w:r>
      <w:r w:rsidR="0045624B" w:rsidRPr="00C70F23" w:rsidDel="008D6416">
        <w:rPr>
          <w:rFonts w:eastAsia="DengXian"/>
          <w:lang w:eastAsia="zh-CN"/>
        </w:rPr>
        <w:t xml:space="preserve"> </w:t>
      </w:r>
      <w:r w:rsidR="0045624B" w:rsidRPr="00C70F23">
        <w:rPr>
          <w:rFonts w:eastAsia="DengXian"/>
          <w:lang w:eastAsia="zh-CN"/>
        </w:rPr>
        <w:t xml:space="preserve">For example, </w:t>
      </w:r>
      <w:proofErr w:type="spellStart"/>
      <w:r w:rsidR="0045624B" w:rsidRPr="00C70F23">
        <w:rPr>
          <w:rFonts w:eastAsia="DengXian"/>
          <w:lang w:eastAsia="zh-CN"/>
        </w:rPr>
        <w:t>Samsui</w:t>
      </w:r>
      <w:proofErr w:type="spellEnd"/>
      <w:r w:rsidR="0045624B" w:rsidRPr="00C70F23">
        <w:rPr>
          <w:rFonts w:eastAsia="DengXian"/>
          <w:lang w:eastAsia="zh-CN"/>
        </w:rPr>
        <w:t xml:space="preserve"> chefs developed a low cholesterol version of </w:t>
      </w:r>
      <w:proofErr w:type="spellStart"/>
      <w:r w:rsidR="00532806">
        <w:rPr>
          <w:rFonts w:eastAsia="DengXian"/>
          <w:lang w:eastAsia="zh-CN"/>
        </w:rPr>
        <w:t>l</w:t>
      </w:r>
      <w:r w:rsidR="0045624B" w:rsidRPr="00C70F23">
        <w:rPr>
          <w:rFonts w:eastAsia="DengXian"/>
          <w:lang w:eastAsia="zh-CN"/>
        </w:rPr>
        <w:t>aksa</w:t>
      </w:r>
      <w:proofErr w:type="spellEnd"/>
      <w:r w:rsidR="0045624B" w:rsidRPr="00C70F23">
        <w:rPr>
          <w:rFonts w:eastAsia="DengXian"/>
          <w:lang w:eastAsia="zh-CN"/>
        </w:rPr>
        <w:t xml:space="preserve"> by using anchovies and fresh milk.</w:t>
      </w:r>
      <w:r w:rsidR="0045624B" w:rsidRPr="00370ECF">
        <w:rPr>
          <w:rStyle w:val="EndnoteReference"/>
          <w:rFonts w:eastAsia="DengXian"/>
        </w:rPr>
        <w:endnoteReference w:id="26"/>
      </w:r>
    </w:p>
    <w:p w14:paraId="624F3093" w14:textId="25B67510" w:rsidR="0045624B" w:rsidRPr="00C70F23" w:rsidRDefault="0045624B" w:rsidP="00A0299B">
      <w:pPr>
        <w:pStyle w:val="BodyTextMain"/>
        <w:rPr>
          <w:rFonts w:eastAsia="DengXian"/>
          <w:lang w:eastAsia="zh-CN"/>
        </w:rPr>
      </w:pPr>
    </w:p>
    <w:p w14:paraId="63B5A53A" w14:textId="77777777" w:rsidR="0045624B" w:rsidRPr="00C70F23" w:rsidRDefault="0045624B" w:rsidP="00A0299B">
      <w:pPr>
        <w:pStyle w:val="BodyTextMain"/>
        <w:rPr>
          <w:rFonts w:eastAsia="DengXian"/>
          <w:lang w:eastAsia="zh-CN"/>
        </w:rPr>
      </w:pPr>
    </w:p>
    <w:p w14:paraId="13076FD1" w14:textId="5C70AA5C" w:rsidR="0045624B" w:rsidRPr="00C70F23" w:rsidRDefault="0045624B" w:rsidP="0045624B">
      <w:pPr>
        <w:pStyle w:val="Casehead1"/>
        <w:rPr>
          <w:rFonts w:eastAsia="DengXian"/>
          <w:lang w:eastAsia="zh-CN"/>
        </w:rPr>
      </w:pPr>
      <w:r w:rsidRPr="00C70F23">
        <w:rPr>
          <w:rFonts w:eastAsia="DengXian"/>
          <w:lang w:eastAsia="zh-CN"/>
        </w:rPr>
        <w:t xml:space="preserve">SAMSUI’S NEED FOR </w:t>
      </w:r>
      <w:r w:rsidR="001A433A" w:rsidRPr="00C70F23">
        <w:rPr>
          <w:rFonts w:eastAsia="DengXian"/>
          <w:lang w:eastAsia="zh-CN"/>
        </w:rPr>
        <w:t xml:space="preserve">a </w:t>
      </w:r>
      <w:r w:rsidRPr="00C70F23">
        <w:rPr>
          <w:rFonts w:eastAsia="DengXian"/>
          <w:lang w:eastAsia="zh-CN"/>
        </w:rPr>
        <w:t>DECISION</w:t>
      </w:r>
      <w:r w:rsidR="001A433A" w:rsidRPr="00C70F23">
        <w:rPr>
          <w:rFonts w:eastAsia="DengXian"/>
          <w:lang w:eastAsia="zh-CN"/>
        </w:rPr>
        <w:t>-</w:t>
      </w:r>
      <w:r w:rsidRPr="00C70F23">
        <w:rPr>
          <w:rFonts w:eastAsia="DengXian"/>
          <w:lang w:eastAsia="zh-CN"/>
        </w:rPr>
        <w:t>MAKING FRAMEWORK</w:t>
      </w:r>
    </w:p>
    <w:p w14:paraId="1F59546F" w14:textId="77777777" w:rsidR="0045624B" w:rsidRPr="00C70F23" w:rsidRDefault="0045624B" w:rsidP="00A0299B">
      <w:pPr>
        <w:pStyle w:val="BodyTextMain"/>
        <w:rPr>
          <w:rFonts w:eastAsia="DengXian"/>
          <w:lang w:eastAsia="zh-CN"/>
        </w:rPr>
      </w:pPr>
    </w:p>
    <w:p w14:paraId="4108DFF2" w14:textId="3AEE276A" w:rsidR="0045624B" w:rsidRPr="00C70F23" w:rsidRDefault="0045624B" w:rsidP="00A0299B">
      <w:pPr>
        <w:pStyle w:val="BodyTextMain"/>
        <w:rPr>
          <w:rFonts w:eastAsia="DengXian"/>
          <w:lang w:eastAsia="zh-CN"/>
        </w:rPr>
      </w:pPr>
      <w:r w:rsidRPr="00C70F23">
        <w:rPr>
          <w:rFonts w:eastAsia="DengXian"/>
          <w:lang w:eastAsia="zh-CN"/>
        </w:rPr>
        <w:t xml:space="preserve">Given that the existing SCK facility was reaching its maximum capacity, </w:t>
      </w:r>
      <w:proofErr w:type="spellStart"/>
      <w:r w:rsidR="004C5C4C">
        <w:rPr>
          <w:rFonts w:eastAsia="DengXian"/>
          <w:lang w:eastAsia="zh-CN"/>
        </w:rPr>
        <w:t>Ang</w:t>
      </w:r>
      <w:proofErr w:type="spellEnd"/>
      <w:r w:rsidRPr="00C70F23">
        <w:rPr>
          <w:rFonts w:eastAsia="DengXian"/>
          <w:lang w:eastAsia="zh-CN"/>
        </w:rPr>
        <w:t xml:space="preserve"> knew that investment from the </w:t>
      </w:r>
      <w:r w:rsidR="005C1ABD">
        <w:rPr>
          <w:rFonts w:eastAsia="DengXian"/>
          <w:lang w:eastAsia="zh-CN"/>
        </w:rPr>
        <w:t xml:space="preserve">parent </w:t>
      </w:r>
      <w:r w:rsidRPr="00C70F23">
        <w:rPr>
          <w:rFonts w:eastAsia="DengXian"/>
          <w:lang w:eastAsia="zh-CN"/>
        </w:rPr>
        <w:t xml:space="preserve">company </w:t>
      </w:r>
      <w:r w:rsidR="005C1ABD">
        <w:rPr>
          <w:rFonts w:eastAsia="DengXian"/>
          <w:lang w:eastAsia="zh-CN"/>
        </w:rPr>
        <w:t xml:space="preserve">“Soup Restaurant Group” </w:t>
      </w:r>
      <w:r w:rsidRPr="00C70F23">
        <w:rPr>
          <w:rFonts w:eastAsia="DengXian"/>
          <w:lang w:eastAsia="zh-CN"/>
        </w:rPr>
        <w:t xml:space="preserve">would be needed for expansion. The first SCK was built at </w:t>
      </w:r>
      <w:r w:rsidRPr="00C70F23">
        <w:rPr>
          <w:rFonts w:eastAsia="DengXian"/>
          <w:lang w:eastAsia="zh-CN"/>
        </w:rPr>
        <w:lastRenderedPageBreak/>
        <w:t xml:space="preserve">a cost of $1 million. </w:t>
      </w:r>
      <w:r w:rsidR="001A433A" w:rsidRPr="00C70F23">
        <w:rPr>
          <w:rFonts w:eastAsia="DengXian"/>
          <w:lang w:eastAsia="zh-CN"/>
        </w:rPr>
        <w:t>Because</w:t>
      </w:r>
      <w:r w:rsidRPr="00C70F23">
        <w:rPr>
          <w:rFonts w:eastAsia="DengXian"/>
          <w:lang w:eastAsia="zh-CN"/>
        </w:rPr>
        <w:t xml:space="preserve"> Soup Restaurant </w:t>
      </w:r>
      <w:r w:rsidR="001A433A" w:rsidRPr="00C70F23">
        <w:rPr>
          <w:rFonts w:eastAsia="DengXian"/>
          <w:lang w:eastAsia="zh-CN"/>
        </w:rPr>
        <w:t>wa</w:t>
      </w:r>
      <w:r w:rsidRPr="00C70F23">
        <w:rPr>
          <w:rFonts w:eastAsia="DengXian"/>
          <w:lang w:eastAsia="zh-CN"/>
        </w:rPr>
        <w:t>s a public</w:t>
      </w:r>
      <w:r w:rsidR="001A433A" w:rsidRPr="00C70F23">
        <w:rPr>
          <w:rFonts w:eastAsia="DengXian"/>
          <w:lang w:eastAsia="zh-CN"/>
        </w:rPr>
        <w:t>ly</w:t>
      </w:r>
      <w:r w:rsidRPr="00C70F23">
        <w:rPr>
          <w:rFonts w:eastAsia="DengXian"/>
          <w:lang w:eastAsia="zh-CN"/>
        </w:rPr>
        <w:t xml:space="preserve"> listed for-profit organi</w:t>
      </w:r>
      <w:r w:rsidR="001A433A" w:rsidRPr="00C70F23">
        <w:rPr>
          <w:rFonts w:eastAsia="DengXian"/>
          <w:lang w:eastAsia="zh-CN"/>
        </w:rPr>
        <w:t>z</w:t>
      </w:r>
      <w:r w:rsidRPr="00C70F23">
        <w:rPr>
          <w:rFonts w:eastAsia="DengXian"/>
          <w:lang w:eastAsia="zh-CN"/>
        </w:rPr>
        <w:t xml:space="preserve">ation, it had to be accountable to stakeholders and shareholders. </w:t>
      </w:r>
      <w:proofErr w:type="spellStart"/>
      <w:r w:rsidR="004C5C4C">
        <w:rPr>
          <w:rFonts w:eastAsia="DengXian"/>
          <w:lang w:eastAsia="zh-CN"/>
        </w:rPr>
        <w:t>Ang</w:t>
      </w:r>
      <w:proofErr w:type="spellEnd"/>
      <w:r w:rsidRPr="00C70F23">
        <w:rPr>
          <w:rFonts w:eastAsia="DengXian"/>
          <w:lang w:eastAsia="zh-CN"/>
        </w:rPr>
        <w:t xml:space="preserve"> </w:t>
      </w:r>
      <w:r w:rsidR="006C0A5B">
        <w:rPr>
          <w:rFonts w:eastAsia="DengXian"/>
          <w:lang w:eastAsia="zh-CN"/>
        </w:rPr>
        <w:t>needed</w:t>
      </w:r>
      <w:r w:rsidR="006C0A5B" w:rsidRPr="00C70F23">
        <w:rPr>
          <w:rFonts w:eastAsia="DengXian"/>
          <w:lang w:eastAsia="zh-CN"/>
        </w:rPr>
        <w:t xml:space="preserve"> </w:t>
      </w:r>
      <w:r w:rsidRPr="00C70F23">
        <w:rPr>
          <w:rFonts w:eastAsia="DengXian"/>
          <w:lang w:eastAsia="zh-CN"/>
        </w:rPr>
        <w:t xml:space="preserve">to ensure that the group’s commitment to doing </w:t>
      </w:r>
      <w:proofErr w:type="gramStart"/>
      <w:r w:rsidRPr="00C70F23">
        <w:rPr>
          <w:rFonts w:eastAsia="DengXian"/>
          <w:lang w:eastAsia="zh-CN"/>
        </w:rPr>
        <w:t>good</w:t>
      </w:r>
      <w:proofErr w:type="gramEnd"/>
      <w:r w:rsidRPr="00C70F23">
        <w:rPr>
          <w:rFonts w:eastAsia="DengXian"/>
          <w:lang w:eastAsia="zh-CN"/>
        </w:rPr>
        <w:t xml:space="preserve"> was sustainable. </w:t>
      </w:r>
      <w:proofErr w:type="spellStart"/>
      <w:r w:rsidRPr="00C70F23">
        <w:rPr>
          <w:rFonts w:eastAsia="DengXian"/>
          <w:lang w:eastAsia="zh-CN"/>
        </w:rPr>
        <w:t>Samsui</w:t>
      </w:r>
      <w:proofErr w:type="spellEnd"/>
      <w:r w:rsidRPr="00C70F23">
        <w:rPr>
          <w:rFonts w:eastAsia="DengXian"/>
          <w:lang w:eastAsia="zh-CN"/>
        </w:rPr>
        <w:t xml:space="preserve"> had joined NVPC</w:t>
      </w:r>
      <w:r w:rsidR="001A433A" w:rsidRPr="00C70F23">
        <w:rPr>
          <w:rFonts w:eastAsia="DengXian"/>
          <w:lang w:eastAsia="zh-CN"/>
        </w:rPr>
        <w:t>’s</w:t>
      </w:r>
      <w:r w:rsidRPr="00C70F23">
        <w:rPr>
          <w:rFonts w:eastAsia="DengXian"/>
          <w:lang w:eastAsia="zh-CN"/>
        </w:rPr>
        <w:t xml:space="preserve"> Company of Good program in 2016 as a founding member. This program aimed to empower businesses in Singapore to </w:t>
      </w:r>
      <w:r w:rsidR="001A433A" w:rsidRPr="00C70F23">
        <w:rPr>
          <w:rFonts w:eastAsia="DengXian"/>
          <w:lang w:eastAsia="zh-CN"/>
        </w:rPr>
        <w:t>contribute</w:t>
      </w:r>
      <w:r w:rsidRPr="00C70F23">
        <w:rPr>
          <w:rFonts w:eastAsia="DengXian"/>
          <w:lang w:eastAsia="zh-CN"/>
        </w:rPr>
        <w:t xml:space="preserve"> in strategic, sustainable</w:t>
      </w:r>
      <w:r w:rsidR="001A433A" w:rsidRPr="00C70F23">
        <w:rPr>
          <w:rFonts w:eastAsia="DengXian"/>
          <w:lang w:eastAsia="zh-CN"/>
        </w:rPr>
        <w:t>,</w:t>
      </w:r>
      <w:r w:rsidRPr="00C70F23">
        <w:rPr>
          <w:rFonts w:eastAsia="DengXian"/>
          <w:lang w:eastAsia="zh-CN"/>
        </w:rPr>
        <w:t xml:space="preserve"> and impactful ways.</w:t>
      </w:r>
      <w:r w:rsidRPr="00370ECF">
        <w:rPr>
          <w:rStyle w:val="EndnoteReference"/>
          <w:rFonts w:eastAsia="DengXian"/>
        </w:rPr>
        <w:endnoteReference w:id="27"/>
      </w:r>
      <w:r w:rsidRPr="00C70F23">
        <w:rPr>
          <w:rFonts w:eastAsia="DengXian"/>
          <w:lang w:eastAsia="zh-CN"/>
        </w:rPr>
        <w:t xml:space="preserve"> NVPC advocated the </w:t>
      </w:r>
      <w:r w:rsidR="005F4ECA" w:rsidRPr="00C70F23">
        <w:rPr>
          <w:rFonts w:eastAsia="DengXian"/>
          <w:lang w:eastAsia="zh-CN"/>
        </w:rPr>
        <w:t>“</w:t>
      </w:r>
      <w:r w:rsidR="008A0AFA">
        <w:rPr>
          <w:rFonts w:eastAsia="DengXian"/>
          <w:lang w:eastAsia="zh-CN"/>
        </w:rPr>
        <w:t>F</w:t>
      </w:r>
      <w:r w:rsidR="001A433A" w:rsidRPr="00C70F23">
        <w:rPr>
          <w:rFonts w:eastAsia="DengXian"/>
          <w:lang w:eastAsia="zh-CN"/>
        </w:rPr>
        <w:t>our</w:t>
      </w:r>
      <w:r w:rsidRPr="00C70F23">
        <w:rPr>
          <w:rFonts w:eastAsia="DengXian"/>
          <w:lang w:eastAsia="zh-CN"/>
        </w:rPr>
        <w:t xml:space="preserve"> I</w:t>
      </w:r>
      <w:r w:rsidR="008A0AFA">
        <w:rPr>
          <w:rFonts w:eastAsia="DengXian"/>
          <w:lang w:eastAsia="zh-CN"/>
        </w:rPr>
        <w:t>’</w:t>
      </w:r>
      <w:r w:rsidR="005F4ECA" w:rsidRPr="00C70F23">
        <w:rPr>
          <w:rFonts w:eastAsia="DengXian"/>
          <w:lang w:eastAsia="zh-CN"/>
        </w:rPr>
        <w:t>s</w:t>
      </w:r>
      <w:r w:rsidRPr="00C70F23">
        <w:rPr>
          <w:rFonts w:eastAsia="DengXian"/>
          <w:lang w:eastAsia="zh-CN"/>
        </w:rPr>
        <w:t>” framework</w:t>
      </w:r>
      <w:r w:rsidR="001A433A" w:rsidRPr="00C70F23">
        <w:rPr>
          <w:rFonts w:eastAsia="DengXian"/>
          <w:lang w:eastAsia="zh-CN"/>
        </w:rPr>
        <w:t>—</w:t>
      </w:r>
      <w:r w:rsidRPr="00C70F23">
        <w:rPr>
          <w:rFonts w:eastAsia="DengXian"/>
          <w:lang w:eastAsia="zh-CN"/>
        </w:rPr>
        <w:t>investment, integration, institutionali</w:t>
      </w:r>
      <w:r w:rsidR="001A433A" w:rsidRPr="00C70F23">
        <w:rPr>
          <w:rFonts w:eastAsia="DengXian"/>
          <w:lang w:eastAsia="zh-CN"/>
        </w:rPr>
        <w:t>z</w:t>
      </w:r>
      <w:r w:rsidRPr="00C70F23">
        <w:rPr>
          <w:rFonts w:eastAsia="DengXian"/>
          <w:lang w:eastAsia="zh-CN"/>
        </w:rPr>
        <w:t>ation, and impact</w:t>
      </w:r>
      <w:r w:rsidR="00DD6384">
        <w:rPr>
          <w:rFonts w:eastAsia="DengXian"/>
          <w:lang w:eastAsia="zh-CN"/>
        </w:rPr>
        <w:t xml:space="preserve"> (see </w:t>
      </w:r>
      <w:r w:rsidR="00E917C7">
        <w:rPr>
          <w:rFonts w:eastAsia="DengXian"/>
          <w:lang w:eastAsia="zh-CN"/>
        </w:rPr>
        <w:t>Exhibit 2</w:t>
      </w:r>
      <w:r w:rsidR="00DD6384">
        <w:rPr>
          <w:rFonts w:eastAsia="DengXian"/>
          <w:lang w:eastAsia="zh-CN"/>
        </w:rPr>
        <w:t>)</w:t>
      </w:r>
      <w:r w:rsidRPr="00C70F23">
        <w:rPr>
          <w:rFonts w:eastAsia="DengXian"/>
          <w:lang w:eastAsia="zh-CN"/>
        </w:rPr>
        <w:t xml:space="preserve">. </w:t>
      </w:r>
    </w:p>
    <w:p w14:paraId="0C84148B" w14:textId="77777777" w:rsidR="0045624B" w:rsidRPr="00C70F23" w:rsidRDefault="0045624B" w:rsidP="00A0299B">
      <w:pPr>
        <w:pStyle w:val="BodyTextMain"/>
        <w:rPr>
          <w:rFonts w:eastAsia="DengXian"/>
          <w:lang w:eastAsia="zh-CN"/>
        </w:rPr>
      </w:pPr>
    </w:p>
    <w:p w14:paraId="4214D2DE" w14:textId="0CC3BFF6" w:rsidR="0045624B" w:rsidRPr="00C70F23" w:rsidRDefault="004C5C4C" w:rsidP="00A0299B">
      <w:pPr>
        <w:pStyle w:val="BodyTextMain"/>
        <w:rPr>
          <w:rFonts w:eastAsia="DengXian"/>
          <w:lang w:eastAsia="zh-CN"/>
        </w:rPr>
      </w:pPr>
      <w:proofErr w:type="spellStart"/>
      <w:r>
        <w:rPr>
          <w:rFonts w:eastAsia="DengXian"/>
          <w:lang w:eastAsia="zh-CN"/>
        </w:rPr>
        <w:t>Ang</w:t>
      </w:r>
      <w:proofErr w:type="spellEnd"/>
      <w:r w:rsidR="0045624B" w:rsidRPr="00C70F23">
        <w:rPr>
          <w:rFonts w:eastAsia="DengXian"/>
          <w:lang w:eastAsia="zh-CN"/>
        </w:rPr>
        <w:t xml:space="preserve"> reflected on how </w:t>
      </w:r>
      <w:proofErr w:type="spellStart"/>
      <w:r w:rsidR="0045624B" w:rsidRPr="00C70F23">
        <w:rPr>
          <w:rFonts w:eastAsia="DengXian"/>
          <w:lang w:eastAsia="zh-CN"/>
        </w:rPr>
        <w:t>Samsui’s</w:t>
      </w:r>
      <w:proofErr w:type="spellEnd"/>
      <w:r w:rsidR="0045624B" w:rsidRPr="00C70F23">
        <w:rPr>
          <w:rFonts w:eastAsia="DengXian"/>
          <w:lang w:eastAsia="zh-CN"/>
        </w:rPr>
        <w:t xml:space="preserve"> focus on doing </w:t>
      </w:r>
      <w:proofErr w:type="gramStart"/>
      <w:r w:rsidR="0045624B" w:rsidRPr="00C70F23">
        <w:rPr>
          <w:rFonts w:eastAsia="DengXian"/>
          <w:lang w:eastAsia="zh-CN"/>
        </w:rPr>
        <w:t>good</w:t>
      </w:r>
      <w:proofErr w:type="gramEnd"/>
      <w:r w:rsidR="0045624B" w:rsidRPr="00C70F23">
        <w:rPr>
          <w:rFonts w:eastAsia="DengXian"/>
          <w:lang w:eastAsia="zh-CN"/>
        </w:rPr>
        <w:t xml:space="preserve"> had been incorporated throughout the company’s business processes. During the recruitment process for new employees, personal qualities such as integrity and willingness to do good for the community were highly sought. </w:t>
      </w:r>
      <w:proofErr w:type="spellStart"/>
      <w:r w:rsidR="0045624B" w:rsidRPr="00C70F23">
        <w:rPr>
          <w:rFonts w:eastAsia="DengXian"/>
          <w:lang w:eastAsia="zh-CN"/>
        </w:rPr>
        <w:t>Samsui</w:t>
      </w:r>
      <w:proofErr w:type="spellEnd"/>
      <w:r w:rsidR="0045624B" w:rsidRPr="00C70F23">
        <w:rPr>
          <w:rFonts w:eastAsia="DengXian"/>
          <w:lang w:eastAsia="zh-CN"/>
        </w:rPr>
        <w:t xml:space="preserve"> selected its employees for CSR initiatives based on the</w:t>
      </w:r>
      <w:r w:rsidR="00110C73">
        <w:rPr>
          <w:rFonts w:eastAsia="DengXian"/>
          <w:lang w:eastAsia="zh-CN"/>
        </w:rPr>
        <w:t xml:space="preserve"> employees’</w:t>
      </w:r>
      <w:r w:rsidR="0045624B" w:rsidRPr="00C70F23">
        <w:rPr>
          <w:rFonts w:eastAsia="DengXian"/>
          <w:lang w:eastAsia="zh-CN"/>
        </w:rPr>
        <w:t xml:space="preserve"> strengths and interests</w:t>
      </w:r>
      <w:r w:rsidR="005F4ECA" w:rsidRPr="00C70F23">
        <w:rPr>
          <w:rFonts w:eastAsia="DengXian"/>
          <w:lang w:eastAsia="zh-CN"/>
        </w:rPr>
        <w:t>. The</w:t>
      </w:r>
      <w:r w:rsidR="0045624B" w:rsidRPr="00C70F23">
        <w:rPr>
          <w:rFonts w:eastAsia="DengXian"/>
          <w:lang w:eastAsia="zh-CN"/>
        </w:rPr>
        <w:t xml:space="preserve"> employees </w:t>
      </w:r>
      <w:r w:rsidR="005F4ECA" w:rsidRPr="00C70F23">
        <w:rPr>
          <w:rFonts w:eastAsia="DengXian"/>
          <w:lang w:eastAsia="zh-CN"/>
        </w:rPr>
        <w:t>were also rotated among</w:t>
      </w:r>
      <w:r w:rsidR="0045624B" w:rsidRPr="00C70F23">
        <w:rPr>
          <w:rFonts w:eastAsia="DengXian"/>
          <w:lang w:eastAsia="zh-CN"/>
        </w:rPr>
        <w:t xml:space="preserve"> the various CSR activities to increase their exposure to varied experiences. </w:t>
      </w:r>
      <w:proofErr w:type="spellStart"/>
      <w:r>
        <w:rPr>
          <w:rFonts w:eastAsia="DengXian"/>
          <w:lang w:eastAsia="zh-CN"/>
        </w:rPr>
        <w:t>Ang</w:t>
      </w:r>
      <w:proofErr w:type="spellEnd"/>
      <w:r w:rsidR="0045624B" w:rsidRPr="00C70F23">
        <w:rPr>
          <w:rFonts w:eastAsia="DengXian"/>
          <w:lang w:eastAsia="zh-CN"/>
        </w:rPr>
        <w:t xml:space="preserve"> was </w:t>
      </w:r>
      <w:r w:rsidR="005F4ECA" w:rsidRPr="00C70F23">
        <w:rPr>
          <w:rFonts w:eastAsia="DengXian"/>
          <w:lang w:eastAsia="zh-CN"/>
        </w:rPr>
        <w:t xml:space="preserve">thus </w:t>
      </w:r>
      <w:r w:rsidR="0045624B" w:rsidRPr="00C70F23">
        <w:rPr>
          <w:rFonts w:eastAsia="DengXian"/>
          <w:lang w:eastAsia="zh-CN"/>
        </w:rPr>
        <w:t xml:space="preserve">able to build a culture of strong employee participation and volunteerism. Lee Chee Hua, a chef participating in </w:t>
      </w:r>
      <w:r w:rsidR="005C1ABD">
        <w:rPr>
          <w:rFonts w:eastAsia="DengXian"/>
          <w:lang w:eastAsia="zh-CN"/>
        </w:rPr>
        <w:t>a</w:t>
      </w:r>
      <w:r w:rsidR="0045624B" w:rsidRPr="00C70F23">
        <w:rPr>
          <w:rFonts w:eastAsia="DengXian"/>
          <w:lang w:eastAsia="zh-CN"/>
        </w:rPr>
        <w:t xml:space="preserve"> </w:t>
      </w:r>
      <w:r w:rsidR="006674FB">
        <w:rPr>
          <w:rFonts w:eastAsia="DengXian"/>
          <w:lang w:eastAsia="zh-CN"/>
        </w:rPr>
        <w:t>CSR</w:t>
      </w:r>
      <w:r w:rsidR="005C1ABD">
        <w:rPr>
          <w:rFonts w:eastAsia="DengXian"/>
          <w:lang w:eastAsia="zh-CN"/>
        </w:rPr>
        <w:t xml:space="preserve"> </w:t>
      </w:r>
      <w:r w:rsidR="0045624B" w:rsidRPr="00C70F23">
        <w:rPr>
          <w:rFonts w:eastAsia="DengXian"/>
          <w:lang w:eastAsia="zh-CN"/>
        </w:rPr>
        <w:t>program to cook meals for the beneficiaries</w:t>
      </w:r>
      <w:r w:rsidR="005F4ECA" w:rsidRPr="00C70F23">
        <w:rPr>
          <w:rFonts w:eastAsia="DengXian"/>
          <w:lang w:eastAsia="zh-CN"/>
        </w:rPr>
        <w:t>,</w:t>
      </w:r>
      <w:r w:rsidR="0045624B" w:rsidRPr="00C70F23">
        <w:rPr>
          <w:rFonts w:eastAsia="DengXian"/>
          <w:lang w:eastAsia="zh-CN"/>
        </w:rPr>
        <w:t xml:space="preserve"> shared his thoughts</w:t>
      </w:r>
      <w:r w:rsidR="005F4ECA" w:rsidRPr="00C70F23">
        <w:rPr>
          <w:rFonts w:eastAsia="DengXian"/>
          <w:lang w:eastAsia="zh-CN"/>
        </w:rPr>
        <w:t>:</w:t>
      </w:r>
      <w:r w:rsidR="0045624B" w:rsidRPr="00C70F23">
        <w:rPr>
          <w:rFonts w:eastAsia="DengXian"/>
          <w:lang w:eastAsia="zh-CN"/>
        </w:rPr>
        <w:t xml:space="preserve"> “When I participated in the programme, I reali</w:t>
      </w:r>
      <w:r w:rsidR="005F4ECA" w:rsidRPr="00C70F23">
        <w:rPr>
          <w:rFonts w:eastAsia="DengXian"/>
          <w:lang w:eastAsia="zh-CN"/>
        </w:rPr>
        <w:t>z</w:t>
      </w:r>
      <w:r w:rsidR="0045624B" w:rsidRPr="00C70F23">
        <w:rPr>
          <w:rFonts w:eastAsia="DengXian"/>
          <w:lang w:eastAsia="zh-CN"/>
        </w:rPr>
        <w:t>ed that ageing is a path that most people have to go through. Seeing the joy on the faces of the people we serve brings much satisfaction to me.”</w:t>
      </w:r>
      <w:bookmarkStart w:id="13" w:name="_Toc525155083"/>
      <w:bookmarkStart w:id="14" w:name="_Toc526190982"/>
    </w:p>
    <w:bookmarkEnd w:id="13"/>
    <w:bookmarkEnd w:id="14"/>
    <w:p w14:paraId="33EA553B" w14:textId="77777777" w:rsidR="0045624B" w:rsidRPr="00C70F23" w:rsidRDefault="0045624B" w:rsidP="00A0299B">
      <w:pPr>
        <w:pStyle w:val="BodyTextMain"/>
        <w:rPr>
          <w:rFonts w:eastAsia="DengXian"/>
          <w:lang w:eastAsia="zh-CN"/>
        </w:rPr>
      </w:pPr>
    </w:p>
    <w:p w14:paraId="26CD69EF" w14:textId="154DDDC5" w:rsidR="0045624B" w:rsidRPr="00C70F23" w:rsidRDefault="00975119" w:rsidP="00A0299B">
      <w:pPr>
        <w:pStyle w:val="BodyTextMain"/>
        <w:rPr>
          <w:rFonts w:eastAsia="DengXian"/>
          <w:lang w:eastAsia="zh-CN"/>
        </w:rPr>
      </w:pPr>
      <w:r>
        <w:rPr>
          <w:rFonts w:eastAsia="DengXian"/>
          <w:lang w:eastAsia="zh-CN"/>
        </w:rPr>
        <w:t xml:space="preserve">The learning experience from </w:t>
      </w:r>
      <w:r w:rsidR="002473F0">
        <w:rPr>
          <w:rFonts w:eastAsia="DengXian"/>
          <w:lang w:eastAsia="zh-CN"/>
        </w:rPr>
        <w:t>p</w:t>
      </w:r>
      <w:r w:rsidR="0045624B" w:rsidRPr="00C70F23">
        <w:rPr>
          <w:rFonts w:eastAsia="DengXian"/>
          <w:lang w:eastAsia="zh-CN"/>
        </w:rPr>
        <w:t xml:space="preserve">artnering with NVPC also prompted </w:t>
      </w:r>
      <w:proofErr w:type="spellStart"/>
      <w:r w:rsidR="004C5C4C">
        <w:rPr>
          <w:rFonts w:eastAsia="DengXian"/>
          <w:lang w:eastAsia="zh-CN"/>
        </w:rPr>
        <w:t>Ang</w:t>
      </w:r>
      <w:proofErr w:type="spellEnd"/>
      <w:r w:rsidR="0045624B" w:rsidRPr="00C70F23">
        <w:rPr>
          <w:rFonts w:eastAsia="DengXian"/>
          <w:lang w:eastAsia="zh-CN"/>
        </w:rPr>
        <w:t xml:space="preserve"> to consider whether </w:t>
      </w:r>
      <w:proofErr w:type="spellStart"/>
      <w:r w:rsidR="0045624B" w:rsidRPr="00C70F23">
        <w:rPr>
          <w:rFonts w:eastAsia="DengXian"/>
          <w:lang w:eastAsia="zh-CN"/>
        </w:rPr>
        <w:t>Samsui</w:t>
      </w:r>
      <w:proofErr w:type="spellEnd"/>
      <w:r w:rsidR="0045624B" w:rsidRPr="00C70F23">
        <w:rPr>
          <w:rFonts w:eastAsia="DengXian"/>
          <w:lang w:eastAsia="zh-CN"/>
        </w:rPr>
        <w:t xml:space="preserve"> should use the </w:t>
      </w:r>
      <w:r w:rsidR="005D3959">
        <w:rPr>
          <w:rFonts w:eastAsia="DengXian"/>
          <w:lang w:eastAsia="zh-CN"/>
        </w:rPr>
        <w:t>F</w:t>
      </w:r>
      <w:r w:rsidR="005F4ECA" w:rsidRPr="00C70F23">
        <w:rPr>
          <w:rFonts w:eastAsia="DengXian"/>
          <w:lang w:eastAsia="zh-CN"/>
        </w:rPr>
        <w:t>our</w:t>
      </w:r>
      <w:r w:rsidR="0045624B" w:rsidRPr="00C70F23">
        <w:rPr>
          <w:rFonts w:eastAsia="DengXian"/>
          <w:lang w:eastAsia="zh-CN"/>
        </w:rPr>
        <w:t xml:space="preserve"> I</w:t>
      </w:r>
      <w:r w:rsidR="005D3959">
        <w:rPr>
          <w:rFonts w:eastAsia="DengXian"/>
          <w:lang w:eastAsia="zh-CN"/>
        </w:rPr>
        <w:t>’</w:t>
      </w:r>
      <w:r w:rsidR="005F4ECA" w:rsidRPr="00C70F23">
        <w:rPr>
          <w:rFonts w:eastAsia="DengXian"/>
          <w:lang w:eastAsia="zh-CN"/>
        </w:rPr>
        <w:t>s</w:t>
      </w:r>
      <w:r w:rsidR="0045624B" w:rsidRPr="00C70F23">
        <w:rPr>
          <w:rFonts w:eastAsia="DengXian"/>
          <w:lang w:eastAsia="zh-CN"/>
        </w:rPr>
        <w:t xml:space="preserve"> framework to benchmark its performance and achievements. </w:t>
      </w:r>
      <w:proofErr w:type="spellStart"/>
      <w:r w:rsidR="004C5C4C">
        <w:rPr>
          <w:rFonts w:eastAsia="DengXian"/>
          <w:lang w:eastAsia="zh-CN"/>
        </w:rPr>
        <w:t>Ang</w:t>
      </w:r>
      <w:proofErr w:type="spellEnd"/>
      <w:r w:rsidR="0045624B" w:rsidRPr="00C70F23">
        <w:rPr>
          <w:rFonts w:eastAsia="DengXian"/>
          <w:lang w:eastAsia="zh-CN"/>
        </w:rPr>
        <w:t xml:space="preserve"> felt that the impact </w:t>
      </w:r>
      <w:r w:rsidR="005F4ECA" w:rsidRPr="00C70F23">
        <w:rPr>
          <w:rFonts w:eastAsia="DengXian"/>
          <w:lang w:eastAsia="zh-CN"/>
        </w:rPr>
        <w:t>of</w:t>
      </w:r>
      <w:r w:rsidR="0045624B" w:rsidRPr="00C70F23">
        <w:rPr>
          <w:rFonts w:eastAsia="DengXian"/>
          <w:lang w:eastAsia="zh-CN"/>
        </w:rPr>
        <w:t xml:space="preserve"> the </w:t>
      </w:r>
      <w:r w:rsidR="005F4ECA" w:rsidRPr="00C70F23">
        <w:rPr>
          <w:rFonts w:eastAsia="DengXian"/>
          <w:lang w:eastAsia="zh-CN"/>
        </w:rPr>
        <w:t xml:space="preserve">model </w:t>
      </w:r>
      <w:r w:rsidR="0045624B" w:rsidRPr="00C70F23">
        <w:rPr>
          <w:rFonts w:eastAsia="DengXian"/>
          <w:lang w:eastAsia="zh-CN"/>
        </w:rPr>
        <w:t xml:space="preserve">could be further enhanced. </w:t>
      </w:r>
      <w:r w:rsidR="00942FAD" w:rsidRPr="00C70F23">
        <w:rPr>
          <w:rFonts w:eastAsia="DengXian"/>
          <w:lang w:eastAsia="zh-CN"/>
        </w:rPr>
        <w:t xml:space="preserve">Knowing that </w:t>
      </w:r>
      <w:proofErr w:type="spellStart"/>
      <w:r w:rsidR="0045624B" w:rsidRPr="00C70F23">
        <w:rPr>
          <w:rFonts w:eastAsia="DengXian"/>
          <w:lang w:eastAsia="zh-CN"/>
        </w:rPr>
        <w:t>Samsui</w:t>
      </w:r>
      <w:proofErr w:type="spellEnd"/>
      <w:r w:rsidR="00402AC9" w:rsidRPr="00C70F23">
        <w:rPr>
          <w:rFonts w:eastAsia="DengXian"/>
          <w:lang w:eastAsia="zh-CN"/>
        </w:rPr>
        <w:t xml:space="preserve"> as a</w:t>
      </w:r>
      <w:r w:rsidR="00195EE0" w:rsidRPr="00C70F23">
        <w:rPr>
          <w:rFonts w:eastAsia="DengXian"/>
          <w:lang w:eastAsia="zh-CN"/>
        </w:rPr>
        <w:t xml:space="preserve"> </w:t>
      </w:r>
      <w:r w:rsidR="005F4ECA" w:rsidRPr="00C70F23">
        <w:rPr>
          <w:rFonts w:eastAsia="DengXian"/>
          <w:lang w:eastAsia="zh-CN"/>
        </w:rPr>
        <w:t>small-to-medium</w:t>
      </w:r>
      <w:r w:rsidR="0045624B" w:rsidRPr="00C70F23">
        <w:rPr>
          <w:rFonts w:eastAsia="DengXian"/>
          <w:lang w:eastAsia="zh-CN"/>
        </w:rPr>
        <w:t xml:space="preserve"> </w:t>
      </w:r>
      <w:r w:rsidR="005F4ECA" w:rsidRPr="00C70F23">
        <w:rPr>
          <w:rFonts w:eastAsia="DengXian"/>
          <w:lang w:eastAsia="zh-CN"/>
        </w:rPr>
        <w:t>enterprise</w:t>
      </w:r>
      <w:r w:rsidR="00DD6384">
        <w:rPr>
          <w:rFonts w:eastAsia="DengXian"/>
          <w:lang w:eastAsia="zh-CN"/>
        </w:rPr>
        <w:t xml:space="preserve"> had</w:t>
      </w:r>
      <w:r w:rsidR="005F4ECA" w:rsidRPr="00C70F23">
        <w:rPr>
          <w:rFonts w:eastAsia="DengXian"/>
          <w:lang w:eastAsia="zh-CN"/>
        </w:rPr>
        <w:t xml:space="preserve"> </w:t>
      </w:r>
      <w:r w:rsidR="0045624B" w:rsidRPr="00C70F23">
        <w:rPr>
          <w:rFonts w:eastAsia="DengXian"/>
          <w:lang w:eastAsia="zh-CN"/>
        </w:rPr>
        <w:t>limited</w:t>
      </w:r>
      <w:r w:rsidR="005F4ECA" w:rsidRPr="00C70F23">
        <w:rPr>
          <w:rFonts w:eastAsia="DengXian"/>
          <w:lang w:eastAsia="zh-CN"/>
        </w:rPr>
        <w:t xml:space="preserve"> </w:t>
      </w:r>
      <w:r w:rsidR="0045624B" w:rsidRPr="00C70F23">
        <w:rPr>
          <w:rFonts w:eastAsia="DengXian"/>
          <w:lang w:eastAsia="zh-CN"/>
        </w:rPr>
        <w:t xml:space="preserve">resources, </w:t>
      </w:r>
      <w:r w:rsidR="00942FAD" w:rsidRPr="00C70F23">
        <w:rPr>
          <w:rFonts w:eastAsia="DengXian"/>
          <w:lang w:eastAsia="zh-CN"/>
        </w:rPr>
        <w:t>it was</w:t>
      </w:r>
      <w:r w:rsidR="0045624B" w:rsidRPr="00C70F23">
        <w:rPr>
          <w:rFonts w:eastAsia="DengXian"/>
          <w:lang w:eastAsia="zh-CN"/>
        </w:rPr>
        <w:t xml:space="preserve"> importan</w:t>
      </w:r>
      <w:r w:rsidR="00942FAD" w:rsidRPr="00C70F23">
        <w:rPr>
          <w:rFonts w:eastAsia="DengXian"/>
          <w:lang w:eastAsia="zh-CN"/>
        </w:rPr>
        <w:t>t to</w:t>
      </w:r>
      <w:r w:rsidR="0045624B" w:rsidRPr="00C70F23">
        <w:rPr>
          <w:rFonts w:eastAsia="DengXian"/>
          <w:lang w:eastAsia="zh-CN"/>
        </w:rPr>
        <w:t xml:space="preserve"> avoid initiatives that were well-meaning but not profitable. </w:t>
      </w:r>
      <w:r w:rsidR="005F4ECA" w:rsidRPr="00C70F23">
        <w:rPr>
          <w:rFonts w:eastAsia="DengXian"/>
          <w:lang w:eastAsia="zh-CN"/>
        </w:rPr>
        <w:t>Therefore</w:t>
      </w:r>
      <w:r w:rsidR="0045624B" w:rsidRPr="00C70F23">
        <w:rPr>
          <w:rFonts w:eastAsia="DengXian"/>
          <w:lang w:eastAsia="zh-CN"/>
        </w:rPr>
        <w:t xml:space="preserve">, </w:t>
      </w:r>
      <w:proofErr w:type="spellStart"/>
      <w:r w:rsidR="004C5C4C">
        <w:rPr>
          <w:rFonts w:eastAsia="DengXian"/>
          <w:lang w:eastAsia="zh-CN"/>
        </w:rPr>
        <w:t>Ang</w:t>
      </w:r>
      <w:proofErr w:type="spellEnd"/>
      <w:r w:rsidR="0045624B" w:rsidRPr="00C70F23">
        <w:rPr>
          <w:rFonts w:eastAsia="DengXian"/>
          <w:lang w:eastAsia="zh-CN"/>
        </w:rPr>
        <w:t xml:space="preserve"> </w:t>
      </w:r>
      <w:r w:rsidR="00DE34F8">
        <w:rPr>
          <w:rFonts w:eastAsia="DengXian"/>
          <w:lang w:eastAsia="zh-CN"/>
        </w:rPr>
        <w:t xml:space="preserve">needed to </w:t>
      </w:r>
      <w:r w:rsidR="0045624B" w:rsidRPr="00C70F23">
        <w:rPr>
          <w:rFonts w:eastAsia="DengXian"/>
          <w:lang w:eastAsia="zh-CN"/>
        </w:rPr>
        <w:t>conduct a</w:t>
      </w:r>
      <w:r w:rsidR="00DE34F8">
        <w:rPr>
          <w:rFonts w:eastAsia="DengXian"/>
          <w:lang w:eastAsia="zh-CN"/>
        </w:rPr>
        <w:t xml:space="preserve"> more </w:t>
      </w:r>
      <w:r w:rsidR="0045624B" w:rsidRPr="00C70F23">
        <w:rPr>
          <w:rFonts w:eastAsia="DengXian"/>
          <w:lang w:eastAsia="zh-CN"/>
        </w:rPr>
        <w:t>in-depth analysis</w:t>
      </w:r>
      <w:r w:rsidR="00942FAD" w:rsidRPr="00C70F23">
        <w:rPr>
          <w:rFonts w:eastAsia="DengXian"/>
          <w:lang w:eastAsia="zh-CN"/>
        </w:rPr>
        <w:t xml:space="preserve">. </w:t>
      </w:r>
      <w:r w:rsidR="00DE34F8">
        <w:rPr>
          <w:rFonts w:eastAsia="DengXian"/>
          <w:lang w:eastAsia="zh-CN"/>
        </w:rPr>
        <w:t xml:space="preserve">He needed to </w:t>
      </w:r>
      <w:r w:rsidR="00942FAD" w:rsidRPr="00C70F23">
        <w:rPr>
          <w:rFonts w:eastAsia="DengXian"/>
          <w:lang w:eastAsia="zh-CN"/>
        </w:rPr>
        <w:t>find</w:t>
      </w:r>
      <w:r w:rsidR="0045624B" w:rsidRPr="00C70F23">
        <w:rPr>
          <w:rFonts w:eastAsia="DengXian"/>
          <w:lang w:eastAsia="zh-CN"/>
        </w:rPr>
        <w:t xml:space="preserve"> options </w:t>
      </w:r>
      <w:r w:rsidR="00942FAD" w:rsidRPr="00C70F23">
        <w:rPr>
          <w:rFonts w:eastAsia="DengXian"/>
          <w:lang w:eastAsia="zh-CN"/>
        </w:rPr>
        <w:t>for</w:t>
      </w:r>
      <w:r w:rsidR="0045624B" w:rsidRPr="00C70F23">
        <w:rPr>
          <w:rFonts w:eastAsia="DengXian"/>
          <w:lang w:eastAsia="zh-CN"/>
        </w:rPr>
        <w:t xml:space="preserve"> evaluat</w:t>
      </w:r>
      <w:r w:rsidR="00942FAD" w:rsidRPr="00C70F23">
        <w:rPr>
          <w:rFonts w:eastAsia="DengXian"/>
          <w:lang w:eastAsia="zh-CN"/>
        </w:rPr>
        <w:t>ing</w:t>
      </w:r>
      <w:r w:rsidR="0045624B" w:rsidRPr="00C70F23">
        <w:rPr>
          <w:rFonts w:eastAsia="DengXian"/>
          <w:lang w:eastAsia="zh-CN"/>
        </w:rPr>
        <w:t xml:space="preserve"> the SCK project</w:t>
      </w:r>
      <w:r w:rsidR="00942FAD" w:rsidRPr="00C70F23">
        <w:rPr>
          <w:rFonts w:eastAsia="DengXian"/>
          <w:lang w:eastAsia="zh-CN"/>
        </w:rPr>
        <w:t>’s impact</w:t>
      </w:r>
      <w:r w:rsidR="0045624B" w:rsidRPr="00C70F23">
        <w:rPr>
          <w:rFonts w:eastAsia="DengXian"/>
          <w:lang w:eastAsia="zh-CN"/>
        </w:rPr>
        <w:t xml:space="preserve"> in a more formal and rigorous manner. Measuring impact quantitatively w</w:t>
      </w:r>
      <w:r w:rsidR="00942FAD" w:rsidRPr="00C70F23">
        <w:rPr>
          <w:rFonts w:eastAsia="DengXian"/>
          <w:lang w:eastAsia="zh-CN"/>
        </w:rPr>
        <w:t>as</w:t>
      </w:r>
      <w:r w:rsidR="0045624B" w:rsidRPr="00C70F23">
        <w:rPr>
          <w:rFonts w:eastAsia="DengXian"/>
          <w:lang w:eastAsia="zh-CN"/>
        </w:rPr>
        <w:t xml:space="preserve"> important </w:t>
      </w:r>
      <w:r w:rsidR="00942FAD" w:rsidRPr="00C70F23">
        <w:rPr>
          <w:rFonts w:eastAsia="DengXian"/>
          <w:lang w:eastAsia="zh-CN"/>
        </w:rPr>
        <w:t>to ensure</w:t>
      </w:r>
      <w:r w:rsidR="0045624B" w:rsidRPr="00C70F23">
        <w:rPr>
          <w:rFonts w:eastAsia="DengXian"/>
          <w:lang w:eastAsia="zh-CN"/>
        </w:rPr>
        <w:t xml:space="preserve"> buy-in from key stakeholders, including </w:t>
      </w:r>
      <w:proofErr w:type="spellStart"/>
      <w:r w:rsidR="0045624B" w:rsidRPr="00C70F23">
        <w:rPr>
          <w:rFonts w:eastAsia="DengXian"/>
          <w:lang w:eastAsia="zh-CN"/>
        </w:rPr>
        <w:t>Samsui’s</w:t>
      </w:r>
      <w:proofErr w:type="spellEnd"/>
      <w:r w:rsidR="0045624B" w:rsidRPr="00C70F23">
        <w:rPr>
          <w:rFonts w:eastAsia="DengXian"/>
          <w:lang w:eastAsia="zh-CN"/>
        </w:rPr>
        <w:t xml:space="preserve"> employees, management</w:t>
      </w:r>
      <w:r w:rsidR="00942FAD" w:rsidRPr="00C70F23">
        <w:rPr>
          <w:rFonts w:eastAsia="DengXian"/>
          <w:lang w:eastAsia="zh-CN"/>
        </w:rPr>
        <w:t>,</w:t>
      </w:r>
      <w:r w:rsidR="0045624B" w:rsidRPr="00C70F23">
        <w:rPr>
          <w:rFonts w:eastAsia="DengXian"/>
          <w:lang w:eastAsia="zh-CN"/>
        </w:rPr>
        <w:t xml:space="preserve"> and shareholders.</w:t>
      </w:r>
    </w:p>
    <w:p w14:paraId="3165B1EB" w14:textId="35067F46" w:rsidR="0045624B" w:rsidRPr="00C70F23" w:rsidRDefault="0045624B" w:rsidP="00A0299B">
      <w:pPr>
        <w:pStyle w:val="BodyTextMain"/>
        <w:rPr>
          <w:rFonts w:eastAsia="DengXian"/>
          <w:lang w:eastAsia="zh-CN"/>
        </w:rPr>
      </w:pPr>
    </w:p>
    <w:p w14:paraId="554D82CF" w14:textId="77777777" w:rsidR="0045624B" w:rsidRPr="00C70F23" w:rsidRDefault="0045624B" w:rsidP="00A0299B">
      <w:pPr>
        <w:pStyle w:val="BodyTextMain"/>
        <w:rPr>
          <w:rFonts w:eastAsia="DengXian"/>
          <w:lang w:eastAsia="zh-CN"/>
        </w:rPr>
      </w:pPr>
    </w:p>
    <w:p w14:paraId="256751C6" w14:textId="79DD243A" w:rsidR="0045624B" w:rsidRPr="00F5488C" w:rsidRDefault="0045624B" w:rsidP="0045624B">
      <w:pPr>
        <w:pStyle w:val="Casehead1"/>
        <w:rPr>
          <w:rFonts w:eastAsia="DengXian"/>
          <w:spacing w:val="-2"/>
          <w:lang w:eastAsia="zh-CN"/>
        </w:rPr>
      </w:pPr>
      <w:r w:rsidRPr="00F5488C">
        <w:rPr>
          <w:rFonts w:eastAsia="DengXian"/>
          <w:spacing w:val="-2"/>
          <w:lang w:eastAsia="zh-CN"/>
        </w:rPr>
        <w:t>SOCIAL RETURN ON INVESTMENT</w:t>
      </w:r>
    </w:p>
    <w:p w14:paraId="07B8E4C3" w14:textId="77777777" w:rsidR="0045624B" w:rsidRPr="00A001AB" w:rsidRDefault="0045624B" w:rsidP="000E15FE">
      <w:pPr>
        <w:pStyle w:val="BodyTextMain"/>
        <w:rPr>
          <w:rFonts w:eastAsia="DengXian"/>
        </w:rPr>
      </w:pPr>
    </w:p>
    <w:p w14:paraId="5B2CB96C" w14:textId="4F327887" w:rsidR="0045624B" w:rsidRPr="00F5488C" w:rsidRDefault="00942FAD">
      <w:pPr>
        <w:pStyle w:val="BodyTextMain"/>
        <w:rPr>
          <w:rFonts w:eastAsia="DengXian"/>
          <w:b/>
          <w:lang w:eastAsia="zh-CN"/>
        </w:rPr>
      </w:pPr>
      <w:r w:rsidRPr="00A001AB">
        <w:rPr>
          <w:rFonts w:eastAsia="DengXian"/>
        </w:rPr>
        <w:t xml:space="preserve">By </w:t>
      </w:r>
      <w:r w:rsidR="0045624B" w:rsidRPr="00A001AB">
        <w:rPr>
          <w:rFonts w:eastAsia="DengXian"/>
        </w:rPr>
        <w:t>reviewing existing literature</w:t>
      </w:r>
      <w:r w:rsidRPr="00A001AB">
        <w:rPr>
          <w:rFonts w:eastAsia="DengXian"/>
        </w:rPr>
        <w:t xml:space="preserve"> on the topic</w:t>
      </w:r>
      <w:r w:rsidR="0045624B" w:rsidRPr="00A001AB">
        <w:rPr>
          <w:rFonts w:eastAsia="DengXian"/>
        </w:rPr>
        <w:t xml:space="preserve">, </w:t>
      </w:r>
      <w:proofErr w:type="spellStart"/>
      <w:r w:rsidR="004C5C4C" w:rsidRPr="00A001AB">
        <w:rPr>
          <w:rFonts w:eastAsia="DengXian"/>
        </w:rPr>
        <w:t>Ang</w:t>
      </w:r>
      <w:proofErr w:type="spellEnd"/>
      <w:r w:rsidR="0045624B" w:rsidRPr="00A001AB">
        <w:rPr>
          <w:rFonts w:eastAsia="DengXian"/>
        </w:rPr>
        <w:t xml:space="preserve"> identified </w:t>
      </w:r>
      <w:r w:rsidRPr="00A001AB">
        <w:rPr>
          <w:rFonts w:eastAsia="DengXian"/>
        </w:rPr>
        <w:t>two key tools that</w:t>
      </w:r>
      <w:r w:rsidR="00192B78" w:rsidRPr="00A001AB">
        <w:rPr>
          <w:rFonts w:eastAsia="DengXian"/>
        </w:rPr>
        <w:t xml:space="preserve"> could be used effectively</w:t>
      </w:r>
      <w:r w:rsidR="007B7575">
        <w:rPr>
          <w:rFonts w:eastAsia="DengXian"/>
        </w:rPr>
        <w:t xml:space="preserve"> to evaluate the SCK project</w:t>
      </w:r>
      <w:r w:rsidR="00192B78" w:rsidRPr="00A001AB">
        <w:rPr>
          <w:rFonts w:eastAsia="DengXian"/>
        </w:rPr>
        <w:t xml:space="preserve">: </w:t>
      </w:r>
      <w:r w:rsidR="0045624B" w:rsidRPr="00A001AB">
        <w:rPr>
          <w:rFonts w:eastAsia="DengXian"/>
        </w:rPr>
        <w:t xml:space="preserve">the </w:t>
      </w:r>
      <w:r w:rsidR="00CA6A43" w:rsidRPr="00A001AB">
        <w:rPr>
          <w:rFonts w:eastAsia="DengXian"/>
        </w:rPr>
        <w:t>b</w:t>
      </w:r>
      <w:r w:rsidR="0045624B" w:rsidRPr="00A001AB">
        <w:rPr>
          <w:rFonts w:eastAsia="DengXian"/>
        </w:rPr>
        <w:t xml:space="preserve">alanced </w:t>
      </w:r>
      <w:r w:rsidR="00CA6A43" w:rsidRPr="00A001AB">
        <w:rPr>
          <w:rFonts w:eastAsia="DengXian"/>
        </w:rPr>
        <w:t>s</w:t>
      </w:r>
      <w:r w:rsidR="0045624B" w:rsidRPr="00A001AB">
        <w:rPr>
          <w:rFonts w:eastAsia="DengXian"/>
        </w:rPr>
        <w:t xml:space="preserve">corecard and </w:t>
      </w:r>
      <w:r w:rsidR="00CA6A43" w:rsidRPr="00A001AB">
        <w:rPr>
          <w:rFonts w:eastAsia="DengXian"/>
        </w:rPr>
        <w:t>s</w:t>
      </w:r>
      <w:r w:rsidR="0045624B" w:rsidRPr="00A001AB">
        <w:rPr>
          <w:rFonts w:eastAsia="DengXian"/>
        </w:rPr>
        <w:t xml:space="preserve">ocial </w:t>
      </w:r>
      <w:r w:rsidR="00CA6A43" w:rsidRPr="00A001AB">
        <w:rPr>
          <w:rFonts w:eastAsia="DengXian"/>
        </w:rPr>
        <w:t>r</w:t>
      </w:r>
      <w:r w:rsidR="0045624B" w:rsidRPr="00A001AB">
        <w:rPr>
          <w:rFonts w:eastAsia="DengXian"/>
        </w:rPr>
        <w:t xml:space="preserve">eturn on </w:t>
      </w:r>
      <w:r w:rsidR="00CA6A43" w:rsidRPr="00A001AB">
        <w:rPr>
          <w:rFonts w:eastAsia="DengXian"/>
        </w:rPr>
        <w:t>i</w:t>
      </w:r>
      <w:r w:rsidR="0045624B" w:rsidRPr="00A001AB">
        <w:rPr>
          <w:rFonts w:eastAsia="DengXian"/>
        </w:rPr>
        <w:t xml:space="preserve">nvestment (SROI). The </w:t>
      </w:r>
      <w:r w:rsidR="00CA6A43" w:rsidRPr="00A001AB">
        <w:rPr>
          <w:rFonts w:eastAsia="DengXian"/>
        </w:rPr>
        <w:t>b</w:t>
      </w:r>
      <w:r w:rsidR="0045624B" w:rsidRPr="00A001AB">
        <w:rPr>
          <w:rFonts w:eastAsia="DengXian"/>
        </w:rPr>
        <w:t xml:space="preserve">alanced </w:t>
      </w:r>
      <w:r w:rsidR="00CA6A43" w:rsidRPr="00A001AB">
        <w:rPr>
          <w:rFonts w:eastAsia="DengXian"/>
        </w:rPr>
        <w:t>s</w:t>
      </w:r>
      <w:r w:rsidR="0045624B" w:rsidRPr="00A001AB">
        <w:rPr>
          <w:rFonts w:eastAsia="DengXian"/>
        </w:rPr>
        <w:t xml:space="preserve">corecard </w:t>
      </w:r>
      <w:r w:rsidR="00192B78" w:rsidRPr="00A001AB">
        <w:rPr>
          <w:rFonts w:eastAsia="DengXian"/>
        </w:rPr>
        <w:t xml:space="preserve">could </w:t>
      </w:r>
      <w:r w:rsidR="0045624B" w:rsidRPr="00A001AB">
        <w:rPr>
          <w:rFonts w:eastAsia="DengXian"/>
        </w:rPr>
        <w:t xml:space="preserve">clearly highlight the program’s objectives and the steps </w:t>
      </w:r>
      <w:proofErr w:type="spellStart"/>
      <w:r w:rsidR="00192B78" w:rsidRPr="00A001AB">
        <w:rPr>
          <w:rFonts w:eastAsia="DengXian"/>
        </w:rPr>
        <w:t>Samsui</w:t>
      </w:r>
      <w:proofErr w:type="spellEnd"/>
      <w:r w:rsidR="00192B78" w:rsidRPr="00A001AB">
        <w:rPr>
          <w:rFonts w:eastAsia="DengXian"/>
        </w:rPr>
        <w:t xml:space="preserve"> </w:t>
      </w:r>
      <w:r w:rsidR="0045624B" w:rsidRPr="00A001AB">
        <w:rPr>
          <w:rFonts w:eastAsia="DengXian"/>
        </w:rPr>
        <w:t xml:space="preserve">needed to </w:t>
      </w:r>
      <w:r w:rsidR="00DD6384" w:rsidRPr="00A001AB">
        <w:rPr>
          <w:rFonts w:eastAsia="DengXian"/>
        </w:rPr>
        <w:t xml:space="preserve">take to </w:t>
      </w:r>
      <w:r w:rsidR="0045624B" w:rsidRPr="00A001AB">
        <w:rPr>
          <w:rFonts w:eastAsia="DengXian"/>
        </w:rPr>
        <w:t xml:space="preserve">meet those goals. However, the </w:t>
      </w:r>
      <w:r w:rsidR="00CA6A43" w:rsidRPr="00A001AB">
        <w:rPr>
          <w:rFonts w:eastAsia="DengXian"/>
        </w:rPr>
        <w:t>b</w:t>
      </w:r>
      <w:r w:rsidR="0045624B" w:rsidRPr="00A001AB">
        <w:rPr>
          <w:rFonts w:eastAsia="DengXian"/>
        </w:rPr>
        <w:t xml:space="preserve">alanced </w:t>
      </w:r>
      <w:r w:rsidR="00CA6A43" w:rsidRPr="00A001AB">
        <w:rPr>
          <w:rFonts w:eastAsia="DengXian"/>
        </w:rPr>
        <w:t>s</w:t>
      </w:r>
      <w:r w:rsidR="0045624B" w:rsidRPr="00A001AB">
        <w:rPr>
          <w:rFonts w:eastAsia="DengXian"/>
        </w:rPr>
        <w:t>corecard c</w:t>
      </w:r>
      <w:r w:rsidR="00192B78" w:rsidRPr="00A001AB">
        <w:rPr>
          <w:rFonts w:eastAsia="DengXian"/>
        </w:rPr>
        <w:t>ould</w:t>
      </w:r>
      <w:r w:rsidR="0045624B" w:rsidRPr="00A001AB">
        <w:rPr>
          <w:rFonts w:eastAsia="DengXian"/>
        </w:rPr>
        <w:t xml:space="preserve"> only provide a subjective form of measurement</w:t>
      </w:r>
      <w:r w:rsidR="00192B78" w:rsidRPr="00A001AB">
        <w:rPr>
          <w:rFonts w:eastAsia="DengXian"/>
        </w:rPr>
        <w:t>. It wa</w:t>
      </w:r>
      <w:r w:rsidR="0045624B" w:rsidRPr="00A001AB">
        <w:rPr>
          <w:rFonts w:eastAsia="DengXian"/>
        </w:rPr>
        <w:t>s unable to quantify figures such as social outcomes and impacts.</w:t>
      </w:r>
      <w:r w:rsidR="0045624B" w:rsidRPr="00370ECF">
        <w:rPr>
          <w:rStyle w:val="EndnoteReference"/>
          <w:rFonts w:eastAsia="DengXian"/>
        </w:rPr>
        <w:endnoteReference w:id="28"/>
      </w:r>
      <w:r w:rsidR="0045624B" w:rsidRPr="00F5488C">
        <w:rPr>
          <w:rFonts w:eastAsia="DengXian"/>
          <w:b/>
          <w:lang w:eastAsia="zh-CN"/>
        </w:rPr>
        <w:t xml:space="preserve"> </w:t>
      </w:r>
    </w:p>
    <w:p w14:paraId="5DD240FE" w14:textId="77777777" w:rsidR="0045624B" w:rsidRPr="00A001AB" w:rsidRDefault="0045624B">
      <w:pPr>
        <w:pStyle w:val="BodyTextMain"/>
      </w:pPr>
    </w:p>
    <w:p w14:paraId="66144B87" w14:textId="57D85E20" w:rsidR="0045624B" w:rsidRPr="00A001AB" w:rsidRDefault="0045624B">
      <w:pPr>
        <w:pStyle w:val="BodyTextMain"/>
        <w:rPr>
          <w:rFonts w:eastAsia="DengXian"/>
        </w:rPr>
      </w:pPr>
      <w:r w:rsidRPr="00A001AB">
        <w:rPr>
          <w:rFonts w:eastAsia="DengXian"/>
        </w:rPr>
        <w:t xml:space="preserve">In contrast, </w:t>
      </w:r>
      <w:r w:rsidR="00192B78" w:rsidRPr="00A001AB">
        <w:rPr>
          <w:rFonts w:eastAsia="DengXian"/>
        </w:rPr>
        <w:t xml:space="preserve">the </w:t>
      </w:r>
      <w:r w:rsidRPr="00A001AB">
        <w:rPr>
          <w:rFonts w:eastAsia="DengXian"/>
        </w:rPr>
        <w:t xml:space="preserve">SROI </w:t>
      </w:r>
      <w:r w:rsidR="00192B78" w:rsidRPr="00A001AB">
        <w:rPr>
          <w:rFonts w:eastAsia="DengXian"/>
        </w:rPr>
        <w:t>wa</w:t>
      </w:r>
      <w:r w:rsidRPr="00A001AB">
        <w:rPr>
          <w:rFonts w:eastAsia="DengXian"/>
        </w:rPr>
        <w:t xml:space="preserve">s an adaptation of the return on investment </w:t>
      </w:r>
      <w:r w:rsidR="00192B78" w:rsidRPr="00A001AB">
        <w:rPr>
          <w:rFonts w:eastAsia="DengXian"/>
        </w:rPr>
        <w:t>formula</w:t>
      </w:r>
      <w:r w:rsidRPr="00A001AB">
        <w:rPr>
          <w:rFonts w:eastAsia="DengXian"/>
        </w:rPr>
        <w:t xml:space="preserve"> used by traditional investors to assess a company’s success. </w:t>
      </w:r>
      <w:r w:rsidR="00192B78" w:rsidRPr="00A001AB">
        <w:rPr>
          <w:rFonts w:eastAsia="DengXian"/>
        </w:rPr>
        <w:t xml:space="preserve">The </w:t>
      </w:r>
      <w:r w:rsidRPr="00A001AB">
        <w:rPr>
          <w:rFonts w:eastAsia="DengXian"/>
        </w:rPr>
        <w:t xml:space="preserve">SROI framework </w:t>
      </w:r>
      <w:r w:rsidR="007836F3" w:rsidRPr="00A001AB">
        <w:rPr>
          <w:rFonts w:eastAsia="DengXian"/>
        </w:rPr>
        <w:t xml:space="preserve">could </w:t>
      </w:r>
      <w:r w:rsidRPr="00A001AB">
        <w:rPr>
          <w:rFonts w:eastAsia="DengXian"/>
        </w:rPr>
        <w:t>measur</w:t>
      </w:r>
      <w:r w:rsidR="007836F3" w:rsidRPr="00A001AB">
        <w:rPr>
          <w:rFonts w:eastAsia="DengXian"/>
        </w:rPr>
        <w:t>e</w:t>
      </w:r>
      <w:r w:rsidRPr="00A001AB">
        <w:rPr>
          <w:rFonts w:eastAsia="DengXian"/>
        </w:rPr>
        <w:t xml:space="preserve"> </w:t>
      </w:r>
      <w:r w:rsidR="00192B78" w:rsidRPr="00A001AB">
        <w:rPr>
          <w:rFonts w:eastAsia="DengXian"/>
        </w:rPr>
        <w:t>and</w:t>
      </w:r>
      <w:r w:rsidRPr="00A001AB">
        <w:rPr>
          <w:rFonts w:eastAsia="DengXian"/>
        </w:rPr>
        <w:t xml:space="preserve"> report a broad concept of value that extend</w:t>
      </w:r>
      <w:r w:rsidR="00192B78" w:rsidRPr="00A001AB">
        <w:rPr>
          <w:rFonts w:eastAsia="DengXian"/>
        </w:rPr>
        <w:t>ed</w:t>
      </w:r>
      <w:r w:rsidRPr="00A001AB">
        <w:rPr>
          <w:rFonts w:eastAsia="DengXian"/>
        </w:rPr>
        <w:t xml:space="preserve"> beyond financial terms and enable</w:t>
      </w:r>
      <w:r w:rsidR="00192B78" w:rsidRPr="00A001AB">
        <w:rPr>
          <w:rFonts w:eastAsia="DengXian"/>
        </w:rPr>
        <w:t>d</w:t>
      </w:r>
      <w:r w:rsidRPr="00A001AB">
        <w:rPr>
          <w:rFonts w:eastAsia="DengXian"/>
        </w:rPr>
        <w:t xml:space="preserve"> an organi</w:t>
      </w:r>
      <w:r w:rsidR="00192B78" w:rsidRPr="00A001AB">
        <w:rPr>
          <w:rFonts w:eastAsia="DengXian"/>
        </w:rPr>
        <w:t>z</w:t>
      </w:r>
      <w:r w:rsidRPr="00A001AB">
        <w:rPr>
          <w:rFonts w:eastAsia="DengXian"/>
        </w:rPr>
        <w:t xml:space="preserve">ation and its stakeholders to see a </w:t>
      </w:r>
      <w:r w:rsidR="007836F3" w:rsidRPr="00A001AB">
        <w:rPr>
          <w:rFonts w:eastAsia="DengXian"/>
        </w:rPr>
        <w:t>more complete</w:t>
      </w:r>
      <w:r w:rsidRPr="00A001AB">
        <w:rPr>
          <w:rFonts w:eastAsia="DengXian"/>
        </w:rPr>
        <w:t xml:space="preserve"> picture of the benefits from their investment of time, money</w:t>
      </w:r>
      <w:r w:rsidR="00192B78" w:rsidRPr="00A001AB">
        <w:rPr>
          <w:rFonts w:eastAsia="DengXian"/>
        </w:rPr>
        <w:t>,</w:t>
      </w:r>
      <w:r w:rsidRPr="00A001AB">
        <w:rPr>
          <w:rFonts w:eastAsia="DengXian"/>
        </w:rPr>
        <w:t xml:space="preserve"> and other resources. Mathematically, </w:t>
      </w:r>
      <w:r w:rsidR="00797405" w:rsidRPr="00A001AB">
        <w:rPr>
          <w:rFonts w:eastAsia="DengXian"/>
        </w:rPr>
        <w:t xml:space="preserve">the basic formula </w:t>
      </w:r>
      <w:r w:rsidR="007836F3" w:rsidRPr="00A001AB">
        <w:rPr>
          <w:rFonts w:eastAsia="DengXian"/>
        </w:rPr>
        <w:t xml:space="preserve">could be </w:t>
      </w:r>
      <w:r w:rsidR="00797405" w:rsidRPr="00A001AB">
        <w:rPr>
          <w:rFonts w:eastAsia="DengXian"/>
        </w:rPr>
        <w:t xml:space="preserve">expressed as follows: </w:t>
      </w:r>
      <w:r w:rsidRPr="00A001AB">
        <w:rPr>
          <w:rFonts w:eastAsia="DengXian"/>
        </w:rPr>
        <w:t xml:space="preserve">SROI = Present Value of </w:t>
      </w:r>
      <w:r w:rsidR="00797405" w:rsidRPr="00A001AB">
        <w:rPr>
          <w:rFonts w:eastAsia="DengXian"/>
        </w:rPr>
        <w:t>B</w:t>
      </w:r>
      <w:r w:rsidRPr="00A001AB">
        <w:rPr>
          <w:rFonts w:eastAsia="DengXian"/>
        </w:rPr>
        <w:t xml:space="preserve">enefits </w:t>
      </w:r>
      <w:r w:rsidR="00797405" w:rsidRPr="00A001AB">
        <w:rPr>
          <w:rFonts w:eastAsia="DengXian"/>
        </w:rPr>
        <w:t>÷</w:t>
      </w:r>
      <w:r w:rsidRPr="00A001AB">
        <w:rPr>
          <w:rFonts w:eastAsia="DengXian"/>
        </w:rPr>
        <w:t xml:space="preserve"> Present Value of </w:t>
      </w:r>
      <w:r w:rsidR="00797405" w:rsidRPr="00A001AB">
        <w:rPr>
          <w:rFonts w:eastAsia="DengXian"/>
        </w:rPr>
        <w:t>T</w:t>
      </w:r>
      <w:r w:rsidRPr="00A001AB">
        <w:rPr>
          <w:rFonts w:eastAsia="DengXian"/>
        </w:rPr>
        <w:t xml:space="preserve">otal </w:t>
      </w:r>
      <w:r w:rsidR="00797405" w:rsidRPr="00A001AB">
        <w:rPr>
          <w:rFonts w:eastAsia="DengXian"/>
        </w:rPr>
        <w:t>I</w:t>
      </w:r>
      <w:r w:rsidRPr="00A001AB">
        <w:rPr>
          <w:rFonts w:eastAsia="DengXian"/>
        </w:rPr>
        <w:t xml:space="preserve">nvestment. </w:t>
      </w:r>
    </w:p>
    <w:p w14:paraId="068D4A84" w14:textId="77777777" w:rsidR="00CA306E" w:rsidRPr="00A001AB" w:rsidRDefault="00CA306E">
      <w:pPr>
        <w:pStyle w:val="BodyTextMain"/>
        <w:rPr>
          <w:rFonts w:eastAsia="DengXian"/>
        </w:rPr>
      </w:pPr>
    </w:p>
    <w:p w14:paraId="7A1081E0" w14:textId="208D0D02" w:rsidR="0045624B" w:rsidRPr="00A001AB" w:rsidRDefault="004C5C4C">
      <w:pPr>
        <w:pStyle w:val="BodyTextMain"/>
        <w:rPr>
          <w:rFonts w:eastAsia="DengXian"/>
        </w:rPr>
      </w:pPr>
      <w:proofErr w:type="spellStart"/>
      <w:r w:rsidRPr="00A001AB">
        <w:rPr>
          <w:rFonts w:eastAsia="DengXian"/>
        </w:rPr>
        <w:t>Ang</w:t>
      </w:r>
      <w:proofErr w:type="spellEnd"/>
      <w:r w:rsidR="0045624B" w:rsidRPr="00A001AB">
        <w:rPr>
          <w:rFonts w:eastAsia="DengXian"/>
        </w:rPr>
        <w:t xml:space="preserve"> knew that he needed some concrete numbers to </w:t>
      </w:r>
      <w:r w:rsidR="00797405" w:rsidRPr="00A001AB">
        <w:rPr>
          <w:rFonts w:eastAsia="DengXian"/>
        </w:rPr>
        <w:t>gain</w:t>
      </w:r>
      <w:r w:rsidR="0045624B" w:rsidRPr="00A001AB">
        <w:rPr>
          <w:rFonts w:eastAsia="DengXian"/>
        </w:rPr>
        <w:t xml:space="preserve"> stakeholder</w:t>
      </w:r>
      <w:r w:rsidR="00797405" w:rsidRPr="00A001AB">
        <w:rPr>
          <w:rFonts w:eastAsia="DengXian"/>
        </w:rPr>
        <w:t xml:space="preserve"> support</w:t>
      </w:r>
      <w:r w:rsidR="0045624B" w:rsidRPr="00A001AB">
        <w:rPr>
          <w:rFonts w:eastAsia="DengXian"/>
        </w:rPr>
        <w:t xml:space="preserve"> for</w:t>
      </w:r>
      <w:r w:rsidR="007836F3" w:rsidRPr="00A001AB">
        <w:rPr>
          <w:rFonts w:eastAsia="DengXian"/>
        </w:rPr>
        <w:t xml:space="preserve"> the expansion of</w:t>
      </w:r>
      <w:r w:rsidR="0045624B" w:rsidRPr="00A001AB">
        <w:rPr>
          <w:rFonts w:eastAsia="DengXian"/>
        </w:rPr>
        <w:t xml:space="preserve"> SCK to reach more beneficiaries.</w:t>
      </w:r>
      <w:r w:rsidR="00797405" w:rsidRPr="00A001AB">
        <w:rPr>
          <w:rFonts w:eastAsia="DengXian"/>
        </w:rPr>
        <w:t xml:space="preserve"> The SROI formula could help provide those figures</w:t>
      </w:r>
      <w:r w:rsidR="00A558CE" w:rsidRPr="00A001AB">
        <w:rPr>
          <w:rFonts w:eastAsia="DengXian"/>
        </w:rPr>
        <w:t xml:space="preserve">. However, </w:t>
      </w:r>
      <w:r w:rsidR="00797405" w:rsidRPr="00A001AB">
        <w:rPr>
          <w:rFonts w:eastAsia="DengXian"/>
        </w:rPr>
        <w:t xml:space="preserve">to estimate the SCK project’s impact </w:t>
      </w:r>
      <w:r w:rsidR="00A558CE" w:rsidRPr="00A001AB">
        <w:rPr>
          <w:rFonts w:eastAsia="DengXian"/>
        </w:rPr>
        <w:t>using the SROI framework,</w:t>
      </w:r>
      <w:r w:rsidR="00797405" w:rsidRPr="00A001AB">
        <w:rPr>
          <w:rFonts w:eastAsia="DengXian"/>
        </w:rPr>
        <w:t xml:space="preserve"> </w:t>
      </w:r>
      <w:proofErr w:type="spellStart"/>
      <w:r w:rsidR="00BA3D5E">
        <w:rPr>
          <w:rFonts w:eastAsia="DengXian"/>
        </w:rPr>
        <w:t>Ang</w:t>
      </w:r>
      <w:proofErr w:type="spellEnd"/>
      <w:r w:rsidR="00BA3D5E">
        <w:rPr>
          <w:rFonts w:eastAsia="DengXian"/>
        </w:rPr>
        <w:t xml:space="preserve"> needed to first complete </w:t>
      </w:r>
      <w:r w:rsidR="00797405" w:rsidRPr="00A001AB">
        <w:rPr>
          <w:rFonts w:eastAsia="DengXian"/>
        </w:rPr>
        <w:t xml:space="preserve">four </w:t>
      </w:r>
      <w:r w:rsidR="00A558CE" w:rsidRPr="00A001AB">
        <w:rPr>
          <w:rFonts w:eastAsia="DengXian"/>
        </w:rPr>
        <w:t xml:space="preserve">key </w:t>
      </w:r>
      <w:r w:rsidR="00797405" w:rsidRPr="00A001AB">
        <w:rPr>
          <w:rFonts w:eastAsia="DengXian"/>
        </w:rPr>
        <w:t>steps</w:t>
      </w:r>
      <w:r w:rsidR="00A558CE" w:rsidRPr="00A001AB">
        <w:rPr>
          <w:rFonts w:eastAsia="DengXian"/>
        </w:rPr>
        <w:t>.</w:t>
      </w:r>
    </w:p>
    <w:p w14:paraId="66537099" w14:textId="77777777" w:rsidR="0045624B" w:rsidRPr="00C331A6" w:rsidRDefault="0045624B" w:rsidP="00A0299B">
      <w:pPr>
        <w:pStyle w:val="BodyTextMain"/>
        <w:rPr>
          <w:rFonts w:eastAsia="DengXian"/>
          <w:spacing w:val="-2"/>
          <w:sz w:val="20"/>
          <w:lang w:eastAsia="zh-CN"/>
        </w:rPr>
      </w:pPr>
    </w:p>
    <w:p w14:paraId="58DDD8AC" w14:textId="77777777" w:rsidR="0045624B" w:rsidRPr="00C331A6" w:rsidRDefault="0045624B" w:rsidP="00A0299B">
      <w:pPr>
        <w:pStyle w:val="BodyTextMain"/>
        <w:rPr>
          <w:rFonts w:eastAsia="DengXian"/>
          <w:spacing w:val="-2"/>
          <w:sz w:val="20"/>
          <w:lang w:eastAsia="zh-CN"/>
        </w:rPr>
      </w:pPr>
    </w:p>
    <w:p w14:paraId="2A139219" w14:textId="74351ED7" w:rsidR="0045624B" w:rsidRPr="00C331A6" w:rsidRDefault="0045624B" w:rsidP="0045624B">
      <w:pPr>
        <w:pStyle w:val="Casehead2"/>
        <w:rPr>
          <w:rFonts w:eastAsia="DengXian"/>
          <w:spacing w:val="-2"/>
          <w:lang w:eastAsia="zh-CN"/>
        </w:rPr>
      </w:pPr>
      <w:r w:rsidRPr="00C331A6">
        <w:rPr>
          <w:rFonts w:eastAsia="DengXian"/>
          <w:spacing w:val="-2"/>
          <w:lang w:eastAsia="zh-CN"/>
        </w:rPr>
        <w:t>Step 1: Theory of Change</w:t>
      </w:r>
    </w:p>
    <w:p w14:paraId="4BD88DDE" w14:textId="77777777" w:rsidR="0045624B" w:rsidRPr="00C331A6" w:rsidRDefault="0045624B" w:rsidP="0045624B">
      <w:pPr>
        <w:pStyle w:val="BodyTextMain"/>
        <w:rPr>
          <w:spacing w:val="-2"/>
          <w:sz w:val="20"/>
        </w:rPr>
      </w:pPr>
    </w:p>
    <w:p w14:paraId="4DC74DBF" w14:textId="1691C119" w:rsidR="0045624B" w:rsidRPr="00A001AB" w:rsidRDefault="0045624B" w:rsidP="00A0299B">
      <w:pPr>
        <w:pStyle w:val="BodyTextMain"/>
        <w:rPr>
          <w:rFonts w:eastAsia="DengXian"/>
        </w:rPr>
      </w:pPr>
      <w:r w:rsidRPr="00A001AB">
        <w:rPr>
          <w:rFonts w:eastAsia="DengXian"/>
        </w:rPr>
        <w:t xml:space="preserve">The first step </w:t>
      </w:r>
      <w:r w:rsidR="00A558CE" w:rsidRPr="00A001AB">
        <w:rPr>
          <w:rFonts w:eastAsia="DengXian"/>
        </w:rPr>
        <w:t>wa</w:t>
      </w:r>
      <w:r w:rsidRPr="00A001AB">
        <w:rPr>
          <w:rFonts w:eastAsia="DengXian"/>
        </w:rPr>
        <w:t xml:space="preserve">s to identify the underlying </w:t>
      </w:r>
      <w:r w:rsidR="005B6793">
        <w:rPr>
          <w:rFonts w:eastAsia="DengXian"/>
        </w:rPr>
        <w:t>t</w:t>
      </w:r>
      <w:r w:rsidRPr="00A001AB">
        <w:rPr>
          <w:rFonts w:eastAsia="DengXian"/>
        </w:rPr>
        <w:t xml:space="preserve">heory of </w:t>
      </w:r>
      <w:r w:rsidR="005B6793">
        <w:rPr>
          <w:rFonts w:eastAsia="DengXian"/>
        </w:rPr>
        <w:t>c</w:t>
      </w:r>
      <w:r w:rsidRPr="00A001AB">
        <w:rPr>
          <w:rFonts w:eastAsia="DengXian"/>
        </w:rPr>
        <w:t>hange (</w:t>
      </w:r>
      <w:proofErr w:type="spellStart"/>
      <w:r w:rsidRPr="00A001AB">
        <w:rPr>
          <w:rFonts w:eastAsia="DengXian"/>
        </w:rPr>
        <w:t>ToC</w:t>
      </w:r>
      <w:proofErr w:type="spellEnd"/>
      <w:r w:rsidRPr="00A001AB">
        <w:rPr>
          <w:rFonts w:eastAsia="DengXian"/>
        </w:rPr>
        <w:t>)</w:t>
      </w:r>
      <w:r w:rsidR="00A558CE" w:rsidRPr="00A001AB">
        <w:rPr>
          <w:rFonts w:eastAsia="DengXian"/>
        </w:rPr>
        <w:t>, which w</w:t>
      </w:r>
      <w:r w:rsidRPr="00A001AB">
        <w:rPr>
          <w:rFonts w:eastAsia="DengXian"/>
        </w:rPr>
        <w:t>as an overview of the relation</w:t>
      </w:r>
      <w:r w:rsidR="00797405" w:rsidRPr="00A001AB">
        <w:rPr>
          <w:rFonts w:eastAsia="DengXian"/>
        </w:rPr>
        <w:t>ship</w:t>
      </w:r>
      <w:r w:rsidRPr="00A001AB">
        <w:rPr>
          <w:rFonts w:eastAsia="DengXian"/>
        </w:rPr>
        <w:t xml:space="preserve"> between interventions and expected effects or outcomes</w:t>
      </w:r>
      <w:r w:rsidR="00A558CE" w:rsidRPr="00A001AB">
        <w:rPr>
          <w:rFonts w:eastAsia="DengXian"/>
        </w:rPr>
        <w:t>. That overview would</w:t>
      </w:r>
      <w:r w:rsidRPr="00A001AB">
        <w:rPr>
          <w:rFonts w:eastAsia="DengXian"/>
        </w:rPr>
        <w:t xml:space="preserve"> map </w:t>
      </w:r>
      <w:r w:rsidR="00A558CE" w:rsidRPr="00A001AB">
        <w:rPr>
          <w:rFonts w:eastAsia="DengXian"/>
        </w:rPr>
        <w:t xml:space="preserve">the </w:t>
      </w:r>
      <w:r w:rsidRPr="00A001AB">
        <w:rPr>
          <w:rFonts w:eastAsia="DengXian"/>
        </w:rPr>
        <w:t xml:space="preserve">chains </w:t>
      </w:r>
      <w:r w:rsidRPr="00A001AB">
        <w:rPr>
          <w:rFonts w:eastAsia="DengXian"/>
        </w:rPr>
        <w:lastRenderedPageBreak/>
        <w:t>of causes and effects.</w:t>
      </w:r>
      <w:r w:rsidRPr="00370ECF">
        <w:rPr>
          <w:rStyle w:val="EndnoteReference"/>
          <w:rFonts w:eastAsia="DengXian"/>
        </w:rPr>
        <w:endnoteReference w:id="29"/>
      </w:r>
      <w:r w:rsidRPr="00A001AB">
        <w:rPr>
          <w:rFonts w:eastAsia="DengXian"/>
        </w:rPr>
        <w:t xml:space="preserve"> The </w:t>
      </w:r>
      <w:proofErr w:type="spellStart"/>
      <w:r w:rsidRPr="00A001AB">
        <w:rPr>
          <w:rFonts w:eastAsia="DengXian"/>
        </w:rPr>
        <w:t>ToC</w:t>
      </w:r>
      <w:proofErr w:type="spellEnd"/>
      <w:r w:rsidRPr="00A001AB">
        <w:rPr>
          <w:rFonts w:eastAsia="DengXian"/>
        </w:rPr>
        <w:t xml:space="preserve"> </w:t>
      </w:r>
      <w:r w:rsidR="00A558CE" w:rsidRPr="00A001AB">
        <w:rPr>
          <w:rFonts w:eastAsia="DengXian"/>
        </w:rPr>
        <w:t>would</w:t>
      </w:r>
      <w:r w:rsidRPr="00A001AB">
        <w:rPr>
          <w:rFonts w:eastAsia="DengXian"/>
        </w:rPr>
        <w:t xml:space="preserve"> highlight the transition from the current state to the final state via the intervention method (see </w:t>
      </w:r>
      <w:r w:rsidR="00E917C7">
        <w:rPr>
          <w:rFonts w:eastAsia="DengXian"/>
        </w:rPr>
        <w:t>Exhibit 3</w:t>
      </w:r>
      <w:r w:rsidRPr="00A001AB">
        <w:rPr>
          <w:rFonts w:eastAsia="DengXian"/>
        </w:rPr>
        <w:t xml:space="preserve">). At the current state, food offerings at </w:t>
      </w:r>
      <w:r w:rsidR="00A558CE" w:rsidRPr="00A001AB">
        <w:rPr>
          <w:rFonts w:eastAsia="DengXian"/>
        </w:rPr>
        <w:t>long-term care faciliti</w:t>
      </w:r>
      <w:r w:rsidRPr="00A001AB">
        <w:rPr>
          <w:rFonts w:eastAsia="DengXian"/>
        </w:rPr>
        <w:t>es lack</w:t>
      </w:r>
      <w:r w:rsidR="00A558CE" w:rsidRPr="00A001AB">
        <w:rPr>
          <w:rFonts w:eastAsia="DengXian"/>
        </w:rPr>
        <w:t>ed</w:t>
      </w:r>
      <w:r w:rsidRPr="00A001AB">
        <w:rPr>
          <w:rFonts w:eastAsia="DengXian"/>
        </w:rPr>
        <w:t xml:space="preserve"> nutritional value and variety, </w:t>
      </w:r>
      <w:r w:rsidR="00A558CE" w:rsidRPr="00A001AB">
        <w:rPr>
          <w:rFonts w:eastAsia="DengXian"/>
        </w:rPr>
        <w:t xml:space="preserve">which </w:t>
      </w:r>
      <w:r w:rsidR="007836F3" w:rsidRPr="00A001AB">
        <w:rPr>
          <w:rFonts w:eastAsia="DengXian"/>
        </w:rPr>
        <w:t xml:space="preserve">led to a </w:t>
      </w:r>
      <w:r w:rsidR="00A558CE" w:rsidRPr="00A001AB">
        <w:rPr>
          <w:rFonts w:eastAsia="DengXian"/>
        </w:rPr>
        <w:t>lower</w:t>
      </w:r>
      <w:r w:rsidRPr="00A001AB">
        <w:rPr>
          <w:rFonts w:eastAsia="DengXian"/>
        </w:rPr>
        <w:t xml:space="preserve"> quality of life (</w:t>
      </w:r>
      <w:proofErr w:type="spellStart"/>
      <w:r w:rsidRPr="00A001AB">
        <w:rPr>
          <w:rFonts w:eastAsia="DengXian"/>
        </w:rPr>
        <w:t>QoL</w:t>
      </w:r>
      <w:proofErr w:type="spellEnd"/>
      <w:r w:rsidRPr="00A001AB">
        <w:rPr>
          <w:rFonts w:eastAsia="DengXian"/>
        </w:rPr>
        <w:t xml:space="preserve">) for </w:t>
      </w:r>
      <w:r w:rsidR="00A558CE" w:rsidRPr="00A001AB">
        <w:rPr>
          <w:rFonts w:eastAsia="DengXian"/>
        </w:rPr>
        <w:t xml:space="preserve">the </w:t>
      </w:r>
      <w:r w:rsidRPr="00A001AB">
        <w:rPr>
          <w:rFonts w:eastAsia="DengXian"/>
        </w:rPr>
        <w:t xml:space="preserve">residents. </w:t>
      </w:r>
      <w:r w:rsidR="00A558CE" w:rsidRPr="00A001AB">
        <w:rPr>
          <w:rFonts w:eastAsia="DengXian"/>
        </w:rPr>
        <w:t>T</w:t>
      </w:r>
      <w:r w:rsidRPr="00A001AB">
        <w:rPr>
          <w:rFonts w:eastAsia="DengXian"/>
        </w:rPr>
        <w:t>he W</w:t>
      </w:r>
      <w:r w:rsidR="00A558CE" w:rsidRPr="00A001AB">
        <w:rPr>
          <w:rFonts w:eastAsia="DengXian"/>
        </w:rPr>
        <w:t xml:space="preserve">orld </w:t>
      </w:r>
      <w:r w:rsidRPr="00A001AB">
        <w:rPr>
          <w:rFonts w:eastAsia="DengXian"/>
        </w:rPr>
        <w:t>H</w:t>
      </w:r>
      <w:r w:rsidR="00A558CE" w:rsidRPr="00A001AB">
        <w:rPr>
          <w:rFonts w:eastAsia="DengXian"/>
        </w:rPr>
        <w:t xml:space="preserve">ealth </w:t>
      </w:r>
      <w:r w:rsidRPr="00A001AB">
        <w:rPr>
          <w:rFonts w:eastAsia="DengXian"/>
        </w:rPr>
        <w:t>O</w:t>
      </w:r>
      <w:r w:rsidR="00A558CE" w:rsidRPr="00A001AB">
        <w:rPr>
          <w:rFonts w:eastAsia="DengXian"/>
        </w:rPr>
        <w:t>rganization</w:t>
      </w:r>
      <w:r w:rsidRPr="00A001AB">
        <w:rPr>
          <w:rFonts w:eastAsia="DengXian"/>
        </w:rPr>
        <w:t xml:space="preserve"> defined </w:t>
      </w:r>
      <w:proofErr w:type="spellStart"/>
      <w:r w:rsidR="00A558CE" w:rsidRPr="00A001AB">
        <w:rPr>
          <w:rFonts w:eastAsia="DengXian"/>
        </w:rPr>
        <w:t>QoL</w:t>
      </w:r>
      <w:proofErr w:type="spellEnd"/>
      <w:r w:rsidR="00A558CE" w:rsidRPr="00A001AB">
        <w:rPr>
          <w:rFonts w:eastAsia="DengXian"/>
        </w:rPr>
        <w:t xml:space="preserve"> </w:t>
      </w:r>
      <w:r w:rsidRPr="00A001AB">
        <w:rPr>
          <w:rFonts w:eastAsia="DengXian"/>
        </w:rPr>
        <w:t>as “the individuals’ perceptions of their position in life in the context of the culture and value systems in which they live, and in relation to their goals, expectations, standards and concerns</w:t>
      </w:r>
      <w:r w:rsidR="00A558CE" w:rsidRPr="00A001AB">
        <w:rPr>
          <w:rFonts w:eastAsia="DengXian"/>
        </w:rPr>
        <w:t>.</w:t>
      </w:r>
      <w:r w:rsidRPr="00A001AB">
        <w:rPr>
          <w:rFonts w:eastAsia="DengXian"/>
        </w:rPr>
        <w:t>”</w:t>
      </w:r>
      <w:r w:rsidRPr="00370ECF">
        <w:rPr>
          <w:rStyle w:val="EndnoteReference"/>
          <w:rFonts w:eastAsia="DengXian"/>
        </w:rPr>
        <w:endnoteReference w:id="30"/>
      </w:r>
      <w:r w:rsidRPr="00A001AB">
        <w:rPr>
          <w:rFonts w:eastAsia="DengXian"/>
        </w:rPr>
        <w:t xml:space="preserve"> There </w:t>
      </w:r>
      <w:r w:rsidR="00A558CE" w:rsidRPr="00A001AB">
        <w:rPr>
          <w:rFonts w:eastAsia="DengXian"/>
        </w:rPr>
        <w:t>we</w:t>
      </w:r>
      <w:r w:rsidRPr="00A001AB">
        <w:rPr>
          <w:rFonts w:eastAsia="DengXian"/>
        </w:rPr>
        <w:t xml:space="preserve">re several domains </w:t>
      </w:r>
      <w:r w:rsidR="00A558CE" w:rsidRPr="00A001AB">
        <w:rPr>
          <w:rFonts w:eastAsia="DengXian"/>
        </w:rPr>
        <w:t xml:space="preserve">operating </w:t>
      </w:r>
      <w:r w:rsidRPr="00A001AB">
        <w:rPr>
          <w:rFonts w:eastAsia="DengXian"/>
        </w:rPr>
        <w:t xml:space="preserve">under the </w:t>
      </w:r>
      <w:proofErr w:type="spellStart"/>
      <w:r w:rsidRPr="00A001AB">
        <w:rPr>
          <w:rFonts w:eastAsia="DengXian"/>
        </w:rPr>
        <w:t>QoL</w:t>
      </w:r>
      <w:proofErr w:type="spellEnd"/>
      <w:r w:rsidR="00A558CE" w:rsidRPr="00A001AB">
        <w:rPr>
          <w:rFonts w:eastAsia="DengXian"/>
        </w:rPr>
        <w:t xml:space="preserve"> umbrella</w:t>
      </w:r>
      <w:r w:rsidRPr="00A001AB">
        <w:rPr>
          <w:rFonts w:eastAsia="DengXian"/>
        </w:rPr>
        <w:t xml:space="preserve">. In </w:t>
      </w:r>
      <w:r w:rsidR="00A558CE" w:rsidRPr="00A001AB">
        <w:rPr>
          <w:rFonts w:eastAsia="DengXian"/>
        </w:rPr>
        <w:t xml:space="preserve">respect to </w:t>
      </w:r>
      <w:r w:rsidRPr="00A001AB">
        <w:rPr>
          <w:rFonts w:eastAsia="DengXian"/>
        </w:rPr>
        <w:t xml:space="preserve">the SCK project, the focus </w:t>
      </w:r>
      <w:r w:rsidR="00A558CE" w:rsidRPr="00A001AB">
        <w:rPr>
          <w:rFonts w:eastAsia="DengXian"/>
        </w:rPr>
        <w:t>wa</w:t>
      </w:r>
      <w:r w:rsidRPr="00A001AB">
        <w:rPr>
          <w:rFonts w:eastAsia="DengXian"/>
        </w:rPr>
        <w:t xml:space="preserve">s on the domains of physical health and psychological health. The intervention method </w:t>
      </w:r>
      <w:r w:rsidR="00A558CE" w:rsidRPr="00A001AB">
        <w:rPr>
          <w:rFonts w:eastAsia="DengXian"/>
        </w:rPr>
        <w:t>wa</w:t>
      </w:r>
      <w:r w:rsidRPr="00A001AB">
        <w:rPr>
          <w:rFonts w:eastAsia="DengXian"/>
        </w:rPr>
        <w:t xml:space="preserve">s providing meals with greater nutritional value and </w:t>
      </w:r>
      <w:r w:rsidR="00A558CE" w:rsidRPr="00A001AB">
        <w:rPr>
          <w:rFonts w:eastAsia="DengXian"/>
        </w:rPr>
        <w:t xml:space="preserve">greater </w:t>
      </w:r>
      <w:r w:rsidRPr="00A001AB">
        <w:rPr>
          <w:rFonts w:eastAsia="DengXian"/>
        </w:rPr>
        <w:t xml:space="preserve">variety. </w:t>
      </w:r>
      <w:r w:rsidR="00A558CE" w:rsidRPr="00A001AB">
        <w:rPr>
          <w:rFonts w:eastAsia="DengXian"/>
        </w:rPr>
        <w:t>G</w:t>
      </w:r>
      <w:r w:rsidRPr="00A001AB">
        <w:rPr>
          <w:rFonts w:eastAsia="DengXian"/>
        </w:rPr>
        <w:t>reater nutritional value would tackle the physical health domain</w:t>
      </w:r>
      <w:r w:rsidR="00A558CE" w:rsidRPr="00A001AB">
        <w:rPr>
          <w:rFonts w:eastAsia="DengXian"/>
        </w:rPr>
        <w:t>, whereas</w:t>
      </w:r>
      <w:r w:rsidRPr="00A001AB">
        <w:rPr>
          <w:rFonts w:eastAsia="DengXian"/>
        </w:rPr>
        <w:t xml:space="preserve"> greater variety of food would increase food choices and address the psychological health domain. </w:t>
      </w:r>
    </w:p>
    <w:p w14:paraId="71FE78E4" w14:textId="3AAF062F" w:rsidR="0045624B" w:rsidRPr="00C331A6" w:rsidRDefault="0045624B" w:rsidP="0045624B">
      <w:pPr>
        <w:pStyle w:val="BodyTextMain"/>
        <w:rPr>
          <w:rFonts w:eastAsia="DengXian"/>
          <w:spacing w:val="-2"/>
          <w:sz w:val="20"/>
        </w:rPr>
      </w:pPr>
    </w:p>
    <w:p w14:paraId="678D0713" w14:textId="77777777" w:rsidR="0045624B" w:rsidRPr="00C331A6" w:rsidRDefault="0045624B" w:rsidP="0045624B">
      <w:pPr>
        <w:pStyle w:val="BodyTextMain"/>
        <w:rPr>
          <w:spacing w:val="-2"/>
          <w:sz w:val="20"/>
        </w:rPr>
      </w:pPr>
    </w:p>
    <w:p w14:paraId="4A70C13B" w14:textId="77777777" w:rsidR="0045624B" w:rsidRPr="00C331A6" w:rsidRDefault="0045624B" w:rsidP="0045624B">
      <w:pPr>
        <w:pStyle w:val="Casehead2"/>
        <w:rPr>
          <w:rFonts w:eastAsia="DengXian"/>
          <w:spacing w:val="-2"/>
          <w:lang w:eastAsia="zh-CN"/>
        </w:rPr>
      </w:pPr>
      <w:r w:rsidRPr="00C331A6">
        <w:rPr>
          <w:rFonts w:eastAsia="DengXian"/>
          <w:spacing w:val="-2"/>
          <w:lang w:eastAsia="zh-CN"/>
        </w:rPr>
        <w:t>Step 2: Impact Mapping</w:t>
      </w:r>
    </w:p>
    <w:p w14:paraId="62B1DEC1" w14:textId="77777777" w:rsidR="0045624B" w:rsidRPr="00C331A6" w:rsidRDefault="0045624B" w:rsidP="0045624B">
      <w:pPr>
        <w:pStyle w:val="BodyTextMain"/>
        <w:rPr>
          <w:spacing w:val="-2"/>
          <w:sz w:val="20"/>
        </w:rPr>
      </w:pPr>
    </w:p>
    <w:p w14:paraId="5CBB88A6" w14:textId="33D6F78D" w:rsidR="0045624B" w:rsidRPr="009934D7" w:rsidRDefault="00A558CE" w:rsidP="00A0299B">
      <w:pPr>
        <w:pStyle w:val="BodyTextMain"/>
        <w:rPr>
          <w:rFonts w:eastAsia="DengXian"/>
          <w:spacing w:val="-4"/>
        </w:rPr>
      </w:pPr>
      <w:r w:rsidRPr="009934D7">
        <w:rPr>
          <w:rFonts w:eastAsia="DengXian"/>
          <w:spacing w:val="-4"/>
        </w:rPr>
        <w:t>I</w:t>
      </w:r>
      <w:r w:rsidR="0045624B" w:rsidRPr="009934D7">
        <w:rPr>
          <w:rFonts w:eastAsia="DengXian"/>
          <w:spacing w:val="-4"/>
        </w:rPr>
        <w:t>mpact mapping</w:t>
      </w:r>
      <w:r w:rsidRPr="009934D7">
        <w:rPr>
          <w:rFonts w:eastAsia="DengXian"/>
          <w:spacing w:val="-4"/>
        </w:rPr>
        <w:t xml:space="preserve"> was achieved using a logic model. The model</w:t>
      </w:r>
      <w:r w:rsidR="0045624B" w:rsidRPr="009934D7">
        <w:rPr>
          <w:rFonts w:eastAsia="DengXian"/>
          <w:spacing w:val="-4"/>
        </w:rPr>
        <w:t xml:space="preserve"> examined various resources (</w:t>
      </w:r>
      <w:r w:rsidR="00A75681" w:rsidRPr="009934D7">
        <w:rPr>
          <w:rFonts w:eastAsia="DengXian"/>
          <w:spacing w:val="-4"/>
        </w:rPr>
        <w:t xml:space="preserve">i.e., </w:t>
      </w:r>
      <w:r w:rsidR="0045624B" w:rsidRPr="009934D7">
        <w:rPr>
          <w:rFonts w:eastAsia="DengXian"/>
          <w:spacing w:val="-4"/>
        </w:rPr>
        <w:t xml:space="preserve">inputs) </w:t>
      </w:r>
      <w:r w:rsidR="00A75681" w:rsidRPr="009934D7">
        <w:rPr>
          <w:rFonts w:eastAsia="DengXian"/>
          <w:spacing w:val="-4"/>
        </w:rPr>
        <w:t xml:space="preserve">used </w:t>
      </w:r>
      <w:r w:rsidR="0045624B" w:rsidRPr="009934D7">
        <w:rPr>
          <w:rFonts w:eastAsia="DengXian"/>
          <w:spacing w:val="-4"/>
        </w:rPr>
        <w:t>to conduct activities</w:t>
      </w:r>
      <w:r w:rsidR="00A75681" w:rsidRPr="009934D7">
        <w:rPr>
          <w:rFonts w:eastAsia="DengXian"/>
          <w:spacing w:val="-4"/>
        </w:rPr>
        <w:t>.</w:t>
      </w:r>
      <w:r w:rsidR="0045624B" w:rsidRPr="009934D7">
        <w:rPr>
          <w:rFonts w:eastAsia="DengXian"/>
          <w:spacing w:val="-4"/>
        </w:rPr>
        <w:t xml:space="preserve"> </w:t>
      </w:r>
      <w:r w:rsidR="00A75681" w:rsidRPr="009934D7">
        <w:rPr>
          <w:rFonts w:eastAsia="DengXian"/>
          <w:spacing w:val="-4"/>
        </w:rPr>
        <w:t xml:space="preserve">The activities were </w:t>
      </w:r>
      <w:r w:rsidR="0045624B" w:rsidRPr="009934D7">
        <w:rPr>
          <w:rFonts w:eastAsia="DengXian"/>
          <w:spacing w:val="-4"/>
        </w:rPr>
        <w:t xml:space="preserve">measured </w:t>
      </w:r>
      <w:r w:rsidR="00257380" w:rsidRPr="009934D7">
        <w:rPr>
          <w:rFonts w:eastAsia="DengXian"/>
          <w:spacing w:val="-4"/>
        </w:rPr>
        <w:t>in</w:t>
      </w:r>
      <w:r w:rsidR="0045624B" w:rsidRPr="009934D7">
        <w:rPr>
          <w:rFonts w:eastAsia="DengXian"/>
          <w:spacing w:val="-4"/>
        </w:rPr>
        <w:t xml:space="preserve"> outputs</w:t>
      </w:r>
      <w:r w:rsidR="00A75681" w:rsidRPr="009934D7">
        <w:rPr>
          <w:rFonts w:eastAsia="DengXian"/>
          <w:spacing w:val="-4"/>
        </w:rPr>
        <w:t>, which consisted of</w:t>
      </w:r>
      <w:r w:rsidR="0045624B" w:rsidRPr="009934D7">
        <w:rPr>
          <w:rFonts w:eastAsia="DengXian"/>
          <w:spacing w:val="-4"/>
        </w:rPr>
        <w:t xml:space="preserve"> direct quantitative and qualitative summary measures </w:t>
      </w:r>
      <w:r w:rsidR="00257380" w:rsidRPr="009934D7">
        <w:rPr>
          <w:rFonts w:eastAsia="DengXian"/>
          <w:spacing w:val="-4"/>
        </w:rPr>
        <w:t xml:space="preserve">obtained </w:t>
      </w:r>
      <w:r w:rsidR="0045624B" w:rsidRPr="009934D7">
        <w:rPr>
          <w:rFonts w:eastAsia="DengXian"/>
          <w:spacing w:val="-4"/>
        </w:rPr>
        <w:t>from the activities</w:t>
      </w:r>
      <w:r w:rsidR="00A75681" w:rsidRPr="009934D7">
        <w:rPr>
          <w:rFonts w:eastAsia="DengXian"/>
          <w:spacing w:val="-4"/>
        </w:rPr>
        <w:t>. U</w:t>
      </w:r>
      <w:r w:rsidR="0045624B" w:rsidRPr="009934D7">
        <w:rPr>
          <w:rFonts w:eastAsia="DengXian"/>
          <w:spacing w:val="-4"/>
        </w:rPr>
        <w:t>ltimately</w:t>
      </w:r>
      <w:r w:rsidR="00A75681" w:rsidRPr="009934D7">
        <w:rPr>
          <w:rFonts w:eastAsia="DengXian"/>
          <w:spacing w:val="-4"/>
        </w:rPr>
        <w:t>,</w:t>
      </w:r>
      <w:r w:rsidR="0045624B" w:rsidRPr="009934D7">
        <w:rPr>
          <w:rFonts w:eastAsia="DengXian"/>
          <w:spacing w:val="-4"/>
        </w:rPr>
        <w:t xml:space="preserve"> </w:t>
      </w:r>
      <w:r w:rsidR="00A75681" w:rsidRPr="009934D7">
        <w:rPr>
          <w:rFonts w:eastAsia="DengXian"/>
          <w:spacing w:val="-4"/>
        </w:rPr>
        <w:t xml:space="preserve">the outputs </w:t>
      </w:r>
      <w:r w:rsidR="0045624B" w:rsidRPr="009934D7">
        <w:rPr>
          <w:rFonts w:eastAsia="DengXian"/>
          <w:spacing w:val="-4"/>
        </w:rPr>
        <w:t xml:space="preserve">led to outcomes </w:t>
      </w:r>
      <w:r w:rsidR="00A75681" w:rsidRPr="009934D7">
        <w:rPr>
          <w:rFonts w:eastAsia="DengXian"/>
          <w:spacing w:val="-4"/>
        </w:rPr>
        <w:t xml:space="preserve">or </w:t>
      </w:r>
      <w:r w:rsidR="0045624B" w:rsidRPr="009934D7">
        <w:rPr>
          <w:rFonts w:eastAsia="DengXian"/>
          <w:spacing w:val="-4"/>
        </w:rPr>
        <w:t xml:space="preserve">social externalities </w:t>
      </w:r>
      <w:r w:rsidR="00A75681" w:rsidRPr="009934D7">
        <w:rPr>
          <w:rFonts w:eastAsia="DengXian"/>
          <w:spacing w:val="-4"/>
        </w:rPr>
        <w:t xml:space="preserve">that </w:t>
      </w:r>
      <w:r w:rsidR="0045624B" w:rsidRPr="009934D7">
        <w:rPr>
          <w:rFonts w:eastAsia="DengXian"/>
          <w:spacing w:val="-4"/>
        </w:rPr>
        <w:t>occurr</w:t>
      </w:r>
      <w:r w:rsidR="00A75681" w:rsidRPr="009934D7">
        <w:rPr>
          <w:rFonts w:eastAsia="DengXian"/>
          <w:spacing w:val="-4"/>
        </w:rPr>
        <w:t>ed</w:t>
      </w:r>
      <w:r w:rsidR="0045624B" w:rsidRPr="009934D7">
        <w:rPr>
          <w:rFonts w:eastAsia="DengXian"/>
          <w:spacing w:val="-4"/>
        </w:rPr>
        <w:t xml:space="preserve"> within </w:t>
      </w:r>
      <w:r w:rsidR="00A75681" w:rsidRPr="009934D7">
        <w:rPr>
          <w:rFonts w:eastAsia="DengXian"/>
          <w:spacing w:val="-4"/>
        </w:rPr>
        <w:t>one</w:t>
      </w:r>
      <w:r w:rsidR="0045624B" w:rsidRPr="009934D7">
        <w:rPr>
          <w:rFonts w:eastAsia="DengXian"/>
          <w:spacing w:val="-4"/>
        </w:rPr>
        <w:t xml:space="preserve"> to </w:t>
      </w:r>
      <w:r w:rsidR="00A75681" w:rsidRPr="009934D7">
        <w:rPr>
          <w:rFonts w:eastAsia="DengXian"/>
          <w:spacing w:val="-4"/>
        </w:rPr>
        <w:t>three</w:t>
      </w:r>
      <w:r w:rsidR="0045624B" w:rsidRPr="009934D7">
        <w:rPr>
          <w:rFonts w:eastAsia="DengXian"/>
          <w:spacing w:val="-4"/>
        </w:rPr>
        <w:t xml:space="preserve"> years</w:t>
      </w:r>
      <w:r w:rsidR="00A75681" w:rsidRPr="009934D7">
        <w:rPr>
          <w:rFonts w:eastAsia="DengXian"/>
          <w:spacing w:val="-4"/>
        </w:rPr>
        <w:t xml:space="preserve">. The outputs also led to </w:t>
      </w:r>
      <w:r w:rsidR="0045624B" w:rsidRPr="009934D7">
        <w:rPr>
          <w:rFonts w:eastAsia="DengXian"/>
          <w:spacing w:val="-4"/>
        </w:rPr>
        <w:t xml:space="preserve">long-term benefits </w:t>
      </w:r>
      <w:r w:rsidR="00A75681" w:rsidRPr="009934D7">
        <w:rPr>
          <w:rFonts w:eastAsia="DengXian"/>
          <w:spacing w:val="-4"/>
        </w:rPr>
        <w:t>for stakeholders</w:t>
      </w:r>
      <w:r w:rsidR="00257380" w:rsidRPr="009934D7">
        <w:rPr>
          <w:rFonts w:eastAsia="DengXian"/>
          <w:spacing w:val="-4"/>
        </w:rPr>
        <w:t>, which</w:t>
      </w:r>
      <w:r w:rsidR="00A75681" w:rsidRPr="009934D7">
        <w:rPr>
          <w:rFonts w:eastAsia="DengXian"/>
          <w:spacing w:val="-4"/>
        </w:rPr>
        <w:t xml:space="preserve"> were </w:t>
      </w:r>
      <w:r w:rsidR="0045624B" w:rsidRPr="009934D7">
        <w:rPr>
          <w:rFonts w:eastAsia="DengXian"/>
          <w:spacing w:val="-4"/>
        </w:rPr>
        <w:t xml:space="preserve">attained </w:t>
      </w:r>
      <w:r w:rsidR="00A75681" w:rsidRPr="009934D7">
        <w:rPr>
          <w:rFonts w:eastAsia="DengXian"/>
          <w:spacing w:val="-4"/>
        </w:rPr>
        <w:t xml:space="preserve">within </w:t>
      </w:r>
      <w:r w:rsidR="002473F0" w:rsidRPr="009934D7">
        <w:rPr>
          <w:rFonts w:eastAsia="DengXian"/>
          <w:spacing w:val="-4"/>
        </w:rPr>
        <w:t xml:space="preserve">7 </w:t>
      </w:r>
      <w:r w:rsidR="00A75681" w:rsidRPr="009934D7">
        <w:rPr>
          <w:rFonts w:eastAsia="DengXian"/>
          <w:spacing w:val="-4"/>
        </w:rPr>
        <w:t xml:space="preserve">to </w:t>
      </w:r>
      <w:r w:rsidR="0045624B" w:rsidRPr="009934D7">
        <w:rPr>
          <w:rFonts w:eastAsia="DengXian"/>
          <w:spacing w:val="-4"/>
        </w:rPr>
        <w:t>10 years.</w:t>
      </w:r>
      <w:r w:rsidR="0045624B" w:rsidRPr="009934D7">
        <w:rPr>
          <w:rStyle w:val="EndnoteReference"/>
          <w:rFonts w:eastAsia="DengXian"/>
          <w:spacing w:val="-4"/>
        </w:rPr>
        <w:endnoteReference w:id="31"/>
      </w:r>
      <w:r w:rsidR="0045624B" w:rsidRPr="009934D7">
        <w:rPr>
          <w:rFonts w:eastAsia="DengXian"/>
          <w:spacing w:val="-4"/>
        </w:rPr>
        <w:t xml:space="preserve"> The impact map </w:t>
      </w:r>
      <w:r w:rsidR="00A75681" w:rsidRPr="009934D7">
        <w:rPr>
          <w:rFonts w:eastAsia="DengXian"/>
          <w:spacing w:val="-4"/>
        </w:rPr>
        <w:t>wa</w:t>
      </w:r>
      <w:r w:rsidR="0045624B" w:rsidRPr="009934D7">
        <w:rPr>
          <w:rFonts w:eastAsia="DengXian"/>
          <w:spacing w:val="-4"/>
        </w:rPr>
        <w:t>s fundamental to an SROI analysis</w:t>
      </w:r>
      <w:r w:rsidR="00A75681" w:rsidRPr="009934D7">
        <w:rPr>
          <w:rFonts w:eastAsia="DengXian"/>
          <w:spacing w:val="-4"/>
        </w:rPr>
        <w:t>.</w:t>
      </w:r>
      <w:r w:rsidR="0045624B" w:rsidRPr="009934D7">
        <w:rPr>
          <w:rFonts w:eastAsia="DengXian"/>
          <w:spacing w:val="-4"/>
        </w:rPr>
        <w:t xml:space="preserve"> </w:t>
      </w:r>
      <w:r w:rsidR="00A75681" w:rsidRPr="009934D7">
        <w:rPr>
          <w:rFonts w:eastAsia="DengXian"/>
          <w:spacing w:val="-4"/>
        </w:rPr>
        <w:t>Using</w:t>
      </w:r>
      <w:r w:rsidR="0045624B" w:rsidRPr="009934D7">
        <w:rPr>
          <w:rFonts w:eastAsia="DengXian"/>
          <w:spacing w:val="-4"/>
        </w:rPr>
        <w:t xml:space="preserve"> the developed </w:t>
      </w:r>
      <w:proofErr w:type="spellStart"/>
      <w:r w:rsidR="00A75681" w:rsidRPr="009934D7">
        <w:rPr>
          <w:rFonts w:eastAsia="DengXian"/>
          <w:spacing w:val="-4"/>
        </w:rPr>
        <w:t>ToC</w:t>
      </w:r>
      <w:proofErr w:type="spellEnd"/>
      <w:r w:rsidR="00A75681" w:rsidRPr="009934D7">
        <w:rPr>
          <w:rFonts w:eastAsia="DengXian"/>
          <w:spacing w:val="-4"/>
        </w:rPr>
        <w:t xml:space="preserve"> </w:t>
      </w:r>
      <w:r w:rsidR="0045624B" w:rsidRPr="009934D7">
        <w:rPr>
          <w:rFonts w:eastAsia="DengXian"/>
          <w:spacing w:val="-4"/>
        </w:rPr>
        <w:t>as the underlying concept</w:t>
      </w:r>
      <w:r w:rsidR="00A75681" w:rsidRPr="009934D7">
        <w:rPr>
          <w:rFonts w:eastAsia="DengXian"/>
          <w:spacing w:val="-4"/>
        </w:rPr>
        <w:t xml:space="preserve">, </w:t>
      </w:r>
      <w:r w:rsidR="00A7760C" w:rsidRPr="009934D7">
        <w:rPr>
          <w:rFonts w:eastAsia="DengXian"/>
          <w:spacing w:val="-4"/>
        </w:rPr>
        <w:t xml:space="preserve">the impact map </w:t>
      </w:r>
      <w:r w:rsidR="0045624B" w:rsidRPr="009934D7">
        <w:rPr>
          <w:rFonts w:eastAsia="DengXian"/>
          <w:spacing w:val="-4"/>
        </w:rPr>
        <w:t>ascertain</w:t>
      </w:r>
      <w:r w:rsidR="00A75681" w:rsidRPr="009934D7">
        <w:rPr>
          <w:rFonts w:eastAsia="DengXian"/>
          <w:spacing w:val="-4"/>
        </w:rPr>
        <w:t>ed</w:t>
      </w:r>
      <w:r w:rsidR="0045624B" w:rsidRPr="009934D7">
        <w:rPr>
          <w:rFonts w:eastAsia="DengXian"/>
          <w:spacing w:val="-4"/>
        </w:rPr>
        <w:t xml:space="preserve"> the social impact of an intervention. </w:t>
      </w:r>
      <w:proofErr w:type="spellStart"/>
      <w:r w:rsidR="004C5C4C" w:rsidRPr="009934D7">
        <w:rPr>
          <w:rFonts w:eastAsia="DengXian"/>
          <w:spacing w:val="-4"/>
        </w:rPr>
        <w:t>Ang</w:t>
      </w:r>
      <w:proofErr w:type="spellEnd"/>
      <w:r w:rsidR="0045624B" w:rsidRPr="009934D7">
        <w:rPr>
          <w:rFonts w:eastAsia="DengXian"/>
          <w:spacing w:val="-4"/>
        </w:rPr>
        <w:t xml:space="preserve"> developed the impact mapping for the SCK project </w:t>
      </w:r>
      <w:r w:rsidR="00E34B9F" w:rsidRPr="009934D7">
        <w:rPr>
          <w:rFonts w:eastAsia="DengXian"/>
          <w:spacing w:val="-4"/>
        </w:rPr>
        <w:t xml:space="preserve">based on his own reading </w:t>
      </w:r>
      <w:r w:rsidR="0045624B" w:rsidRPr="009934D7">
        <w:rPr>
          <w:rFonts w:eastAsia="DengXian"/>
          <w:spacing w:val="-4"/>
        </w:rPr>
        <w:t>(s</w:t>
      </w:r>
      <w:r w:rsidR="00A75681" w:rsidRPr="009934D7">
        <w:rPr>
          <w:rFonts w:eastAsia="DengXian"/>
          <w:spacing w:val="-4"/>
        </w:rPr>
        <w:t>ee</w:t>
      </w:r>
      <w:r w:rsidR="0045624B" w:rsidRPr="009934D7">
        <w:rPr>
          <w:rFonts w:eastAsia="DengXian"/>
          <w:spacing w:val="-4"/>
        </w:rPr>
        <w:t xml:space="preserve"> </w:t>
      </w:r>
      <w:r w:rsidR="00E917C7" w:rsidRPr="009934D7">
        <w:rPr>
          <w:rFonts w:eastAsia="DengXian"/>
          <w:spacing w:val="-4"/>
        </w:rPr>
        <w:t>Exhibit 4</w:t>
      </w:r>
      <w:r w:rsidR="0045624B" w:rsidRPr="009934D7">
        <w:rPr>
          <w:rFonts w:eastAsia="DengXian"/>
          <w:spacing w:val="-4"/>
        </w:rPr>
        <w:t>).</w:t>
      </w:r>
    </w:p>
    <w:p w14:paraId="21762FC8" w14:textId="183A4518" w:rsidR="0045624B" w:rsidRPr="00C331A6" w:rsidRDefault="0045624B" w:rsidP="0045624B">
      <w:pPr>
        <w:pStyle w:val="BodyTextMain"/>
        <w:rPr>
          <w:spacing w:val="-2"/>
          <w:sz w:val="20"/>
        </w:rPr>
      </w:pPr>
    </w:p>
    <w:p w14:paraId="0E796750" w14:textId="77777777" w:rsidR="0045624B" w:rsidRPr="00C331A6" w:rsidRDefault="0045624B" w:rsidP="0045624B">
      <w:pPr>
        <w:pStyle w:val="BodyTextMain"/>
        <w:rPr>
          <w:spacing w:val="-2"/>
          <w:sz w:val="20"/>
        </w:rPr>
      </w:pPr>
    </w:p>
    <w:p w14:paraId="4E13DF93" w14:textId="77777777" w:rsidR="0045624B" w:rsidRPr="00C331A6" w:rsidRDefault="0045624B" w:rsidP="0045624B">
      <w:pPr>
        <w:pStyle w:val="Casehead2"/>
        <w:rPr>
          <w:rFonts w:eastAsia="DengXian"/>
          <w:spacing w:val="-2"/>
          <w:lang w:eastAsia="zh-CN"/>
        </w:rPr>
      </w:pPr>
      <w:r w:rsidRPr="00C331A6">
        <w:rPr>
          <w:rFonts w:eastAsia="DengXian"/>
          <w:spacing w:val="-2"/>
          <w:lang w:eastAsia="zh-CN"/>
        </w:rPr>
        <w:t>Step 3: Data Collection</w:t>
      </w:r>
    </w:p>
    <w:p w14:paraId="6B74F506" w14:textId="311BF5F5" w:rsidR="0045624B" w:rsidRPr="00C331A6" w:rsidRDefault="0045624B" w:rsidP="0045624B">
      <w:pPr>
        <w:pStyle w:val="BodyTextMain"/>
        <w:rPr>
          <w:rFonts w:eastAsia="DengXian"/>
          <w:spacing w:val="-2"/>
          <w:sz w:val="20"/>
        </w:rPr>
      </w:pPr>
    </w:p>
    <w:p w14:paraId="00E8D33B" w14:textId="16A38363" w:rsidR="0045624B" w:rsidRPr="00A001AB" w:rsidRDefault="0045624B" w:rsidP="00A0299B">
      <w:pPr>
        <w:pStyle w:val="BodyTextMain"/>
        <w:rPr>
          <w:rFonts w:eastAsia="DengXian"/>
        </w:rPr>
      </w:pPr>
      <w:r w:rsidRPr="00A001AB">
        <w:rPr>
          <w:rFonts w:eastAsia="DengXian"/>
        </w:rPr>
        <w:t>The data collection process comprise</w:t>
      </w:r>
      <w:r w:rsidR="00A75681" w:rsidRPr="00A001AB">
        <w:rPr>
          <w:rFonts w:eastAsia="DengXian"/>
        </w:rPr>
        <w:t>d</w:t>
      </w:r>
      <w:r w:rsidRPr="00A001AB">
        <w:rPr>
          <w:rFonts w:eastAsia="DengXian"/>
        </w:rPr>
        <w:t xml:space="preserve"> three </w:t>
      </w:r>
      <w:r w:rsidR="007E0C1C" w:rsidRPr="00A001AB">
        <w:rPr>
          <w:rFonts w:eastAsia="DengXian"/>
        </w:rPr>
        <w:t xml:space="preserve">progressive </w:t>
      </w:r>
      <w:r w:rsidRPr="00A001AB">
        <w:rPr>
          <w:rFonts w:eastAsia="DengXian"/>
        </w:rPr>
        <w:t>steps: (1) selecting indicators, (2) identifying financial proxies (valuation and moneti</w:t>
      </w:r>
      <w:r w:rsidR="00A75681" w:rsidRPr="00A001AB">
        <w:rPr>
          <w:rFonts w:eastAsia="DengXian"/>
        </w:rPr>
        <w:t>z</w:t>
      </w:r>
      <w:r w:rsidRPr="00A001AB">
        <w:rPr>
          <w:rFonts w:eastAsia="DengXian"/>
        </w:rPr>
        <w:t xml:space="preserve">ation), and (3) collecting data. In selecting indicators, the developed </w:t>
      </w:r>
      <w:proofErr w:type="spellStart"/>
      <w:r w:rsidR="00A75681" w:rsidRPr="00A001AB">
        <w:rPr>
          <w:rFonts w:eastAsia="DengXian"/>
        </w:rPr>
        <w:t>ToC</w:t>
      </w:r>
      <w:proofErr w:type="spellEnd"/>
      <w:r w:rsidR="00A75681" w:rsidRPr="00A001AB">
        <w:rPr>
          <w:rFonts w:eastAsia="DengXian"/>
        </w:rPr>
        <w:t xml:space="preserve"> </w:t>
      </w:r>
      <w:r w:rsidRPr="00A001AB">
        <w:rPr>
          <w:rFonts w:eastAsia="DengXian"/>
        </w:rPr>
        <w:t>relie</w:t>
      </w:r>
      <w:r w:rsidR="00A75681" w:rsidRPr="00A001AB">
        <w:rPr>
          <w:rFonts w:eastAsia="DengXian"/>
        </w:rPr>
        <w:t>d</w:t>
      </w:r>
      <w:r w:rsidRPr="00A001AB">
        <w:rPr>
          <w:rFonts w:eastAsia="DengXian"/>
        </w:rPr>
        <w:t xml:space="preserve"> on secondary research to build the case for </w:t>
      </w:r>
      <w:r w:rsidR="0055473E" w:rsidRPr="00A001AB">
        <w:rPr>
          <w:rFonts w:eastAsia="DengXian"/>
        </w:rPr>
        <w:t xml:space="preserve">the need </w:t>
      </w:r>
      <w:r w:rsidR="00DE473D" w:rsidRPr="00A001AB">
        <w:rPr>
          <w:rFonts w:eastAsia="DengXian"/>
        </w:rPr>
        <w:t>for</w:t>
      </w:r>
      <w:r w:rsidRPr="00A001AB">
        <w:rPr>
          <w:rFonts w:eastAsia="DengXian"/>
        </w:rPr>
        <w:t xml:space="preserve"> intervention. To measure whether the outcomes set out ha</w:t>
      </w:r>
      <w:r w:rsidR="0055473E" w:rsidRPr="00A001AB">
        <w:rPr>
          <w:rFonts w:eastAsia="DengXian"/>
        </w:rPr>
        <w:t>d</w:t>
      </w:r>
      <w:r w:rsidRPr="00A001AB">
        <w:rPr>
          <w:rFonts w:eastAsia="DengXian"/>
        </w:rPr>
        <w:t xml:space="preserve"> been achieved, indicators </w:t>
      </w:r>
      <w:r w:rsidR="0055473E" w:rsidRPr="00A001AB">
        <w:rPr>
          <w:rFonts w:eastAsia="DengXian"/>
        </w:rPr>
        <w:t>c</w:t>
      </w:r>
      <w:r w:rsidRPr="00A001AB">
        <w:rPr>
          <w:rFonts w:eastAsia="DengXian"/>
        </w:rPr>
        <w:t xml:space="preserve">ould be selected to ascertain </w:t>
      </w:r>
      <w:r w:rsidRPr="00A001AB" w:rsidDel="00895378">
        <w:rPr>
          <w:rFonts w:eastAsia="DengXian"/>
        </w:rPr>
        <w:t xml:space="preserve">whether </w:t>
      </w:r>
      <w:r w:rsidRPr="00A001AB">
        <w:rPr>
          <w:rFonts w:eastAsia="DengXian"/>
        </w:rPr>
        <w:t>a change ha</w:t>
      </w:r>
      <w:r w:rsidR="0055473E" w:rsidRPr="00A001AB">
        <w:rPr>
          <w:rFonts w:eastAsia="DengXian"/>
        </w:rPr>
        <w:t>d</w:t>
      </w:r>
      <w:r w:rsidRPr="00A001AB">
        <w:rPr>
          <w:rFonts w:eastAsia="DengXian"/>
        </w:rPr>
        <w:t xml:space="preserve"> occurred. Both quantitative and qualitative indicators c</w:t>
      </w:r>
      <w:r w:rsidR="0055473E" w:rsidRPr="00A001AB">
        <w:rPr>
          <w:rFonts w:eastAsia="DengXian"/>
        </w:rPr>
        <w:t>ould</w:t>
      </w:r>
      <w:r w:rsidRPr="00A001AB">
        <w:rPr>
          <w:rFonts w:eastAsia="DengXian"/>
        </w:rPr>
        <w:t xml:space="preserve"> be used to provide a more holistic perspective of the outcomes achieved. </w:t>
      </w:r>
      <w:r w:rsidR="007836F3" w:rsidRPr="00A001AB">
        <w:rPr>
          <w:rFonts w:eastAsia="DengXian"/>
        </w:rPr>
        <w:t>T</w:t>
      </w:r>
      <w:r w:rsidR="0055473E" w:rsidRPr="00A001AB">
        <w:rPr>
          <w:rFonts w:eastAsia="DengXian"/>
        </w:rPr>
        <w:t>he i</w:t>
      </w:r>
      <w:r w:rsidRPr="00A001AB">
        <w:rPr>
          <w:rFonts w:eastAsia="DengXian"/>
        </w:rPr>
        <w:t xml:space="preserve">ndicators chosen </w:t>
      </w:r>
      <w:r w:rsidR="007836F3" w:rsidRPr="00A001AB">
        <w:rPr>
          <w:rFonts w:eastAsia="DengXian"/>
        </w:rPr>
        <w:t xml:space="preserve">should </w:t>
      </w:r>
      <w:r w:rsidRPr="00A001AB">
        <w:rPr>
          <w:rFonts w:eastAsia="DengXian"/>
        </w:rPr>
        <w:t>be S.M.A.R.T</w:t>
      </w:r>
      <w:r w:rsidR="008F4A81">
        <w:rPr>
          <w:rFonts w:eastAsia="DengXian"/>
        </w:rPr>
        <w:t>.</w:t>
      </w:r>
      <w:r w:rsidR="00257380" w:rsidRPr="00A001AB">
        <w:rPr>
          <w:rFonts w:eastAsia="DengXian"/>
        </w:rPr>
        <w:t>—</w:t>
      </w:r>
      <w:r w:rsidRPr="00A001AB">
        <w:rPr>
          <w:rFonts w:eastAsia="DengXian"/>
        </w:rPr>
        <w:t>specific, measurable, attainable, relevant</w:t>
      </w:r>
      <w:r w:rsidR="0055473E" w:rsidRPr="00A001AB">
        <w:rPr>
          <w:rFonts w:eastAsia="DengXian"/>
        </w:rPr>
        <w:t>,</w:t>
      </w:r>
      <w:r w:rsidRPr="00A001AB">
        <w:rPr>
          <w:rFonts w:eastAsia="DengXian"/>
        </w:rPr>
        <w:t xml:space="preserve"> and time-bound.</w:t>
      </w:r>
      <w:r w:rsidRPr="00370ECF">
        <w:rPr>
          <w:rStyle w:val="EndnoteReference"/>
          <w:rFonts w:eastAsia="DengXian"/>
        </w:rPr>
        <w:endnoteReference w:id="32"/>
      </w:r>
    </w:p>
    <w:p w14:paraId="7EFC2F35" w14:textId="77777777" w:rsidR="0045624B" w:rsidRPr="00C331A6" w:rsidRDefault="0045624B" w:rsidP="00A0299B">
      <w:pPr>
        <w:pStyle w:val="BodyTextMain"/>
        <w:rPr>
          <w:rFonts w:eastAsia="DengXian"/>
          <w:spacing w:val="-2"/>
          <w:sz w:val="20"/>
          <w:lang w:eastAsia="zh-CN"/>
        </w:rPr>
      </w:pPr>
    </w:p>
    <w:p w14:paraId="2BAC0DFA" w14:textId="02F21EAE" w:rsidR="0045624B" w:rsidRDefault="0045624B" w:rsidP="00A0299B">
      <w:pPr>
        <w:pStyle w:val="BodyTextMain"/>
        <w:rPr>
          <w:rFonts w:eastAsia="DengXian"/>
        </w:rPr>
      </w:pPr>
      <w:r w:rsidRPr="00A001AB">
        <w:rPr>
          <w:rFonts w:eastAsia="DengXian"/>
        </w:rPr>
        <w:t>Indicators ha</w:t>
      </w:r>
      <w:r w:rsidR="0055473E" w:rsidRPr="00A001AB">
        <w:rPr>
          <w:rFonts w:eastAsia="DengXian"/>
        </w:rPr>
        <w:t>d</w:t>
      </w:r>
      <w:r w:rsidRPr="00A001AB">
        <w:rPr>
          <w:rFonts w:eastAsia="DengXian"/>
        </w:rPr>
        <w:t xml:space="preserve"> to be chosen to </w:t>
      </w:r>
      <w:r w:rsidR="007836F3" w:rsidRPr="00A001AB">
        <w:rPr>
          <w:rFonts w:eastAsia="DengXian"/>
        </w:rPr>
        <w:t>measure</w:t>
      </w:r>
      <w:r w:rsidRPr="00A001AB">
        <w:rPr>
          <w:rFonts w:eastAsia="DengXian"/>
        </w:rPr>
        <w:t xml:space="preserve"> the changes brought about by </w:t>
      </w:r>
      <w:proofErr w:type="spellStart"/>
      <w:r w:rsidRPr="00A001AB">
        <w:rPr>
          <w:rFonts w:eastAsia="DengXian"/>
        </w:rPr>
        <w:t>Samsui’s</w:t>
      </w:r>
      <w:proofErr w:type="spellEnd"/>
      <w:r w:rsidRPr="00A001AB">
        <w:rPr>
          <w:rFonts w:eastAsia="DengXian"/>
        </w:rPr>
        <w:t xml:space="preserve"> intervention. </w:t>
      </w:r>
      <w:r w:rsidR="007836F3" w:rsidRPr="00A001AB">
        <w:rPr>
          <w:rFonts w:eastAsia="DengXian"/>
        </w:rPr>
        <w:t>Many found the process of t</w:t>
      </w:r>
      <w:r w:rsidRPr="00A001AB">
        <w:rPr>
          <w:rFonts w:eastAsia="DengXian"/>
        </w:rPr>
        <w:t>ranslating outcomes from social welfare interventions into measurable results challenging.</w:t>
      </w:r>
      <w:r w:rsidRPr="00370ECF">
        <w:rPr>
          <w:rStyle w:val="EndnoteReference"/>
          <w:rFonts w:eastAsia="DengXian"/>
        </w:rPr>
        <w:endnoteReference w:id="33"/>
      </w:r>
      <w:r w:rsidRPr="00A001AB">
        <w:rPr>
          <w:rFonts w:eastAsia="DengXian"/>
        </w:rPr>
        <w:t xml:space="preserve"> Consequently, both quantitative and qualitative indicators </w:t>
      </w:r>
      <w:r w:rsidR="0055473E" w:rsidRPr="00A001AB">
        <w:rPr>
          <w:rFonts w:eastAsia="DengXian"/>
        </w:rPr>
        <w:t>we</w:t>
      </w:r>
      <w:r w:rsidRPr="00A001AB">
        <w:rPr>
          <w:rFonts w:eastAsia="DengXian"/>
        </w:rPr>
        <w:t xml:space="preserve">re used in tandem to illustrate several aspects of </w:t>
      </w:r>
      <w:proofErr w:type="spellStart"/>
      <w:r w:rsidRPr="00A001AB">
        <w:rPr>
          <w:rFonts w:eastAsia="DengXian"/>
        </w:rPr>
        <w:t>Samsui</w:t>
      </w:r>
      <w:r w:rsidR="0055473E" w:rsidRPr="00A001AB">
        <w:rPr>
          <w:rFonts w:eastAsia="DengXian"/>
        </w:rPr>
        <w:t>’</w:t>
      </w:r>
      <w:r w:rsidRPr="00A001AB">
        <w:rPr>
          <w:rFonts w:eastAsia="DengXian"/>
        </w:rPr>
        <w:t>s</w:t>
      </w:r>
      <w:proofErr w:type="spellEnd"/>
      <w:r w:rsidRPr="00A001AB">
        <w:rPr>
          <w:rFonts w:eastAsia="DengXian"/>
        </w:rPr>
        <w:t xml:space="preserve"> SCK intervention. </w:t>
      </w:r>
      <w:r w:rsidR="007836F3" w:rsidRPr="00A001AB">
        <w:rPr>
          <w:rFonts w:eastAsia="DengXian"/>
        </w:rPr>
        <w:t xml:space="preserve">This served to </w:t>
      </w:r>
      <w:r w:rsidRPr="00A001AB">
        <w:rPr>
          <w:rFonts w:eastAsia="DengXian"/>
        </w:rPr>
        <w:t xml:space="preserve">provide a more holistic perspective of the outcomes achieved. </w:t>
      </w:r>
      <w:r w:rsidR="007836F3" w:rsidRPr="00A001AB">
        <w:rPr>
          <w:rFonts w:eastAsia="DengXian"/>
        </w:rPr>
        <w:t xml:space="preserve">A </w:t>
      </w:r>
      <w:r w:rsidR="0055473E" w:rsidRPr="00A001AB">
        <w:rPr>
          <w:rFonts w:eastAsia="DengXian"/>
        </w:rPr>
        <w:t xml:space="preserve">quantitative indicator </w:t>
      </w:r>
      <w:r w:rsidR="007836F3" w:rsidRPr="00A001AB">
        <w:rPr>
          <w:rFonts w:eastAsia="DengXian"/>
        </w:rPr>
        <w:t xml:space="preserve">of saving, for example, </w:t>
      </w:r>
      <w:r w:rsidR="006F6D05">
        <w:rPr>
          <w:rFonts w:eastAsia="DengXian"/>
        </w:rPr>
        <w:t>would be</w:t>
      </w:r>
      <w:r w:rsidR="006F6D05" w:rsidRPr="00A001AB">
        <w:rPr>
          <w:rFonts w:eastAsia="DengXian"/>
        </w:rPr>
        <w:t xml:space="preserve"> </w:t>
      </w:r>
      <w:r w:rsidR="007836F3" w:rsidRPr="00A001AB">
        <w:rPr>
          <w:rFonts w:eastAsia="DengXian"/>
        </w:rPr>
        <w:t xml:space="preserve">the </w:t>
      </w:r>
      <w:r w:rsidRPr="00A001AB">
        <w:rPr>
          <w:rFonts w:eastAsia="DengXian"/>
        </w:rPr>
        <w:t xml:space="preserve">resource </w:t>
      </w:r>
      <w:r w:rsidR="0055473E" w:rsidRPr="00A001AB">
        <w:rPr>
          <w:rFonts w:eastAsia="DengXian"/>
        </w:rPr>
        <w:t>saved by</w:t>
      </w:r>
      <w:r w:rsidRPr="00A001AB">
        <w:rPr>
          <w:rFonts w:eastAsia="DengXian"/>
        </w:rPr>
        <w:t xml:space="preserve"> outsourcing meals to </w:t>
      </w:r>
      <w:proofErr w:type="spellStart"/>
      <w:r w:rsidRPr="00A001AB">
        <w:rPr>
          <w:rFonts w:eastAsia="DengXian"/>
        </w:rPr>
        <w:t>Samsui</w:t>
      </w:r>
      <w:proofErr w:type="spellEnd"/>
      <w:r w:rsidR="0055473E" w:rsidRPr="00A001AB">
        <w:rPr>
          <w:rFonts w:eastAsia="DengXian"/>
        </w:rPr>
        <w:t>. T</w:t>
      </w:r>
      <w:r w:rsidRPr="00A001AB">
        <w:rPr>
          <w:rFonts w:eastAsia="DengXian"/>
        </w:rPr>
        <w:t>he quantitative indicator of the</w:t>
      </w:r>
      <w:r w:rsidR="0055473E" w:rsidRPr="00A001AB">
        <w:rPr>
          <w:rFonts w:eastAsia="DengXian"/>
        </w:rPr>
        <w:t>se</w:t>
      </w:r>
      <w:r w:rsidRPr="00A001AB">
        <w:rPr>
          <w:rFonts w:eastAsia="DengXian"/>
        </w:rPr>
        <w:t xml:space="preserve"> opportunity cost</w:t>
      </w:r>
      <w:r w:rsidR="0055473E" w:rsidRPr="00A001AB">
        <w:rPr>
          <w:rFonts w:eastAsia="DengXian"/>
        </w:rPr>
        <w:t>s, which were</w:t>
      </w:r>
      <w:r w:rsidRPr="00A001AB">
        <w:rPr>
          <w:rFonts w:eastAsia="DengXian"/>
        </w:rPr>
        <w:t xml:space="preserve"> incurred </w:t>
      </w:r>
      <w:r w:rsidR="0055473E" w:rsidRPr="00A001AB">
        <w:rPr>
          <w:rFonts w:eastAsia="DengXian"/>
        </w:rPr>
        <w:t>by</w:t>
      </w:r>
      <w:r w:rsidRPr="00A001AB">
        <w:rPr>
          <w:rFonts w:eastAsia="DengXian"/>
        </w:rPr>
        <w:t xml:space="preserve"> prepar</w:t>
      </w:r>
      <w:r w:rsidR="0055473E" w:rsidRPr="00A001AB">
        <w:rPr>
          <w:rFonts w:eastAsia="DengXian"/>
        </w:rPr>
        <w:t>ing</w:t>
      </w:r>
      <w:r w:rsidRPr="00A001AB">
        <w:rPr>
          <w:rFonts w:eastAsia="DengXian"/>
        </w:rPr>
        <w:t xml:space="preserve"> meals in-house</w:t>
      </w:r>
      <w:r w:rsidR="0055473E" w:rsidRPr="00A001AB">
        <w:rPr>
          <w:rFonts w:eastAsia="DengXian"/>
        </w:rPr>
        <w:t>,</w:t>
      </w:r>
      <w:r w:rsidRPr="00A001AB">
        <w:rPr>
          <w:rFonts w:eastAsia="DengXian"/>
        </w:rPr>
        <w:t xml:space="preserve"> </w:t>
      </w:r>
      <w:r w:rsidR="0055473E" w:rsidRPr="00A001AB">
        <w:rPr>
          <w:rFonts w:eastAsia="DengXian"/>
        </w:rPr>
        <w:t>wa</w:t>
      </w:r>
      <w:r w:rsidRPr="00A001AB">
        <w:rPr>
          <w:rFonts w:eastAsia="DengXian"/>
        </w:rPr>
        <w:t xml:space="preserve">s used together with surveys of </w:t>
      </w:r>
      <w:r w:rsidR="0055473E" w:rsidRPr="00A001AB">
        <w:rPr>
          <w:rFonts w:eastAsia="DengXian"/>
        </w:rPr>
        <w:t>long-term care facility</w:t>
      </w:r>
      <w:r w:rsidRPr="00A001AB">
        <w:rPr>
          <w:rFonts w:eastAsia="DengXian"/>
        </w:rPr>
        <w:t xml:space="preserve"> operators and service staff. One key consideration for </w:t>
      </w:r>
      <w:proofErr w:type="spellStart"/>
      <w:r w:rsidRPr="00A001AB">
        <w:rPr>
          <w:rFonts w:eastAsia="DengXian"/>
        </w:rPr>
        <w:t>Samsui</w:t>
      </w:r>
      <w:proofErr w:type="spellEnd"/>
      <w:r w:rsidRPr="00A001AB">
        <w:rPr>
          <w:rFonts w:eastAsia="DengXian"/>
        </w:rPr>
        <w:t xml:space="preserve"> </w:t>
      </w:r>
      <w:r w:rsidR="0055473E" w:rsidRPr="00A001AB">
        <w:rPr>
          <w:rFonts w:eastAsia="DengXian"/>
        </w:rPr>
        <w:t>wa</w:t>
      </w:r>
      <w:r w:rsidRPr="00A001AB">
        <w:rPr>
          <w:rFonts w:eastAsia="DengXian"/>
        </w:rPr>
        <w:t>s whether the indicators c</w:t>
      </w:r>
      <w:r w:rsidR="0055473E" w:rsidRPr="00A001AB">
        <w:rPr>
          <w:rFonts w:eastAsia="DengXian"/>
        </w:rPr>
        <w:t>ould</w:t>
      </w:r>
      <w:r w:rsidRPr="00A001AB">
        <w:rPr>
          <w:rFonts w:eastAsia="DengXian"/>
        </w:rPr>
        <w:t xml:space="preserve"> be reasonably measured. </w:t>
      </w:r>
    </w:p>
    <w:p w14:paraId="65265A9E" w14:textId="77777777" w:rsidR="000355C9" w:rsidRPr="00A001AB" w:rsidRDefault="000355C9" w:rsidP="00A0299B">
      <w:pPr>
        <w:pStyle w:val="BodyTextMain"/>
        <w:rPr>
          <w:rFonts w:eastAsia="DengXian"/>
        </w:rPr>
      </w:pPr>
    </w:p>
    <w:p w14:paraId="7222A1EF" w14:textId="74FCC038" w:rsidR="0045624B" w:rsidRPr="00C70F23" w:rsidRDefault="0045624B" w:rsidP="00A0299B">
      <w:pPr>
        <w:pStyle w:val="BodyTextMain"/>
        <w:rPr>
          <w:rFonts w:eastAsia="DengXian"/>
          <w:lang w:eastAsia="zh-CN"/>
        </w:rPr>
      </w:pPr>
      <w:r w:rsidRPr="00C70F23">
        <w:rPr>
          <w:rFonts w:eastAsia="DengXian"/>
          <w:lang w:eastAsia="zh-CN"/>
        </w:rPr>
        <w:t>Having chosen suitable indicators, monetary values w</w:t>
      </w:r>
      <w:r w:rsidR="0055473E" w:rsidRPr="00C70F23">
        <w:rPr>
          <w:rFonts w:eastAsia="DengXian"/>
          <w:lang w:eastAsia="zh-CN"/>
        </w:rPr>
        <w:t>ere</w:t>
      </w:r>
      <w:r w:rsidRPr="00C70F23">
        <w:rPr>
          <w:rFonts w:eastAsia="DengXian"/>
          <w:lang w:eastAsia="zh-CN"/>
        </w:rPr>
        <w:t xml:space="preserve"> attached to the outcomes to estimate the social value to different stakeholders. To do so, financial proxies </w:t>
      </w:r>
      <w:r w:rsidR="0055473E" w:rsidRPr="00C70F23">
        <w:rPr>
          <w:rFonts w:eastAsia="DengXian"/>
          <w:lang w:eastAsia="zh-CN"/>
        </w:rPr>
        <w:t>had</w:t>
      </w:r>
      <w:r w:rsidRPr="00C70F23">
        <w:rPr>
          <w:rFonts w:eastAsia="DengXian"/>
          <w:lang w:eastAsia="zh-CN"/>
        </w:rPr>
        <w:t xml:space="preserve"> to be chosen</w:t>
      </w:r>
      <w:r w:rsidR="0055473E" w:rsidRPr="00C70F23">
        <w:rPr>
          <w:rFonts w:eastAsia="DengXian"/>
          <w:lang w:eastAsia="zh-CN"/>
        </w:rPr>
        <w:t>. Financial proxies helped</w:t>
      </w:r>
      <w:r w:rsidR="007836F3">
        <w:rPr>
          <w:rFonts w:eastAsia="DengXian"/>
          <w:lang w:eastAsia="zh-CN"/>
        </w:rPr>
        <w:t xml:space="preserve"> to</w:t>
      </w:r>
      <w:r w:rsidR="0055473E" w:rsidRPr="00C70F23">
        <w:rPr>
          <w:rFonts w:eastAsia="DengXian"/>
          <w:lang w:eastAsia="zh-CN"/>
        </w:rPr>
        <w:t xml:space="preserve"> reach the</w:t>
      </w:r>
      <w:r w:rsidRPr="00C70F23">
        <w:rPr>
          <w:rFonts w:eastAsia="DengXian"/>
          <w:lang w:eastAsia="zh-CN"/>
        </w:rPr>
        <w:t xml:space="preserve"> desired indicator and estimate the social value of non-traded goods to different stakeholders. </w:t>
      </w:r>
      <w:r w:rsidR="00257380" w:rsidRPr="00C70F23">
        <w:rPr>
          <w:rFonts w:eastAsia="DengXian"/>
          <w:lang w:eastAsia="zh-CN"/>
        </w:rPr>
        <w:t>The f</w:t>
      </w:r>
      <w:r w:rsidRPr="00C70F23">
        <w:rPr>
          <w:rFonts w:eastAsia="DengXian"/>
          <w:lang w:eastAsia="zh-CN"/>
        </w:rPr>
        <w:t xml:space="preserve">inancial proxies chosen </w:t>
      </w:r>
      <w:r w:rsidR="0055473E" w:rsidRPr="00C70F23">
        <w:rPr>
          <w:rFonts w:eastAsia="DengXian"/>
          <w:lang w:eastAsia="zh-CN"/>
        </w:rPr>
        <w:t>had to</w:t>
      </w:r>
      <w:r w:rsidRPr="00C70F23">
        <w:rPr>
          <w:rFonts w:eastAsia="DengXian"/>
          <w:lang w:eastAsia="zh-CN"/>
        </w:rPr>
        <w:t xml:space="preserve"> be close to the desired indicators. </w:t>
      </w:r>
      <w:r w:rsidR="0055473E" w:rsidRPr="00C70F23">
        <w:rPr>
          <w:rFonts w:eastAsia="DengXian"/>
          <w:lang w:eastAsia="zh-CN"/>
        </w:rPr>
        <w:t>For example</w:t>
      </w:r>
      <w:r w:rsidRPr="00C70F23">
        <w:rPr>
          <w:rFonts w:eastAsia="DengXian"/>
          <w:lang w:eastAsia="zh-CN"/>
        </w:rPr>
        <w:t xml:space="preserve">, a monetary value </w:t>
      </w:r>
      <w:r w:rsidR="0055473E" w:rsidRPr="00C70F23">
        <w:rPr>
          <w:rFonts w:eastAsia="DengXian"/>
          <w:lang w:eastAsia="zh-CN"/>
        </w:rPr>
        <w:t>was calculated</w:t>
      </w:r>
      <w:r w:rsidRPr="00C70F23">
        <w:rPr>
          <w:rFonts w:eastAsia="DengXian"/>
          <w:lang w:eastAsia="zh-CN"/>
        </w:rPr>
        <w:t xml:space="preserve"> for a </w:t>
      </w:r>
      <w:r w:rsidR="0055473E" w:rsidRPr="00C70F23">
        <w:rPr>
          <w:rFonts w:eastAsia="DengXian"/>
          <w:lang w:eastAsia="zh-CN"/>
        </w:rPr>
        <w:t>long-term care facility</w:t>
      </w:r>
      <w:r w:rsidRPr="00C70F23">
        <w:rPr>
          <w:rFonts w:eastAsia="DengXian"/>
          <w:lang w:eastAsia="zh-CN"/>
        </w:rPr>
        <w:t xml:space="preserve"> freeing up resources by outsourcing to </w:t>
      </w:r>
      <w:proofErr w:type="spellStart"/>
      <w:r w:rsidRPr="00C70F23">
        <w:rPr>
          <w:rFonts w:eastAsia="DengXian"/>
          <w:lang w:eastAsia="zh-CN"/>
        </w:rPr>
        <w:t>Samsui</w:t>
      </w:r>
      <w:proofErr w:type="spellEnd"/>
      <w:r w:rsidRPr="00C70F23">
        <w:rPr>
          <w:rFonts w:eastAsia="DengXian"/>
          <w:lang w:eastAsia="zh-CN"/>
        </w:rPr>
        <w:t xml:space="preserve"> on a per meal basis. This </w:t>
      </w:r>
      <w:r w:rsidR="0055473E" w:rsidRPr="00C70F23">
        <w:rPr>
          <w:rFonts w:eastAsia="DengXian"/>
          <w:lang w:eastAsia="zh-CN"/>
        </w:rPr>
        <w:t>calculation wa</w:t>
      </w:r>
      <w:r w:rsidRPr="00C70F23">
        <w:rPr>
          <w:rFonts w:eastAsia="DengXian"/>
          <w:lang w:eastAsia="zh-CN"/>
        </w:rPr>
        <w:t>s based on the difference between the existing industry average</w:t>
      </w:r>
      <w:r w:rsidR="0055473E" w:rsidRPr="00C70F23">
        <w:rPr>
          <w:rFonts w:eastAsia="DengXian"/>
          <w:lang w:eastAsia="zh-CN"/>
        </w:rPr>
        <w:t xml:space="preserve"> food </w:t>
      </w:r>
      <w:proofErr w:type="gramStart"/>
      <w:r w:rsidR="0055473E" w:rsidRPr="00C70F23">
        <w:rPr>
          <w:rFonts w:eastAsia="DengXian"/>
          <w:lang w:eastAsia="zh-CN"/>
        </w:rPr>
        <w:t>price</w:t>
      </w:r>
      <w:proofErr w:type="gramEnd"/>
      <w:r w:rsidRPr="00C70F23">
        <w:rPr>
          <w:rFonts w:eastAsia="DengXian"/>
          <w:lang w:eastAsia="zh-CN"/>
        </w:rPr>
        <w:t xml:space="preserve"> </w:t>
      </w:r>
      <w:r w:rsidR="0055473E" w:rsidRPr="00C70F23">
        <w:rPr>
          <w:rFonts w:eastAsia="DengXian"/>
          <w:lang w:eastAsia="zh-CN"/>
        </w:rPr>
        <w:t>versus</w:t>
      </w:r>
      <w:r w:rsidRPr="00C70F23">
        <w:rPr>
          <w:rFonts w:eastAsia="DengXian"/>
          <w:lang w:eastAsia="zh-CN"/>
        </w:rPr>
        <w:t xml:space="preserve"> </w:t>
      </w:r>
      <w:proofErr w:type="spellStart"/>
      <w:r w:rsidRPr="00C70F23">
        <w:rPr>
          <w:rFonts w:eastAsia="DengXian"/>
          <w:lang w:eastAsia="zh-CN"/>
        </w:rPr>
        <w:t>Samsui’s</w:t>
      </w:r>
      <w:proofErr w:type="spellEnd"/>
      <w:r w:rsidRPr="00C70F23">
        <w:rPr>
          <w:rFonts w:eastAsia="DengXian"/>
          <w:lang w:eastAsia="zh-CN"/>
        </w:rPr>
        <w:t xml:space="preserve"> </w:t>
      </w:r>
      <w:r w:rsidR="0055473E" w:rsidRPr="00C70F23">
        <w:rPr>
          <w:rFonts w:eastAsia="DengXian"/>
          <w:lang w:eastAsia="zh-CN"/>
        </w:rPr>
        <w:t xml:space="preserve">food price </w:t>
      </w:r>
      <w:r w:rsidRPr="00C70F23">
        <w:rPr>
          <w:rFonts w:eastAsia="DengXian"/>
          <w:lang w:eastAsia="zh-CN"/>
        </w:rPr>
        <w:t xml:space="preserve">(see </w:t>
      </w:r>
      <w:r w:rsidR="009460E3">
        <w:rPr>
          <w:rFonts w:eastAsia="DengXian"/>
          <w:lang w:eastAsia="zh-CN"/>
        </w:rPr>
        <w:t>Exhibit 5</w:t>
      </w:r>
      <w:r w:rsidRPr="00C70F23">
        <w:rPr>
          <w:rFonts w:eastAsia="DengXian"/>
          <w:lang w:eastAsia="zh-CN"/>
        </w:rPr>
        <w:t xml:space="preserve">). </w:t>
      </w:r>
    </w:p>
    <w:p w14:paraId="35AB36CD" w14:textId="77777777" w:rsidR="0045624B" w:rsidRPr="00C70F23" w:rsidRDefault="0045624B" w:rsidP="00A0299B">
      <w:pPr>
        <w:pStyle w:val="BodyTextMain"/>
        <w:rPr>
          <w:rFonts w:eastAsia="DengXian"/>
          <w:lang w:eastAsia="zh-CN"/>
        </w:rPr>
      </w:pPr>
    </w:p>
    <w:p w14:paraId="04623350" w14:textId="5032C0EB" w:rsidR="0045624B" w:rsidRPr="00C70F23" w:rsidRDefault="0045624B" w:rsidP="00A0299B">
      <w:pPr>
        <w:pStyle w:val="BodyTextMain"/>
        <w:rPr>
          <w:rFonts w:eastAsia="Arial"/>
          <w:lang w:eastAsia="zh-CN"/>
        </w:rPr>
      </w:pPr>
      <w:r w:rsidRPr="00C70F23">
        <w:rPr>
          <w:rFonts w:eastAsia="DengXian"/>
          <w:lang w:eastAsia="zh-CN"/>
        </w:rPr>
        <w:lastRenderedPageBreak/>
        <w:t xml:space="preserve">Data for each of the indicators chosen </w:t>
      </w:r>
      <w:r w:rsidR="0055473E" w:rsidRPr="00C70F23">
        <w:rPr>
          <w:rFonts w:eastAsia="DengXian"/>
          <w:lang w:eastAsia="zh-CN"/>
        </w:rPr>
        <w:t>had to</w:t>
      </w:r>
      <w:r w:rsidRPr="00C70F23">
        <w:rPr>
          <w:rFonts w:eastAsia="DengXian"/>
          <w:lang w:eastAsia="zh-CN"/>
        </w:rPr>
        <w:t xml:space="preserve"> be collected based on research and existing sources (</w:t>
      </w:r>
      <w:r w:rsidR="0055473E" w:rsidRPr="00C70F23">
        <w:rPr>
          <w:rFonts w:eastAsia="DengXian"/>
          <w:lang w:eastAsia="zh-CN"/>
        </w:rPr>
        <w:t xml:space="preserve">i.e., </w:t>
      </w:r>
      <w:r w:rsidRPr="00C70F23">
        <w:rPr>
          <w:rFonts w:eastAsia="DengXian"/>
          <w:lang w:eastAsia="zh-CN"/>
        </w:rPr>
        <w:t xml:space="preserve">internal stakeholders and external sources). This step </w:t>
      </w:r>
      <w:r w:rsidR="0055473E" w:rsidRPr="00C70F23">
        <w:rPr>
          <w:rFonts w:eastAsia="DengXian"/>
          <w:lang w:eastAsia="zh-CN"/>
        </w:rPr>
        <w:t>wa</w:t>
      </w:r>
      <w:r w:rsidRPr="00C70F23">
        <w:rPr>
          <w:rFonts w:eastAsia="DengXian"/>
          <w:lang w:eastAsia="zh-CN"/>
        </w:rPr>
        <w:t xml:space="preserve">s done </w:t>
      </w:r>
      <w:r w:rsidR="004B63F5" w:rsidRPr="00C70F23">
        <w:rPr>
          <w:rFonts w:eastAsia="DengXian"/>
          <w:lang w:eastAsia="zh-CN"/>
        </w:rPr>
        <w:t>using</w:t>
      </w:r>
      <w:r w:rsidRPr="00C70F23">
        <w:rPr>
          <w:rFonts w:eastAsia="DengXian"/>
          <w:lang w:eastAsia="zh-CN"/>
        </w:rPr>
        <w:t xml:space="preserve"> reasonable</w:t>
      </w:r>
      <w:r w:rsidR="004B63F5" w:rsidRPr="00C70F23">
        <w:rPr>
          <w:rFonts w:eastAsia="DengXian"/>
          <w:lang w:eastAsia="zh-CN"/>
        </w:rPr>
        <w:t xml:space="preserve"> </w:t>
      </w:r>
      <w:r w:rsidRPr="00C70F23">
        <w:rPr>
          <w:rFonts w:eastAsia="DengXian"/>
          <w:lang w:eastAsia="zh-CN"/>
        </w:rPr>
        <w:t xml:space="preserve">efforts to evaluate the change </w:t>
      </w:r>
      <w:r w:rsidR="004B63F5" w:rsidRPr="00C70F23">
        <w:rPr>
          <w:rFonts w:eastAsia="DengXian"/>
          <w:lang w:eastAsia="zh-CN"/>
        </w:rPr>
        <w:t>that resulted</w:t>
      </w:r>
      <w:r w:rsidRPr="00C70F23">
        <w:rPr>
          <w:rFonts w:eastAsia="DengXian"/>
          <w:lang w:eastAsia="zh-CN"/>
        </w:rPr>
        <w:t xml:space="preserve">. </w:t>
      </w:r>
      <w:r w:rsidR="007938F8" w:rsidRPr="00C70F23">
        <w:rPr>
          <w:rFonts w:eastAsia="DengXian"/>
          <w:lang w:eastAsia="zh-CN"/>
        </w:rPr>
        <w:t xml:space="preserve">Two </w:t>
      </w:r>
      <w:r w:rsidRPr="00C70F23">
        <w:rPr>
          <w:rFonts w:eastAsia="DengXian"/>
          <w:lang w:eastAsia="zh-CN"/>
        </w:rPr>
        <w:t>k</w:t>
      </w:r>
      <w:r w:rsidRPr="00C70F23">
        <w:rPr>
          <w:rFonts w:eastAsia="Arial"/>
          <w:lang w:eastAsia="zh-CN"/>
        </w:rPr>
        <w:t xml:space="preserve">ey variables </w:t>
      </w:r>
      <w:r w:rsidR="007938F8" w:rsidRPr="00C70F23">
        <w:rPr>
          <w:rFonts w:eastAsia="Arial"/>
          <w:lang w:eastAsia="zh-CN"/>
        </w:rPr>
        <w:t xml:space="preserve">were </w:t>
      </w:r>
      <w:r w:rsidRPr="00C70F23">
        <w:rPr>
          <w:rFonts w:eastAsia="Arial"/>
          <w:lang w:eastAsia="zh-CN"/>
        </w:rPr>
        <w:t xml:space="preserve">identified that </w:t>
      </w:r>
      <w:r w:rsidR="0055473E" w:rsidRPr="00C70F23">
        <w:rPr>
          <w:rFonts w:eastAsia="Arial"/>
          <w:lang w:eastAsia="zh-CN"/>
        </w:rPr>
        <w:t>could</w:t>
      </w:r>
      <w:r w:rsidR="007938F8" w:rsidRPr="00C70F23">
        <w:rPr>
          <w:rFonts w:eastAsia="Arial"/>
          <w:lang w:eastAsia="zh-CN"/>
        </w:rPr>
        <w:t xml:space="preserve"> significantly alter</w:t>
      </w:r>
      <w:r w:rsidRPr="00C70F23">
        <w:rPr>
          <w:rFonts w:eastAsia="Arial"/>
          <w:lang w:eastAsia="zh-CN"/>
        </w:rPr>
        <w:t xml:space="preserve"> the calculation of SROI: (1) </w:t>
      </w:r>
      <w:r w:rsidR="007B66D8">
        <w:rPr>
          <w:rFonts w:eastAsia="Arial"/>
          <w:lang w:eastAsia="zh-CN"/>
        </w:rPr>
        <w:t xml:space="preserve">the </w:t>
      </w:r>
      <w:r w:rsidRPr="00C70F23">
        <w:rPr>
          <w:rFonts w:eastAsia="Arial"/>
          <w:lang w:eastAsia="zh-CN"/>
        </w:rPr>
        <w:t xml:space="preserve">number of meals sold to </w:t>
      </w:r>
      <w:r w:rsidR="007938F8" w:rsidRPr="00C70F23">
        <w:rPr>
          <w:rFonts w:eastAsia="DengXian"/>
          <w:lang w:eastAsia="zh-CN"/>
        </w:rPr>
        <w:t>long-term care faciliti</w:t>
      </w:r>
      <w:r w:rsidRPr="00C70F23">
        <w:rPr>
          <w:rFonts w:eastAsia="Arial"/>
          <w:lang w:eastAsia="zh-CN"/>
        </w:rPr>
        <w:t xml:space="preserve">es and (2) </w:t>
      </w:r>
      <w:r w:rsidR="00356E6F">
        <w:rPr>
          <w:rFonts w:eastAsia="Arial"/>
          <w:lang w:eastAsia="zh-CN"/>
        </w:rPr>
        <w:t xml:space="preserve">the </w:t>
      </w:r>
      <w:r w:rsidRPr="00C70F23">
        <w:rPr>
          <w:rFonts w:eastAsia="Arial"/>
          <w:lang w:eastAsia="zh-CN"/>
        </w:rPr>
        <w:t xml:space="preserve">difference in </w:t>
      </w:r>
      <w:proofErr w:type="spellStart"/>
      <w:r w:rsidRPr="00C70F23">
        <w:rPr>
          <w:rFonts w:eastAsia="Arial"/>
          <w:lang w:eastAsia="zh-CN"/>
        </w:rPr>
        <w:t>Samsui’s</w:t>
      </w:r>
      <w:proofErr w:type="spellEnd"/>
      <w:r w:rsidRPr="00C70F23">
        <w:rPr>
          <w:rFonts w:eastAsia="Arial"/>
          <w:lang w:eastAsia="zh-CN"/>
        </w:rPr>
        <w:t xml:space="preserve"> food price versus industry average. </w:t>
      </w:r>
      <w:r w:rsidR="004B63F5" w:rsidRPr="00C70F23">
        <w:rPr>
          <w:rFonts w:eastAsia="Arial"/>
          <w:lang w:eastAsia="zh-CN"/>
        </w:rPr>
        <w:t>O</w:t>
      </w:r>
      <w:r w:rsidRPr="00C70F23">
        <w:rPr>
          <w:rFonts w:eastAsia="Arial"/>
          <w:lang w:eastAsia="zh-CN"/>
        </w:rPr>
        <w:t xml:space="preserve">ther model assumptions </w:t>
      </w:r>
      <w:r w:rsidR="004B63F5" w:rsidRPr="00C70F23">
        <w:rPr>
          <w:rFonts w:eastAsia="Arial"/>
          <w:lang w:eastAsia="zh-CN"/>
        </w:rPr>
        <w:t xml:space="preserve">were also </w:t>
      </w:r>
      <w:r w:rsidRPr="00C70F23">
        <w:rPr>
          <w:rFonts w:eastAsia="Arial"/>
          <w:lang w:eastAsia="zh-CN"/>
        </w:rPr>
        <w:t xml:space="preserve">used for </w:t>
      </w:r>
      <w:r w:rsidR="004B63F5" w:rsidRPr="00C70F23">
        <w:rPr>
          <w:rFonts w:eastAsia="Arial"/>
          <w:lang w:eastAsia="zh-CN"/>
        </w:rPr>
        <w:t xml:space="preserve">the </w:t>
      </w:r>
      <w:r w:rsidRPr="00C70F23">
        <w:rPr>
          <w:rFonts w:eastAsia="Arial"/>
          <w:lang w:eastAsia="zh-CN"/>
        </w:rPr>
        <w:t xml:space="preserve">SROI analysis </w:t>
      </w:r>
      <w:r w:rsidR="007938F8" w:rsidRPr="00C70F23">
        <w:rPr>
          <w:rFonts w:eastAsia="Arial"/>
          <w:lang w:eastAsia="zh-CN"/>
        </w:rPr>
        <w:t xml:space="preserve">(see </w:t>
      </w:r>
      <w:r w:rsidR="009460E3">
        <w:rPr>
          <w:rFonts w:eastAsia="Arial"/>
          <w:lang w:eastAsia="zh-CN"/>
        </w:rPr>
        <w:t>Exhibit 6</w:t>
      </w:r>
      <w:r w:rsidRPr="00C70F23">
        <w:rPr>
          <w:rFonts w:eastAsia="Arial"/>
          <w:lang w:eastAsia="zh-CN"/>
        </w:rPr>
        <w:t xml:space="preserve">). </w:t>
      </w:r>
    </w:p>
    <w:p w14:paraId="46573990" w14:textId="77777777" w:rsidR="0045624B" w:rsidRPr="00C70F23" w:rsidRDefault="0045624B" w:rsidP="00A0299B">
      <w:pPr>
        <w:pStyle w:val="BodyTextMain"/>
        <w:rPr>
          <w:rFonts w:eastAsia="DengXian"/>
          <w:lang w:eastAsia="zh-CN"/>
        </w:rPr>
      </w:pPr>
    </w:p>
    <w:p w14:paraId="1B481751" w14:textId="3ABC905E" w:rsidR="00A0299B" w:rsidRPr="00C70F23" w:rsidRDefault="007938F8" w:rsidP="00A0299B">
      <w:pPr>
        <w:pStyle w:val="BodyTextMain"/>
        <w:rPr>
          <w:rFonts w:eastAsia="DengXian"/>
          <w:lang w:eastAsia="zh-CN"/>
        </w:rPr>
      </w:pPr>
      <w:r w:rsidRPr="00C70F23">
        <w:rPr>
          <w:rFonts w:eastAsia="DengXian"/>
          <w:lang w:eastAsia="zh-CN"/>
        </w:rPr>
        <w:t>The calculation</w:t>
      </w:r>
      <w:r w:rsidR="0045624B" w:rsidRPr="00C70F23">
        <w:rPr>
          <w:rFonts w:eastAsia="DengXian"/>
          <w:lang w:eastAsia="zh-CN"/>
        </w:rPr>
        <w:t xml:space="preserve"> also involve</w:t>
      </w:r>
      <w:r w:rsidRPr="00C70F23">
        <w:rPr>
          <w:rFonts w:eastAsia="DengXian"/>
          <w:lang w:eastAsia="zh-CN"/>
        </w:rPr>
        <w:t>d</w:t>
      </w:r>
      <w:r w:rsidR="0045624B" w:rsidRPr="00C70F23">
        <w:rPr>
          <w:rFonts w:eastAsia="DengXian"/>
          <w:lang w:eastAsia="zh-CN"/>
        </w:rPr>
        <w:t xml:space="preserve"> estimating </w:t>
      </w:r>
      <w:r w:rsidRPr="00C70F23">
        <w:rPr>
          <w:rFonts w:eastAsia="DengXian"/>
          <w:lang w:eastAsia="zh-CN"/>
        </w:rPr>
        <w:t xml:space="preserve">the SCK project’s </w:t>
      </w:r>
      <w:r w:rsidR="0045624B" w:rsidRPr="00C70F23">
        <w:rPr>
          <w:rFonts w:eastAsia="DengXian"/>
          <w:lang w:eastAsia="zh-CN"/>
        </w:rPr>
        <w:t>deadweight</w:t>
      </w:r>
      <w:r w:rsidR="004B63F5" w:rsidRPr="00C70F23">
        <w:rPr>
          <w:rFonts w:eastAsia="DengXian"/>
          <w:lang w:eastAsia="zh-CN"/>
        </w:rPr>
        <w:t xml:space="preserve">; that is, </w:t>
      </w:r>
      <w:r w:rsidR="0045624B" w:rsidRPr="00C70F23">
        <w:rPr>
          <w:rFonts w:eastAsia="DengXian"/>
          <w:lang w:eastAsia="zh-CN"/>
        </w:rPr>
        <w:t>how much of the outcome</w:t>
      </w:r>
      <w:r w:rsidRPr="00C70F23">
        <w:rPr>
          <w:rFonts w:eastAsia="DengXian"/>
          <w:lang w:eastAsia="zh-CN"/>
        </w:rPr>
        <w:t xml:space="preserve"> </w:t>
      </w:r>
      <w:r w:rsidR="007836F3">
        <w:rPr>
          <w:rFonts w:eastAsia="DengXian"/>
          <w:lang w:eastAsia="zh-CN"/>
        </w:rPr>
        <w:t xml:space="preserve">could be </w:t>
      </w:r>
      <w:r w:rsidR="0045624B" w:rsidRPr="00C70F23">
        <w:rPr>
          <w:rFonts w:eastAsia="DengXian"/>
          <w:lang w:eastAsia="zh-CN"/>
        </w:rPr>
        <w:t>achieved without intervention</w:t>
      </w:r>
      <w:r w:rsidRPr="00C70F23">
        <w:rPr>
          <w:rFonts w:eastAsia="DengXian"/>
          <w:lang w:eastAsia="zh-CN"/>
        </w:rPr>
        <w:t>?</w:t>
      </w:r>
      <w:r w:rsidR="0045624B" w:rsidRPr="00C70F23">
        <w:rPr>
          <w:rFonts w:eastAsia="DengXian"/>
          <w:lang w:eastAsia="zh-CN"/>
        </w:rPr>
        <w:t xml:space="preserve"> No deadweight </w:t>
      </w:r>
      <w:r w:rsidRPr="00C70F23">
        <w:rPr>
          <w:rFonts w:eastAsia="DengXian"/>
          <w:lang w:eastAsia="zh-CN"/>
        </w:rPr>
        <w:t>wa</w:t>
      </w:r>
      <w:r w:rsidR="0045624B" w:rsidRPr="00C70F23">
        <w:rPr>
          <w:rFonts w:eastAsia="DengXian"/>
          <w:lang w:eastAsia="zh-CN"/>
        </w:rPr>
        <w:t>s assumed for</w:t>
      </w:r>
      <w:r w:rsidRPr="00C70F23">
        <w:rPr>
          <w:rFonts w:eastAsia="DengXian"/>
          <w:lang w:eastAsia="zh-CN"/>
        </w:rPr>
        <w:t xml:space="preserve"> the</w:t>
      </w:r>
      <w:r w:rsidR="0045624B" w:rsidRPr="00C70F23">
        <w:rPr>
          <w:rFonts w:eastAsia="DengXian"/>
          <w:lang w:eastAsia="zh-CN"/>
        </w:rPr>
        <w:t xml:space="preserve"> outcome of “residents having a greater variety of nutritious meals</w:t>
      </w:r>
      <w:r w:rsidRPr="00C70F23">
        <w:rPr>
          <w:rFonts w:eastAsia="DengXian"/>
          <w:lang w:eastAsia="zh-CN"/>
        </w:rPr>
        <w:t>.</w:t>
      </w:r>
      <w:r w:rsidR="0045624B" w:rsidRPr="00C70F23">
        <w:rPr>
          <w:rFonts w:eastAsia="DengXian"/>
          <w:lang w:eastAsia="zh-CN"/>
        </w:rPr>
        <w:t xml:space="preserve">” This change </w:t>
      </w:r>
      <w:r w:rsidRPr="00C70F23">
        <w:rPr>
          <w:rFonts w:eastAsia="DengXian"/>
          <w:lang w:eastAsia="zh-CN"/>
        </w:rPr>
        <w:t>wa</w:t>
      </w:r>
      <w:r w:rsidR="0045624B" w:rsidRPr="00C70F23">
        <w:rPr>
          <w:rFonts w:eastAsia="DengXian"/>
          <w:lang w:eastAsia="zh-CN"/>
        </w:rPr>
        <w:t xml:space="preserve">s unlikely to happen without </w:t>
      </w:r>
      <w:proofErr w:type="spellStart"/>
      <w:r w:rsidR="0045624B" w:rsidRPr="00C70F23">
        <w:rPr>
          <w:rFonts w:eastAsia="DengXian"/>
          <w:lang w:eastAsia="zh-CN"/>
        </w:rPr>
        <w:t>Samsui</w:t>
      </w:r>
      <w:proofErr w:type="spellEnd"/>
      <w:r w:rsidR="0045624B" w:rsidRPr="00C70F23">
        <w:rPr>
          <w:rFonts w:eastAsia="DengXian"/>
          <w:lang w:eastAsia="zh-CN"/>
        </w:rPr>
        <w:t xml:space="preserve"> </w:t>
      </w:r>
      <w:r w:rsidRPr="00C70F23">
        <w:rPr>
          <w:rFonts w:eastAsia="DengXian"/>
          <w:lang w:eastAsia="zh-CN"/>
        </w:rPr>
        <w:t>bec</w:t>
      </w:r>
      <w:r w:rsidR="0045624B" w:rsidRPr="00C70F23">
        <w:rPr>
          <w:rFonts w:eastAsia="DengXian"/>
          <w:lang w:eastAsia="zh-CN"/>
        </w:rPr>
        <w:t>a</w:t>
      </w:r>
      <w:r w:rsidRPr="00C70F23">
        <w:rPr>
          <w:rFonts w:eastAsia="DengXian"/>
          <w:lang w:eastAsia="zh-CN"/>
        </w:rPr>
        <w:t>u</w:t>
      </w:r>
      <w:r w:rsidR="0045624B" w:rsidRPr="00C70F23">
        <w:rPr>
          <w:rFonts w:eastAsia="DengXian"/>
          <w:lang w:eastAsia="zh-CN"/>
        </w:rPr>
        <w:t>s</w:t>
      </w:r>
      <w:r w:rsidRPr="00C70F23">
        <w:rPr>
          <w:rFonts w:eastAsia="DengXian"/>
          <w:lang w:eastAsia="zh-CN"/>
        </w:rPr>
        <w:t>e</w:t>
      </w:r>
      <w:r w:rsidR="0045624B" w:rsidRPr="00C70F23">
        <w:rPr>
          <w:rFonts w:eastAsia="DengXian"/>
          <w:lang w:eastAsia="zh-CN"/>
        </w:rPr>
        <w:t xml:space="preserve"> no other meal provider </w:t>
      </w:r>
      <w:r w:rsidRPr="00C70F23">
        <w:rPr>
          <w:rFonts w:eastAsia="DengXian"/>
          <w:lang w:eastAsia="zh-CN"/>
        </w:rPr>
        <w:t>wa</w:t>
      </w:r>
      <w:r w:rsidR="0045624B" w:rsidRPr="00C70F23">
        <w:rPr>
          <w:rFonts w:eastAsia="DengXian"/>
          <w:lang w:eastAsia="zh-CN"/>
        </w:rPr>
        <w:t>s offering a similar standard of nutrition or variety</w:t>
      </w:r>
      <w:r w:rsidR="009934D7">
        <w:rPr>
          <w:rFonts w:eastAsia="DengXian"/>
          <w:lang w:eastAsia="zh-CN"/>
        </w:rPr>
        <w:t xml:space="preserve"> in 2018</w:t>
      </w:r>
      <w:r w:rsidR="0045624B" w:rsidRPr="00C70F23">
        <w:rPr>
          <w:rFonts w:eastAsia="DengXian"/>
          <w:lang w:eastAsia="zh-CN"/>
        </w:rPr>
        <w:t>.</w:t>
      </w:r>
      <w:r w:rsidR="0045624B" w:rsidRPr="00370ECF">
        <w:rPr>
          <w:rStyle w:val="EndnoteReference"/>
          <w:rFonts w:eastAsia="DengXian"/>
        </w:rPr>
        <w:endnoteReference w:id="34"/>
      </w:r>
    </w:p>
    <w:p w14:paraId="37B33546" w14:textId="655C543B" w:rsidR="00A0299B" w:rsidRPr="00C70F23" w:rsidRDefault="00A0299B" w:rsidP="00A0299B">
      <w:pPr>
        <w:pStyle w:val="BodyTextMain"/>
        <w:rPr>
          <w:rFonts w:eastAsia="DengXian"/>
          <w:lang w:eastAsia="zh-CN"/>
        </w:rPr>
      </w:pPr>
    </w:p>
    <w:p w14:paraId="221848D5" w14:textId="77777777" w:rsidR="0045624B" w:rsidRPr="00C70F23" w:rsidRDefault="0045624B" w:rsidP="00A0299B">
      <w:pPr>
        <w:pStyle w:val="BodyTextMain"/>
        <w:rPr>
          <w:rFonts w:eastAsia="DengXian"/>
          <w:lang w:eastAsia="zh-CN"/>
        </w:rPr>
      </w:pPr>
    </w:p>
    <w:p w14:paraId="710F96C4" w14:textId="77777777" w:rsidR="00A0299B" w:rsidRPr="00C70F23" w:rsidRDefault="00A0299B" w:rsidP="0045624B">
      <w:pPr>
        <w:pStyle w:val="Casehead2"/>
        <w:rPr>
          <w:rFonts w:eastAsia="DengXian"/>
          <w:lang w:eastAsia="zh-CN"/>
        </w:rPr>
      </w:pPr>
      <w:r w:rsidRPr="00C70F23">
        <w:rPr>
          <w:rFonts w:eastAsia="DengXian"/>
          <w:lang w:eastAsia="zh-CN"/>
        </w:rPr>
        <w:t xml:space="preserve">Step 4: SROI Modelling </w:t>
      </w:r>
    </w:p>
    <w:p w14:paraId="7E17E352" w14:textId="77777777" w:rsidR="00A0299B" w:rsidRPr="00C70F23" w:rsidRDefault="00A0299B" w:rsidP="0045624B">
      <w:pPr>
        <w:pStyle w:val="BodyTextMain"/>
      </w:pPr>
    </w:p>
    <w:p w14:paraId="7578C662" w14:textId="6C397D67" w:rsidR="00A0299B" w:rsidRPr="00C70F23" w:rsidRDefault="00A0299B" w:rsidP="00A0299B">
      <w:pPr>
        <w:pStyle w:val="BodyTextMain"/>
        <w:rPr>
          <w:rFonts w:eastAsia="DengXian"/>
          <w:lang w:eastAsia="zh-CN"/>
        </w:rPr>
      </w:pPr>
      <w:r w:rsidRPr="00C70F23">
        <w:rPr>
          <w:rFonts w:eastAsia="DengXian"/>
          <w:lang w:eastAsia="zh-CN"/>
        </w:rPr>
        <w:t xml:space="preserve">In the final step, the social benefits </w:t>
      </w:r>
      <w:r w:rsidR="007938F8" w:rsidRPr="00C70F23">
        <w:rPr>
          <w:rFonts w:eastAsia="DengXian"/>
          <w:lang w:eastAsia="zh-CN"/>
        </w:rPr>
        <w:t>we</w:t>
      </w:r>
      <w:r w:rsidRPr="00C70F23">
        <w:rPr>
          <w:rFonts w:eastAsia="DengXian"/>
          <w:lang w:eastAsia="zh-CN"/>
        </w:rPr>
        <w:t>re summed up and discounted</w:t>
      </w:r>
      <w:r w:rsidR="007938F8" w:rsidRPr="00C70F23">
        <w:rPr>
          <w:rFonts w:eastAsia="DengXian"/>
          <w:lang w:eastAsia="zh-CN"/>
        </w:rPr>
        <w:t>. T</w:t>
      </w:r>
      <w:r w:rsidRPr="00C70F23">
        <w:rPr>
          <w:rFonts w:eastAsia="DengXian"/>
          <w:lang w:eastAsia="zh-CN"/>
        </w:rPr>
        <w:t xml:space="preserve">he value of outcomes </w:t>
      </w:r>
      <w:r w:rsidR="007938F8" w:rsidRPr="00C70F23">
        <w:rPr>
          <w:rFonts w:eastAsia="DengXian"/>
          <w:lang w:eastAsia="zh-CN"/>
        </w:rPr>
        <w:t xml:space="preserve">were </w:t>
      </w:r>
      <w:r w:rsidRPr="00C70F23">
        <w:rPr>
          <w:rFonts w:eastAsia="DengXian"/>
          <w:lang w:eastAsia="zh-CN"/>
        </w:rPr>
        <w:t xml:space="preserve">discounted to the same period as when the investment costs were incurred. Subsequently, the ratio </w:t>
      </w:r>
      <w:r w:rsidR="007836F3">
        <w:rPr>
          <w:rFonts w:eastAsia="DengXian"/>
          <w:lang w:eastAsia="zh-CN"/>
        </w:rPr>
        <w:t xml:space="preserve">of </w:t>
      </w:r>
      <w:r w:rsidRPr="00C70F23">
        <w:rPr>
          <w:rFonts w:eastAsia="DengXian"/>
          <w:lang w:eastAsia="zh-CN"/>
        </w:rPr>
        <w:t xml:space="preserve">the summed benefits </w:t>
      </w:r>
      <w:r w:rsidR="007836F3">
        <w:rPr>
          <w:rFonts w:eastAsia="DengXian"/>
          <w:lang w:eastAsia="zh-CN"/>
        </w:rPr>
        <w:t xml:space="preserve">to </w:t>
      </w:r>
      <w:r w:rsidRPr="00C70F23">
        <w:rPr>
          <w:rFonts w:eastAsia="DengXian"/>
          <w:lang w:eastAsia="zh-CN"/>
        </w:rPr>
        <w:t>the present value of the investment</w:t>
      </w:r>
      <w:r w:rsidR="007836F3">
        <w:rPr>
          <w:rFonts w:eastAsia="DengXian"/>
          <w:lang w:eastAsia="zh-CN"/>
        </w:rPr>
        <w:t xml:space="preserve"> was calculated</w:t>
      </w:r>
      <w:r w:rsidRPr="00C70F23">
        <w:rPr>
          <w:rFonts w:eastAsia="DengXian"/>
          <w:lang w:eastAsia="zh-CN"/>
        </w:rPr>
        <w:t xml:space="preserve">. </w:t>
      </w:r>
      <w:r w:rsidR="004B63F5" w:rsidRPr="00C70F23">
        <w:rPr>
          <w:rFonts w:eastAsia="DengXian"/>
          <w:lang w:eastAsia="zh-CN"/>
        </w:rPr>
        <w:t xml:space="preserve">Because </w:t>
      </w:r>
      <w:r w:rsidRPr="00C70F23">
        <w:rPr>
          <w:rFonts w:eastAsia="DengXian"/>
          <w:lang w:eastAsia="zh-CN"/>
        </w:rPr>
        <w:t xml:space="preserve">SROI </w:t>
      </w:r>
      <w:r w:rsidR="007938F8" w:rsidRPr="00C70F23">
        <w:rPr>
          <w:rFonts w:eastAsia="DengXian"/>
          <w:lang w:eastAsia="zh-CN"/>
        </w:rPr>
        <w:t>wa</w:t>
      </w:r>
      <w:r w:rsidRPr="00C70F23">
        <w:rPr>
          <w:rFonts w:eastAsia="DengXian"/>
          <w:lang w:eastAsia="zh-CN"/>
        </w:rPr>
        <w:t xml:space="preserve">s a ratio, </w:t>
      </w:r>
      <w:r w:rsidR="004B63F5" w:rsidRPr="00C70F23">
        <w:rPr>
          <w:rFonts w:eastAsia="DengXian"/>
          <w:lang w:eastAsia="zh-CN"/>
        </w:rPr>
        <w:t>it</w:t>
      </w:r>
      <w:r w:rsidRPr="00C70F23">
        <w:rPr>
          <w:rFonts w:eastAsia="DengXian"/>
          <w:lang w:eastAsia="zh-CN"/>
        </w:rPr>
        <w:t xml:space="preserve"> </w:t>
      </w:r>
      <w:r w:rsidR="007938F8" w:rsidRPr="00C70F23">
        <w:rPr>
          <w:rFonts w:eastAsia="DengXian"/>
          <w:lang w:eastAsia="zh-CN"/>
        </w:rPr>
        <w:t>wa</w:t>
      </w:r>
      <w:r w:rsidRPr="00C70F23">
        <w:rPr>
          <w:rFonts w:eastAsia="DengXian"/>
          <w:lang w:eastAsia="zh-CN"/>
        </w:rPr>
        <w:t xml:space="preserve">s meaningless on its own. </w:t>
      </w:r>
      <w:r w:rsidR="007836F3">
        <w:rPr>
          <w:rFonts w:eastAsia="DengXian"/>
          <w:lang w:eastAsia="zh-CN"/>
        </w:rPr>
        <w:t xml:space="preserve">It </w:t>
      </w:r>
      <w:r w:rsidR="007938F8" w:rsidRPr="00C70F23">
        <w:rPr>
          <w:rFonts w:eastAsia="DengXian"/>
          <w:lang w:eastAsia="zh-CN"/>
        </w:rPr>
        <w:t>had</w:t>
      </w:r>
      <w:r w:rsidRPr="00C70F23">
        <w:rPr>
          <w:rFonts w:eastAsia="DengXian"/>
          <w:lang w:eastAsia="zh-CN"/>
        </w:rPr>
        <w:t xml:space="preserve"> to be compared against a benchmark</w:t>
      </w:r>
      <w:r w:rsidR="007938F8" w:rsidRPr="00C70F23">
        <w:rPr>
          <w:rFonts w:eastAsia="DengXian"/>
          <w:lang w:eastAsia="zh-CN"/>
        </w:rPr>
        <w:t>, such as</w:t>
      </w:r>
      <w:r w:rsidRPr="00C70F23">
        <w:rPr>
          <w:rFonts w:eastAsia="DengXian"/>
          <w:lang w:eastAsia="zh-CN"/>
        </w:rPr>
        <w:t xml:space="preserve"> </w:t>
      </w:r>
      <w:r w:rsidR="004B63F5" w:rsidRPr="00C70F23">
        <w:rPr>
          <w:rFonts w:eastAsia="DengXian"/>
          <w:lang w:eastAsia="zh-CN"/>
        </w:rPr>
        <w:t xml:space="preserve">competing </w:t>
      </w:r>
      <w:r w:rsidRPr="00C70F23">
        <w:rPr>
          <w:rFonts w:eastAsia="DengXian"/>
          <w:lang w:eastAsia="zh-CN"/>
        </w:rPr>
        <w:t>companies within a given industry</w:t>
      </w:r>
      <w:r w:rsidR="003C2F43">
        <w:rPr>
          <w:rFonts w:eastAsia="DengXian"/>
          <w:lang w:eastAsia="zh-CN"/>
        </w:rPr>
        <w:t xml:space="preserve"> </w:t>
      </w:r>
      <w:r w:rsidR="007938F8" w:rsidRPr="00C70F23">
        <w:rPr>
          <w:rFonts w:eastAsia="DengXian"/>
          <w:lang w:eastAsia="zh-CN"/>
        </w:rPr>
        <w:t>or</w:t>
      </w:r>
      <w:r w:rsidRPr="00C70F23">
        <w:rPr>
          <w:rFonts w:eastAsia="DengXian"/>
          <w:lang w:eastAsia="zh-CN"/>
        </w:rPr>
        <w:t xml:space="preserve"> </w:t>
      </w:r>
      <w:proofErr w:type="spellStart"/>
      <w:r w:rsidRPr="00C70F23">
        <w:rPr>
          <w:rFonts w:eastAsia="DengXian"/>
          <w:lang w:eastAsia="zh-CN"/>
        </w:rPr>
        <w:t>Samsui’s</w:t>
      </w:r>
      <w:proofErr w:type="spellEnd"/>
      <w:r w:rsidRPr="00C70F23">
        <w:rPr>
          <w:rFonts w:eastAsia="DengXian"/>
          <w:lang w:eastAsia="zh-CN"/>
        </w:rPr>
        <w:t xml:space="preserve"> own </w:t>
      </w:r>
      <w:r w:rsidR="007836F3">
        <w:rPr>
          <w:rFonts w:eastAsia="DengXian"/>
          <w:lang w:eastAsia="zh-CN"/>
        </w:rPr>
        <w:t>past</w:t>
      </w:r>
      <w:r w:rsidRPr="00C70F23">
        <w:rPr>
          <w:rFonts w:eastAsia="DengXian"/>
          <w:lang w:eastAsia="zh-CN"/>
        </w:rPr>
        <w:t xml:space="preserve"> performance</w:t>
      </w:r>
      <w:r w:rsidR="004B63F5" w:rsidRPr="00C70F23">
        <w:rPr>
          <w:rFonts w:eastAsia="DengXian"/>
          <w:lang w:eastAsia="zh-CN"/>
        </w:rPr>
        <w:t xml:space="preserve">. </w:t>
      </w:r>
      <w:r w:rsidR="009934D7">
        <w:rPr>
          <w:rFonts w:eastAsia="DengXian"/>
          <w:lang w:eastAsia="zh-CN"/>
        </w:rPr>
        <w:t>Alternatively</w:t>
      </w:r>
      <w:r w:rsidR="004B63F5" w:rsidRPr="00C70F23">
        <w:rPr>
          <w:rFonts w:eastAsia="DengXian"/>
          <w:lang w:eastAsia="zh-CN"/>
        </w:rPr>
        <w:t>,</w:t>
      </w:r>
      <w:r w:rsidR="007938F8" w:rsidRPr="00C70F23">
        <w:rPr>
          <w:rFonts w:eastAsia="DengXian"/>
          <w:lang w:eastAsia="zh-CN"/>
        </w:rPr>
        <w:t xml:space="preserve"> both</w:t>
      </w:r>
      <w:r w:rsidR="004B63F5" w:rsidRPr="00C70F23">
        <w:rPr>
          <w:rFonts w:eastAsia="DengXian"/>
          <w:lang w:eastAsia="zh-CN"/>
        </w:rPr>
        <w:t xml:space="preserve"> comparisons could be done</w:t>
      </w:r>
      <w:r w:rsidRPr="00C70F23">
        <w:rPr>
          <w:rFonts w:eastAsia="DengXian"/>
          <w:lang w:eastAsia="zh-CN"/>
        </w:rPr>
        <w:t xml:space="preserve">. </w:t>
      </w:r>
      <w:r w:rsidR="004B63F5" w:rsidRPr="00C70F23">
        <w:rPr>
          <w:rFonts w:eastAsia="DengXian"/>
          <w:lang w:eastAsia="zh-CN"/>
        </w:rPr>
        <w:t>To compare the SROI against</w:t>
      </w:r>
      <w:r w:rsidRPr="00C70F23">
        <w:rPr>
          <w:rFonts w:eastAsia="DengXian"/>
          <w:lang w:eastAsia="zh-CN"/>
        </w:rPr>
        <w:t xml:space="preserve"> </w:t>
      </w:r>
      <w:r w:rsidR="004B63F5" w:rsidRPr="00C70F23">
        <w:rPr>
          <w:rFonts w:eastAsia="DengXian"/>
          <w:lang w:eastAsia="zh-CN"/>
        </w:rPr>
        <w:t xml:space="preserve">other </w:t>
      </w:r>
      <w:proofErr w:type="spellStart"/>
      <w:r w:rsidRPr="00C70F23">
        <w:rPr>
          <w:rFonts w:eastAsia="DengXian"/>
          <w:lang w:eastAsia="zh-CN"/>
        </w:rPr>
        <w:t>Samsui</w:t>
      </w:r>
      <w:proofErr w:type="spellEnd"/>
      <w:r w:rsidR="004B63F5" w:rsidRPr="00C70F23">
        <w:rPr>
          <w:rFonts w:eastAsia="DengXian"/>
          <w:lang w:eastAsia="zh-CN"/>
        </w:rPr>
        <w:t xml:space="preserve"> performance</w:t>
      </w:r>
      <w:r w:rsidR="007836F3">
        <w:rPr>
          <w:rFonts w:eastAsia="DengXian"/>
          <w:lang w:eastAsia="zh-CN"/>
        </w:rPr>
        <w:t xml:space="preserve"> would require another study</w:t>
      </w:r>
      <w:r w:rsidRPr="00C70F23">
        <w:rPr>
          <w:rFonts w:eastAsia="DengXian"/>
          <w:lang w:eastAsia="zh-CN"/>
        </w:rPr>
        <w:t xml:space="preserve">. </w:t>
      </w:r>
    </w:p>
    <w:p w14:paraId="355F98B6" w14:textId="5316843A" w:rsidR="00A0299B" w:rsidRPr="00C70F23" w:rsidRDefault="00A0299B" w:rsidP="00A0299B">
      <w:pPr>
        <w:pStyle w:val="BodyTextMain"/>
        <w:rPr>
          <w:rFonts w:eastAsia="DengXian"/>
          <w:lang w:eastAsia="zh-CN"/>
        </w:rPr>
      </w:pPr>
    </w:p>
    <w:p w14:paraId="21DB789E" w14:textId="77777777" w:rsidR="00167C3C" w:rsidRPr="00C70F23" w:rsidRDefault="00167C3C" w:rsidP="00A0299B">
      <w:pPr>
        <w:pStyle w:val="BodyTextMain"/>
        <w:rPr>
          <w:rFonts w:eastAsia="DengXian"/>
          <w:lang w:eastAsia="zh-CN"/>
        </w:rPr>
      </w:pPr>
    </w:p>
    <w:p w14:paraId="2F724261" w14:textId="77777777" w:rsidR="00A0299B" w:rsidRPr="00C70F23" w:rsidRDefault="00A0299B" w:rsidP="0045624B">
      <w:pPr>
        <w:pStyle w:val="Casehead1"/>
        <w:rPr>
          <w:rFonts w:eastAsia="DengXian Light"/>
          <w:lang w:eastAsia="zh-CN"/>
        </w:rPr>
      </w:pPr>
      <w:bookmarkStart w:id="15" w:name="_Toc525155089"/>
      <w:bookmarkStart w:id="16" w:name="_Toc526190983"/>
      <w:bookmarkStart w:id="17" w:name="_Toc526348064"/>
      <w:bookmarkStart w:id="18" w:name="_Toc527292081"/>
      <w:bookmarkStart w:id="19" w:name="_Toc530673337"/>
      <w:r w:rsidRPr="00C70F23">
        <w:rPr>
          <w:rFonts w:eastAsia="DengXian Light"/>
          <w:lang w:eastAsia="zh-CN"/>
        </w:rPr>
        <w:t>MOVING FORWARD</w:t>
      </w:r>
      <w:bookmarkEnd w:id="15"/>
      <w:bookmarkEnd w:id="16"/>
      <w:bookmarkEnd w:id="17"/>
      <w:bookmarkEnd w:id="18"/>
      <w:bookmarkEnd w:id="19"/>
    </w:p>
    <w:p w14:paraId="4D6948EC" w14:textId="77777777" w:rsidR="00A0299B" w:rsidRPr="00C70F23" w:rsidRDefault="00A0299B" w:rsidP="0045624B">
      <w:pPr>
        <w:pStyle w:val="BodyTextMain"/>
      </w:pPr>
    </w:p>
    <w:p w14:paraId="2C183161" w14:textId="0A7CE7E9" w:rsidR="0045624B" w:rsidRPr="00C70F23" w:rsidRDefault="004167EB" w:rsidP="00A0299B">
      <w:pPr>
        <w:pStyle w:val="BodyTextMain"/>
        <w:rPr>
          <w:rFonts w:eastAsia="DengXian"/>
          <w:lang w:eastAsia="zh-CN"/>
        </w:rPr>
      </w:pPr>
      <w:r>
        <w:rPr>
          <w:rFonts w:eastAsia="DengXian"/>
          <w:lang w:eastAsia="zh-CN"/>
        </w:rPr>
        <w:t xml:space="preserve">Before </w:t>
      </w:r>
      <w:proofErr w:type="spellStart"/>
      <w:r w:rsidR="004C5C4C">
        <w:rPr>
          <w:rFonts w:eastAsia="DengXian"/>
          <w:lang w:eastAsia="zh-CN"/>
        </w:rPr>
        <w:t>Ang</w:t>
      </w:r>
      <w:proofErr w:type="spellEnd"/>
      <w:r w:rsidR="00A0299B" w:rsidRPr="00C70F23">
        <w:rPr>
          <w:rFonts w:eastAsia="DengXian"/>
          <w:lang w:eastAsia="zh-CN"/>
        </w:rPr>
        <w:t xml:space="preserve"> </w:t>
      </w:r>
      <w:r>
        <w:rPr>
          <w:rFonts w:eastAsia="DengXian"/>
          <w:lang w:eastAsia="zh-CN"/>
        </w:rPr>
        <w:t xml:space="preserve">could explain to </w:t>
      </w:r>
      <w:r w:rsidR="00A0299B" w:rsidRPr="00C70F23">
        <w:rPr>
          <w:rFonts w:eastAsia="DengXian"/>
          <w:lang w:eastAsia="zh-CN"/>
        </w:rPr>
        <w:t xml:space="preserve">the </w:t>
      </w:r>
      <w:r>
        <w:rPr>
          <w:rFonts w:eastAsia="DengXian"/>
          <w:lang w:eastAsia="zh-CN"/>
        </w:rPr>
        <w:t>board members</w:t>
      </w:r>
      <w:r w:rsidR="00A0299B" w:rsidRPr="00C70F23">
        <w:rPr>
          <w:rFonts w:eastAsia="DengXian"/>
          <w:lang w:eastAsia="zh-CN"/>
        </w:rPr>
        <w:t xml:space="preserve"> </w:t>
      </w:r>
      <w:r w:rsidR="007938F8" w:rsidRPr="00C70F23">
        <w:rPr>
          <w:rFonts w:eastAsia="DengXian"/>
          <w:lang w:eastAsia="zh-CN"/>
        </w:rPr>
        <w:t>his</w:t>
      </w:r>
      <w:r w:rsidR="00A0299B" w:rsidRPr="00C70F23">
        <w:rPr>
          <w:rFonts w:eastAsia="DengXian"/>
          <w:lang w:eastAsia="zh-CN"/>
        </w:rPr>
        <w:t xml:space="preserve"> plan to scale</w:t>
      </w:r>
      <w:r w:rsidR="00AC753D" w:rsidRPr="00C70F23">
        <w:rPr>
          <w:rFonts w:eastAsia="DengXian"/>
          <w:lang w:eastAsia="zh-CN"/>
        </w:rPr>
        <w:t xml:space="preserve"> up</w:t>
      </w:r>
      <w:r w:rsidR="00A0299B" w:rsidRPr="00C70F23">
        <w:rPr>
          <w:rFonts w:eastAsia="DengXian"/>
          <w:lang w:eastAsia="zh-CN"/>
        </w:rPr>
        <w:t xml:space="preserve"> the SCK project to double the current capacity</w:t>
      </w:r>
      <w:r>
        <w:rPr>
          <w:rFonts w:eastAsia="DengXian"/>
          <w:lang w:eastAsia="zh-CN"/>
        </w:rPr>
        <w:t xml:space="preserve">, </w:t>
      </w:r>
      <w:r w:rsidR="00A0299B" w:rsidRPr="00C70F23">
        <w:rPr>
          <w:rFonts w:eastAsia="DengXian"/>
          <w:lang w:eastAsia="zh-CN"/>
        </w:rPr>
        <w:t xml:space="preserve">he needed more evidence to demonstrate </w:t>
      </w:r>
      <w:r w:rsidR="007938F8" w:rsidRPr="00C70F23">
        <w:rPr>
          <w:rFonts w:eastAsia="DengXian"/>
          <w:lang w:eastAsia="zh-CN"/>
        </w:rPr>
        <w:t xml:space="preserve">the </w:t>
      </w:r>
      <w:r w:rsidR="00975119">
        <w:rPr>
          <w:rFonts w:eastAsia="DengXian"/>
          <w:lang w:eastAsia="zh-CN"/>
        </w:rPr>
        <w:t xml:space="preserve">current </w:t>
      </w:r>
      <w:proofErr w:type="gramStart"/>
      <w:r w:rsidR="00AC753D" w:rsidRPr="00C70F23">
        <w:rPr>
          <w:rFonts w:eastAsia="DengXian"/>
          <w:lang w:eastAsia="zh-CN"/>
        </w:rPr>
        <w:t>project’s</w:t>
      </w:r>
      <w:proofErr w:type="gramEnd"/>
      <w:r w:rsidR="00AC753D" w:rsidRPr="00C70F23">
        <w:rPr>
          <w:rFonts w:eastAsia="DengXian"/>
          <w:lang w:eastAsia="zh-CN"/>
        </w:rPr>
        <w:t xml:space="preserve"> </w:t>
      </w:r>
      <w:r w:rsidR="00A0299B" w:rsidRPr="00C70F23">
        <w:rPr>
          <w:rFonts w:eastAsia="DengXian"/>
          <w:lang w:eastAsia="zh-CN"/>
        </w:rPr>
        <w:t xml:space="preserve">achieved impact. </w:t>
      </w:r>
      <w:r w:rsidR="009934D7">
        <w:rPr>
          <w:rFonts w:eastAsia="DengXian"/>
          <w:lang w:eastAsia="zh-CN"/>
        </w:rPr>
        <w:t>He</w:t>
      </w:r>
      <w:r w:rsidR="00975119">
        <w:rPr>
          <w:rFonts w:eastAsia="DengXian"/>
          <w:lang w:eastAsia="zh-CN"/>
        </w:rPr>
        <w:t xml:space="preserve"> approached SG Enable</w:t>
      </w:r>
      <w:r w:rsidR="00403DA9">
        <w:rPr>
          <w:rFonts w:eastAsia="DengXian"/>
          <w:lang w:eastAsia="zh-CN"/>
        </w:rPr>
        <w:t>,</w:t>
      </w:r>
      <w:r w:rsidR="00975119">
        <w:rPr>
          <w:rFonts w:eastAsia="DengXian"/>
          <w:lang w:eastAsia="zh-CN"/>
        </w:rPr>
        <w:t xml:space="preserve"> </w:t>
      </w:r>
      <w:r w:rsidR="00403DA9">
        <w:rPr>
          <w:rFonts w:eastAsia="DengXian"/>
          <w:lang w:eastAsia="zh-CN"/>
        </w:rPr>
        <w:t xml:space="preserve">an agency </w:t>
      </w:r>
      <w:r w:rsidR="00403DA9" w:rsidRPr="00614829">
        <w:t xml:space="preserve">in Singapore dedicated to enabling </w:t>
      </w:r>
      <w:r w:rsidR="00403DA9">
        <w:t>persons with disabilities,</w:t>
      </w:r>
      <w:r w:rsidR="00403DA9" w:rsidRPr="00614829">
        <w:t xml:space="preserve"> </w:t>
      </w:r>
      <w:r w:rsidR="00975119">
        <w:rPr>
          <w:rFonts w:eastAsia="DengXian"/>
          <w:lang w:eastAsia="zh-CN"/>
        </w:rPr>
        <w:t xml:space="preserve">for </w:t>
      </w:r>
      <w:r w:rsidR="002473F0">
        <w:rPr>
          <w:rFonts w:eastAsia="DengXian"/>
          <w:lang w:eastAsia="zh-CN"/>
        </w:rPr>
        <w:t xml:space="preserve">a </w:t>
      </w:r>
      <w:r>
        <w:rPr>
          <w:rFonts w:eastAsia="DengXian"/>
          <w:lang w:eastAsia="zh-CN"/>
        </w:rPr>
        <w:t xml:space="preserve">possible </w:t>
      </w:r>
      <w:r w:rsidR="00975119">
        <w:rPr>
          <w:rFonts w:eastAsia="DengXian"/>
          <w:lang w:eastAsia="zh-CN"/>
        </w:rPr>
        <w:t xml:space="preserve">partnership </w:t>
      </w:r>
      <w:r>
        <w:rPr>
          <w:rFonts w:eastAsia="DengXian"/>
          <w:lang w:eastAsia="zh-CN"/>
        </w:rPr>
        <w:t>pertaining</w:t>
      </w:r>
      <w:r w:rsidR="002473F0">
        <w:rPr>
          <w:rFonts w:eastAsia="DengXian"/>
          <w:lang w:eastAsia="zh-CN"/>
        </w:rPr>
        <w:t xml:space="preserve"> to</w:t>
      </w:r>
      <w:r>
        <w:rPr>
          <w:rFonts w:eastAsia="DengXian"/>
          <w:lang w:eastAsia="zh-CN"/>
        </w:rPr>
        <w:t xml:space="preserve"> </w:t>
      </w:r>
      <w:r w:rsidR="00975119">
        <w:rPr>
          <w:rFonts w:eastAsia="DengXian"/>
          <w:lang w:eastAsia="zh-CN"/>
        </w:rPr>
        <w:t xml:space="preserve">the </w:t>
      </w:r>
      <w:r>
        <w:rPr>
          <w:rFonts w:eastAsia="DengXian"/>
          <w:lang w:eastAsia="zh-CN"/>
        </w:rPr>
        <w:t xml:space="preserve">possible location </w:t>
      </w:r>
      <w:r w:rsidR="00975119">
        <w:rPr>
          <w:rFonts w:eastAsia="DengXian"/>
          <w:lang w:eastAsia="zh-CN"/>
        </w:rPr>
        <w:t>for the second SCK project and</w:t>
      </w:r>
      <w:r w:rsidR="00975119">
        <w:t xml:space="preserve"> additional workforce </w:t>
      </w:r>
      <w:r w:rsidR="005D48F7">
        <w:t xml:space="preserve">that was inclusive of </w:t>
      </w:r>
      <w:r w:rsidRPr="00614829">
        <w:t>persons with disabilities</w:t>
      </w:r>
      <w:r w:rsidR="00975119">
        <w:t xml:space="preserve">. </w:t>
      </w:r>
      <w:proofErr w:type="spellStart"/>
      <w:r w:rsidR="00975119">
        <w:rPr>
          <w:rFonts w:eastAsia="DengXian"/>
          <w:lang w:eastAsia="zh-CN"/>
        </w:rPr>
        <w:t>Ang</w:t>
      </w:r>
      <w:proofErr w:type="spellEnd"/>
      <w:r w:rsidR="00975119">
        <w:rPr>
          <w:rFonts w:eastAsia="DengXian"/>
          <w:lang w:eastAsia="zh-CN"/>
        </w:rPr>
        <w:t xml:space="preserve"> </w:t>
      </w:r>
      <w:r w:rsidR="00AC753D" w:rsidRPr="00C70F23">
        <w:rPr>
          <w:rFonts w:eastAsia="DengXian"/>
          <w:lang w:eastAsia="zh-CN"/>
        </w:rPr>
        <w:t>was eager</w:t>
      </w:r>
      <w:r w:rsidR="00A0299B" w:rsidRPr="00C70F23">
        <w:rPr>
          <w:rFonts w:eastAsia="DengXian"/>
          <w:lang w:eastAsia="zh-CN"/>
        </w:rPr>
        <w:t xml:space="preserve"> to continu</w:t>
      </w:r>
      <w:r w:rsidR="007E1B78" w:rsidRPr="00C70F23">
        <w:rPr>
          <w:rFonts w:eastAsia="DengXian"/>
          <w:lang w:eastAsia="zh-CN"/>
        </w:rPr>
        <w:t>e</w:t>
      </w:r>
      <w:r w:rsidR="00A0299B" w:rsidRPr="00C70F23">
        <w:rPr>
          <w:rFonts w:eastAsia="DengXian"/>
          <w:lang w:eastAsia="zh-CN"/>
        </w:rPr>
        <w:t xml:space="preserve"> do</w:t>
      </w:r>
      <w:r w:rsidR="007E1B78" w:rsidRPr="00C70F23">
        <w:rPr>
          <w:rFonts w:eastAsia="DengXian"/>
          <w:lang w:eastAsia="zh-CN"/>
        </w:rPr>
        <w:t>ing</w:t>
      </w:r>
      <w:r w:rsidR="00A0299B" w:rsidRPr="00C70F23">
        <w:rPr>
          <w:rFonts w:eastAsia="DengXian"/>
          <w:lang w:eastAsia="zh-CN"/>
        </w:rPr>
        <w:t xml:space="preserve"> </w:t>
      </w:r>
      <w:proofErr w:type="gramStart"/>
      <w:r w:rsidR="00A0299B" w:rsidRPr="00C70F23">
        <w:rPr>
          <w:rFonts w:eastAsia="DengXian"/>
          <w:lang w:eastAsia="zh-CN"/>
        </w:rPr>
        <w:t>good</w:t>
      </w:r>
      <w:proofErr w:type="gramEnd"/>
      <w:r w:rsidR="00A0299B" w:rsidRPr="00C70F23">
        <w:rPr>
          <w:rFonts w:eastAsia="DengXian"/>
          <w:lang w:eastAsia="zh-CN"/>
        </w:rPr>
        <w:t>.</w:t>
      </w:r>
      <w:r w:rsidR="00975119">
        <w:rPr>
          <w:rFonts w:eastAsia="DengXian"/>
          <w:lang w:eastAsia="zh-CN"/>
        </w:rPr>
        <w:t xml:space="preserve"> </w:t>
      </w:r>
      <w:r w:rsidR="00975119" w:rsidRPr="00C70F23">
        <w:rPr>
          <w:rFonts w:eastAsia="DengXian"/>
          <w:lang w:eastAsia="zh-CN"/>
        </w:rPr>
        <w:t>The time of his meeting with the board members was fast approaching</w:t>
      </w:r>
      <w:r>
        <w:rPr>
          <w:rFonts w:eastAsia="DengXian"/>
          <w:lang w:eastAsia="zh-CN"/>
        </w:rPr>
        <w:t xml:space="preserve"> and h</w:t>
      </w:r>
      <w:r w:rsidR="00975119" w:rsidRPr="00C70F23">
        <w:rPr>
          <w:rFonts w:eastAsia="DengXian"/>
          <w:lang w:eastAsia="zh-CN"/>
        </w:rPr>
        <w:t xml:space="preserve">e needed numbers </w:t>
      </w:r>
      <w:r>
        <w:rPr>
          <w:rFonts w:eastAsia="DengXian"/>
          <w:lang w:eastAsia="zh-CN"/>
        </w:rPr>
        <w:t>for his presentation</w:t>
      </w:r>
      <w:r w:rsidR="00975119" w:rsidRPr="00C70F23">
        <w:rPr>
          <w:rFonts w:eastAsia="DengXian"/>
          <w:lang w:eastAsia="zh-CN"/>
        </w:rPr>
        <w:t>.</w:t>
      </w:r>
    </w:p>
    <w:p w14:paraId="6BC2E8DC" w14:textId="77C8A0EF" w:rsidR="0045624B" w:rsidRPr="00C70F23" w:rsidRDefault="0045624B">
      <w:pPr>
        <w:spacing w:after="200" w:line="276" w:lineRule="auto"/>
        <w:rPr>
          <w:rFonts w:eastAsia="DengXian"/>
          <w:lang w:eastAsia="zh-CN"/>
        </w:rPr>
      </w:pPr>
      <w:r w:rsidRPr="00C70F23">
        <w:rPr>
          <w:rFonts w:eastAsia="DengXian"/>
          <w:lang w:eastAsia="zh-CN"/>
        </w:rPr>
        <w:br w:type="page"/>
      </w:r>
    </w:p>
    <w:p w14:paraId="3039E6AB" w14:textId="72F8D3BC" w:rsidR="00CC6A10" w:rsidRPr="00C70F23" w:rsidRDefault="00CC6A10" w:rsidP="00CC6A10">
      <w:pPr>
        <w:pStyle w:val="ExhibitHeading"/>
      </w:pPr>
      <w:r w:rsidRPr="00C70F23">
        <w:lastRenderedPageBreak/>
        <w:t xml:space="preserve">EXHIBIT </w:t>
      </w:r>
      <w:r w:rsidR="009460E3">
        <w:t>1</w:t>
      </w:r>
      <w:r w:rsidRPr="00C70F23">
        <w:t>: KEY FINANCIAL HIGHLIGHTS OF SOUP RESTAURANT GROUP</w:t>
      </w:r>
      <w:r>
        <w:t>*</w:t>
      </w:r>
    </w:p>
    <w:p w14:paraId="3852ECD6" w14:textId="77777777" w:rsidR="00CC6A10" w:rsidRPr="00C70F23" w:rsidRDefault="00CC6A10" w:rsidP="00CC6A10">
      <w:pPr>
        <w:pStyle w:val="ExhibitText"/>
        <w:rPr>
          <w:rFonts w:eastAsia="Arial"/>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1205"/>
        <w:gridCol w:w="1205"/>
        <w:gridCol w:w="1205"/>
        <w:gridCol w:w="1205"/>
      </w:tblGrid>
      <w:tr w:rsidR="00CC6A10" w:rsidRPr="0081586C" w14:paraId="41DCF75B" w14:textId="77777777" w:rsidTr="009460E3">
        <w:trPr>
          <w:trHeight w:val="259"/>
          <w:jc w:val="center"/>
        </w:trPr>
        <w:tc>
          <w:tcPr>
            <w:tcW w:w="4295" w:type="dxa"/>
            <w:tcBorders>
              <w:top w:val="single" w:sz="4" w:space="0" w:color="auto"/>
              <w:bottom w:val="single" w:sz="12" w:space="0" w:color="auto"/>
            </w:tcBorders>
            <w:noWrap/>
            <w:vAlign w:val="center"/>
            <w:hideMark/>
          </w:tcPr>
          <w:p w14:paraId="6054A8DA" w14:textId="77777777" w:rsidR="00CC6A10" w:rsidRPr="0081586C" w:rsidRDefault="00CC6A10" w:rsidP="002C2ED6">
            <w:pPr>
              <w:pStyle w:val="ExhibitText"/>
              <w:jc w:val="right"/>
              <w:rPr>
                <w:b/>
                <w:bCs/>
                <w:sz w:val="18"/>
                <w:szCs w:val="18"/>
              </w:rPr>
            </w:pPr>
            <w:r w:rsidRPr="0081586C">
              <w:rPr>
                <w:b/>
                <w:bCs/>
                <w:sz w:val="18"/>
                <w:szCs w:val="18"/>
              </w:rPr>
              <w:t>(in SG$ '000)</w:t>
            </w:r>
          </w:p>
        </w:tc>
        <w:tc>
          <w:tcPr>
            <w:tcW w:w="1140" w:type="dxa"/>
            <w:tcBorders>
              <w:top w:val="single" w:sz="4" w:space="0" w:color="auto"/>
              <w:bottom w:val="single" w:sz="12" w:space="0" w:color="auto"/>
            </w:tcBorders>
            <w:noWrap/>
            <w:vAlign w:val="center"/>
            <w:hideMark/>
          </w:tcPr>
          <w:p w14:paraId="2ADEAE9B" w14:textId="77777777" w:rsidR="00CC6A10" w:rsidRPr="0081586C" w:rsidRDefault="00CC6A10" w:rsidP="002C2ED6">
            <w:pPr>
              <w:pStyle w:val="ExhibitText"/>
              <w:jc w:val="right"/>
              <w:rPr>
                <w:b/>
                <w:bCs/>
                <w:sz w:val="18"/>
                <w:szCs w:val="18"/>
              </w:rPr>
            </w:pPr>
            <w:r w:rsidRPr="0081586C">
              <w:rPr>
                <w:b/>
                <w:bCs/>
                <w:sz w:val="18"/>
                <w:szCs w:val="18"/>
              </w:rPr>
              <w:t>FY 2014</w:t>
            </w:r>
          </w:p>
        </w:tc>
        <w:tc>
          <w:tcPr>
            <w:tcW w:w="1140" w:type="dxa"/>
            <w:tcBorders>
              <w:top w:val="single" w:sz="4" w:space="0" w:color="auto"/>
              <w:bottom w:val="single" w:sz="12" w:space="0" w:color="auto"/>
            </w:tcBorders>
            <w:noWrap/>
            <w:vAlign w:val="center"/>
            <w:hideMark/>
          </w:tcPr>
          <w:p w14:paraId="3BDD2A01" w14:textId="77777777" w:rsidR="00CC6A10" w:rsidRPr="0081586C" w:rsidRDefault="00CC6A10" w:rsidP="002C2ED6">
            <w:pPr>
              <w:pStyle w:val="ExhibitText"/>
              <w:jc w:val="right"/>
              <w:rPr>
                <w:b/>
                <w:bCs/>
                <w:sz w:val="18"/>
                <w:szCs w:val="18"/>
              </w:rPr>
            </w:pPr>
            <w:r w:rsidRPr="0081586C">
              <w:rPr>
                <w:b/>
                <w:bCs/>
                <w:sz w:val="18"/>
                <w:szCs w:val="18"/>
              </w:rPr>
              <w:t>FY 2015</w:t>
            </w:r>
          </w:p>
        </w:tc>
        <w:tc>
          <w:tcPr>
            <w:tcW w:w="1140" w:type="dxa"/>
            <w:tcBorders>
              <w:top w:val="single" w:sz="4" w:space="0" w:color="auto"/>
              <w:bottom w:val="single" w:sz="12" w:space="0" w:color="auto"/>
            </w:tcBorders>
            <w:noWrap/>
            <w:vAlign w:val="center"/>
            <w:hideMark/>
          </w:tcPr>
          <w:p w14:paraId="2EA13CF5" w14:textId="77777777" w:rsidR="00CC6A10" w:rsidRPr="0081586C" w:rsidRDefault="00CC6A10" w:rsidP="002C2ED6">
            <w:pPr>
              <w:pStyle w:val="ExhibitText"/>
              <w:jc w:val="right"/>
              <w:rPr>
                <w:b/>
                <w:bCs/>
                <w:sz w:val="18"/>
                <w:szCs w:val="18"/>
              </w:rPr>
            </w:pPr>
            <w:r w:rsidRPr="0081586C">
              <w:rPr>
                <w:b/>
                <w:bCs/>
                <w:sz w:val="18"/>
                <w:szCs w:val="18"/>
              </w:rPr>
              <w:t>FY 2016</w:t>
            </w:r>
          </w:p>
        </w:tc>
        <w:tc>
          <w:tcPr>
            <w:tcW w:w="1140" w:type="dxa"/>
            <w:tcBorders>
              <w:top w:val="single" w:sz="4" w:space="0" w:color="auto"/>
              <w:bottom w:val="single" w:sz="12" w:space="0" w:color="auto"/>
            </w:tcBorders>
            <w:noWrap/>
            <w:vAlign w:val="center"/>
            <w:hideMark/>
          </w:tcPr>
          <w:p w14:paraId="7AAC5F9D" w14:textId="77777777" w:rsidR="00CC6A10" w:rsidRPr="0081586C" w:rsidRDefault="00CC6A10" w:rsidP="002C2ED6">
            <w:pPr>
              <w:pStyle w:val="ExhibitText"/>
              <w:jc w:val="right"/>
              <w:rPr>
                <w:b/>
                <w:bCs/>
                <w:sz w:val="18"/>
                <w:szCs w:val="18"/>
              </w:rPr>
            </w:pPr>
            <w:r w:rsidRPr="0081586C">
              <w:rPr>
                <w:b/>
                <w:bCs/>
                <w:sz w:val="18"/>
                <w:szCs w:val="18"/>
              </w:rPr>
              <w:t>FY 2017</w:t>
            </w:r>
          </w:p>
        </w:tc>
      </w:tr>
      <w:tr w:rsidR="00CC6A10" w:rsidRPr="0081586C" w14:paraId="4064B443" w14:textId="77777777" w:rsidTr="009460E3">
        <w:trPr>
          <w:trHeight w:val="259"/>
          <w:jc w:val="center"/>
        </w:trPr>
        <w:tc>
          <w:tcPr>
            <w:tcW w:w="4295" w:type="dxa"/>
            <w:tcBorders>
              <w:top w:val="single" w:sz="12" w:space="0" w:color="auto"/>
            </w:tcBorders>
            <w:noWrap/>
            <w:vAlign w:val="center"/>
            <w:hideMark/>
          </w:tcPr>
          <w:p w14:paraId="550A387F" w14:textId="77777777" w:rsidR="00CC6A10" w:rsidRPr="0081586C" w:rsidRDefault="00CC6A10" w:rsidP="002C2ED6">
            <w:pPr>
              <w:pStyle w:val="ExhibitText"/>
              <w:jc w:val="left"/>
              <w:rPr>
                <w:sz w:val="18"/>
                <w:szCs w:val="18"/>
              </w:rPr>
            </w:pPr>
            <w:r w:rsidRPr="0081586C">
              <w:rPr>
                <w:sz w:val="18"/>
                <w:szCs w:val="18"/>
              </w:rPr>
              <w:t xml:space="preserve"> </w:t>
            </w:r>
          </w:p>
        </w:tc>
        <w:tc>
          <w:tcPr>
            <w:tcW w:w="1140" w:type="dxa"/>
            <w:tcBorders>
              <w:top w:val="single" w:sz="12" w:space="0" w:color="auto"/>
            </w:tcBorders>
            <w:noWrap/>
            <w:vAlign w:val="center"/>
            <w:hideMark/>
          </w:tcPr>
          <w:p w14:paraId="04264332" w14:textId="77777777" w:rsidR="00CC6A10" w:rsidRPr="0081586C" w:rsidRDefault="00CC6A10" w:rsidP="002C2ED6">
            <w:pPr>
              <w:pStyle w:val="ExhibitText"/>
              <w:jc w:val="right"/>
              <w:rPr>
                <w:sz w:val="18"/>
                <w:szCs w:val="18"/>
              </w:rPr>
            </w:pPr>
          </w:p>
        </w:tc>
        <w:tc>
          <w:tcPr>
            <w:tcW w:w="1140" w:type="dxa"/>
            <w:tcBorders>
              <w:top w:val="single" w:sz="12" w:space="0" w:color="auto"/>
            </w:tcBorders>
            <w:noWrap/>
            <w:vAlign w:val="center"/>
            <w:hideMark/>
          </w:tcPr>
          <w:p w14:paraId="4AEC8D96" w14:textId="77777777" w:rsidR="00CC6A10" w:rsidRPr="0081586C" w:rsidRDefault="00CC6A10" w:rsidP="002C2ED6">
            <w:pPr>
              <w:pStyle w:val="ExhibitText"/>
              <w:jc w:val="right"/>
              <w:rPr>
                <w:sz w:val="18"/>
                <w:szCs w:val="18"/>
              </w:rPr>
            </w:pPr>
          </w:p>
        </w:tc>
        <w:tc>
          <w:tcPr>
            <w:tcW w:w="1140" w:type="dxa"/>
            <w:tcBorders>
              <w:top w:val="single" w:sz="12" w:space="0" w:color="auto"/>
            </w:tcBorders>
            <w:noWrap/>
            <w:vAlign w:val="center"/>
            <w:hideMark/>
          </w:tcPr>
          <w:p w14:paraId="700084B6" w14:textId="77777777" w:rsidR="00CC6A10" w:rsidRPr="0081586C" w:rsidRDefault="00CC6A10" w:rsidP="002C2ED6">
            <w:pPr>
              <w:pStyle w:val="ExhibitText"/>
              <w:jc w:val="right"/>
              <w:rPr>
                <w:sz w:val="18"/>
                <w:szCs w:val="18"/>
              </w:rPr>
            </w:pPr>
          </w:p>
        </w:tc>
        <w:tc>
          <w:tcPr>
            <w:tcW w:w="1140" w:type="dxa"/>
            <w:tcBorders>
              <w:top w:val="single" w:sz="12" w:space="0" w:color="auto"/>
            </w:tcBorders>
            <w:noWrap/>
            <w:vAlign w:val="center"/>
            <w:hideMark/>
          </w:tcPr>
          <w:p w14:paraId="5EF0366C" w14:textId="77777777" w:rsidR="00CC6A10" w:rsidRPr="0081586C" w:rsidRDefault="00CC6A10" w:rsidP="002C2ED6">
            <w:pPr>
              <w:pStyle w:val="ExhibitText"/>
              <w:jc w:val="right"/>
              <w:rPr>
                <w:sz w:val="18"/>
                <w:szCs w:val="18"/>
              </w:rPr>
            </w:pPr>
          </w:p>
        </w:tc>
      </w:tr>
      <w:tr w:rsidR="00CC6A10" w:rsidRPr="0081586C" w14:paraId="4FD63490" w14:textId="77777777" w:rsidTr="009460E3">
        <w:trPr>
          <w:trHeight w:val="259"/>
          <w:jc w:val="center"/>
        </w:trPr>
        <w:tc>
          <w:tcPr>
            <w:tcW w:w="4295" w:type="dxa"/>
            <w:noWrap/>
            <w:vAlign w:val="center"/>
            <w:hideMark/>
          </w:tcPr>
          <w:p w14:paraId="72643ECF" w14:textId="77777777" w:rsidR="00CC6A10" w:rsidRPr="0081586C" w:rsidRDefault="00CC6A10" w:rsidP="002C2ED6">
            <w:pPr>
              <w:pStyle w:val="ExhibitText"/>
              <w:jc w:val="left"/>
              <w:rPr>
                <w:b/>
                <w:bCs/>
                <w:sz w:val="18"/>
                <w:szCs w:val="18"/>
              </w:rPr>
            </w:pPr>
            <w:r w:rsidRPr="0081586C">
              <w:rPr>
                <w:b/>
                <w:bCs/>
                <w:sz w:val="18"/>
                <w:szCs w:val="18"/>
              </w:rPr>
              <w:t>Revenue and Profitability</w:t>
            </w:r>
          </w:p>
        </w:tc>
        <w:tc>
          <w:tcPr>
            <w:tcW w:w="1140" w:type="dxa"/>
            <w:noWrap/>
            <w:vAlign w:val="center"/>
            <w:hideMark/>
          </w:tcPr>
          <w:p w14:paraId="0ACA8E8D"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17CB7ABC"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74304B05"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7BBAFF04" w14:textId="77777777" w:rsidR="00CC6A10" w:rsidRPr="0081586C" w:rsidRDefault="00CC6A10" w:rsidP="002C2ED6">
            <w:pPr>
              <w:pStyle w:val="ExhibitText"/>
              <w:jc w:val="right"/>
              <w:rPr>
                <w:b/>
                <w:bCs/>
                <w:sz w:val="18"/>
                <w:szCs w:val="18"/>
              </w:rPr>
            </w:pPr>
            <w:r w:rsidRPr="0081586C">
              <w:rPr>
                <w:b/>
                <w:bCs/>
                <w:sz w:val="18"/>
                <w:szCs w:val="18"/>
              </w:rPr>
              <w:t xml:space="preserve"> </w:t>
            </w:r>
          </w:p>
        </w:tc>
      </w:tr>
      <w:tr w:rsidR="00CC6A10" w:rsidRPr="0081586C" w14:paraId="47F4A6E0" w14:textId="77777777" w:rsidTr="009460E3">
        <w:trPr>
          <w:trHeight w:val="259"/>
          <w:jc w:val="center"/>
        </w:trPr>
        <w:tc>
          <w:tcPr>
            <w:tcW w:w="4295" w:type="dxa"/>
            <w:noWrap/>
            <w:vAlign w:val="center"/>
            <w:hideMark/>
          </w:tcPr>
          <w:p w14:paraId="67AB58BE" w14:textId="77777777" w:rsidR="00CC6A10" w:rsidRPr="0081586C" w:rsidRDefault="00CC6A10" w:rsidP="002C2ED6">
            <w:pPr>
              <w:pStyle w:val="ExhibitText"/>
              <w:jc w:val="left"/>
              <w:rPr>
                <w:sz w:val="18"/>
                <w:szCs w:val="18"/>
              </w:rPr>
            </w:pPr>
            <w:r w:rsidRPr="0081586C">
              <w:rPr>
                <w:sz w:val="18"/>
                <w:szCs w:val="18"/>
              </w:rPr>
              <w:t>Revenue</w:t>
            </w:r>
          </w:p>
        </w:tc>
        <w:tc>
          <w:tcPr>
            <w:tcW w:w="1140" w:type="dxa"/>
            <w:noWrap/>
            <w:vAlign w:val="center"/>
            <w:hideMark/>
          </w:tcPr>
          <w:p w14:paraId="33786876" w14:textId="77777777" w:rsidR="00CC6A10" w:rsidRPr="0081586C" w:rsidRDefault="00CC6A10" w:rsidP="002C2ED6">
            <w:pPr>
              <w:pStyle w:val="ExhibitText"/>
              <w:jc w:val="right"/>
              <w:rPr>
                <w:sz w:val="18"/>
                <w:szCs w:val="18"/>
              </w:rPr>
            </w:pPr>
            <w:r w:rsidRPr="0081586C">
              <w:rPr>
                <w:sz w:val="18"/>
                <w:szCs w:val="18"/>
              </w:rPr>
              <w:t xml:space="preserve"> 39,495 </w:t>
            </w:r>
          </w:p>
        </w:tc>
        <w:tc>
          <w:tcPr>
            <w:tcW w:w="1140" w:type="dxa"/>
            <w:noWrap/>
            <w:vAlign w:val="center"/>
            <w:hideMark/>
          </w:tcPr>
          <w:p w14:paraId="2D4C3EE0" w14:textId="77777777" w:rsidR="00CC6A10" w:rsidRPr="0081586C" w:rsidRDefault="00CC6A10" w:rsidP="002C2ED6">
            <w:pPr>
              <w:pStyle w:val="ExhibitText"/>
              <w:jc w:val="right"/>
              <w:rPr>
                <w:sz w:val="18"/>
                <w:szCs w:val="18"/>
              </w:rPr>
            </w:pPr>
            <w:r w:rsidRPr="0081586C">
              <w:rPr>
                <w:sz w:val="18"/>
                <w:szCs w:val="18"/>
              </w:rPr>
              <w:t xml:space="preserve"> 40,956 </w:t>
            </w:r>
          </w:p>
        </w:tc>
        <w:tc>
          <w:tcPr>
            <w:tcW w:w="1140" w:type="dxa"/>
            <w:noWrap/>
            <w:vAlign w:val="center"/>
            <w:hideMark/>
          </w:tcPr>
          <w:p w14:paraId="6114E034" w14:textId="77777777" w:rsidR="00CC6A10" w:rsidRPr="0081586C" w:rsidRDefault="00CC6A10" w:rsidP="002C2ED6">
            <w:pPr>
              <w:pStyle w:val="ExhibitText"/>
              <w:jc w:val="right"/>
              <w:rPr>
                <w:sz w:val="18"/>
                <w:szCs w:val="18"/>
              </w:rPr>
            </w:pPr>
            <w:r w:rsidRPr="0081586C">
              <w:rPr>
                <w:sz w:val="18"/>
                <w:szCs w:val="18"/>
              </w:rPr>
              <w:t xml:space="preserve"> 38,353 </w:t>
            </w:r>
          </w:p>
        </w:tc>
        <w:tc>
          <w:tcPr>
            <w:tcW w:w="1140" w:type="dxa"/>
            <w:noWrap/>
            <w:vAlign w:val="center"/>
            <w:hideMark/>
          </w:tcPr>
          <w:p w14:paraId="78EA1A02" w14:textId="77777777" w:rsidR="00CC6A10" w:rsidRPr="0081586C" w:rsidRDefault="00CC6A10" w:rsidP="002C2ED6">
            <w:pPr>
              <w:pStyle w:val="ExhibitText"/>
              <w:jc w:val="right"/>
              <w:rPr>
                <w:sz w:val="18"/>
                <w:szCs w:val="18"/>
              </w:rPr>
            </w:pPr>
            <w:r w:rsidRPr="0081586C">
              <w:rPr>
                <w:sz w:val="18"/>
                <w:szCs w:val="18"/>
              </w:rPr>
              <w:t xml:space="preserve"> 40,580 </w:t>
            </w:r>
          </w:p>
        </w:tc>
      </w:tr>
      <w:tr w:rsidR="00CC6A10" w:rsidRPr="0081586C" w14:paraId="2348A1B9" w14:textId="77777777" w:rsidTr="009460E3">
        <w:trPr>
          <w:trHeight w:val="259"/>
          <w:jc w:val="center"/>
        </w:trPr>
        <w:tc>
          <w:tcPr>
            <w:tcW w:w="4295" w:type="dxa"/>
            <w:noWrap/>
            <w:vAlign w:val="center"/>
            <w:hideMark/>
          </w:tcPr>
          <w:p w14:paraId="0FB2CBCD" w14:textId="77777777" w:rsidR="00CC6A10" w:rsidRPr="0081586C" w:rsidRDefault="00CC6A10" w:rsidP="002C2ED6">
            <w:pPr>
              <w:pStyle w:val="ExhibitText"/>
              <w:jc w:val="left"/>
              <w:rPr>
                <w:sz w:val="18"/>
                <w:szCs w:val="18"/>
              </w:rPr>
            </w:pPr>
            <w:r w:rsidRPr="0081586C">
              <w:rPr>
                <w:sz w:val="18"/>
                <w:szCs w:val="18"/>
              </w:rPr>
              <w:t>Profit before income tax</w:t>
            </w:r>
          </w:p>
        </w:tc>
        <w:tc>
          <w:tcPr>
            <w:tcW w:w="1140" w:type="dxa"/>
            <w:noWrap/>
            <w:vAlign w:val="center"/>
            <w:hideMark/>
          </w:tcPr>
          <w:p w14:paraId="59412494" w14:textId="77777777" w:rsidR="00CC6A10" w:rsidRPr="0081586C" w:rsidRDefault="00CC6A10" w:rsidP="002C2ED6">
            <w:pPr>
              <w:pStyle w:val="ExhibitText"/>
              <w:jc w:val="right"/>
              <w:rPr>
                <w:sz w:val="18"/>
                <w:szCs w:val="18"/>
              </w:rPr>
            </w:pPr>
            <w:r w:rsidRPr="0081586C">
              <w:rPr>
                <w:sz w:val="18"/>
                <w:szCs w:val="18"/>
              </w:rPr>
              <w:t xml:space="preserve"> 981 </w:t>
            </w:r>
          </w:p>
        </w:tc>
        <w:tc>
          <w:tcPr>
            <w:tcW w:w="1140" w:type="dxa"/>
            <w:noWrap/>
            <w:vAlign w:val="center"/>
            <w:hideMark/>
          </w:tcPr>
          <w:p w14:paraId="332528F1" w14:textId="77777777" w:rsidR="00CC6A10" w:rsidRPr="0081586C" w:rsidRDefault="00CC6A10" w:rsidP="002C2ED6">
            <w:pPr>
              <w:pStyle w:val="ExhibitText"/>
              <w:jc w:val="right"/>
              <w:rPr>
                <w:sz w:val="18"/>
                <w:szCs w:val="18"/>
              </w:rPr>
            </w:pPr>
            <w:r w:rsidRPr="0081586C">
              <w:rPr>
                <w:sz w:val="18"/>
                <w:szCs w:val="18"/>
              </w:rPr>
              <w:t xml:space="preserve"> 1,120 </w:t>
            </w:r>
          </w:p>
        </w:tc>
        <w:tc>
          <w:tcPr>
            <w:tcW w:w="1140" w:type="dxa"/>
            <w:noWrap/>
            <w:vAlign w:val="center"/>
            <w:hideMark/>
          </w:tcPr>
          <w:p w14:paraId="33A083F6" w14:textId="77777777" w:rsidR="00CC6A10" w:rsidRPr="0081586C" w:rsidRDefault="00CC6A10" w:rsidP="002C2ED6">
            <w:pPr>
              <w:pStyle w:val="ExhibitText"/>
              <w:jc w:val="right"/>
              <w:rPr>
                <w:sz w:val="18"/>
                <w:szCs w:val="18"/>
              </w:rPr>
            </w:pPr>
            <w:r w:rsidRPr="0081586C">
              <w:rPr>
                <w:sz w:val="18"/>
                <w:szCs w:val="18"/>
              </w:rPr>
              <w:t xml:space="preserve"> 1,061 </w:t>
            </w:r>
          </w:p>
        </w:tc>
        <w:tc>
          <w:tcPr>
            <w:tcW w:w="1140" w:type="dxa"/>
            <w:noWrap/>
            <w:vAlign w:val="center"/>
            <w:hideMark/>
          </w:tcPr>
          <w:p w14:paraId="2FF3491D" w14:textId="77777777" w:rsidR="00CC6A10" w:rsidRPr="0081586C" w:rsidRDefault="00CC6A10" w:rsidP="002C2ED6">
            <w:pPr>
              <w:pStyle w:val="ExhibitText"/>
              <w:jc w:val="right"/>
              <w:rPr>
                <w:sz w:val="18"/>
                <w:szCs w:val="18"/>
              </w:rPr>
            </w:pPr>
            <w:r w:rsidRPr="0081586C">
              <w:rPr>
                <w:sz w:val="18"/>
                <w:szCs w:val="18"/>
              </w:rPr>
              <w:t xml:space="preserve"> 2,149 </w:t>
            </w:r>
          </w:p>
        </w:tc>
      </w:tr>
      <w:tr w:rsidR="00CC6A10" w:rsidRPr="0081586C" w14:paraId="73A46DDF" w14:textId="77777777" w:rsidTr="009460E3">
        <w:trPr>
          <w:trHeight w:val="259"/>
          <w:jc w:val="center"/>
        </w:trPr>
        <w:tc>
          <w:tcPr>
            <w:tcW w:w="4295" w:type="dxa"/>
            <w:noWrap/>
            <w:vAlign w:val="center"/>
            <w:hideMark/>
          </w:tcPr>
          <w:p w14:paraId="3470F4EC" w14:textId="77777777" w:rsidR="00CC6A10" w:rsidRPr="0081586C" w:rsidRDefault="00CC6A10" w:rsidP="002C2ED6">
            <w:pPr>
              <w:pStyle w:val="ExhibitText"/>
              <w:jc w:val="left"/>
              <w:rPr>
                <w:sz w:val="18"/>
                <w:szCs w:val="18"/>
              </w:rPr>
            </w:pPr>
            <w:r w:rsidRPr="0081586C">
              <w:rPr>
                <w:sz w:val="18"/>
                <w:szCs w:val="18"/>
              </w:rPr>
              <w:t>Profit attributable to owners of the company</w:t>
            </w:r>
          </w:p>
        </w:tc>
        <w:tc>
          <w:tcPr>
            <w:tcW w:w="1140" w:type="dxa"/>
            <w:noWrap/>
            <w:vAlign w:val="center"/>
            <w:hideMark/>
          </w:tcPr>
          <w:p w14:paraId="6C70DCD8" w14:textId="77777777" w:rsidR="00CC6A10" w:rsidRPr="0081586C" w:rsidRDefault="00CC6A10" w:rsidP="002C2ED6">
            <w:pPr>
              <w:pStyle w:val="ExhibitText"/>
              <w:jc w:val="right"/>
              <w:rPr>
                <w:sz w:val="18"/>
                <w:szCs w:val="18"/>
              </w:rPr>
            </w:pPr>
            <w:r w:rsidRPr="0081586C">
              <w:rPr>
                <w:sz w:val="18"/>
                <w:szCs w:val="18"/>
              </w:rPr>
              <w:t xml:space="preserve"> 911 </w:t>
            </w:r>
          </w:p>
        </w:tc>
        <w:tc>
          <w:tcPr>
            <w:tcW w:w="1140" w:type="dxa"/>
            <w:noWrap/>
            <w:vAlign w:val="center"/>
            <w:hideMark/>
          </w:tcPr>
          <w:p w14:paraId="40D545E0" w14:textId="77777777" w:rsidR="00CC6A10" w:rsidRPr="0081586C" w:rsidRDefault="00CC6A10" w:rsidP="002C2ED6">
            <w:pPr>
              <w:pStyle w:val="ExhibitText"/>
              <w:jc w:val="right"/>
              <w:rPr>
                <w:sz w:val="18"/>
                <w:szCs w:val="18"/>
              </w:rPr>
            </w:pPr>
            <w:r w:rsidRPr="0081586C">
              <w:rPr>
                <w:sz w:val="18"/>
                <w:szCs w:val="18"/>
              </w:rPr>
              <w:t xml:space="preserve"> 968 </w:t>
            </w:r>
          </w:p>
        </w:tc>
        <w:tc>
          <w:tcPr>
            <w:tcW w:w="1140" w:type="dxa"/>
            <w:noWrap/>
            <w:vAlign w:val="center"/>
            <w:hideMark/>
          </w:tcPr>
          <w:p w14:paraId="50E68282" w14:textId="77777777" w:rsidR="00CC6A10" w:rsidRPr="0081586C" w:rsidRDefault="00CC6A10" w:rsidP="002C2ED6">
            <w:pPr>
              <w:pStyle w:val="ExhibitText"/>
              <w:jc w:val="right"/>
              <w:rPr>
                <w:sz w:val="18"/>
                <w:szCs w:val="18"/>
              </w:rPr>
            </w:pPr>
            <w:r w:rsidRPr="0081586C">
              <w:rPr>
                <w:sz w:val="18"/>
                <w:szCs w:val="18"/>
              </w:rPr>
              <w:t xml:space="preserve"> 997 </w:t>
            </w:r>
          </w:p>
        </w:tc>
        <w:tc>
          <w:tcPr>
            <w:tcW w:w="1140" w:type="dxa"/>
            <w:noWrap/>
            <w:vAlign w:val="center"/>
            <w:hideMark/>
          </w:tcPr>
          <w:p w14:paraId="362990CA" w14:textId="77777777" w:rsidR="00CC6A10" w:rsidRPr="0081586C" w:rsidRDefault="00CC6A10" w:rsidP="002C2ED6">
            <w:pPr>
              <w:pStyle w:val="ExhibitText"/>
              <w:jc w:val="right"/>
              <w:rPr>
                <w:sz w:val="18"/>
                <w:szCs w:val="18"/>
              </w:rPr>
            </w:pPr>
            <w:r w:rsidRPr="0081586C">
              <w:rPr>
                <w:sz w:val="18"/>
                <w:szCs w:val="18"/>
              </w:rPr>
              <w:t xml:space="preserve"> 1,947 </w:t>
            </w:r>
          </w:p>
        </w:tc>
      </w:tr>
      <w:tr w:rsidR="00CC6A10" w:rsidRPr="0081586C" w14:paraId="1E67B209" w14:textId="77777777" w:rsidTr="009460E3">
        <w:trPr>
          <w:trHeight w:val="259"/>
          <w:jc w:val="center"/>
        </w:trPr>
        <w:tc>
          <w:tcPr>
            <w:tcW w:w="4295" w:type="dxa"/>
            <w:noWrap/>
            <w:vAlign w:val="center"/>
            <w:hideMark/>
          </w:tcPr>
          <w:p w14:paraId="0617F1B6" w14:textId="77777777" w:rsidR="00CC6A10" w:rsidRPr="0081586C" w:rsidRDefault="00CC6A10" w:rsidP="002C2ED6">
            <w:pPr>
              <w:pStyle w:val="ExhibitText"/>
              <w:jc w:val="left"/>
              <w:rPr>
                <w:sz w:val="18"/>
                <w:szCs w:val="18"/>
              </w:rPr>
            </w:pPr>
            <w:r w:rsidRPr="0081586C">
              <w:rPr>
                <w:sz w:val="18"/>
                <w:szCs w:val="18"/>
              </w:rPr>
              <w:t xml:space="preserve"> </w:t>
            </w:r>
          </w:p>
        </w:tc>
        <w:tc>
          <w:tcPr>
            <w:tcW w:w="1140" w:type="dxa"/>
            <w:noWrap/>
            <w:vAlign w:val="center"/>
            <w:hideMark/>
          </w:tcPr>
          <w:p w14:paraId="5FA08398"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2BE54C11"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16A3E698"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28D21476" w14:textId="77777777" w:rsidR="00CC6A10" w:rsidRPr="0081586C" w:rsidRDefault="00CC6A10" w:rsidP="002C2ED6">
            <w:pPr>
              <w:pStyle w:val="ExhibitText"/>
              <w:jc w:val="right"/>
              <w:rPr>
                <w:sz w:val="18"/>
                <w:szCs w:val="18"/>
              </w:rPr>
            </w:pPr>
            <w:r w:rsidRPr="0081586C">
              <w:rPr>
                <w:sz w:val="18"/>
                <w:szCs w:val="18"/>
              </w:rPr>
              <w:t xml:space="preserve"> </w:t>
            </w:r>
          </w:p>
        </w:tc>
      </w:tr>
      <w:tr w:rsidR="00CC6A10" w:rsidRPr="0081586C" w14:paraId="6776DEEF" w14:textId="77777777" w:rsidTr="009460E3">
        <w:trPr>
          <w:trHeight w:val="259"/>
          <w:jc w:val="center"/>
        </w:trPr>
        <w:tc>
          <w:tcPr>
            <w:tcW w:w="4295" w:type="dxa"/>
            <w:noWrap/>
            <w:vAlign w:val="center"/>
            <w:hideMark/>
          </w:tcPr>
          <w:p w14:paraId="0B25BB78" w14:textId="77777777" w:rsidR="00CC6A10" w:rsidRPr="0081586C" w:rsidRDefault="00CC6A10" w:rsidP="002C2ED6">
            <w:pPr>
              <w:pStyle w:val="ExhibitText"/>
              <w:jc w:val="left"/>
              <w:rPr>
                <w:b/>
                <w:bCs/>
                <w:sz w:val="18"/>
                <w:szCs w:val="18"/>
              </w:rPr>
            </w:pPr>
            <w:r w:rsidRPr="0081586C">
              <w:rPr>
                <w:b/>
                <w:bCs/>
                <w:sz w:val="18"/>
                <w:szCs w:val="18"/>
              </w:rPr>
              <w:t>Financial and Cash Flow Position</w:t>
            </w:r>
          </w:p>
        </w:tc>
        <w:tc>
          <w:tcPr>
            <w:tcW w:w="1140" w:type="dxa"/>
            <w:noWrap/>
            <w:vAlign w:val="center"/>
            <w:hideMark/>
          </w:tcPr>
          <w:p w14:paraId="4195A6E9"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25311AF4"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67E3C21A"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279A59E1" w14:textId="77777777" w:rsidR="00CC6A10" w:rsidRPr="0081586C" w:rsidRDefault="00CC6A10" w:rsidP="002C2ED6">
            <w:pPr>
              <w:pStyle w:val="ExhibitText"/>
              <w:jc w:val="right"/>
              <w:rPr>
                <w:b/>
                <w:bCs/>
                <w:sz w:val="18"/>
                <w:szCs w:val="18"/>
              </w:rPr>
            </w:pPr>
            <w:r w:rsidRPr="0081586C">
              <w:rPr>
                <w:b/>
                <w:bCs/>
                <w:sz w:val="18"/>
                <w:szCs w:val="18"/>
              </w:rPr>
              <w:t xml:space="preserve"> </w:t>
            </w:r>
          </w:p>
        </w:tc>
      </w:tr>
      <w:tr w:rsidR="00CC6A10" w:rsidRPr="0081586C" w14:paraId="126A1CD1" w14:textId="77777777" w:rsidTr="009460E3">
        <w:trPr>
          <w:trHeight w:val="259"/>
          <w:jc w:val="center"/>
        </w:trPr>
        <w:tc>
          <w:tcPr>
            <w:tcW w:w="4295" w:type="dxa"/>
            <w:noWrap/>
            <w:vAlign w:val="center"/>
            <w:hideMark/>
          </w:tcPr>
          <w:p w14:paraId="56535AA1" w14:textId="77777777" w:rsidR="00CC6A10" w:rsidRPr="0081586C" w:rsidRDefault="00CC6A10" w:rsidP="002C2ED6">
            <w:pPr>
              <w:pStyle w:val="ExhibitText"/>
              <w:jc w:val="left"/>
              <w:rPr>
                <w:sz w:val="18"/>
                <w:szCs w:val="18"/>
              </w:rPr>
            </w:pPr>
            <w:r w:rsidRPr="0081586C">
              <w:rPr>
                <w:sz w:val="18"/>
                <w:szCs w:val="18"/>
              </w:rPr>
              <w:t>Current assets</w:t>
            </w:r>
          </w:p>
        </w:tc>
        <w:tc>
          <w:tcPr>
            <w:tcW w:w="1140" w:type="dxa"/>
            <w:noWrap/>
            <w:vAlign w:val="center"/>
            <w:hideMark/>
          </w:tcPr>
          <w:p w14:paraId="56C8AA3A" w14:textId="77777777" w:rsidR="00CC6A10" w:rsidRPr="0081586C" w:rsidRDefault="00CC6A10" w:rsidP="002C2ED6">
            <w:pPr>
              <w:pStyle w:val="ExhibitText"/>
              <w:jc w:val="right"/>
              <w:rPr>
                <w:sz w:val="18"/>
                <w:szCs w:val="18"/>
              </w:rPr>
            </w:pPr>
            <w:r w:rsidRPr="0081586C">
              <w:rPr>
                <w:sz w:val="18"/>
                <w:szCs w:val="18"/>
              </w:rPr>
              <w:t xml:space="preserve"> 13,637 </w:t>
            </w:r>
          </w:p>
        </w:tc>
        <w:tc>
          <w:tcPr>
            <w:tcW w:w="1140" w:type="dxa"/>
            <w:noWrap/>
            <w:vAlign w:val="center"/>
            <w:hideMark/>
          </w:tcPr>
          <w:p w14:paraId="6B3767CE" w14:textId="77777777" w:rsidR="00CC6A10" w:rsidRPr="0081586C" w:rsidRDefault="00CC6A10" w:rsidP="002C2ED6">
            <w:pPr>
              <w:pStyle w:val="ExhibitText"/>
              <w:jc w:val="right"/>
              <w:rPr>
                <w:sz w:val="18"/>
                <w:szCs w:val="18"/>
              </w:rPr>
            </w:pPr>
            <w:r w:rsidRPr="0081586C">
              <w:rPr>
                <w:sz w:val="18"/>
                <w:szCs w:val="18"/>
              </w:rPr>
              <w:t xml:space="preserve"> 12,819 </w:t>
            </w:r>
          </w:p>
        </w:tc>
        <w:tc>
          <w:tcPr>
            <w:tcW w:w="1140" w:type="dxa"/>
            <w:noWrap/>
            <w:vAlign w:val="center"/>
            <w:hideMark/>
          </w:tcPr>
          <w:p w14:paraId="479649E3" w14:textId="77777777" w:rsidR="00CC6A10" w:rsidRPr="0081586C" w:rsidRDefault="00CC6A10" w:rsidP="002C2ED6">
            <w:pPr>
              <w:pStyle w:val="ExhibitText"/>
              <w:jc w:val="right"/>
              <w:rPr>
                <w:sz w:val="18"/>
                <w:szCs w:val="18"/>
              </w:rPr>
            </w:pPr>
            <w:r w:rsidRPr="0081586C">
              <w:rPr>
                <w:sz w:val="18"/>
                <w:szCs w:val="18"/>
              </w:rPr>
              <w:t xml:space="preserve"> 11,320 </w:t>
            </w:r>
          </w:p>
        </w:tc>
        <w:tc>
          <w:tcPr>
            <w:tcW w:w="1140" w:type="dxa"/>
            <w:noWrap/>
            <w:vAlign w:val="center"/>
            <w:hideMark/>
          </w:tcPr>
          <w:p w14:paraId="6B9D73A3" w14:textId="77777777" w:rsidR="00CC6A10" w:rsidRPr="0081586C" w:rsidRDefault="00CC6A10" w:rsidP="002C2ED6">
            <w:pPr>
              <w:pStyle w:val="ExhibitText"/>
              <w:jc w:val="right"/>
              <w:rPr>
                <w:sz w:val="18"/>
                <w:szCs w:val="18"/>
              </w:rPr>
            </w:pPr>
            <w:r w:rsidRPr="0081586C">
              <w:rPr>
                <w:sz w:val="18"/>
                <w:szCs w:val="18"/>
              </w:rPr>
              <w:t xml:space="preserve"> 11,727 </w:t>
            </w:r>
          </w:p>
        </w:tc>
      </w:tr>
      <w:tr w:rsidR="00CC6A10" w:rsidRPr="0081586C" w14:paraId="4FD7A60A" w14:textId="77777777" w:rsidTr="009460E3">
        <w:trPr>
          <w:trHeight w:val="259"/>
          <w:jc w:val="center"/>
        </w:trPr>
        <w:tc>
          <w:tcPr>
            <w:tcW w:w="4295" w:type="dxa"/>
            <w:noWrap/>
            <w:vAlign w:val="center"/>
            <w:hideMark/>
          </w:tcPr>
          <w:p w14:paraId="0BE04749" w14:textId="77777777" w:rsidR="00CC6A10" w:rsidRPr="0081586C" w:rsidRDefault="00CC6A10" w:rsidP="002C2ED6">
            <w:pPr>
              <w:pStyle w:val="ExhibitText"/>
              <w:jc w:val="left"/>
              <w:rPr>
                <w:sz w:val="18"/>
                <w:szCs w:val="18"/>
              </w:rPr>
            </w:pPr>
            <w:r w:rsidRPr="0081586C">
              <w:rPr>
                <w:sz w:val="18"/>
                <w:szCs w:val="18"/>
              </w:rPr>
              <w:t>Current liabilities</w:t>
            </w:r>
          </w:p>
        </w:tc>
        <w:tc>
          <w:tcPr>
            <w:tcW w:w="1140" w:type="dxa"/>
            <w:noWrap/>
            <w:vAlign w:val="center"/>
            <w:hideMark/>
          </w:tcPr>
          <w:p w14:paraId="361B6854" w14:textId="77777777" w:rsidR="00CC6A10" w:rsidRPr="0081586C" w:rsidRDefault="00CC6A10" w:rsidP="002C2ED6">
            <w:pPr>
              <w:pStyle w:val="ExhibitText"/>
              <w:jc w:val="right"/>
              <w:rPr>
                <w:sz w:val="18"/>
                <w:szCs w:val="18"/>
              </w:rPr>
            </w:pPr>
            <w:r w:rsidRPr="0081586C">
              <w:rPr>
                <w:sz w:val="18"/>
                <w:szCs w:val="18"/>
              </w:rPr>
              <w:t xml:space="preserve"> 5,398 </w:t>
            </w:r>
          </w:p>
        </w:tc>
        <w:tc>
          <w:tcPr>
            <w:tcW w:w="1140" w:type="dxa"/>
            <w:noWrap/>
            <w:vAlign w:val="center"/>
            <w:hideMark/>
          </w:tcPr>
          <w:p w14:paraId="547E29D1" w14:textId="77777777" w:rsidR="00CC6A10" w:rsidRPr="0081586C" w:rsidRDefault="00CC6A10" w:rsidP="002C2ED6">
            <w:pPr>
              <w:pStyle w:val="ExhibitText"/>
              <w:jc w:val="right"/>
              <w:rPr>
                <w:sz w:val="18"/>
                <w:szCs w:val="18"/>
              </w:rPr>
            </w:pPr>
            <w:r w:rsidRPr="0081586C">
              <w:rPr>
                <w:sz w:val="18"/>
                <w:szCs w:val="18"/>
              </w:rPr>
              <w:t xml:space="preserve"> 5,235 </w:t>
            </w:r>
          </w:p>
        </w:tc>
        <w:tc>
          <w:tcPr>
            <w:tcW w:w="1140" w:type="dxa"/>
            <w:noWrap/>
            <w:vAlign w:val="center"/>
            <w:hideMark/>
          </w:tcPr>
          <w:p w14:paraId="071725D3" w14:textId="77777777" w:rsidR="00CC6A10" w:rsidRPr="0081586C" w:rsidRDefault="00CC6A10" w:rsidP="002C2ED6">
            <w:pPr>
              <w:pStyle w:val="ExhibitText"/>
              <w:jc w:val="right"/>
              <w:rPr>
                <w:sz w:val="18"/>
                <w:szCs w:val="18"/>
              </w:rPr>
            </w:pPr>
            <w:r w:rsidRPr="0081586C">
              <w:rPr>
                <w:sz w:val="18"/>
                <w:szCs w:val="18"/>
              </w:rPr>
              <w:t xml:space="preserve"> 5,594 </w:t>
            </w:r>
          </w:p>
        </w:tc>
        <w:tc>
          <w:tcPr>
            <w:tcW w:w="1140" w:type="dxa"/>
            <w:noWrap/>
            <w:vAlign w:val="center"/>
            <w:hideMark/>
          </w:tcPr>
          <w:p w14:paraId="1E12BC89" w14:textId="77777777" w:rsidR="00CC6A10" w:rsidRPr="0081586C" w:rsidRDefault="00CC6A10" w:rsidP="002C2ED6">
            <w:pPr>
              <w:pStyle w:val="ExhibitText"/>
              <w:jc w:val="right"/>
              <w:rPr>
                <w:sz w:val="18"/>
                <w:szCs w:val="18"/>
              </w:rPr>
            </w:pPr>
            <w:r w:rsidRPr="0081586C">
              <w:rPr>
                <w:sz w:val="18"/>
                <w:szCs w:val="18"/>
              </w:rPr>
              <w:t xml:space="preserve"> 4,914 </w:t>
            </w:r>
          </w:p>
        </w:tc>
      </w:tr>
      <w:tr w:rsidR="00CC6A10" w:rsidRPr="0081586C" w14:paraId="27D3AC9F" w14:textId="77777777" w:rsidTr="009460E3">
        <w:trPr>
          <w:trHeight w:val="259"/>
          <w:jc w:val="center"/>
        </w:trPr>
        <w:tc>
          <w:tcPr>
            <w:tcW w:w="4295" w:type="dxa"/>
            <w:noWrap/>
            <w:vAlign w:val="center"/>
            <w:hideMark/>
          </w:tcPr>
          <w:p w14:paraId="1F09B868" w14:textId="77777777" w:rsidR="00CC6A10" w:rsidRPr="0081586C" w:rsidRDefault="00CC6A10" w:rsidP="002C2ED6">
            <w:pPr>
              <w:pStyle w:val="ExhibitText"/>
              <w:jc w:val="left"/>
              <w:rPr>
                <w:sz w:val="18"/>
                <w:szCs w:val="18"/>
              </w:rPr>
            </w:pPr>
            <w:r w:rsidRPr="0081586C">
              <w:rPr>
                <w:sz w:val="18"/>
                <w:szCs w:val="18"/>
              </w:rPr>
              <w:t>Total assets</w:t>
            </w:r>
          </w:p>
        </w:tc>
        <w:tc>
          <w:tcPr>
            <w:tcW w:w="1140" w:type="dxa"/>
            <w:noWrap/>
            <w:vAlign w:val="center"/>
            <w:hideMark/>
          </w:tcPr>
          <w:p w14:paraId="52F44167" w14:textId="77777777" w:rsidR="00CC6A10" w:rsidRPr="0081586C" w:rsidRDefault="00CC6A10" w:rsidP="002C2ED6">
            <w:pPr>
              <w:pStyle w:val="ExhibitText"/>
              <w:jc w:val="right"/>
              <w:rPr>
                <w:sz w:val="18"/>
                <w:szCs w:val="18"/>
              </w:rPr>
            </w:pPr>
            <w:r w:rsidRPr="0081586C">
              <w:rPr>
                <w:sz w:val="18"/>
                <w:szCs w:val="18"/>
              </w:rPr>
              <w:t xml:space="preserve"> 17,668 </w:t>
            </w:r>
          </w:p>
        </w:tc>
        <w:tc>
          <w:tcPr>
            <w:tcW w:w="1140" w:type="dxa"/>
            <w:noWrap/>
            <w:vAlign w:val="center"/>
            <w:hideMark/>
          </w:tcPr>
          <w:p w14:paraId="7F7DDB2A" w14:textId="77777777" w:rsidR="00CC6A10" w:rsidRPr="0081586C" w:rsidRDefault="00CC6A10" w:rsidP="002C2ED6">
            <w:pPr>
              <w:pStyle w:val="ExhibitText"/>
              <w:jc w:val="right"/>
              <w:rPr>
                <w:sz w:val="18"/>
                <w:szCs w:val="18"/>
              </w:rPr>
            </w:pPr>
            <w:r w:rsidRPr="0081586C">
              <w:rPr>
                <w:sz w:val="18"/>
                <w:szCs w:val="18"/>
              </w:rPr>
              <w:t xml:space="preserve"> 15,811 </w:t>
            </w:r>
          </w:p>
        </w:tc>
        <w:tc>
          <w:tcPr>
            <w:tcW w:w="1140" w:type="dxa"/>
            <w:noWrap/>
            <w:vAlign w:val="center"/>
            <w:hideMark/>
          </w:tcPr>
          <w:p w14:paraId="1A4DD6CB" w14:textId="77777777" w:rsidR="00CC6A10" w:rsidRPr="0081586C" w:rsidRDefault="00CC6A10" w:rsidP="002C2ED6">
            <w:pPr>
              <w:pStyle w:val="ExhibitText"/>
              <w:jc w:val="right"/>
              <w:rPr>
                <w:sz w:val="18"/>
                <w:szCs w:val="18"/>
              </w:rPr>
            </w:pPr>
            <w:r w:rsidRPr="0081586C">
              <w:rPr>
                <w:sz w:val="18"/>
                <w:szCs w:val="18"/>
              </w:rPr>
              <w:t xml:space="preserve"> 14,929 </w:t>
            </w:r>
          </w:p>
        </w:tc>
        <w:tc>
          <w:tcPr>
            <w:tcW w:w="1140" w:type="dxa"/>
            <w:noWrap/>
            <w:vAlign w:val="center"/>
            <w:hideMark/>
          </w:tcPr>
          <w:p w14:paraId="3735D907" w14:textId="77777777" w:rsidR="00CC6A10" w:rsidRPr="0081586C" w:rsidRDefault="00CC6A10" w:rsidP="002C2ED6">
            <w:pPr>
              <w:pStyle w:val="ExhibitText"/>
              <w:jc w:val="right"/>
              <w:rPr>
                <w:sz w:val="18"/>
                <w:szCs w:val="18"/>
              </w:rPr>
            </w:pPr>
            <w:r w:rsidRPr="0081586C">
              <w:rPr>
                <w:sz w:val="18"/>
                <w:szCs w:val="18"/>
              </w:rPr>
              <w:t xml:space="preserve"> 15,494 </w:t>
            </w:r>
          </w:p>
        </w:tc>
      </w:tr>
      <w:tr w:rsidR="00CC6A10" w:rsidRPr="0081586C" w14:paraId="52B21663" w14:textId="77777777" w:rsidTr="009460E3">
        <w:trPr>
          <w:trHeight w:val="259"/>
          <w:jc w:val="center"/>
        </w:trPr>
        <w:tc>
          <w:tcPr>
            <w:tcW w:w="4295" w:type="dxa"/>
            <w:noWrap/>
            <w:vAlign w:val="center"/>
            <w:hideMark/>
          </w:tcPr>
          <w:p w14:paraId="7E9229BF" w14:textId="77777777" w:rsidR="00CC6A10" w:rsidRPr="0081586C" w:rsidRDefault="00CC6A10" w:rsidP="002C2ED6">
            <w:pPr>
              <w:pStyle w:val="ExhibitText"/>
              <w:jc w:val="left"/>
              <w:rPr>
                <w:sz w:val="18"/>
                <w:szCs w:val="18"/>
              </w:rPr>
            </w:pPr>
            <w:r w:rsidRPr="0081586C">
              <w:rPr>
                <w:sz w:val="18"/>
                <w:szCs w:val="18"/>
              </w:rPr>
              <w:t>Total liabilities</w:t>
            </w:r>
          </w:p>
        </w:tc>
        <w:tc>
          <w:tcPr>
            <w:tcW w:w="1140" w:type="dxa"/>
            <w:noWrap/>
            <w:vAlign w:val="center"/>
            <w:hideMark/>
          </w:tcPr>
          <w:p w14:paraId="48588A5C" w14:textId="77777777" w:rsidR="00CC6A10" w:rsidRPr="0081586C" w:rsidRDefault="00CC6A10" w:rsidP="002C2ED6">
            <w:pPr>
              <w:pStyle w:val="ExhibitText"/>
              <w:jc w:val="right"/>
              <w:rPr>
                <w:sz w:val="18"/>
                <w:szCs w:val="18"/>
              </w:rPr>
            </w:pPr>
            <w:r w:rsidRPr="0081586C">
              <w:rPr>
                <w:sz w:val="18"/>
                <w:szCs w:val="18"/>
              </w:rPr>
              <w:t xml:space="preserve"> 5,700 </w:t>
            </w:r>
          </w:p>
        </w:tc>
        <w:tc>
          <w:tcPr>
            <w:tcW w:w="1140" w:type="dxa"/>
            <w:noWrap/>
            <w:vAlign w:val="center"/>
            <w:hideMark/>
          </w:tcPr>
          <w:p w14:paraId="07C0BC93" w14:textId="77777777" w:rsidR="00CC6A10" w:rsidRPr="0081586C" w:rsidRDefault="00CC6A10" w:rsidP="002C2ED6">
            <w:pPr>
              <w:pStyle w:val="ExhibitText"/>
              <w:jc w:val="right"/>
              <w:rPr>
                <w:sz w:val="18"/>
                <w:szCs w:val="18"/>
              </w:rPr>
            </w:pPr>
            <w:r w:rsidRPr="0081586C">
              <w:rPr>
                <w:sz w:val="18"/>
                <w:szCs w:val="18"/>
              </w:rPr>
              <w:t xml:space="preserve"> 5,515 </w:t>
            </w:r>
          </w:p>
        </w:tc>
        <w:tc>
          <w:tcPr>
            <w:tcW w:w="1140" w:type="dxa"/>
            <w:noWrap/>
            <w:vAlign w:val="center"/>
            <w:hideMark/>
          </w:tcPr>
          <w:p w14:paraId="080EFC04" w14:textId="77777777" w:rsidR="00CC6A10" w:rsidRPr="0081586C" w:rsidRDefault="00CC6A10" w:rsidP="002C2ED6">
            <w:pPr>
              <w:pStyle w:val="ExhibitText"/>
              <w:jc w:val="right"/>
              <w:rPr>
                <w:sz w:val="18"/>
                <w:szCs w:val="18"/>
              </w:rPr>
            </w:pPr>
            <w:r w:rsidRPr="0081586C">
              <w:rPr>
                <w:sz w:val="18"/>
                <w:szCs w:val="18"/>
              </w:rPr>
              <w:t xml:space="preserve"> 5,856 </w:t>
            </w:r>
          </w:p>
        </w:tc>
        <w:tc>
          <w:tcPr>
            <w:tcW w:w="1140" w:type="dxa"/>
            <w:noWrap/>
            <w:vAlign w:val="center"/>
            <w:hideMark/>
          </w:tcPr>
          <w:p w14:paraId="41E6EA2A" w14:textId="77777777" w:rsidR="00CC6A10" w:rsidRPr="0081586C" w:rsidRDefault="00CC6A10" w:rsidP="002C2ED6">
            <w:pPr>
              <w:pStyle w:val="ExhibitText"/>
              <w:jc w:val="right"/>
              <w:rPr>
                <w:sz w:val="18"/>
                <w:szCs w:val="18"/>
              </w:rPr>
            </w:pPr>
            <w:r w:rsidRPr="0081586C">
              <w:rPr>
                <w:sz w:val="18"/>
                <w:szCs w:val="18"/>
              </w:rPr>
              <w:t xml:space="preserve"> 5,188 </w:t>
            </w:r>
          </w:p>
        </w:tc>
      </w:tr>
      <w:tr w:rsidR="00CC6A10" w:rsidRPr="0081586C" w14:paraId="03E6C73F" w14:textId="77777777" w:rsidTr="009460E3">
        <w:trPr>
          <w:trHeight w:val="259"/>
          <w:jc w:val="center"/>
        </w:trPr>
        <w:tc>
          <w:tcPr>
            <w:tcW w:w="4295" w:type="dxa"/>
            <w:noWrap/>
            <w:vAlign w:val="center"/>
            <w:hideMark/>
          </w:tcPr>
          <w:p w14:paraId="1511B899" w14:textId="77777777" w:rsidR="00CC6A10" w:rsidRPr="0081586C" w:rsidRDefault="00CC6A10" w:rsidP="002C2ED6">
            <w:pPr>
              <w:pStyle w:val="ExhibitText"/>
              <w:jc w:val="left"/>
              <w:rPr>
                <w:sz w:val="18"/>
                <w:szCs w:val="18"/>
              </w:rPr>
            </w:pPr>
            <w:r w:rsidRPr="0081586C">
              <w:rPr>
                <w:sz w:val="18"/>
                <w:szCs w:val="18"/>
              </w:rPr>
              <w:t>Total equity</w:t>
            </w:r>
          </w:p>
        </w:tc>
        <w:tc>
          <w:tcPr>
            <w:tcW w:w="1140" w:type="dxa"/>
            <w:noWrap/>
            <w:vAlign w:val="center"/>
            <w:hideMark/>
          </w:tcPr>
          <w:p w14:paraId="63E376E2" w14:textId="77777777" w:rsidR="00CC6A10" w:rsidRPr="0081586C" w:rsidRDefault="00CC6A10" w:rsidP="002C2ED6">
            <w:pPr>
              <w:pStyle w:val="ExhibitText"/>
              <w:jc w:val="right"/>
              <w:rPr>
                <w:sz w:val="18"/>
                <w:szCs w:val="18"/>
              </w:rPr>
            </w:pPr>
            <w:r w:rsidRPr="0081586C">
              <w:rPr>
                <w:sz w:val="18"/>
                <w:szCs w:val="18"/>
              </w:rPr>
              <w:t xml:space="preserve"> 11,968 </w:t>
            </w:r>
          </w:p>
        </w:tc>
        <w:tc>
          <w:tcPr>
            <w:tcW w:w="1140" w:type="dxa"/>
            <w:noWrap/>
            <w:vAlign w:val="center"/>
            <w:hideMark/>
          </w:tcPr>
          <w:p w14:paraId="2854A9E0" w14:textId="77777777" w:rsidR="00CC6A10" w:rsidRPr="0081586C" w:rsidRDefault="00CC6A10" w:rsidP="002C2ED6">
            <w:pPr>
              <w:pStyle w:val="ExhibitText"/>
              <w:jc w:val="right"/>
              <w:rPr>
                <w:sz w:val="18"/>
                <w:szCs w:val="18"/>
              </w:rPr>
            </w:pPr>
            <w:r w:rsidRPr="0081586C">
              <w:rPr>
                <w:sz w:val="18"/>
                <w:szCs w:val="18"/>
              </w:rPr>
              <w:t xml:space="preserve"> 10,296 </w:t>
            </w:r>
          </w:p>
        </w:tc>
        <w:tc>
          <w:tcPr>
            <w:tcW w:w="1140" w:type="dxa"/>
            <w:noWrap/>
            <w:vAlign w:val="center"/>
            <w:hideMark/>
          </w:tcPr>
          <w:p w14:paraId="5305ADD2" w14:textId="77777777" w:rsidR="00CC6A10" w:rsidRPr="0081586C" w:rsidRDefault="00CC6A10" w:rsidP="002C2ED6">
            <w:pPr>
              <w:pStyle w:val="ExhibitText"/>
              <w:jc w:val="right"/>
              <w:rPr>
                <w:sz w:val="18"/>
                <w:szCs w:val="18"/>
              </w:rPr>
            </w:pPr>
            <w:r w:rsidRPr="0081586C">
              <w:rPr>
                <w:sz w:val="18"/>
                <w:szCs w:val="18"/>
              </w:rPr>
              <w:t xml:space="preserve"> 9,073 </w:t>
            </w:r>
          </w:p>
        </w:tc>
        <w:tc>
          <w:tcPr>
            <w:tcW w:w="1140" w:type="dxa"/>
            <w:noWrap/>
            <w:vAlign w:val="center"/>
            <w:hideMark/>
          </w:tcPr>
          <w:p w14:paraId="1BEA3B04" w14:textId="77777777" w:rsidR="00CC6A10" w:rsidRPr="0081586C" w:rsidRDefault="00CC6A10" w:rsidP="002C2ED6">
            <w:pPr>
              <w:pStyle w:val="ExhibitText"/>
              <w:jc w:val="right"/>
              <w:rPr>
                <w:sz w:val="18"/>
                <w:szCs w:val="18"/>
              </w:rPr>
            </w:pPr>
            <w:r w:rsidRPr="0081586C">
              <w:rPr>
                <w:sz w:val="18"/>
                <w:szCs w:val="18"/>
              </w:rPr>
              <w:t xml:space="preserve"> 10,306 </w:t>
            </w:r>
          </w:p>
        </w:tc>
      </w:tr>
      <w:tr w:rsidR="00CC6A10" w:rsidRPr="0081586C" w14:paraId="69F019CF" w14:textId="77777777" w:rsidTr="009460E3">
        <w:trPr>
          <w:trHeight w:val="259"/>
          <w:jc w:val="center"/>
        </w:trPr>
        <w:tc>
          <w:tcPr>
            <w:tcW w:w="4295" w:type="dxa"/>
            <w:noWrap/>
            <w:vAlign w:val="center"/>
            <w:hideMark/>
          </w:tcPr>
          <w:p w14:paraId="4776779B" w14:textId="77777777" w:rsidR="00CC6A10" w:rsidRPr="0081586C" w:rsidRDefault="00CC6A10" w:rsidP="002C2ED6">
            <w:pPr>
              <w:pStyle w:val="ExhibitText"/>
              <w:jc w:val="left"/>
              <w:rPr>
                <w:sz w:val="18"/>
                <w:szCs w:val="18"/>
              </w:rPr>
            </w:pPr>
            <w:r w:rsidRPr="0081586C">
              <w:rPr>
                <w:sz w:val="18"/>
                <w:szCs w:val="18"/>
              </w:rPr>
              <w:t>Cash and cash equivalents</w:t>
            </w:r>
          </w:p>
        </w:tc>
        <w:tc>
          <w:tcPr>
            <w:tcW w:w="1140" w:type="dxa"/>
            <w:noWrap/>
            <w:vAlign w:val="center"/>
            <w:hideMark/>
          </w:tcPr>
          <w:p w14:paraId="26D7463C" w14:textId="77777777" w:rsidR="00CC6A10" w:rsidRPr="0081586C" w:rsidRDefault="00CC6A10" w:rsidP="002C2ED6">
            <w:pPr>
              <w:pStyle w:val="ExhibitText"/>
              <w:jc w:val="right"/>
              <w:rPr>
                <w:sz w:val="18"/>
                <w:szCs w:val="18"/>
              </w:rPr>
            </w:pPr>
            <w:r w:rsidRPr="0081586C">
              <w:rPr>
                <w:sz w:val="18"/>
                <w:szCs w:val="18"/>
              </w:rPr>
              <w:t xml:space="preserve"> 9,125 </w:t>
            </w:r>
          </w:p>
        </w:tc>
        <w:tc>
          <w:tcPr>
            <w:tcW w:w="1140" w:type="dxa"/>
            <w:noWrap/>
            <w:vAlign w:val="center"/>
            <w:hideMark/>
          </w:tcPr>
          <w:p w14:paraId="2BAE25DE" w14:textId="77777777" w:rsidR="00CC6A10" w:rsidRPr="0081586C" w:rsidRDefault="00CC6A10" w:rsidP="002C2ED6">
            <w:pPr>
              <w:pStyle w:val="ExhibitText"/>
              <w:jc w:val="right"/>
              <w:rPr>
                <w:sz w:val="18"/>
                <w:szCs w:val="18"/>
              </w:rPr>
            </w:pPr>
            <w:r w:rsidRPr="0081586C">
              <w:rPr>
                <w:sz w:val="18"/>
                <w:szCs w:val="18"/>
              </w:rPr>
              <w:t xml:space="preserve"> 8,319 </w:t>
            </w:r>
          </w:p>
        </w:tc>
        <w:tc>
          <w:tcPr>
            <w:tcW w:w="1140" w:type="dxa"/>
            <w:noWrap/>
            <w:vAlign w:val="center"/>
            <w:hideMark/>
          </w:tcPr>
          <w:p w14:paraId="52EF86B8" w14:textId="77777777" w:rsidR="00CC6A10" w:rsidRPr="0081586C" w:rsidRDefault="00CC6A10" w:rsidP="002C2ED6">
            <w:pPr>
              <w:pStyle w:val="ExhibitText"/>
              <w:jc w:val="right"/>
              <w:rPr>
                <w:sz w:val="18"/>
                <w:szCs w:val="18"/>
              </w:rPr>
            </w:pPr>
            <w:r w:rsidRPr="0081586C">
              <w:rPr>
                <w:sz w:val="18"/>
                <w:szCs w:val="18"/>
              </w:rPr>
              <w:t xml:space="preserve"> 7,622 </w:t>
            </w:r>
          </w:p>
        </w:tc>
        <w:tc>
          <w:tcPr>
            <w:tcW w:w="1140" w:type="dxa"/>
            <w:noWrap/>
            <w:vAlign w:val="center"/>
            <w:hideMark/>
          </w:tcPr>
          <w:p w14:paraId="4A102F36" w14:textId="77777777" w:rsidR="00CC6A10" w:rsidRPr="0081586C" w:rsidRDefault="00CC6A10" w:rsidP="002C2ED6">
            <w:pPr>
              <w:pStyle w:val="ExhibitText"/>
              <w:jc w:val="right"/>
              <w:rPr>
                <w:sz w:val="18"/>
                <w:szCs w:val="18"/>
              </w:rPr>
            </w:pPr>
            <w:r w:rsidRPr="0081586C">
              <w:rPr>
                <w:sz w:val="18"/>
                <w:szCs w:val="18"/>
              </w:rPr>
              <w:t xml:space="preserve"> 8,128 </w:t>
            </w:r>
          </w:p>
        </w:tc>
      </w:tr>
      <w:tr w:rsidR="00CC6A10" w:rsidRPr="0081586C" w14:paraId="1AC573B2" w14:textId="77777777" w:rsidTr="009460E3">
        <w:trPr>
          <w:trHeight w:val="259"/>
          <w:jc w:val="center"/>
        </w:trPr>
        <w:tc>
          <w:tcPr>
            <w:tcW w:w="4295" w:type="dxa"/>
            <w:noWrap/>
            <w:vAlign w:val="center"/>
            <w:hideMark/>
          </w:tcPr>
          <w:p w14:paraId="3B1B0952" w14:textId="77777777" w:rsidR="00CC6A10" w:rsidRPr="0081586C" w:rsidRDefault="00CC6A10" w:rsidP="002C2ED6">
            <w:pPr>
              <w:pStyle w:val="ExhibitText"/>
              <w:jc w:val="left"/>
              <w:rPr>
                <w:sz w:val="18"/>
                <w:szCs w:val="18"/>
              </w:rPr>
            </w:pPr>
            <w:r w:rsidRPr="0081586C">
              <w:rPr>
                <w:sz w:val="18"/>
                <w:szCs w:val="18"/>
              </w:rPr>
              <w:t xml:space="preserve"> </w:t>
            </w:r>
          </w:p>
        </w:tc>
        <w:tc>
          <w:tcPr>
            <w:tcW w:w="1140" w:type="dxa"/>
            <w:noWrap/>
            <w:vAlign w:val="center"/>
            <w:hideMark/>
          </w:tcPr>
          <w:p w14:paraId="17415094"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3FBD03AD"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5142C961" w14:textId="77777777" w:rsidR="00CC6A10" w:rsidRPr="0081586C" w:rsidRDefault="00CC6A10" w:rsidP="002C2ED6">
            <w:pPr>
              <w:pStyle w:val="ExhibitText"/>
              <w:jc w:val="right"/>
              <w:rPr>
                <w:sz w:val="18"/>
                <w:szCs w:val="18"/>
              </w:rPr>
            </w:pPr>
            <w:r w:rsidRPr="0081586C">
              <w:rPr>
                <w:sz w:val="18"/>
                <w:szCs w:val="18"/>
              </w:rPr>
              <w:t xml:space="preserve"> </w:t>
            </w:r>
          </w:p>
        </w:tc>
        <w:tc>
          <w:tcPr>
            <w:tcW w:w="1140" w:type="dxa"/>
            <w:noWrap/>
            <w:vAlign w:val="center"/>
            <w:hideMark/>
          </w:tcPr>
          <w:p w14:paraId="0A347DA9" w14:textId="77777777" w:rsidR="00CC6A10" w:rsidRPr="0081586C" w:rsidRDefault="00CC6A10" w:rsidP="002C2ED6">
            <w:pPr>
              <w:pStyle w:val="ExhibitText"/>
              <w:jc w:val="right"/>
              <w:rPr>
                <w:sz w:val="18"/>
                <w:szCs w:val="18"/>
              </w:rPr>
            </w:pPr>
            <w:r w:rsidRPr="0081586C">
              <w:rPr>
                <w:sz w:val="18"/>
                <w:szCs w:val="18"/>
              </w:rPr>
              <w:t xml:space="preserve"> </w:t>
            </w:r>
          </w:p>
        </w:tc>
      </w:tr>
      <w:tr w:rsidR="00CC6A10" w:rsidRPr="0081586C" w14:paraId="0C032CA5" w14:textId="77777777" w:rsidTr="009460E3">
        <w:trPr>
          <w:trHeight w:val="259"/>
          <w:jc w:val="center"/>
        </w:trPr>
        <w:tc>
          <w:tcPr>
            <w:tcW w:w="4295" w:type="dxa"/>
            <w:noWrap/>
            <w:vAlign w:val="center"/>
            <w:hideMark/>
          </w:tcPr>
          <w:p w14:paraId="23F42917" w14:textId="77777777" w:rsidR="00CC6A10" w:rsidRPr="0081586C" w:rsidRDefault="00CC6A10" w:rsidP="002C2ED6">
            <w:pPr>
              <w:pStyle w:val="ExhibitText"/>
              <w:jc w:val="left"/>
              <w:rPr>
                <w:b/>
                <w:bCs/>
                <w:sz w:val="18"/>
                <w:szCs w:val="18"/>
              </w:rPr>
            </w:pPr>
            <w:r w:rsidRPr="0081586C">
              <w:rPr>
                <w:b/>
                <w:bCs/>
                <w:sz w:val="18"/>
                <w:szCs w:val="18"/>
              </w:rPr>
              <w:t>Per Share (in Cents)</w:t>
            </w:r>
          </w:p>
        </w:tc>
        <w:tc>
          <w:tcPr>
            <w:tcW w:w="1140" w:type="dxa"/>
            <w:noWrap/>
            <w:vAlign w:val="center"/>
            <w:hideMark/>
          </w:tcPr>
          <w:p w14:paraId="68D91E63"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6C6F9D4B"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10F24494" w14:textId="77777777" w:rsidR="00CC6A10" w:rsidRPr="0081586C" w:rsidRDefault="00CC6A10" w:rsidP="002C2ED6">
            <w:pPr>
              <w:pStyle w:val="ExhibitText"/>
              <w:jc w:val="right"/>
              <w:rPr>
                <w:b/>
                <w:bCs/>
                <w:sz w:val="18"/>
                <w:szCs w:val="18"/>
              </w:rPr>
            </w:pPr>
            <w:r w:rsidRPr="0081586C">
              <w:rPr>
                <w:b/>
                <w:bCs/>
                <w:sz w:val="18"/>
                <w:szCs w:val="18"/>
              </w:rPr>
              <w:t xml:space="preserve"> </w:t>
            </w:r>
          </w:p>
        </w:tc>
        <w:tc>
          <w:tcPr>
            <w:tcW w:w="1140" w:type="dxa"/>
            <w:noWrap/>
            <w:vAlign w:val="center"/>
            <w:hideMark/>
          </w:tcPr>
          <w:p w14:paraId="393D9ED5" w14:textId="77777777" w:rsidR="00CC6A10" w:rsidRPr="0081586C" w:rsidRDefault="00CC6A10" w:rsidP="002C2ED6">
            <w:pPr>
              <w:pStyle w:val="ExhibitText"/>
              <w:jc w:val="right"/>
              <w:rPr>
                <w:b/>
                <w:bCs/>
                <w:sz w:val="18"/>
                <w:szCs w:val="18"/>
              </w:rPr>
            </w:pPr>
            <w:r w:rsidRPr="0081586C">
              <w:rPr>
                <w:b/>
                <w:bCs/>
                <w:sz w:val="18"/>
                <w:szCs w:val="18"/>
              </w:rPr>
              <w:t xml:space="preserve"> </w:t>
            </w:r>
          </w:p>
        </w:tc>
      </w:tr>
      <w:tr w:rsidR="00CC6A10" w:rsidRPr="0081586C" w14:paraId="21E203BA" w14:textId="77777777" w:rsidTr="009460E3">
        <w:trPr>
          <w:trHeight w:val="259"/>
          <w:jc w:val="center"/>
        </w:trPr>
        <w:tc>
          <w:tcPr>
            <w:tcW w:w="4295" w:type="dxa"/>
            <w:noWrap/>
            <w:vAlign w:val="center"/>
            <w:hideMark/>
          </w:tcPr>
          <w:p w14:paraId="70D4728E" w14:textId="77777777" w:rsidR="00CC6A10" w:rsidRPr="0081586C" w:rsidRDefault="00CC6A10" w:rsidP="002C2ED6">
            <w:pPr>
              <w:pStyle w:val="ExhibitText"/>
              <w:jc w:val="left"/>
              <w:rPr>
                <w:sz w:val="18"/>
                <w:szCs w:val="18"/>
              </w:rPr>
            </w:pPr>
            <w:r w:rsidRPr="0081586C">
              <w:rPr>
                <w:sz w:val="18"/>
                <w:szCs w:val="18"/>
              </w:rPr>
              <w:t>Earnings per share**</w:t>
            </w:r>
          </w:p>
        </w:tc>
        <w:tc>
          <w:tcPr>
            <w:tcW w:w="1140" w:type="dxa"/>
            <w:noWrap/>
            <w:vAlign w:val="center"/>
            <w:hideMark/>
          </w:tcPr>
          <w:p w14:paraId="213BAFC4" w14:textId="77777777" w:rsidR="00CC6A10" w:rsidRPr="0081586C" w:rsidRDefault="00CC6A10" w:rsidP="002C2ED6">
            <w:pPr>
              <w:pStyle w:val="ExhibitText"/>
              <w:jc w:val="right"/>
              <w:rPr>
                <w:sz w:val="18"/>
                <w:szCs w:val="18"/>
              </w:rPr>
            </w:pPr>
            <w:r w:rsidRPr="0081586C">
              <w:rPr>
                <w:sz w:val="18"/>
                <w:szCs w:val="18"/>
              </w:rPr>
              <w:t>0.32</w:t>
            </w:r>
          </w:p>
        </w:tc>
        <w:tc>
          <w:tcPr>
            <w:tcW w:w="1140" w:type="dxa"/>
            <w:noWrap/>
            <w:vAlign w:val="center"/>
            <w:hideMark/>
          </w:tcPr>
          <w:p w14:paraId="09D2C78D" w14:textId="77777777" w:rsidR="00CC6A10" w:rsidRPr="0081586C" w:rsidRDefault="00CC6A10" w:rsidP="002C2ED6">
            <w:pPr>
              <w:pStyle w:val="ExhibitText"/>
              <w:jc w:val="right"/>
              <w:rPr>
                <w:sz w:val="18"/>
                <w:szCs w:val="18"/>
              </w:rPr>
            </w:pPr>
            <w:r w:rsidRPr="0081586C">
              <w:rPr>
                <w:sz w:val="18"/>
                <w:szCs w:val="18"/>
              </w:rPr>
              <w:t>0.34</w:t>
            </w:r>
          </w:p>
        </w:tc>
        <w:tc>
          <w:tcPr>
            <w:tcW w:w="1140" w:type="dxa"/>
            <w:noWrap/>
            <w:vAlign w:val="center"/>
            <w:hideMark/>
          </w:tcPr>
          <w:p w14:paraId="763E1B6D" w14:textId="77777777" w:rsidR="00CC6A10" w:rsidRPr="0081586C" w:rsidRDefault="00CC6A10" w:rsidP="002C2ED6">
            <w:pPr>
              <w:pStyle w:val="ExhibitText"/>
              <w:jc w:val="right"/>
              <w:rPr>
                <w:sz w:val="18"/>
                <w:szCs w:val="18"/>
              </w:rPr>
            </w:pPr>
            <w:r w:rsidRPr="0081586C">
              <w:rPr>
                <w:sz w:val="18"/>
                <w:szCs w:val="18"/>
              </w:rPr>
              <w:t>0.35</w:t>
            </w:r>
          </w:p>
        </w:tc>
        <w:tc>
          <w:tcPr>
            <w:tcW w:w="1140" w:type="dxa"/>
            <w:noWrap/>
            <w:vAlign w:val="center"/>
            <w:hideMark/>
          </w:tcPr>
          <w:p w14:paraId="47AF0F12" w14:textId="77777777" w:rsidR="00CC6A10" w:rsidRPr="0081586C" w:rsidRDefault="00CC6A10" w:rsidP="002C2ED6">
            <w:pPr>
              <w:pStyle w:val="ExhibitText"/>
              <w:jc w:val="right"/>
              <w:rPr>
                <w:sz w:val="18"/>
                <w:szCs w:val="18"/>
              </w:rPr>
            </w:pPr>
            <w:r w:rsidRPr="0081586C">
              <w:rPr>
                <w:sz w:val="18"/>
                <w:szCs w:val="18"/>
              </w:rPr>
              <w:t>0.7</w:t>
            </w:r>
            <w:r>
              <w:rPr>
                <w:sz w:val="18"/>
                <w:szCs w:val="18"/>
              </w:rPr>
              <w:t>0</w:t>
            </w:r>
          </w:p>
        </w:tc>
      </w:tr>
      <w:tr w:rsidR="00CC6A10" w:rsidRPr="0081586C" w14:paraId="79C8A1F4" w14:textId="77777777" w:rsidTr="009460E3">
        <w:trPr>
          <w:trHeight w:val="259"/>
          <w:jc w:val="center"/>
        </w:trPr>
        <w:tc>
          <w:tcPr>
            <w:tcW w:w="4295" w:type="dxa"/>
            <w:noWrap/>
            <w:vAlign w:val="center"/>
            <w:hideMark/>
          </w:tcPr>
          <w:p w14:paraId="76B5B668" w14:textId="77777777" w:rsidR="00CC6A10" w:rsidRPr="0081586C" w:rsidRDefault="00CC6A10" w:rsidP="002C2ED6">
            <w:pPr>
              <w:pStyle w:val="ExhibitText"/>
              <w:jc w:val="left"/>
              <w:rPr>
                <w:sz w:val="18"/>
                <w:szCs w:val="18"/>
              </w:rPr>
            </w:pPr>
            <w:r w:rsidRPr="0081586C">
              <w:rPr>
                <w:sz w:val="18"/>
                <w:szCs w:val="18"/>
              </w:rPr>
              <w:t>Net asset value per share***</w:t>
            </w:r>
          </w:p>
        </w:tc>
        <w:tc>
          <w:tcPr>
            <w:tcW w:w="1140" w:type="dxa"/>
            <w:noWrap/>
            <w:vAlign w:val="center"/>
            <w:hideMark/>
          </w:tcPr>
          <w:p w14:paraId="3423AAB2" w14:textId="77777777" w:rsidR="00CC6A10" w:rsidRPr="0081586C" w:rsidRDefault="00CC6A10" w:rsidP="002C2ED6">
            <w:pPr>
              <w:pStyle w:val="ExhibitText"/>
              <w:jc w:val="right"/>
              <w:rPr>
                <w:sz w:val="18"/>
                <w:szCs w:val="18"/>
              </w:rPr>
            </w:pPr>
            <w:r w:rsidRPr="0081586C">
              <w:rPr>
                <w:sz w:val="18"/>
                <w:szCs w:val="18"/>
              </w:rPr>
              <w:t>4.19</w:t>
            </w:r>
          </w:p>
        </w:tc>
        <w:tc>
          <w:tcPr>
            <w:tcW w:w="1140" w:type="dxa"/>
            <w:noWrap/>
            <w:vAlign w:val="center"/>
            <w:hideMark/>
          </w:tcPr>
          <w:p w14:paraId="57582C54" w14:textId="77777777" w:rsidR="00CC6A10" w:rsidRPr="0081586C" w:rsidRDefault="00CC6A10" w:rsidP="002C2ED6">
            <w:pPr>
              <w:pStyle w:val="ExhibitText"/>
              <w:jc w:val="right"/>
              <w:rPr>
                <w:sz w:val="18"/>
                <w:szCs w:val="18"/>
              </w:rPr>
            </w:pPr>
            <w:r w:rsidRPr="0081586C">
              <w:rPr>
                <w:sz w:val="18"/>
                <w:szCs w:val="18"/>
              </w:rPr>
              <w:t>3.64</w:t>
            </w:r>
          </w:p>
        </w:tc>
        <w:tc>
          <w:tcPr>
            <w:tcW w:w="1140" w:type="dxa"/>
            <w:noWrap/>
            <w:vAlign w:val="center"/>
            <w:hideMark/>
          </w:tcPr>
          <w:p w14:paraId="6CA97F29" w14:textId="77777777" w:rsidR="00CC6A10" w:rsidRPr="0081586C" w:rsidRDefault="00CC6A10" w:rsidP="002C2ED6">
            <w:pPr>
              <w:pStyle w:val="ExhibitText"/>
              <w:jc w:val="right"/>
              <w:rPr>
                <w:sz w:val="18"/>
                <w:szCs w:val="18"/>
              </w:rPr>
            </w:pPr>
            <w:r w:rsidRPr="0081586C">
              <w:rPr>
                <w:sz w:val="18"/>
                <w:szCs w:val="18"/>
              </w:rPr>
              <w:t>3.24</w:t>
            </w:r>
          </w:p>
        </w:tc>
        <w:tc>
          <w:tcPr>
            <w:tcW w:w="1140" w:type="dxa"/>
            <w:noWrap/>
            <w:vAlign w:val="center"/>
            <w:hideMark/>
          </w:tcPr>
          <w:p w14:paraId="3D803045" w14:textId="77777777" w:rsidR="00CC6A10" w:rsidRPr="0081586C" w:rsidRDefault="00CC6A10" w:rsidP="002C2ED6">
            <w:pPr>
              <w:pStyle w:val="ExhibitText"/>
              <w:jc w:val="right"/>
              <w:rPr>
                <w:sz w:val="18"/>
                <w:szCs w:val="18"/>
              </w:rPr>
            </w:pPr>
            <w:r w:rsidRPr="0081586C">
              <w:rPr>
                <w:sz w:val="18"/>
                <w:szCs w:val="18"/>
              </w:rPr>
              <w:t>3.68</w:t>
            </w:r>
          </w:p>
        </w:tc>
      </w:tr>
    </w:tbl>
    <w:p w14:paraId="20F9F425" w14:textId="77777777" w:rsidR="00CC6A10" w:rsidRPr="00C70F23" w:rsidRDefault="00CC6A10" w:rsidP="00CC6A10">
      <w:pPr>
        <w:pStyle w:val="ExhibitText"/>
        <w:rPr>
          <w:rFonts w:eastAsia="Arial"/>
        </w:rPr>
      </w:pPr>
    </w:p>
    <w:p w14:paraId="3017F580" w14:textId="58CD9E09" w:rsidR="00CC6A10" w:rsidRPr="00C70F23" w:rsidRDefault="00CC6A10" w:rsidP="00CC6A10">
      <w:pPr>
        <w:pStyle w:val="Footnote"/>
        <w:rPr>
          <w:rFonts w:eastAsia="Arial"/>
        </w:rPr>
      </w:pPr>
      <w:r w:rsidRPr="00C70F23">
        <w:rPr>
          <w:rFonts w:eastAsia="Arial"/>
        </w:rPr>
        <w:t>Note:</w:t>
      </w:r>
      <w:r>
        <w:rPr>
          <w:rFonts w:eastAsia="Arial"/>
        </w:rPr>
        <w:t xml:space="preserve"> *</w:t>
      </w:r>
      <w:r w:rsidRPr="00C70F23">
        <w:rPr>
          <w:rFonts w:eastAsia="Arial"/>
        </w:rPr>
        <w:t xml:space="preserve">Soup </w:t>
      </w:r>
      <w:r>
        <w:rPr>
          <w:rFonts w:eastAsia="Arial"/>
        </w:rPr>
        <w:t>R</w:t>
      </w:r>
      <w:r w:rsidRPr="00C70F23">
        <w:rPr>
          <w:rFonts w:eastAsia="Arial"/>
        </w:rPr>
        <w:t xml:space="preserve">estaurant Group Limited owns Soup Restaurant Singapore Pte Ltd., Café o Singapore </w:t>
      </w:r>
      <w:proofErr w:type="spellStart"/>
      <w:r w:rsidRPr="00C70F23">
        <w:rPr>
          <w:rFonts w:eastAsia="Arial"/>
        </w:rPr>
        <w:t>Pte.</w:t>
      </w:r>
      <w:proofErr w:type="spellEnd"/>
      <w:r w:rsidRPr="00C70F23">
        <w:rPr>
          <w:rFonts w:eastAsia="Arial"/>
        </w:rPr>
        <w:t xml:space="preserve"> Ltd., Pot Luck F&amp;B Singapore Pet Ltd., Soup </w:t>
      </w:r>
      <w:r>
        <w:rPr>
          <w:rFonts w:eastAsia="Arial"/>
        </w:rPr>
        <w:t>R</w:t>
      </w:r>
      <w:r w:rsidRPr="00C70F23">
        <w:rPr>
          <w:rFonts w:eastAsia="Arial"/>
        </w:rPr>
        <w:t xml:space="preserve">estaurant </w:t>
      </w:r>
      <w:r>
        <w:rPr>
          <w:rFonts w:eastAsia="Arial"/>
        </w:rPr>
        <w:t>I</w:t>
      </w:r>
      <w:r w:rsidRPr="00C70F23">
        <w:rPr>
          <w:rFonts w:eastAsia="Arial"/>
        </w:rPr>
        <w:t xml:space="preserve">nvestment PTE. Ltd., and SRG F&amp;B Malaysia </w:t>
      </w:r>
      <w:proofErr w:type="spellStart"/>
      <w:r w:rsidRPr="00C70F23">
        <w:rPr>
          <w:rFonts w:eastAsia="Arial"/>
        </w:rPr>
        <w:t>Sdn</w:t>
      </w:r>
      <w:proofErr w:type="spellEnd"/>
      <w:r w:rsidRPr="00C70F23">
        <w:rPr>
          <w:rFonts w:eastAsia="Arial"/>
        </w:rPr>
        <w:t>. Bhd.</w:t>
      </w:r>
      <w:r>
        <w:rPr>
          <w:rFonts w:eastAsia="Arial"/>
        </w:rPr>
        <w:t>;</w:t>
      </w:r>
      <w:r w:rsidRPr="00C70F23">
        <w:rPr>
          <w:rFonts w:eastAsia="Arial"/>
        </w:rPr>
        <w:t xml:space="preserve"> </w:t>
      </w:r>
      <w:r>
        <w:rPr>
          <w:rFonts w:eastAsia="Arial"/>
        </w:rPr>
        <w:t>**</w:t>
      </w:r>
      <w:r w:rsidR="00EB7E86">
        <w:rPr>
          <w:rFonts w:eastAsia="Arial"/>
        </w:rPr>
        <w:t>B</w:t>
      </w:r>
      <w:r w:rsidRPr="00C70F23">
        <w:rPr>
          <w:rFonts w:eastAsia="Arial"/>
        </w:rPr>
        <w:t>ased on weighted average number of ordinary shares for the financial year</w:t>
      </w:r>
      <w:r>
        <w:rPr>
          <w:rFonts w:eastAsia="Arial"/>
        </w:rPr>
        <w:t>; ***</w:t>
      </w:r>
      <w:r w:rsidR="00EB7E86">
        <w:rPr>
          <w:rFonts w:eastAsia="Arial"/>
        </w:rPr>
        <w:t>B</w:t>
      </w:r>
      <w:r w:rsidRPr="00C70F23">
        <w:rPr>
          <w:rFonts w:eastAsia="Arial"/>
        </w:rPr>
        <w:t>ased on total number of issued shares as at the end of the financial year (excluding treasury stocks)</w:t>
      </w:r>
      <w:r>
        <w:rPr>
          <w:rFonts w:eastAsia="Arial"/>
        </w:rPr>
        <w:t xml:space="preserve">; </w:t>
      </w:r>
      <w:r w:rsidRPr="001F6B2C">
        <w:rPr>
          <w:lang w:val="en-CA"/>
        </w:rPr>
        <w:t>SG$ = Singaporean dollar; US$1 = SG$1.31 on April 1, 2018.</w:t>
      </w:r>
    </w:p>
    <w:p w14:paraId="223202F9" w14:textId="77777777" w:rsidR="00CC6A10" w:rsidRPr="00C70F23" w:rsidRDefault="00CC6A10" w:rsidP="00CC6A10">
      <w:pPr>
        <w:pStyle w:val="Footnote"/>
        <w:rPr>
          <w:rFonts w:eastAsia="Arial"/>
        </w:rPr>
      </w:pPr>
      <w:r w:rsidRPr="00C70F23">
        <w:rPr>
          <w:rFonts w:eastAsia="Arial"/>
        </w:rPr>
        <w:t>Source:</w:t>
      </w:r>
      <w:r>
        <w:rPr>
          <w:rFonts w:eastAsia="Arial"/>
        </w:rPr>
        <w:t xml:space="preserve"> </w:t>
      </w:r>
      <w:r w:rsidRPr="00C70F23">
        <w:rPr>
          <w:rFonts w:eastAsia="Arial"/>
        </w:rPr>
        <w:t>Soup</w:t>
      </w:r>
      <w:r>
        <w:rPr>
          <w:rFonts w:eastAsia="Arial"/>
        </w:rPr>
        <w:t xml:space="preserve"> </w:t>
      </w:r>
      <w:r w:rsidRPr="00C70F23">
        <w:rPr>
          <w:rFonts w:eastAsia="Arial"/>
        </w:rPr>
        <w:t>Restaurant</w:t>
      </w:r>
      <w:r>
        <w:rPr>
          <w:rFonts w:eastAsia="Arial"/>
        </w:rPr>
        <w:t xml:space="preserve"> </w:t>
      </w:r>
      <w:r w:rsidRPr="00C70F23">
        <w:rPr>
          <w:rFonts w:eastAsia="Arial"/>
        </w:rPr>
        <w:t>Group</w:t>
      </w:r>
      <w:r>
        <w:rPr>
          <w:rFonts w:eastAsia="Arial"/>
        </w:rPr>
        <w:t xml:space="preserve"> Limited, </w:t>
      </w:r>
      <w:r>
        <w:rPr>
          <w:rFonts w:eastAsia="Arial"/>
          <w:i/>
        </w:rPr>
        <w:t xml:space="preserve">Through Values We Grow: </w:t>
      </w:r>
      <w:r w:rsidRPr="00E36C56">
        <w:rPr>
          <w:rFonts w:eastAsia="Arial"/>
          <w:i/>
        </w:rPr>
        <w:t>Annual</w:t>
      </w:r>
      <w:r>
        <w:rPr>
          <w:rFonts w:eastAsia="Arial"/>
          <w:i/>
        </w:rPr>
        <w:t xml:space="preserve"> </w:t>
      </w:r>
      <w:r w:rsidRPr="00E36C56">
        <w:rPr>
          <w:rFonts w:eastAsia="Arial"/>
          <w:i/>
        </w:rPr>
        <w:t>Report</w:t>
      </w:r>
      <w:r>
        <w:rPr>
          <w:rFonts w:eastAsia="Arial"/>
          <w:i/>
        </w:rPr>
        <w:t xml:space="preserve"> </w:t>
      </w:r>
      <w:r w:rsidRPr="00E36C56">
        <w:rPr>
          <w:rFonts w:eastAsia="Arial"/>
          <w:i/>
        </w:rPr>
        <w:t>2017</w:t>
      </w:r>
      <w:r w:rsidRPr="00C70F23">
        <w:rPr>
          <w:rFonts w:eastAsia="Arial"/>
        </w:rPr>
        <w:t>, accessed April 10, 2019</w:t>
      </w:r>
      <w:r>
        <w:rPr>
          <w:rFonts w:eastAsia="Arial"/>
        </w:rPr>
        <w:t xml:space="preserve">, </w:t>
      </w:r>
      <w:r w:rsidRPr="00C70F23">
        <w:rPr>
          <w:rFonts w:eastAsia="Arial"/>
        </w:rPr>
        <w:t>http://souprestaurant.listedcompany.com/newsroom/20180411_171338_5KI_9C69EHGJ2H20M7ZG.1.pdf.</w:t>
      </w:r>
    </w:p>
    <w:p w14:paraId="73A8CB44" w14:textId="77E86D5C" w:rsidR="00CC6A10" w:rsidRDefault="00CC6A10" w:rsidP="00A001AB">
      <w:pPr>
        <w:pStyle w:val="ExhibitText"/>
        <w:rPr>
          <w:rFonts w:eastAsia="Arial"/>
        </w:rPr>
      </w:pPr>
    </w:p>
    <w:p w14:paraId="2AB84780" w14:textId="77777777" w:rsidR="00CC6A10" w:rsidRPr="00C70F23" w:rsidRDefault="00CC6A10" w:rsidP="00A001AB">
      <w:pPr>
        <w:pStyle w:val="ExhibitText"/>
        <w:rPr>
          <w:rFonts w:eastAsia="Arial"/>
        </w:rPr>
      </w:pPr>
    </w:p>
    <w:p w14:paraId="1E9108C7" w14:textId="2804E545" w:rsidR="00D16145" w:rsidRPr="00C70F23" w:rsidRDefault="00E917C7" w:rsidP="00D16145">
      <w:pPr>
        <w:pStyle w:val="ExhibitHeading"/>
      </w:pPr>
      <w:r>
        <w:t>EXHIBIT 2</w:t>
      </w:r>
      <w:r w:rsidR="00D16145" w:rsidRPr="00C70F23">
        <w:t xml:space="preserve">: </w:t>
      </w:r>
      <w:r w:rsidR="007E0C1C">
        <w:t>“</w:t>
      </w:r>
      <w:r w:rsidR="00D938FE" w:rsidRPr="00C70F23">
        <w:t>Four</w:t>
      </w:r>
      <w:r w:rsidR="00D16145" w:rsidRPr="00C70F23">
        <w:t xml:space="preserve"> I</w:t>
      </w:r>
      <w:r w:rsidR="005D3959">
        <w:t>’</w:t>
      </w:r>
      <w:r w:rsidR="002608C5" w:rsidRPr="00C70F23">
        <w:rPr>
          <w:caps w:val="0"/>
        </w:rPr>
        <w:t>s</w:t>
      </w:r>
      <w:r w:rsidR="007E0C1C">
        <w:rPr>
          <w:caps w:val="0"/>
        </w:rPr>
        <w:t>”</w:t>
      </w:r>
      <w:r w:rsidR="00D16145" w:rsidRPr="00C70F23">
        <w:t xml:space="preserve"> FRAMEWORK OF </w:t>
      </w:r>
      <w:r w:rsidR="00D938FE" w:rsidRPr="00C70F23">
        <w:t>the National Volunteer &amp; Philanthropy Centre</w:t>
      </w:r>
    </w:p>
    <w:p w14:paraId="3D0A72B7" w14:textId="77777777" w:rsidR="00D16145" w:rsidRPr="00C70F23" w:rsidRDefault="00D16145" w:rsidP="00D16145">
      <w:pPr>
        <w:pStyle w:val="ExhibitText"/>
      </w:pPr>
    </w:p>
    <w:tbl>
      <w:tblPr>
        <w:tblW w:w="5000" w:type="pct"/>
        <w:jc w:val="center"/>
        <w:tblBorders>
          <w:top w:val="single" w:sz="4" w:space="0" w:color="auto"/>
          <w:bottom w:val="single" w:sz="4" w:space="0" w:color="auto"/>
        </w:tblBorders>
        <w:tblCellMar>
          <w:top w:w="58" w:type="dxa"/>
          <w:left w:w="115" w:type="dxa"/>
          <w:bottom w:w="58" w:type="dxa"/>
          <w:right w:w="115" w:type="dxa"/>
        </w:tblCellMar>
        <w:tblLook w:val="04A0" w:firstRow="1" w:lastRow="0" w:firstColumn="1" w:lastColumn="0" w:noHBand="0" w:noVBand="1"/>
      </w:tblPr>
      <w:tblGrid>
        <w:gridCol w:w="2230"/>
        <w:gridCol w:w="3116"/>
        <w:gridCol w:w="4014"/>
      </w:tblGrid>
      <w:tr w:rsidR="00D16145" w:rsidRPr="00C70F23" w14:paraId="7099B5E2" w14:textId="77777777" w:rsidTr="00ED53AD">
        <w:trPr>
          <w:trHeight w:val="288"/>
          <w:jc w:val="center"/>
        </w:trPr>
        <w:tc>
          <w:tcPr>
            <w:tcW w:w="1504" w:type="dxa"/>
            <w:tcBorders>
              <w:top w:val="single" w:sz="4" w:space="0" w:color="auto"/>
              <w:bottom w:val="single" w:sz="4" w:space="0" w:color="auto"/>
            </w:tcBorders>
            <w:shd w:val="clear" w:color="auto" w:fill="auto"/>
            <w:vAlign w:val="center"/>
            <w:hideMark/>
          </w:tcPr>
          <w:p w14:paraId="54DFA7B4" w14:textId="3FAB05C4" w:rsidR="00D16145" w:rsidRPr="00C70F23" w:rsidRDefault="00D938FE" w:rsidP="00ED53AD">
            <w:pPr>
              <w:pStyle w:val="ExhibitText"/>
              <w:jc w:val="left"/>
              <w:rPr>
                <w:b/>
              </w:rPr>
            </w:pPr>
            <w:r w:rsidRPr="00C70F23">
              <w:rPr>
                <w:b/>
              </w:rPr>
              <w:t>Four</w:t>
            </w:r>
            <w:r w:rsidR="00D16145" w:rsidRPr="00C70F23">
              <w:rPr>
                <w:b/>
              </w:rPr>
              <w:t xml:space="preserve"> I</w:t>
            </w:r>
            <w:r w:rsidR="005D3959">
              <w:rPr>
                <w:b/>
              </w:rPr>
              <w:t>’</w:t>
            </w:r>
            <w:r w:rsidR="00D16145" w:rsidRPr="00C70F23">
              <w:rPr>
                <w:b/>
              </w:rPr>
              <w:t>s Framework</w:t>
            </w:r>
          </w:p>
        </w:tc>
        <w:tc>
          <w:tcPr>
            <w:tcW w:w="2544" w:type="dxa"/>
            <w:tcBorders>
              <w:top w:val="single" w:sz="4" w:space="0" w:color="auto"/>
              <w:bottom w:val="single" w:sz="4" w:space="0" w:color="auto"/>
            </w:tcBorders>
            <w:shd w:val="clear" w:color="auto" w:fill="auto"/>
            <w:vAlign w:val="center"/>
            <w:hideMark/>
          </w:tcPr>
          <w:p w14:paraId="23317A56" w14:textId="77777777" w:rsidR="00D16145" w:rsidRPr="00C70F23" w:rsidRDefault="00D16145" w:rsidP="00ED53AD">
            <w:pPr>
              <w:pStyle w:val="ExhibitText"/>
              <w:jc w:val="center"/>
              <w:rPr>
                <w:b/>
              </w:rPr>
            </w:pPr>
            <w:r w:rsidRPr="00C70F23">
              <w:rPr>
                <w:b/>
              </w:rPr>
              <w:t>Questions</w:t>
            </w:r>
          </w:p>
        </w:tc>
        <w:tc>
          <w:tcPr>
            <w:tcW w:w="3277" w:type="dxa"/>
            <w:tcBorders>
              <w:top w:val="single" w:sz="4" w:space="0" w:color="auto"/>
              <w:bottom w:val="single" w:sz="4" w:space="0" w:color="auto"/>
            </w:tcBorders>
            <w:shd w:val="clear" w:color="auto" w:fill="auto"/>
            <w:vAlign w:val="center"/>
            <w:hideMark/>
          </w:tcPr>
          <w:p w14:paraId="3C2EF5D5" w14:textId="77777777" w:rsidR="00D16145" w:rsidRPr="00C70F23" w:rsidRDefault="00D16145" w:rsidP="00ED53AD">
            <w:pPr>
              <w:pStyle w:val="ExhibitText"/>
              <w:jc w:val="center"/>
              <w:rPr>
                <w:b/>
              </w:rPr>
            </w:pPr>
            <w:r w:rsidRPr="00C70F23">
              <w:rPr>
                <w:b/>
              </w:rPr>
              <w:t>Examples</w:t>
            </w:r>
          </w:p>
        </w:tc>
      </w:tr>
      <w:tr w:rsidR="00D16145" w:rsidRPr="00C70F23" w14:paraId="6AA843F9" w14:textId="77777777" w:rsidTr="00ED53AD">
        <w:trPr>
          <w:trHeight w:val="288"/>
          <w:jc w:val="center"/>
        </w:trPr>
        <w:tc>
          <w:tcPr>
            <w:tcW w:w="1504" w:type="dxa"/>
            <w:tcBorders>
              <w:top w:val="single" w:sz="4" w:space="0" w:color="auto"/>
              <w:bottom w:val="dotted" w:sz="4" w:space="0" w:color="auto"/>
            </w:tcBorders>
            <w:shd w:val="clear" w:color="auto" w:fill="auto"/>
            <w:vAlign w:val="center"/>
            <w:hideMark/>
          </w:tcPr>
          <w:p w14:paraId="53E38035" w14:textId="77777777" w:rsidR="00D16145" w:rsidRPr="00C70F23" w:rsidRDefault="00D16145" w:rsidP="00ED53AD">
            <w:pPr>
              <w:pStyle w:val="ExhibitText"/>
              <w:jc w:val="left"/>
            </w:pPr>
            <w:r w:rsidRPr="00C70F23">
              <w:t>Investment</w:t>
            </w:r>
          </w:p>
        </w:tc>
        <w:tc>
          <w:tcPr>
            <w:tcW w:w="2544" w:type="dxa"/>
            <w:tcBorders>
              <w:top w:val="single" w:sz="4" w:space="0" w:color="auto"/>
              <w:bottom w:val="dotted" w:sz="4" w:space="0" w:color="auto"/>
            </w:tcBorders>
            <w:shd w:val="clear" w:color="auto" w:fill="auto"/>
            <w:vAlign w:val="center"/>
            <w:hideMark/>
          </w:tcPr>
          <w:p w14:paraId="59BA5AAD" w14:textId="23E45280" w:rsidR="00D16145" w:rsidRPr="00C70F23" w:rsidRDefault="00D16145" w:rsidP="00ED53AD">
            <w:pPr>
              <w:pStyle w:val="ExhibitText"/>
              <w:jc w:val="left"/>
            </w:pPr>
            <w:r w:rsidRPr="00C70F23">
              <w:t xml:space="preserve">How extensively and strategically </w:t>
            </w:r>
            <w:r w:rsidR="002608C5" w:rsidRPr="00C70F23">
              <w:t xml:space="preserve">does </w:t>
            </w:r>
            <w:r w:rsidRPr="00C70F23">
              <w:t>a company give?</w:t>
            </w:r>
          </w:p>
        </w:tc>
        <w:tc>
          <w:tcPr>
            <w:tcW w:w="3277" w:type="dxa"/>
            <w:tcBorders>
              <w:top w:val="single" w:sz="4" w:space="0" w:color="auto"/>
              <w:bottom w:val="dotted" w:sz="4" w:space="0" w:color="auto"/>
            </w:tcBorders>
            <w:shd w:val="clear" w:color="auto" w:fill="auto"/>
            <w:vAlign w:val="center"/>
            <w:hideMark/>
          </w:tcPr>
          <w:p w14:paraId="5D358E7D" w14:textId="53534DB9" w:rsidR="00D16145" w:rsidRPr="00C70F23" w:rsidRDefault="00D16145" w:rsidP="00ED53AD">
            <w:pPr>
              <w:pStyle w:val="ExhibitText"/>
              <w:jc w:val="left"/>
            </w:pPr>
            <w:r w:rsidRPr="00C70F23">
              <w:t>Does your company give in more than one way that is aligned to the vision, mission, strategy</w:t>
            </w:r>
            <w:r w:rsidR="002608C5" w:rsidRPr="00C70F23">
              <w:t>,</w:t>
            </w:r>
            <w:r w:rsidRPr="00C70F23">
              <w:t xml:space="preserve"> or nature of your business?</w:t>
            </w:r>
          </w:p>
        </w:tc>
      </w:tr>
      <w:tr w:rsidR="00D16145" w:rsidRPr="00C70F23" w14:paraId="705BFDB7" w14:textId="77777777" w:rsidTr="00ED53AD">
        <w:trPr>
          <w:trHeight w:val="288"/>
          <w:jc w:val="center"/>
        </w:trPr>
        <w:tc>
          <w:tcPr>
            <w:tcW w:w="1504" w:type="dxa"/>
            <w:tcBorders>
              <w:top w:val="dotted" w:sz="4" w:space="0" w:color="auto"/>
              <w:bottom w:val="dotted" w:sz="4" w:space="0" w:color="auto"/>
            </w:tcBorders>
            <w:shd w:val="clear" w:color="auto" w:fill="auto"/>
            <w:vAlign w:val="center"/>
            <w:hideMark/>
          </w:tcPr>
          <w:p w14:paraId="54449D3E" w14:textId="77777777" w:rsidR="00D16145" w:rsidRPr="00C70F23" w:rsidRDefault="00D16145" w:rsidP="00ED53AD">
            <w:pPr>
              <w:pStyle w:val="ExhibitText"/>
              <w:jc w:val="left"/>
            </w:pPr>
            <w:r w:rsidRPr="00C70F23">
              <w:t>Integration</w:t>
            </w:r>
          </w:p>
        </w:tc>
        <w:tc>
          <w:tcPr>
            <w:tcW w:w="2544" w:type="dxa"/>
            <w:tcBorders>
              <w:top w:val="dotted" w:sz="4" w:space="0" w:color="auto"/>
              <w:bottom w:val="dotted" w:sz="4" w:space="0" w:color="auto"/>
            </w:tcBorders>
            <w:shd w:val="clear" w:color="auto" w:fill="auto"/>
            <w:vAlign w:val="center"/>
            <w:hideMark/>
          </w:tcPr>
          <w:p w14:paraId="6751420A" w14:textId="613D6E86" w:rsidR="00D16145" w:rsidRPr="00C70F23" w:rsidRDefault="00D16145" w:rsidP="00ED53AD">
            <w:pPr>
              <w:pStyle w:val="ExhibitText"/>
              <w:jc w:val="left"/>
            </w:pPr>
            <w:r w:rsidRPr="00C70F23">
              <w:t xml:space="preserve">How </w:t>
            </w:r>
            <w:r w:rsidR="002608C5" w:rsidRPr="00C70F23">
              <w:t xml:space="preserve">is </w:t>
            </w:r>
            <w:r w:rsidRPr="00C70F23">
              <w:t xml:space="preserve">giving integrated with business functions and </w:t>
            </w:r>
            <w:r w:rsidR="002608C5" w:rsidRPr="00C70F23">
              <w:t xml:space="preserve">how does it </w:t>
            </w:r>
            <w:r w:rsidRPr="00C70F23">
              <w:t>support business interests?</w:t>
            </w:r>
          </w:p>
        </w:tc>
        <w:tc>
          <w:tcPr>
            <w:tcW w:w="3277" w:type="dxa"/>
            <w:tcBorders>
              <w:top w:val="dotted" w:sz="4" w:space="0" w:color="auto"/>
              <w:bottom w:val="dotted" w:sz="4" w:space="0" w:color="auto"/>
            </w:tcBorders>
            <w:shd w:val="clear" w:color="auto" w:fill="auto"/>
            <w:vAlign w:val="center"/>
            <w:hideMark/>
          </w:tcPr>
          <w:p w14:paraId="335F76C4" w14:textId="77777777" w:rsidR="00D16145" w:rsidRPr="00C70F23" w:rsidRDefault="00D16145" w:rsidP="00ED53AD">
            <w:pPr>
              <w:pStyle w:val="ExhibitText"/>
              <w:jc w:val="left"/>
            </w:pPr>
            <w:r w:rsidRPr="00C70F23">
              <w:t>Does your business also advocate a social cause or does your business procure from charities?</w:t>
            </w:r>
          </w:p>
        </w:tc>
      </w:tr>
      <w:tr w:rsidR="00D16145" w:rsidRPr="00C70F23" w14:paraId="174C30F6" w14:textId="77777777" w:rsidTr="00ED53AD">
        <w:trPr>
          <w:trHeight w:val="288"/>
          <w:jc w:val="center"/>
        </w:trPr>
        <w:tc>
          <w:tcPr>
            <w:tcW w:w="1504" w:type="dxa"/>
            <w:tcBorders>
              <w:top w:val="dotted" w:sz="4" w:space="0" w:color="auto"/>
              <w:bottom w:val="dotted" w:sz="4" w:space="0" w:color="auto"/>
            </w:tcBorders>
            <w:shd w:val="clear" w:color="auto" w:fill="auto"/>
            <w:vAlign w:val="center"/>
            <w:hideMark/>
          </w:tcPr>
          <w:p w14:paraId="14213E62" w14:textId="707CD511" w:rsidR="00D16145" w:rsidRPr="00C70F23" w:rsidRDefault="00D16145" w:rsidP="00ED53AD">
            <w:pPr>
              <w:pStyle w:val="ExhibitText"/>
              <w:jc w:val="left"/>
            </w:pPr>
            <w:r w:rsidRPr="00C70F23">
              <w:t>Institutionali</w:t>
            </w:r>
            <w:r w:rsidR="00D938FE" w:rsidRPr="00C70F23">
              <w:t>z</w:t>
            </w:r>
            <w:r w:rsidRPr="00C70F23">
              <w:t>ation</w:t>
            </w:r>
          </w:p>
        </w:tc>
        <w:tc>
          <w:tcPr>
            <w:tcW w:w="2544" w:type="dxa"/>
            <w:tcBorders>
              <w:top w:val="dotted" w:sz="4" w:space="0" w:color="auto"/>
              <w:bottom w:val="dotted" w:sz="4" w:space="0" w:color="auto"/>
            </w:tcBorders>
            <w:shd w:val="clear" w:color="auto" w:fill="auto"/>
            <w:vAlign w:val="center"/>
            <w:hideMark/>
          </w:tcPr>
          <w:p w14:paraId="5A62F477" w14:textId="3D330739" w:rsidR="00D16145" w:rsidRPr="00C70F23" w:rsidRDefault="00D16145" w:rsidP="00ED53AD">
            <w:pPr>
              <w:pStyle w:val="ExhibitText"/>
              <w:jc w:val="left"/>
            </w:pPr>
            <w:r w:rsidRPr="00C70F23">
              <w:t xml:space="preserve">How </w:t>
            </w:r>
            <w:r w:rsidR="002608C5" w:rsidRPr="00C70F23">
              <w:t xml:space="preserve">is </w:t>
            </w:r>
            <w:r w:rsidRPr="00C70F23">
              <w:t>giving supported by policies, systems</w:t>
            </w:r>
            <w:r w:rsidR="002608C5" w:rsidRPr="00C70F23">
              <w:t>,</w:t>
            </w:r>
            <w:r w:rsidRPr="00C70F23">
              <w:t xml:space="preserve"> and incentives?</w:t>
            </w:r>
          </w:p>
        </w:tc>
        <w:tc>
          <w:tcPr>
            <w:tcW w:w="3277" w:type="dxa"/>
            <w:tcBorders>
              <w:top w:val="dotted" w:sz="4" w:space="0" w:color="auto"/>
              <w:bottom w:val="dotted" w:sz="4" w:space="0" w:color="auto"/>
            </w:tcBorders>
            <w:shd w:val="clear" w:color="auto" w:fill="auto"/>
            <w:vAlign w:val="center"/>
            <w:hideMark/>
          </w:tcPr>
          <w:p w14:paraId="21496248" w14:textId="77777777" w:rsidR="00D16145" w:rsidRPr="00C70F23" w:rsidRDefault="00D16145" w:rsidP="00ED53AD">
            <w:pPr>
              <w:pStyle w:val="ExhibitText"/>
              <w:jc w:val="left"/>
            </w:pPr>
            <w:r w:rsidRPr="00C70F23">
              <w:t>Does your company provide paid volunteer leave or recognize outstanding employee volunteers?</w:t>
            </w:r>
          </w:p>
        </w:tc>
      </w:tr>
      <w:tr w:rsidR="00D16145" w:rsidRPr="00C70F23" w14:paraId="789222AC" w14:textId="77777777" w:rsidTr="00ED53AD">
        <w:trPr>
          <w:trHeight w:val="288"/>
          <w:jc w:val="center"/>
        </w:trPr>
        <w:tc>
          <w:tcPr>
            <w:tcW w:w="1504" w:type="dxa"/>
            <w:tcBorders>
              <w:top w:val="dotted" w:sz="4" w:space="0" w:color="auto"/>
              <w:bottom w:val="single" w:sz="4" w:space="0" w:color="auto"/>
            </w:tcBorders>
            <w:shd w:val="clear" w:color="auto" w:fill="auto"/>
            <w:vAlign w:val="center"/>
            <w:hideMark/>
          </w:tcPr>
          <w:p w14:paraId="60FF07CF" w14:textId="77777777" w:rsidR="00D16145" w:rsidRPr="00C70F23" w:rsidRDefault="00D16145" w:rsidP="00ED53AD">
            <w:pPr>
              <w:pStyle w:val="ExhibitText"/>
              <w:jc w:val="left"/>
            </w:pPr>
            <w:r w:rsidRPr="00C70F23">
              <w:t>Impact</w:t>
            </w:r>
          </w:p>
        </w:tc>
        <w:tc>
          <w:tcPr>
            <w:tcW w:w="2544" w:type="dxa"/>
            <w:tcBorders>
              <w:top w:val="dotted" w:sz="4" w:space="0" w:color="auto"/>
              <w:bottom w:val="single" w:sz="4" w:space="0" w:color="auto"/>
            </w:tcBorders>
            <w:shd w:val="clear" w:color="auto" w:fill="auto"/>
            <w:vAlign w:val="center"/>
            <w:hideMark/>
          </w:tcPr>
          <w:p w14:paraId="32DB841D" w14:textId="4EC51DC5" w:rsidR="00D16145" w:rsidRPr="00C70F23" w:rsidRDefault="00D16145" w:rsidP="00ED53AD">
            <w:pPr>
              <w:pStyle w:val="ExhibitText"/>
              <w:jc w:val="left"/>
            </w:pPr>
            <w:r w:rsidRPr="00C70F23">
              <w:t xml:space="preserve">How </w:t>
            </w:r>
            <w:r w:rsidR="002608C5" w:rsidRPr="00C70F23">
              <w:t xml:space="preserve">have </w:t>
            </w:r>
            <w:r w:rsidRPr="00C70F23">
              <w:t>mechanisms been put in place to measure the impact?</w:t>
            </w:r>
          </w:p>
        </w:tc>
        <w:tc>
          <w:tcPr>
            <w:tcW w:w="3277" w:type="dxa"/>
            <w:tcBorders>
              <w:top w:val="dotted" w:sz="4" w:space="0" w:color="auto"/>
              <w:bottom w:val="single" w:sz="4" w:space="0" w:color="auto"/>
            </w:tcBorders>
            <w:shd w:val="clear" w:color="auto" w:fill="auto"/>
            <w:vAlign w:val="center"/>
            <w:hideMark/>
          </w:tcPr>
          <w:p w14:paraId="2A68264D" w14:textId="402CAC61" w:rsidR="00D16145" w:rsidRPr="00C70F23" w:rsidRDefault="00D16145" w:rsidP="00ED53AD">
            <w:pPr>
              <w:pStyle w:val="ExhibitText"/>
              <w:jc w:val="left"/>
            </w:pPr>
            <w:r w:rsidRPr="00C70F23">
              <w:t>Does your company set up processes to measure the input, output, outcome</w:t>
            </w:r>
            <w:r w:rsidR="002608C5" w:rsidRPr="00C70F23">
              <w:t>,</w:t>
            </w:r>
            <w:r w:rsidRPr="00C70F23">
              <w:t xml:space="preserve"> and impact of your giving?</w:t>
            </w:r>
          </w:p>
        </w:tc>
      </w:tr>
    </w:tbl>
    <w:p w14:paraId="1949245C" w14:textId="77777777" w:rsidR="00D16145" w:rsidRPr="00C70F23" w:rsidRDefault="00D16145" w:rsidP="00D16145">
      <w:pPr>
        <w:pStyle w:val="ExhibitText"/>
      </w:pPr>
    </w:p>
    <w:p w14:paraId="2604AB46" w14:textId="557367D6" w:rsidR="00D16145" w:rsidRPr="00C70F23" w:rsidRDefault="00D16145" w:rsidP="00D16145">
      <w:pPr>
        <w:pStyle w:val="Footnote"/>
      </w:pPr>
      <w:r w:rsidRPr="00C70F23">
        <w:t xml:space="preserve">Source: “How </w:t>
      </w:r>
      <w:r w:rsidR="00D938FE" w:rsidRPr="00C70F23">
        <w:t>I</w:t>
      </w:r>
      <w:r w:rsidRPr="00C70F23">
        <w:t xml:space="preserve">t </w:t>
      </w:r>
      <w:r w:rsidR="00D938FE" w:rsidRPr="00C70F23">
        <w:t>W</w:t>
      </w:r>
      <w:r w:rsidRPr="00C70F23">
        <w:t>orks</w:t>
      </w:r>
      <w:r w:rsidR="00D938FE" w:rsidRPr="00C70F23">
        <w:t>,</w:t>
      </w:r>
      <w:r w:rsidRPr="00C70F23">
        <w:t>” National Volunteer &amp; Philanthropy Centre, a</w:t>
      </w:r>
      <w:r w:rsidR="00241B95">
        <w:t>cc</w:t>
      </w:r>
      <w:r w:rsidRPr="00C70F23">
        <w:t>essed September 18</w:t>
      </w:r>
      <w:r w:rsidR="00D938FE" w:rsidRPr="00C70F23">
        <w:t>,</w:t>
      </w:r>
      <w:r w:rsidRPr="00C70F23">
        <w:t xml:space="preserve"> 2018, www.nvpc.org.sg/programmes/company-of-good. </w:t>
      </w:r>
    </w:p>
    <w:p w14:paraId="384F5013" w14:textId="30DA3758" w:rsidR="009A4111" w:rsidRPr="00C70F23" w:rsidRDefault="009A4111">
      <w:pPr>
        <w:spacing w:after="200" w:line="276" w:lineRule="auto"/>
        <w:rPr>
          <w:rFonts w:ascii="Arial" w:hAnsi="Arial" w:cs="Arial"/>
        </w:rPr>
      </w:pPr>
      <w:r w:rsidRPr="00C70F23">
        <w:br w:type="page"/>
      </w:r>
    </w:p>
    <w:p w14:paraId="55BFB135" w14:textId="54D2E999" w:rsidR="00D16145" w:rsidRPr="00C70F23" w:rsidRDefault="00E917C7" w:rsidP="0011519B">
      <w:pPr>
        <w:pStyle w:val="ExhibitHeading"/>
      </w:pPr>
      <w:r>
        <w:lastRenderedPageBreak/>
        <w:t>EXHIBIT 3</w:t>
      </w:r>
      <w:r w:rsidR="00A508CF" w:rsidRPr="00C70F23">
        <w:t>:</w:t>
      </w:r>
      <w:r w:rsidR="00D16145" w:rsidRPr="00C70F23" w:rsidDel="009F141E">
        <w:t xml:space="preserve"> </w:t>
      </w:r>
      <w:r w:rsidR="00D16145" w:rsidRPr="00C70F23">
        <w:t xml:space="preserve">THEORY OF CHANGE </w:t>
      </w:r>
      <w:r w:rsidR="00D16145" w:rsidRPr="0011519B">
        <w:t>FOR</w:t>
      </w:r>
      <w:r w:rsidR="00D16145" w:rsidRPr="00C70F23">
        <w:t xml:space="preserve"> </w:t>
      </w:r>
      <w:r w:rsidR="000D47A4">
        <w:t xml:space="preserve">THE </w:t>
      </w:r>
      <w:r w:rsidR="00D16145" w:rsidRPr="00C70F23">
        <w:t>SAMSUI CENTRAL KITCHEN PROJECT</w:t>
      </w:r>
    </w:p>
    <w:p w14:paraId="35FE22F5" w14:textId="77777777" w:rsidR="00D16145" w:rsidRPr="00C70F23" w:rsidRDefault="00D16145" w:rsidP="0011519B">
      <w:pPr>
        <w:pStyle w:val="ExhibitText"/>
      </w:pPr>
    </w:p>
    <w:tbl>
      <w:tblPr>
        <w:tblStyle w:val="TableGrid"/>
        <w:tblW w:w="5000" w:type="pct"/>
        <w:tblBorders>
          <w:left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427"/>
        <w:gridCol w:w="3466"/>
        <w:gridCol w:w="3467"/>
      </w:tblGrid>
      <w:tr w:rsidR="00D16145" w:rsidRPr="00972346" w14:paraId="40F7E19F" w14:textId="77777777" w:rsidTr="009D6F22">
        <w:trPr>
          <w:trHeight w:val="288"/>
        </w:trPr>
        <w:tc>
          <w:tcPr>
            <w:tcW w:w="2427" w:type="dxa"/>
            <w:tcBorders>
              <w:bottom w:val="nil"/>
            </w:tcBorders>
            <w:noWrap/>
            <w:hideMark/>
          </w:tcPr>
          <w:p w14:paraId="718FEFA3" w14:textId="45F9C52A" w:rsidR="00D16145" w:rsidRPr="001A0EFC" w:rsidRDefault="00D16145" w:rsidP="005B7E25">
            <w:pPr>
              <w:pStyle w:val="ExhibitText"/>
              <w:jc w:val="left"/>
              <w:rPr>
                <w:b/>
                <w:bCs/>
                <w:sz w:val="18"/>
                <w:szCs w:val="18"/>
              </w:rPr>
            </w:pPr>
            <w:r w:rsidRPr="001A0EFC">
              <w:rPr>
                <w:b/>
                <w:bCs/>
                <w:sz w:val="18"/>
                <w:szCs w:val="18"/>
              </w:rPr>
              <w:t>Organi</w:t>
            </w:r>
            <w:r w:rsidR="00A508CF" w:rsidRPr="001A0EFC">
              <w:rPr>
                <w:b/>
                <w:bCs/>
                <w:sz w:val="18"/>
                <w:szCs w:val="18"/>
              </w:rPr>
              <w:t>z</w:t>
            </w:r>
            <w:r w:rsidRPr="001A0EFC">
              <w:rPr>
                <w:b/>
                <w:bCs/>
                <w:sz w:val="18"/>
                <w:szCs w:val="18"/>
              </w:rPr>
              <w:t>ation</w:t>
            </w:r>
          </w:p>
        </w:tc>
        <w:tc>
          <w:tcPr>
            <w:tcW w:w="6933" w:type="dxa"/>
            <w:gridSpan w:val="2"/>
            <w:tcBorders>
              <w:bottom w:val="nil"/>
            </w:tcBorders>
            <w:noWrap/>
            <w:hideMark/>
          </w:tcPr>
          <w:p w14:paraId="39E929DD" w14:textId="77777777" w:rsidR="00D16145" w:rsidRPr="00972346" w:rsidRDefault="00D16145" w:rsidP="005B7E25">
            <w:pPr>
              <w:pStyle w:val="ExhibitText"/>
              <w:jc w:val="left"/>
              <w:rPr>
                <w:sz w:val="18"/>
                <w:szCs w:val="18"/>
              </w:rPr>
            </w:pPr>
            <w:proofErr w:type="spellStart"/>
            <w:r w:rsidRPr="00972346">
              <w:rPr>
                <w:sz w:val="18"/>
                <w:szCs w:val="18"/>
              </w:rPr>
              <w:t>Samsui</w:t>
            </w:r>
            <w:proofErr w:type="spellEnd"/>
            <w:r w:rsidRPr="00972346">
              <w:rPr>
                <w:sz w:val="18"/>
                <w:szCs w:val="18"/>
              </w:rPr>
              <w:t xml:space="preserve"> Supplies Private Limited</w:t>
            </w:r>
          </w:p>
        </w:tc>
      </w:tr>
      <w:tr w:rsidR="00D16145" w:rsidRPr="00972346" w14:paraId="47085964" w14:textId="77777777" w:rsidTr="009D6F22">
        <w:trPr>
          <w:trHeight w:val="288"/>
        </w:trPr>
        <w:tc>
          <w:tcPr>
            <w:tcW w:w="2427" w:type="dxa"/>
            <w:tcBorders>
              <w:top w:val="nil"/>
              <w:bottom w:val="single" w:sz="12" w:space="0" w:color="auto"/>
            </w:tcBorders>
            <w:noWrap/>
            <w:hideMark/>
          </w:tcPr>
          <w:p w14:paraId="00975E8B" w14:textId="1AFF5161" w:rsidR="00D16145" w:rsidRPr="001A0EFC" w:rsidRDefault="00D16145" w:rsidP="005B7E25">
            <w:pPr>
              <w:pStyle w:val="ExhibitText"/>
              <w:jc w:val="left"/>
              <w:rPr>
                <w:b/>
                <w:bCs/>
                <w:sz w:val="18"/>
                <w:szCs w:val="18"/>
              </w:rPr>
            </w:pPr>
            <w:r w:rsidRPr="001A0EFC">
              <w:rPr>
                <w:b/>
                <w:bCs/>
                <w:sz w:val="18"/>
                <w:szCs w:val="18"/>
              </w:rPr>
              <w:t>Intervention</w:t>
            </w:r>
          </w:p>
        </w:tc>
        <w:tc>
          <w:tcPr>
            <w:tcW w:w="6933" w:type="dxa"/>
            <w:gridSpan w:val="2"/>
            <w:tcBorders>
              <w:top w:val="nil"/>
              <w:bottom w:val="single" w:sz="12" w:space="0" w:color="auto"/>
            </w:tcBorders>
            <w:noWrap/>
            <w:hideMark/>
          </w:tcPr>
          <w:p w14:paraId="4A129C70" w14:textId="2F3188F5" w:rsidR="00D16145" w:rsidRPr="00972346" w:rsidRDefault="00D16145" w:rsidP="005B7E25">
            <w:pPr>
              <w:pStyle w:val="ExhibitText"/>
              <w:jc w:val="left"/>
              <w:rPr>
                <w:sz w:val="18"/>
                <w:szCs w:val="18"/>
              </w:rPr>
            </w:pPr>
            <w:r w:rsidRPr="00972346">
              <w:rPr>
                <w:sz w:val="18"/>
                <w:szCs w:val="18"/>
              </w:rPr>
              <w:t xml:space="preserve">Set up </w:t>
            </w:r>
            <w:r w:rsidR="002608C5" w:rsidRPr="00972346">
              <w:rPr>
                <w:sz w:val="18"/>
                <w:szCs w:val="18"/>
              </w:rPr>
              <w:t xml:space="preserve">the </w:t>
            </w:r>
            <w:r w:rsidRPr="00972346">
              <w:rPr>
                <w:sz w:val="18"/>
                <w:szCs w:val="18"/>
              </w:rPr>
              <w:t xml:space="preserve">SCK project to provide a greater variety of nutritious food options to </w:t>
            </w:r>
            <w:r w:rsidR="006D67FE" w:rsidRPr="00972346">
              <w:rPr>
                <w:sz w:val="18"/>
                <w:szCs w:val="18"/>
              </w:rPr>
              <w:t>long-term care facility</w:t>
            </w:r>
            <w:r w:rsidRPr="00972346">
              <w:rPr>
                <w:sz w:val="18"/>
                <w:szCs w:val="18"/>
              </w:rPr>
              <w:t xml:space="preserve"> residents</w:t>
            </w:r>
            <w:r w:rsidR="002608C5" w:rsidRPr="00972346">
              <w:rPr>
                <w:sz w:val="18"/>
                <w:szCs w:val="18"/>
              </w:rPr>
              <w:t>.</w:t>
            </w:r>
          </w:p>
        </w:tc>
      </w:tr>
      <w:tr w:rsidR="009A4111" w:rsidRPr="001A0EFC" w14:paraId="6BCAA796" w14:textId="77777777" w:rsidTr="0028767D">
        <w:trPr>
          <w:trHeight w:val="288"/>
        </w:trPr>
        <w:tc>
          <w:tcPr>
            <w:tcW w:w="2427" w:type="dxa"/>
            <w:tcBorders>
              <w:top w:val="single" w:sz="12" w:space="0" w:color="auto"/>
              <w:bottom w:val="single" w:sz="4" w:space="0" w:color="auto"/>
            </w:tcBorders>
            <w:vAlign w:val="center"/>
            <w:hideMark/>
          </w:tcPr>
          <w:p w14:paraId="265A3B6E" w14:textId="50B963E0" w:rsidR="00D16145" w:rsidRPr="001A0EFC" w:rsidRDefault="00D16145" w:rsidP="0028767D">
            <w:pPr>
              <w:pStyle w:val="ExhibitText"/>
              <w:jc w:val="left"/>
              <w:rPr>
                <w:b/>
                <w:bCs/>
                <w:sz w:val="18"/>
                <w:szCs w:val="18"/>
              </w:rPr>
            </w:pPr>
            <w:r w:rsidRPr="001A0EFC">
              <w:rPr>
                <w:b/>
                <w:bCs/>
                <w:sz w:val="18"/>
                <w:szCs w:val="18"/>
              </w:rPr>
              <w:t xml:space="preserve">Current </w:t>
            </w:r>
            <w:r w:rsidR="001D17FD" w:rsidRPr="001A0EFC">
              <w:rPr>
                <w:b/>
                <w:bCs/>
                <w:sz w:val="18"/>
                <w:szCs w:val="18"/>
              </w:rPr>
              <w:t>S</w:t>
            </w:r>
            <w:r w:rsidRPr="001A0EFC">
              <w:rPr>
                <w:b/>
                <w:bCs/>
                <w:sz w:val="18"/>
                <w:szCs w:val="18"/>
              </w:rPr>
              <w:t>tate</w:t>
            </w:r>
          </w:p>
        </w:tc>
        <w:tc>
          <w:tcPr>
            <w:tcW w:w="3466" w:type="dxa"/>
            <w:tcBorders>
              <w:top w:val="single" w:sz="12" w:space="0" w:color="auto"/>
              <w:bottom w:val="single" w:sz="4" w:space="0" w:color="auto"/>
            </w:tcBorders>
            <w:vAlign w:val="center"/>
            <w:hideMark/>
          </w:tcPr>
          <w:p w14:paraId="6EA6A63A" w14:textId="77777777" w:rsidR="00D16145" w:rsidRPr="001A0EFC" w:rsidRDefault="00D16145" w:rsidP="0028767D">
            <w:pPr>
              <w:pStyle w:val="ExhibitText"/>
              <w:jc w:val="left"/>
              <w:rPr>
                <w:b/>
                <w:bCs/>
                <w:sz w:val="18"/>
                <w:szCs w:val="18"/>
              </w:rPr>
            </w:pPr>
            <w:r w:rsidRPr="001A0EFC">
              <w:rPr>
                <w:b/>
                <w:bCs/>
                <w:sz w:val="18"/>
                <w:szCs w:val="18"/>
              </w:rPr>
              <w:t>Intervention</w:t>
            </w:r>
          </w:p>
        </w:tc>
        <w:tc>
          <w:tcPr>
            <w:tcW w:w="3467" w:type="dxa"/>
            <w:tcBorders>
              <w:top w:val="single" w:sz="12" w:space="0" w:color="auto"/>
              <w:bottom w:val="single" w:sz="4" w:space="0" w:color="auto"/>
            </w:tcBorders>
            <w:vAlign w:val="center"/>
            <w:hideMark/>
          </w:tcPr>
          <w:p w14:paraId="0A43F2EA" w14:textId="7CB8EBE4" w:rsidR="00D16145" w:rsidRPr="001A0EFC" w:rsidRDefault="00D16145" w:rsidP="0028767D">
            <w:pPr>
              <w:pStyle w:val="ExhibitText"/>
              <w:jc w:val="left"/>
              <w:rPr>
                <w:b/>
                <w:bCs/>
                <w:sz w:val="18"/>
                <w:szCs w:val="18"/>
              </w:rPr>
            </w:pPr>
            <w:r w:rsidRPr="001A0EFC">
              <w:rPr>
                <w:b/>
                <w:bCs/>
                <w:sz w:val="18"/>
                <w:szCs w:val="18"/>
              </w:rPr>
              <w:t xml:space="preserve">Desired </w:t>
            </w:r>
            <w:r w:rsidR="001D17FD" w:rsidRPr="001A0EFC">
              <w:rPr>
                <w:b/>
                <w:bCs/>
                <w:sz w:val="18"/>
                <w:szCs w:val="18"/>
              </w:rPr>
              <w:t>S</w:t>
            </w:r>
            <w:r w:rsidRPr="001A0EFC">
              <w:rPr>
                <w:b/>
                <w:bCs/>
                <w:sz w:val="18"/>
                <w:szCs w:val="18"/>
              </w:rPr>
              <w:t>tate</w:t>
            </w:r>
          </w:p>
        </w:tc>
      </w:tr>
      <w:tr w:rsidR="009A4111" w:rsidRPr="00972346" w14:paraId="554013C4" w14:textId="77777777" w:rsidTr="009D6F22">
        <w:trPr>
          <w:trHeight w:val="288"/>
        </w:trPr>
        <w:tc>
          <w:tcPr>
            <w:tcW w:w="2427" w:type="dxa"/>
            <w:tcBorders>
              <w:top w:val="single" w:sz="4" w:space="0" w:color="auto"/>
              <w:bottom w:val="single" w:sz="12" w:space="0" w:color="auto"/>
            </w:tcBorders>
            <w:hideMark/>
          </w:tcPr>
          <w:p w14:paraId="588C289E" w14:textId="2E1E23F7" w:rsidR="00D16145" w:rsidRPr="00972346" w:rsidRDefault="00D16145" w:rsidP="005B7E25">
            <w:pPr>
              <w:pStyle w:val="ExhibitText"/>
              <w:jc w:val="left"/>
              <w:rPr>
                <w:sz w:val="18"/>
                <w:szCs w:val="18"/>
              </w:rPr>
            </w:pPr>
            <w:r w:rsidRPr="00972346">
              <w:rPr>
                <w:sz w:val="18"/>
                <w:szCs w:val="18"/>
              </w:rPr>
              <w:t xml:space="preserve">Current </w:t>
            </w:r>
            <w:r w:rsidR="006D67FE" w:rsidRPr="00972346">
              <w:rPr>
                <w:sz w:val="18"/>
                <w:szCs w:val="18"/>
              </w:rPr>
              <w:t>long-term care facility</w:t>
            </w:r>
            <w:r w:rsidRPr="00972346">
              <w:rPr>
                <w:sz w:val="18"/>
                <w:szCs w:val="18"/>
              </w:rPr>
              <w:t xml:space="preserve"> food offerings in Singapore lack variety </w:t>
            </w:r>
            <w:r w:rsidR="002608C5" w:rsidRPr="00972346">
              <w:rPr>
                <w:sz w:val="18"/>
                <w:szCs w:val="18"/>
              </w:rPr>
              <w:t>and</w:t>
            </w:r>
            <w:r w:rsidRPr="00972346">
              <w:rPr>
                <w:sz w:val="18"/>
                <w:szCs w:val="18"/>
              </w:rPr>
              <w:t xml:space="preserve"> nutritional value, reducing the quality of life for </w:t>
            </w:r>
            <w:r w:rsidR="006D67FE" w:rsidRPr="00972346">
              <w:rPr>
                <w:sz w:val="18"/>
                <w:szCs w:val="18"/>
              </w:rPr>
              <w:t>long-term care facility</w:t>
            </w:r>
            <w:r w:rsidRPr="00972346">
              <w:rPr>
                <w:sz w:val="18"/>
                <w:szCs w:val="18"/>
              </w:rPr>
              <w:t xml:space="preserve"> residents</w:t>
            </w:r>
            <w:r w:rsidR="002608C5" w:rsidRPr="00972346">
              <w:rPr>
                <w:sz w:val="18"/>
                <w:szCs w:val="18"/>
              </w:rPr>
              <w:t>.</w:t>
            </w:r>
          </w:p>
        </w:tc>
        <w:tc>
          <w:tcPr>
            <w:tcW w:w="3466" w:type="dxa"/>
            <w:tcBorders>
              <w:top w:val="single" w:sz="4" w:space="0" w:color="auto"/>
              <w:bottom w:val="single" w:sz="12" w:space="0" w:color="auto"/>
            </w:tcBorders>
            <w:hideMark/>
          </w:tcPr>
          <w:p w14:paraId="13FF0A72" w14:textId="54D7EA81" w:rsidR="00D16145" w:rsidRPr="00972346" w:rsidRDefault="00D16145" w:rsidP="005B7E25">
            <w:pPr>
              <w:pStyle w:val="ExhibitText"/>
              <w:jc w:val="left"/>
              <w:rPr>
                <w:sz w:val="18"/>
                <w:szCs w:val="18"/>
              </w:rPr>
            </w:pPr>
            <w:r w:rsidRPr="00972346">
              <w:rPr>
                <w:sz w:val="18"/>
                <w:szCs w:val="18"/>
              </w:rPr>
              <w:t>Provid</w:t>
            </w:r>
            <w:r w:rsidR="002608C5" w:rsidRPr="00972346">
              <w:rPr>
                <w:sz w:val="18"/>
                <w:szCs w:val="18"/>
              </w:rPr>
              <w:t>e</w:t>
            </w:r>
            <w:r w:rsidRPr="00972346">
              <w:rPr>
                <w:sz w:val="18"/>
                <w:szCs w:val="18"/>
              </w:rPr>
              <w:t xml:space="preserve"> meals that are varied and nutritious</w:t>
            </w:r>
            <w:r w:rsidR="002608C5" w:rsidRPr="00972346">
              <w:rPr>
                <w:sz w:val="18"/>
                <w:szCs w:val="18"/>
              </w:rPr>
              <w:t>.</w:t>
            </w:r>
          </w:p>
        </w:tc>
        <w:tc>
          <w:tcPr>
            <w:tcW w:w="3467" w:type="dxa"/>
            <w:tcBorders>
              <w:top w:val="single" w:sz="4" w:space="0" w:color="auto"/>
              <w:bottom w:val="single" w:sz="12" w:space="0" w:color="auto"/>
            </w:tcBorders>
            <w:hideMark/>
          </w:tcPr>
          <w:p w14:paraId="3A40711C" w14:textId="1F96C9C3" w:rsidR="00D16145" w:rsidRPr="00972346" w:rsidRDefault="00D16145" w:rsidP="005B7E25">
            <w:pPr>
              <w:pStyle w:val="ExhibitText"/>
              <w:jc w:val="left"/>
              <w:rPr>
                <w:sz w:val="18"/>
                <w:szCs w:val="18"/>
              </w:rPr>
            </w:pPr>
            <w:r w:rsidRPr="00972346">
              <w:rPr>
                <w:sz w:val="18"/>
                <w:szCs w:val="18"/>
              </w:rPr>
              <w:t xml:space="preserve">Increase </w:t>
            </w:r>
            <w:r w:rsidR="002608C5" w:rsidRPr="00972346">
              <w:rPr>
                <w:sz w:val="18"/>
                <w:szCs w:val="18"/>
              </w:rPr>
              <w:t>q</w:t>
            </w:r>
            <w:r w:rsidRPr="00972346">
              <w:rPr>
                <w:sz w:val="18"/>
                <w:szCs w:val="18"/>
              </w:rPr>
              <w:t xml:space="preserve">uality of </w:t>
            </w:r>
            <w:r w:rsidR="002608C5" w:rsidRPr="00972346">
              <w:rPr>
                <w:sz w:val="18"/>
                <w:szCs w:val="18"/>
              </w:rPr>
              <w:t>l</w:t>
            </w:r>
            <w:r w:rsidRPr="00972346">
              <w:rPr>
                <w:sz w:val="18"/>
                <w:szCs w:val="18"/>
              </w:rPr>
              <w:t xml:space="preserve">ife </w:t>
            </w:r>
            <w:r w:rsidR="002608C5" w:rsidRPr="00972346">
              <w:rPr>
                <w:sz w:val="18"/>
                <w:szCs w:val="18"/>
              </w:rPr>
              <w:t>with</w:t>
            </w:r>
            <w:r w:rsidRPr="00972346">
              <w:rPr>
                <w:sz w:val="18"/>
                <w:szCs w:val="18"/>
              </w:rPr>
              <w:t xml:space="preserve"> greater variety </w:t>
            </w:r>
            <w:r w:rsidR="002608C5" w:rsidRPr="00972346">
              <w:rPr>
                <w:sz w:val="18"/>
                <w:szCs w:val="18"/>
              </w:rPr>
              <w:t>and</w:t>
            </w:r>
            <w:r w:rsidRPr="00972346">
              <w:rPr>
                <w:sz w:val="18"/>
                <w:szCs w:val="18"/>
              </w:rPr>
              <w:t xml:space="preserve"> more nutritious food</w:t>
            </w:r>
            <w:r w:rsidR="002608C5" w:rsidRPr="00972346">
              <w:rPr>
                <w:sz w:val="18"/>
                <w:szCs w:val="18"/>
              </w:rPr>
              <w:t>s.</w:t>
            </w:r>
          </w:p>
        </w:tc>
      </w:tr>
      <w:tr w:rsidR="00D16145" w:rsidRPr="001A0EFC" w14:paraId="289B72E2" w14:textId="77777777" w:rsidTr="0028767D">
        <w:trPr>
          <w:trHeight w:val="288"/>
        </w:trPr>
        <w:tc>
          <w:tcPr>
            <w:tcW w:w="9360" w:type="dxa"/>
            <w:gridSpan w:val="3"/>
            <w:tcBorders>
              <w:top w:val="single" w:sz="12" w:space="0" w:color="auto"/>
              <w:bottom w:val="single" w:sz="4" w:space="0" w:color="auto"/>
            </w:tcBorders>
            <w:noWrap/>
            <w:vAlign w:val="center"/>
            <w:hideMark/>
          </w:tcPr>
          <w:p w14:paraId="164322D1" w14:textId="50212062" w:rsidR="00D16145" w:rsidRPr="001A0EFC" w:rsidRDefault="00D16145" w:rsidP="0028767D">
            <w:pPr>
              <w:pStyle w:val="ExhibitText"/>
              <w:jc w:val="center"/>
              <w:rPr>
                <w:b/>
                <w:bCs/>
                <w:sz w:val="18"/>
                <w:szCs w:val="18"/>
              </w:rPr>
            </w:pPr>
            <w:r w:rsidRPr="001A0EFC">
              <w:rPr>
                <w:b/>
                <w:bCs/>
                <w:sz w:val="18"/>
                <w:szCs w:val="18"/>
              </w:rPr>
              <w:t xml:space="preserve">Evidence to </w:t>
            </w:r>
            <w:r w:rsidR="001F3560" w:rsidRPr="001A0EFC">
              <w:rPr>
                <w:b/>
                <w:bCs/>
                <w:sz w:val="18"/>
                <w:szCs w:val="18"/>
              </w:rPr>
              <w:t>S</w:t>
            </w:r>
            <w:r w:rsidRPr="001A0EFC">
              <w:rPr>
                <w:b/>
                <w:bCs/>
                <w:sz w:val="18"/>
                <w:szCs w:val="18"/>
              </w:rPr>
              <w:t xml:space="preserve">ubstantiate the </w:t>
            </w:r>
            <w:r w:rsidR="001F3560" w:rsidRPr="001A0EFC">
              <w:rPr>
                <w:b/>
                <w:bCs/>
                <w:sz w:val="18"/>
                <w:szCs w:val="18"/>
              </w:rPr>
              <w:t>N</w:t>
            </w:r>
            <w:r w:rsidRPr="001A0EFC">
              <w:rPr>
                <w:b/>
                <w:bCs/>
                <w:sz w:val="18"/>
                <w:szCs w:val="18"/>
              </w:rPr>
              <w:t xml:space="preserve">eed for </w:t>
            </w:r>
            <w:proofErr w:type="spellStart"/>
            <w:r w:rsidRPr="001A0EFC">
              <w:rPr>
                <w:b/>
                <w:bCs/>
                <w:sz w:val="18"/>
                <w:szCs w:val="18"/>
              </w:rPr>
              <w:t>Samsui’s</w:t>
            </w:r>
            <w:proofErr w:type="spellEnd"/>
            <w:r w:rsidRPr="001A0EFC">
              <w:rPr>
                <w:b/>
                <w:bCs/>
                <w:sz w:val="18"/>
                <w:szCs w:val="18"/>
              </w:rPr>
              <w:t xml:space="preserve"> </w:t>
            </w:r>
            <w:r w:rsidR="001F3560" w:rsidRPr="001A0EFC">
              <w:rPr>
                <w:b/>
                <w:bCs/>
                <w:sz w:val="18"/>
                <w:szCs w:val="18"/>
              </w:rPr>
              <w:t>I</w:t>
            </w:r>
            <w:r w:rsidRPr="001A0EFC">
              <w:rPr>
                <w:b/>
                <w:bCs/>
                <w:sz w:val="18"/>
                <w:szCs w:val="18"/>
              </w:rPr>
              <w:t>ntervention</w:t>
            </w:r>
          </w:p>
        </w:tc>
      </w:tr>
      <w:tr w:rsidR="00D16145" w:rsidRPr="00972346" w14:paraId="53250568" w14:textId="77777777" w:rsidTr="009D6F22">
        <w:trPr>
          <w:trHeight w:val="288"/>
        </w:trPr>
        <w:tc>
          <w:tcPr>
            <w:tcW w:w="2427" w:type="dxa"/>
            <w:vMerge w:val="restart"/>
            <w:tcBorders>
              <w:top w:val="single" w:sz="4" w:space="0" w:color="auto"/>
              <w:bottom w:val="dotted" w:sz="4" w:space="0" w:color="auto"/>
            </w:tcBorders>
            <w:hideMark/>
          </w:tcPr>
          <w:p w14:paraId="6E932276" w14:textId="1B319E08" w:rsidR="00D16145" w:rsidRPr="00972346" w:rsidRDefault="00C70F23" w:rsidP="005B7E25">
            <w:pPr>
              <w:pStyle w:val="ExhibitText"/>
              <w:jc w:val="left"/>
              <w:rPr>
                <w:sz w:val="18"/>
                <w:szCs w:val="18"/>
              </w:rPr>
            </w:pPr>
            <w:r w:rsidRPr="00972346">
              <w:rPr>
                <w:sz w:val="18"/>
                <w:szCs w:val="18"/>
              </w:rPr>
              <w:t>The c</w:t>
            </w:r>
            <w:r w:rsidR="00D16145" w:rsidRPr="00972346">
              <w:rPr>
                <w:sz w:val="18"/>
                <w:szCs w:val="18"/>
              </w:rPr>
              <w:t xml:space="preserve">urrent </w:t>
            </w:r>
            <w:r w:rsidR="006D67FE" w:rsidRPr="00972346">
              <w:rPr>
                <w:sz w:val="18"/>
                <w:szCs w:val="18"/>
              </w:rPr>
              <w:t>long-term care facility</w:t>
            </w:r>
            <w:r w:rsidR="00D16145" w:rsidRPr="00972346">
              <w:rPr>
                <w:sz w:val="18"/>
                <w:szCs w:val="18"/>
              </w:rPr>
              <w:t xml:space="preserve"> food lacks nutrition</w:t>
            </w:r>
            <w:r w:rsidRPr="00972346">
              <w:rPr>
                <w:sz w:val="18"/>
                <w:szCs w:val="18"/>
              </w:rPr>
              <w:t>.</w:t>
            </w:r>
          </w:p>
        </w:tc>
        <w:tc>
          <w:tcPr>
            <w:tcW w:w="6933" w:type="dxa"/>
            <w:gridSpan w:val="2"/>
            <w:tcBorders>
              <w:top w:val="single" w:sz="4" w:space="0" w:color="auto"/>
              <w:bottom w:val="nil"/>
            </w:tcBorders>
            <w:hideMark/>
          </w:tcPr>
          <w:p w14:paraId="1D9E0B52" w14:textId="7A314E76" w:rsidR="00D16145" w:rsidRPr="00972346" w:rsidRDefault="00C70F23" w:rsidP="00CA1C6A">
            <w:pPr>
              <w:pStyle w:val="ExhibitText"/>
              <w:numPr>
                <w:ilvl w:val="0"/>
                <w:numId w:val="23"/>
              </w:numPr>
              <w:jc w:val="left"/>
              <w:rPr>
                <w:sz w:val="18"/>
                <w:szCs w:val="18"/>
              </w:rPr>
            </w:pPr>
            <w:r w:rsidRPr="00972346">
              <w:rPr>
                <w:sz w:val="18"/>
                <w:szCs w:val="18"/>
              </w:rPr>
              <w:t xml:space="preserve">The </w:t>
            </w:r>
            <w:r w:rsidR="00D16145" w:rsidRPr="00972346">
              <w:rPr>
                <w:sz w:val="18"/>
                <w:szCs w:val="18"/>
              </w:rPr>
              <w:t xml:space="preserve">Intermediate and Long-Term Care Nutrition Movement </w:t>
            </w:r>
            <w:r w:rsidRPr="00972346">
              <w:rPr>
                <w:sz w:val="18"/>
                <w:szCs w:val="18"/>
              </w:rPr>
              <w:t xml:space="preserve">was launched </w:t>
            </w:r>
            <w:r w:rsidR="00D16145" w:rsidRPr="00972346">
              <w:rPr>
                <w:sz w:val="18"/>
                <w:szCs w:val="18"/>
              </w:rPr>
              <w:t>in S</w:t>
            </w:r>
            <w:r w:rsidRPr="00972346">
              <w:rPr>
                <w:sz w:val="18"/>
                <w:szCs w:val="18"/>
              </w:rPr>
              <w:t>ingapore</w:t>
            </w:r>
            <w:r w:rsidR="00D16145" w:rsidRPr="00972346">
              <w:rPr>
                <w:sz w:val="18"/>
                <w:szCs w:val="18"/>
              </w:rPr>
              <w:t xml:space="preserve"> in 2012 to raise awareness </w:t>
            </w:r>
            <w:r w:rsidR="002A5FEB" w:rsidRPr="00972346">
              <w:rPr>
                <w:sz w:val="18"/>
                <w:szCs w:val="18"/>
              </w:rPr>
              <w:t xml:space="preserve">of </w:t>
            </w:r>
            <w:r w:rsidR="00D16145" w:rsidRPr="00972346">
              <w:rPr>
                <w:sz w:val="18"/>
                <w:szCs w:val="18"/>
              </w:rPr>
              <w:t xml:space="preserve">the importance of good nutrition and food service in the </w:t>
            </w:r>
            <w:r w:rsidRPr="00972346">
              <w:rPr>
                <w:sz w:val="18"/>
                <w:szCs w:val="18"/>
              </w:rPr>
              <w:t>c</w:t>
            </w:r>
            <w:r w:rsidR="00D16145" w:rsidRPr="00972346">
              <w:rPr>
                <w:sz w:val="18"/>
                <w:szCs w:val="18"/>
              </w:rPr>
              <w:t xml:space="preserve">ommunity </w:t>
            </w:r>
            <w:r w:rsidRPr="00972346">
              <w:rPr>
                <w:sz w:val="18"/>
                <w:szCs w:val="18"/>
              </w:rPr>
              <w:t>c</w:t>
            </w:r>
            <w:r w:rsidR="00D16145" w:rsidRPr="00972346">
              <w:rPr>
                <w:sz w:val="18"/>
                <w:szCs w:val="18"/>
              </w:rPr>
              <w:t>are sector.</w:t>
            </w:r>
            <w:r w:rsidR="009A4111" w:rsidRPr="00972346">
              <w:rPr>
                <w:sz w:val="18"/>
                <w:szCs w:val="18"/>
              </w:rPr>
              <w:t xml:space="preserve"> </w:t>
            </w:r>
          </w:p>
        </w:tc>
      </w:tr>
      <w:tr w:rsidR="00D16145" w:rsidRPr="00972346" w14:paraId="096581AB" w14:textId="77777777" w:rsidTr="009D6F22">
        <w:trPr>
          <w:trHeight w:val="288"/>
        </w:trPr>
        <w:tc>
          <w:tcPr>
            <w:tcW w:w="2427" w:type="dxa"/>
            <w:vMerge/>
            <w:tcBorders>
              <w:top w:val="nil"/>
              <w:bottom w:val="dotted" w:sz="4" w:space="0" w:color="auto"/>
            </w:tcBorders>
            <w:hideMark/>
          </w:tcPr>
          <w:p w14:paraId="4E4D3E99" w14:textId="77777777" w:rsidR="00D16145" w:rsidRPr="00972346" w:rsidRDefault="00D16145" w:rsidP="005B7E25">
            <w:pPr>
              <w:pStyle w:val="ExhibitText"/>
              <w:jc w:val="left"/>
              <w:rPr>
                <w:sz w:val="18"/>
                <w:szCs w:val="18"/>
              </w:rPr>
            </w:pPr>
          </w:p>
        </w:tc>
        <w:tc>
          <w:tcPr>
            <w:tcW w:w="6933" w:type="dxa"/>
            <w:gridSpan w:val="2"/>
            <w:tcBorders>
              <w:top w:val="nil"/>
              <w:bottom w:val="dotted" w:sz="4" w:space="0" w:color="auto"/>
            </w:tcBorders>
            <w:hideMark/>
          </w:tcPr>
          <w:p w14:paraId="046748EE" w14:textId="518892A4" w:rsidR="00D16145" w:rsidRPr="00972346" w:rsidRDefault="00D16145" w:rsidP="00CA1C6A">
            <w:pPr>
              <w:pStyle w:val="ExhibitText"/>
              <w:numPr>
                <w:ilvl w:val="0"/>
                <w:numId w:val="23"/>
              </w:numPr>
              <w:jc w:val="left"/>
              <w:rPr>
                <w:sz w:val="18"/>
                <w:szCs w:val="18"/>
              </w:rPr>
            </w:pPr>
            <w:r w:rsidRPr="00972346">
              <w:rPr>
                <w:sz w:val="18"/>
                <w:szCs w:val="18"/>
              </w:rPr>
              <w:t xml:space="preserve">The most common nutritional problems for residents in </w:t>
            </w:r>
            <w:r w:rsidR="00C70F23" w:rsidRPr="00972346">
              <w:rPr>
                <w:sz w:val="18"/>
                <w:szCs w:val="18"/>
              </w:rPr>
              <w:t>long-term c</w:t>
            </w:r>
            <w:r w:rsidRPr="00972346">
              <w:rPr>
                <w:sz w:val="18"/>
                <w:szCs w:val="18"/>
              </w:rPr>
              <w:t xml:space="preserve">are facilities are weight loss and associated protein-energy malnutrition. In Singapore, the </w:t>
            </w:r>
            <w:r w:rsidR="00C70F23" w:rsidRPr="00972346">
              <w:rPr>
                <w:sz w:val="18"/>
                <w:szCs w:val="18"/>
              </w:rPr>
              <w:t>rate</w:t>
            </w:r>
            <w:r w:rsidRPr="00972346">
              <w:rPr>
                <w:sz w:val="18"/>
                <w:szCs w:val="18"/>
              </w:rPr>
              <w:t xml:space="preserve"> of protein-energy malnutrition in </w:t>
            </w:r>
            <w:r w:rsidR="00C70F23" w:rsidRPr="00972346">
              <w:rPr>
                <w:sz w:val="18"/>
                <w:szCs w:val="18"/>
              </w:rPr>
              <w:t>long-term care faciliti</w:t>
            </w:r>
            <w:r w:rsidRPr="00972346">
              <w:rPr>
                <w:sz w:val="18"/>
                <w:szCs w:val="18"/>
              </w:rPr>
              <w:t xml:space="preserve">es for the elderly </w:t>
            </w:r>
            <w:r w:rsidR="00C70F23" w:rsidRPr="00972346">
              <w:rPr>
                <w:sz w:val="18"/>
                <w:szCs w:val="18"/>
              </w:rPr>
              <w:t>is</w:t>
            </w:r>
            <w:r w:rsidRPr="00972346">
              <w:rPr>
                <w:sz w:val="18"/>
                <w:szCs w:val="18"/>
              </w:rPr>
              <w:t xml:space="preserve"> 23</w:t>
            </w:r>
            <w:r w:rsidR="00C70F23" w:rsidRPr="00972346">
              <w:rPr>
                <w:sz w:val="18"/>
                <w:szCs w:val="18"/>
              </w:rPr>
              <w:t>–</w:t>
            </w:r>
            <w:r w:rsidRPr="00972346">
              <w:rPr>
                <w:sz w:val="18"/>
                <w:szCs w:val="18"/>
              </w:rPr>
              <w:t>85</w:t>
            </w:r>
            <w:r w:rsidR="00C70F23" w:rsidRPr="00972346">
              <w:rPr>
                <w:sz w:val="18"/>
                <w:szCs w:val="18"/>
              </w:rPr>
              <w:t xml:space="preserve"> per cent</w:t>
            </w:r>
            <w:r w:rsidRPr="00972346">
              <w:rPr>
                <w:sz w:val="18"/>
                <w:szCs w:val="18"/>
              </w:rPr>
              <w:t xml:space="preserve">. </w:t>
            </w:r>
          </w:p>
        </w:tc>
      </w:tr>
      <w:tr w:rsidR="00D16145" w:rsidRPr="00972346" w14:paraId="3E9E7DBB" w14:textId="77777777" w:rsidTr="009D6F22">
        <w:trPr>
          <w:trHeight w:val="288"/>
        </w:trPr>
        <w:tc>
          <w:tcPr>
            <w:tcW w:w="2427" w:type="dxa"/>
            <w:vMerge w:val="restart"/>
            <w:tcBorders>
              <w:top w:val="dotted" w:sz="4" w:space="0" w:color="auto"/>
              <w:bottom w:val="dotted" w:sz="4" w:space="0" w:color="auto"/>
            </w:tcBorders>
            <w:hideMark/>
          </w:tcPr>
          <w:p w14:paraId="162C413C" w14:textId="5DCBAAED" w:rsidR="00D16145" w:rsidRPr="00972346" w:rsidRDefault="00C70F23" w:rsidP="005B7E25">
            <w:pPr>
              <w:pStyle w:val="ExhibitText"/>
              <w:jc w:val="left"/>
              <w:rPr>
                <w:sz w:val="18"/>
                <w:szCs w:val="18"/>
              </w:rPr>
            </w:pPr>
            <w:r w:rsidRPr="00972346">
              <w:rPr>
                <w:sz w:val="18"/>
                <w:szCs w:val="18"/>
              </w:rPr>
              <w:t>The c</w:t>
            </w:r>
            <w:r w:rsidR="00D16145" w:rsidRPr="00972346">
              <w:rPr>
                <w:sz w:val="18"/>
                <w:szCs w:val="18"/>
              </w:rPr>
              <w:t xml:space="preserve">urrent </w:t>
            </w:r>
            <w:r w:rsidR="006D67FE" w:rsidRPr="00972346">
              <w:rPr>
                <w:sz w:val="18"/>
                <w:szCs w:val="18"/>
              </w:rPr>
              <w:t>long-term care facility</w:t>
            </w:r>
            <w:r w:rsidR="00D16145" w:rsidRPr="00972346">
              <w:rPr>
                <w:sz w:val="18"/>
                <w:szCs w:val="18"/>
              </w:rPr>
              <w:t xml:space="preserve"> food lacks variety</w:t>
            </w:r>
            <w:r w:rsidRPr="00972346">
              <w:rPr>
                <w:sz w:val="18"/>
                <w:szCs w:val="18"/>
              </w:rPr>
              <w:t>.</w:t>
            </w:r>
          </w:p>
        </w:tc>
        <w:tc>
          <w:tcPr>
            <w:tcW w:w="6933" w:type="dxa"/>
            <w:gridSpan w:val="2"/>
            <w:tcBorders>
              <w:top w:val="dotted" w:sz="4" w:space="0" w:color="auto"/>
              <w:bottom w:val="nil"/>
            </w:tcBorders>
            <w:hideMark/>
          </w:tcPr>
          <w:p w14:paraId="3ACF528B" w14:textId="4DA16B42" w:rsidR="00D16145" w:rsidRPr="00972346" w:rsidRDefault="00C70F23" w:rsidP="00CA1C6A">
            <w:pPr>
              <w:pStyle w:val="ExhibitText"/>
              <w:numPr>
                <w:ilvl w:val="0"/>
                <w:numId w:val="26"/>
              </w:numPr>
              <w:jc w:val="left"/>
              <w:rPr>
                <w:sz w:val="18"/>
                <w:szCs w:val="18"/>
              </w:rPr>
            </w:pPr>
            <w:r w:rsidRPr="00972346">
              <w:rPr>
                <w:sz w:val="18"/>
                <w:szCs w:val="18"/>
              </w:rPr>
              <w:t xml:space="preserve">The simple </w:t>
            </w:r>
            <w:r w:rsidR="00D16145" w:rsidRPr="00972346">
              <w:rPr>
                <w:sz w:val="18"/>
                <w:szCs w:val="18"/>
              </w:rPr>
              <w:t xml:space="preserve">menu </w:t>
            </w:r>
            <w:r w:rsidRPr="00972346">
              <w:rPr>
                <w:sz w:val="18"/>
                <w:szCs w:val="18"/>
              </w:rPr>
              <w:t>uses</w:t>
            </w:r>
            <w:r w:rsidR="00D16145" w:rsidRPr="00972346">
              <w:rPr>
                <w:sz w:val="18"/>
                <w:szCs w:val="18"/>
              </w:rPr>
              <w:t xml:space="preserve"> the same cooking methods or ingredients repeatedly because of outdated kitchen equipment </w:t>
            </w:r>
            <w:r w:rsidRPr="00972346">
              <w:rPr>
                <w:sz w:val="18"/>
                <w:szCs w:val="18"/>
              </w:rPr>
              <w:t>and</w:t>
            </w:r>
            <w:r w:rsidR="00D16145" w:rsidRPr="00972346">
              <w:rPr>
                <w:sz w:val="18"/>
                <w:szCs w:val="18"/>
              </w:rPr>
              <w:t xml:space="preserve"> constraints</w:t>
            </w:r>
            <w:r w:rsidRPr="00972346">
              <w:rPr>
                <w:sz w:val="18"/>
                <w:szCs w:val="18"/>
              </w:rPr>
              <w:t xml:space="preserve"> of time and labour</w:t>
            </w:r>
            <w:r w:rsidR="00D16145" w:rsidRPr="00972346">
              <w:rPr>
                <w:sz w:val="18"/>
                <w:szCs w:val="18"/>
              </w:rPr>
              <w:t>.</w:t>
            </w:r>
          </w:p>
        </w:tc>
      </w:tr>
      <w:tr w:rsidR="00D16145" w:rsidRPr="00972346" w14:paraId="01A153E2" w14:textId="77777777" w:rsidTr="009D6F22">
        <w:trPr>
          <w:trHeight w:val="288"/>
        </w:trPr>
        <w:tc>
          <w:tcPr>
            <w:tcW w:w="2427" w:type="dxa"/>
            <w:vMerge/>
            <w:tcBorders>
              <w:top w:val="dotted" w:sz="4" w:space="0" w:color="auto"/>
              <w:bottom w:val="dotted" w:sz="4" w:space="0" w:color="auto"/>
            </w:tcBorders>
            <w:hideMark/>
          </w:tcPr>
          <w:p w14:paraId="614A439A" w14:textId="77777777" w:rsidR="00D16145" w:rsidRPr="00972346" w:rsidRDefault="00D16145" w:rsidP="005B7E25">
            <w:pPr>
              <w:pStyle w:val="ExhibitText"/>
              <w:jc w:val="left"/>
              <w:rPr>
                <w:sz w:val="18"/>
                <w:szCs w:val="18"/>
              </w:rPr>
            </w:pPr>
          </w:p>
        </w:tc>
        <w:tc>
          <w:tcPr>
            <w:tcW w:w="6933" w:type="dxa"/>
            <w:gridSpan w:val="2"/>
            <w:tcBorders>
              <w:top w:val="nil"/>
              <w:bottom w:val="dotted" w:sz="4" w:space="0" w:color="auto"/>
            </w:tcBorders>
            <w:hideMark/>
          </w:tcPr>
          <w:p w14:paraId="79104E86" w14:textId="42D8CC96" w:rsidR="00D16145" w:rsidRPr="00972346" w:rsidRDefault="00D16145" w:rsidP="00CA1C6A">
            <w:pPr>
              <w:pStyle w:val="ExhibitText"/>
              <w:numPr>
                <w:ilvl w:val="0"/>
                <w:numId w:val="26"/>
              </w:numPr>
              <w:jc w:val="left"/>
              <w:rPr>
                <w:sz w:val="18"/>
                <w:szCs w:val="18"/>
              </w:rPr>
            </w:pPr>
            <w:r w:rsidRPr="00972346">
              <w:rPr>
                <w:sz w:val="18"/>
                <w:szCs w:val="18"/>
              </w:rPr>
              <w:t xml:space="preserve">A quarter of </w:t>
            </w:r>
            <w:r w:rsidR="006D67FE" w:rsidRPr="00972346">
              <w:rPr>
                <w:sz w:val="18"/>
                <w:szCs w:val="18"/>
              </w:rPr>
              <w:t>long-term care facility</w:t>
            </w:r>
            <w:r w:rsidRPr="00972346">
              <w:rPr>
                <w:sz w:val="18"/>
                <w:szCs w:val="18"/>
              </w:rPr>
              <w:t xml:space="preserve"> residents do not enjoy the food provided</w:t>
            </w:r>
            <w:r w:rsidR="00C70F23" w:rsidRPr="00972346">
              <w:rPr>
                <w:sz w:val="18"/>
                <w:szCs w:val="18"/>
              </w:rPr>
              <w:t>. O</w:t>
            </w:r>
            <w:r w:rsidRPr="00972346">
              <w:rPr>
                <w:sz w:val="18"/>
                <w:szCs w:val="18"/>
              </w:rPr>
              <w:t>ne-third say that they cannot find their favourite foods.</w:t>
            </w:r>
          </w:p>
        </w:tc>
      </w:tr>
      <w:tr w:rsidR="009A4111" w:rsidRPr="00972346" w14:paraId="470BC005" w14:textId="77777777" w:rsidTr="009D6F22">
        <w:trPr>
          <w:trHeight w:val="288"/>
        </w:trPr>
        <w:tc>
          <w:tcPr>
            <w:tcW w:w="2427" w:type="dxa"/>
            <w:vMerge w:val="restart"/>
            <w:tcBorders>
              <w:top w:val="dotted" w:sz="4" w:space="0" w:color="auto"/>
              <w:bottom w:val="dotted" w:sz="4" w:space="0" w:color="auto"/>
            </w:tcBorders>
            <w:hideMark/>
          </w:tcPr>
          <w:p w14:paraId="20C55F5F" w14:textId="6C247BC9" w:rsidR="009A4111" w:rsidRPr="00972346" w:rsidRDefault="00C70F23" w:rsidP="005B7E25">
            <w:pPr>
              <w:pStyle w:val="ExhibitText"/>
              <w:jc w:val="left"/>
              <w:rPr>
                <w:sz w:val="18"/>
                <w:szCs w:val="18"/>
              </w:rPr>
            </w:pPr>
            <w:r w:rsidRPr="00972346">
              <w:rPr>
                <w:sz w:val="18"/>
                <w:szCs w:val="18"/>
              </w:rPr>
              <w:t>I</w:t>
            </w:r>
            <w:r w:rsidR="009A4111" w:rsidRPr="00972346">
              <w:rPr>
                <w:sz w:val="18"/>
                <w:szCs w:val="18"/>
              </w:rPr>
              <w:t xml:space="preserve">nnutritious food in </w:t>
            </w:r>
            <w:r w:rsidR="006D67FE" w:rsidRPr="00972346">
              <w:rPr>
                <w:sz w:val="18"/>
                <w:szCs w:val="18"/>
              </w:rPr>
              <w:t>long-term care faciliti</w:t>
            </w:r>
            <w:r w:rsidR="009A4111" w:rsidRPr="00972346">
              <w:rPr>
                <w:sz w:val="18"/>
                <w:szCs w:val="18"/>
              </w:rPr>
              <w:t>es necessitates intervention</w:t>
            </w:r>
            <w:r w:rsidRPr="00972346">
              <w:rPr>
                <w:sz w:val="18"/>
                <w:szCs w:val="18"/>
              </w:rPr>
              <w:t>.</w:t>
            </w:r>
          </w:p>
        </w:tc>
        <w:tc>
          <w:tcPr>
            <w:tcW w:w="6933" w:type="dxa"/>
            <w:gridSpan w:val="2"/>
            <w:tcBorders>
              <w:top w:val="dotted" w:sz="4" w:space="0" w:color="auto"/>
              <w:bottom w:val="nil"/>
            </w:tcBorders>
            <w:hideMark/>
          </w:tcPr>
          <w:p w14:paraId="4EE87635" w14:textId="575D7CD0" w:rsidR="009A4111" w:rsidRPr="00972346" w:rsidRDefault="009A4111" w:rsidP="00CA1C6A">
            <w:pPr>
              <w:pStyle w:val="ExhibitText"/>
              <w:numPr>
                <w:ilvl w:val="0"/>
                <w:numId w:val="28"/>
              </w:numPr>
              <w:jc w:val="left"/>
              <w:rPr>
                <w:sz w:val="18"/>
                <w:szCs w:val="18"/>
              </w:rPr>
            </w:pPr>
            <w:r w:rsidRPr="00972346">
              <w:rPr>
                <w:sz w:val="18"/>
                <w:szCs w:val="18"/>
              </w:rPr>
              <w:t xml:space="preserve">Malnutrition impacts the quality of life </w:t>
            </w:r>
            <w:r w:rsidR="00C70F23" w:rsidRPr="00972346">
              <w:rPr>
                <w:sz w:val="18"/>
                <w:szCs w:val="18"/>
              </w:rPr>
              <w:t>and</w:t>
            </w:r>
            <w:r w:rsidRPr="00972346">
              <w:rPr>
                <w:sz w:val="18"/>
                <w:szCs w:val="18"/>
              </w:rPr>
              <w:t xml:space="preserve"> general health of older persons.</w:t>
            </w:r>
          </w:p>
        </w:tc>
      </w:tr>
      <w:tr w:rsidR="009A4111" w:rsidRPr="00972346" w14:paraId="4582271E" w14:textId="77777777" w:rsidTr="009D6F22">
        <w:trPr>
          <w:trHeight w:val="288"/>
        </w:trPr>
        <w:tc>
          <w:tcPr>
            <w:tcW w:w="2427" w:type="dxa"/>
            <w:vMerge/>
            <w:tcBorders>
              <w:top w:val="dotted" w:sz="4" w:space="0" w:color="auto"/>
              <w:bottom w:val="dotted" w:sz="4" w:space="0" w:color="auto"/>
            </w:tcBorders>
            <w:hideMark/>
          </w:tcPr>
          <w:p w14:paraId="28D267D2" w14:textId="77777777" w:rsidR="009A4111" w:rsidRPr="00972346" w:rsidRDefault="009A4111" w:rsidP="005B7E25">
            <w:pPr>
              <w:pStyle w:val="ExhibitText"/>
              <w:jc w:val="left"/>
              <w:rPr>
                <w:sz w:val="18"/>
                <w:szCs w:val="18"/>
              </w:rPr>
            </w:pPr>
          </w:p>
        </w:tc>
        <w:tc>
          <w:tcPr>
            <w:tcW w:w="6933" w:type="dxa"/>
            <w:gridSpan w:val="2"/>
            <w:tcBorders>
              <w:top w:val="nil"/>
              <w:bottom w:val="nil"/>
            </w:tcBorders>
            <w:hideMark/>
          </w:tcPr>
          <w:p w14:paraId="2AE59B43" w14:textId="6E965FF7" w:rsidR="009A4111" w:rsidRPr="00972346" w:rsidRDefault="009A4111" w:rsidP="00CA1C6A">
            <w:pPr>
              <w:pStyle w:val="ExhibitText"/>
              <w:numPr>
                <w:ilvl w:val="0"/>
                <w:numId w:val="28"/>
              </w:numPr>
              <w:jc w:val="left"/>
              <w:rPr>
                <w:sz w:val="18"/>
                <w:szCs w:val="18"/>
              </w:rPr>
            </w:pPr>
            <w:r w:rsidRPr="00972346">
              <w:rPr>
                <w:sz w:val="18"/>
                <w:szCs w:val="18"/>
              </w:rPr>
              <w:t>Malnutrition is a multi-faced issue that compromises the quality of life and can lead to chronic disability, functional decline, increased health care use</w:t>
            </w:r>
            <w:r w:rsidR="00C70F23" w:rsidRPr="00972346">
              <w:rPr>
                <w:sz w:val="18"/>
                <w:szCs w:val="18"/>
              </w:rPr>
              <w:t>,</w:t>
            </w:r>
            <w:r w:rsidRPr="00972346">
              <w:rPr>
                <w:sz w:val="18"/>
                <w:szCs w:val="18"/>
              </w:rPr>
              <w:t xml:space="preserve"> </w:t>
            </w:r>
            <w:r w:rsidR="00C70F23" w:rsidRPr="00972346">
              <w:rPr>
                <w:sz w:val="18"/>
                <w:szCs w:val="18"/>
              </w:rPr>
              <w:t xml:space="preserve">increased </w:t>
            </w:r>
            <w:r w:rsidRPr="00972346">
              <w:rPr>
                <w:sz w:val="18"/>
                <w:szCs w:val="18"/>
              </w:rPr>
              <w:t>care costs</w:t>
            </w:r>
            <w:r w:rsidR="00C70F23" w:rsidRPr="00972346">
              <w:rPr>
                <w:sz w:val="18"/>
                <w:szCs w:val="18"/>
              </w:rPr>
              <w:t>, and even</w:t>
            </w:r>
            <w:r w:rsidRPr="00972346">
              <w:rPr>
                <w:sz w:val="18"/>
                <w:szCs w:val="18"/>
              </w:rPr>
              <w:t xml:space="preserve"> death.</w:t>
            </w:r>
          </w:p>
        </w:tc>
      </w:tr>
      <w:tr w:rsidR="009A4111" w:rsidRPr="00972346" w14:paraId="2D9FBADB" w14:textId="77777777" w:rsidTr="009D6F22">
        <w:trPr>
          <w:trHeight w:val="288"/>
        </w:trPr>
        <w:tc>
          <w:tcPr>
            <w:tcW w:w="2427" w:type="dxa"/>
            <w:vMerge/>
            <w:tcBorders>
              <w:top w:val="dotted" w:sz="4" w:space="0" w:color="auto"/>
              <w:bottom w:val="dotted" w:sz="4" w:space="0" w:color="auto"/>
            </w:tcBorders>
            <w:hideMark/>
          </w:tcPr>
          <w:p w14:paraId="2D237235" w14:textId="77777777" w:rsidR="009A4111" w:rsidRPr="00972346" w:rsidRDefault="009A4111" w:rsidP="005B7E25">
            <w:pPr>
              <w:pStyle w:val="ExhibitText"/>
              <w:jc w:val="left"/>
              <w:rPr>
                <w:sz w:val="18"/>
                <w:szCs w:val="18"/>
              </w:rPr>
            </w:pPr>
          </w:p>
        </w:tc>
        <w:tc>
          <w:tcPr>
            <w:tcW w:w="6933" w:type="dxa"/>
            <w:gridSpan w:val="2"/>
            <w:tcBorders>
              <w:top w:val="nil"/>
              <w:bottom w:val="dotted" w:sz="4" w:space="0" w:color="auto"/>
            </w:tcBorders>
            <w:hideMark/>
          </w:tcPr>
          <w:p w14:paraId="43E11998" w14:textId="7F50C80A" w:rsidR="009A4111" w:rsidRPr="00972346" w:rsidRDefault="00C70F23" w:rsidP="005B7E25">
            <w:pPr>
              <w:pStyle w:val="ExhibitText"/>
              <w:jc w:val="left"/>
              <w:rPr>
                <w:sz w:val="18"/>
                <w:szCs w:val="18"/>
              </w:rPr>
            </w:pPr>
            <w:r w:rsidRPr="00972346">
              <w:rPr>
                <w:sz w:val="18"/>
                <w:szCs w:val="18"/>
              </w:rPr>
              <w:t>Therefore</w:t>
            </w:r>
            <w:r w:rsidR="009A4111" w:rsidRPr="00972346">
              <w:rPr>
                <w:sz w:val="18"/>
                <w:szCs w:val="18"/>
              </w:rPr>
              <w:t>, providing nutritious food is imperative for improving quality of life</w:t>
            </w:r>
            <w:r w:rsidRPr="00972346">
              <w:rPr>
                <w:sz w:val="18"/>
                <w:szCs w:val="18"/>
              </w:rPr>
              <w:t>.</w:t>
            </w:r>
          </w:p>
        </w:tc>
      </w:tr>
      <w:tr w:rsidR="009A4111" w:rsidRPr="00972346" w14:paraId="15F88EE0" w14:textId="77777777" w:rsidTr="009D6F22">
        <w:trPr>
          <w:trHeight w:val="288"/>
        </w:trPr>
        <w:tc>
          <w:tcPr>
            <w:tcW w:w="2427" w:type="dxa"/>
            <w:vMerge w:val="restart"/>
            <w:tcBorders>
              <w:top w:val="dotted" w:sz="4" w:space="0" w:color="auto"/>
              <w:bottom w:val="dotted" w:sz="4" w:space="0" w:color="auto"/>
            </w:tcBorders>
            <w:hideMark/>
          </w:tcPr>
          <w:p w14:paraId="63D026D8" w14:textId="4CD67E84" w:rsidR="009A4111" w:rsidRPr="00972346" w:rsidRDefault="00C70F23" w:rsidP="005B7E25">
            <w:pPr>
              <w:pStyle w:val="ExhibitText"/>
              <w:jc w:val="left"/>
              <w:rPr>
                <w:sz w:val="18"/>
                <w:szCs w:val="18"/>
              </w:rPr>
            </w:pPr>
            <w:r w:rsidRPr="00972346">
              <w:rPr>
                <w:sz w:val="18"/>
                <w:szCs w:val="18"/>
              </w:rPr>
              <w:t>Lack of</w:t>
            </w:r>
            <w:r w:rsidR="009A4111" w:rsidRPr="00972346">
              <w:rPr>
                <w:sz w:val="18"/>
                <w:szCs w:val="18"/>
              </w:rPr>
              <w:t xml:space="preserve"> food choice in </w:t>
            </w:r>
            <w:r w:rsidR="006D67FE" w:rsidRPr="00972346">
              <w:rPr>
                <w:sz w:val="18"/>
                <w:szCs w:val="18"/>
              </w:rPr>
              <w:t>long-term care faciliti</w:t>
            </w:r>
            <w:r w:rsidR="009A4111" w:rsidRPr="00972346">
              <w:rPr>
                <w:sz w:val="18"/>
                <w:szCs w:val="18"/>
              </w:rPr>
              <w:t>es necessitates intervention</w:t>
            </w:r>
            <w:r w:rsidRPr="00972346">
              <w:rPr>
                <w:sz w:val="18"/>
                <w:szCs w:val="18"/>
              </w:rPr>
              <w:t>.</w:t>
            </w:r>
          </w:p>
        </w:tc>
        <w:tc>
          <w:tcPr>
            <w:tcW w:w="6933" w:type="dxa"/>
            <w:gridSpan w:val="2"/>
            <w:tcBorders>
              <w:top w:val="dotted" w:sz="4" w:space="0" w:color="auto"/>
              <w:bottom w:val="nil"/>
            </w:tcBorders>
            <w:hideMark/>
          </w:tcPr>
          <w:p w14:paraId="436F0AA7" w14:textId="37526350" w:rsidR="009A4111" w:rsidRPr="00972346" w:rsidRDefault="009A4111" w:rsidP="00CA1C6A">
            <w:pPr>
              <w:pStyle w:val="ExhibitText"/>
              <w:numPr>
                <w:ilvl w:val="0"/>
                <w:numId w:val="29"/>
              </w:numPr>
              <w:jc w:val="left"/>
              <w:rPr>
                <w:sz w:val="18"/>
                <w:szCs w:val="18"/>
              </w:rPr>
            </w:pPr>
            <w:r w:rsidRPr="00972346">
              <w:rPr>
                <w:sz w:val="18"/>
                <w:szCs w:val="18"/>
              </w:rPr>
              <w:t xml:space="preserve">Internationally, choice has been reported to be one of the primary reasons for improved food intake in </w:t>
            </w:r>
            <w:r w:rsidR="00C70F23" w:rsidRPr="00972346">
              <w:rPr>
                <w:sz w:val="18"/>
                <w:szCs w:val="18"/>
              </w:rPr>
              <w:t>residences</w:t>
            </w:r>
            <w:r w:rsidRPr="00972346">
              <w:rPr>
                <w:sz w:val="18"/>
                <w:szCs w:val="18"/>
              </w:rPr>
              <w:t xml:space="preserve">. </w:t>
            </w:r>
            <w:r w:rsidR="00C70F23" w:rsidRPr="00972346">
              <w:rPr>
                <w:sz w:val="18"/>
                <w:szCs w:val="18"/>
              </w:rPr>
              <w:t>L</w:t>
            </w:r>
            <w:r w:rsidRPr="00972346">
              <w:rPr>
                <w:sz w:val="18"/>
                <w:szCs w:val="18"/>
              </w:rPr>
              <w:t>evels of food</w:t>
            </w:r>
            <w:r w:rsidR="00C70F23" w:rsidRPr="00972346">
              <w:rPr>
                <w:sz w:val="18"/>
                <w:szCs w:val="18"/>
              </w:rPr>
              <w:t xml:space="preserve"> </w:t>
            </w:r>
            <w:r w:rsidRPr="00972346">
              <w:rPr>
                <w:sz w:val="18"/>
                <w:szCs w:val="18"/>
              </w:rPr>
              <w:t xml:space="preserve">service satisfaction </w:t>
            </w:r>
            <w:r w:rsidR="00C70F23" w:rsidRPr="00972346">
              <w:rPr>
                <w:sz w:val="18"/>
                <w:szCs w:val="18"/>
              </w:rPr>
              <w:t>increased by</w:t>
            </w:r>
            <w:r w:rsidRPr="00972346">
              <w:rPr>
                <w:sz w:val="18"/>
                <w:szCs w:val="18"/>
              </w:rPr>
              <w:t xml:space="preserve"> up to 30</w:t>
            </w:r>
            <w:r w:rsidR="00C70F23" w:rsidRPr="00972346">
              <w:rPr>
                <w:sz w:val="18"/>
                <w:szCs w:val="18"/>
              </w:rPr>
              <w:t xml:space="preserve"> per cent</w:t>
            </w:r>
            <w:r w:rsidRPr="00972346">
              <w:rPr>
                <w:sz w:val="18"/>
                <w:szCs w:val="18"/>
              </w:rPr>
              <w:t xml:space="preserve"> when residents ha</w:t>
            </w:r>
            <w:r w:rsidR="00C70F23" w:rsidRPr="00972346">
              <w:rPr>
                <w:sz w:val="18"/>
                <w:szCs w:val="18"/>
              </w:rPr>
              <w:t>d</w:t>
            </w:r>
            <w:r w:rsidRPr="00972346">
              <w:rPr>
                <w:sz w:val="18"/>
                <w:szCs w:val="18"/>
              </w:rPr>
              <w:t xml:space="preserve"> the power to choose from </w:t>
            </w:r>
            <w:r w:rsidR="00C70F23" w:rsidRPr="00972346">
              <w:rPr>
                <w:sz w:val="18"/>
                <w:szCs w:val="18"/>
              </w:rPr>
              <w:t>a</w:t>
            </w:r>
            <w:r w:rsidRPr="00972346">
              <w:rPr>
                <w:sz w:val="18"/>
                <w:szCs w:val="18"/>
              </w:rPr>
              <w:t xml:space="preserve"> menu.</w:t>
            </w:r>
          </w:p>
        </w:tc>
      </w:tr>
      <w:tr w:rsidR="009A4111" w:rsidRPr="00972346" w14:paraId="335309BF" w14:textId="77777777" w:rsidTr="009D6F22">
        <w:trPr>
          <w:trHeight w:val="288"/>
        </w:trPr>
        <w:tc>
          <w:tcPr>
            <w:tcW w:w="2427" w:type="dxa"/>
            <w:vMerge/>
            <w:tcBorders>
              <w:top w:val="dotted" w:sz="4" w:space="0" w:color="auto"/>
              <w:bottom w:val="dotted" w:sz="4" w:space="0" w:color="auto"/>
            </w:tcBorders>
            <w:hideMark/>
          </w:tcPr>
          <w:p w14:paraId="7B8DD18E" w14:textId="77777777" w:rsidR="009A4111" w:rsidRPr="00972346" w:rsidRDefault="009A4111" w:rsidP="005B7E25">
            <w:pPr>
              <w:pStyle w:val="ExhibitText"/>
              <w:jc w:val="left"/>
              <w:rPr>
                <w:sz w:val="18"/>
                <w:szCs w:val="18"/>
              </w:rPr>
            </w:pPr>
          </w:p>
        </w:tc>
        <w:tc>
          <w:tcPr>
            <w:tcW w:w="6933" w:type="dxa"/>
            <w:gridSpan w:val="2"/>
            <w:tcBorders>
              <w:top w:val="nil"/>
              <w:bottom w:val="nil"/>
            </w:tcBorders>
            <w:hideMark/>
          </w:tcPr>
          <w:p w14:paraId="0AAD3EE8" w14:textId="39711482" w:rsidR="009A4111" w:rsidRPr="00972346" w:rsidRDefault="009A4111" w:rsidP="00CA1C6A">
            <w:pPr>
              <w:pStyle w:val="ExhibitText"/>
              <w:numPr>
                <w:ilvl w:val="0"/>
                <w:numId w:val="29"/>
              </w:numPr>
              <w:jc w:val="left"/>
              <w:rPr>
                <w:sz w:val="18"/>
                <w:szCs w:val="18"/>
              </w:rPr>
            </w:pPr>
            <w:r w:rsidRPr="00972346">
              <w:rPr>
                <w:sz w:val="18"/>
                <w:szCs w:val="18"/>
              </w:rPr>
              <w:t xml:space="preserve">No food choice leads to inadequate food intake (refusing to eat) and consequently weight loss </w:t>
            </w:r>
            <w:r w:rsidR="00C70F23" w:rsidRPr="00972346">
              <w:rPr>
                <w:sz w:val="18"/>
                <w:szCs w:val="18"/>
              </w:rPr>
              <w:t>and</w:t>
            </w:r>
            <w:r w:rsidRPr="00972346">
              <w:rPr>
                <w:sz w:val="18"/>
                <w:szCs w:val="18"/>
              </w:rPr>
              <w:t xml:space="preserve"> suboptimal </w:t>
            </w:r>
            <w:r w:rsidR="00C70F23" w:rsidRPr="00972346">
              <w:rPr>
                <w:sz w:val="18"/>
                <w:szCs w:val="18"/>
              </w:rPr>
              <w:t>body mass index</w:t>
            </w:r>
            <w:r w:rsidRPr="00972346">
              <w:rPr>
                <w:sz w:val="18"/>
                <w:szCs w:val="18"/>
              </w:rPr>
              <w:t>, which is suggestive of malnutrition.</w:t>
            </w:r>
          </w:p>
        </w:tc>
      </w:tr>
      <w:tr w:rsidR="009A4111" w:rsidRPr="00972346" w14:paraId="7BA3E0D4" w14:textId="77777777" w:rsidTr="009D6F22">
        <w:trPr>
          <w:trHeight w:val="288"/>
        </w:trPr>
        <w:tc>
          <w:tcPr>
            <w:tcW w:w="2427" w:type="dxa"/>
            <w:vMerge/>
            <w:tcBorders>
              <w:top w:val="dotted" w:sz="4" w:space="0" w:color="auto"/>
              <w:bottom w:val="dotted" w:sz="4" w:space="0" w:color="auto"/>
            </w:tcBorders>
            <w:hideMark/>
          </w:tcPr>
          <w:p w14:paraId="13A9B876" w14:textId="77777777" w:rsidR="009A4111" w:rsidRPr="00972346" w:rsidRDefault="009A4111" w:rsidP="005B7E25">
            <w:pPr>
              <w:pStyle w:val="ExhibitText"/>
              <w:jc w:val="left"/>
              <w:rPr>
                <w:sz w:val="18"/>
                <w:szCs w:val="18"/>
              </w:rPr>
            </w:pPr>
          </w:p>
        </w:tc>
        <w:tc>
          <w:tcPr>
            <w:tcW w:w="6933" w:type="dxa"/>
            <w:gridSpan w:val="2"/>
            <w:tcBorders>
              <w:top w:val="nil"/>
              <w:bottom w:val="nil"/>
            </w:tcBorders>
            <w:hideMark/>
          </w:tcPr>
          <w:p w14:paraId="711632B3" w14:textId="386E6C0F" w:rsidR="009A4111" w:rsidRPr="00972346" w:rsidRDefault="009A4111" w:rsidP="00CA1C6A">
            <w:pPr>
              <w:pStyle w:val="ExhibitText"/>
              <w:numPr>
                <w:ilvl w:val="0"/>
                <w:numId w:val="29"/>
              </w:numPr>
              <w:jc w:val="left"/>
              <w:rPr>
                <w:sz w:val="18"/>
                <w:szCs w:val="18"/>
              </w:rPr>
            </w:pPr>
            <w:r w:rsidRPr="00972346">
              <w:rPr>
                <w:sz w:val="18"/>
                <w:szCs w:val="18"/>
              </w:rPr>
              <w:t>Providing a range of food choices is key to providing adequate nutrition (e.g.</w:t>
            </w:r>
            <w:r w:rsidR="00C70F23" w:rsidRPr="00972346">
              <w:rPr>
                <w:sz w:val="18"/>
                <w:szCs w:val="18"/>
              </w:rPr>
              <w:t>,</w:t>
            </w:r>
            <w:r w:rsidRPr="00972346">
              <w:rPr>
                <w:sz w:val="18"/>
                <w:szCs w:val="18"/>
              </w:rPr>
              <w:t xml:space="preserve"> balance of carb</w:t>
            </w:r>
            <w:r w:rsidR="00C70F23" w:rsidRPr="00972346">
              <w:rPr>
                <w:sz w:val="18"/>
                <w:szCs w:val="18"/>
              </w:rPr>
              <w:t>ohydrate</w:t>
            </w:r>
            <w:r w:rsidRPr="00972346">
              <w:rPr>
                <w:sz w:val="18"/>
                <w:szCs w:val="18"/>
              </w:rPr>
              <w:t>s</w:t>
            </w:r>
            <w:r w:rsidR="00C70F23" w:rsidRPr="00972346">
              <w:rPr>
                <w:sz w:val="18"/>
                <w:szCs w:val="18"/>
              </w:rPr>
              <w:t xml:space="preserve"> and</w:t>
            </w:r>
            <w:r w:rsidRPr="00972346">
              <w:rPr>
                <w:sz w:val="18"/>
                <w:szCs w:val="18"/>
              </w:rPr>
              <w:t xml:space="preserve"> proteins).</w:t>
            </w:r>
          </w:p>
        </w:tc>
      </w:tr>
      <w:tr w:rsidR="009A4111" w:rsidRPr="00972346" w14:paraId="77E068C6" w14:textId="77777777" w:rsidTr="009D6F22">
        <w:trPr>
          <w:trHeight w:val="288"/>
        </w:trPr>
        <w:tc>
          <w:tcPr>
            <w:tcW w:w="2427" w:type="dxa"/>
            <w:vMerge/>
            <w:tcBorders>
              <w:top w:val="dotted" w:sz="4" w:space="0" w:color="auto"/>
              <w:bottom w:val="dotted" w:sz="4" w:space="0" w:color="auto"/>
            </w:tcBorders>
            <w:hideMark/>
          </w:tcPr>
          <w:p w14:paraId="58F5231E" w14:textId="77777777" w:rsidR="009A4111" w:rsidRPr="00972346" w:rsidRDefault="009A4111" w:rsidP="005B7E25">
            <w:pPr>
              <w:pStyle w:val="ExhibitText"/>
              <w:jc w:val="left"/>
              <w:rPr>
                <w:sz w:val="18"/>
                <w:szCs w:val="18"/>
              </w:rPr>
            </w:pPr>
          </w:p>
        </w:tc>
        <w:tc>
          <w:tcPr>
            <w:tcW w:w="6933" w:type="dxa"/>
            <w:gridSpan w:val="2"/>
            <w:tcBorders>
              <w:top w:val="nil"/>
              <w:bottom w:val="nil"/>
            </w:tcBorders>
            <w:hideMark/>
          </w:tcPr>
          <w:p w14:paraId="4F512AB6" w14:textId="0D0F7813" w:rsidR="009A4111" w:rsidRPr="00972346" w:rsidRDefault="009A4111" w:rsidP="00CA1C6A">
            <w:pPr>
              <w:pStyle w:val="ExhibitText"/>
              <w:numPr>
                <w:ilvl w:val="0"/>
                <w:numId w:val="29"/>
              </w:numPr>
              <w:jc w:val="left"/>
              <w:rPr>
                <w:sz w:val="18"/>
                <w:szCs w:val="18"/>
              </w:rPr>
            </w:pPr>
            <w:r w:rsidRPr="00972346">
              <w:rPr>
                <w:sz w:val="18"/>
                <w:szCs w:val="18"/>
              </w:rPr>
              <w:t>Residents who complained about food (e.g.</w:t>
            </w:r>
            <w:r w:rsidR="00B73624" w:rsidRPr="00972346">
              <w:rPr>
                <w:sz w:val="18"/>
                <w:szCs w:val="18"/>
              </w:rPr>
              <w:t>,</w:t>
            </w:r>
            <w:r w:rsidRPr="00972346">
              <w:rPr>
                <w:sz w:val="18"/>
                <w:szCs w:val="18"/>
              </w:rPr>
              <w:t xml:space="preserve"> </w:t>
            </w:r>
            <w:r w:rsidR="00B73624" w:rsidRPr="00972346">
              <w:rPr>
                <w:sz w:val="18"/>
                <w:szCs w:val="18"/>
              </w:rPr>
              <w:t>un</w:t>
            </w:r>
            <w:r w:rsidRPr="00972346">
              <w:rPr>
                <w:sz w:val="18"/>
                <w:szCs w:val="18"/>
              </w:rPr>
              <w:t>lik</w:t>
            </w:r>
            <w:r w:rsidR="00B73624" w:rsidRPr="00972346">
              <w:rPr>
                <w:sz w:val="18"/>
                <w:szCs w:val="18"/>
              </w:rPr>
              <w:t>able</w:t>
            </w:r>
            <w:r w:rsidRPr="00972346">
              <w:rPr>
                <w:sz w:val="18"/>
                <w:szCs w:val="18"/>
              </w:rPr>
              <w:t xml:space="preserve">, no variety, </w:t>
            </w:r>
            <w:r w:rsidR="00B73624" w:rsidRPr="00972346">
              <w:rPr>
                <w:sz w:val="18"/>
                <w:szCs w:val="18"/>
              </w:rPr>
              <w:t>un</w:t>
            </w:r>
            <w:r w:rsidRPr="00972346">
              <w:rPr>
                <w:sz w:val="18"/>
                <w:szCs w:val="18"/>
              </w:rPr>
              <w:t>appeti</w:t>
            </w:r>
            <w:r w:rsidR="003D08D7" w:rsidRPr="00972346">
              <w:rPr>
                <w:sz w:val="18"/>
                <w:szCs w:val="18"/>
              </w:rPr>
              <w:t>z</w:t>
            </w:r>
            <w:r w:rsidRPr="00972346">
              <w:rPr>
                <w:sz w:val="18"/>
                <w:szCs w:val="18"/>
              </w:rPr>
              <w:t xml:space="preserve">ing) </w:t>
            </w:r>
            <w:r w:rsidR="00B73624" w:rsidRPr="00972346">
              <w:rPr>
                <w:sz w:val="18"/>
                <w:szCs w:val="18"/>
              </w:rPr>
              <w:t>s</w:t>
            </w:r>
            <w:r w:rsidRPr="00972346">
              <w:rPr>
                <w:sz w:val="18"/>
                <w:szCs w:val="18"/>
              </w:rPr>
              <w:t>h</w:t>
            </w:r>
            <w:r w:rsidR="00B73624" w:rsidRPr="00972346">
              <w:rPr>
                <w:sz w:val="18"/>
                <w:szCs w:val="18"/>
              </w:rPr>
              <w:t>owe</w:t>
            </w:r>
            <w:r w:rsidRPr="00972346">
              <w:rPr>
                <w:sz w:val="18"/>
                <w:szCs w:val="18"/>
              </w:rPr>
              <w:t xml:space="preserve">d more symptoms of depression and lower food </w:t>
            </w:r>
            <w:r w:rsidR="00B73624" w:rsidRPr="00972346">
              <w:rPr>
                <w:sz w:val="18"/>
                <w:szCs w:val="18"/>
              </w:rPr>
              <w:t>and</w:t>
            </w:r>
            <w:r w:rsidRPr="00972346">
              <w:rPr>
                <w:sz w:val="18"/>
                <w:szCs w:val="18"/>
              </w:rPr>
              <w:t xml:space="preserve"> fluid intake. Depression is correlated with poor food intake </w:t>
            </w:r>
            <w:r w:rsidR="00B73624" w:rsidRPr="00972346">
              <w:rPr>
                <w:sz w:val="18"/>
                <w:szCs w:val="18"/>
              </w:rPr>
              <w:t>and</w:t>
            </w:r>
            <w:r w:rsidRPr="00972346">
              <w:rPr>
                <w:sz w:val="18"/>
                <w:szCs w:val="18"/>
              </w:rPr>
              <w:t xml:space="preserve"> weight loss, thus lowering quality of life.</w:t>
            </w:r>
          </w:p>
        </w:tc>
      </w:tr>
      <w:tr w:rsidR="009A4111" w:rsidRPr="00972346" w14:paraId="5F28EFC8" w14:textId="77777777" w:rsidTr="009D6F22">
        <w:trPr>
          <w:trHeight w:val="288"/>
        </w:trPr>
        <w:tc>
          <w:tcPr>
            <w:tcW w:w="2427" w:type="dxa"/>
            <w:vMerge/>
            <w:tcBorders>
              <w:top w:val="dotted" w:sz="4" w:space="0" w:color="auto"/>
              <w:bottom w:val="single" w:sz="4" w:space="0" w:color="auto"/>
            </w:tcBorders>
            <w:hideMark/>
          </w:tcPr>
          <w:p w14:paraId="772059E7" w14:textId="77777777" w:rsidR="009A4111" w:rsidRPr="00972346" w:rsidRDefault="009A4111" w:rsidP="005B7E25">
            <w:pPr>
              <w:pStyle w:val="ExhibitText"/>
              <w:jc w:val="left"/>
              <w:rPr>
                <w:sz w:val="18"/>
                <w:szCs w:val="18"/>
              </w:rPr>
            </w:pPr>
          </w:p>
        </w:tc>
        <w:tc>
          <w:tcPr>
            <w:tcW w:w="6933" w:type="dxa"/>
            <w:gridSpan w:val="2"/>
            <w:tcBorders>
              <w:top w:val="nil"/>
              <w:bottom w:val="single" w:sz="4" w:space="0" w:color="auto"/>
            </w:tcBorders>
            <w:hideMark/>
          </w:tcPr>
          <w:p w14:paraId="2F25FB5D" w14:textId="34FE8F1A" w:rsidR="009A4111" w:rsidRPr="00972346" w:rsidRDefault="00B73624" w:rsidP="005B7E25">
            <w:pPr>
              <w:pStyle w:val="ExhibitText"/>
              <w:jc w:val="left"/>
              <w:rPr>
                <w:sz w:val="18"/>
                <w:szCs w:val="18"/>
              </w:rPr>
            </w:pPr>
            <w:r w:rsidRPr="00972346">
              <w:rPr>
                <w:sz w:val="18"/>
                <w:szCs w:val="18"/>
              </w:rPr>
              <w:t>Therefore</w:t>
            </w:r>
            <w:r w:rsidR="009A4111" w:rsidRPr="00972346">
              <w:rPr>
                <w:sz w:val="18"/>
                <w:szCs w:val="18"/>
              </w:rPr>
              <w:t>, providing variety is imperative for improving quality of life</w:t>
            </w:r>
            <w:r w:rsidRPr="00972346">
              <w:rPr>
                <w:sz w:val="18"/>
                <w:szCs w:val="18"/>
              </w:rPr>
              <w:t>.</w:t>
            </w:r>
          </w:p>
        </w:tc>
      </w:tr>
    </w:tbl>
    <w:p w14:paraId="66D2E45D" w14:textId="19E9B6D5" w:rsidR="009A4111" w:rsidRPr="00C70F23" w:rsidRDefault="009A4111" w:rsidP="009A4111">
      <w:pPr>
        <w:pStyle w:val="ExhibitText"/>
        <w:rPr>
          <w:rFonts w:eastAsia="DengXian"/>
        </w:rPr>
      </w:pPr>
    </w:p>
    <w:p w14:paraId="6020335A" w14:textId="5282E0AD" w:rsidR="00813AC0" w:rsidRPr="00C70F23" w:rsidRDefault="009A4111" w:rsidP="00E36C56">
      <w:pPr>
        <w:pStyle w:val="Footnote"/>
        <w:rPr>
          <w:rFonts w:eastAsia="DengXian"/>
        </w:rPr>
        <w:sectPr w:rsidR="00813AC0" w:rsidRPr="00C70F23" w:rsidSect="00751E0B">
          <w:headerReference w:type="default" r:id="rId10"/>
          <w:footnotePr>
            <w:numFmt w:val="chicago"/>
            <w:numRestart w:val="eachPage"/>
          </w:footnotePr>
          <w:endnotePr>
            <w:numFmt w:val="decimal"/>
          </w:endnotePr>
          <w:pgSz w:w="12240" w:h="15840" w:code="1"/>
          <w:pgMar w:top="1080" w:right="1440" w:bottom="1440" w:left="1440" w:header="1080" w:footer="720" w:gutter="0"/>
          <w:cols w:space="720"/>
          <w:titlePg/>
          <w:docGrid w:linePitch="360"/>
        </w:sectPr>
      </w:pPr>
      <w:r w:rsidRPr="00A001AB">
        <w:rPr>
          <w:rFonts w:eastAsia="DengXian"/>
        </w:rPr>
        <w:t>Source:</w:t>
      </w:r>
      <w:r w:rsidRPr="00A001AB">
        <w:rPr>
          <w:rFonts w:eastAsia="Arial"/>
        </w:rPr>
        <w:t xml:space="preserve"> </w:t>
      </w:r>
      <w:r w:rsidR="00B73624" w:rsidRPr="00A001AB">
        <w:rPr>
          <w:rFonts w:eastAsia="Arial"/>
        </w:rPr>
        <w:t>Prepar</w:t>
      </w:r>
      <w:r w:rsidRPr="00A001AB">
        <w:rPr>
          <w:rFonts w:eastAsia="Arial"/>
        </w:rPr>
        <w:t>ed by the case authors</w:t>
      </w:r>
      <w:r w:rsidR="00C93DAC" w:rsidRPr="00A001AB">
        <w:rPr>
          <w:rFonts w:eastAsia="Arial"/>
        </w:rPr>
        <w:t xml:space="preserve"> </w:t>
      </w:r>
      <w:r w:rsidR="00B73624" w:rsidRPr="00A001AB">
        <w:rPr>
          <w:rFonts w:eastAsia="Arial"/>
        </w:rPr>
        <w:t xml:space="preserve">with information </w:t>
      </w:r>
      <w:r w:rsidR="00C93DAC" w:rsidRPr="00A001AB">
        <w:rPr>
          <w:rFonts w:eastAsia="Arial"/>
        </w:rPr>
        <w:t>from</w:t>
      </w:r>
      <w:r w:rsidRPr="00A001AB">
        <w:rPr>
          <w:rFonts w:eastAsia="Arial"/>
        </w:rPr>
        <w:t xml:space="preserve"> </w:t>
      </w:r>
      <w:r w:rsidR="00B73624" w:rsidRPr="00A001AB">
        <w:rPr>
          <w:rFonts w:eastAsia="Arial"/>
        </w:rPr>
        <w:t>“</w:t>
      </w:r>
      <w:r w:rsidRPr="00A001AB">
        <w:rPr>
          <w:rFonts w:eastAsia="DengXian"/>
        </w:rPr>
        <w:t>Factshe</w:t>
      </w:r>
      <w:r w:rsidR="00C93DAC" w:rsidRPr="00A001AB">
        <w:rPr>
          <w:rFonts w:eastAsia="DengXian"/>
        </w:rPr>
        <w:t>et</w:t>
      </w:r>
      <w:r w:rsidR="00B73624" w:rsidRPr="00A001AB">
        <w:rPr>
          <w:rFonts w:eastAsia="DengXian"/>
        </w:rPr>
        <w:t>,” Agency for Integrated Care,</w:t>
      </w:r>
      <w:r w:rsidR="00C93DAC" w:rsidRPr="00A001AB">
        <w:rPr>
          <w:rFonts w:eastAsia="DengXian"/>
        </w:rPr>
        <w:t xml:space="preserve"> November 18</w:t>
      </w:r>
      <w:r w:rsidR="00B73624" w:rsidRPr="00A001AB">
        <w:rPr>
          <w:rFonts w:eastAsia="DengXian"/>
        </w:rPr>
        <w:t>, 2016, a</w:t>
      </w:r>
      <w:r w:rsidR="009E5642" w:rsidRPr="00A001AB">
        <w:rPr>
          <w:rFonts w:eastAsia="DengXian"/>
        </w:rPr>
        <w:t>ccessed</w:t>
      </w:r>
      <w:r w:rsidR="005D4A06" w:rsidRPr="00A001AB">
        <w:rPr>
          <w:rFonts w:eastAsia="DengXian"/>
        </w:rPr>
        <w:t xml:space="preserve"> </w:t>
      </w:r>
      <w:r w:rsidRPr="00A001AB">
        <w:rPr>
          <w:rFonts w:eastAsia="DengXian"/>
        </w:rPr>
        <w:t>August</w:t>
      </w:r>
      <w:r w:rsidR="005D4A06" w:rsidRPr="00A001AB">
        <w:rPr>
          <w:rFonts w:eastAsia="DengXian"/>
        </w:rPr>
        <w:t xml:space="preserve"> </w:t>
      </w:r>
      <w:r w:rsidRPr="00A001AB">
        <w:rPr>
          <w:rFonts w:eastAsia="DengXian"/>
        </w:rPr>
        <w:t>30,</w:t>
      </w:r>
      <w:r w:rsidR="005D4A06" w:rsidRPr="00A001AB">
        <w:rPr>
          <w:rFonts w:eastAsia="DengXian"/>
        </w:rPr>
        <w:t xml:space="preserve"> </w:t>
      </w:r>
      <w:r w:rsidRPr="00A001AB">
        <w:rPr>
          <w:rFonts w:eastAsia="DengXian"/>
        </w:rPr>
        <w:t>2018</w:t>
      </w:r>
      <w:r w:rsidR="00B73624" w:rsidRPr="00A001AB">
        <w:rPr>
          <w:rFonts w:eastAsia="DengXian"/>
        </w:rPr>
        <w:t>,</w:t>
      </w:r>
      <w:r w:rsidR="005D4A06" w:rsidRPr="00A001AB">
        <w:rPr>
          <w:rFonts w:eastAsia="DengXian"/>
        </w:rPr>
        <w:t xml:space="preserve"> </w:t>
      </w:r>
      <w:r w:rsidRPr="00A001AB">
        <w:rPr>
          <w:rFonts w:eastAsia="DengXian"/>
        </w:rPr>
        <w:t xml:space="preserve">www.aic.sg/sites/aicassets/AssetGallery/Factsheets/Factsheet%20-%20ILTC%20Nutrition%20Movement%202016.pdf; </w:t>
      </w:r>
      <w:r w:rsidR="00B73624" w:rsidRPr="00A001AB">
        <w:rPr>
          <w:rFonts w:eastAsia="DengXian"/>
        </w:rPr>
        <w:t>M</w:t>
      </w:r>
      <w:r w:rsidR="002B03C5" w:rsidRPr="00A001AB">
        <w:rPr>
          <w:rFonts w:eastAsia="DengXian"/>
        </w:rPr>
        <w:t>ary-Ann</w:t>
      </w:r>
      <w:r w:rsidR="00B73624" w:rsidRPr="00A001AB">
        <w:rPr>
          <w:rFonts w:eastAsia="DengXian"/>
        </w:rPr>
        <w:t xml:space="preserve"> </w:t>
      </w:r>
      <w:proofErr w:type="spellStart"/>
      <w:r w:rsidRPr="00A001AB">
        <w:rPr>
          <w:rFonts w:eastAsia="DengXian"/>
        </w:rPr>
        <w:t>Chiam</w:t>
      </w:r>
      <w:proofErr w:type="spellEnd"/>
      <w:r w:rsidRPr="00A001AB">
        <w:rPr>
          <w:rFonts w:eastAsia="DengXian"/>
        </w:rPr>
        <w:t xml:space="preserve">, </w:t>
      </w:r>
      <w:r w:rsidR="00B73624" w:rsidRPr="00A001AB">
        <w:rPr>
          <w:rFonts w:eastAsia="DengXian"/>
        </w:rPr>
        <w:t>“</w:t>
      </w:r>
      <w:r w:rsidRPr="00A001AB">
        <w:rPr>
          <w:rFonts w:eastAsia="DengXian"/>
        </w:rPr>
        <w:t xml:space="preserve">Malnutrition in the </w:t>
      </w:r>
      <w:r w:rsidR="00B73624" w:rsidRPr="00A001AB">
        <w:rPr>
          <w:rFonts w:eastAsia="DengXian"/>
        </w:rPr>
        <w:t>E</w:t>
      </w:r>
      <w:r w:rsidRPr="00A001AB">
        <w:rPr>
          <w:rFonts w:eastAsia="DengXian"/>
        </w:rPr>
        <w:t>lderly</w:t>
      </w:r>
      <w:r w:rsidR="00B73624" w:rsidRPr="00A001AB">
        <w:rPr>
          <w:rFonts w:eastAsia="DengXian"/>
        </w:rPr>
        <w:t>,”</w:t>
      </w:r>
      <w:r w:rsidRPr="00A001AB">
        <w:rPr>
          <w:rFonts w:eastAsia="DengXian"/>
        </w:rPr>
        <w:t xml:space="preserve"> </w:t>
      </w:r>
      <w:r w:rsidRPr="00E36C56">
        <w:rPr>
          <w:rFonts w:eastAsia="DengXian"/>
          <w:i/>
          <w:spacing w:val="-4"/>
        </w:rPr>
        <w:t>Singapore Family Physician</w:t>
      </w:r>
      <w:r w:rsidRPr="00A001AB">
        <w:rPr>
          <w:rFonts w:eastAsia="DengXian"/>
        </w:rPr>
        <w:t xml:space="preserve"> 34</w:t>
      </w:r>
      <w:r w:rsidR="00B73624" w:rsidRPr="00A001AB">
        <w:rPr>
          <w:rFonts w:eastAsia="DengXian"/>
        </w:rPr>
        <w:t>, n</w:t>
      </w:r>
      <w:r w:rsidRPr="00A001AB">
        <w:rPr>
          <w:rFonts w:eastAsia="DengXian"/>
        </w:rPr>
        <w:t>o</w:t>
      </w:r>
      <w:r w:rsidR="00B73624" w:rsidRPr="00A001AB">
        <w:rPr>
          <w:rFonts w:eastAsia="DengXian"/>
        </w:rPr>
        <w:t>.</w:t>
      </w:r>
      <w:r w:rsidRPr="00A001AB">
        <w:rPr>
          <w:rFonts w:eastAsia="DengXian"/>
        </w:rPr>
        <w:t xml:space="preserve"> 4 </w:t>
      </w:r>
      <w:r w:rsidR="00B73624" w:rsidRPr="00A001AB">
        <w:rPr>
          <w:rFonts w:eastAsia="DengXian"/>
        </w:rPr>
        <w:t>(</w:t>
      </w:r>
      <w:r w:rsidRPr="00A001AB">
        <w:rPr>
          <w:rFonts w:eastAsia="DengXian"/>
        </w:rPr>
        <w:t>November 1</w:t>
      </w:r>
      <w:r w:rsidR="00B73624" w:rsidRPr="00A001AB">
        <w:rPr>
          <w:rFonts w:eastAsia="DengXian"/>
        </w:rPr>
        <w:t>, 2008)</w:t>
      </w:r>
      <w:r w:rsidRPr="00A001AB">
        <w:rPr>
          <w:rFonts w:eastAsia="DengXian"/>
        </w:rPr>
        <w:t>: 50</w:t>
      </w:r>
      <w:r w:rsidR="00B73624" w:rsidRPr="00A001AB">
        <w:rPr>
          <w:rFonts w:eastAsia="DengXian"/>
        </w:rPr>
        <w:t>–</w:t>
      </w:r>
      <w:r w:rsidRPr="00A001AB">
        <w:rPr>
          <w:rFonts w:eastAsia="DengXian"/>
        </w:rPr>
        <w:t xml:space="preserve">54; </w:t>
      </w:r>
      <w:proofErr w:type="spellStart"/>
      <w:r w:rsidR="00B73624" w:rsidRPr="00A001AB">
        <w:rPr>
          <w:rFonts w:eastAsia="DengXian"/>
        </w:rPr>
        <w:t>C</w:t>
      </w:r>
      <w:r w:rsidR="002B03C5" w:rsidRPr="00A001AB">
        <w:rPr>
          <w:rFonts w:eastAsia="DengXian"/>
        </w:rPr>
        <w:t>hian</w:t>
      </w:r>
      <w:proofErr w:type="spellEnd"/>
      <w:r w:rsidR="002B03C5" w:rsidRPr="00A001AB">
        <w:rPr>
          <w:rFonts w:eastAsia="DengXian"/>
        </w:rPr>
        <w:t xml:space="preserve"> </w:t>
      </w:r>
      <w:r w:rsidR="00B73624" w:rsidRPr="00A001AB">
        <w:rPr>
          <w:rFonts w:eastAsia="DengXian"/>
        </w:rPr>
        <w:t>H</w:t>
      </w:r>
      <w:r w:rsidR="002B03C5" w:rsidRPr="00A001AB">
        <w:rPr>
          <w:rFonts w:eastAsia="DengXian"/>
        </w:rPr>
        <w:t>ui</w:t>
      </w:r>
      <w:r w:rsidR="00B73624" w:rsidRPr="00A001AB">
        <w:rPr>
          <w:rFonts w:eastAsia="DengXian"/>
        </w:rPr>
        <w:t xml:space="preserve"> </w:t>
      </w:r>
      <w:r w:rsidRPr="00A001AB">
        <w:rPr>
          <w:rFonts w:eastAsia="DengXian"/>
        </w:rPr>
        <w:t xml:space="preserve">Poon, </w:t>
      </w:r>
      <w:r w:rsidR="00B73624" w:rsidRPr="00A001AB">
        <w:rPr>
          <w:rFonts w:eastAsia="DengXian"/>
        </w:rPr>
        <w:t>“</w:t>
      </w:r>
      <w:r w:rsidRPr="00A001AB">
        <w:rPr>
          <w:rFonts w:eastAsia="DengXian"/>
        </w:rPr>
        <w:t xml:space="preserve">Hawker </w:t>
      </w:r>
      <w:r w:rsidR="00B73624" w:rsidRPr="00A001AB">
        <w:rPr>
          <w:rFonts w:eastAsia="DengXian"/>
        </w:rPr>
        <w:t>F</w:t>
      </w:r>
      <w:r w:rsidRPr="00A001AB">
        <w:rPr>
          <w:rFonts w:eastAsia="DengXian"/>
        </w:rPr>
        <w:t xml:space="preserve">ood a </w:t>
      </w:r>
      <w:r w:rsidR="00B73624" w:rsidRPr="00A001AB">
        <w:rPr>
          <w:rFonts w:eastAsia="DengXian"/>
        </w:rPr>
        <w:t>H</w:t>
      </w:r>
      <w:r w:rsidRPr="00A001AB">
        <w:rPr>
          <w:rFonts w:eastAsia="DengXian"/>
        </w:rPr>
        <w:t xml:space="preserve">it with </w:t>
      </w:r>
      <w:r w:rsidR="00B73624" w:rsidRPr="00A001AB">
        <w:rPr>
          <w:rFonts w:eastAsia="DengXian"/>
        </w:rPr>
        <w:t>N</w:t>
      </w:r>
      <w:r w:rsidRPr="00A001AB">
        <w:rPr>
          <w:rFonts w:eastAsia="DengXian"/>
        </w:rPr>
        <w:t xml:space="preserve">ursing </w:t>
      </w:r>
      <w:r w:rsidR="00B73624" w:rsidRPr="00A001AB">
        <w:rPr>
          <w:rFonts w:eastAsia="DengXian"/>
        </w:rPr>
        <w:t>H</w:t>
      </w:r>
      <w:r w:rsidRPr="00A001AB">
        <w:rPr>
          <w:rFonts w:eastAsia="DengXian"/>
        </w:rPr>
        <w:t xml:space="preserve">ome </w:t>
      </w:r>
      <w:r w:rsidR="00B73624" w:rsidRPr="00A001AB">
        <w:rPr>
          <w:rFonts w:eastAsia="DengXian"/>
        </w:rPr>
        <w:t>R</w:t>
      </w:r>
      <w:r w:rsidRPr="00A001AB">
        <w:rPr>
          <w:rFonts w:eastAsia="DengXian"/>
        </w:rPr>
        <w:t>esidents</w:t>
      </w:r>
      <w:r w:rsidR="00B73624" w:rsidRPr="00A001AB">
        <w:rPr>
          <w:rFonts w:eastAsia="DengXian"/>
        </w:rPr>
        <w:t>,”</w:t>
      </w:r>
      <w:r w:rsidRPr="00A001AB">
        <w:rPr>
          <w:rFonts w:eastAsia="DengXian"/>
        </w:rPr>
        <w:t xml:space="preserve"> </w:t>
      </w:r>
      <w:r w:rsidRPr="00E36C56">
        <w:rPr>
          <w:rFonts w:eastAsia="DengXian"/>
          <w:i/>
          <w:spacing w:val="-4"/>
        </w:rPr>
        <w:t>Straits Times</w:t>
      </w:r>
      <w:r w:rsidRPr="00A001AB">
        <w:rPr>
          <w:rFonts w:eastAsia="DengXian"/>
        </w:rPr>
        <w:t>, January 2</w:t>
      </w:r>
      <w:r w:rsidR="00B73624" w:rsidRPr="00A001AB">
        <w:rPr>
          <w:rFonts w:eastAsia="DengXian"/>
        </w:rPr>
        <w:t>, 2018</w:t>
      </w:r>
      <w:r w:rsidR="002B03C5" w:rsidRPr="001F6B2C">
        <w:rPr>
          <w:lang w:eastAsia="en-GB"/>
        </w:rPr>
        <w:t xml:space="preserve">, </w:t>
      </w:r>
      <w:r w:rsidR="002B03C5">
        <w:t xml:space="preserve">accessed May 13, 2019, </w:t>
      </w:r>
      <w:r w:rsidR="002B03C5" w:rsidRPr="001F6B2C">
        <w:rPr>
          <w:lang w:eastAsia="en-GB"/>
        </w:rPr>
        <w:t>www.straitstimes.com/singapore/health/hawker-food-a-hit-with-nursing-home-residents</w:t>
      </w:r>
      <w:r w:rsidRPr="00A001AB">
        <w:rPr>
          <w:rFonts w:eastAsia="DengXian"/>
        </w:rPr>
        <w:t xml:space="preserve">; </w:t>
      </w:r>
      <w:r w:rsidR="00B73624" w:rsidRPr="00A001AB">
        <w:rPr>
          <w:rFonts w:eastAsia="DengXian"/>
        </w:rPr>
        <w:t xml:space="preserve">Pei Wang, Philip Yap, Gerald </w:t>
      </w:r>
      <w:proofErr w:type="spellStart"/>
      <w:r w:rsidR="00B73624" w:rsidRPr="00A001AB">
        <w:rPr>
          <w:rFonts w:eastAsia="DengXian"/>
        </w:rPr>
        <w:t>Koh</w:t>
      </w:r>
      <w:proofErr w:type="spellEnd"/>
      <w:r w:rsidR="00B73624" w:rsidRPr="00A001AB">
        <w:rPr>
          <w:rFonts w:eastAsia="DengXian"/>
        </w:rPr>
        <w:t xml:space="preserve">, </w:t>
      </w:r>
      <w:proofErr w:type="spellStart"/>
      <w:r w:rsidR="00B73624" w:rsidRPr="00A001AB">
        <w:rPr>
          <w:rFonts w:eastAsia="DengXian"/>
        </w:rPr>
        <w:t>Jia</w:t>
      </w:r>
      <w:proofErr w:type="spellEnd"/>
      <w:r w:rsidR="00B73624" w:rsidRPr="00A001AB">
        <w:rPr>
          <w:rFonts w:eastAsia="DengXian"/>
        </w:rPr>
        <w:t xml:space="preserve"> An Chong, Lucy Jennifer Davies, </w:t>
      </w:r>
      <w:proofErr w:type="spellStart"/>
      <w:r w:rsidR="00B73624" w:rsidRPr="00A001AB">
        <w:rPr>
          <w:rFonts w:eastAsia="DengXian"/>
        </w:rPr>
        <w:t>Mayank</w:t>
      </w:r>
      <w:proofErr w:type="spellEnd"/>
      <w:r w:rsidR="00B73624" w:rsidRPr="00A001AB">
        <w:rPr>
          <w:rFonts w:eastAsia="DengXian"/>
        </w:rPr>
        <w:t xml:space="preserve"> </w:t>
      </w:r>
      <w:proofErr w:type="spellStart"/>
      <w:r w:rsidR="00B73624" w:rsidRPr="00A001AB">
        <w:rPr>
          <w:rFonts w:eastAsia="DengXian"/>
        </w:rPr>
        <w:t>Dalakoti</w:t>
      </w:r>
      <w:proofErr w:type="spellEnd"/>
      <w:r w:rsidR="00B73624" w:rsidRPr="00A001AB">
        <w:rPr>
          <w:rFonts w:eastAsia="DengXian"/>
        </w:rPr>
        <w:t xml:space="preserve">, </w:t>
      </w:r>
      <w:proofErr w:type="spellStart"/>
      <w:r w:rsidR="00B73624" w:rsidRPr="00A001AB">
        <w:rPr>
          <w:rFonts w:eastAsia="DengXian"/>
        </w:rPr>
        <w:t>Ngan</w:t>
      </w:r>
      <w:proofErr w:type="spellEnd"/>
      <w:r w:rsidR="00B73624" w:rsidRPr="00A001AB">
        <w:rPr>
          <w:rFonts w:eastAsia="DengXian"/>
        </w:rPr>
        <w:t xml:space="preserve"> </w:t>
      </w:r>
      <w:proofErr w:type="spellStart"/>
      <w:r w:rsidR="00B73624" w:rsidRPr="00A001AB">
        <w:rPr>
          <w:rFonts w:eastAsia="DengXian"/>
        </w:rPr>
        <w:t>Phoon</w:t>
      </w:r>
      <w:proofErr w:type="spellEnd"/>
      <w:r w:rsidR="00B73624" w:rsidRPr="00A001AB">
        <w:rPr>
          <w:rFonts w:eastAsia="DengXian"/>
        </w:rPr>
        <w:t xml:space="preserve"> Fong, Wei </w:t>
      </w:r>
      <w:proofErr w:type="spellStart"/>
      <w:r w:rsidR="00B73624" w:rsidRPr="00A001AB">
        <w:rPr>
          <w:rFonts w:eastAsia="DengXian"/>
        </w:rPr>
        <w:t>Wei</w:t>
      </w:r>
      <w:proofErr w:type="spellEnd"/>
      <w:r w:rsidR="00B73624" w:rsidRPr="00A001AB">
        <w:rPr>
          <w:rFonts w:eastAsia="DengXian"/>
        </w:rPr>
        <w:t xml:space="preserve"> </w:t>
      </w:r>
      <w:proofErr w:type="spellStart"/>
      <w:r w:rsidR="00B73624" w:rsidRPr="00A001AB">
        <w:rPr>
          <w:rFonts w:eastAsia="DengXian"/>
        </w:rPr>
        <w:t>Tiong</w:t>
      </w:r>
      <w:proofErr w:type="spellEnd"/>
      <w:r w:rsidR="00B73624" w:rsidRPr="00A001AB">
        <w:rPr>
          <w:rFonts w:eastAsia="DengXian"/>
        </w:rPr>
        <w:t>, and Nan Luo, “</w:t>
      </w:r>
      <w:r w:rsidRPr="00A001AB">
        <w:rPr>
          <w:rFonts w:eastAsia="DengXian"/>
        </w:rPr>
        <w:t xml:space="preserve">Quality of </w:t>
      </w:r>
      <w:r w:rsidR="00B73624" w:rsidRPr="00A001AB">
        <w:rPr>
          <w:rFonts w:eastAsia="DengXian"/>
        </w:rPr>
        <w:t>L</w:t>
      </w:r>
      <w:r w:rsidRPr="00A001AB">
        <w:rPr>
          <w:rFonts w:eastAsia="DengXian"/>
        </w:rPr>
        <w:t xml:space="preserve">ife and </w:t>
      </w:r>
      <w:r w:rsidR="00B73624" w:rsidRPr="00A001AB">
        <w:rPr>
          <w:rFonts w:eastAsia="DengXian"/>
        </w:rPr>
        <w:t>R</w:t>
      </w:r>
      <w:r w:rsidRPr="00A001AB">
        <w:rPr>
          <w:rFonts w:eastAsia="DengXian"/>
        </w:rPr>
        <w:t xml:space="preserve">elated </w:t>
      </w:r>
      <w:r w:rsidR="00B73624" w:rsidRPr="00A001AB">
        <w:rPr>
          <w:rFonts w:eastAsia="DengXian"/>
        </w:rPr>
        <w:t>F</w:t>
      </w:r>
      <w:r w:rsidRPr="00A001AB">
        <w:rPr>
          <w:rFonts w:eastAsia="DengXian"/>
        </w:rPr>
        <w:t xml:space="preserve">actors of </w:t>
      </w:r>
      <w:r w:rsidR="00B73624" w:rsidRPr="00A001AB">
        <w:rPr>
          <w:rFonts w:eastAsia="DengXian"/>
        </w:rPr>
        <w:t>N</w:t>
      </w:r>
      <w:r w:rsidRPr="00A001AB">
        <w:rPr>
          <w:rFonts w:eastAsia="DengXian"/>
        </w:rPr>
        <w:t xml:space="preserve">ursing </w:t>
      </w:r>
      <w:r w:rsidR="00B73624" w:rsidRPr="00A001AB">
        <w:rPr>
          <w:rFonts w:eastAsia="DengXian"/>
        </w:rPr>
        <w:t>H</w:t>
      </w:r>
      <w:r w:rsidRPr="00A001AB">
        <w:rPr>
          <w:rFonts w:eastAsia="DengXian"/>
        </w:rPr>
        <w:t xml:space="preserve">ome </w:t>
      </w:r>
      <w:r w:rsidR="00B73624" w:rsidRPr="00A001AB">
        <w:rPr>
          <w:rFonts w:eastAsia="DengXian"/>
        </w:rPr>
        <w:t>R</w:t>
      </w:r>
      <w:r w:rsidRPr="00A001AB">
        <w:rPr>
          <w:rFonts w:eastAsia="DengXian"/>
        </w:rPr>
        <w:t>esidents in Singapore</w:t>
      </w:r>
      <w:r w:rsidR="00B73624" w:rsidRPr="00A001AB">
        <w:rPr>
          <w:rFonts w:eastAsia="DengXian"/>
        </w:rPr>
        <w:t>,”</w:t>
      </w:r>
      <w:r w:rsidRPr="00A001AB">
        <w:rPr>
          <w:rFonts w:eastAsia="DengXian"/>
        </w:rPr>
        <w:t xml:space="preserve"> </w:t>
      </w:r>
      <w:r w:rsidRPr="00E36C56">
        <w:rPr>
          <w:rFonts w:eastAsia="DengXian"/>
          <w:i/>
          <w:spacing w:val="-4"/>
        </w:rPr>
        <w:t xml:space="preserve">Health </w:t>
      </w:r>
      <w:r w:rsidR="002E6085">
        <w:rPr>
          <w:rFonts w:eastAsia="DengXian"/>
          <w:i/>
          <w:spacing w:val="-4"/>
        </w:rPr>
        <w:t xml:space="preserve">and </w:t>
      </w:r>
      <w:r w:rsidRPr="00E36C56">
        <w:rPr>
          <w:rFonts w:eastAsia="DengXian"/>
          <w:i/>
          <w:spacing w:val="-4"/>
        </w:rPr>
        <w:t>Qual</w:t>
      </w:r>
      <w:r w:rsidR="002E6085">
        <w:rPr>
          <w:rFonts w:eastAsia="DengXian"/>
          <w:i/>
          <w:spacing w:val="-4"/>
        </w:rPr>
        <w:t>ity of</w:t>
      </w:r>
      <w:r w:rsidRPr="00E36C56">
        <w:rPr>
          <w:rFonts w:eastAsia="DengXian"/>
          <w:i/>
          <w:spacing w:val="-4"/>
        </w:rPr>
        <w:t xml:space="preserve"> Life Outcomes</w:t>
      </w:r>
      <w:r w:rsidRPr="00A001AB">
        <w:rPr>
          <w:rFonts w:eastAsia="DengXian"/>
        </w:rPr>
        <w:t xml:space="preserve"> </w:t>
      </w:r>
      <w:r w:rsidR="00B73624" w:rsidRPr="00A001AB">
        <w:rPr>
          <w:rFonts w:eastAsia="DengXian"/>
        </w:rPr>
        <w:t xml:space="preserve">(2016): </w:t>
      </w:r>
      <w:r w:rsidRPr="00A001AB">
        <w:rPr>
          <w:rFonts w:eastAsia="DengXian"/>
        </w:rPr>
        <w:t>14</w:t>
      </w:r>
      <w:r w:rsidR="00B73624" w:rsidRPr="00A001AB">
        <w:rPr>
          <w:rFonts w:eastAsia="DengXian"/>
        </w:rPr>
        <w:t>–</w:t>
      </w:r>
      <w:r w:rsidRPr="00A001AB">
        <w:rPr>
          <w:rFonts w:eastAsia="DengXian"/>
        </w:rPr>
        <w:t>112</w:t>
      </w:r>
      <w:r w:rsidR="009E5642" w:rsidRPr="00A001AB">
        <w:rPr>
          <w:rFonts w:eastAsia="DengXian"/>
        </w:rPr>
        <w:t xml:space="preserve">; </w:t>
      </w:r>
      <w:r w:rsidR="00B73624" w:rsidRPr="00A001AB">
        <w:rPr>
          <w:rFonts w:eastAsia="DengXian"/>
        </w:rPr>
        <w:t xml:space="preserve">Neva </w:t>
      </w:r>
      <w:proofErr w:type="spellStart"/>
      <w:r w:rsidRPr="00A001AB">
        <w:rPr>
          <w:rFonts w:eastAsia="DengXian"/>
        </w:rPr>
        <w:t>Crogan</w:t>
      </w:r>
      <w:proofErr w:type="spellEnd"/>
      <w:r w:rsidRPr="00A001AB">
        <w:rPr>
          <w:rFonts w:eastAsia="DengXian"/>
        </w:rPr>
        <w:t xml:space="preserve">, </w:t>
      </w:r>
      <w:proofErr w:type="spellStart"/>
      <w:r w:rsidRPr="00A001AB">
        <w:rPr>
          <w:rFonts w:eastAsia="DengXian"/>
        </w:rPr>
        <w:t>Bronwynne</w:t>
      </w:r>
      <w:proofErr w:type="spellEnd"/>
      <w:r w:rsidRPr="00A001AB">
        <w:rPr>
          <w:rFonts w:eastAsia="DengXian"/>
        </w:rPr>
        <w:t xml:space="preserve"> Evans, and Donna Velasquez</w:t>
      </w:r>
      <w:r w:rsidR="00B73624" w:rsidRPr="00A001AB">
        <w:rPr>
          <w:rFonts w:eastAsia="DengXian"/>
        </w:rPr>
        <w:t>, “</w:t>
      </w:r>
      <w:r w:rsidRPr="00A001AB">
        <w:rPr>
          <w:rFonts w:eastAsia="DengXian"/>
        </w:rPr>
        <w:t xml:space="preserve">Measuring Nursing Home Resident Satisfaction </w:t>
      </w:r>
      <w:r w:rsidR="00B73624" w:rsidRPr="00A001AB">
        <w:rPr>
          <w:rFonts w:eastAsia="DengXian"/>
        </w:rPr>
        <w:t>w</w:t>
      </w:r>
      <w:r w:rsidRPr="00A001AB">
        <w:rPr>
          <w:rFonts w:eastAsia="DengXian"/>
        </w:rPr>
        <w:t xml:space="preserve">ith Food and Food Service: Initial Testing of the </w:t>
      </w:r>
      <w:proofErr w:type="spellStart"/>
      <w:r w:rsidRPr="00A001AB">
        <w:rPr>
          <w:rFonts w:eastAsia="DengXian"/>
        </w:rPr>
        <w:t>FoodEx</w:t>
      </w:r>
      <w:proofErr w:type="spellEnd"/>
      <w:r w:rsidRPr="00A001AB">
        <w:rPr>
          <w:rFonts w:eastAsia="DengXian"/>
        </w:rPr>
        <w:t>-LTC</w:t>
      </w:r>
      <w:r w:rsidR="00B73624" w:rsidRPr="00A001AB">
        <w:rPr>
          <w:rFonts w:eastAsia="DengXian"/>
        </w:rPr>
        <w:t>,”</w:t>
      </w:r>
      <w:r w:rsidRPr="00A001AB">
        <w:rPr>
          <w:rFonts w:eastAsia="DengXian"/>
        </w:rPr>
        <w:t xml:space="preserve"> </w:t>
      </w:r>
      <w:r w:rsidRPr="00E36C56">
        <w:rPr>
          <w:rFonts w:eastAsia="DengXian"/>
          <w:i/>
          <w:spacing w:val="-4"/>
        </w:rPr>
        <w:t>Journals of Gerontology: Series A</w:t>
      </w:r>
      <w:r w:rsidRPr="00A001AB">
        <w:rPr>
          <w:rFonts w:eastAsia="DengXian"/>
        </w:rPr>
        <w:t xml:space="preserve">, 59, </w:t>
      </w:r>
      <w:r w:rsidR="00B73624" w:rsidRPr="00A001AB">
        <w:rPr>
          <w:rFonts w:eastAsia="DengXian"/>
        </w:rPr>
        <w:t xml:space="preserve">no. </w:t>
      </w:r>
      <w:r w:rsidRPr="00A001AB">
        <w:rPr>
          <w:rFonts w:eastAsia="DengXian"/>
        </w:rPr>
        <w:t xml:space="preserve">4 </w:t>
      </w:r>
      <w:r w:rsidR="00B73624" w:rsidRPr="00A001AB">
        <w:rPr>
          <w:rFonts w:eastAsia="DengXian"/>
        </w:rPr>
        <w:t xml:space="preserve">(2004): </w:t>
      </w:r>
      <w:r w:rsidRPr="00A001AB">
        <w:rPr>
          <w:rFonts w:eastAsia="DengXian"/>
        </w:rPr>
        <w:t>M370</w:t>
      </w:r>
      <w:r w:rsidR="00B73624" w:rsidRPr="00A001AB">
        <w:rPr>
          <w:rFonts w:eastAsia="DengXian"/>
        </w:rPr>
        <w:t>–</w:t>
      </w:r>
      <w:r w:rsidRPr="00A001AB">
        <w:rPr>
          <w:rFonts w:eastAsia="DengXian"/>
        </w:rPr>
        <w:t>M377</w:t>
      </w:r>
      <w:r w:rsidR="009E5642" w:rsidRPr="00A001AB">
        <w:rPr>
          <w:rFonts w:eastAsia="DengXian"/>
        </w:rPr>
        <w:t xml:space="preserve">; </w:t>
      </w:r>
      <w:r w:rsidR="000D47A4" w:rsidRPr="00A001AB">
        <w:rPr>
          <w:rFonts w:eastAsia="DengXian"/>
        </w:rPr>
        <w:t xml:space="preserve">Neva </w:t>
      </w:r>
      <w:proofErr w:type="spellStart"/>
      <w:r w:rsidR="000D47A4" w:rsidRPr="00A001AB">
        <w:rPr>
          <w:rFonts w:eastAsia="DengXian"/>
        </w:rPr>
        <w:t>Crogan</w:t>
      </w:r>
      <w:proofErr w:type="spellEnd"/>
      <w:r w:rsidR="000D47A4" w:rsidRPr="00A001AB">
        <w:rPr>
          <w:rFonts w:eastAsia="DengXian"/>
        </w:rPr>
        <w:t>, Alice E</w:t>
      </w:r>
      <w:r w:rsidR="00F06561">
        <w:rPr>
          <w:rFonts w:eastAsia="DengXian"/>
        </w:rPr>
        <w:t>.</w:t>
      </w:r>
      <w:r w:rsidR="000D47A4" w:rsidRPr="00A001AB">
        <w:rPr>
          <w:rFonts w:eastAsia="DengXian"/>
        </w:rPr>
        <w:t xml:space="preserve"> </w:t>
      </w:r>
      <w:proofErr w:type="spellStart"/>
      <w:r w:rsidR="000D47A4" w:rsidRPr="00A001AB">
        <w:rPr>
          <w:rFonts w:eastAsia="DengXian"/>
        </w:rPr>
        <w:t>Dupler</w:t>
      </w:r>
      <w:proofErr w:type="spellEnd"/>
      <w:r w:rsidR="000D47A4" w:rsidRPr="00A001AB">
        <w:rPr>
          <w:rFonts w:eastAsia="DengXian"/>
        </w:rPr>
        <w:t>, Robert Short, and Grace Heaton,</w:t>
      </w:r>
      <w:r w:rsidRPr="00A001AB">
        <w:rPr>
          <w:rFonts w:eastAsia="DengXian"/>
        </w:rPr>
        <w:t xml:space="preserve"> </w:t>
      </w:r>
      <w:r w:rsidR="000D47A4" w:rsidRPr="00A001AB">
        <w:rPr>
          <w:rFonts w:eastAsia="DengXian"/>
        </w:rPr>
        <w:t>“</w:t>
      </w:r>
      <w:r w:rsidRPr="00A001AB">
        <w:rPr>
          <w:rFonts w:eastAsia="DengXian"/>
        </w:rPr>
        <w:t xml:space="preserve">Food </w:t>
      </w:r>
      <w:r w:rsidR="000D47A4" w:rsidRPr="00A001AB">
        <w:rPr>
          <w:rFonts w:eastAsia="DengXian"/>
        </w:rPr>
        <w:t>C</w:t>
      </w:r>
      <w:r w:rsidRPr="00A001AB">
        <w:rPr>
          <w:rFonts w:eastAsia="DengXian"/>
        </w:rPr>
        <w:t xml:space="preserve">hoice </w:t>
      </w:r>
      <w:r w:rsidR="000D47A4" w:rsidRPr="00A001AB">
        <w:rPr>
          <w:rFonts w:eastAsia="DengXian"/>
        </w:rPr>
        <w:t>C</w:t>
      </w:r>
      <w:r w:rsidRPr="00A001AB">
        <w:rPr>
          <w:rFonts w:eastAsia="DengXian"/>
        </w:rPr>
        <w:t xml:space="preserve">an </w:t>
      </w:r>
      <w:r w:rsidR="000D47A4" w:rsidRPr="00A001AB">
        <w:rPr>
          <w:rFonts w:eastAsia="DengXian"/>
        </w:rPr>
        <w:t>I</w:t>
      </w:r>
      <w:r w:rsidRPr="00A001AB">
        <w:rPr>
          <w:rFonts w:eastAsia="DengXian"/>
        </w:rPr>
        <w:t xml:space="preserve">mprove </w:t>
      </w:r>
      <w:r w:rsidR="000D47A4" w:rsidRPr="00A001AB">
        <w:rPr>
          <w:rFonts w:eastAsia="DengXian"/>
        </w:rPr>
        <w:t>N</w:t>
      </w:r>
      <w:r w:rsidRPr="00A001AB">
        <w:rPr>
          <w:rFonts w:eastAsia="DengXian"/>
        </w:rPr>
        <w:t xml:space="preserve">ursing </w:t>
      </w:r>
      <w:r w:rsidR="000D47A4" w:rsidRPr="00A001AB">
        <w:rPr>
          <w:rFonts w:eastAsia="DengXian"/>
        </w:rPr>
        <w:t>H</w:t>
      </w:r>
      <w:r w:rsidRPr="00A001AB">
        <w:rPr>
          <w:rFonts w:eastAsia="DengXian"/>
        </w:rPr>
        <w:t xml:space="preserve">ome </w:t>
      </w:r>
      <w:r w:rsidR="000D47A4" w:rsidRPr="00A001AB">
        <w:rPr>
          <w:rFonts w:eastAsia="DengXian"/>
        </w:rPr>
        <w:t>R</w:t>
      </w:r>
      <w:r w:rsidRPr="00A001AB">
        <w:rPr>
          <w:rFonts w:eastAsia="DengXian"/>
        </w:rPr>
        <w:t xml:space="preserve">esident </w:t>
      </w:r>
      <w:r w:rsidR="000D47A4" w:rsidRPr="00A001AB">
        <w:rPr>
          <w:rFonts w:eastAsia="DengXian"/>
        </w:rPr>
        <w:t>M</w:t>
      </w:r>
      <w:r w:rsidRPr="00A001AB">
        <w:rPr>
          <w:rFonts w:eastAsia="DengXian"/>
        </w:rPr>
        <w:t xml:space="preserve">eal </w:t>
      </w:r>
      <w:r w:rsidR="000D47A4" w:rsidRPr="00A001AB">
        <w:rPr>
          <w:rFonts w:eastAsia="DengXian"/>
        </w:rPr>
        <w:t>S</w:t>
      </w:r>
      <w:r w:rsidRPr="00A001AB">
        <w:rPr>
          <w:rFonts w:eastAsia="DengXian"/>
        </w:rPr>
        <w:t xml:space="preserve">ervice </w:t>
      </w:r>
      <w:r w:rsidR="000D47A4" w:rsidRPr="00A001AB">
        <w:rPr>
          <w:rFonts w:eastAsia="DengXian"/>
        </w:rPr>
        <w:t>S</w:t>
      </w:r>
      <w:r w:rsidRPr="00A001AB">
        <w:rPr>
          <w:rFonts w:eastAsia="DengXian"/>
        </w:rPr>
        <w:t xml:space="preserve">atisfaction and </w:t>
      </w:r>
      <w:r w:rsidR="000D47A4" w:rsidRPr="00A001AB">
        <w:rPr>
          <w:rFonts w:eastAsia="DengXian"/>
        </w:rPr>
        <w:t>N</w:t>
      </w:r>
      <w:r w:rsidRPr="00A001AB">
        <w:rPr>
          <w:rFonts w:eastAsia="DengXian"/>
        </w:rPr>
        <w:t xml:space="preserve">utritional </w:t>
      </w:r>
      <w:r w:rsidR="000D47A4" w:rsidRPr="00A001AB">
        <w:rPr>
          <w:rFonts w:eastAsia="DengXian"/>
        </w:rPr>
        <w:t>S</w:t>
      </w:r>
      <w:r w:rsidRPr="00A001AB">
        <w:rPr>
          <w:rFonts w:eastAsia="DengXian"/>
        </w:rPr>
        <w:t>tatus</w:t>
      </w:r>
      <w:r w:rsidR="000D47A4" w:rsidRPr="00A001AB">
        <w:rPr>
          <w:rFonts w:eastAsia="DengXian"/>
        </w:rPr>
        <w:t>,”</w:t>
      </w:r>
      <w:r w:rsidRPr="00A001AB">
        <w:rPr>
          <w:rFonts w:eastAsia="DengXian"/>
        </w:rPr>
        <w:t xml:space="preserve"> </w:t>
      </w:r>
      <w:r w:rsidRPr="00E36C56">
        <w:rPr>
          <w:rFonts w:eastAsia="DengXian"/>
          <w:i/>
          <w:spacing w:val="-4"/>
        </w:rPr>
        <w:t xml:space="preserve">Journal of </w:t>
      </w:r>
      <w:proofErr w:type="spellStart"/>
      <w:r w:rsidR="000D47A4" w:rsidRPr="00E36C56">
        <w:rPr>
          <w:rFonts w:eastAsia="DengXian"/>
          <w:i/>
          <w:spacing w:val="-4"/>
        </w:rPr>
        <w:t>G</w:t>
      </w:r>
      <w:r w:rsidRPr="00E36C56">
        <w:rPr>
          <w:rFonts w:eastAsia="DengXian"/>
          <w:i/>
          <w:spacing w:val="-4"/>
        </w:rPr>
        <w:t>erontological</w:t>
      </w:r>
      <w:proofErr w:type="spellEnd"/>
      <w:r w:rsidRPr="00E36C56">
        <w:rPr>
          <w:rFonts w:eastAsia="DengXian"/>
          <w:i/>
          <w:spacing w:val="-4"/>
        </w:rPr>
        <w:t xml:space="preserve"> </w:t>
      </w:r>
      <w:r w:rsidR="000D47A4" w:rsidRPr="00E36C56">
        <w:rPr>
          <w:rFonts w:eastAsia="DengXian"/>
          <w:i/>
          <w:spacing w:val="-4"/>
        </w:rPr>
        <w:t>N</w:t>
      </w:r>
      <w:r w:rsidRPr="00E36C56">
        <w:rPr>
          <w:rFonts w:eastAsia="DengXian"/>
          <w:i/>
          <w:spacing w:val="-4"/>
        </w:rPr>
        <w:t>ursing</w:t>
      </w:r>
      <w:r w:rsidR="000D47A4" w:rsidRPr="00A001AB">
        <w:rPr>
          <w:rFonts w:eastAsia="DengXian"/>
        </w:rPr>
        <w:t xml:space="preserve"> 39, no. 5 (2013): 1–8</w:t>
      </w:r>
      <w:r w:rsidR="009E5642" w:rsidRPr="00A001AB">
        <w:rPr>
          <w:rFonts w:eastAsia="DengXian"/>
        </w:rPr>
        <w:t xml:space="preserve">; </w:t>
      </w:r>
      <w:r w:rsidR="000D47A4" w:rsidRPr="00A001AB">
        <w:rPr>
          <w:rFonts w:eastAsia="DengXian"/>
        </w:rPr>
        <w:t>Karen L. Abbey, Olivia R. L. Wright, and Sandra Capra, “</w:t>
      </w:r>
      <w:r w:rsidRPr="00A001AB">
        <w:rPr>
          <w:rFonts w:eastAsia="DengXian"/>
        </w:rPr>
        <w:t>Menu Planning in Residential Aged Care—The Level of Choice and Quality of Planning of Meals Available to Residents</w:t>
      </w:r>
      <w:r w:rsidR="000D47A4" w:rsidRPr="00A001AB">
        <w:rPr>
          <w:rFonts w:eastAsia="DengXian"/>
        </w:rPr>
        <w:t>,”</w:t>
      </w:r>
      <w:r w:rsidRPr="00A001AB">
        <w:rPr>
          <w:rFonts w:eastAsia="DengXian"/>
        </w:rPr>
        <w:t xml:space="preserve"> </w:t>
      </w:r>
      <w:r w:rsidRPr="00E36C56">
        <w:rPr>
          <w:rFonts w:eastAsia="DengXian"/>
          <w:i/>
          <w:spacing w:val="-4"/>
        </w:rPr>
        <w:t>Nutrients</w:t>
      </w:r>
      <w:r w:rsidRPr="00A001AB">
        <w:rPr>
          <w:rFonts w:eastAsia="DengXian"/>
        </w:rPr>
        <w:t xml:space="preserve"> </w:t>
      </w:r>
      <w:r w:rsidR="000D47A4" w:rsidRPr="00A001AB">
        <w:rPr>
          <w:rFonts w:eastAsia="DengXian"/>
        </w:rPr>
        <w:t xml:space="preserve">(2015): </w:t>
      </w:r>
      <w:r w:rsidRPr="00A001AB">
        <w:rPr>
          <w:rFonts w:eastAsia="DengXian"/>
        </w:rPr>
        <w:t>7</w:t>
      </w:r>
      <w:r w:rsidR="000D47A4" w:rsidRPr="00A001AB">
        <w:rPr>
          <w:rFonts w:eastAsia="DengXian"/>
        </w:rPr>
        <w:t>,</w:t>
      </w:r>
      <w:r w:rsidRPr="00A001AB">
        <w:rPr>
          <w:rFonts w:eastAsia="DengXian"/>
        </w:rPr>
        <w:t>580</w:t>
      </w:r>
      <w:r w:rsidR="00C07ACA">
        <w:rPr>
          <w:rFonts w:eastAsia="DengXian"/>
        </w:rPr>
        <w:t>–</w:t>
      </w:r>
      <w:r w:rsidRPr="00A001AB">
        <w:rPr>
          <w:rFonts w:eastAsia="DengXian"/>
        </w:rPr>
        <w:t>7</w:t>
      </w:r>
      <w:r w:rsidR="000D47A4" w:rsidRPr="00A001AB">
        <w:rPr>
          <w:rFonts w:eastAsia="DengXian"/>
        </w:rPr>
        <w:t>,</w:t>
      </w:r>
      <w:r w:rsidRPr="00A001AB">
        <w:rPr>
          <w:rFonts w:eastAsia="DengXian"/>
        </w:rPr>
        <w:t>592</w:t>
      </w:r>
      <w:r w:rsidR="000D47A4" w:rsidRPr="00A001AB">
        <w:rPr>
          <w:rFonts w:eastAsia="DengXian"/>
        </w:rPr>
        <w:t>.</w:t>
      </w:r>
    </w:p>
    <w:p w14:paraId="1DF6BB9D" w14:textId="639004EF" w:rsidR="009E5642" w:rsidRPr="00C70F23" w:rsidRDefault="00E917C7" w:rsidP="00813AC0">
      <w:pPr>
        <w:pStyle w:val="ExhibitHeading"/>
        <w:rPr>
          <w:rFonts w:eastAsia="Arial"/>
        </w:rPr>
      </w:pPr>
      <w:r>
        <w:rPr>
          <w:rFonts w:eastAsia="Arial"/>
        </w:rPr>
        <w:lastRenderedPageBreak/>
        <w:t>EXHIBIT 4</w:t>
      </w:r>
      <w:r w:rsidR="009E5642" w:rsidRPr="00C70F23">
        <w:rPr>
          <w:rFonts w:eastAsia="Arial"/>
        </w:rPr>
        <w:t xml:space="preserve">: IMPACT MAP OF THE </w:t>
      </w:r>
      <w:r w:rsidR="000D47A4" w:rsidRPr="000D47A4">
        <w:rPr>
          <w:rFonts w:eastAsia="Arial"/>
        </w:rPr>
        <w:t xml:space="preserve">SAMSUI CENTRAL KITCHEN </w:t>
      </w:r>
      <w:r w:rsidR="009E5642" w:rsidRPr="00C70F23">
        <w:rPr>
          <w:rFonts w:eastAsia="Arial"/>
        </w:rPr>
        <w:t>PROJECT</w:t>
      </w:r>
    </w:p>
    <w:p w14:paraId="24B85BB7" w14:textId="77777777" w:rsidR="00D16145" w:rsidRPr="00C70F23" w:rsidRDefault="00D16145" w:rsidP="009E5642">
      <w:pPr>
        <w:pStyle w:val="ExhibitText"/>
        <w:rPr>
          <w:rFonts w:eastAsia="DengXian"/>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2249"/>
        <w:gridCol w:w="2161"/>
        <w:gridCol w:w="2160"/>
        <w:gridCol w:w="2160"/>
        <w:gridCol w:w="2164"/>
      </w:tblGrid>
      <w:tr w:rsidR="009A4111" w:rsidRPr="00F81BEE" w14:paraId="6FA5F8CB" w14:textId="77777777" w:rsidTr="006C23C8">
        <w:trPr>
          <w:trHeight w:val="288"/>
          <w:jc w:val="center"/>
        </w:trPr>
        <w:tc>
          <w:tcPr>
            <w:tcW w:w="2065" w:type="dxa"/>
            <w:tcBorders>
              <w:bottom w:val="nil"/>
            </w:tcBorders>
            <w:noWrap/>
            <w:vAlign w:val="center"/>
            <w:hideMark/>
          </w:tcPr>
          <w:p w14:paraId="7C000CD3" w14:textId="6515F11A" w:rsidR="009A4111" w:rsidRPr="00C0427B" w:rsidRDefault="009A4111" w:rsidP="00213B83">
            <w:pPr>
              <w:pStyle w:val="ExhibitText"/>
              <w:jc w:val="left"/>
              <w:rPr>
                <w:b/>
                <w:bCs/>
                <w:sz w:val="17"/>
                <w:szCs w:val="16"/>
              </w:rPr>
            </w:pPr>
            <w:r w:rsidRPr="00C0427B">
              <w:rPr>
                <w:b/>
                <w:bCs/>
                <w:sz w:val="17"/>
                <w:szCs w:val="16"/>
              </w:rPr>
              <w:t>Organi</w:t>
            </w:r>
            <w:r w:rsidR="00CA3476" w:rsidRPr="00C0427B">
              <w:rPr>
                <w:b/>
                <w:bCs/>
                <w:sz w:val="17"/>
                <w:szCs w:val="16"/>
              </w:rPr>
              <w:t>z</w:t>
            </w:r>
            <w:r w:rsidRPr="00C0427B">
              <w:rPr>
                <w:b/>
                <w:bCs/>
                <w:sz w:val="17"/>
                <w:szCs w:val="16"/>
              </w:rPr>
              <w:t>ation</w:t>
            </w:r>
          </w:p>
        </w:tc>
        <w:tc>
          <w:tcPr>
            <w:tcW w:w="10885" w:type="dxa"/>
            <w:gridSpan w:val="5"/>
            <w:tcBorders>
              <w:bottom w:val="nil"/>
            </w:tcBorders>
            <w:noWrap/>
            <w:vAlign w:val="center"/>
            <w:hideMark/>
          </w:tcPr>
          <w:p w14:paraId="28F8E640" w14:textId="77777777" w:rsidR="009A4111" w:rsidRPr="00F81BEE" w:rsidRDefault="009A4111" w:rsidP="00213B83">
            <w:pPr>
              <w:pStyle w:val="ExhibitText"/>
              <w:jc w:val="left"/>
              <w:rPr>
                <w:bCs/>
                <w:sz w:val="17"/>
                <w:szCs w:val="16"/>
              </w:rPr>
            </w:pPr>
            <w:proofErr w:type="spellStart"/>
            <w:r w:rsidRPr="00F81BEE">
              <w:rPr>
                <w:sz w:val="17"/>
                <w:szCs w:val="16"/>
              </w:rPr>
              <w:t>Samsui</w:t>
            </w:r>
            <w:proofErr w:type="spellEnd"/>
            <w:r w:rsidRPr="00F81BEE">
              <w:rPr>
                <w:sz w:val="17"/>
                <w:szCs w:val="16"/>
              </w:rPr>
              <w:t xml:space="preserve"> Supplies Private Limited</w:t>
            </w:r>
          </w:p>
        </w:tc>
      </w:tr>
      <w:tr w:rsidR="009A4111" w:rsidRPr="00F81BEE" w14:paraId="72A59DC1" w14:textId="77777777" w:rsidTr="006C23C8">
        <w:trPr>
          <w:trHeight w:val="288"/>
          <w:jc w:val="center"/>
        </w:trPr>
        <w:tc>
          <w:tcPr>
            <w:tcW w:w="2065" w:type="dxa"/>
            <w:tcBorders>
              <w:top w:val="nil"/>
              <w:bottom w:val="single" w:sz="12" w:space="0" w:color="auto"/>
            </w:tcBorders>
            <w:noWrap/>
            <w:vAlign w:val="center"/>
            <w:hideMark/>
          </w:tcPr>
          <w:p w14:paraId="4D4671E4" w14:textId="1FEE3235" w:rsidR="009A4111" w:rsidRPr="00C0427B" w:rsidRDefault="009A4111" w:rsidP="00213B83">
            <w:pPr>
              <w:pStyle w:val="ExhibitText"/>
              <w:jc w:val="left"/>
              <w:rPr>
                <w:b/>
                <w:color w:val="000000"/>
                <w:sz w:val="17"/>
                <w:szCs w:val="16"/>
              </w:rPr>
            </w:pPr>
            <w:r w:rsidRPr="00C0427B">
              <w:rPr>
                <w:b/>
                <w:color w:val="000000"/>
                <w:sz w:val="17"/>
                <w:szCs w:val="16"/>
              </w:rPr>
              <w:t>Intervention</w:t>
            </w:r>
          </w:p>
        </w:tc>
        <w:tc>
          <w:tcPr>
            <w:tcW w:w="10885" w:type="dxa"/>
            <w:gridSpan w:val="5"/>
            <w:tcBorders>
              <w:top w:val="nil"/>
              <w:bottom w:val="single" w:sz="12" w:space="0" w:color="auto"/>
            </w:tcBorders>
            <w:vAlign w:val="center"/>
            <w:hideMark/>
          </w:tcPr>
          <w:p w14:paraId="228C1245" w14:textId="6F19B2C8" w:rsidR="009A4111" w:rsidRPr="00F81BEE" w:rsidRDefault="009A4111" w:rsidP="00213B83">
            <w:pPr>
              <w:pStyle w:val="ExhibitText"/>
              <w:jc w:val="left"/>
              <w:rPr>
                <w:bCs/>
                <w:color w:val="000000"/>
                <w:sz w:val="17"/>
                <w:szCs w:val="16"/>
              </w:rPr>
            </w:pPr>
            <w:r w:rsidRPr="00F81BEE">
              <w:rPr>
                <w:bCs/>
                <w:color w:val="000000"/>
                <w:sz w:val="17"/>
                <w:szCs w:val="16"/>
              </w:rPr>
              <w:t xml:space="preserve">Set up </w:t>
            </w:r>
            <w:r w:rsidR="00A6234A" w:rsidRPr="00F81BEE">
              <w:rPr>
                <w:bCs/>
                <w:color w:val="000000"/>
                <w:sz w:val="17"/>
                <w:szCs w:val="16"/>
              </w:rPr>
              <w:t xml:space="preserve">the </w:t>
            </w:r>
            <w:r w:rsidRPr="00F81BEE">
              <w:rPr>
                <w:bCs/>
                <w:color w:val="000000"/>
                <w:sz w:val="17"/>
                <w:szCs w:val="16"/>
              </w:rPr>
              <w:t xml:space="preserve">SCK project to provide a greater variety of nutritious food options to </w:t>
            </w:r>
            <w:r w:rsidR="006D67FE" w:rsidRPr="00F81BEE">
              <w:rPr>
                <w:bCs/>
                <w:color w:val="000000"/>
                <w:sz w:val="17"/>
                <w:szCs w:val="16"/>
              </w:rPr>
              <w:t>long-term care facility</w:t>
            </w:r>
            <w:r w:rsidRPr="00F81BEE">
              <w:rPr>
                <w:bCs/>
                <w:color w:val="000000"/>
                <w:sz w:val="17"/>
                <w:szCs w:val="16"/>
              </w:rPr>
              <w:t xml:space="preserve"> residents</w:t>
            </w:r>
            <w:r w:rsidR="00A6234A" w:rsidRPr="00F81BEE">
              <w:rPr>
                <w:bCs/>
                <w:color w:val="000000"/>
                <w:sz w:val="17"/>
                <w:szCs w:val="16"/>
              </w:rPr>
              <w:t>.</w:t>
            </w:r>
          </w:p>
        </w:tc>
      </w:tr>
      <w:tr w:rsidR="009A4111" w:rsidRPr="00F81BEE" w14:paraId="2A110426" w14:textId="77777777" w:rsidTr="002A1733">
        <w:trPr>
          <w:trHeight w:val="288"/>
          <w:jc w:val="center"/>
        </w:trPr>
        <w:tc>
          <w:tcPr>
            <w:tcW w:w="2065" w:type="dxa"/>
            <w:tcBorders>
              <w:top w:val="single" w:sz="12" w:space="0" w:color="auto"/>
              <w:bottom w:val="single" w:sz="4" w:space="0" w:color="auto"/>
            </w:tcBorders>
            <w:vAlign w:val="center"/>
            <w:hideMark/>
          </w:tcPr>
          <w:p w14:paraId="56A1FA43" w14:textId="77777777" w:rsidR="009A4111" w:rsidRPr="00C0427B" w:rsidRDefault="009A4111" w:rsidP="00213B83">
            <w:pPr>
              <w:pStyle w:val="ExhibitText"/>
              <w:jc w:val="left"/>
              <w:rPr>
                <w:b/>
                <w:color w:val="000000"/>
                <w:sz w:val="17"/>
                <w:szCs w:val="16"/>
              </w:rPr>
            </w:pPr>
            <w:r w:rsidRPr="00C0427B">
              <w:rPr>
                <w:b/>
                <w:color w:val="000000"/>
                <w:sz w:val="17"/>
                <w:szCs w:val="16"/>
              </w:rPr>
              <w:t>Stakeholder</w:t>
            </w:r>
          </w:p>
        </w:tc>
        <w:tc>
          <w:tcPr>
            <w:tcW w:w="2248" w:type="dxa"/>
            <w:tcBorders>
              <w:top w:val="single" w:sz="12" w:space="0" w:color="auto"/>
              <w:bottom w:val="single" w:sz="4" w:space="0" w:color="auto"/>
            </w:tcBorders>
            <w:vAlign w:val="center"/>
            <w:hideMark/>
          </w:tcPr>
          <w:p w14:paraId="1C6E23D8" w14:textId="77777777" w:rsidR="00813AC0" w:rsidRPr="00C0427B" w:rsidRDefault="009A4111" w:rsidP="00C0427B">
            <w:pPr>
              <w:pStyle w:val="ExhibitText"/>
              <w:jc w:val="center"/>
              <w:rPr>
                <w:b/>
                <w:color w:val="000000"/>
                <w:sz w:val="17"/>
                <w:szCs w:val="16"/>
              </w:rPr>
            </w:pPr>
            <w:r w:rsidRPr="00C0427B">
              <w:rPr>
                <w:b/>
                <w:color w:val="000000"/>
                <w:sz w:val="17"/>
                <w:szCs w:val="16"/>
              </w:rPr>
              <w:t>Resources</w:t>
            </w:r>
          </w:p>
          <w:p w14:paraId="1F0AADA4" w14:textId="50DD53E2" w:rsidR="009A4111" w:rsidRPr="00C0427B" w:rsidRDefault="009A4111" w:rsidP="00C0427B">
            <w:pPr>
              <w:pStyle w:val="ExhibitText"/>
              <w:jc w:val="center"/>
              <w:rPr>
                <w:b/>
                <w:color w:val="000000"/>
                <w:sz w:val="17"/>
                <w:szCs w:val="16"/>
              </w:rPr>
            </w:pPr>
            <w:r w:rsidRPr="00C0427B">
              <w:rPr>
                <w:b/>
                <w:color w:val="000000"/>
                <w:sz w:val="17"/>
                <w:szCs w:val="16"/>
              </w:rPr>
              <w:t>(</w:t>
            </w:r>
            <w:r w:rsidR="00772407" w:rsidRPr="00C0427B">
              <w:rPr>
                <w:b/>
                <w:color w:val="000000"/>
                <w:sz w:val="17"/>
                <w:szCs w:val="16"/>
              </w:rPr>
              <w:t>W</w:t>
            </w:r>
            <w:r w:rsidRPr="00C0427B">
              <w:rPr>
                <w:b/>
                <w:color w:val="000000"/>
                <w:sz w:val="17"/>
                <w:szCs w:val="16"/>
              </w:rPr>
              <w:t>hat do stakeholders invest?)</w:t>
            </w:r>
          </w:p>
        </w:tc>
        <w:tc>
          <w:tcPr>
            <w:tcW w:w="2159" w:type="dxa"/>
            <w:tcBorders>
              <w:top w:val="single" w:sz="12" w:space="0" w:color="auto"/>
              <w:bottom w:val="single" w:sz="4" w:space="0" w:color="auto"/>
            </w:tcBorders>
            <w:vAlign w:val="center"/>
            <w:hideMark/>
          </w:tcPr>
          <w:p w14:paraId="77B4231F" w14:textId="77777777" w:rsidR="009A4111" w:rsidRPr="00C0427B" w:rsidRDefault="009A4111" w:rsidP="00C0427B">
            <w:pPr>
              <w:pStyle w:val="ExhibitText"/>
              <w:jc w:val="center"/>
              <w:rPr>
                <w:b/>
                <w:color w:val="000000"/>
                <w:sz w:val="17"/>
                <w:szCs w:val="16"/>
              </w:rPr>
            </w:pPr>
            <w:r w:rsidRPr="00C0427B">
              <w:rPr>
                <w:b/>
                <w:color w:val="000000"/>
                <w:sz w:val="17"/>
                <w:szCs w:val="16"/>
              </w:rPr>
              <w:t>Activity</w:t>
            </w:r>
          </w:p>
        </w:tc>
        <w:tc>
          <w:tcPr>
            <w:tcW w:w="2158" w:type="dxa"/>
            <w:tcBorders>
              <w:top w:val="single" w:sz="12" w:space="0" w:color="auto"/>
              <w:bottom w:val="single" w:sz="4" w:space="0" w:color="auto"/>
            </w:tcBorders>
            <w:vAlign w:val="center"/>
            <w:hideMark/>
          </w:tcPr>
          <w:p w14:paraId="54B46574" w14:textId="6D79C690" w:rsidR="009A4111" w:rsidRPr="00C0427B" w:rsidRDefault="009A4111" w:rsidP="00C0427B">
            <w:pPr>
              <w:pStyle w:val="ExhibitText"/>
              <w:jc w:val="center"/>
              <w:rPr>
                <w:b/>
                <w:color w:val="000000"/>
                <w:sz w:val="17"/>
                <w:szCs w:val="16"/>
              </w:rPr>
            </w:pPr>
            <w:r w:rsidRPr="00C0427B">
              <w:rPr>
                <w:b/>
                <w:color w:val="000000"/>
                <w:sz w:val="17"/>
                <w:szCs w:val="16"/>
              </w:rPr>
              <w:t xml:space="preserve">Output </w:t>
            </w:r>
            <w:r w:rsidRPr="00C0427B">
              <w:rPr>
                <w:b/>
                <w:color w:val="000000"/>
                <w:sz w:val="17"/>
                <w:szCs w:val="16"/>
              </w:rPr>
              <w:br/>
              <w:t>(</w:t>
            </w:r>
            <w:r w:rsidR="00A6234A" w:rsidRPr="00C0427B">
              <w:rPr>
                <w:b/>
                <w:color w:val="000000"/>
                <w:sz w:val="17"/>
                <w:szCs w:val="16"/>
              </w:rPr>
              <w:t>s</w:t>
            </w:r>
            <w:r w:rsidRPr="00C0427B">
              <w:rPr>
                <w:b/>
                <w:color w:val="000000"/>
                <w:sz w:val="17"/>
                <w:szCs w:val="16"/>
              </w:rPr>
              <w:t>ummary of activity in numbers)</w:t>
            </w:r>
          </w:p>
        </w:tc>
        <w:tc>
          <w:tcPr>
            <w:tcW w:w="2158" w:type="dxa"/>
            <w:tcBorders>
              <w:top w:val="single" w:sz="12" w:space="0" w:color="auto"/>
              <w:bottom w:val="single" w:sz="4" w:space="0" w:color="auto"/>
            </w:tcBorders>
            <w:vAlign w:val="center"/>
            <w:hideMark/>
          </w:tcPr>
          <w:p w14:paraId="27A50376" w14:textId="77777777" w:rsidR="009A4111" w:rsidRPr="00C0427B" w:rsidRDefault="009A4111" w:rsidP="00C0427B">
            <w:pPr>
              <w:pStyle w:val="ExhibitText"/>
              <w:jc w:val="center"/>
              <w:rPr>
                <w:b/>
                <w:color w:val="000000"/>
                <w:sz w:val="17"/>
                <w:szCs w:val="16"/>
              </w:rPr>
            </w:pPr>
            <w:r w:rsidRPr="00C0427B">
              <w:rPr>
                <w:b/>
                <w:color w:val="000000"/>
                <w:sz w:val="17"/>
                <w:szCs w:val="16"/>
              </w:rPr>
              <w:t>Outcome (externality)</w:t>
            </w:r>
          </w:p>
        </w:tc>
        <w:tc>
          <w:tcPr>
            <w:tcW w:w="2162" w:type="dxa"/>
            <w:tcBorders>
              <w:top w:val="single" w:sz="12" w:space="0" w:color="auto"/>
              <w:bottom w:val="single" w:sz="4" w:space="0" w:color="auto"/>
            </w:tcBorders>
            <w:vAlign w:val="center"/>
            <w:hideMark/>
          </w:tcPr>
          <w:p w14:paraId="4033EAF7" w14:textId="77777777" w:rsidR="002A1733" w:rsidRDefault="009A4111" w:rsidP="00C0427B">
            <w:pPr>
              <w:pStyle w:val="ExhibitText"/>
              <w:jc w:val="center"/>
              <w:rPr>
                <w:b/>
                <w:color w:val="000000"/>
                <w:sz w:val="17"/>
                <w:szCs w:val="16"/>
              </w:rPr>
            </w:pPr>
            <w:r w:rsidRPr="00C0427B">
              <w:rPr>
                <w:b/>
                <w:color w:val="000000"/>
                <w:sz w:val="17"/>
                <w:szCs w:val="16"/>
              </w:rPr>
              <w:t xml:space="preserve">Impact </w:t>
            </w:r>
          </w:p>
          <w:p w14:paraId="00828410" w14:textId="432010DE" w:rsidR="009A4111" w:rsidRPr="00C0427B" w:rsidRDefault="009A4111" w:rsidP="00C0427B">
            <w:pPr>
              <w:pStyle w:val="ExhibitText"/>
              <w:jc w:val="center"/>
              <w:rPr>
                <w:b/>
                <w:color w:val="000000"/>
                <w:sz w:val="17"/>
                <w:szCs w:val="16"/>
              </w:rPr>
            </w:pPr>
            <w:r w:rsidRPr="00C0427B">
              <w:rPr>
                <w:b/>
                <w:color w:val="000000"/>
                <w:sz w:val="17"/>
                <w:szCs w:val="16"/>
              </w:rPr>
              <w:t>(long-term benefit)</w:t>
            </w:r>
          </w:p>
        </w:tc>
      </w:tr>
      <w:tr w:rsidR="009A4111" w:rsidRPr="00F81BEE" w14:paraId="36993BAE" w14:textId="77777777" w:rsidTr="00C0427B">
        <w:trPr>
          <w:trHeight w:val="288"/>
          <w:jc w:val="center"/>
        </w:trPr>
        <w:tc>
          <w:tcPr>
            <w:tcW w:w="2065" w:type="dxa"/>
            <w:vMerge w:val="restart"/>
            <w:tcBorders>
              <w:top w:val="single" w:sz="4" w:space="0" w:color="auto"/>
              <w:bottom w:val="dotted" w:sz="4" w:space="0" w:color="auto"/>
            </w:tcBorders>
            <w:vAlign w:val="center"/>
            <w:hideMark/>
          </w:tcPr>
          <w:p w14:paraId="69D8F155" w14:textId="1ACC924E" w:rsidR="009A4111" w:rsidRPr="00F81BEE" w:rsidRDefault="00CA3476" w:rsidP="00213B83">
            <w:pPr>
              <w:pStyle w:val="ExhibitText"/>
              <w:jc w:val="left"/>
              <w:rPr>
                <w:color w:val="000000"/>
                <w:sz w:val="17"/>
                <w:szCs w:val="16"/>
              </w:rPr>
            </w:pPr>
            <w:r w:rsidRPr="00F81BEE">
              <w:rPr>
                <w:color w:val="000000"/>
                <w:sz w:val="17"/>
                <w:szCs w:val="16"/>
              </w:rPr>
              <w:t>Long-term care facility</w:t>
            </w:r>
          </w:p>
        </w:tc>
        <w:tc>
          <w:tcPr>
            <w:tcW w:w="2248" w:type="dxa"/>
            <w:tcBorders>
              <w:top w:val="single" w:sz="4" w:space="0" w:color="auto"/>
              <w:bottom w:val="nil"/>
            </w:tcBorders>
            <w:hideMark/>
          </w:tcPr>
          <w:p w14:paraId="42AF32D1" w14:textId="15521C19" w:rsidR="009A4111" w:rsidRPr="00F81BEE" w:rsidRDefault="009A4111" w:rsidP="00C0427B">
            <w:pPr>
              <w:pStyle w:val="ExhibitText"/>
              <w:jc w:val="left"/>
              <w:rPr>
                <w:color w:val="000000"/>
                <w:sz w:val="17"/>
                <w:szCs w:val="16"/>
              </w:rPr>
            </w:pPr>
            <w:r w:rsidRPr="00F81BEE">
              <w:rPr>
                <w:color w:val="000000"/>
                <w:sz w:val="17"/>
                <w:szCs w:val="16"/>
              </w:rPr>
              <w:t>Employees</w:t>
            </w:r>
            <w:r w:rsidR="00772407" w:rsidRPr="00F81BEE">
              <w:rPr>
                <w:color w:val="000000"/>
                <w:sz w:val="17"/>
                <w:szCs w:val="16"/>
              </w:rPr>
              <w:t>’</w:t>
            </w:r>
            <w:r w:rsidRPr="00F81BEE">
              <w:rPr>
                <w:color w:val="000000"/>
                <w:sz w:val="17"/>
                <w:szCs w:val="16"/>
              </w:rPr>
              <w:t xml:space="preserve"> time</w:t>
            </w:r>
          </w:p>
        </w:tc>
        <w:tc>
          <w:tcPr>
            <w:tcW w:w="2159" w:type="dxa"/>
            <w:vMerge w:val="restart"/>
            <w:tcBorders>
              <w:top w:val="single" w:sz="4" w:space="0" w:color="auto"/>
              <w:bottom w:val="nil"/>
            </w:tcBorders>
            <w:hideMark/>
          </w:tcPr>
          <w:p w14:paraId="563D517E" w14:textId="4E3C906A" w:rsidR="009A4111" w:rsidRPr="00F81BEE" w:rsidRDefault="009A4111" w:rsidP="00C0427B">
            <w:pPr>
              <w:pStyle w:val="ExhibitText"/>
              <w:jc w:val="left"/>
              <w:rPr>
                <w:color w:val="000000"/>
                <w:sz w:val="17"/>
                <w:szCs w:val="16"/>
              </w:rPr>
            </w:pPr>
            <w:r w:rsidRPr="00F81BEE">
              <w:rPr>
                <w:color w:val="000000"/>
                <w:sz w:val="17"/>
                <w:szCs w:val="16"/>
              </w:rPr>
              <w:t xml:space="preserve">Producing </w:t>
            </w:r>
            <w:r w:rsidR="00CA3476" w:rsidRPr="00F81BEE">
              <w:rPr>
                <w:color w:val="000000"/>
                <w:sz w:val="17"/>
                <w:szCs w:val="16"/>
              </w:rPr>
              <w:t>and</w:t>
            </w:r>
            <w:r w:rsidRPr="00F81BEE">
              <w:rPr>
                <w:color w:val="000000"/>
                <w:sz w:val="17"/>
                <w:szCs w:val="16"/>
              </w:rPr>
              <w:t xml:space="preserve"> delivering meals to </w:t>
            </w:r>
            <w:r w:rsidR="006D67FE" w:rsidRPr="00F81BEE">
              <w:rPr>
                <w:color w:val="000000"/>
                <w:sz w:val="17"/>
                <w:szCs w:val="16"/>
              </w:rPr>
              <w:t>long-term care faciliti</w:t>
            </w:r>
            <w:r w:rsidRPr="00F81BEE">
              <w:rPr>
                <w:color w:val="000000"/>
                <w:sz w:val="17"/>
                <w:szCs w:val="16"/>
              </w:rPr>
              <w:t>es</w:t>
            </w:r>
          </w:p>
        </w:tc>
        <w:tc>
          <w:tcPr>
            <w:tcW w:w="2158" w:type="dxa"/>
            <w:vMerge w:val="restart"/>
            <w:tcBorders>
              <w:top w:val="single" w:sz="4" w:space="0" w:color="auto"/>
              <w:bottom w:val="nil"/>
            </w:tcBorders>
            <w:hideMark/>
          </w:tcPr>
          <w:p w14:paraId="096C3940" w14:textId="1D182853" w:rsidR="009A4111" w:rsidRPr="00F81BEE" w:rsidRDefault="009A4111" w:rsidP="00C0427B">
            <w:pPr>
              <w:pStyle w:val="ExhibitText"/>
              <w:jc w:val="left"/>
              <w:rPr>
                <w:color w:val="000000"/>
                <w:sz w:val="17"/>
                <w:szCs w:val="16"/>
              </w:rPr>
            </w:pPr>
            <w:r w:rsidRPr="00F81BEE">
              <w:rPr>
                <w:color w:val="000000"/>
                <w:sz w:val="17"/>
                <w:szCs w:val="16"/>
              </w:rPr>
              <w:t>Cost per meal</w:t>
            </w:r>
            <w:r w:rsidR="00CA3476" w:rsidRPr="00F81BEE">
              <w:rPr>
                <w:color w:val="000000"/>
                <w:sz w:val="17"/>
                <w:szCs w:val="16"/>
              </w:rPr>
              <w:t xml:space="preserve"> and number</w:t>
            </w:r>
            <w:r w:rsidRPr="00F81BEE">
              <w:rPr>
                <w:color w:val="000000"/>
                <w:sz w:val="17"/>
                <w:szCs w:val="16"/>
              </w:rPr>
              <w:t xml:space="preserve"> of meals delivered</w:t>
            </w:r>
          </w:p>
        </w:tc>
        <w:tc>
          <w:tcPr>
            <w:tcW w:w="2158" w:type="dxa"/>
            <w:vMerge w:val="restart"/>
            <w:tcBorders>
              <w:top w:val="single" w:sz="4" w:space="0" w:color="auto"/>
              <w:bottom w:val="nil"/>
            </w:tcBorders>
            <w:hideMark/>
          </w:tcPr>
          <w:p w14:paraId="17DD0400" w14:textId="0D8DEBF2" w:rsidR="009A4111" w:rsidRPr="00F81BEE" w:rsidRDefault="009A4111" w:rsidP="00C0427B">
            <w:pPr>
              <w:pStyle w:val="ExhibitText"/>
              <w:jc w:val="left"/>
              <w:rPr>
                <w:color w:val="000000"/>
                <w:sz w:val="17"/>
                <w:szCs w:val="16"/>
              </w:rPr>
            </w:pPr>
            <w:r w:rsidRPr="00F81BEE">
              <w:rPr>
                <w:color w:val="000000"/>
                <w:sz w:val="17"/>
                <w:szCs w:val="16"/>
              </w:rPr>
              <w:t>Free</w:t>
            </w:r>
            <w:r w:rsidR="00A6234A" w:rsidRPr="00F81BEE">
              <w:rPr>
                <w:color w:val="000000"/>
                <w:sz w:val="17"/>
                <w:szCs w:val="16"/>
              </w:rPr>
              <w:t>ing</w:t>
            </w:r>
            <w:r w:rsidRPr="00F81BEE">
              <w:rPr>
                <w:color w:val="000000"/>
                <w:sz w:val="17"/>
                <w:szCs w:val="16"/>
              </w:rPr>
              <w:t xml:space="preserve"> up resources</w:t>
            </w:r>
            <w:r w:rsidR="00A6234A" w:rsidRPr="00F81BEE">
              <w:rPr>
                <w:color w:val="000000"/>
                <w:sz w:val="17"/>
                <w:szCs w:val="16"/>
              </w:rPr>
              <w:t xml:space="preserve"> by</w:t>
            </w:r>
            <w:r w:rsidRPr="00F81BEE">
              <w:rPr>
                <w:color w:val="000000"/>
                <w:sz w:val="17"/>
                <w:szCs w:val="16"/>
              </w:rPr>
              <w:t xml:space="preserve"> outsourcing to </w:t>
            </w:r>
            <w:proofErr w:type="spellStart"/>
            <w:r w:rsidRPr="00F81BEE">
              <w:rPr>
                <w:color w:val="000000"/>
                <w:sz w:val="17"/>
                <w:szCs w:val="16"/>
              </w:rPr>
              <w:t>Samsui</w:t>
            </w:r>
            <w:proofErr w:type="spellEnd"/>
            <w:r w:rsidRPr="00F81BEE">
              <w:rPr>
                <w:color w:val="000000"/>
                <w:sz w:val="17"/>
                <w:szCs w:val="16"/>
              </w:rPr>
              <w:t xml:space="preserve"> to plan for more</w:t>
            </w:r>
            <w:r w:rsidR="00A6234A" w:rsidRPr="00F81BEE">
              <w:rPr>
                <w:color w:val="000000"/>
                <w:sz w:val="17"/>
                <w:szCs w:val="16"/>
              </w:rPr>
              <w:t xml:space="preserve"> and </w:t>
            </w:r>
            <w:r w:rsidRPr="00F81BEE">
              <w:rPr>
                <w:color w:val="000000"/>
                <w:sz w:val="17"/>
                <w:szCs w:val="16"/>
              </w:rPr>
              <w:t>better activities to engage residents</w:t>
            </w:r>
          </w:p>
        </w:tc>
        <w:tc>
          <w:tcPr>
            <w:tcW w:w="2162" w:type="dxa"/>
            <w:vMerge w:val="restart"/>
            <w:tcBorders>
              <w:top w:val="single" w:sz="4" w:space="0" w:color="auto"/>
              <w:bottom w:val="nil"/>
            </w:tcBorders>
            <w:hideMark/>
          </w:tcPr>
          <w:p w14:paraId="14EF2CE0" w14:textId="77777777" w:rsidR="009A4111" w:rsidRPr="00F81BEE" w:rsidRDefault="009A4111" w:rsidP="00C0427B">
            <w:pPr>
              <w:pStyle w:val="ExhibitText"/>
              <w:jc w:val="left"/>
              <w:rPr>
                <w:sz w:val="17"/>
                <w:szCs w:val="16"/>
              </w:rPr>
            </w:pPr>
            <w:r w:rsidRPr="00F81BEE">
              <w:rPr>
                <w:sz w:val="17"/>
                <w:szCs w:val="16"/>
              </w:rPr>
              <w:t>Increased quality of life of residents</w:t>
            </w:r>
          </w:p>
        </w:tc>
      </w:tr>
      <w:tr w:rsidR="009E5642" w:rsidRPr="00F81BEE" w14:paraId="3B4C2998" w14:textId="77777777" w:rsidTr="002A1733">
        <w:trPr>
          <w:trHeight w:val="288"/>
          <w:jc w:val="center"/>
        </w:trPr>
        <w:tc>
          <w:tcPr>
            <w:tcW w:w="2065" w:type="dxa"/>
            <w:vMerge/>
            <w:tcBorders>
              <w:top w:val="dotted" w:sz="4" w:space="0" w:color="auto"/>
              <w:bottom w:val="dotted" w:sz="4" w:space="0" w:color="auto"/>
            </w:tcBorders>
            <w:vAlign w:val="center"/>
            <w:hideMark/>
          </w:tcPr>
          <w:p w14:paraId="2F9365CB" w14:textId="77777777" w:rsidR="009A4111" w:rsidRPr="00F81BEE" w:rsidRDefault="009A4111" w:rsidP="00213B83">
            <w:pPr>
              <w:pStyle w:val="ExhibitText"/>
              <w:jc w:val="left"/>
              <w:rPr>
                <w:color w:val="000000"/>
                <w:sz w:val="17"/>
                <w:szCs w:val="16"/>
              </w:rPr>
            </w:pPr>
          </w:p>
        </w:tc>
        <w:tc>
          <w:tcPr>
            <w:tcW w:w="2248" w:type="dxa"/>
            <w:tcBorders>
              <w:top w:val="nil"/>
              <w:bottom w:val="dotted" w:sz="4" w:space="0" w:color="auto"/>
            </w:tcBorders>
            <w:hideMark/>
          </w:tcPr>
          <w:p w14:paraId="44B4DF95" w14:textId="3265F56F" w:rsidR="009A4111" w:rsidRPr="00F81BEE" w:rsidRDefault="009A4111" w:rsidP="00C0427B">
            <w:pPr>
              <w:pStyle w:val="ExhibitText"/>
              <w:jc w:val="left"/>
              <w:rPr>
                <w:color w:val="000000"/>
                <w:sz w:val="17"/>
                <w:szCs w:val="16"/>
              </w:rPr>
            </w:pPr>
            <w:r w:rsidRPr="00F81BEE">
              <w:rPr>
                <w:color w:val="000000"/>
                <w:sz w:val="17"/>
                <w:szCs w:val="16"/>
              </w:rPr>
              <w:t xml:space="preserve">Central kitchen equipment </w:t>
            </w:r>
            <w:r w:rsidR="00CA3476" w:rsidRPr="00F81BEE">
              <w:rPr>
                <w:color w:val="000000"/>
                <w:sz w:val="17"/>
                <w:szCs w:val="16"/>
              </w:rPr>
              <w:t>and</w:t>
            </w:r>
            <w:r w:rsidRPr="00F81BEE">
              <w:rPr>
                <w:color w:val="000000"/>
                <w:sz w:val="17"/>
                <w:szCs w:val="16"/>
              </w:rPr>
              <w:t xml:space="preserve"> facility</w:t>
            </w:r>
          </w:p>
        </w:tc>
        <w:tc>
          <w:tcPr>
            <w:tcW w:w="2159" w:type="dxa"/>
            <w:vMerge/>
            <w:tcBorders>
              <w:top w:val="nil"/>
              <w:bottom w:val="dotted" w:sz="4" w:space="0" w:color="auto"/>
            </w:tcBorders>
            <w:hideMark/>
          </w:tcPr>
          <w:p w14:paraId="69F231DD" w14:textId="77777777" w:rsidR="009A4111" w:rsidRPr="00F81BEE" w:rsidRDefault="009A4111" w:rsidP="00C0427B">
            <w:pPr>
              <w:pStyle w:val="ExhibitText"/>
              <w:jc w:val="left"/>
              <w:rPr>
                <w:color w:val="000000"/>
                <w:sz w:val="17"/>
                <w:szCs w:val="16"/>
              </w:rPr>
            </w:pPr>
          </w:p>
        </w:tc>
        <w:tc>
          <w:tcPr>
            <w:tcW w:w="2158" w:type="dxa"/>
            <w:vMerge/>
            <w:tcBorders>
              <w:top w:val="nil"/>
              <w:bottom w:val="dotted" w:sz="4" w:space="0" w:color="auto"/>
            </w:tcBorders>
            <w:hideMark/>
          </w:tcPr>
          <w:p w14:paraId="0B6FEA38" w14:textId="77777777" w:rsidR="009A4111" w:rsidRPr="00F81BEE" w:rsidRDefault="009A4111" w:rsidP="00C0427B">
            <w:pPr>
              <w:pStyle w:val="ExhibitText"/>
              <w:jc w:val="left"/>
              <w:rPr>
                <w:color w:val="000000"/>
                <w:sz w:val="17"/>
                <w:szCs w:val="16"/>
              </w:rPr>
            </w:pPr>
          </w:p>
        </w:tc>
        <w:tc>
          <w:tcPr>
            <w:tcW w:w="2158" w:type="dxa"/>
            <w:vMerge/>
            <w:tcBorders>
              <w:top w:val="nil"/>
              <w:bottom w:val="dotted" w:sz="4" w:space="0" w:color="auto"/>
            </w:tcBorders>
            <w:hideMark/>
          </w:tcPr>
          <w:p w14:paraId="5F790E47" w14:textId="77777777" w:rsidR="009A4111" w:rsidRPr="00F81BEE" w:rsidRDefault="009A4111" w:rsidP="00C0427B">
            <w:pPr>
              <w:pStyle w:val="ExhibitText"/>
              <w:jc w:val="left"/>
              <w:rPr>
                <w:color w:val="000000"/>
                <w:sz w:val="17"/>
                <w:szCs w:val="16"/>
              </w:rPr>
            </w:pPr>
          </w:p>
        </w:tc>
        <w:tc>
          <w:tcPr>
            <w:tcW w:w="2162" w:type="dxa"/>
            <w:vMerge/>
            <w:tcBorders>
              <w:top w:val="nil"/>
              <w:bottom w:val="dotted" w:sz="4" w:space="0" w:color="auto"/>
            </w:tcBorders>
            <w:hideMark/>
          </w:tcPr>
          <w:p w14:paraId="4225B2E1" w14:textId="77777777" w:rsidR="009A4111" w:rsidRPr="00F81BEE" w:rsidRDefault="009A4111" w:rsidP="00C0427B">
            <w:pPr>
              <w:pStyle w:val="ExhibitText"/>
              <w:jc w:val="left"/>
              <w:rPr>
                <w:sz w:val="17"/>
                <w:szCs w:val="16"/>
              </w:rPr>
            </w:pPr>
          </w:p>
        </w:tc>
      </w:tr>
      <w:tr w:rsidR="009A4111" w:rsidRPr="00F81BEE" w14:paraId="653BB27B" w14:textId="77777777" w:rsidTr="002A1733">
        <w:trPr>
          <w:trHeight w:val="288"/>
          <w:jc w:val="center"/>
        </w:trPr>
        <w:tc>
          <w:tcPr>
            <w:tcW w:w="2065" w:type="dxa"/>
            <w:vMerge w:val="restart"/>
            <w:tcBorders>
              <w:top w:val="dotted" w:sz="4" w:space="0" w:color="auto"/>
            </w:tcBorders>
            <w:vAlign w:val="center"/>
            <w:hideMark/>
          </w:tcPr>
          <w:p w14:paraId="73E48D79" w14:textId="37EE8F3D" w:rsidR="009A4111" w:rsidRPr="00F81BEE" w:rsidRDefault="00CA3476" w:rsidP="00213B83">
            <w:pPr>
              <w:pStyle w:val="ExhibitText"/>
              <w:jc w:val="left"/>
              <w:rPr>
                <w:color w:val="000000"/>
                <w:sz w:val="17"/>
                <w:szCs w:val="16"/>
              </w:rPr>
            </w:pPr>
            <w:r w:rsidRPr="00F81BEE">
              <w:rPr>
                <w:color w:val="000000"/>
                <w:sz w:val="17"/>
                <w:szCs w:val="16"/>
              </w:rPr>
              <w:t>Long-term care facility</w:t>
            </w:r>
            <w:r w:rsidR="009A4111" w:rsidRPr="00F81BEE">
              <w:rPr>
                <w:color w:val="000000"/>
                <w:sz w:val="17"/>
                <w:szCs w:val="16"/>
              </w:rPr>
              <w:t xml:space="preserve"> residents</w:t>
            </w:r>
          </w:p>
        </w:tc>
        <w:tc>
          <w:tcPr>
            <w:tcW w:w="2248" w:type="dxa"/>
            <w:tcBorders>
              <w:top w:val="dotted" w:sz="4" w:space="0" w:color="auto"/>
            </w:tcBorders>
            <w:hideMark/>
          </w:tcPr>
          <w:p w14:paraId="22145252" w14:textId="34C1AB79" w:rsidR="009A4111" w:rsidRPr="00F81BEE" w:rsidRDefault="009A4111" w:rsidP="00C0427B">
            <w:pPr>
              <w:pStyle w:val="ExhibitText"/>
              <w:jc w:val="left"/>
              <w:rPr>
                <w:color w:val="000000"/>
                <w:sz w:val="17"/>
                <w:szCs w:val="16"/>
              </w:rPr>
            </w:pPr>
            <w:r w:rsidRPr="00F81BEE">
              <w:rPr>
                <w:color w:val="000000"/>
                <w:sz w:val="17"/>
                <w:szCs w:val="16"/>
              </w:rPr>
              <w:t>Employees</w:t>
            </w:r>
            <w:r w:rsidR="00772407" w:rsidRPr="00F81BEE">
              <w:rPr>
                <w:color w:val="000000"/>
                <w:sz w:val="17"/>
                <w:szCs w:val="16"/>
              </w:rPr>
              <w:t>’</w:t>
            </w:r>
            <w:r w:rsidRPr="00F81BEE">
              <w:rPr>
                <w:color w:val="000000"/>
                <w:sz w:val="17"/>
                <w:szCs w:val="16"/>
              </w:rPr>
              <w:t xml:space="preserve"> time</w:t>
            </w:r>
          </w:p>
        </w:tc>
        <w:tc>
          <w:tcPr>
            <w:tcW w:w="2159" w:type="dxa"/>
            <w:vMerge w:val="restart"/>
            <w:tcBorders>
              <w:top w:val="dotted" w:sz="4" w:space="0" w:color="auto"/>
              <w:bottom w:val="single" w:sz="4" w:space="0" w:color="auto"/>
            </w:tcBorders>
            <w:hideMark/>
          </w:tcPr>
          <w:p w14:paraId="00A6D4E8" w14:textId="2FA15E89" w:rsidR="009A4111" w:rsidRPr="00F81BEE" w:rsidRDefault="009A4111" w:rsidP="00C0427B">
            <w:pPr>
              <w:pStyle w:val="ExhibitText"/>
              <w:jc w:val="left"/>
              <w:rPr>
                <w:color w:val="000000"/>
                <w:sz w:val="17"/>
                <w:szCs w:val="16"/>
              </w:rPr>
            </w:pPr>
            <w:r w:rsidRPr="00F81BEE">
              <w:rPr>
                <w:color w:val="000000"/>
                <w:sz w:val="17"/>
                <w:szCs w:val="16"/>
              </w:rPr>
              <w:t>Residents enjoying</w:t>
            </w:r>
            <w:r w:rsidR="00CA3476" w:rsidRPr="00F81BEE">
              <w:rPr>
                <w:color w:val="000000"/>
                <w:sz w:val="17"/>
                <w:szCs w:val="16"/>
              </w:rPr>
              <w:t xml:space="preserve"> and </w:t>
            </w:r>
            <w:r w:rsidRPr="00F81BEE">
              <w:rPr>
                <w:color w:val="000000"/>
                <w:sz w:val="17"/>
                <w:szCs w:val="16"/>
              </w:rPr>
              <w:t xml:space="preserve">consuming more nutritious </w:t>
            </w:r>
            <w:r w:rsidR="00CA3476" w:rsidRPr="00F81BEE">
              <w:rPr>
                <w:color w:val="000000"/>
                <w:sz w:val="17"/>
                <w:szCs w:val="16"/>
              </w:rPr>
              <w:t>and</w:t>
            </w:r>
            <w:r w:rsidRPr="00F81BEE">
              <w:rPr>
                <w:color w:val="000000"/>
                <w:sz w:val="17"/>
                <w:szCs w:val="16"/>
              </w:rPr>
              <w:t xml:space="preserve"> varied food options</w:t>
            </w:r>
          </w:p>
        </w:tc>
        <w:tc>
          <w:tcPr>
            <w:tcW w:w="2158" w:type="dxa"/>
            <w:vMerge w:val="restart"/>
            <w:tcBorders>
              <w:top w:val="dotted" w:sz="4" w:space="0" w:color="auto"/>
              <w:bottom w:val="single" w:sz="4" w:space="0" w:color="auto"/>
            </w:tcBorders>
            <w:hideMark/>
          </w:tcPr>
          <w:p w14:paraId="1B4275D7" w14:textId="2D1F3302" w:rsidR="009A4111" w:rsidRPr="00F81BEE" w:rsidRDefault="009A4111" w:rsidP="00C0427B">
            <w:pPr>
              <w:pStyle w:val="ExhibitText"/>
              <w:jc w:val="left"/>
              <w:rPr>
                <w:color w:val="000000"/>
                <w:sz w:val="17"/>
                <w:szCs w:val="16"/>
              </w:rPr>
            </w:pPr>
            <w:r w:rsidRPr="00F81BEE">
              <w:rPr>
                <w:color w:val="000000"/>
                <w:sz w:val="17"/>
                <w:szCs w:val="16"/>
              </w:rPr>
              <w:t>N</w:t>
            </w:r>
            <w:r w:rsidR="00CA3476" w:rsidRPr="00F81BEE">
              <w:rPr>
                <w:color w:val="000000"/>
                <w:sz w:val="17"/>
                <w:szCs w:val="16"/>
              </w:rPr>
              <w:t>u</w:t>
            </w:r>
            <w:r w:rsidR="00AF7001" w:rsidRPr="00F81BEE">
              <w:rPr>
                <w:color w:val="000000"/>
                <w:sz w:val="17"/>
                <w:szCs w:val="16"/>
              </w:rPr>
              <w:t>m</w:t>
            </w:r>
            <w:r w:rsidR="00CA3476" w:rsidRPr="00F81BEE">
              <w:rPr>
                <w:color w:val="000000"/>
                <w:sz w:val="17"/>
                <w:szCs w:val="16"/>
              </w:rPr>
              <w:t>ber</w:t>
            </w:r>
            <w:r w:rsidRPr="00F81BEE">
              <w:rPr>
                <w:color w:val="000000"/>
                <w:sz w:val="17"/>
                <w:szCs w:val="16"/>
              </w:rPr>
              <w:t xml:space="preserve"> of beneficiaries</w:t>
            </w:r>
          </w:p>
        </w:tc>
        <w:tc>
          <w:tcPr>
            <w:tcW w:w="2158" w:type="dxa"/>
            <w:vMerge w:val="restart"/>
            <w:tcBorders>
              <w:top w:val="dotted" w:sz="4" w:space="0" w:color="auto"/>
              <w:bottom w:val="single" w:sz="4" w:space="0" w:color="auto"/>
            </w:tcBorders>
            <w:hideMark/>
          </w:tcPr>
          <w:p w14:paraId="5FAF7D5D" w14:textId="77777777" w:rsidR="009A4111" w:rsidRPr="00F81BEE" w:rsidRDefault="009A4111" w:rsidP="00C0427B">
            <w:pPr>
              <w:pStyle w:val="ExhibitText"/>
              <w:jc w:val="left"/>
              <w:rPr>
                <w:color w:val="000000"/>
                <w:sz w:val="17"/>
                <w:szCs w:val="16"/>
              </w:rPr>
            </w:pPr>
            <w:r w:rsidRPr="00F81BEE">
              <w:rPr>
                <w:color w:val="000000"/>
                <w:sz w:val="17"/>
                <w:szCs w:val="16"/>
              </w:rPr>
              <w:t>Residents provided with a greater variety of nutritious meals</w:t>
            </w:r>
          </w:p>
        </w:tc>
        <w:tc>
          <w:tcPr>
            <w:tcW w:w="2162" w:type="dxa"/>
            <w:vMerge w:val="restart"/>
            <w:tcBorders>
              <w:top w:val="dotted" w:sz="4" w:space="0" w:color="auto"/>
              <w:bottom w:val="single" w:sz="4" w:space="0" w:color="auto"/>
            </w:tcBorders>
            <w:hideMark/>
          </w:tcPr>
          <w:p w14:paraId="6A695055" w14:textId="77777777" w:rsidR="009A4111" w:rsidRPr="00F81BEE" w:rsidRDefault="009A4111" w:rsidP="00C0427B">
            <w:pPr>
              <w:pStyle w:val="ExhibitText"/>
              <w:jc w:val="left"/>
              <w:rPr>
                <w:color w:val="000000"/>
                <w:sz w:val="17"/>
                <w:szCs w:val="16"/>
              </w:rPr>
            </w:pPr>
            <w:r w:rsidRPr="00F81BEE">
              <w:rPr>
                <w:color w:val="000000"/>
                <w:sz w:val="17"/>
                <w:szCs w:val="16"/>
              </w:rPr>
              <w:t>Increased quality of life of residents</w:t>
            </w:r>
          </w:p>
        </w:tc>
      </w:tr>
      <w:tr w:rsidR="009E5642" w:rsidRPr="00F81BEE" w14:paraId="5E776985" w14:textId="77777777" w:rsidTr="00C0427B">
        <w:trPr>
          <w:trHeight w:val="288"/>
          <w:jc w:val="center"/>
        </w:trPr>
        <w:tc>
          <w:tcPr>
            <w:tcW w:w="2065" w:type="dxa"/>
            <w:vMerge/>
            <w:vAlign w:val="center"/>
            <w:hideMark/>
          </w:tcPr>
          <w:p w14:paraId="3E3AFE36" w14:textId="77777777" w:rsidR="009A4111" w:rsidRPr="00F81BEE" w:rsidRDefault="009A4111" w:rsidP="00213B83">
            <w:pPr>
              <w:pStyle w:val="ExhibitText"/>
              <w:jc w:val="left"/>
              <w:rPr>
                <w:color w:val="000000"/>
                <w:sz w:val="17"/>
                <w:szCs w:val="16"/>
              </w:rPr>
            </w:pPr>
          </w:p>
        </w:tc>
        <w:tc>
          <w:tcPr>
            <w:tcW w:w="2248" w:type="dxa"/>
            <w:vAlign w:val="center"/>
            <w:hideMark/>
          </w:tcPr>
          <w:p w14:paraId="78373C2C" w14:textId="45D07713" w:rsidR="009A4111" w:rsidRPr="00F81BEE" w:rsidRDefault="009A4111" w:rsidP="00213B83">
            <w:pPr>
              <w:pStyle w:val="ExhibitText"/>
              <w:jc w:val="left"/>
              <w:rPr>
                <w:color w:val="000000"/>
                <w:sz w:val="17"/>
                <w:szCs w:val="16"/>
              </w:rPr>
            </w:pPr>
            <w:r w:rsidRPr="00F81BEE">
              <w:rPr>
                <w:color w:val="000000"/>
                <w:sz w:val="17"/>
                <w:szCs w:val="16"/>
              </w:rPr>
              <w:t xml:space="preserve">Central kitchen equipment </w:t>
            </w:r>
            <w:r w:rsidR="00CA3476" w:rsidRPr="00F81BEE">
              <w:rPr>
                <w:color w:val="000000"/>
                <w:sz w:val="17"/>
                <w:szCs w:val="16"/>
              </w:rPr>
              <w:t>and</w:t>
            </w:r>
            <w:r w:rsidRPr="00F81BEE">
              <w:rPr>
                <w:color w:val="000000"/>
                <w:sz w:val="17"/>
                <w:szCs w:val="16"/>
              </w:rPr>
              <w:t xml:space="preserve"> facility</w:t>
            </w:r>
          </w:p>
        </w:tc>
        <w:tc>
          <w:tcPr>
            <w:tcW w:w="2159" w:type="dxa"/>
            <w:vMerge/>
            <w:tcBorders>
              <w:top w:val="nil"/>
              <w:bottom w:val="single" w:sz="4" w:space="0" w:color="auto"/>
            </w:tcBorders>
            <w:vAlign w:val="center"/>
            <w:hideMark/>
          </w:tcPr>
          <w:p w14:paraId="7A0C6D06" w14:textId="77777777" w:rsidR="009A4111" w:rsidRPr="00F81BEE" w:rsidRDefault="009A4111" w:rsidP="00213B83">
            <w:pPr>
              <w:pStyle w:val="ExhibitText"/>
              <w:jc w:val="left"/>
              <w:rPr>
                <w:color w:val="000000"/>
                <w:sz w:val="17"/>
                <w:szCs w:val="16"/>
              </w:rPr>
            </w:pPr>
          </w:p>
        </w:tc>
        <w:tc>
          <w:tcPr>
            <w:tcW w:w="2158" w:type="dxa"/>
            <w:vMerge/>
            <w:tcBorders>
              <w:top w:val="nil"/>
              <w:bottom w:val="single" w:sz="4" w:space="0" w:color="auto"/>
            </w:tcBorders>
            <w:vAlign w:val="center"/>
            <w:hideMark/>
          </w:tcPr>
          <w:p w14:paraId="49BF87EC" w14:textId="77777777" w:rsidR="009A4111" w:rsidRPr="00F81BEE" w:rsidRDefault="009A4111" w:rsidP="00213B83">
            <w:pPr>
              <w:pStyle w:val="ExhibitText"/>
              <w:jc w:val="left"/>
              <w:rPr>
                <w:color w:val="000000"/>
                <w:sz w:val="17"/>
                <w:szCs w:val="16"/>
              </w:rPr>
            </w:pPr>
          </w:p>
        </w:tc>
        <w:tc>
          <w:tcPr>
            <w:tcW w:w="2158" w:type="dxa"/>
            <w:vMerge/>
            <w:tcBorders>
              <w:top w:val="nil"/>
              <w:bottom w:val="single" w:sz="4" w:space="0" w:color="auto"/>
            </w:tcBorders>
            <w:vAlign w:val="center"/>
            <w:hideMark/>
          </w:tcPr>
          <w:p w14:paraId="53CE559B" w14:textId="77777777" w:rsidR="009A4111" w:rsidRPr="00F81BEE" w:rsidRDefault="009A4111" w:rsidP="00213B83">
            <w:pPr>
              <w:pStyle w:val="ExhibitText"/>
              <w:jc w:val="left"/>
              <w:rPr>
                <w:color w:val="000000"/>
                <w:sz w:val="17"/>
                <w:szCs w:val="16"/>
              </w:rPr>
            </w:pPr>
          </w:p>
        </w:tc>
        <w:tc>
          <w:tcPr>
            <w:tcW w:w="2162" w:type="dxa"/>
            <w:vMerge/>
            <w:tcBorders>
              <w:top w:val="nil"/>
              <w:bottom w:val="single" w:sz="4" w:space="0" w:color="auto"/>
            </w:tcBorders>
            <w:vAlign w:val="center"/>
            <w:hideMark/>
          </w:tcPr>
          <w:p w14:paraId="2DB6F23A" w14:textId="77777777" w:rsidR="009A4111" w:rsidRPr="00F81BEE" w:rsidRDefault="009A4111" w:rsidP="00213B83">
            <w:pPr>
              <w:pStyle w:val="ExhibitText"/>
              <w:jc w:val="left"/>
              <w:rPr>
                <w:color w:val="000000"/>
                <w:sz w:val="17"/>
                <w:szCs w:val="16"/>
              </w:rPr>
            </w:pPr>
          </w:p>
        </w:tc>
      </w:tr>
    </w:tbl>
    <w:p w14:paraId="0F95739E" w14:textId="77777777" w:rsidR="009A4111" w:rsidRPr="00C70F23" w:rsidRDefault="009A4111" w:rsidP="00D16145">
      <w:pPr>
        <w:pStyle w:val="ExhibitText"/>
        <w:rPr>
          <w:rFonts w:eastAsia="DengXian"/>
          <w:sz w:val="22"/>
          <w:szCs w:val="22"/>
          <w:lang w:eastAsia="zh-CN"/>
        </w:rPr>
      </w:pPr>
    </w:p>
    <w:p w14:paraId="3F87DA6C" w14:textId="1EFFD284" w:rsidR="009E5642" w:rsidRPr="00C70F23" w:rsidRDefault="009E5642" w:rsidP="00DD1DC7">
      <w:pPr>
        <w:pStyle w:val="Footnote"/>
        <w:rPr>
          <w:rFonts w:eastAsia="Arial"/>
          <w:sz w:val="18"/>
          <w:szCs w:val="18"/>
        </w:rPr>
      </w:pPr>
      <w:r w:rsidRPr="00DD1DC7">
        <w:rPr>
          <w:rFonts w:eastAsia="Arial"/>
        </w:rPr>
        <w:t xml:space="preserve">Source: </w:t>
      </w:r>
      <w:r w:rsidR="00A6234A" w:rsidRPr="00DD1DC7">
        <w:rPr>
          <w:rFonts w:eastAsia="Arial"/>
        </w:rPr>
        <w:t>E</w:t>
      </w:r>
      <w:r w:rsidRPr="00DD1DC7">
        <w:rPr>
          <w:rFonts w:eastAsia="Arial"/>
        </w:rPr>
        <w:t>stimates compiled by the case authors</w:t>
      </w:r>
      <w:r w:rsidRPr="00C70F23">
        <w:rPr>
          <w:rFonts w:eastAsia="Arial"/>
          <w:sz w:val="18"/>
          <w:szCs w:val="18"/>
        </w:rPr>
        <w:t>.</w:t>
      </w:r>
    </w:p>
    <w:p w14:paraId="61AEE831" w14:textId="226BF7EE" w:rsidR="00813AC0" w:rsidRDefault="00813AC0" w:rsidP="00813AC0">
      <w:pPr>
        <w:pStyle w:val="ExhibitText"/>
        <w:rPr>
          <w:rFonts w:eastAsia="Arial"/>
        </w:rPr>
      </w:pPr>
    </w:p>
    <w:p w14:paraId="231334BD" w14:textId="32DAF0E1" w:rsidR="00A6234A" w:rsidRDefault="00A6234A" w:rsidP="00813AC0">
      <w:pPr>
        <w:pStyle w:val="ExhibitText"/>
        <w:rPr>
          <w:rFonts w:eastAsia="Arial"/>
        </w:rPr>
      </w:pPr>
    </w:p>
    <w:p w14:paraId="3F1C2180" w14:textId="4224E4AD" w:rsidR="009E5642" w:rsidRPr="00C70F23" w:rsidRDefault="009460E3" w:rsidP="00813AC0">
      <w:pPr>
        <w:pStyle w:val="ExhibitHeading"/>
        <w:rPr>
          <w:rFonts w:eastAsia="Arial"/>
        </w:rPr>
      </w:pPr>
      <w:r>
        <w:rPr>
          <w:rFonts w:eastAsia="Arial"/>
        </w:rPr>
        <w:t>EXHIBIT 5</w:t>
      </w:r>
      <w:r w:rsidR="009E5642" w:rsidRPr="00C70F23">
        <w:rPr>
          <w:rFonts w:eastAsia="Arial"/>
        </w:rPr>
        <w:t xml:space="preserve">: DATA COLLECTION FOR THE </w:t>
      </w:r>
      <w:r w:rsidR="000D47A4" w:rsidRPr="000D47A4">
        <w:rPr>
          <w:rFonts w:eastAsia="Arial"/>
        </w:rPr>
        <w:t xml:space="preserve">SAMSUI CENTRAL KITCHEN </w:t>
      </w:r>
      <w:r w:rsidR="009E5642" w:rsidRPr="00C70F23">
        <w:rPr>
          <w:rFonts w:eastAsia="Arial"/>
        </w:rPr>
        <w:t>PROJECT</w:t>
      </w:r>
    </w:p>
    <w:p w14:paraId="353DF89A" w14:textId="77777777" w:rsidR="009E5642" w:rsidRPr="00C70F23" w:rsidRDefault="009E5642" w:rsidP="00813AC0">
      <w:pPr>
        <w:pStyle w:val="ExhibitText"/>
        <w:rPr>
          <w:rFonts w:eastAsia="Calibri"/>
        </w:rPr>
      </w:pPr>
    </w:p>
    <w:tbl>
      <w:tblPr>
        <w:tblStyle w:val="TableGrid"/>
        <w:tblW w:w="5000" w:type="pct"/>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45"/>
        <w:gridCol w:w="95"/>
        <w:gridCol w:w="1440"/>
        <w:gridCol w:w="1440"/>
        <w:gridCol w:w="1440"/>
        <w:gridCol w:w="1440"/>
        <w:gridCol w:w="1440"/>
        <w:gridCol w:w="1440"/>
        <w:gridCol w:w="1440"/>
        <w:gridCol w:w="1440"/>
      </w:tblGrid>
      <w:tr w:rsidR="009E5642" w:rsidRPr="00366067" w14:paraId="1E970BD5" w14:textId="77777777" w:rsidTr="009E5F27">
        <w:trPr>
          <w:trHeight w:val="288"/>
        </w:trPr>
        <w:tc>
          <w:tcPr>
            <w:tcW w:w="1345" w:type="dxa"/>
            <w:tcBorders>
              <w:bottom w:val="nil"/>
            </w:tcBorders>
            <w:vAlign w:val="center"/>
            <w:hideMark/>
          </w:tcPr>
          <w:p w14:paraId="25770244" w14:textId="1903FA10" w:rsidR="009E5642" w:rsidRPr="009E5F27" w:rsidRDefault="009E5642" w:rsidP="00366067">
            <w:pPr>
              <w:pStyle w:val="ExhibitText"/>
              <w:jc w:val="left"/>
              <w:rPr>
                <w:b/>
                <w:bCs/>
                <w:sz w:val="17"/>
              </w:rPr>
            </w:pPr>
            <w:bookmarkStart w:id="20" w:name="OLE_LINK1"/>
            <w:r w:rsidRPr="009E5F27">
              <w:rPr>
                <w:b/>
                <w:bCs/>
                <w:sz w:val="17"/>
              </w:rPr>
              <w:t>Organi</w:t>
            </w:r>
            <w:r w:rsidR="00A6234A" w:rsidRPr="009E5F27">
              <w:rPr>
                <w:b/>
                <w:bCs/>
                <w:sz w:val="17"/>
              </w:rPr>
              <w:t>z</w:t>
            </w:r>
            <w:r w:rsidRPr="009E5F27">
              <w:rPr>
                <w:b/>
                <w:bCs/>
                <w:sz w:val="17"/>
              </w:rPr>
              <w:t>ation</w:t>
            </w:r>
          </w:p>
        </w:tc>
        <w:tc>
          <w:tcPr>
            <w:tcW w:w="11615" w:type="dxa"/>
            <w:gridSpan w:val="9"/>
            <w:tcBorders>
              <w:bottom w:val="nil"/>
            </w:tcBorders>
            <w:vAlign w:val="center"/>
            <w:hideMark/>
          </w:tcPr>
          <w:p w14:paraId="619EA7C5" w14:textId="77777777" w:rsidR="009E5642" w:rsidRPr="00366067" w:rsidRDefault="009E5642" w:rsidP="00366067">
            <w:pPr>
              <w:pStyle w:val="ExhibitText"/>
              <w:jc w:val="left"/>
              <w:rPr>
                <w:sz w:val="17"/>
              </w:rPr>
            </w:pPr>
            <w:proofErr w:type="spellStart"/>
            <w:r w:rsidRPr="00366067">
              <w:rPr>
                <w:sz w:val="17"/>
              </w:rPr>
              <w:t>Samsui</w:t>
            </w:r>
            <w:proofErr w:type="spellEnd"/>
            <w:r w:rsidRPr="00366067">
              <w:rPr>
                <w:sz w:val="17"/>
              </w:rPr>
              <w:t xml:space="preserve"> Supplies Private Limited</w:t>
            </w:r>
          </w:p>
        </w:tc>
      </w:tr>
      <w:tr w:rsidR="009E5642" w:rsidRPr="00366067" w14:paraId="21A3A37C" w14:textId="77777777" w:rsidTr="009E5F27">
        <w:trPr>
          <w:trHeight w:val="288"/>
        </w:trPr>
        <w:tc>
          <w:tcPr>
            <w:tcW w:w="1345" w:type="dxa"/>
            <w:tcBorders>
              <w:top w:val="nil"/>
              <w:bottom w:val="single" w:sz="12" w:space="0" w:color="auto"/>
            </w:tcBorders>
            <w:vAlign w:val="center"/>
            <w:hideMark/>
          </w:tcPr>
          <w:p w14:paraId="23ADA6FF" w14:textId="6D3F9E9B" w:rsidR="009E5642" w:rsidRPr="009E5F27" w:rsidRDefault="009E5642" w:rsidP="00366067">
            <w:pPr>
              <w:pStyle w:val="ExhibitText"/>
              <w:jc w:val="left"/>
              <w:rPr>
                <w:b/>
                <w:bCs/>
                <w:sz w:val="17"/>
              </w:rPr>
            </w:pPr>
            <w:r w:rsidRPr="009E5F27">
              <w:rPr>
                <w:b/>
                <w:bCs/>
                <w:sz w:val="17"/>
              </w:rPr>
              <w:t>Intervention</w:t>
            </w:r>
          </w:p>
        </w:tc>
        <w:tc>
          <w:tcPr>
            <w:tcW w:w="11615" w:type="dxa"/>
            <w:gridSpan w:val="9"/>
            <w:tcBorders>
              <w:top w:val="nil"/>
              <w:bottom w:val="single" w:sz="12" w:space="0" w:color="auto"/>
            </w:tcBorders>
            <w:vAlign w:val="center"/>
            <w:hideMark/>
          </w:tcPr>
          <w:p w14:paraId="57EC5C74" w14:textId="1BFFD46B" w:rsidR="009E5642" w:rsidRPr="00366067" w:rsidRDefault="009E5642" w:rsidP="00366067">
            <w:pPr>
              <w:pStyle w:val="ExhibitText"/>
              <w:jc w:val="left"/>
              <w:rPr>
                <w:sz w:val="17"/>
              </w:rPr>
            </w:pPr>
            <w:r w:rsidRPr="00366067">
              <w:rPr>
                <w:sz w:val="17"/>
              </w:rPr>
              <w:t xml:space="preserve">Set up </w:t>
            </w:r>
            <w:r w:rsidR="00A6234A" w:rsidRPr="00366067">
              <w:rPr>
                <w:sz w:val="17"/>
              </w:rPr>
              <w:t xml:space="preserve">the </w:t>
            </w:r>
            <w:r w:rsidRPr="00366067">
              <w:rPr>
                <w:sz w:val="17"/>
              </w:rPr>
              <w:t xml:space="preserve">SCK project to provide a greater variety of nutritious food options to </w:t>
            </w:r>
            <w:r w:rsidR="006D67FE" w:rsidRPr="00366067">
              <w:rPr>
                <w:sz w:val="17"/>
              </w:rPr>
              <w:t>long-term care facility</w:t>
            </w:r>
            <w:r w:rsidRPr="00366067">
              <w:rPr>
                <w:sz w:val="17"/>
              </w:rPr>
              <w:t xml:space="preserve"> residents</w:t>
            </w:r>
            <w:r w:rsidR="00A6234A" w:rsidRPr="00366067">
              <w:rPr>
                <w:sz w:val="17"/>
              </w:rPr>
              <w:t>.</w:t>
            </w:r>
          </w:p>
        </w:tc>
      </w:tr>
      <w:tr w:rsidR="00813AC0" w:rsidRPr="009E5F27" w14:paraId="7B35956A" w14:textId="77777777" w:rsidTr="009E5F27">
        <w:trPr>
          <w:trHeight w:val="288"/>
        </w:trPr>
        <w:tc>
          <w:tcPr>
            <w:tcW w:w="1440" w:type="dxa"/>
            <w:gridSpan w:val="2"/>
            <w:tcBorders>
              <w:top w:val="single" w:sz="12" w:space="0" w:color="auto"/>
              <w:bottom w:val="single" w:sz="4" w:space="0" w:color="auto"/>
            </w:tcBorders>
            <w:vAlign w:val="center"/>
            <w:hideMark/>
          </w:tcPr>
          <w:p w14:paraId="1DC3A19E" w14:textId="77777777" w:rsidR="009E5642" w:rsidRPr="009E5F27" w:rsidRDefault="009E5642" w:rsidP="00366067">
            <w:pPr>
              <w:pStyle w:val="ExhibitText"/>
              <w:jc w:val="left"/>
              <w:rPr>
                <w:b/>
                <w:bCs/>
                <w:sz w:val="17"/>
              </w:rPr>
            </w:pPr>
            <w:r w:rsidRPr="009E5F27">
              <w:rPr>
                <w:b/>
                <w:bCs/>
                <w:sz w:val="17"/>
              </w:rPr>
              <w:t>Stakeholder</w:t>
            </w:r>
          </w:p>
        </w:tc>
        <w:tc>
          <w:tcPr>
            <w:tcW w:w="1440" w:type="dxa"/>
            <w:tcBorders>
              <w:top w:val="single" w:sz="12" w:space="0" w:color="auto"/>
              <w:bottom w:val="single" w:sz="4" w:space="0" w:color="auto"/>
            </w:tcBorders>
            <w:vAlign w:val="center"/>
            <w:hideMark/>
          </w:tcPr>
          <w:p w14:paraId="751BEE81" w14:textId="77777777" w:rsidR="009E5642" w:rsidRPr="009E5F27" w:rsidRDefault="009E5642" w:rsidP="00366067">
            <w:pPr>
              <w:pStyle w:val="ExhibitText"/>
              <w:jc w:val="left"/>
              <w:rPr>
                <w:b/>
                <w:bCs/>
                <w:sz w:val="17"/>
              </w:rPr>
            </w:pPr>
            <w:r w:rsidRPr="009E5F27">
              <w:rPr>
                <w:b/>
                <w:bCs/>
                <w:sz w:val="17"/>
              </w:rPr>
              <w:t>Outcome</w:t>
            </w:r>
          </w:p>
        </w:tc>
        <w:tc>
          <w:tcPr>
            <w:tcW w:w="1440" w:type="dxa"/>
            <w:tcBorders>
              <w:top w:val="single" w:sz="12" w:space="0" w:color="auto"/>
              <w:bottom w:val="single" w:sz="4" w:space="0" w:color="auto"/>
            </w:tcBorders>
            <w:vAlign w:val="center"/>
            <w:hideMark/>
          </w:tcPr>
          <w:p w14:paraId="4B99CF56" w14:textId="77777777" w:rsidR="009E5642" w:rsidRPr="009E5F27" w:rsidRDefault="009E5642" w:rsidP="00366067">
            <w:pPr>
              <w:pStyle w:val="ExhibitText"/>
              <w:jc w:val="left"/>
              <w:rPr>
                <w:b/>
                <w:bCs/>
                <w:sz w:val="17"/>
              </w:rPr>
            </w:pPr>
            <w:r w:rsidRPr="009E5F27">
              <w:rPr>
                <w:b/>
                <w:bCs/>
                <w:sz w:val="17"/>
              </w:rPr>
              <w:t>Indicators</w:t>
            </w:r>
          </w:p>
        </w:tc>
        <w:tc>
          <w:tcPr>
            <w:tcW w:w="1440" w:type="dxa"/>
            <w:tcBorders>
              <w:top w:val="single" w:sz="12" w:space="0" w:color="auto"/>
              <w:bottom w:val="single" w:sz="4" w:space="0" w:color="auto"/>
            </w:tcBorders>
            <w:vAlign w:val="center"/>
            <w:hideMark/>
          </w:tcPr>
          <w:p w14:paraId="66B3F579" w14:textId="77777777" w:rsidR="009E5642" w:rsidRPr="009E5F27" w:rsidRDefault="009E5642" w:rsidP="00366067">
            <w:pPr>
              <w:pStyle w:val="ExhibitText"/>
              <w:jc w:val="left"/>
              <w:rPr>
                <w:b/>
                <w:bCs/>
                <w:sz w:val="17"/>
              </w:rPr>
            </w:pPr>
            <w:r w:rsidRPr="009E5F27">
              <w:rPr>
                <w:b/>
                <w:bCs/>
                <w:sz w:val="17"/>
              </w:rPr>
              <w:t>Financial proxy</w:t>
            </w:r>
          </w:p>
        </w:tc>
        <w:tc>
          <w:tcPr>
            <w:tcW w:w="1440" w:type="dxa"/>
            <w:tcBorders>
              <w:top w:val="single" w:sz="12" w:space="0" w:color="auto"/>
              <w:bottom w:val="single" w:sz="4" w:space="0" w:color="auto"/>
            </w:tcBorders>
            <w:vAlign w:val="center"/>
            <w:hideMark/>
          </w:tcPr>
          <w:p w14:paraId="20DD1DFE" w14:textId="77777777" w:rsidR="009E5642" w:rsidRPr="009E5F27" w:rsidRDefault="009E5642" w:rsidP="00366067">
            <w:pPr>
              <w:pStyle w:val="ExhibitText"/>
              <w:jc w:val="left"/>
              <w:rPr>
                <w:b/>
                <w:bCs/>
                <w:sz w:val="17"/>
              </w:rPr>
            </w:pPr>
            <w:r w:rsidRPr="009E5F27">
              <w:rPr>
                <w:b/>
                <w:bCs/>
                <w:sz w:val="17"/>
              </w:rPr>
              <w:t>Source</w:t>
            </w:r>
          </w:p>
        </w:tc>
        <w:tc>
          <w:tcPr>
            <w:tcW w:w="1440" w:type="dxa"/>
            <w:tcBorders>
              <w:top w:val="single" w:sz="12" w:space="0" w:color="auto"/>
              <w:bottom w:val="single" w:sz="4" w:space="0" w:color="auto"/>
            </w:tcBorders>
            <w:vAlign w:val="center"/>
            <w:hideMark/>
          </w:tcPr>
          <w:p w14:paraId="5DD4567D" w14:textId="77777777" w:rsidR="009E5642" w:rsidRPr="009E5F27" w:rsidRDefault="009E5642" w:rsidP="00366067">
            <w:pPr>
              <w:pStyle w:val="ExhibitText"/>
              <w:jc w:val="left"/>
              <w:rPr>
                <w:b/>
                <w:bCs/>
                <w:sz w:val="17"/>
              </w:rPr>
            </w:pPr>
            <w:r w:rsidRPr="009E5F27">
              <w:rPr>
                <w:b/>
                <w:bCs/>
                <w:sz w:val="17"/>
              </w:rPr>
              <w:t>Deadweight</w:t>
            </w:r>
          </w:p>
        </w:tc>
        <w:tc>
          <w:tcPr>
            <w:tcW w:w="1440" w:type="dxa"/>
            <w:tcBorders>
              <w:top w:val="single" w:sz="12" w:space="0" w:color="auto"/>
              <w:bottom w:val="single" w:sz="4" w:space="0" w:color="auto"/>
            </w:tcBorders>
            <w:vAlign w:val="center"/>
            <w:hideMark/>
          </w:tcPr>
          <w:p w14:paraId="3606E29C" w14:textId="640391AF" w:rsidR="009E5642" w:rsidRPr="009E5F27" w:rsidRDefault="00A6234A" w:rsidP="00366067">
            <w:pPr>
              <w:pStyle w:val="ExhibitText"/>
              <w:jc w:val="left"/>
              <w:rPr>
                <w:b/>
                <w:bCs/>
                <w:sz w:val="17"/>
              </w:rPr>
            </w:pPr>
            <w:r w:rsidRPr="009E5F27">
              <w:rPr>
                <w:b/>
                <w:bCs/>
                <w:sz w:val="17"/>
              </w:rPr>
              <w:t>Percentage</w:t>
            </w:r>
            <w:r w:rsidR="009E5642" w:rsidRPr="009E5F27">
              <w:rPr>
                <w:b/>
                <w:bCs/>
                <w:sz w:val="17"/>
              </w:rPr>
              <w:t xml:space="preserve"> of participants achieving an outcome</w:t>
            </w:r>
          </w:p>
        </w:tc>
        <w:tc>
          <w:tcPr>
            <w:tcW w:w="1440" w:type="dxa"/>
            <w:tcBorders>
              <w:top w:val="single" w:sz="12" w:space="0" w:color="auto"/>
              <w:bottom w:val="single" w:sz="4" w:space="0" w:color="auto"/>
            </w:tcBorders>
            <w:vAlign w:val="center"/>
            <w:hideMark/>
          </w:tcPr>
          <w:p w14:paraId="41305569" w14:textId="77777777" w:rsidR="009E5642" w:rsidRPr="009E5F27" w:rsidRDefault="009E5642" w:rsidP="00366067">
            <w:pPr>
              <w:pStyle w:val="ExhibitText"/>
              <w:jc w:val="left"/>
              <w:rPr>
                <w:b/>
                <w:bCs/>
                <w:sz w:val="17"/>
              </w:rPr>
            </w:pPr>
            <w:r w:rsidRPr="009E5F27">
              <w:rPr>
                <w:b/>
                <w:bCs/>
                <w:sz w:val="17"/>
              </w:rPr>
              <w:t>Total value</w:t>
            </w:r>
          </w:p>
        </w:tc>
        <w:tc>
          <w:tcPr>
            <w:tcW w:w="1440" w:type="dxa"/>
            <w:tcBorders>
              <w:top w:val="single" w:sz="12" w:space="0" w:color="auto"/>
              <w:bottom w:val="single" w:sz="4" w:space="0" w:color="auto"/>
            </w:tcBorders>
            <w:noWrap/>
            <w:vAlign w:val="center"/>
            <w:hideMark/>
          </w:tcPr>
          <w:p w14:paraId="764975B5" w14:textId="77777777" w:rsidR="009E5642" w:rsidRPr="009E5F27" w:rsidRDefault="009E5642" w:rsidP="00366067">
            <w:pPr>
              <w:pStyle w:val="ExhibitText"/>
              <w:jc w:val="left"/>
              <w:rPr>
                <w:b/>
                <w:bCs/>
                <w:sz w:val="17"/>
              </w:rPr>
            </w:pPr>
            <w:r w:rsidRPr="009E5F27">
              <w:rPr>
                <w:b/>
                <w:bCs/>
                <w:sz w:val="17"/>
              </w:rPr>
              <w:t>Benefit period</w:t>
            </w:r>
          </w:p>
        </w:tc>
      </w:tr>
      <w:tr w:rsidR="00813AC0" w:rsidRPr="00366067" w14:paraId="293805A7" w14:textId="77777777" w:rsidTr="009E5F27">
        <w:trPr>
          <w:trHeight w:val="288"/>
        </w:trPr>
        <w:tc>
          <w:tcPr>
            <w:tcW w:w="1440" w:type="dxa"/>
            <w:gridSpan w:val="2"/>
            <w:tcBorders>
              <w:top w:val="single" w:sz="4" w:space="0" w:color="auto"/>
            </w:tcBorders>
            <w:hideMark/>
          </w:tcPr>
          <w:p w14:paraId="51B1FCAB" w14:textId="010FE391" w:rsidR="009E5642" w:rsidRPr="00366067" w:rsidRDefault="00A6234A" w:rsidP="009E5F27">
            <w:pPr>
              <w:pStyle w:val="ExhibitText"/>
              <w:jc w:val="left"/>
              <w:rPr>
                <w:sz w:val="17"/>
              </w:rPr>
            </w:pPr>
            <w:r w:rsidRPr="00366067">
              <w:rPr>
                <w:sz w:val="17"/>
              </w:rPr>
              <w:t>Long-term care facility</w:t>
            </w:r>
          </w:p>
        </w:tc>
        <w:tc>
          <w:tcPr>
            <w:tcW w:w="1440" w:type="dxa"/>
            <w:tcBorders>
              <w:top w:val="single" w:sz="4" w:space="0" w:color="auto"/>
            </w:tcBorders>
            <w:hideMark/>
          </w:tcPr>
          <w:p w14:paraId="3436FB06" w14:textId="60F32F1B" w:rsidR="009E5642" w:rsidRPr="00366067" w:rsidRDefault="009E5642" w:rsidP="009E5F27">
            <w:pPr>
              <w:pStyle w:val="ExhibitText"/>
              <w:jc w:val="left"/>
              <w:rPr>
                <w:sz w:val="17"/>
              </w:rPr>
            </w:pPr>
            <w:r w:rsidRPr="00366067">
              <w:rPr>
                <w:sz w:val="17"/>
              </w:rPr>
              <w:t xml:space="preserve">Free up resources from outsourcing to </w:t>
            </w:r>
            <w:proofErr w:type="spellStart"/>
            <w:r w:rsidRPr="00366067">
              <w:rPr>
                <w:sz w:val="17"/>
              </w:rPr>
              <w:t>Samsui</w:t>
            </w:r>
            <w:proofErr w:type="spellEnd"/>
            <w:r w:rsidRPr="00366067">
              <w:rPr>
                <w:sz w:val="17"/>
              </w:rPr>
              <w:t xml:space="preserve"> to plan for more</w:t>
            </w:r>
            <w:r w:rsidR="00A6234A" w:rsidRPr="00366067">
              <w:rPr>
                <w:sz w:val="17"/>
              </w:rPr>
              <w:t xml:space="preserve"> and </w:t>
            </w:r>
            <w:r w:rsidRPr="00366067">
              <w:rPr>
                <w:sz w:val="17"/>
              </w:rPr>
              <w:t>better activities to engage residents</w:t>
            </w:r>
          </w:p>
        </w:tc>
        <w:tc>
          <w:tcPr>
            <w:tcW w:w="1440" w:type="dxa"/>
            <w:tcBorders>
              <w:top w:val="single" w:sz="4" w:space="0" w:color="auto"/>
            </w:tcBorders>
            <w:hideMark/>
          </w:tcPr>
          <w:p w14:paraId="79E0D460" w14:textId="3D18AA57" w:rsidR="00167C3C" w:rsidRPr="00366067" w:rsidRDefault="009E5642" w:rsidP="009E5F27">
            <w:pPr>
              <w:pStyle w:val="ExhibitText"/>
              <w:jc w:val="left"/>
              <w:rPr>
                <w:sz w:val="17"/>
              </w:rPr>
            </w:pPr>
            <w:r w:rsidRPr="00366067">
              <w:rPr>
                <w:sz w:val="17"/>
              </w:rPr>
              <w:t xml:space="preserve">Opportunity cost incurred if preparing meals in-house, and surveys of </w:t>
            </w:r>
            <w:r w:rsidR="006D67FE" w:rsidRPr="00366067">
              <w:rPr>
                <w:sz w:val="17"/>
              </w:rPr>
              <w:t>long-term care facility</w:t>
            </w:r>
            <w:r w:rsidRPr="00366067">
              <w:rPr>
                <w:sz w:val="17"/>
              </w:rPr>
              <w:t xml:space="preserve"> staff</w:t>
            </w:r>
            <w:r w:rsidR="00A6234A" w:rsidRPr="00366067">
              <w:rPr>
                <w:sz w:val="17"/>
              </w:rPr>
              <w:t xml:space="preserve"> and</w:t>
            </w:r>
          </w:p>
          <w:p w14:paraId="3C48D2EC" w14:textId="44160FDC" w:rsidR="009E5642" w:rsidRPr="00366067" w:rsidRDefault="009E5642" w:rsidP="009E5F27">
            <w:pPr>
              <w:pStyle w:val="ExhibitText"/>
              <w:jc w:val="left"/>
              <w:rPr>
                <w:sz w:val="17"/>
              </w:rPr>
            </w:pPr>
            <w:r w:rsidRPr="00366067">
              <w:rPr>
                <w:sz w:val="17"/>
              </w:rPr>
              <w:t>operator</w:t>
            </w:r>
            <w:r w:rsidR="00A6234A" w:rsidRPr="00366067">
              <w:rPr>
                <w:sz w:val="17"/>
              </w:rPr>
              <w:t>s</w:t>
            </w:r>
          </w:p>
        </w:tc>
        <w:tc>
          <w:tcPr>
            <w:tcW w:w="1440" w:type="dxa"/>
            <w:tcBorders>
              <w:top w:val="single" w:sz="4" w:space="0" w:color="auto"/>
            </w:tcBorders>
            <w:hideMark/>
          </w:tcPr>
          <w:p w14:paraId="50D074FC" w14:textId="4D285C76" w:rsidR="009E5642" w:rsidRPr="00366067" w:rsidRDefault="009E5642" w:rsidP="009E5F27">
            <w:pPr>
              <w:pStyle w:val="ExhibitText"/>
              <w:jc w:val="left"/>
              <w:rPr>
                <w:sz w:val="17"/>
              </w:rPr>
            </w:pPr>
            <w:r w:rsidRPr="00366067">
              <w:rPr>
                <w:sz w:val="17"/>
              </w:rPr>
              <w:t xml:space="preserve">Difference in food price between industry average </w:t>
            </w:r>
            <w:r w:rsidR="00A6234A" w:rsidRPr="00366067">
              <w:rPr>
                <w:sz w:val="17"/>
              </w:rPr>
              <w:t>and</w:t>
            </w:r>
            <w:r w:rsidRPr="00366067">
              <w:rPr>
                <w:sz w:val="17"/>
              </w:rPr>
              <w:t xml:space="preserve"> </w:t>
            </w:r>
            <w:proofErr w:type="spellStart"/>
            <w:r w:rsidRPr="00366067">
              <w:rPr>
                <w:sz w:val="17"/>
              </w:rPr>
              <w:t>Samsui</w:t>
            </w:r>
            <w:proofErr w:type="spellEnd"/>
            <w:r w:rsidR="005A36DD" w:rsidRPr="00366067">
              <w:rPr>
                <w:sz w:val="17"/>
              </w:rPr>
              <w:t>,</w:t>
            </w:r>
            <w:r w:rsidRPr="00366067">
              <w:rPr>
                <w:sz w:val="17"/>
              </w:rPr>
              <w:t xml:space="preserve"> </w:t>
            </w:r>
            <w:r w:rsidR="00A6234A" w:rsidRPr="00366067">
              <w:rPr>
                <w:sz w:val="17"/>
              </w:rPr>
              <w:t>multiplied by the number</w:t>
            </w:r>
            <w:r w:rsidRPr="00366067">
              <w:rPr>
                <w:sz w:val="17"/>
              </w:rPr>
              <w:t xml:space="preserve"> of meals sold to </w:t>
            </w:r>
            <w:r w:rsidR="006D67FE" w:rsidRPr="00366067">
              <w:rPr>
                <w:sz w:val="17"/>
              </w:rPr>
              <w:t>long-term care faciliti</w:t>
            </w:r>
            <w:r w:rsidRPr="00366067">
              <w:rPr>
                <w:sz w:val="17"/>
              </w:rPr>
              <w:t xml:space="preserve">es by </w:t>
            </w:r>
            <w:proofErr w:type="spellStart"/>
            <w:r w:rsidRPr="00366067">
              <w:rPr>
                <w:sz w:val="17"/>
              </w:rPr>
              <w:t>Samsui</w:t>
            </w:r>
            <w:proofErr w:type="spellEnd"/>
          </w:p>
        </w:tc>
        <w:tc>
          <w:tcPr>
            <w:tcW w:w="1440" w:type="dxa"/>
            <w:tcBorders>
              <w:top w:val="single" w:sz="4" w:space="0" w:color="auto"/>
            </w:tcBorders>
            <w:hideMark/>
          </w:tcPr>
          <w:p w14:paraId="6824CBCC" w14:textId="5B4A06AE" w:rsidR="009E5642" w:rsidRPr="00366067" w:rsidRDefault="009E5642" w:rsidP="009E5F27">
            <w:pPr>
              <w:pStyle w:val="ExhibitText"/>
              <w:jc w:val="left"/>
              <w:rPr>
                <w:sz w:val="17"/>
              </w:rPr>
            </w:pPr>
            <w:r w:rsidRPr="00366067">
              <w:rPr>
                <w:sz w:val="17"/>
              </w:rPr>
              <w:t xml:space="preserve">Prices: </w:t>
            </w:r>
            <w:proofErr w:type="spellStart"/>
            <w:r w:rsidRPr="00366067">
              <w:rPr>
                <w:sz w:val="17"/>
              </w:rPr>
              <w:t>Ang</w:t>
            </w:r>
            <w:proofErr w:type="spellEnd"/>
            <w:r w:rsidR="00A6234A" w:rsidRPr="00366067">
              <w:rPr>
                <w:sz w:val="17"/>
              </w:rPr>
              <w:t xml:space="preserve"> Kian </w:t>
            </w:r>
            <w:proofErr w:type="spellStart"/>
            <w:r w:rsidR="004C5C4C" w:rsidRPr="00366067">
              <w:rPr>
                <w:sz w:val="17"/>
              </w:rPr>
              <w:t>Ang</w:t>
            </w:r>
            <w:proofErr w:type="spellEnd"/>
            <w:r w:rsidR="00A6234A" w:rsidRPr="00366067">
              <w:rPr>
                <w:sz w:val="17"/>
              </w:rPr>
              <w:t>,</w:t>
            </w:r>
            <w:r w:rsidRPr="00366067">
              <w:rPr>
                <w:sz w:val="17"/>
              </w:rPr>
              <w:t xml:space="preserve"> Agency for Integrated Care (2016)</w:t>
            </w:r>
            <w:r w:rsidRPr="00366067">
              <w:rPr>
                <w:sz w:val="17"/>
              </w:rPr>
              <w:br/>
            </w:r>
            <w:r w:rsidRPr="00366067">
              <w:rPr>
                <w:sz w:val="17"/>
              </w:rPr>
              <w:br/>
              <w:t>N</w:t>
            </w:r>
            <w:r w:rsidR="00A6234A" w:rsidRPr="00366067">
              <w:rPr>
                <w:sz w:val="17"/>
              </w:rPr>
              <w:t>umber</w:t>
            </w:r>
            <w:r w:rsidRPr="00366067">
              <w:rPr>
                <w:sz w:val="17"/>
              </w:rPr>
              <w:t xml:space="preserve"> of meals: Soup Restaurant </w:t>
            </w:r>
            <w:r w:rsidR="00A6234A" w:rsidRPr="00366067">
              <w:rPr>
                <w:sz w:val="17"/>
              </w:rPr>
              <w:t xml:space="preserve">Group Limited, </w:t>
            </w:r>
            <w:r w:rsidRPr="00366067">
              <w:rPr>
                <w:sz w:val="17"/>
              </w:rPr>
              <w:t>AR2017</w:t>
            </w:r>
          </w:p>
        </w:tc>
        <w:tc>
          <w:tcPr>
            <w:tcW w:w="1440" w:type="dxa"/>
            <w:tcBorders>
              <w:top w:val="single" w:sz="4" w:space="0" w:color="auto"/>
            </w:tcBorders>
            <w:noWrap/>
            <w:hideMark/>
          </w:tcPr>
          <w:p w14:paraId="66AB52A9" w14:textId="77777777" w:rsidR="009E5642" w:rsidRPr="00366067" w:rsidRDefault="009E5642" w:rsidP="009E5F27">
            <w:pPr>
              <w:pStyle w:val="ExhibitText"/>
              <w:jc w:val="left"/>
              <w:rPr>
                <w:sz w:val="17"/>
              </w:rPr>
            </w:pPr>
            <w:r w:rsidRPr="00366067">
              <w:rPr>
                <w:sz w:val="17"/>
              </w:rPr>
              <w:t>0%</w:t>
            </w:r>
          </w:p>
        </w:tc>
        <w:tc>
          <w:tcPr>
            <w:tcW w:w="1440" w:type="dxa"/>
            <w:tcBorders>
              <w:top w:val="single" w:sz="4" w:space="0" w:color="auto"/>
            </w:tcBorders>
            <w:noWrap/>
            <w:hideMark/>
          </w:tcPr>
          <w:p w14:paraId="558EF968" w14:textId="77777777" w:rsidR="009E5642" w:rsidRPr="00366067" w:rsidRDefault="009E5642" w:rsidP="009E5F27">
            <w:pPr>
              <w:pStyle w:val="ExhibitText"/>
              <w:jc w:val="left"/>
              <w:rPr>
                <w:sz w:val="17"/>
              </w:rPr>
            </w:pPr>
            <w:r w:rsidRPr="00366067">
              <w:rPr>
                <w:sz w:val="17"/>
              </w:rPr>
              <w:t>100%</w:t>
            </w:r>
          </w:p>
        </w:tc>
        <w:tc>
          <w:tcPr>
            <w:tcW w:w="1440" w:type="dxa"/>
            <w:tcBorders>
              <w:top w:val="single" w:sz="4" w:space="0" w:color="auto"/>
            </w:tcBorders>
            <w:hideMark/>
          </w:tcPr>
          <w:p w14:paraId="6902E6B7" w14:textId="5BE36843" w:rsidR="009E5642" w:rsidRPr="00366067" w:rsidRDefault="009E5642" w:rsidP="009E5F27">
            <w:pPr>
              <w:pStyle w:val="ExhibitText"/>
              <w:jc w:val="left"/>
              <w:rPr>
                <w:sz w:val="17"/>
              </w:rPr>
            </w:pPr>
            <w:r w:rsidRPr="00366067">
              <w:rPr>
                <w:sz w:val="17"/>
              </w:rPr>
              <w:t>100% x ($5</w:t>
            </w:r>
            <w:r w:rsidR="00A6234A" w:rsidRPr="00366067">
              <w:rPr>
                <w:sz w:val="17"/>
              </w:rPr>
              <w:t xml:space="preserve"> – </w:t>
            </w:r>
            <w:r w:rsidRPr="00366067">
              <w:rPr>
                <w:sz w:val="17"/>
              </w:rPr>
              <w:t xml:space="preserve">$1.5) </w:t>
            </w:r>
            <w:r w:rsidR="00A6234A" w:rsidRPr="00366067">
              <w:rPr>
                <w:sz w:val="17"/>
              </w:rPr>
              <w:t>×</w:t>
            </w:r>
            <w:r w:rsidRPr="00366067">
              <w:rPr>
                <w:sz w:val="17"/>
              </w:rPr>
              <w:t xml:space="preserve"> 1,800,000 meals sold</w:t>
            </w:r>
          </w:p>
        </w:tc>
        <w:tc>
          <w:tcPr>
            <w:tcW w:w="1440" w:type="dxa"/>
            <w:tcBorders>
              <w:top w:val="single" w:sz="4" w:space="0" w:color="auto"/>
            </w:tcBorders>
            <w:noWrap/>
            <w:hideMark/>
          </w:tcPr>
          <w:p w14:paraId="2F59F5D0" w14:textId="77777777" w:rsidR="009E5642" w:rsidRPr="00366067" w:rsidRDefault="009E5642" w:rsidP="009E5F27">
            <w:pPr>
              <w:pStyle w:val="ExhibitText"/>
              <w:jc w:val="left"/>
              <w:rPr>
                <w:sz w:val="17"/>
              </w:rPr>
            </w:pPr>
            <w:r w:rsidRPr="00366067">
              <w:rPr>
                <w:sz w:val="17"/>
              </w:rPr>
              <w:t>3 years</w:t>
            </w:r>
          </w:p>
        </w:tc>
      </w:tr>
      <w:bookmarkEnd w:id="20"/>
    </w:tbl>
    <w:p w14:paraId="653DB062" w14:textId="77777777" w:rsidR="009E5642" w:rsidRPr="00C70F23" w:rsidRDefault="009E5642" w:rsidP="00DD1DC7">
      <w:pPr>
        <w:pStyle w:val="ExhibitText"/>
        <w:rPr>
          <w:rFonts w:eastAsia="Arial"/>
        </w:rPr>
      </w:pPr>
    </w:p>
    <w:p w14:paraId="769E4613" w14:textId="58591328" w:rsidR="00813AC0" w:rsidRPr="00DD1DC7" w:rsidRDefault="009E5642" w:rsidP="00DD1DC7">
      <w:pPr>
        <w:pStyle w:val="Footnote"/>
      </w:pPr>
      <w:r w:rsidRPr="00C70F23">
        <w:rPr>
          <w:rFonts w:eastAsia="Arial"/>
        </w:rPr>
        <w:t xml:space="preserve">Source: </w:t>
      </w:r>
      <w:r w:rsidR="00A6234A">
        <w:rPr>
          <w:rFonts w:eastAsia="Arial"/>
        </w:rPr>
        <w:t>E</w:t>
      </w:r>
      <w:r w:rsidRPr="00C70F23">
        <w:rPr>
          <w:rFonts w:eastAsia="Arial"/>
        </w:rPr>
        <w:t>stimates compiled by the case authors</w:t>
      </w:r>
      <w:r w:rsidR="00DD50F2" w:rsidRPr="00C70F23">
        <w:rPr>
          <w:rFonts w:eastAsia="Arial"/>
        </w:rPr>
        <w:t xml:space="preserve"> </w:t>
      </w:r>
      <w:r w:rsidR="00A6234A">
        <w:rPr>
          <w:rFonts w:eastAsia="Arial"/>
        </w:rPr>
        <w:t>with information from</w:t>
      </w:r>
      <w:r w:rsidRPr="00C70F23">
        <w:t xml:space="preserve"> </w:t>
      </w:r>
      <w:r w:rsidRPr="00C70F23">
        <w:rPr>
          <w:rFonts w:eastAsia="Arial"/>
        </w:rPr>
        <w:t xml:space="preserve">Soup Restaurant Group Limited, </w:t>
      </w:r>
      <w:r w:rsidRPr="00E36C56">
        <w:rPr>
          <w:rFonts w:eastAsia="Arial"/>
          <w:i/>
        </w:rPr>
        <w:t xml:space="preserve">Annual </w:t>
      </w:r>
      <w:r w:rsidR="00A6234A" w:rsidRPr="00E36C56">
        <w:rPr>
          <w:rFonts w:eastAsia="Arial"/>
          <w:i/>
        </w:rPr>
        <w:t>R</w:t>
      </w:r>
      <w:r w:rsidRPr="00E36C56">
        <w:rPr>
          <w:rFonts w:eastAsia="Arial"/>
          <w:i/>
        </w:rPr>
        <w:t>eport 2017</w:t>
      </w:r>
      <w:r w:rsidRPr="00C70F23">
        <w:rPr>
          <w:rFonts w:eastAsia="Arial"/>
        </w:rPr>
        <w:t xml:space="preserve">, </w:t>
      </w:r>
      <w:r w:rsidR="00A6234A" w:rsidRPr="00C70F23">
        <w:rPr>
          <w:rFonts w:eastAsia="Arial"/>
        </w:rPr>
        <w:t>accessed April 10, 2019</w:t>
      </w:r>
      <w:r w:rsidRPr="00C70F23">
        <w:rPr>
          <w:rFonts w:eastAsia="Arial"/>
        </w:rPr>
        <w:t xml:space="preserve">, </w:t>
      </w:r>
      <w:r w:rsidRPr="00DD1DC7">
        <w:rPr>
          <w:rFonts w:eastAsia="Arial"/>
        </w:rPr>
        <w:t>http://souprestaurant.listedcompany.com/ar.html</w:t>
      </w:r>
      <w:r w:rsidR="00A6234A" w:rsidRPr="00DD1DC7">
        <w:rPr>
          <w:rFonts w:eastAsia="Arial"/>
        </w:rPr>
        <w:t>.</w:t>
      </w:r>
      <w:r w:rsidR="00813AC0" w:rsidRPr="00DD1DC7">
        <w:br w:type="page"/>
      </w:r>
    </w:p>
    <w:p w14:paraId="5AB200B2" w14:textId="77777777" w:rsidR="00813AC0" w:rsidRPr="00DD1DC7" w:rsidRDefault="00813AC0" w:rsidP="00DD1DC7">
      <w:pPr>
        <w:pStyle w:val="Footnote"/>
        <w:sectPr w:rsidR="00813AC0" w:rsidRPr="00DD1DC7" w:rsidSect="00C36F7A">
          <w:headerReference w:type="default" r:id="rId11"/>
          <w:endnotePr>
            <w:numFmt w:val="decimal"/>
          </w:endnotePr>
          <w:pgSz w:w="15840" w:h="12240" w:orient="landscape" w:code="1"/>
          <w:pgMar w:top="1440" w:right="1440" w:bottom="1152" w:left="1440" w:header="1080" w:footer="720" w:gutter="0"/>
          <w:cols w:space="720"/>
          <w:docGrid w:linePitch="360"/>
        </w:sectPr>
      </w:pPr>
    </w:p>
    <w:p w14:paraId="6D7A3D4C" w14:textId="5850DC93" w:rsidR="00167C3C" w:rsidRPr="00C70F23" w:rsidRDefault="009460E3" w:rsidP="009073B7">
      <w:pPr>
        <w:pStyle w:val="ExhibitHeading"/>
      </w:pPr>
      <w:r>
        <w:lastRenderedPageBreak/>
        <w:t>EXHIBIT 6</w:t>
      </w:r>
      <w:r w:rsidR="00167C3C" w:rsidRPr="00C70F23">
        <w:t>: KEY ASSUMPTIONS OF S</w:t>
      </w:r>
      <w:r w:rsidR="00A6234A">
        <w:t xml:space="preserve">ocial </w:t>
      </w:r>
      <w:r w:rsidR="00167C3C" w:rsidRPr="00C70F23">
        <w:t>R</w:t>
      </w:r>
      <w:r w:rsidR="00A6234A">
        <w:t xml:space="preserve">eturn </w:t>
      </w:r>
      <w:r w:rsidR="00167C3C" w:rsidRPr="00C70F23">
        <w:t>O</w:t>
      </w:r>
      <w:r w:rsidR="00A6234A">
        <w:t xml:space="preserve">n </w:t>
      </w:r>
      <w:r w:rsidR="00167C3C" w:rsidRPr="00C70F23">
        <w:t>I</w:t>
      </w:r>
      <w:r w:rsidR="00A6234A">
        <w:t>nvestment</w:t>
      </w:r>
      <w:r w:rsidR="00167C3C" w:rsidRPr="00C70F23">
        <w:t xml:space="preserve"> ANALYSIS FOR THE </w:t>
      </w:r>
      <w:r w:rsidR="000D47A4" w:rsidRPr="000D47A4">
        <w:t xml:space="preserve">SAMSUI CENTRAL KITCHEN </w:t>
      </w:r>
      <w:r w:rsidR="00167C3C" w:rsidRPr="00C70F23">
        <w:t>PROJECT</w:t>
      </w:r>
    </w:p>
    <w:p w14:paraId="058E7BBB" w14:textId="77777777" w:rsidR="00167C3C" w:rsidRPr="00F5187E" w:rsidRDefault="00167C3C" w:rsidP="00167C3C">
      <w:pPr>
        <w:pStyle w:val="ExhibitText"/>
        <w:rPr>
          <w:sz w:val="12"/>
          <w:szCs w:val="12"/>
        </w:rPr>
      </w:pPr>
    </w:p>
    <w:tbl>
      <w:tblPr>
        <w:tblStyle w:val="TableGrid"/>
        <w:tblW w:w="4281" w:type="pct"/>
        <w:jc w:val="center"/>
        <w:tblLook w:val="04A0" w:firstRow="1" w:lastRow="0" w:firstColumn="1" w:lastColumn="0" w:noHBand="0" w:noVBand="1"/>
      </w:tblPr>
      <w:tblGrid>
        <w:gridCol w:w="6115"/>
        <w:gridCol w:w="1890"/>
      </w:tblGrid>
      <w:tr w:rsidR="00167C3C" w:rsidRPr="00F5187E" w14:paraId="59333CFC" w14:textId="77777777" w:rsidTr="00F5187E">
        <w:trPr>
          <w:trHeight w:val="56"/>
          <w:jc w:val="center"/>
        </w:trPr>
        <w:tc>
          <w:tcPr>
            <w:tcW w:w="8005" w:type="dxa"/>
            <w:gridSpan w:val="2"/>
            <w:noWrap/>
            <w:vAlign w:val="center"/>
            <w:hideMark/>
          </w:tcPr>
          <w:p w14:paraId="462D76CC" w14:textId="07354083" w:rsidR="00167C3C" w:rsidRPr="00F5187E" w:rsidRDefault="005C1ABD" w:rsidP="00702EF2">
            <w:pPr>
              <w:pStyle w:val="ExhibitText"/>
              <w:jc w:val="left"/>
              <w:rPr>
                <w:b/>
                <w:bCs/>
                <w:sz w:val="17"/>
                <w:szCs w:val="17"/>
              </w:rPr>
            </w:pPr>
            <w:r w:rsidRPr="00F5187E">
              <w:rPr>
                <w:b/>
                <w:bCs/>
                <w:sz w:val="17"/>
                <w:szCs w:val="17"/>
              </w:rPr>
              <w:t>6</w:t>
            </w:r>
            <w:r w:rsidR="00167C3C" w:rsidRPr="00F5187E">
              <w:rPr>
                <w:b/>
                <w:bCs/>
                <w:sz w:val="17"/>
                <w:szCs w:val="17"/>
              </w:rPr>
              <w:t>-1: Assumptions for the General Model</w:t>
            </w:r>
          </w:p>
        </w:tc>
      </w:tr>
      <w:tr w:rsidR="00167C3C" w:rsidRPr="00F5187E" w14:paraId="42AA5245" w14:textId="77777777" w:rsidTr="00F5187E">
        <w:trPr>
          <w:trHeight w:val="98"/>
          <w:jc w:val="center"/>
        </w:trPr>
        <w:tc>
          <w:tcPr>
            <w:tcW w:w="6115" w:type="dxa"/>
            <w:noWrap/>
            <w:vAlign w:val="center"/>
            <w:hideMark/>
          </w:tcPr>
          <w:p w14:paraId="1DB77753" w14:textId="572DF3F2" w:rsidR="00167C3C" w:rsidRPr="00F5187E" w:rsidRDefault="00167C3C" w:rsidP="00702EF2">
            <w:pPr>
              <w:pStyle w:val="ExhibitText"/>
              <w:jc w:val="left"/>
              <w:rPr>
                <w:sz w:val="17"/>
                <w:szCs w:val="17"/>
              </w:rPr>
            </w:pPr>
            <w:r w:rsidRPr="00F5187E">
              <w:rPr>
                <w:sz w:val="17"/>
                <w:szCs w:val="17"/>
              </w:rPr>
              <w:t xml:space="preserve">Model </w:t>
            </w:r>
            <w:r w:rsidR="00A6234A" w:rsidRPr="00F5187E">
              <w:rPr>
                <w:sz w:val="17"/>
                <w:szCs w:val="17"/>
              </w:rPr>
              <w:t>s</w:t>
            </w:r>
            <w:r w:rsidRPr="00F5187E">
              <w:rPr>
                <w:sz w:val="17"/>
                <w:szCs w:val="17"/>
              </w:rPr>
              <w:t xml:space="preserve">tart </w:t>
            </w:r>
            <w:r w:rsidR="00A6234A" w:rsidRPr="00F5187E">
              <w:rPr>
                <w:sz w:val="17"/>
                <w:szCs w:val="17"/>
              </w:rPr>
              <w:t>d</w:t>
            </w:r>
            <w:r w:rsidRPr="00F5187E">
              <w:rPr>
                <w:sz w:val="17"/>
                <w:szCs w:val="17"/>
              </w:rPr>
              <w:t>ate</w:t>
            </w:r>
          </w:p>
        </w:tc>
        <w:tc>
          <w:tcPr>
            <w:tcW w:w="1890" w:type="dxa"/>
            <w:noWrap/>
            <w:vAlign w:val="center"/>
            <w:hideMark/>
          </w:tcPr>
          <w:p w14:paraId="22697496" w14:textId="1FE04957" w:rsidR="00167C3C" w:rsidRPr="00F5187E" w:rsidRDefault="00167C3C" w:rsidP="002F338C">
            <w:pPr>
              <w:pStyle w:val="ExhibitText"/>
              <w:jc w:val="right"/>
              <w:rPr>
                <w:sz w:val="17"/>
                <w:szCs w:val="17"/>
              </w:rPr>
            </w:pPr>
            <w:r w:rsidRPr="00F5187E">
              <w:rPr>
                <w:sz w:val="17"/>
                <w:szCs w:val="17"/>
              </w:rPr>
              <w:t>Jan</w:t>
            </w:r>
            <w:r w:rsidR="00A6234A" w:rsidRPr="00F5187E">
              <w:rPr>
                <w:sz w:val="17"/>
                <w:szCs w:val="17"/>
              </w:rPr>
              <w:t>uary 1, 20</w:t>
            </w:r>
            <w:r w:rsidRPr="00F5187E">
              <w:rPr>
                <w:sz w:val="17"/>
                <w:szCs w:val="17"/>
              </w:rPr>
              <w:t>17</w:t>
            </w:r>
          </w:p>
        </w:tc>
      </w:tr>
      <w:tr w:rsidR="00167C3C" w:rsidRPr="00F5187E" w14:paraId="7023D641" w14:textId="77777777" w:rsidTr="00F5187E">
        <w:trPr>
          <w:trHeight w:val="71"/>
          <w:jc w:val="center"/>
        </w:trPr>
        <w:tc>
          <w:tcPr>
            <w:tcW w:w="6115" w:type="dxa"/>
            <w:noWrap/>
            <w:vAlign w:val="center"/>
            <w:hideMark/>
          </w:tcPr>
          <w:p w14:paraId="1B22E840" w14:textId="1379FBCE" w:rsidR="00167C3C" w:rsidRPr="00F5187E" w:rsidRDefault="00167C3C" w:rsidP="00702EF2">
            <w:pPr>
              <w:pStyle w:val="ExhibitText"/>
              <w:jc w:val="left"/>
              <w:rPr>
                <w:sz w:val="17"/>
                <w:szCs w:val="17"/>
              </w:rPr>
            </w:pPr>
            <w:r w:rsidRPr="00F5187E">
              <w:rPr>
                <w:sz w:val="17"/>
                <w:szCs w:val="17"/>
              </w:rPr>
              <w:t xml:space="preserve">Model </w:t>
            </w:r>
            <w:r w:rsidR="00A6234A" w:rsidRPr="00F5187E">
              <w:rPr>
                <w:sz w:val="17"/>
                <w:szCs w:val="17"/>
              </w:rPr>
              <w:t>e</w:t>
            </w:r>
            <w:r w:rsidRPr="00F5187E">
              <w:rPr>
                <w:sz w:val="17"/>
                <w:szCs w:val="17"/>
              </w:rPr>
              <w:t xml:space="preserve">nd </w:t>
            </w:r>
            <w:r w:rsidR="00A6234A" w:rsidRPr="00F5187E">
              <w:rPr>
                <w:sz w:val="17"/>
                <w:szCs w:val="17"/>
              </w:rPr>
              <w:t>d</w:t>
            </w:r>
            <w:r w:rsidRPr="00F5187E">
              <w:rPr>
                <w:sz w:val="17"/>
                <w:szCs w:val="17"/>
              </w:rPr>
              <w:t>ate</w:t>
            </w:r>
          </w:p>
        </w:tc>
        <w:tc>
          <w:tcPr>
            <w:tcW w:w="1890" w:type="dxa"/>
            <w:noWrap/>
            <w:vAlign w:val="center"/>
            <w:hideMark/>
          </w:tcPr>
          <w:p w14:paraId="2534A828" w14:textId="770506EA" w:rsidR="00167C3C" w:rsidRPr="00F5187E" w:rsidRDefault="00167C3C" w:rsidP="002F338C">
            <w:pPr>
              <w:pStyle w:val="ExhibitText"/>
              <w:jc w:val="right"/>
              <w:rPr>
                <w:sz w:val="17"/>
                <w:szCs w:val="17"/>
              </w:rPr>
            </w:pPr>
            <w:r w:rsidRPr="00F5187E">
              <w:rPr>
                <w:sz w:val="17"/>
                <w:szCs w:val="17"/>
              </w:rPr>
              <w:t>Dec</w:t>
            </w:r>
            <w:r w:rsidR="00A6234A" w:rsidRPr="00F5187E">
              <w:rPr>
                <w:sz w:val="17"/>
                <w:szCs w:val="17"/>
              </w:rPr>
              <w:t>ember 31, 20</w:t>
            </w:r>
            <w:r w:rsidRPr="00F5187E">
              <w:rPr>
                <w:sz w:val="17"/>
                <w:szCs w:val="17"/>
              </w:rPr>
              <w:t>2</w:t>
            </w:r>
            <w:r w:rsidR="00F12155" w:rsidRPr="00F5187E">
              <w:rPr>
                <w:sz w:val="17"/>
                <w:szCs w:val="17"/>
              </w:rPr>
              <w:t>3</w:t>
            </w:r>
          </w:p>
        </w:tc>
      </w:tr>
      <w:tr w:rsidR="00167C3C" w:rsidRPr="00F5187E" w14:paraId="333C69F4" w14:textId="77777777" w:rsidTr="00F5187E">
        <w:trPr>
          <w:trHeight w:val="56"/>
          <w:jc w:val="center"/>
        </w:trPr>
        <w:tc>
          <w:tcPr>
            <w:tcW w:w="6115" w:type="dxa"/>
            <w:noWrap/>
            <w:vAlign w:val="center"/>
            <w:hideMark/>
          </w:tcPr>
          <w:p w14:paraId="29DF5FA5" w14:textId="77777777" w:rsidR="00167C3C" w:rsidRPr="00F5187E" w:rsidRDefault="00167C3C" w:rsidP="00702EF2">
            <w:pPr>
              <w:pStyle w:val="ExhibitText"/>
              <w:jc w:val="left"/>
              <w:rPr>
                <w:sz w:val="17"/>
                <w:szCs w:val="17"/>
              </w:rPr>
            </w:pPr>
            <w:r w:rsidRPr="00F5187E">
              <w:rPr>
                <w:sz w:val="17"/>
                <w:szCs w:val="17"/>
              </w:rPr>
              <w:t>Discount rate</w:t>
            </w:r>
          </w:p>
        </w:tc>
        <w:tc>
          <w:tcPr>
            <w:tcW w:w="1890" w:type="dxa"/>
            <w:noWrap/>
            <w:vAlign w:val="center"/>
            <w:hideMark/>
          </w:tcPr>
          <w:p w14:paraId="7965034C" w14:textId="77777777" w:rsidR="00167C3C" w:rsidRPr="00F5187E" w:rsidRDefault="00167C3C" w:rsidP="002F338C">
            <w:pPr>
              <w:pStyle w:val="ExhibitText"/>
              <w:jc w:val="right"/>
              <w:rPr>
                <w:sz w:val="17"/>
                <w:szCs w:val="17"/>
              </w:rPr>
            </w:pPr>
            <w:r w:rsidRPr="00F5187E">
              <w:rPr>
                <w:sz w:val="17"/>
                <w:szCs w:val="17"/>
              </w:rPr>
              <w:t>12.56%</w:t>
            </w:r>
          </w:p>
        </w:tc>
      </w:tr>
      <w:tr w:rsidR="00167C3C" w:rsidRPr="00F5187E" w14:paraId="063877D3" w14:textId="77777777" w:rsidTr="00F5187E">
        <w:trPr>
          <w:trHeight w:val="56"/>
          <w:jc w:val="center"/>
        </w:trPr>
        <w:tc>
          <w:tcPr>
            <w:tcW w:w="6115" w:type="dxa"/>
            <w:noWrap/>
            <w:vAlign w:val="center"/>
          </w:tcPr>
          <w:p w14:paraId="2FB98C7C" w14:textId="77777777" w:rsidR="00167C3C" w:rsidRPr="00F5187E" w:rsidRDefault="00167C3C" w:rsidP="00702EF2">
            <w:pPr>
              <w:pStyle w:val="ExhibitText"/>
              <w:jc w:val="left"/>
              <w:rPr>
                <w:sz w:val="17"/>
                <w:szCs w:val="17"/>
              </w:rPr>
            </w:pPr>
            <w:r w:rsidRPr="00F5187E">
              <w:rPr>
                <w:sz w:val="17"/>
                <w:szCs w:val="17"/>
              </w:rPr>
              <w:t>Terminal growth rate</w:t>
            </w:r>
          </w:p>
        </w:tc>
        <w:tc>
          <w:tcPr>
            <w:tcW w:w="1890" w:type="dxa"/>
            <w:noWrap/>
            <w:vAlign w:val="center"/>
          </w:tcPr>
          <w:p w14:paraId="7C4F3886" w14:textId="77777777" w:rsidR="00167C3C" w:rsidRPr="00F5187E" w:rsidRDefault="00167C3C" w:rsidP="002F338C">
            <w:pPr>
              <w:pStyle w:val="ExhibitText"/>
              <w:jc w:val="right"/>
              <w:rPr>
                <w:sz w:val="17"/>
                <w:szCs w:val="17"/>
              </w:rPr>
            </w:pPr>
            <w:r w:rsidRPr="00F5187E">
              <w:rPr>
                <w:sz w:val="17"/>
                <w:szCs w:val="17"/>
              </w:rPr>
              <w:t>0.00%</w:t>
            </w:r>
          </w:p>
        </w:tc>
      </w:tr>
      <w:tr w:rsidR="00167C3C" w:rsidRPr="00F5187E" w14:paraId="306A1383" w14:textId="77777777" w:rsidTr="00F5187E">
        <w:trPr>
          <w:trHeight w:val="56"/>
          <w:jc w:val="center"/>
        </w:trPr>
        <w:tc>
          <w:tcPr>
            <w:tcW w:w="6115" w:type="dxa"/>
            <w:noWrap/>
            <w:vAlign w:val="center"/>
            <w:hideMark/>
          </w:tcPr>
          <w:p w14:paraId="3F5998F8" w14:textId="77777777" w:rsidR="00167C3C" w:rsidRPr="00F5187E" w:rsidRDefault="00167C3C" w:rsidP="00702EF2">
            <w:pPr>
              <w:pStyle w:val="ExhibitText"/>
              <w:jc w:val="left"/>
              <w:rPr>
                <w:sz w:val="17"/>
                <w:szCs w:val="17"/>
              </w:rPr>
            </w:pPr>
            <w:r w:rsidRPr="00F5187E">
              <w:rPr>
                <w:sz w:val="17"/>
                <w:szCs w:val="17"/>
              </w:rPr>
              <w:t>Annual inflation rate</w:t>
            </w:r>
          </w:p>
        </w:tc>
        <w:tc>
          <w:tcPr>
            <w:tcW w:w="1890" w:type="dxa"/>
            <w:noWrap/>
            <w:vAlign w:val="center"/>
            <w:hideMark/>
          </w:tcPr>
          <w:p w14:paraId="6B4E2839" w14:textId="77777777" w:rsidR="00167C3C" w:rsidRPr="00F5187E" w:rsidRDefault="00167C3C" w:rsidP="002F338C">
            <w:pPr>
              <w:pStyle w:val="ExhibitText"/>
              <w:jc w:val="right"/>
              <w:rPr>
                <w:sz w:val="17"/>
                <w:szCs w:val="17"/>
              </w:rPr>
            </w:pPr>
            <w:r w:rsidRPr="00F5187E">
              <w:rPr>
                <w:sz w:val="17"/>
                <w:szCs w:val="17"/>
              </w:rPr>
              <w:t>0.60%</w:t>
            </w:r>
          </w:p>
        </w:tc>
      </w:tr>
      <w:tr w:rsidR="00167C3C" w:rsidRPr="00F5187E" w14:paraId="3F30551D" w14:textId="77777777" w:rsidTr="00F5187E">
        <w:trPr>
          <w:trHeight w:val="80"/>
          <w:jc w:val="center"/>
        </w:trPr>
        <w:tc>
          <w:tcPr>
            <w:tcW w:w="8005" w:type="dxa"/>
            <w:gridSpan w:val="2"/>
            <w:noWrap/>
            <w:vAlign w:val="center"/>
            <w:hideMark/>
          </w:tcPr>
          <w:p w14:paraId="368248D1" w14:textId="70ED46DB" w:rsidR="00167C3C" w:rsidRPr="00F5187E" w:rsidRDefault="005C1ABD" w:rsidP="00702EF2">
            <w:pPr>
              <w:pStyle w:val="ExhibitText"/>
              <w:jc w:val="left"/>
              <w:rPr>
                <w:b/>
                <w:bCs/>
                <w:sz w:val="17"/>
                <w:szCs w:val="17"/>
              </w:rPr>
            </w:pPr>
            <w:r w:rsidRPr="00F5187E">
              <w:rPr>
                <w:b/>
                <w:bCs/>
                <w:sz w:val="17"/>
                <w:szCs w:val="17"/>
              </w:rPr>
              <w:t>6</w:t>
            </w:r>
            <w:r w:rsidR="00167C3C" w:rsidRPr="00F5187E">
              <w:rPr>
                <w:b/>
                <w:bCs/>
                <w:sz w:val="17"/>
                <w:szCs w:val="17"/>
              </w:rPr>
              <w:t xml:space="preserve">-2: Assumptions for </w:t>
            </w:r>
            <w:r w:rsidR="00E542CD" w:rsidRPr="00F5187E">
              <w:rPr>
                <w:b/>
                <w:bCs/>
                <w:sz w:val="17"/>
                <w:szCs w:val="17"/>
              </w:rPr>
              <w:t>the Social and Financial Benefits</w:t>
            </w:r>
          </w:p>
        </w:tc>
      </w:tr>
      <w:tr w:rsidR="00E542CD" w:rsidRPr="00F5187E" w14:paraId="5B2DFA5B" w14:textId="77777777" w:rsidTr="00F5187E">
        <w:trPr>
          <w:trHeight w:val="56"/>
          <w:jc w:val="center"/>
        </w:trPr>
        <w:tc>
          <w:tcPr>
            <w:tcW w:w="8005" w:type="dxa"/>
            <w:gridSpan w:val="2"/>
            <w:noWrap/>
            <w:vAlign w:val="center"/>
          </w:tcPr>
          <w:p w14:paraId="47CB3E9D" w14:textId="19F742D4" w:rsidR="00E542CD" w:rsidRPr="00F5187E" w:rsidRDefault="00E542CD" w:rsidP="00702EF2">
            <w:pPr>
              <w:pStyle w:val="ExhibitText"/>
              <w:jc w:val="left"/>
              <w:rPr>
                <w:b/>
                <w:bCs/>
                <w:sz w:val="17"/>
                <w:szCs w:val="17"/>
              </w:rPr>
            </w:pPr>
            <w:r w:rsidRPr="00F5187E">
              <w:rPr>
                <w:b/>
                <w:bCs/>
                <w:sz w:val="17"/>
                <w:szCs w:val="17"/>
              </w:rPr>
              <w:t>For Long-Term Care Facilities</w:t>
            </w:r>
          </w:p>
        </w:tc>
      </w:tr>
      <w:tr w:rsidR="00167C3C" w:rsidRPr="00F5187E" w14:paraId="4979A214" w14:textId="77777777" w:rsidTr="00F5187E">
        <w:trPr>
          <w:trHeight w:val="98"/>
          <w:jc w:val="center"/>
        </w:trPr>
        <w:tc>
          <w:tcPr>
            <w:tcW w:w="6115" w:type="dxa"/>
            <w:noWrap/>
            <w:vAlign w:val="center"/>
            <w:hideMark/>
          </w:tcPr>
          <w:p w14:paraId="3C3E158C" w14:textId="2E93165A" w:rsidR="00167C3C" w:rsidRPr="00F5187E" w:rsidRDefault="00167C3C" w:rsidP="00702EF2">
            <w:pPr>
              <w:pStyle w:val="ExhibitText"/>
              <w:jc w:val="left"/>
              <w:rPr>
                <w:sz w:val="17"/>
                <w:szCs w:val="17"/>
              </w:rPr>
            </w:pPr>
            <w:r w:rsidRPr="00F5187E">
              <w:rPr>
                <w:sz w:val="17"/>
                <w:szCs w:val="17"/>
              </w:rPr>
              <w:t>N</w:t>
            </w:r>
            <w:r w:rsidR="00463296" w:rsidRPr="00F5187E">
              <w:rPr>
                <w:sz w:val="17"/>
                <w:szCs w:val="17"/>
              </w:rPr>
              <w:t>umber</w:t>
            </w:r>
            <w:r w:rsidRPr="00F5187E">
              <w:rPr>
                <w:sz w:val="17"/>
                <w:szCs w:val="17"/>
              </w:rPr>
              <w:t xml:space="preserve"> of meals </w:t>
            </w:r>
            <w:r w:rsidR="000044BC" w:rsidRPr="00F5187E">
              <w:rPr>
                <w:sz w:val="17"/>
                <w:szCs w:val="17"/>
              </w:rPr>
              <w:t xml:space="preserve">per year </w:t>
            </w:r>
            <w:r w:rsidRPr="00F5187E">
              <w:rPr>
                <w:sz w:val="17"/>
                <w:szCs w:val="17"/>
              </w:rPr>
              <w:t xml:space="preserve">served </w:t>
            </w:r>
            <w:r w:rsidR="00D70495" w:rsidRPr="00F5187E">
              <w:rPr>
                <w:sz w:val="17"/>
                <w:szCs w:val="17"/>
              </w:rPr>
              <w:t xml:space="preserve">from </w:t>
            </w:r>
            <w:r w:rsidRPr="00F5187E">
              <w:rPr>
                <w:sz w:val="17"/>
                <w:szCs w:val="17"/>
              </w:rPr>
              <w:t>2017</w:t>
            </w:r>
            <w:r w:rsidR="00D70495" w:rsidRPr="00F5187E">
              <w:rPr>
                <w:sz w:val="17"/>
                <w:szCs w:val="17"/>
              </w:rPr>
              <w:t xml:space="preserve"> onward</w:t>
            </w:r>
            <w:r w:rsidR="000044BC" w:rsidRPr="00F5187E">
              <w:rPr>
                <w:sz w:val="17"/>
                <w:szCs w:val="17"/>
              </w:rPr>
              <w:t xml:space="preserve"> (with only one SCK)</w:t>
            </w:r>
          </w:p>
        </w:tc>
        <w:tc>
          <w:tcPr>
            <w:tcW w:w="1890" w:type="dxa"/>
            <w:noWrap/>
            <w:vAlign w:val="center"/>
            <w:hideMark/>
          </w:tcPr>
          <w:p w14:paraId="34CD77CC" w14:textId="77777777" w:rsidR="00167C3C" w:rsidRPr="00F5187E" w:rsidRDefault="00167C3C" w:rsidP="002F338C">
            <w:pPr>
              <w:pStyle w:val="ExhibitText"/>
              <w:jc w:val="right"/>
              <w:rPr>
                <w:sz w:val="17"/>
                <w:szCs w:val="17"/>
              </w:rPr>
            </w:pPr>
            <w:r w:rsidRPr="00F5187E">
              <w:rPr>
                <w:sz w:val="17"/>
                <w:szCs w:val="17"/>
              </w:rPr>
              <w:t>1,800,000</w:t>
            </w:r>
          </w:p>
        </w:tc>
      </w:tr>
      <w:tr w:rsidR="00167C3C" w:rsidRPr="00F5187E" w14:paraId="77E3F92A" w14:textId="77777777" w:rsidTr="00F5187E">
        <w:trPr>
          <w:trHeight w:val="56"/>
          <w:jc w:val="center"/>
        </w:trPr>
        <w:tc>
          <w:tcPr>
            <w:tcW w:w="6115" w:type="dxa"/>
            <w:noWrap/>
            <w:vAlign w:val="center"/>
            <w:hideMark/>
          </w:tcPr>
          <w:p w14:paraId="5A4BB25B" w14:textId="0CF82733" w:rsidR="00167C3C" w:rsidRPr="00F5187E" w:rsidRDefault="00167C3C" w:rsidP="00702EF2">
            <w:pPr>
              <w:pStyle w:val="ExhibitText"/>
              <w:jc w:val="left"/>
              <w:rPr>
                <w:sz w:val="17"/>
                <w:szCs w:val="17"/>
              </w:rPr>
            </w:pPr>
            <w:r w:rsidRPr="00F5187E">
              <w:rPr>
                <w:sz w:val="17"/>
                <w:szCs w:val="17"/>
              </w:rPr>
              <w:t>N</w:t>
            </w:r>
            <w:r w:rsidR="00463296" w:rsidRPr="00F5187E">
              <w:rPr>
                <w:sz w:val="17"/>
                <w:szCs w:val="17"/>
              </w:rPr>
              <w:t>umber</w:t>
            </w:r>
            <w:r w:rsidRPr="00F5187E">
              <w:rPr>
                <w:sz w:val="17"/>
                <w:szCs w:val="17"/>
              </w:rPr>
              <w:t xml:space="preserve"> of meals </w:t>
            </w:r>
            <w:r w:rsidR="000044BC" w:rsidRPr="00F5187E">
              <w:rPr>
                <w:sz w:val="17"/>
                <w:szCs w:val="17"/>
              </w:rPr>
              <w:t xml:space="preserve">per year </w:t>
            </w:r>
            <w:r w:rsidRPr="00F5187E">
              <w:rPr>
                <w:sz w:val="17"/>
                <w:szCs w:val="17"/>
              </w:rPr>
              <w:t>served in 201</w:t>
            </w:r>
            <w:r w:rsidR="00B8783D" w:rsidRPr="00F5187E">
              <w:rPr>
                <w:sz w:val="17"/>
                <w:szCs w:val="17"/>
              </w:rPr>
              <w:t>8</w:t>
            </w:r>
            <w:r w:rsidR="000044BC" w:rsidRPr="00F5187E">
              <w:rPr>
                <w:sz w:val="17"/>
                <w:szCs w:val="17"/>
              </w:rPr>
              <w:t xml:space="preserve"> (</w:t>
            </w:r>
            <w:r w:rsidR="00B337E6" w:rsidRPr="00F5187E">
              <w:rPr>
                <w:sz w:val="17"/>
                <w:szCs w:val="17"/>
              </w:rPr>
              <w:t xml:space="preserve">by </w:t>
            </w:r>
            <w:r w:rsidR="00F12155" w:rsidRPr="00F5187E">
              <w:rPr>
                <w:sz w:val="17"/>
                <w:szCs w:val="17"/>
              </w:rPr>
              <w:t xml:space="preserve">the </w:t>
            </w:r>
            <w:r w:rsidR="00B337E6" w:rsidRPr="00F5187E">
              <w:rPr>
                <w:sz w:val="17"/>
                <w:szCs w:val="17"/>
              </w:rPr>
              <w:t>2nd</w:t>
            </w:r>
            <w:r w:rsidR="000044BC" w:rsidRPr="00F5187E">
              <w:rPr>
                <w:sz w:val="17"/>
                <w:szCs w:val="17"/>
              </w:rPr>
              <w:t xml:space="preserve"> SCK)</w:t>
            </w:r>
          </w:p>
        </w:tc>
        <w:tc>
          <w:tcPr>
            <w:tcW w:w="1890" w:type="dxa"/>
            <w:noWrap/>
            <w:vAlign w:val="center"/>
            <w:hideMark/>
          </w:tcPr>
          <w:p w14:paraId="250625C7" w14:textId="7354215D" w:rsidR="00167C3C" w:rsidRPr="00F5187E" w:rsidRDefault="00B8783D" w:rsidP="002F338C">
            <w:pPr>
              <w:pStyle w:val="ExhibitText"/>
              <w:jc w:val="right"/>
              <w:rPr>
                <w:sz w:val="17"/>
                <w:szCs w:val="17"/>
              </w:rPr>
            </w:pPr>
            <w:r w:rsidRPr="00F5187E">
              <w:rPr>
                <w:sz w:val="17"/>
                <w:szCs w:val="17"/>
              </w:rPr>
              <w:t>24</w:t>
            </w:r>
            <w:r w:rsidR="00167C3C" w:rsidRPr="00F5187E">
              <w:rPr>
                <w:sz w:val="17"/>
                <w:szCs w:val="17"/>
              </w:rPr>
              <w:t>0,000</w:t>
            </w:r>
          </w:p>
        </w:tc>
      </w:tr>
      <w:tr w:rsidR="00B8783D" w:rsidRPr="00F5187E" w14:paraId="4DBA1AFA" w14:textId="77777777" w:rsidTr="00F5187E">
        <w:trPr>
          <w:trHeight w:val="56"/>
          <w:jc w:val="center"/>
        </w:trPr>
        <w:tc>
          <w:tcPr>
            <w:tcW w:w="6115" w:type="dxa"/>
            <w:vAlign w:val="center"/>
          </w:tcPr>
          <w:p w14:paraId="744E1E46" w14:textId="07583711" w:rsidR="00B8783D" w:rsidRPr="00F5187E" w:rsidRDefault="00B8783D" w:rsidP="00702EF2">
            <w:pPr>
              <w:pStyle w:val="ExhibitText"/>
              <w:jc w:val="left"/>
              <w:rPr>
                <w:sz w:val="17"/>
                <w:szCs w:val="17"/>
              </w:rPr>
            </w:pPr>
            <w:r w:rsidRPr="00F5187E">
              <w:rPr>
                <w:sz w:val="17"/>
                <w:szCs w:val="17"/>
              </w:rPr>
              <w:t>Number of meals per year served in 2019 (by the 2nd SCK)</w:t>
            </w:r>
          </w:p>
        </w:tc>
        <w:tc>
          <w:tcPr>
            <w:tcW w:w="1890" w:type="dxa"/>
            <w:noWrap/>
            <w:vAlign w:val="center"/>
          </w:tcPr>
          <w:p w14:paraId="73EC5D09" w14:textId="5D346497" w:rsidR="00B8783D" w:rsidRPr="00F5187E" w:rsidRDefault="00343C35" w:rsidP="002F338C">
            <w:pPr>
              <w:pStyle w:val="ExhibitText"/>
              <w:jc w:val="right"/>
              <w:rPr>
                <w:sz w:val="17"/>
                <w:szCs w:val="17"/>
              </w:rPr>
            </w:pPr>
            <w:r w:rsidRPr="00F5187E">
              <w:rPr>
                <w:sz w:val="17"/>
                <w:szCs w:val="17"/>
              </w:rPr>
              <w:t>1,460</w:t>
            </w:r>
            <w:r w:rsidR="00B8783D" w:rsidRPr="00F5187E">
              <w:rPr>
                <w:sz w:val="17"/>
                <w:szCs w:val="17"/>
              </w:rPr>
              <w:t>,000</w:t>
            </w:r>
          </w:p>
        </w:tc>
      </w:tr>
      <w:tr w:rsidR="00B337E6" w:rsidRPr="00F5187E" w14:paraId="673966B5" w14:textId="77777777" w:rsidTr="00F5187E">
        <w:trPr>
          <w:trHeight w:val="80"/>
          <w:jc w:val="center"/>
        </w:trPr>
        <w:tc>
          <w:tcPr>
            <w:tcW w:w="6115" w:type="dxa"/>
            <w:vAlign w:val="center"/>
          </w:tcPr>
          <w:p w14:paraId="42F160D0" w14:textId="51A4DB8E" w:rsidR="00B337E6" w:rsidRPr="00F5187E" w:rsidRDefault="00B337E6" w:rsidP="00702EF2">
            <w:pPr>
              <w:pStyle w:val="ExhibitText"/>
              <w:jc w:val="left"/>
              <w:rPr>
                <w:sz w:val="17"/>
                <w:szCs w:val="17"/>
              </w:rPr>
            </w:pPr>
            <w:r w:rsidRPr="00F5187E">
              <w:rPr>
                <w:sz w:val="17"/>
                <w:szCs w:val="17"/>
              </w:rPr>
              <w:t xml:space="preserve">Number of meals per year served </w:t>
            </w:r>
            <w:r w:rsidR="00D70495" w:rsidRPr="00F5187E">
              <w:rPr>
                <w:sz w:val="17"/>
                <w:szCs w:val="17"/>
              </w:rPr>
              <w:t>from 2020 onward</w:t>
            </w:r>
            <w:r w:rsidRPr="00F5187E">
              <w:rPr>
                <w:sz w:val="17"/>
                <w:szCs w:val="17"/>
              </w:rPr>
              <w:t xml:space="preserve"> (by </w:t>
            </w:r>
            <w:r w:rsidR="00F12155" w:rsidRPr="00F5187E">
              <w:rPr>
                <w:sz w:val="17"/>
                <w:szCs w:val="17"/>
              </w:rPr>
              <w:t xml:space="preserve">the </w:t>
            </w:r>
            <w:r w:rsidRPr="00F5187E">
              <w:rPr>
                <w:sz w:val="17"/>
                <w:szCs w:val="17"/>
              </w:rPr>
              <w:t>2nd SCK)</w:t>
            </w:r>
          </w:p>
        </w:tc>
        <w:tc>
          <w:tcPr>
            <w:tcW w:w="1890" w:type="dxa"/>
            <w:noWrap/>
            <w:vAlign w:val="center"/>
          </w:tcPr>
          <w:p w14:paraId="411BEBFF" w14:textId="5C3C1BD2" w:rsidR="00B337E6" w:rsidRPr="00F5187E" w:rsidRDefault="00343C35" w:rsidP="002F338C">
            <w:pPr>
              <w:pStyle w:val="ExhibitText"/>
              <w:jc w:val="right"/>
              <w:rPr>
                <w:sz w:val="17"/>
                <w:szCs w:val="17"/>
              </w:rPr>
            </w:pPr>
            <w:r w:rsidRPr="00F5187E">
              <w:rPr>
                <w:sz w:val="17"/>
                <w:szCs w:val="17"/>
              </w:rPr>
              <w:t>2</w:t>
            </w:r>
            <w:r w:rsidR="00B337E6" w:rsidRPr="00F5187E">
              <w:rPr>
                <w:sz w:val="17"/>
                <w:szCs w:val="17"/>
              </w:rPr>
              <w:t>,</w:t>
            </w:r>
            <w:r w:rsidR="0052446A" w:rsidRPr="00F5187E">
              <w:rPr>
                <w:sz w:val="17"/>
                <w:szCs w:val="17"/>
              </w:rPr>
              <w:t>00</w:t>
            </w:r>
            <w:r w:rsidRPr="00F5187E">
              <w:rPr>
                <w:sz w:val="17"/>
                <w:szCs w:val="17"/>
              </w:rPr>
              <w:t>0</w:t>
            </w:r>
            <w:r w:rsidR="00B337E6" w:rsidRPr="00F5187E">
              <w:rPr>
                <w:sz w:val="17"/>
                <w:szCs w:val="17"/>
              </w:rPr>
              <w:t>,000</w:t>
            </w:r>
          </w:p>
        </w:tc>
      </w:tr>
      <w:tr w:rsidR="00B337E6" w:rsidRPr="00F5187E" w14:paraId="5059BBC0" w14:textId="77777777" w:rsidTr="00F5187E">
        <w:trPr>
          <w:trHeight w:val="56"/>
          <w:jc w:val="center"/>
        </w:trPr>
        <w:tc>
          <w:tcPr>
            <w:tcW w:w="6115" w:type="dxa"/>
            <w:vAlign w:val="center"/>
            <w:hideMark/>
          </w:tcPr>
          <w:p w14:paraId="7FDAB119" w14:textId="30205348" w:rsidR="00B337E6" w:rsidRPr="00F5187E" w:rsidRDefault="00B337E6" w:rsidP="00702EF2">
            <w:pPr>
              <w:pStyle w:val="ExhibitText"/>
              <w:jc w:val="left"/>
              <w:rPr>
                <w:sz w:val="17"/>
                <w:szCs w:val="17"/>
              </w:rPr>
            </w:pPr>
            <w:r w:rsidRPr="00F5187E">
              <w:rPr>
                <w:sz w:val="17"/>
                <w:szCs w:val="17"/>
              </w:rPr>
              <w:t xml:space="preserve">Difference in food price per meal between industry average and </w:t>
            </w:r>
            <w:proofErr w:type="spellStart"/>
            <w:r w:rsidRPr="00F5187E">
              <w:rPr>
                <w:sz w:val="17"/>
                <w:szCs w:val="17"/>
              </w:rPr>
              <w:t>Samsui’s</w:t>
            </w:r>
            <w:proofErr w:type="spellEnd"/>
          </w:p>
        </w:tc>
        <w:tc>
          <w:tcPr>
            <w:tcW w:w="1890" w:type="dxa"/>
            <w:noWrap/>
            <w:vAlign w:val="center"/>
            <w:hideMark/>
          </w:tcPr>
          <w:p w14:paraId="03C8FB34" w14:textId="2E774B26" w:rsidR="00B337E6" w:rsidRPr="00F5187E" w:rsidRDefault="00B337E6" w:rsidP="002F338C">
            <w:pPr>
              <w:pStyle w:val="ExhibitText"/>
              <w:jc w:val="right"/>
              <w:rPr>
                <w:sz w:val="17"/>
                <w:szCs w:val="17"/>
              </w:rPr>
            </w:pPr>
            <w:r w:rsidRPr="00F5187E">
              <w:rPr>
                <w:sz w:val="17"/>
                <w:szCs w:val="17"/>
              </w:rPr>
              <w:t>SG$3.50</w:t>
            </w:r>
          </w:p>
        </w:tc>
      </w:tr>
      <w:tr w:rsidR="00B337E6" w:rsidRPr="00F5187E" w14:paraId="3D15355E" w14:textId="77777777" w:rsidTr="00F5187E">
        <w:trPr>
          <w:trHeight w:val="56"/>
          <w:jc w:val="center"/>
        </w:trPr>
        <w:tc>
          <w:tcPr>
            <w:tcW w:w="6115" w:type="dxa"/>
            <w:noWrap/>
            <w:vAlign w:val="center"/>
            <w:hideMark/>
          </w:tcPr>
          <w:p w14:paraId="1D84A7FE" w14:textId="77777777" w:rsidR="00B337E6" w:rsidRPr="00F5187E" w:rsidRDefault="00B337E6" w:rsidP="00702EF2">
            <w:pPr>
              <w:pStyle w:val="ExhibitText"/>
              <w:jc w:val="left"/>
              <w:rPr>
                <w:sz w:val="17"/>
                <w:szCs w:val="17"/>
              </w:rPr>
            </w:pPr>
            <w:r w:rsidRPr="00F5187E">
              <w:rPr>
                <w:sz w:val="17"/>
                <w:szCs w:val="17"/>
              </w:rPr>
              <w:t>Deadweight</w:t>
            </w:r>
          </w:p>
        </w:tc>
        <w:tc>
          <w:tcPr>
            <w:tcW w:w="1890" w:type="dxa"/>
            <w:noWrap/>
            <w:vAlign w:val="center"/>
            <w:hideMark/>
          </w:tcPr>
          <w:p w14:paraId="052D7CB1" w14:textId="77777777" w:rsidR="00B337E6" w:rsidRPr="00F5187E" w:rsidRDefault="00B337E6" w:rsidP="002F338C">
            <w:pPr>
              <w:pStyle w:val="ExhibitText"/>
              <w:jc w:val="right"/>
              <w:rPr>
                <w:sz w:val="17"/>
                <w:szCs w:val="17"/>
              </w:rPr>
            </w:pPr>
            <w:r w:rsidRPr="00F5187E">
              <w:rPr>
                <w:sz w:val="17"/>
                <w:szCs w:val="17"/>
              </w:rPr>
              <w:t>0.00%</w:t>
            </w:r>
          </w:p>
        </w:tc>
      </w:tr>
      <w:tr w:rsidR="00E542CD" w:rsidRPr="00F5187E" w14:paraId="7241E8BF" w14:textId="77777777" w:rsidTr="00F5187E">
        <w:trPr>
          <w:trHeight w:val="56"/>
          <w:jc w:val="center"/>
        </w:trPr>
        <w:tc>
          <w:tcPr>
            <w:tcW w:w="8005" w:type="dxa"/>
            <w:gridSpan w:val="2"/>
            <w:noWrap/>
            <w:vAlign w:val="center"/>
            <w:hideMark/>
          </w:tcPr>
          <w:p w14:paraId="10D90FDA" w14:textId="6A262C8D" w:rsidR="00E542CD" w:rsidRPr="00F5187E" w:rsidRDefault="00E542CD" w:rsidP="00702EF2">
            <w:pPr>
              <w:pStyle w:val="ExhibitText"/>
              <w:jc w:val="left"/>
              <w:rPr>
                <w:b/>
                <w:bCs/>
                <w:sz w:val="17"/>
                <w:szCs w:val="17"/>
              </w:rPr>
            </w:pPr>
            <w:r w:rsidRPr="00F5187E">
              <w:rPr>
                <w:b/>
                <w:bCs/>
                <w:sz w:val="17"/>
                <w:szCs w:val="17"/>
              </w:rPr>
              <w:t xml:space="preserve">For Persons with </w:t>
            </w:r>
            <w:r w:rsidR="00137041" w:rsidRPr="00F5187E">
              <w:rPr>
                <w:b/>
                <w:bCs/>
                <w:sz w:val="17"/>
                <w:szCs w:val="17"/>
              </w:rPr>
              <w:t>D</w:t>
            </w:r>
            <w:r w:rsidRPr="00F5187E">
              <w:rPr>
                <w:b/>
                <w:bCs/>
                <w:sz w:val="17"/>
                <w:szCs w:val="17"/>
              </w:rPr>
              <w:t>isabilit</w:t>
            </w:r>
            <w:r w:rsidR="001460DC" w:rsidRPr="00F5187E">
              <w:rPr>
                <w:b/>
                <w:bCs/>
                <w:sz w:val="17"/>
                <w:szCs w:val="17"/>
              </w:rPr>
              <w:t>ies</w:t>
            </w:r>
            <w:r w:rsidR="00D24878" w:rsidRPr="00F5187E">
              <w:rPr>
                <w:b/>
                <w:bCs/>
                <w:sz w:val="17"/>
                <w:szCs w:val="17"/>
              </w:rPr>
              <w:t>,</w:t>
            </w:r>
            <w:r w:rsidRPr="00F5187E">
              <w:rPr>
                <w:b/>
                <w:bCs/>
                <w:sz w:val="17"/>
                <w:szCs w:val="17"/>
              </w:rPr>
              <w:t xml:space="preserve"> to be employed</w:t>
            </w:r>
            <w:r w:rsidR="002A019F" w:rsidRPr="00F5187E">
              <w:rPr>
                <w:b/>
                <w:bCs/>
                <w:sz w:val="17"/>
                <w:szCs w:val="17"/>
              </w:rPr>
              <w:t xml:space="preserve"> for the 2</w:t>
            </w:r>
            <w:r w:rsidR="002A019F" w:rsidRPr="00F5187E">
              <w:rPr>
                <w:b/>
                <w:bCs/>
                <w:sz w:val="17"/>
                <w:szCs w:val="17"/>
                <w:vertAlign w:val="superscript"/>
              </w:rPr>
              <w:t>nd</w:t>
            </w:r>
            <w:r w:rsidR="002A019F" w:rsidRPr="00F5187E">
              <w:rPr>
                <w:b/>
                <w:bCs/>
                <w:sz w:val="17"/>
                <w:szCs w:val="17"/>
              </w:rPr>
              <w:t xml:space="preserve"> SCK</w:t>
            </w:r>
          </w:p>
        </w:tc>
      </w:tr>
      <w:tr w:rsidR="00E542CD" w:rsidRPr="00F5187E" w14:paraId="55DEF227" w14:textId="77777777" w:rsidTr="00F5187E">
        <w:trPr>
          <w:trHeight w:val="56"/>
          <w:jc w:val="center"/>
        </w:trPr>
        <w:tc>
          <w:tcPr>
            <w:tcW w:w="6115" w:type="dxa"/>
            <w:noWrap/>
            <w:vAlign w:val="center"/>
            <w:hideMark/>
          </w:tcPr>
          <w:p w14:paraId="658ADD52" w14:textId="1CDA2612" w:rsidR="00E542CD" w:rsidRPr="00F5187E" w:rsidRDefault="00E542CD" w:rsidP="00702EF2">
            <w:pPr>
              <w:pStyle w:val="ExhibitText"/>
              <w:jc w:val="left"/>
              <w:rPr>
                <w:sz w:val="17"/>
                <w:szCs w:val="17"/>
              </w:rPr>
            </w:pPr>
            <w:r w:rsidRPr="00F5187E">
              <w:rPr>
                <w:sz w:val="17"/>
                <w:szCs w:val="17"/>
              </w:rPr>
              <w:t xml:space="preserve">The saving of the monthly living cost of an unemployed </w:t>
            </w:r>
            <w:r w:rsidR="00B13B0A" w:rsidRPr="00F5187E">
              <w:rPr>
                <w:sz w:val="17"/>
                <w:szCs w:val="17"/>
              </w:rPr>
              <w:t>person with a disability</w:t>
            </w:r>
          </w:p>
        </w:tc>
        <w:tc>
          <w:tcPr>
            <w:tcW w:w="1890" w:type="dxa"/>
            <w:noWrap/>
            <w:vAlign w:val="center"/>
            <w:hideMark/>
          </w:tcPr>
          <w:p w14:paraId="1B598F66" w14:textId="7B7AF7AF" w:rsidR="00E542CD" w:rsidRPr="00F5187E" w:rsidRDefault="00E542CD" w:rsidP="002F338C">
            <w:pPr>
              <w:pStyle w:val="ExhibitText"/>
              <w:jc w:val="right"/>
              <w:rPr>
                <w:sz w:val="17"/>
                <w:szCs w:val="17"/>
              </w:rPr>
            </w:pPr>
            <w:r w:rsidRPr="00F5187E">
              <w:rPr>
                <w:sz w:val="17"/>
                <w:szCs w:val="17"/>
              </w:rPr>
              <w:t>$1,000</w:t>
            </w:r>
          </w:p>
        </w:tc>
      </w:tr>
      <w:tr w:rsidR="002A019F" w:rsidRPr="00F5187E" w14:paraId="587E7755" w14:textId="77777777" w:rsidTr="00F5187E">
        <w:trPr>
          <w:trHeight w:val="288"/>
          <w:jc w:val="center"/>
        </w:trPr>
        <w:tc>
          <w:tcPr>
            <w:tcW w:w="6115" w:type="dxa"/>
            <w:noWrap/>
            <w:vAlign w:val="center"/>
          </w:tcPr>
          <w:p w14:paraId="249C4634" w14:textId="54446BCA" w:rsidR="002A019F" w:rsidRPr="00F5187E" w:rsidRDefault="002A019F" w:rsidP="00702EF2">
            <w:pPr>
              <w:pStyle w:val="ExhibitText"/>
              <w:jc w:val="left"/>
              <w:rPr>
                <w:sz w:val="17"/>
                <w:szCs w:val="17"/>
              </w:rPr>
            </w:pPr>
            <w:r w:rsidRPr="00F5187E">
              <w:rPr>
                <w:sz w:val="17"/>
                <w:szCs w:val="17"/>
              </w:rPr>
              <w:t xml:space="preserve">Number of </w:t>
            </w:r>
            <w:r w:rsidR="00620603" w:rsidRPr="00F5187E">
              <w:rPr>
                <w:sz w:val="17"/>
                <w:szCs w:val="17"/>
              </w:rPr>
              <w:t>people</w:t>
            </w:r>
            <w:r w:rsidRPr="00F5187E">
              <w:rPr>
                <w:sz w:val="17"/>
                <w:szCs w:val="17"/>
              </w:rPr>
              <w:t xml:space="preserve"> to be hired </w:t>
            </w:r>
          </w:p>
        </w:tc>
        <w:tc>
          <w:tcPr>
            <w:tcW w:w="1890" w:type="dxa"/>
            <w:noWrap/>
            <w:vAlign w:val="center"/>
          </w:tcPr>
          <w:p w14:paraId="3AA05054" w14:textId="77777777" w:rsidR="002F338C" w:rsidRPr="00F5187E" w:rsidRDefault="002A019F" w:rsidP="002F338C">
            <w:pPr>
              <w:pStyle w:val="ExhibitText"/>
              <w:jc w:val="right"/>
              <w:rPr>
                <w:sz w:val="17"/>
                <w:szCs w:val="17"/>
              </w:rPr>
            </w:pPr>
            <w:r w:rsidRPr="00F5187E">
              <w:rPr>
                <w:sz w:val="17"/>
                <w:szCs w:val="17"/>
              </w:rPr>
              <w:t>7 from 2018 to 2019</w:t>
            </w:r>
          </w:p>
          <w:p w14:paraId="1A3E0625" w14:textId="49AB088A" w:rsidR="002A019F" w:rsidRPr="00F5187E" w:rsidRDefault="002A019F" w:rsidP="002F338C">
            <w:pPr>
              <w:pStyle w:val="ExhibitText"/>
              <w:jc w:val="right"/>
              <w:rPr>
                <w:sz w:val="17"/>
                <w:szCs w:val="17"/>
              </w:rPr>
            </w:pPr>
            <w:r w:rsidRPr="00F5187E">
              <w:rPr>
                <w:sz w:val="17"/>
                <w:szCs w:val="17"/>
              </w:rPr>
              <w:t>15 from 2020 onward</w:t>
            </w:r>
          </w:p>
        </w:tc>
      </w:tr>
    </w:tbl>
    <w:p w14:paraId="1F3EE1F9" w14:textId="0A9AB0B3" w:rsidR="00C331A6" w:rsidRPr="00F5187E" w:rsidRDefault="00C331A6" w:rsidP="00C331A6">
      <w:pPr>
        <w:pStyle w:val="ExhibitText"/>
        <w:rPr>
          <w:sz w:val="12"/>
          <w:szCs w:val="12"/>
        </w:rPr>
      </w:pPr>
    </w:p>
    <w:tbl>
      <w:tblPr>
        <w:tblStyle w:val="TableGrid"/>
        <w:tblW w:w="5003" w:type="pct"/>
        <w:tblLayout w:type="fixed"/>
        <w:tblLook w:val="04A0" w:firstRow="1" w:lastRow="0" w:firstColumn="1" w:lastColumn="0" w:noHBand="0" w:noVBand="1"/>
      </w:tblPr>
      <w:tblGrid>
        <w:gridCol w:w="896"/>
        <w:gridCol w:w="1440"/>
        <w:gridCol w:w="1079"/>
        <w:gridCol w:w="2430"/>
        <w:gridCol w:w="1530"/>
        <w:gridCol w:w="1981"/>
      </w:tblGrid>
      <w:tr w:rsidR="00167C3C" w:rsidRPr="00F5187E" w14:paraId="6F2CABF6" w14:textId="77777777" w:rsidTr="00F5187E">
        <w:trPr>
          <w:trHeight w:val="56"/>
        </w:trPr>
        <w:tc>
          <w:tcPr>
            <w:tcW w:w="9356" w:type="dxa"/>
            <w:gridSpan w:val="6"/>
            <w:noWrap/>
            <w:vAlign w:val="center"/>
            <w:hideMark/>
          </w:tcPr>
          <w:p w14:paraId="601DB81A" w14:textId="6900DDF6" w:rsidR="00167C3C" w:rsidRPr="00F5187E" w:rsidRDefault="005C1ABD" w:rsidP="00D24878">
            <w:pPr>
              <w:pStyle w:val="ExhibitText"/>
              <w:jc w:val="left"/>
              <w:rPr>
                <w:b/>
                <w:bCs/>
                <w:sz w:val="17"/>
                <w:szCs w:val="17"/>
              </w:rPr>
            </w:pPr>
            <w:r w:rsidRPr="00F5187E">
              <w:rPr>
                <w:b/>
                <w:bCs/>
                <w:sz w:val="17"/>
                <w:szCs w:val="17"/>
              </w:rPr>
              <w:t>6</w:t>
            </w:r>
            <w:r w:rsidR="00167C3C" w:rsidRPr="00F5187E">
              <w:rPr>
                <w:b/>
                <w:bCs/>
                <w:sz w:val="17"/>
                <w:szCs w:val="17"/>
              </w:rPr>
              <w:t xml:space="preserve">-3: Assumptions for Investment Costs </w:t>
            </w:r>
          </w:p>
        </w:tc>
      </w:tr>
      <w:tr w:rsidR="00463296" w:rsidRPr="00F5187E" w14:paraId="0E7B1210" w14:textId="77777777" w:rsidTr="00F5187E">
        <w:trPr>
          <w:trHeight w:val="56"/>
        </w:trPr>
        <w:tc>
          <w:tcPr>
            <w:tcW w:w="896" w:type="dxa"/>
            <w:vAlign w:val="center"/>
            <w:hideMark/>
          </w:tcPr>
          <w:p w14:paraId="1FCDF980" w14:textId="730ED36B" w:rsidR="00167C3C" w:rsidRPr="00F5187E" w:rsidRDefault="00167C3C" w:rsidP="00D24878">
            <w:pPr>
              <w:pStyle w:val="ExhibitText"/>
              <w:jc w:val="left"/>
              <w:rPr>
                <w:sz w:val="17"/>
                <w:szCs w:val="17"/>
              </w:rPr>
            </w:pPr>
            <w:r w:rsidRPr="00F5187E">
              <w:rPr>
                <w:sz w:val="17"/>
                <w:szCs w:val="17"/>
              </w:rPr>
              <w:t>Type</w:t>
            </w:r>
            <w:r w:rsidR="00F5187E" w:rsidRPr="00F5187E">
              <w:rPr>
                <w:sz w:val="17"/>
                <w:szCs w:val="17"/>
              </w:rPr>
              <w:t xml:space="preserve"> </w:t>
            </w:r>
            <w:r w:rsidRPr="00F5187E">
              <w:rPr>
                <w:sz w:val="17"/>
                <w:szCs w:val="17"/>
              </w:rPr>
              <w:t>of cost</w:t>
            </w:r>
          </w:p>
        </w:tc>
        <w:tc>
          <w:tcPr>
            <w:tcW w:w="1440" w:type="dxa"/>
            <w:vAlign w:val="center"/>
            <w:hideMark/>
          </w:tcPr>
          <w:p w14:paraId="3BE9642A" w14:textId="77777777" w:rsidR="00167C3C" w:rsidRPr="00F5187E" w:rsidRDefault="00167C3C" w:rsidP="00D24878">
            <w:pPr>
              <w:pStyle w:val="ExhibitText"/>
              <w:jc w:val="left"/>
              <w:rPr>
                <w:sz w:val="17"/>
                <w:szCs w:val="17"/>
              </w:rPr>
            </w:pPr>
            <w:r w:rsidRPr="00F5187E">
              <w:rPr>
                <w:sz w:val="17"/>
                <w:szCs w:val="17"/>
              </w:rPr>
              <w:t>Cost</w:t>
            </w:r>
          </w:p>
        </w:tc>
        <w:tc>
          <w:tcPr>
            <w:tcW w:w="1079" w:type="dxa"/>
            <w:vAlign w:val="center"/>
            <w:hideMark/>
          </w:tcPr>
          <w:p w14:paraId="03B46FBC" w14:textId="7AD11AC1" w:rsidR="00167C3C" w:rsidRPr="00F5187E" w:rsidRDefault="00167C3C" w:rsidP="00D24878">
            <w:pPr>
              <w:pStyle w:val="ExhibitText"/>
              <w:jc w:val="left"/>
              <w:rPr>
                <w:sz w:val="17"/>
                <w:szCs w:val="17"/>
              </w:rPr>
            </w:pPr>
            <w:r w:rsidRPr="00F5187E">
              <w:rPr>
                <w:sz w:val="17"/>
                <w:szCs w:val="17"/>
              </w:rPr>
              <w:t>Data value (</w:t>
            </w:r>
            <w:r w:rsidR="00463296" w:rsidRPr="00F5187E">
              <w:rPr>
                <w:sz w:val="17"/>
                <w:szCs w:val="17"/>
              </w:rPr>
              <w:t xml:space="preserve">in </w:t>
            </w:r>
            <w:r w:rsidRPr="00F5187E">
              <w:rPr>
                <w:sz w:val="17"/>
                <w:szCs w:val="17"/>
              </w:rPr>
              <w:t>SG</w:t>
            </w:r>
            <w:r w:rsidR="00463296" w:rsidRPr="00F5187E">
              <w:rPr>
                <w:sz w:val="17"/>
                <w:szCs w:val="17"/>
              </w:rPr>
              <w:t>$</w:t>
            </w:r>
            <w:r w:rsidRPr="00F5187E">
              <w:rPr>
                <w:sz w:val="17"/>
                <w:szCs w:val="17"/>
              </w:rPr>
              <w:t>)</w:t>
            </w:r>
          </w:p>
        </w:tc>
        <w:tc>
          <w:tcPr>
            <w:tcW w:w="2430" w:type="dxa"/>
            <w:vAlign w:val="center"/>
            <w:hideMark/>
          </w:tcPr>
          <w:p w14:paraId="3C2F35EC" w14:textId="77777777" w:rsidR="00167C3C" w:rsidRPr="00F5187E" w:rsidRDefault="00167C3C" w:rsidP="00D24878">
            <w:pPr>
              <w:pStyle w:val="ExhibitText"/>
              <w:jc w:val="left"/>
              <w:rPr>
                <w:sz w:val="17"/>
                <w:szCs w:val="17"/>
              </w:rPr>
            </w:pPr>
            <w:r w:rsidRPr="00F5187E">
              <w:rPr>
                <w:sz w:val="17"/>
                <w:szCs w:val="17"/>
              </w:rPr>
              <w:t>Vary by factor</w:t>
            </w:r>
          </w:p>
        </w:tc>
        <w:tc>
          <w:tcPr>
            <w:tcW w:w="1530" w:type="dxa"/>
            <w:vAlign w:val="center"/>
            <w:hideMark/>
          </w:tcPr>
          <w:p w14:paraId="7A34622B" w14:textId="77777777" w:rsidR="00167C3C" w:rsidRPr="00F5187E" w:rsidRDefault="00167C3C" w:rsidP="00D24878">
            <w:pPr>
              <w:pStyle w:val="ExhibitText"/>
              <w:jc w:val="left"/>
              <w:rPr>
                <w:sz w:val="17"/>
                <w:szCs w:val="17"/>
              </w:rPr>
            </w:pPr>
            <w:r w:rsidRPr="00F5187E">
              <w:rPr>
                <w:sz w:val="17"/>
                <w:szCs w:val="17"/>
              </w:rPr>
              <w:t>Source</w:t>
            </w:r>
          </w:p>
        </w:tc>
        <w:tc>
          <w:tcPr>
            <w:tcW w:w="1981" w:type="dxa"/>
            <w:vAlign w:val="center"/>
            <w:hideMark/>
          </w:tcPr>
          <w:p w14:paraId="46A6F7BE" w14:textId="77777777" w:rsidR="00167C3C" w:rsidRPr="00F5187E" w:rsidRDefault="00167C3C" w:rsidP="00D24878">
            <w:pPr>
              <w:pStyle w:val="ExhibitText"/>
              <w:jc w:val="left"/>
              <w:rPr>
                <w:sz w:val="17"/>
                <w:szCs w:val="17"/>
              </w:rPr>
            </w:pPr>
            <w:r w:rsidRPr="00F5187E">
              <w:rPr>
                <w:sz w:val="17"/>
                <w:szCs w:val="17"/>
              </w:rPr>
              <w:t>Total costs</w:t>
            </w:r>
          </w:p>
        </w:tc>
      </w:tr>
      <w:tr w:rsidR="00463296" w:rsidRPr="00F5187E" w14:paraId="423D573B" w14:textId="77777777" w:rsidTr="00F5187E">
        <w:trPr>
          <w:trHeight w:val="233"/>
        </w:trPr>
        <w:tc>
          <w:tcPr>
            <w:tcW w:w="896" w:type="dxa"/>
            <w:vMerge w:val="restart"/>
            <w:vAlign w:val="center"/>
            <w:hideMark/>
          </w:tcPr>
          <w:p w14:paraId="2270A1B8" w14:textId="77777777" w:rsidR="00167C3C" w:rsidRPr="00F5187E" w:rsidRDefault="00167C3C" w:rsidP="00D24878">
            <w:pPr>
              <w:pStyle w:val="ExhibitText"/>
              <w:jc w:val="left"/>
              <w:rPr>
                <w:sz w:val="17"/>
                <w:szCs w:val="17"/>
              </w:rPr>
            </w:pPr>
            <w:r w:rsidRPr="00F5187E">
              <w:rPr>
                <w:sz w:val="17"/>
                <w:szCs w:val="17"/>
              </w:rPr>
              <w:t>Fixed</w:t>
            </w:r>
          </w:p>
        </w:tc>
        <w:tc>
          <w:tcPr>
            <w:tcW w:w="1440" w:type="dxa"/>
            <w:vAlign w:val="center"/>
            <w:hideMark/>
          </w:tcPr>
          <w:p w14:paraId="55F8C245" w14:textId="56A476D0" w:rsidR="00167C3C" w:rsidRPr="00F5187E" w:rsidRDefault="00463296" w:rsidP="00D24878">
            <w:pPr>
              <w:pStyle w:val="ExhibitText"/>
              <w:jc w:val="left"/>
              <w:rPr>
                <w:sz w:val="17"/>
                <w:szCs w:val="17"/>
              </w:rPr>
            </w:pPr>
            <w:r w:rsidRPr="00F5187E">
              <w:rPr>
                <w:sz w:val="17"/>
                <w:szCs w:val="17"/>
              </w:rPr>
              <w:t>First</w:t>
            </w:r>
            <w:r w:rsidR="00167C3C" w:rsidRPr="00F5187E">
              <w:rPr>
                <w:sz w:val="17"/>
                <w:szCs w:val="17"/>
              </w:rPr>
              <w:t xml:space="preserve"> central kitchen</w:t>
            </w:r>
          </w:p>
        </w:tc>
        <w:tc>
          <w:tcPr>
            <w:tcW w:w="1079" w:type="dxa"/>
            <w:vAlign w:val="center"/>
            <w:hideMark/>
          </w:tcPr>
          <w:p w14:paraId="4341B446" w14:textId="5A5C2D03" w:rsidR="00167C3C" w:rsidRPr="00F5187E" w:rsidRDefault="00167C3C" w:rsidP="00D24878">
            <w:pPr>
              <w:pStyle w:val="ExhibitText"/>
              <w:jc w:val="left"/>
              <w:rPr>
                <w:sz w:val="17"/>
                <w:szCs w:val="17"/>
              </w:rPr>
            </w:pPr>
            <w:r w:rsidRPr="00F5187E">
              <w:rPr>
                <w:sz w:val="17"/>
                <w:szCs w:val="17"/>
              </w:rPr>
              <w:t>$1,000,000</w:t>
            </w:r>
          </w:p>
        </w:tc>
        <w:tc>
          <w:tcPr>
            <w:tcW w:w="2430" w:type="dxa"/>
            <w:vAlign w:val="center"/>
            <w:hideMark/>
          </w:tcPr>
          <w:p w14:paraId="4AADA7C9" w14:textId="0930B8EB" w:rsidR="00167C3C" w:rsidRPr="00F5187E" w:rsidRDefault="00167C3C" w:rsidP="00D24878">
            <w:pPr>
              <w:pStyle w:val="ExhibitText"/>
              <w:jc w:val="left"/>
              <w:rPr>
                <w:sz w:val="17"/>
                <w:szCs w:val="17"/>
              </w:rPr>
            </w:pPr>
            <w:r w:rsidRPr="00F5187E">
              <w:rPr>
                <w:sz w:val="17"/>
                <w:szCs w:val="17"/>
              </w:rPr>
              <w:t>N</w:t>
            </w:r>
            <w:r w:rsidR="00463296" w:rsidRPr="00F5187E">
              <w:rPr>
                <w:sz w:val="17"/>
                <w:szCs w:val="17"/>
              </w:rPr>
              <w:t>ot applicable</w:t>
            </w:r>
          </w:p>
        </w:tc>
        <w:tc>
          <w:tcPr>
            <w:tcW w:w="1530" w:type="dxa"/>
            <w:vAlign w:val="center"/>
            <w:hideMark/>
          </w:tcPr>
          <w:p w14:paraId="030AB95E" w14:textId="63F309AC" w:rsidR="002C3375" w:rsidRPr="00F5187E" w:rsidRDefault="00167C3C" w:rsidP="00D24878">
            <w:pPr>
              <w:pStyle w:val="ExhibitText"/>
              <w:jc w:val="left"/>
              <w:rPr>
                <w:sz w:val="17"/>
                <w:szCs w:val="17"/>
              </w:rPr>
            </w:pPr>
            <w:r w:rsidRPr="00F5187E">
              <w:rPr>
                <w:sz w:val="17"/>
                <w:szCs w:val="17"/>
              </w:rPr>
              <w:t xml:space="preserve">Soup Restaurant </w:t>
            </w:r>
            <w:r w:rsidR="002C3375" w:rsidRPr="00F5187E">
              <w:rPr>
                <w:sz w:val="17"/>
                <w:szCs w:val="17"/>
              </w:rPr>
              <w:t>Group Limited</w:t>
            </w:r>
          </w:p>
        </w:tc>
        <w:tc>
          <w:tcPr>
            <w:tcW w:w="1981" w:type="dxa"/>
            <w:vAlign w:val="center"/>
            <w:hideMark/>
          </w:tcPr>
          <w:p w14:paraId="4D75FB7A" w14:textId="7C064874" w:rsidR="00167C3C" w:rsidRPr="00F5187E" w:rsidRDefault="00167C3C" w:rsidP="00D24878">
            <w:pPr>
              <w:pStyle w:val="ExhibitText"/>
              <w:jc w:val="left"/>
              <w:rPr>
                <w:sz w:val="17"/>
                <w:szCs w:val="17"/>
              </w:rPr>
            </w:pPr>
            <w:r w:rsidRPr="00F5187E">
              <w:rPr>
                <w:sz w:val="17"/>
                <w:szCs w:val="17"/>
              </w:rPr>
              <w:t>$1,000,000</w:t>
            </w:r>
          </w:p>
        </w:tc>
      </w:tr>
      <w:tr w:rsidR="00463296" w:rsidRPr="00F5187E" w14:paraId="346162B4" w14:textId="77777777" w:rsidTr="00F5187E">
        <w:trPr>
          <w:trHeight w:val="288"/>
        </w:trPr>
        <w:tc>
          <w:tcPr>
            <w:tcW w:w="896" w:type="dxa"/>
            <w:vMerge/>
            <w:vAlign w:val="center"/>
            <w:hideMark/>
          </w:tcPr>
          <w:p w14:paraId="46485018" w14:textId="77777777" w:rsidR="00167C3C" w:rsidRPr="00F5187E" w:rsidRDefault="00167C3C" w:rsidP="00D24878">
            <w:pPr>
              <w:pStyle w:val="ExhibitText"/>
              <w:jc w:val="left"/>
              <w:rPr>
                <w:sz w:val="17"/>
                <w:szCs w:val="17"/>
              </w:rPr>
            </w:pPr>
          </w:p>
        </w:tc>
        <w:tc>
          <w:tcPr>
            <w:tcW w:w="1440" w:type="dxa"/>
            <w:vAlign w:val="center"/>
            <w:hideMark/>
          </w:tcPr>
          <w:p w14:paraId="5F358481" w14:textId="2B54C0AE" w:rsidR="00167C3C" w:rsidRPr="00F5187E" w:rsidRDefault="00463296" w:rsidP="00D24878">
            <w:pPr>
              <w:pStyle w:val="ExhibitText"/>
              <w:jc w:val="left"/>
              <w:rPr>
                <w:sz w:val="17"/>
                <w:szCs w:val="17"/>
              </w:rPr>
            </w:pPr>
            <w:r w:rsidRPr="00F5187E">
              <w:rPr>
                <w:sz w:val="17"/>
                <w:szCs w:val="17"/>
              </w:rPr>
              <w:t>Seco</w:t>
            </w:r>
            <w:r w:rsidR="00167C3C" w:rsidRPr="00F5187E">
              <w:rPr>
                <w:sz w:val="17"/>
                <w:szCs w:val="17"/>
              </w:rPr>
              <w:t>nd central kitchen (to be built in 2018)</w:t>
            </w:r>
          </w:p>
        </w:tc>
        <w:tc>
          <w:tcPr>
            <w:tcW w:w="1079" w:type="dxa"/>
            <w:vAlign w:val="center"/>
            <w:hideMark/>
          </w:tcPr>
          <w:p w14:paraId="23293643" w14:textId="1A8B50E6" w:rsidR="00167C3C" w:rsidRPr="00F5187E" w:rsidRDefault="00D60FC8" w:rsidP="00D24878">
            <w:pPr>
              <w:pStyle w:val="ExhibitText"/>
              <w:jc w:val="left"/>
              <w:rPr>
                <w:sz w:val="17"/>
                <w:szCs w:val="17"/>
              </w:rPr>
            </w:pPr>
            <w:r w:rsidRPr="00F5187E">
              <w:rPr>
                <w:sz w:val="17"/>
                <w:szCs w:val="17"/>
              </w:rPr>
              <w:t>$3</w:t>
            </w:r>
            <w:r w:rsidR="000044BC" w:rsidRPr="00F5187E">
              <w:rPr>
                <w:sz w:val="17"/>
                <w:szCs w:val="17"/>
              </w:rPr>
              <w:t>00,000</w:t>
            </w:r>
          </w:p>
        </w:tc>
        <w:tc>
          <w:tcPr>
            <w:tcW w:w="2430" w:type="dxa"/>
            <w:vAlign w:val="center"/>
            <w:hideMark/>
          </w:tcPr>
          <w:p w14:paraId="7F13634E" w14:textId="01046ABF" w:rsidR="00167C3C" w:rsidRPr="00F5187E" w:rsidRDefault="00B8783D" w:rsidP="00D24878">
            <w:pPr>
              <w:pStyle w:val="ExhibitText"/>
              <w:jc w:val="left"/>
              <w:rPr>
                <w:sz w:val="17"/>
                <w:szCs w:val="17"/>
              </w:rPr>
            </w:pPr>
            <w:r w:rsidRPr="00F5187E">
              <w:rPr>
                <w:sz w:val="17"/>
                <w:szCs w:val="17"/>
              </w:rPr>
              <w:t>Not applicable</w:t>
            </w:r>
          </w:p>
        </w:tc>
        <w:tc>
          <w:tcPr>
            <w:tcW w:w="1530" w:type="dxa"/>
            <w:vAlign w:val="center"/>
            <w:hideMark/>
          </w:tcPr>
          <w:p w14:paraId="25D5A5AB" w14:textId="149BC510" w:rsidR="00167C3C" w:rsidRPr="00F5187E" w:rsidRDefault="000044BC" w:rsidP="00D24878">
            <w:pPr>
              <w:pStyle w:val="ExhibitText"/>
              <w:jc w:val="left"/>
              <w:rPr>
                <w:sz w:val="17"/>
                <w:szCs w:val="17"/>
              </w:rPr>
            </w:pPr>
            <w:r w:rsidRPr="00F5187E">
              <w:rPr>
                <w:sz w:val="17"/>
                <w:szCs w:val="17"/>
              </w:rPr>
              <w:t xml:space="preserve">Soup Restaurant Group Limited; Kian Peng </w:t>
            </w:r>
            <w:proofErr w:type="spellStart"/>
            <w:r w:rsidRPr="00F5187E">
              <w:rPr>
                <w:sz w:val="17"/>
                <w:szCs w:val="17"/>
              </w:rPr>
              <w:t>Ang</w:t>
            </w:r>
            <w:proofErr w:type="spellEnd"/>
            <w:r w:rsidR="005D4A06" w:rsidRPr="00F5187E">
              <w:rPr>
                <w:sz w:val="17"/>
                <w:szCs w:val="17"/>
              </w:rPr>
              <w:t xml:space="preserve"> </w:t>
            </w:r>
          </w:p>
        </w:tc>
        <w:tc>
          <w:tcPr>
            <w:tcW w:w="1981" w:type="dxa"/>
            <w:vAlign w:val="center"/>
            <w:hideMark/>
          </w:tcPr>
          <w:p w14:paraId="10414E31" w14:textId="459195FB" w:rsidR="00167C3C" w:rsidRPr="00F5187E" w:rsidRDefault="00167C3C" w:rsidP="00D24878">
            <w:pPr>
              <w:pStyle w:val="ExhibitText"/>
              <w:jc w:val="left"/>
              <w:rPr>
                <w:sz w:val="17"/>
                <w:szCs w:val="17"/>
              </w:rPr>
            </w:pPr>
            <w:r w:rsidRPr="00F5187E">
              <w:rPr>
                <w:sz w:val="17"/>
                <w:szCs w:val="17"/>
              </w:rPr>
              <w:t>$</w:t>
            </w:r>
            <w:r w:rsidR="00D60FC8" w:rsidRPr="00F5187E">
              <w:rPr>
                <w:sz w:val="17"/>
                <w:szCs w:val="17"/>
              </w:rPr>
              <w:t>3</w:t>
            </w:r>
            <w:r w:rsidRPr="00F5187E">
              <w:rPr>
                <w:sz w:val="17"/>
                <w:szCs w:val="17"/>
              </w:rPr>
              <w:t xml:space="preserve">00,000 </w:t>
            </w:r>
          </w:p>
        </w:tc>
      </w:tr>
      <w:tr w:rsidR="00463296" w:rsidRPr="00F5187E" w14:paraId="66D464F2" w14:textId="77777777" w:rsidTr="00F5187E">
        <w:trPr>
          <w:trHeight w:val="288"/>
        </w:trPr>
        <w:tc>
          <w:tcPr>
            <w:tcW w:w="896" w:type="dxa"/>
            <w:vMerge/>
            <w:vAlign w:val="center"/>
            <w:hideMark/>
          </w:tcPr>
          <w:p w14:paraId="17145003" w14:textId="77777777" w:rsidR="00167C3C" w:rsidRPr="00F5187E" w:rsidRDefault="00167C3C" w:rsidP="00D24878">
            <w:pPr>
              <w:pStyle w:val="ExhibitText"/>
              <w:jc w:val="left"/>
              <w:rPr>
                <w:sz w:val="17"/>
                <w:szCs w:val="17"/>
              </w:rPr>
            </w:pPr>
          </w:p>
        </w:tc>
        <w:tc>
          <w:tcPr>
            <w:tcW w:w="1440" w:type="dxa"/>
            <w:vAlign w:val="center"/>
            <w:hideMark/>
          </w:tcPr>
          <w:p w14:paraId="014E348C" w14:textId="77777777" w:rsidR="00167C3C" w:rsidRPr="00F5187E" w:rsidRDefault="00167C3C" w:rsidP="00D24878">
            <w:pPr>
              <w:pStyle w:val="ExhibitText"/>
              <w:jc w:val="left"/>
              <w:rPr>
                <w:sz w:val="17"/>
                <w:szCs w:val="17"/>
              </w:rPr>
            </w:pPr>
            <w:r w:rsidRPr="00F5187E">
              <w:rPr>
                <w:sz w:val="17"/>
                <w:szCs w:val="17"/>
              </w:rPr>
              <w:t>Utilities</w:t>
            </w:r>
          </w:p>
        </w:tc>
        <w:tc>
          <w:tcPr>
            <w:tcW w:w="1079" w:type="dxa"/>
            <w:vAlign w:val="center"/>
            <w:hideMark/>
          </w:tcPr>
          <w:p w14:paraId="30428DD7" w14:textId="16BB6BDD" w:rsidR="00167C3C" w:rsidRPr="00F5187E" w:rsidRDefault="00167C3C" w:rsidP="00D24878">
            <w:pPr>
              <w:pStyle w:val="ExhibitText"/>
              <w:jc w:val="left"/>
              <w:rPr>
                <w:sz w:val="17"/>
                <w:szCs w:val="17"/>
              </w:rPr>
            </w:pPr>
            <w:r w:rsidRPr="00F5187E">
              <w:rPr>
                <w:sz w:val="17"/>
                <w:szCs w:val="17"/>
              </w:rPr>
              <w:t>$2,500 monthly</w:t>
            </w:r>
          </w:p>
        </w:tc>
        <w:tc>
          <w:tcPr>
            <w:tcW w:w="2430" w:type="dxa"/>
            <w:vAlign w:val="center"/>
            <w:hideMark/>
          </w:tcPr>
          <w:p w14:paraId="044846AE" w14:textId="4166869E" w:rsidR="00167C3C" w:rsidRPr="00F5187E" w:rsidRDefault="00FF02E4" w:rsidP="00D24878">
            <w:pPr>
              <w:pStyle w:val="ExhibitText"/>
              <w:jc w:val="left"/>
              <w:rPr>
                <w:sz w:val="17"/>
                <w:szCs w:val="17"/>
              </w:rPr>
            </w:pPr>
            <w:r w:rsidRPr="00F5187E">
              <w:rPr>
                <w:sz w:val="17"/>
                <w:szCs w:val="17"/>
              </w:rPr>
              <w:t>0.6% annual inflation rate</w:t>
            </w:r>
          </w:p>
        </w:tc>
        <w:tc>
          <w:tcPr>
            <w:tcW w:w="1530" w:type="dxa"/>
            <w:vAlign w:val="center"/>
            <w:hideMark/>
          </w:tcPr>
          <w:p w14:paraId="63CC2A75" w14:textId="3D5D2324" w:rsidR="00167C3C" w:rsidRPr="00F5187E" w:rsidRDefault="002C3375" w:rsidP="00D24878">
            <w:pPr>
              <w:pStyle w:val="ExhibitText"/>
              <w:jc w:val="left"/>
              <w:rPr>
                <w:sz w:val="17"/>
                <w:szCs w:val="17"/>
              </w:rPr>
            </w:pPr>
            <w:r w:rsidRPr="00F5187E">
              <w:rPr>
                <w:sz w:val="17"/>
                <w:szCs w:val="17"/>
              </w:rPr>
              <w:t>Department of Statistics Singapore</w:t>
            </w:r>
          </w:p>
        </w:tc>
        <w:tc>
          <w:tcPr>
            <w:tcW w:w="1981" w:type="dxa"/>
            <w:vAlign w:val="center"/>
            <w:hideMark/>
          </w:tcPr>
          <w:p w14:paraId="2A85B744" w14:textId="76F84637" w:rsidR="00167C3C" w:rsidRPr="00F5187E" w:rsidRDefault="00983AFD" w:rsidP="00D24878">
            <w:pPr>
              <w:pStyle w:val="ExhibitText"/>
              <w:jc w:val="left"/>
              <w:rPr>
                <w:sz w:val="17"/>
                <w:szCs w:val="17"/>
              </w:rPr>
            </w:pPr>
            <w:r w:rsidRPr="00F5187E">
              <w:rPr>
                <w:sz w:val="17"/>
                <w:szCs w:val="17"/>
              </w:rPr>
              <w:t>$2,500 × 12</w:t>
            </w:r>
            <w:r w:rsidR="00B8783D" w:rsidRPr="00F5187E">
              <w:rPr>
                <w:sz w:val="17"/>
                <w:szCs w:val="17"/>
              </w:rPr>
              <w:t xml:space="preserve"> × (1 + inflation rate)</w:t>
            </w:r>
          </w:p>
        </w:tc>
      </w:tr>
      <w:tr w:rsidR="00463296" w:rsidRPr="00F5187E" w14:paraId="6C003032" w14:textId="77777777" w:rsidTr="00F5187E">
        <w:trPr>
          <w:trHeight w:val="288"/>
        </w:trPr>
        <w:tc>
          <w:tcPr>
            <w:tcW w:w="896" w:type="dxa"/>
            <w:vMerge/>
            <w:vAlign w:val="center"/>
            <w:hideMark/>
          </w:tcPr>
          <w:p w14:paraId="7D318F6C" w14:textId="77777777" w:rsidR="00167C3C" w:rsidRPr="00F5187E" w:rsidRDefault="00167C3C" w:rsidP="00D24878">
            <w:pPr>
              <w:pStyle w:val="ExhibitText"/>
              <w:jc w:val="left"/>
              <w:rPr>
                <w:sz w:val="17"/>
                <w:szCs w:val="17"/>
              </w:rPr>
            </w:pPr>
          </w:p>
        </w:tc>
        <w:tc>
          <w:tcPr>
            <w:tcW w:w="1440" w:type="dxa"/>
            <w:vAlign w:val="center"/>
            <w:hideMark/>
          </w:tcPr>
          <w:p w14:paraId="71581792" w14:textId="3F4DD0D1" w:rsidR="00167C3C" w:rsidRPr="00F5187E" w:rsidRDefault="00167C3C" w:rsidP="00D24878">
            <w:pPr>
              <w:pStyle w:val="ExhibitText"/>
              <w:jc w:val="left"/>
              <w:rPr>
                <w:sz w:val="17"/>
                <w:szCs w:val="17"/>
              </w:rPr>
            </w:pPr>
            <w:r w:rsidRPr="00F5187E">
              <w:rPr>
                <w:sz w:val="17"/>
                <w:szCs w:val="17"/>
              </w:rPr>
              <w:t xml:space="preserve">Transportation (cost of buying </w:t>
            </w:r>
            <w:r w:rsidR="00FF02E4" w:rsidRPr="00F5187E">
              <w:rPr>
                <w:sz w:val="17"/>
                <w:szCs w:val="17"/>
              </w:rPr>
              <w:t>one</w:t>
            </w:r>
            <w:r w:rsidRPr="00F5187E">
              <w:rPr>
                <w:sz w:val="17"/>
                <w:szCs w:val="17"/>
              </w:rPr>
              <w:t xml:space="preserve"> van)</w:t>
            </w:r>
          </w:p>
        </w:tc>
        <w:tc>
          <w:tcPr>
            <w:tcW w:w="1079" w:type="dxa"/>
            <w:vAlign w:val="center"/>
            <w:hideMark/>
          </w:tcPr>
          <w:p w14:paraId="5B8D2743" w14:textId="0C2ECDA6" w:rsidR="00167C3C" w:rsidRPr="00F5187E" w:rsidRDefault="00167C3C" w:rsidP="00D24878">
            <w:pPr>
              <w:pStyle w:val="ExhibitText"/>
              <w:jc w:val="left"/>
              <w:rPr>
                <w:sz w:val="17"/>
                <w:szCs w:val="17"/>
              </w:rPr>
            </w:pPr>
            <w:r w:rsidRPr="00F5187E">
              <w:rPr>
                <w:sz w:val="17"/>
                <w:szCs w:val="17"/>
              </w:rPr>
              <w:t>$63,500</w:t>
            </w:r>
          </w:p>
        </w:tc>
        <w:tc>
          <w:tcPr>
            <w:tcW w:w="2430" w:type="dxa"/>
            <w:vAlign w:val="center"/>
            <w:hideMark/>
          </w:tcPr>
          <w:p w14:paraId="51280C7B" w14:textId="305A9F24" w:rsidR="00167C3C" w:rsidRPr="00F5187E" w:rsidRDefault="00FF02E4" w:rsidP="00D24878">
            <w:pPr>
              <w:pStyle w:val="ExhibitText"/>
              <w:jc w:val="left"/>
              <w:rPr>
                <w:sz w:val="17"/>
                <w:szCs w:val="17"/>
              </w:rPr>
            </w:pPr>
            <w:r w:rsidRPr="00F5187E">
              <w:rPr>
                <w:sz w:val="17"/>
                <w:szCs w:val="17"/>
              </w:rPr>
              <w:t>0.6% annual inflation rate (for the 2nd van for 2nd SCK project)</w:t>
            </w:r>
          </w:p>
        </w:tc>
        <w:tc>
          <w:tcPr>
            <w:tcW w:w="1530" w:type="dxa"/>
            <w:noWrap/>
            <w:vAlign w:val="center"/>
            <w:hideMark/>
          </w:tcPr>
          <w:p w14:paraId="0873AE0B" w14:textId="4C414B8E" w:rsidR="00167C3C" w:rsidRPr="00F5187E" w:rsidRDefault="00167C3C" w:rsidP="00D24878">
            <w:pPr>
              <w:pStyle w:val="ExhibitText"/>
              <w:jc w:val="left"/>
              <w:rPr>
                <w:sz w:val="17"/>
                <w:szCs w:val="17"/>
              </w:rPr>
            </w:pPr>
            <w:r w:rsidRPr="00F5187E">
              <w:rPr>
                <w:sz w:val="17"/>
                <w:szCs w:val="17"/>
              </w:rPr>
              <w:t>Today</w:t>
            </w:r>
            <w:r w:rsidR="002C3375" w:rsidRPr="00F5187E">
              <w:rPr>
                <w:sz w:val="17"/>
                <w:szCs w:val="17"/>
              </w:rPr>
              <w:t xml:space="preserve"> </w:t>
            </w:r>
            <w:r w:rsidRPr="00F5187E">
              <w:rPr>
                <w:sz w:val="17"/>
                <w:szCs w:val="17"/>
              </w:rPr>
              <w:t>Online</w:t>
            </w:r>
          </w:p>
        </w:tc>
        <w:tc>
          <w:tcPr>
            <w:tcW w:w="1981" w:type="dxa"/>
            <w:vAlign w:val="center"/>
            <w:hideMark/>
          </w:tcPr>
          <w:p w14:paraId="58E889ED" w14:textId="4E8FDC5F" w:rsidR="00F12155" w:rsidRPr="00F5187E" w:rsidRDefault="00F12155" w:rsidP="00D24878">
            <w:pPr>
              <w:pStyle w:val="ExhibitText"/>
              <w:jc w:val="left"/>
              <w:rPr>
                <w:sz w:val="17"/>
                <w:szCs w:val="17"/>
              </w:rPr>
            </w:pPr>
            <w:r w:rsidRPr="00F5187E">
              <w:rPr>
                <w:sz w:val="17"/>
                <w:szCs w:val="17"/>
              </w:rPr>
              <w:t>$63,500</w:t>
            </w:r>
            <w:r w:rsidR="00983AFD" w:rsidRPr="00F5187E">
              <w:rPr>
                <w:sz w:val="17"/>
                <w:szCs w:val="17"/>
              </w:rPr>
              <w:t xml:space="preserve"> </w:t>
            </w:r>
            <w:r w:rsidRPr="00F5187E">
              <w:rPr>
                <w:sz w:val="17"/>
                <w:szCs w:val="17"/>
              </w:rPr>
              <w:t>× (1 + inflation rate)</w:t>
            </w:r>
          </w:p>
        </w:tc>
      </w:tr>
      <w:tr w:rsidR="00463296" w:rsidRPr="00F5187E" w14:paraId="56F7ED63" w14:textId="77777777" w:rsidTr="00F5187E">
        <w:trPr>
          <w:trHeight w:val="288"/>
        </w:trPr>
        <w:tc>
          <w:tcPr>
            <w:tcW w:w="896" w:type="dxa"/>
            <w:vMerge/>
            <w:vAlign w:val="center"/>
            <w:hideMark/>
          </w:tcPr>
          <w:p w14:paraId="5E45EBF8" w14:textId="77777777" w:rsidR="00167C3C" w:rsidRPr="00F5187E" w:rsidRDefault="00167C3C" w:rsidP="00D24878">
            <w:pPr>
              <w:pStyle w:val="ExhibitText"/>
              <w:jc w:val="left"/>
              <w:rPr>
                <w:sz w:val="17"/>
                <w:szCs w:val="17"/>
              </w:rPr>
            </w:pPr>
          </w:p>
        </w:tc>
        <w:tc>
          <w:tcPr>
            <w:tcW w:w="1440" w:type="dxa"/>
            <w:vAlign w:val="center"/>
            <w:hideMark/>
          </w:tcPr>
          <w:p w14:paraId="3B7A6209" w14:textId="77777777" w:rsidR="00167C3C" w:rsidRPr="00F5187E" w:rsidRDefault="00167C3C" w:rsidP="00D24878">
            <w:pPr>
              <w:pStyle w:val="ExhibitText"/>
              <w:jc w:val="left"/>
              <w:rPr>
                <w:sz w:val="17"/>
                <w:szCs w:val="17"/>
              </w:rPr>
            </w:pPr>
            <w:r w:rsidRPr="00F5187E">
              <w:rPr>
                <w:sz w:val="17"/>
                <w:szCs w:val="17"/>
              </w:rPr>
              <w:t>Rent</w:t>
            </w:r>
          </w:p>
        </w:tc>
        <w:tc>
          <w:tcPr>
            <w:tcW w:w="1079" w:type="dxa"/>
            <w:vAlign w:val="center"/>
            <w:hideMark/>
          </w:tcPr>
          <w:p w14:paraId="610FBE0C" w14:textId="7EE96E0A" w:rsidR="00167C3C" w:rsidRPr="00F5187E" w:rsidRDefault="00167C3C" w:rsidP="00D24878">
            <w:pPr>
              <w:pStyle w:val="ExhibitText"/>
              <w:jc w:val="left"/>
              <w:rPr>
                <w:sz w:val="17"/>
                <w:szCs w:val="17"/>
              </w:rPr>
            </w:pPr>
            <w:r w:rsidRPr="00F5187E">
              <w:rPr>
                <w:sz w:val="17"/>
                <w:szCs w:val="17"/>
              </w:rPr>
              <w:t>$2.5</w:t>
            </w:r>
            <w:r w:rsidR="00463296" w:rsidRPr="00F5187E">
              <w:rPr>
                <w:sz w:val="17"/>
                <w:szCs w:val="17"/>
              </w:rPr>
              <w:t>0</w:t>
            </w:r>
            <w:r w:rsidRPr="00F5187E">
              <w:rPr>
                <w:sz w:val="17"/>
                <w:szCs w:val="17"/>
              </w:rPr>
              <w:t xml:space="preserve"> monthly</w:t>
            </w:r>
          </w:p>
        </w:tc>
        <w:tc>
          <w:tcPr>
            <w:tcW w:w="2430" w:type="dxa"/>
            <w:vAlign w:val="center"/>
            <w:hideMark/>
          </w:tcPr>
          <w:p w14:paraId="33FAB6D7" w14:textId="1F8C985A" w:rsidR="00FF02E4" w:rsidRPr="00F5187E" w:rsidRDefault="00167C3C" w:rsidP="00D24878">
            <w:pPr>
              <w:pStyle w:val="ExhibitText"/>
              <w:jc w:val="left"/>
              <w:rPr>
                <w:sz w:val="17"/>
                <w:szCs w:val="17"/>
              </w:rPr>
            </w:pPr>
            <w:r w:rsidRPr="00F5187E">
              <w:rPr>
                <w:sz w:val="17"/>
                <w:szCs w:val="17"/>
              </w:rPr>
              <w:t>Size of central kitchen per sq</w:t>
            </w:r>
            <w:r w:rsidR="00463296" w:rsidRPr="00F5187E">
              <w:rPr>
                <w:sz w:val="17"/>
                <w:szCs w:val="17"/>
              </w:rPr>
              <w:t>uare</w:t>
            </w:r>
            <w:r w:rsidRPr="00F5187E">
              <w:rPr>
                <w:sz w:val="17"/>
                <w:szCs w:val="17"/>
              </w:rPr>
              <w:t xml:space="preserve"> f</w:t>
            </w:r>
            <w:r w:rsidR="00463296" w:rsidRPr="00F5187E">
              <w:rPr>
                <w:sz w:val="17"/>
                <w:szCs w:val="17"/>
              </w:rPr>
              <w:t>oo</w:t>
            </w:r>
            <w:r w:rsidRPr="00F5187E">
              <w:rPr>
                <w:sz w:val="17"/>
                <w:szCs w:val="17"/>
              </w:rPr>
              <w:t>t</w:t>
            </w:r>
            <w:r w:rsidR="00463296" w:rsidRPr="00F5187E">
              <w:rPr>
                <w:sz w:val="17"/>
                <w:szCs w:val="17"/>
              </w:rPr>
              <w:t xml:space="preserve"> (0.1 square metre</w:t>
            </w:r>
            <w:r w:rsidRPr="00F5187E">
              <w:rPr>
                <w:sz w:val="17"/>
                <w:szCs w:val="17"/>
              </w:rPr>
              <w:t>)</w:t>
            </w:r>
            <w:r w:rsidR="00F12155" w:rsidRPr="00F5187E">
              <w:rPr>
                <w:sz w:val="17"/>
                <w:szCs w:val="17"/>
              </w:rPr>
              <w:t xml:space="preserve"> </w:t>
            </w:r>
            <w:r w:rsidR="00FF02E4" w:rsidRPr="00F5187E">
              <w:rPr>
                <w:sz w:val="17"/>
                <w:szCs w:val="17"/>
              </w:rPr>
              <w:t>and 0.6% annual inflation rate</w:t>
            </w:r>
          </w:p>
        </w:tc>
        <w:tc>
          <w:tcPr>
            <w:tcW w:w="1530" w:type="dxa"/>
            <w:noWrap/>
            <w:vAlign w:val="center"/>
            <w:hideMark/>
          </w:tcPr>
          <w:p w14:paraId="34451FD6" w14:textId="5F835FCF" w:rsidR="00167C3C" w:rsidRPr="00F5187E" w:rsidRDefault="00167C3C" w:rsidP="00D24878">
            <w:pPr>
              <w:pStyle w:val="ExhibitText"/>
              <w:jc w:val="left"/>
              <w:rPr>
                <w:sz w:val="17"/>
                <w:szCs w:val="17"/>
              </w:rPr>
            </w:pPr>
            <w:r w:rsidRPr="00F5187E">
              <w:rPr>
                <w:sz w:val="17"/>
                <w:szCs w:val="17"/>
              </w:rPr>
              <w:t>Property</w:t>
            </w:r>
            <w:r w:rsidR="002C3375" w:rsidRPr="00F5187E">
              <w:rPr>
                <w:sz w:val="17"/>
                <w:szCs w:val="17"/>
              </w:rPr>
              <w:t xml:space="preserve"> </w:t>
            </w:r>
            <w:r w:rsidRPr="00F5187E">
              <w:rPr>
                <w:sz w:val="17"/>
                <w:szCs w:val="17"/>
              </w:rPr>
              <w:t>Guru</w:t>
            </w:r>
          </w:p>
        </w:tc>
        <w:tc>
          <w:tcPr>
            <w:tcW w:w="1981" w:type="dxa"/>
            <w:vAlign w:val="center"/>
            <w:hideMark/>
          </w:tcPr>
          <w:p w14:paraId="5AE32464" w14:textId="4BFC4315" w:rsidR="00167C3C" w:rsidRPr="00F5187E" w:rsidRDefault="00167C3C" w:rsidP="00D24878">
            <w:pPr>
              <w:pStyle w:val="ExhibitText"/>
              <w:jc w:val="left"/>
              <w:rPr>
                <w:sz w:val="17"/>
                <w:szCs w:val="17"/>
              </w:rPr>
            </w:pPr>
            <w:r w:rsidRPr="00F5187E">
              <w:rPr>
                <w:sz w:val="17"/>
                <w:szCs w:val="17"/>
              </w:rPr>
              <w:t xml:space="preserve">$2.50 </w:t>
            </w:r>
            <w:r w:rsidR="00463296" w:rsidRPr="00F5187E">
              <w:rPr>
                <w:sz w:val="17"/>
                <w:szCs w:val="17"/>
              </w:rPr>
              <w:t>×</w:t>
            </w:r>
            <w:r w:rsidRPr="00F5187E">
              <w:rPr>
                <w:sz w:val="17"/>
                <w:szCs w:val="17"/>
              </w:rPr>
              <w:t xml:space="preserve"> per sq</w:t>
            </w:r>
            <w:r w:rsidR="00463296" w:rsidRPr="00F5187E">
              <w:rPr>
                <w:sz w:val="17"/>
                <w:szCs w:val="17"/>
              </w:rPr>
              <w:t>uare foot</w:t>
            </w:r>
            <w:r w:rsidRPr="00F5187E">
              <w:rPr>
                <w:sz w:val="17"/>
                <w:szCs w:val="17"/>
              </w:rPr>
              <w:t xml:space="preserve"> of </w:t>
            </w:r>
            <w:r w:rsidR="000044BC" w:rsidRPr="00F5187E">
              <w:rPr>
                <w:sz w:val="17"/>
                <w:szCs w:val="17"/>
              </w:rPr>
              <w:t xml:space="preserve">each </w:t>
            </w:r>
            <w:r w:rsidRPr="00F5187E">
              <w:rPr>
                <w:sz w:val="17"/>
                <w:szCs w:val="17"/>
              </w:rPr>
              <w:t>central kitchen</w:t>
            </w:r>
            <w:r w:rsidR="00463296" w:rsidRPr="00F5187E">
              <w:rPr>
                <w:sz w:val="17"/>
                <w:szCs w:val="17"/>
              </w:rPr>
              <w:t xml:space="preserve">; </w:t>
            </w:r>
            <w:r w:rsidRPr="00F5187E">
              <w:rPr>
                <w:sz w:val="17"/>
                <w:szCs w:val="17"/>
              </w:rPr>
              <w:t>4,392 sq</w:t>
            </w:r>
            <w:r w:rsidR="00463296" w:rsidRPr="00F5187E">
              <w:rPr>
                <w:sz w:val="17"/>
                <w:szCs w:val="17"/>
              </w:rPr>
              <w:t>uare</w:t>
            </w:r>
            <w:r w:rsidRPr="00F5187E">
              <w:rPr>
                <w:sz w:val="17"/>
                <w:szCs w:val="17"/>
              </w:rPr>
              <w:t xml:space="preserve"> f</w:t>
            </w:r>
            <w:r w:rsidR="00463296" w:rsidRPr="00F5187E">
              <w:rPr>
                <w:sz w:val="17"/>
                <w:szCs w:val="17"/>
              </w:rPr>
              <w:t>ee</w:t>
            </w:r>
            <w:r w:rsidRPr="00F5187E">
              <w:rPr>
                <w:sz w:val="17"/>
                <w:szCs w:val="17"/>
              </w:rPr>
              <w:t>t</w:t>
            </w:r>
            <w:r w:rsidR="00463296" w:rsidRPr="00F5187E">
              <w:rPr>
                <w:sz w:val="17"/>
                <w:szCs w:val="17"/>
              </w:rPr>
              <w:t xml:space="preserve"> </w:t>
            </w:r>
            <w:r w:rsidR="00F12155" w:rsidRPr="00F5187E">
              <w:rPr>
                <w:sz w:val="17"/>
                <w:szCs w:val="17"/>
              </w:rPr>
              <w:t>× (1 + inflation rate)</w:t>
            </w:r>
          </w:p>
        </w:tc>
      </w:tr>
      <w:tr w:rsidR="00463296" w:rsidRPr="00F5187E" w14:paraId="7BB8719E" w14:textId="77777777" w:rsidTr="00F5187E">
        <w:trPr>
          <w:trHeight w:val="288"/>
        </w:trPr>
        <w:tc>
          <w:tcPr>
            <w:tcW w:w="896" w:type="dxa"/>
            <w:vMerge w:val="restart"/>
            <w:vAlign w:val="center"/>
          </w:tcPr>
          <w:p w14:paraId="005ADFBC" w14:textId="77777777" w:rsidR="00167C3C" w:rsidRPr="00F5187E" w:rsidRDefault="00167C3C" w:rsidP="00D24878">
            <w:pPr>
              <w:pStyle w:val="ExhibitText"/>
              <w:jc w:val="left"/>
              <w:rPr>
                <w:sz w:val="17"/>
                <w:szCs w:val="17"/>
              </w:rPr>
            </w:pPr>
            <w:r w:rsidRPr="00F5187E">
              <w:rPr>
                <w:sz w:val="17"/>
                <w:szCs w:val="17"/>
              </w:rPr>
              <w:t>Variable</w:t>
            </w:r>
          </w:p>
        </w:tc>
        <w:tc>
          <w:tcPr>
            <w:tcW w:w="1440" w:type="dxa"/>
            <w:vAlign w:val="center"/>
            <w:hideMark/>
          </w:tcPr>
          <w:p w14:paraId="3945F0EF" w14:textId="77777777" w:rsidR="00167C3C" w:rsidRPr="00F5187E" w:rsidRDefault="00167C3C" w:rsidP="00D24878">
            <w:pPr>
              <w:pStyle w:val="ExhibitText"/>
              <w:jc w:val="left"/>
              <w:rPr>
                <w:sz w:val="17"/>
                <w:szCs w:val="17"/>
              </w:rPr>
            </w:pPr>
            <w:r w:rsidRPr="00F5187E">
              <w:rPr>
                <w:sz w:val="17"/>
                <w:szCs w:val="17"/>
              </w:rPr>
              <w:t xml:space="preserve">Salaries </w:t>
            </w:r>
          </w:p>
          <w:p w14:paraId="4B38DF29" w14:textId="77777777" w:rsidR="00167C3C" w:rsidRPr="00F5187E" w:rsidRDefault="00167C3C" w:rsidP="00D24878">
            <w:pPr>
              <w:pStyle w:val="ExhibitText"/>
              <w:jc w:val="left"/>
              <w:rPr>
                <w:sz w:val="17"/>
                <w:szCs w:val="17"/>
              </w:rPr>
            </w:pPr>
            <w:r w:rsidRPr="00F5187E">
              <w:rPr>
                <w:sz w:val="17"/>
                <w:szCs w:val="17"/>
              </w:rPr>
              <w:t>(</w:t>
            </w:r>
            <w:proofErr w:type="spellStart"/>
            <w:r w:rsidRPr="00F5187E">
              <w:rPr>
                <w:sz w:val="17"/>
                <w:szCs w:val="17"/>
              </w:rPr>
              <w:t>Samsui</w:t>
            </w:r>
            <w:proofErr w:type="spellEnd"/>
            <w:r w:rsidRPr="00F5187E">
              <w:rPr>
                <w:sz w:val="17"/>
                <w:szCs w:val="17"/>
              </w:rPr>
              <w:t xml:space="preserve"> employees)</w:t>
            </w:r>
          </w:p>
        </w:tc>
        <w:tc>
          <w:tcPr>
            <w:tcW w:w="1079" w:type="dxa"/>
            <w:vAlign w:val="center"/>
            <w:hideMark/>
          </w:tcPr>
          <w:p w14:paraId="5FD6040E" w14:textId="5BB85F3E" w:rsidR="00167C3C" w:rsidRPr="00F5187E" w:rsidRDefault="00167C3C" w:rsidP="00D24878">
            <w:pPr>
              <w:pStyle w:val="ExhibitText"/>
              <w:jc w:val="left"/>
              <w:rPr>
                <w:sz w:val="17"/>
                <w:szCs w:val="17"/>
              </w:rPr>
            </w:pPr>
            <w:r w:rsidRPr="00F5187E">
              <w:rPr>
                <w:sz w:val="17"/>
                <w:szCs w:val="17"/>
              </w:rPr>
              <w:t>$2,654 monthly</w:t>
            </w:r>
          </w:p>
        </w:tc>
        <w:tc>
          <w:tcPr>
            <w:tcW w:w="2430" w:type="dxa"/>
            <w:vAlign w:val="center"/>
            <w:hideMark/>
          </w:tcPr>
          <w:p w14:paraId="5B580098" w14:textId="77777777" w:rsidR="00167C3C" w:rsidRPr="00F5187E" w:rsidRDefault="00463296" w:rsidP="00D24878">
            <w:pPr>
              <w:pStyle w:val="ExhibitText"/>
              <w:jc w:val="left"/>
              <w:rPr>
                <w:sz w:val="17"/>
                <w:szCs w:val="17"/>
              </w:rPr>
            </w:pPr>
            <w:r w:rsidRPr="00F5187E">
              <w:rPr>
                <w:sz w:val="17"/>
                <w:szCs w:val="17"/>
              </w:rPr>
              <w:t>Five</w:t>
            </w:r>
            <w:r w:rsidR="00167C3C" w:rsidRPr="00F5187E">
              <w:rPr>
                <w:sz w:val="17"/>
                <w:szCs w:val="17"/>
              </w:rPr>
              <w:t xml:space="preserve"> employees</w:t>
            </w:r>
            <w:r w:rsidR="00852548" w:rsidRPr="00F5187E">
              <w:rPr>
                <w:sz w:val="17"/>
                <w:szCs w:val="17"/>
              </w:rPr>
              <w:t xml:space="preserve"> needed for </w:t>
            </w:r>
            <w:r w:rsidR="00B2595A" w:rsidRPr="00F5187E">
              <w:rPr>
                <w:sz w:val="17"/>
                <w:szCs w:val="17"/>
              </w:rPr>
              <w:t xml:space="preserve">the 1st </w:t>
            </w:r>
            <w:r w:rsidR="00F12155" w:rsidRPr="00F5187E">
              <w:rPr>
                <w:sz w:val="17"/>
                <w:szCs w:val="17"/>
              </w:rPr>
              <w:t>SCK</w:t>
            </w:r>
            <w:r w:rsidR="00FF02E4" w:rsidRPr="00F5187E">
              <w:rPr>
                <w:sz w:val="17"/>
                <w:szCs w:val="17"/>
              </w:rPr>
              <w:t xml:space="preserve"> and 0.6% annual inflation rate</w:t>
            </w:r>
          </w:p>
          <w:p w14:paraId="0979D97D" w14:textId="77777777" w:rsidR="00B2595A" w:rsidRPr="00F5187E" w:rsidRDefault="00B2595A" w:rsidP="00D24878">
            <w:pPr>
              <w:pStyle w:val="ExhibitText"/>
              <w:jc w:val="left"/>
              <w:rPr>
                <w:sz w:val="17"/>
                <w:szCs w:val="17"/>
              </w:rPr>
            </w:pPr>
          </w:p>
          <w:p w14:paraId="306676F6" w14:textId="262C0EC6" w:rsidR="00B2595A" w:rsidRPr="00F5187E" w:rsidRDefault="00B2595A" w:rsidP="00D24878">
            <w:pPr>
              <w:pStyle w:val="ExhibitText"/>
              <w:jc w:val="left"/>
              <w:rPr>
                <w:spacing w:val="-4"/>
                <w:kern w:val="17"/>
                <w:sz w:val="17"/>
                <w:szCs w:val="17"/>
              </w:rPr>
            </w:pPr>
            <w:r w:rsidRPr="00F5187E">
              <w:rPr>
                <w:spacing w:val="-4"/>
                <w:kern w:val="17"/>
                <w:sz w:val="17"/>
                <w:szCs w:val="17"/>
              </w:rPr>
              <w:t>Seven employees are needed for the 2nd SCK in 2018-2019 and 15 are needed from 2020 onwards and 0.6% annual inflation rate</w:t>
            </w:r>
          </w:p>
        </w:tc>
        <w:tc>
          <w:tcPr>
            <w:tcW w:w="1530" w:type="dxa"/>
            <w:vAlign w:val="center"/>
            <w:hideMark/>
          </w:tcPr>
          <w:p w14:paraId="65EE8817" w14:textId="2A9B0A91" w:rsidR="00167C3C" w:rsidRPr="00F5187E" w:rsidRDefault="000044BC" w:rsidP="00D24878">
            <w:pPr>
              <w:pStyle w:val="ExhibitText"/>
              <w:jc w:val="left"/>
              <w:rPr>
                <w:sz w:val="17"/>
                <w:szCs w:val="17"/>
              </w:rPr>
            </w:pPr>
            <w:r w:rsidRPr="00F5187E">
              <w:rPr>
                <w:sz w:val="17"/>
                <w:szCs w:val="17"/>
              </w:rPr>
              <w:t xml:space="preserve">Soup Restaurant Group Limited; Kian Peng </w:t>
            </w:r>
            <w:proofErr w:type="spellStart"/>
            <w:r w:rsidRPr="00F5187E">
              <w:rPr>
                <w:sz w:val="17"/>
                <w:szCs w:val="17"/>
              </w:rPr>
              <w:t>Ang</w:t>
            </w:r>
            <w:proofErr w:type="spellEnd"/>
            <w:r w:rsidR="005D4A06" w:rsidRPr="00F5187E">
              <w:rPr>
                <w:sz w:val="17"/>
                <w:szCs w:val="17"/>
              </w:rPr>
              <w:t xml:space="preserve"> </w:t>
            </w:r>
          </w:p>
        </w:tc>
        <w:tc>
          <w:tcPr>
            <w:tcW w:w="1981" w:type="dxa"/>
            <w:vAlign w:val="center"/>
            <w:hideMark/>
          </w:tcPr>
          <w:p w14:paraId="0AE7DA90" w14:textId="5C537A8F" w:rsidR="00167C3C" w:rsidRPr="00F5187E" w:rsidRDefault="00167C3C" w:rsidP="00D24878">
            <w:pPr>
              <w:pStyle w:val="ExhibitText"/>
              <w:jc w:val="left"/>
              <w:rPr>
                <w:sz w:val="17"/>
                <w:szCs w:val="17"/>
              </w:rPr>
            </w:pPr>
            <w:r w:rsidRPr="00F5187E">
              <w:rPr>
                <w:sz w:val="17"/>
                <w:szCs w:val="17"/>
              </w:rPr>
              <w:t xml:space="preserve">$2,654 </w:t>
            </w:r>
            <w:r w:rsidR="00463296" w:rsidRPr="00F5187E">
              <w:rPr>
                <w:sz w:val="17"/>
                <w:szCs w:val="17"/>
              </w:rPr>
              <w:t>×</w:t>
            </w:r>
            <w:r w:rsidRPr="00F5187E">
              <w:rPr>
                <w:sz w:val="17"/>
                <w:szCs w:val="17"/>
              </w:rPr>
              <w:t xml:space="preserve"> </w:t>
            </w:r>
            <w:r w:rsidR="00463296" w:rsidRPr="00F5187E">
              <w:rPr>
                <w:sz w:val="17"/>
                <w:szCs w:val="17"/>
              </w:rPr>
              <w:t>number</w:t>
            </w:r>
            <w:r w:rsidRPr="00F5187E">
              <w:rPr>
                <w:sz w:val="17"/>
                <w:szCs w:val="17"/>
              </w:rPr>
              <w:t xml:space="preserve"> of employees</w:t>
            </w:r>
            <w:r w:rsidR="00F12155" w:rsidRPr="00F5187E">
              <w:rPr>
                <w:sz w:val="17"/>
                <w:szCs w:val="17"/>
              </w:rPr>
              <w:t xml:space="preserve"> × (1 + inflation rate)</w:t>
            </w:r>
          </w:p>
        </w:tc>
      </w:tr>
      <w:tr w:rsidR="00463296" w:rsidRPr="00F5187E" w14:paraId="0601FAA3" w14:textId="77777777" w:rsidTr="00F5187E">
        <w:trPr>
          <w:trHeight w:val="288"/>
        </w:trPr>
        <w:tc>
          <w:tcPr>
            <w:tcW w:w="896" w:type="dxa"/>
            <w:vMerge/>
            <w:vAlign w:val="center"/>
          </w:tcPr>
          <w:p w14:paraId="6DEBBA26" w14:textId="5B17B66A" w:rsidR="00167C3C" w:rsidRPr="00F5187E" w:rsidRDefault="00167C3C" w:rsidP="00D24878">
            <w:pPr>
              <w:pStyle w:val="ExhibitText"/>
              <w:jc w:val="left"/>
              <w:rPr>
                <w:sz w:val="17"/>
                <w:szCs w:val="17"/>
              </w:rPr>
            </w:pPr>
          </w:p>
        </w:tc>
        <w:tc>
          <w:tcPr>
            <w:tcW w:w="1440" w:type="dxa"/>
            <w:vAlign w:val="center"/>
            <w:hideMark/>
          </w:tcPr>
          <w:p w14:paraId="07513879" w14:textId="6EFC2D4C" w:rsidR="00167C3C" w:rsidRPr="00F5187E" w:rsidRDefault="00167C3C" w:rsidP="00D24878">
            <w:pPr>
              <w:pStyle w:val="ExhibitText"/>
              <w:jc w:val="left"/>
              <w:rPr>
                <w:sz w:val="17"/>
                <w:szCs w:val="17"/>
              </w:rPr>
            </w:pPr>
            <w:r w:rsidRPr="00F5187E">
              <w:rPr>
                <w:sz w:val="17"/>
                <w:szCs w:val="17"/>
              </w:rPr>
              <w:t xml:space="preserve">Raw ingredients </w:t>
            </w:r>
            <w:r w:rsidR="00463296" w:rsidRPr="00F5187E">
              <w:rPr>
                <w:sz w:val="17"/>
                <w:szCs w:val="17"/>
              </w:rPr>
              <w:t>and</w:t>
            </w:r>
            <w:r w:rsidRPr="00F5187E">
              <w:rPr>
                <w:sz w:val="17"/>
                <w:szCs w:val="17"/>
              </w:rPr>
              <w:t xml:space="preserve"> other consumables</w:t>
            </w:r>
          </w:p>
        </w:tc>
        <w:tc>
          <w:tcPr>
            <w:tcW w:w="1079" w:type="dxa"/>
            <w:vAlign w:val="center"/>
            <w:hideMark/>
          </w:tcPr>
          <w:p w14:paraId="51F02664" w14:textId="295BBED4" w:rsidR="00167C3C" w:rsidRPr="00F5187E" w:rsidRDefault="00167C3C" w:rsidP="00D24878">
            <w:pPr>
              <w:pStyle w:val="ExhibitText"/>
              <w:jc w:val="left"/>
              <w:rPr>
                <w:sz w:val="17"/>
                <w:szCs w:val="17"/>
              </w:rPr>
            </w:pPr>
            <w:r w:rsidRPr="00F5187E">
              <w:rPr>
                <w:sz w:val="17"/>
                <w:szCs w:val="17"/>
              </w:rPr>
              <w:t>$1.2</w:t>
            </w:r>
            <w:r w:rsidR="00463296" w:rsidRPr="00F5187E">
              <w:rPr>
                <w:sz w:val="17"/>
                <w:szCs w:val="17"/>
              </w:rPr>
              <w:t>0</w:t>
            </w:r>
          </w:p>
        </w:tc>
        <w:tc>
          <w:tcPr>
            <w:tcW w:w="2430" w:type="dxa"/>
            <w:vAlign w:val="center"/>
            <w:hideMark/>
          </w:tcPr>
          <w:p w14:paraId="04FD9928" w14:textId="5AC6AB0E" w:rsidR="00167C3C" w:rsidRPr="00F5187E" w:rsidRDefault="00167C3C" w:rsidP="00D24878">
            <w:pPr>
              <w:pStyle w:val="ExhibitText"/>
              <w:jc w:val="left"/>
              <w:rPr>
                <w:sz w:val="17"/>
                <w:szCs w:val="17"/>
              </w:rPr>
            </w:pPr>
            <w:r w:rsidRPr="00F5187E">
              <w:rPr>
                <w:sz w:val="17"/>
                <w:szCs w:val="17"/>
              </w:rPr>
              <w:t>N</w:t>
            </w:r>
            <w:r w:rsidR="00463296" w:rsidRPr="00F5187E">
              <w:rPr>
                <w:sz w:val="17"/>
                <w:szCs w:val="17"/>
              </w:rPr>
              <w:t>umber</w:t>
            </w:r>
            <w:r w:rsidRPr="00F5187E">
              <w:rPr>
                <w:sz w:val="17"/>
                <w:szCs w:val="17"/>
              </w:rPr>
              <w:t xml:space="preserve"> of meals</w:t>
            </w:r>
            <w:r w:rsidR="00FF02E4" w:rsidRPr="00F5187E">
              <w:rPr>
                <w:sz w:val="17"/>
                <w:szCs w:val="17"/>
              </w:rPr>
              <w:t xml:space="preserve"> and 0.6% annual inflation rate</w:t>
            </w:r>
          </w:p>
        </w:tc>
        <w:tc>
          <w:tcPr>
            <w:tcW w:w="1530" w:type="dxa"/>
            <w:vAlign w:val="center"/>
            <w:hideMark/>
          </w:tcPr>
          <w:p w14:paraId="0FE94A4F" w14:textId="1BFEA318" w:rsidR="00167C3C" w:rsidRPr="00F5187E" w:rsidRDefault="00167C3C" w:rsidP="00D24878">
            <w:pPr>
              <w:pStyle w:val="ExhibitText"/>
              <w:jc w:val="left"/>
              <w:rPr>
                <w:sz w:val="17"/>
                <w:szCs w:val="17"/>
              </w:rPr>
            </w:pPr>
            <w:r w:rsidRPr="00F5187E">
              <w:rPr>
                <w:sz w:val="17"/>
                <w:szCs w:val="17"/>
              </w:rPr>
              <w:t xml:space="preserve">Soup Restaurant </w:t>
            </w:r>
            <w:r w:rsidR="00463296" w:rsidRPr="00F5187E">
              <w:rPr>
                <w:sz w:val="17"/>
                <w:szCs w:val="17"/>
              </w:rPr>
              <w:t>Group Limited</w:t>
            </w:r>
            <w:r w:rsidRPr="00F5187E">
              <w:rPr>
                <w:sz w:val="17"/>
                <w:szCs w:val="17"/>
              </w:rPr>
              <w:t xml:space="preserve">; Kian Peng </w:t>
            </w:r>
            <w:proofErr w:type="spellStart"/>
            <w:r w:rsidRPr="00F5187E">
              <w:rPr>
                <w:sz w:val="17"/>
                <w:szCs w:val="17"/>
              </w:rPr>
              <w:t>Ang</w:t>
            </w:r>
            <w:proofErr w:type="spellEnd"/>
            <w:r w:rsidR="005D4A06" w:rsidRPr="00F5187E">
              <w:rPr>
                <w:sz w:val="17"/>
                <w:szCs w:val="17"/>
              </w:rPr>
              <w:t xml:space="preserve"> </w:t>
            </w:r>
          </w:p>
        </w:tc>
        <w:tc>
          <w:tcPr>
            <w:tcW w:w="1981" w:type="dxa"/>
            <w:vAlign w:val="center"/>
            <w:hideMark/>
          </w:tcPr>
          <w:p w14:paraId="03D463B6" w14:textId="32B7A235" w:rsidR="00167C3C" w:rsidRPr="00F5187E" w:rsidRDefault="00167C3C" w:rsidP="00D24878">
            <w:pPr>
              <w:pStyle w:val="ExhibitText"/>
              <w:jc w:val="left"/>
              <w:rPr>
                <w:sz w:val="17"/>
                <w:szCs w:val="17"/>
              </w:rPr>
            </w:pPr>
            <w:r w:rsidRPr="00F5187E">
              <w:rPr>
                <w:sz w:val="17"/>
                <w:szCs w:val="17"/>
              </w:rPr>
              <w:t>$1.2</w:t>
            </w:r>
            <w:r w:rsidR="00A12653" w:rsidRPr="00F5187E">
              <w:rPr>
                <w:sz w:val="17"/>
                <w:szCs w:val="17"/>
              </w:rPr>
              <w:t>0</w:t>
            </w:r>
            <w:r w:rsidRPr="00F5187E">
              <w:rPr>
                <w:sz w:val="17"/>
                <w:szCs w:val="17"/>
              </w:rPr>
              <w:t xml:space="preserve"> </w:t>
            </w:r>
            <w:r w:rsidR="00463296" w:rsidRPr="00F5187E">
              <w:rPr>
                <w:sz w:val="17"/>
                <w:szCs w:val="17"/>
              </w:rPr>
              <w:t>×</w:t>
            </w:r>
            <w:r w:rsidRPr="00F5187E">
              <w:rPr>
                <w:sz w:val="17"/>
                <w:szCs w:val="17"/>
              </w:rPr>
              <w:t xml:space="preserve"> </w:t>
            </w:r>
            <w:r w:rsidR="00463296" w:rsidRPr="00F5187E">
              <w:rPr>
                <w:sz w:val="17"/>
                <w:szCs w:val="17"/>
              </w:rPr>
              <w:t>number</w:t>
            </w:r>
            <w:r w:rsidRPr="00F5187E">
              <w:rPr>
                <w:sz w:val="17"/>
                <w:szCs w:val="17"/>
              </w:rPr>
              <w:t xml:space="preserve"> of meals served</w:t>
            </w:r>
            <w:r w:rsidR="00F12155" w:rsidRPr="00F5187E">
              <w:rPr>
                <w:sz w:val="17"/>
                <w:szCs w:val="17"/>
              </w:rPr>
              <w:t xml:space="preserve"> × (1 + inflation rate)</w:t>
            </w:r>
          </w:p>
        </w:tc>
      </w:tr>
    </w:tbl>
    <w:p w14:paraId="13343048" w14:textId="77777777" w:rsidR="00167C3C" w:rsidRPr="00F5187E" w:rsidRDefault="00167C3C" w:rsidP="00167C3C">
      <w:pPr>
        <w:pStyle w:val="ExhibitText"/>
        <w:rPr>
          <w:rFonts w:eastAsia="Arial"/>
          <w:sz w:val="12"/>
          <w:szCs w:val="12"/>
        </w:rPr>
      </w:pPr>
    </w:p>
    <w:p w14:paraId="456F39D6" w14:textId="264E7E09" w:rsidR="008C3D04" w:rsidRPr="00A001AB" w:rsidRDefault="008C3D04" w:rsidP="000E15FE">
      <w:pPr>
        <w:pStyle w:val="Footnote"/>
      </w:pPr>
      <w:r w:rsidRPr="00A001AB">
        <w:rPr>
          <w:rFonts w:eastAsia="Arial"/>
        </w:rPr>
        <w:t xml:space="preserve">Note: </w:t>
      </w:r>
      <w:r w:rsidRPr="00A001AB">
        <w:t>SG$ = Singaporean dollar; US$1 = SG$1.31 on April 1, 2018</w:t>
      </w:r>
      <w:r w:rsidR="003D69CE">
        <w:t xml:space="preserve">; SCK = </w:t>
      </w:r>
      <w:proofErr w:type="spellStart"/>
      <w:r w:rsidR="003D69CE">
        <w:t>Samsui</w:t>
      </w:r>
      <w:proofErr w:type="spellEnd"/>
      <w:r w:rsidR="003D69CE">
        <w:t xml:space="preserve"> Soup Kitchen</w:t>
      </w:r>
      <w:r w:rsidRPr="00A001AB">
        <w:t>.</w:t>
      </w:r>
    </w:p>
    <w:p w14:paraId="4FDCFA02" w14:textId="777510C9" w:rsidR="00C331A6" w:rsidRPr="00F5187E" w:rsidRDefault="00167C3C" w:rsidP="00F5187E">
      <w:pPr>
        <w:pStyle w:val="Footnote"/>
        <w:rPr>
          <w:spacing w:val="-2"/>
        </w:rPr>
      </w:pPr>
      <w:r w:rsidRPr="00A001AB">
        <w:rPr>
          <w:rFonts w:eastAsia="Arial"/>
        </w:rPr>
        <w:t xml:space="preserve">Source: </w:t>
      </w:r>
      <w:r w:rsidR="008808DF" w:rsidRPr="00A001AB">
        <w:rPr>
          <w:rFonts w:eastAsia="Arial"/>
        </w:rPr>
        <w:t>E</w:t>
      </w:r>
      <w:r w:rsidRPr="00A001AB">
        <w:rPr>
          <w:rFonts w:eastAsia="Arial"/>
        </w:rPr>
        <w:t xml:space="preserve">stimates </w:t>
      </w:r>
      <w:r w:rsidR="008808DF" w:rsidRPr="00A001AB">
        <w:rPr>
          <w:rFonts w:eastAsia="Arial"/>
        </w:rPr>
        <w:t>prepare</w:t>
      </w:r>
      <w:r w:rsidRPr="00A001AB">
        <w:rPr>
          <w:rFonts w:eastAsia="Arial"/>
        </w:rPr>
        <w:t>d by the case authors</w:t>
      </w:r>
      <w:r w:rsidR="00AC10F7" w:rsidRPr="00A001AB">
        <w:rPr>
          <w:rFonts w:eastAsia="Arial"/>
        </w:rPr>
        <w:t xml:space="preserve"> </w:t>
      </w:r>
      <w:r w:rsidR="008808DF" w:rsidRPr="00A001AB">
        <w:rPr>
          <w:rFonts w:eastAsia="Arial"/>
        </w:rPr>
        <w:t xml:space="preserve">with information </w:t>
      </w:r>
      <w:r w:rsidR="00AC10F7" w:rsidRPr="00A001AB">
        <w:rPr>
          <w:rFonts w:eastAsia="Arial"/>
        </w:rPr>
        <w:t xml:space="preserve">from </w:t>
      </w:r>
      <w:r w:rsidR="00AC10F7" w:rsidRPr="00A001AB">
        <w:t xml:space="preserve">Soup Restaurant Group Limited, </w:t>
      </w:r>
      <w:r w:rsidR="00F5187E">
        <w:rPr>
          <w:rFonts w:eastAsia="Arial"/>
          <w:i/>
        </w:rPr>
        <w:t>Through Values We Grow: </w:t>
      </w:r>
      <w:r w:rsidR="002C3375" w:rsidRPr="00C331A6">
        <w:rPr>
          <w:rFonts w:eastAsia="Arial"/>
          <w:i/>
        </w:rPr>
        <w:t>Annual</w:t>
      </w:r>
      <w:r w:rsidR="00F5187E">
        <w:rPr>
          <w:rFonts w:eastAsia="Arial"/>
          <w:i/>
        </w:rPr>
        <w:t> </w:t>
      </w:r>
      <w:r w:rsidR="002C3375" w:rsidRPr="00C331A6">
        <w:rPr>
          <w:rFonts w:eastAsia="Arial"/>
          <w:i/>
        </w:rPr>
        <w:t>Report</w:t>
      </w:r>
      <w:r w:rsidR="00F5187E">
        <w:rPr>
          <w:rFonts w:eastAsia="Arial"/>
          <w:i/>
        </w:rPr>
        <w:t> </w:t>
      </w:r>
      <w:r w:rsidR="002C3375" w:rsidRPr="00C331A6">
        <w:rPr>
          <w:rFonts w:eastAsia="Arial"/>
          <w:i/>
        </w:rPr>
        <w:t>2017</w:t>
      </w:r>
      <w:r w:rsidR="002C3375" w:rsidRPr="00A001AB">
        <w:rPr>
          <w:rFonts w:eastAsia="Arial"/>
        </w:rPr>
        <w:t>,</w:t>
      </w:r>
      <w:r w:rsidR="00F5187E">
        <w:rPr>
          <w:rFonts w:eastAsia="Arial"/>
        </w:rPr>
        <w:t> </w:t>
      </w:r>
      <w:r w:rsidR="002C3375" w:rsidRPr="00A001AB">
        <w:rPr>
          <w:rFonts w:eastAsia="Arial"/>
        </w:rPr>
        <w:t>accessed</w:t>
      </w:r>
      <w:r w:rsidR="00F5187E">
        <w:rPr>
          <w:rFonts w:eastAsia="Arial"/>
        </w:rPr>
        <w:t> </w:t>
      </w:r>
      <w:r w:rsidR="002C3375" w:rsidRPr="00A001AB">
        <w:rPr>
          <w:rFonts w:eastAsia="Arial"/>
        </w:rPr>
        <w:t>April</w:t>
      </w:r>
      <w:r w:rsidR="00F5187E">
        <w:rPr>
          <w:rFonts w:eastAsia="Arial"/>
        </w:rPr>
        <w:t> </w:t>
      </w:r>
      <w:r w:rsidR="002C3375" w:rsidRPr="00A001AB">
        <w:rPr>
          <w:rFonts w:eastAsia="Arial"/>
        </w:rPr>
        <w:t>10,</w:t>
      </w:r>
      <w:r w:rsidR="00F5187E">
        <w:rPr>
          <w:rFonts w:eastAsia="Arial"/>
        </w:rPr>
        <w:t> </w:t>
      </w:r>
      <w:r w:rsidR="002C3375" w:rsidRPr="00A001AB">
        <w:rPr>
          <w:rFonts w:eastAsia="Arial"/>
        </w:rPr>
        <w:t>2019,</w:t>
      </w:r>
      <w:r w:rsidR="00F5187E">
        <w:rPr>
          <w:rFonts w:eastAsia="Arial"/>
        </w:rPr>
        <w:t> </w:t>
      </w:r>
      <w:r w:rsidR="002C3375" w:rsidRPr="00A001AB">
        <w:rPr>
          <w:rFonts w:eastAsia="Arial"/>
        </w:rPr>
        <w:t>http://souprestaurant.listedcompany.com/newsroom/20180411_171338_5KI_9C69EHGJ2H20M7ZG.1.pdf</w:t>
      </w:r>
      <w:r w:rsidR="00AC10F7" w:rsidRPr="00A001AB">
        <w:t xml:space="preserve">; “Singapore </w:t>
      </w:r>
      <w:r w:rsidR="008808DF" w:rsidRPr="00A001AB">
        <w:t>C</w:t>
      </w:r>
      <w:r w:rsidR="00AC10F7" w:rsidRPr="00A001AB">
        <w:t xml:space="preserve">onsumer </w:t>
      </w:r>
      <w:r w:rsidR="008808DF" w:rsidRPr="00A001AB">
        <w:t>P</w:t>
      </w:r>
      <w:r w:rsidR="00AC10F7" w:rsidRPr="00A001AB">
        <w:t xml:space="preserve">rice </w:t>
      </w:r>
      <w:r w:rsidR="008808DF" w:rsidRPr="00A001AB">
        <w:t>I</w:t>
      </w:r>
      <w:r w:rsidR="00AC10F7" w:rsidRPr="00A001AB">
        <w:t>ndex</w:t>
      </w:r>
      <w:r w:rsidR="008808DF" w:rsidRPr="00A001AB">
        <w:t>,”</w:t>
      </w:r>
      <w:r w:rsidR="00AC10F7" w:rsidRPr="00A001AB">
        <w:t xml:space="preserve"> </w:t>
      </w:r>
      <w:r w:rsidR="00EB1859" w:rsidRPr="00DA6E6F">
        <w:t xml:space="preserve">Department of Statistics Singapore, </w:t>
      </w:r>
      <w:r w:rsidR="00AC10F7" w:rsidRPr="00A001AB">
        <w:t xml:space="preserve">July 2018, </w:t>
      </w:r>
      <w:r w:rsidR="008808DF" w:rsidRPr="00A001AB">
        <w:rPr>
          <w:rFonts w:eastAsia="Arial"/>
        </w:rPr>
        <w:t xml:space="preserve">accessed April 10, 2019, </w:t>
      </w:r>
      <w:r w:rsidR="00AC10F7" w:rsidRPr="00A001AB">
        <w:t xml:space="preserve">www.singstat.gov.sg/-/media/files/news/cpijul2018.pdf.; "How </w:t>
      </w:r>
      <w:r w:rsidR="008808DF" w:rsidRPr="00A001AB">
        <w:t>M</w:t>
      </w:r>
      <w:r w:rsidR="00AC10F7" w:rsidRPr="00A001AB">
        <w:t xml:space="preserve">uch </w:t>
      </w:r>
      <w:r w:rsidR="008808DF" w:rsidRPr="00A001AB">
        <w:t>D</w:t>
      </w:r>
      <w:r w:rsidR="00AC10F7" w:rsidRPr="00A001AB">
        <w:t xml:space="preserve">oes </w:t>
      </w:r>
      <w:r w:rsidR="008808DF" w:rsidRPr="00A001AB">
        <w:t>I</w:t>
      </w:r>
      <w:r w:rsidR="00AC10F7" w:rsidRPr="00A001AB">
        <w:t xml:space="preserve">t </w:t>
      </w:r>
      <w:r w:rsidR="008808DF" w:rsidRPr="00A001AB">
        <w:t>C</w:t>
      </w:r>
      <w:r w:rsidR="00AC10F7" w:rsidRPr="00A001AB">
        <w:t xml:space="preserve">ost to </w:t>
      </w:r>
      <w:r w:rsidR="008808DF" w:rsidRPr="00A001AB">
        <w:t>S</w:t>
      </w:r>
      <w:r w:rsidR="00AC10F7" w:rsidRPr="00A001AB">
        <w:t xml:space="preserve">tart a </w:t>
      </w:r>
      <w:r w:rsidR="008808DF" w:rsidRPr="00A001AB">
        <w:t>R</w:t>
      </w:r>
      <w:r w:rsidR="00AC10F7" w:rsidRPr="00A001AB">
        <w:t>estaurant in Singapore?</w:t>
      </w:r>
      <w:r w:rsidR="008808DF" w:rsidRPr="00A001AB">
        <w:t>,”</w:t>
      </w:r>
      <w:r w:rsidR="00AC10F7" w:rsidRPr="00A001AB">
        <w:t xml:space="preserve"> </w:t>
      </w:r>
      <w:proofErr w:type="spellStart"/>
      <w:r w:rsidR="00EB1859" w:rsidRPr="00DC3291">
        <w:t>SingSaver</w:t>
      </w:r>
      <w:proofErr w:type="spellEnd"/>
      <w:r w:rsidR="00EB1859" w:rsidRPr="00DC3291">
        <w:t xml:space="preserve">, </w:t>
      </w:r>
      <w:r w:rsidR="00AC10F7" w:rsidRPr="00A001AB">
        <w:t xml:space="preserve">November 30, 2017, </w:t>
      </w:r>
      <w:r w:rsidR="008808DF" w:rsidRPr="00A001AB">
        <w:rPr>
          <w:rFonts w:eastAsia="Arial"/>
        </w:rPr>
        <w:t xml:space="preserve">accessed April 10, 2019, </w:t>
      </w:r>
      <w:r w:rsidR="00AC10F7" w:rsidRPr="00A001AB">
        <w:t>www.singsaver.com.sg/blog/much-cost-start-restaurant-singapore</w:t>
      </w:r>
      <w:r w:rsidR="00813AC0" w:rsidRPr="00A001AB">
        <w:t>;</w:t>
      </w:r>
      <w:r w:rsidR="00AC10F7" w:rsidRPr="00A001AB">
        <w:t xml:space="preserve"> </w:t>
      </w:r>
      <w:proofErr w:type="spellStart"/>
      <w:r w:rsidR="00AC10F7" w:rsidRPr="00A001AB">
        <w:t>Derryn</w:t>
      </w:r>
      <w:proofErr w:type="spellEnd"/>
      <w:r w:rsidR="00AC10F7" w:rsidRPr="00A001AB">
        <w:t xml:space="preserve"> Wong, “The </w:t>
      </w:r>
      <w:r w:rsidR="008808DF" w:rsidRPr="00A001AB">
        <w:t>D</w:t>
      </w:r>
      <w:r w:rsidR="00AC10F7" w:rsidRPr="00A001AB">
        <w:t xml:space="preserve">ollars and </w:t>
      </w:r>
      <w:r w:rsidR="008808DF" w:rsidRPr="00A001AB">
        <w:t>S</w:t>
      </w:r>
      <w:r w:rsidR="00AC10F7" w:rsidRPr="00A001AB">
        <w:t xml:space="preserve">ense of </w:t>
      </w:r>
      <w:r w:rsidR="008808DF" w:rsidRPr="00A001AB">
        <w:t>C</w:t>
      </w:r>
      <w:r w:rsidR="00AC10F7" w:rsidRPr="00A001AB">
        <w:t xml:space="preserve">ommercial </w:t>
      </w:r>
      <w:r w:rsidR="008808DF" w:rsidRPr="00A001AB">
        <w:t>V</w:t>
      </w:r>
      <w:r w:rsidR="00AC10F7" w:rsidRPr="00A001AB">
        <w:t>ehicles</w:t>
      </w:r>
      <w:r w:rsidR="008808DF" w:rsidRPr="00A001AB">
        <w:t>,”</w:t>
      </w:r>
      <w:r w:rsidR="00AC10F7" w:rsidRPr="00A001AB">
        <w:t xml:space="preserve"> Today Online, April 28, 2017, </w:t>
      </w:r>
      <w:r w:rsidR="008808DF" w:rsidRPr="00A001AB">
        <w:rPr>
          <w:rFonts w:eastAsia="Arial"/>
        </w:rPr>
        <w:t xml:space="preserve">accessed April 10, 2019, </w:t>
      </w:r>
      <w:r w:rsidR="008808DF" w:rsidRPr="00A001AB">
        <w:t>www.todayonline.com/lifestyle/cars/dollars-and-sense-commercial-vehicles</w:t>
      </w:r>
      <w:r w:rsidR="00AC10F7" w:rsidRPr="00A001AB">
        <w:t>;</w:t>
      </w:r>
      <w:r w:rsidR="008808DF" w:rsidRPr="00A001AB">
        <w:t xml:space="preserve"> “</w:t>
      </w:r>
      <w:r w:rsidR="00AC10F7" w:rsidRPr="00A001AB">
        <w:t xml:space="preserve">Central </w:t>
      </w:r>
      <w:r w:rsidR="008808DF" w:rsidRPr="00A001AB">
        <w:t>K</w:t>
      </w:r>
      <w:r w:rsidR="00AC10F7" w:rsidRPr="00A001AB">
        <w:t>itchen</w:t>
      </w:r>
      <w:r w:rsidR="008808DF" w:rsidRPr="00A001AB">
        <w:t>,”</w:t>
      </w:r>
      <w:r w:rsidR="00AC10F7" w:rsidRPr="00A001AB">
        <w:t xml:space="preserve"> </w:t>
      </w:r>
      <w:proofErr w:type="spellStart"/>
      <w:r w:rsidR="008808DF" w:rsidRPr="00A001AB">
        <w:t>PropertyGuru</w:t>
      </w:r>
      <w:proofErr w:type="spellEnd"/>
      <w:r w:rsidR="008808DF" w:rsidRPr="00A001AB">
        <w:t xml:space="preserve"> </w:t>
      </w:r>
      <w:r w:rsidR="00AC10F7" w:rsidRPr="00A001AB">
        <w:t xml:space="preserve">2018, </w:t>
      </w:r>
      <w:r w:rsidR="008808DF" w:rsidRPr="00A001AB">
        <w:t xml:space="preserve">accessed July 30, 2018, </w:t>
      </w:r>
      <w:r w:rsidR="00AC10F7" w:rsidRPr="00A001AB">
        <w:t xml:space="preserve">www.propertyguru.com.sg/search/central-kitchen/commercial; </w:t>
      </w:r>
      <w:r w:rsidR="008808DF" w:rsidRPr="00A001AB">
        <w:t>“</w:t>
      </w:r>
      <w:r w:rsidR="00AC10F7" w:rsidRPr="00A001AB">
        <w:t xml:space="preserve">Junior </w:t>
      </w:r>
      <w:r w:rsidR="008808DF" w:rsidRPr="00A001AB">
        <w:t>C</w:t>
      </w:r>
      <w:r w:rsidR="00AC10F7" w:rsidRPr="00A001AB">
        <w:t xml:space="preserve">hef </w:t>
      </w:r>
      <w:r w:rsidR="008808DF" w:rsidRPr="00A001AB">
        <w:t>S</w:t>
      </w:r>
      <w:r w:rsidR="00AC10F7" w:rsidRPr="00A001AB">
        <w:t>alaries in Singapore</w:t>
      </w:r>
      <w:r w:rsidR="008808DF" w:rsidRPr="00A001AB">
        <w:t>,”</w:t>
      </w:r>
      <w:r w:rsidR="00AC10F7" w:rsidRPr="00A001AB">
        <w:t xml:space="preserve"> </w:t>
      </w:r>
      <w:r w:rsidR="008808DF" w:rsidRPr="00A001AB">
        <w:t xml:space="preserve">Indeed, </w:t>
      </w:r>
      <w:r w:rsidR="00AC10F7" w:rsidRPr="00A001AB">
        <w:t xml:space="preserve">August 2, 2018, </w:t>
      </w:r>
      <w:r w:rsidR="008808DF" w:rsidRPr="00A001AB">
        <w:t xml:space="preserve">accessed July 30, 2018, </w:t>
      </w:r>
      <w:r w:rsidR="00AC10F7" w:rsidRPr="00A001AB">
        <w:t>www.indeed.com.sg/salaries/Sous-Chef-Salaries</w:t>
      </w:r>
      <w:r w:rsidR="00A6234A">
        <w:rPr>
          <w:spacing w:val="-2"/>
        </w:rPr>
        <w:t>.</w:t>
      </w:r>
      <w:r w:rsidR="00C331A6">
        <w:rPr>
          <w:rFonts w:eastAsia="DengXian"/>
          <w:sz w:val="22"/>
          <w:szCs w:val="22"/>
          <w:lang w:eastAsia="zh-CN"/>
        </w:rPr>
        <w:br w:type="page"/>
      </w:r>
    </w:p>
    <w:p w14:paraId="4352C86A" w14:textId="7C172974" w:rsidR="00B87DC0" w:rsidRPr="00C70F23" w:rsidRDefault="0045624B" w:rsidP="0045624B">
      <w:pPr>
        <w:pStyle w:val="Casehead1"/>
      </w:pPr>
      <w:r w:rsidRPr="00C70F23">
        <w:lastRenderedPageBreak/>
        <w:t>Endnotes</w:t>
      </w:r>
    </w:p>
    <w:sectPr w:rsidR="00B87DC0" w:rsidRPr="00C70F23" w:rsidSect="00CA3D37">
      <w:headerReference w:type="default" r:id="rId12"/>
      <w:endnotePr>
        <w:numFmt w:val="decimal"/>
      </w:endnotePr>
      <w:pgSz w:w="12240" w:h="15840" w:code="1"/>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3BC1A" w16cid:durableId="20E157AF"/>
  <w16cid:commentId w16cid:paraId="315DB037" w16cid:durableId="20E15768"/>
  <w16cid:commentId w16cid:paraId="503E3D11" w16cid:durableId="20E1594B"/>
  <w16cid:commentId w16cid:paraId="51AFBC12" w16cid:durableId="20E19AE2"/>
  <w16cid:commentId w16cid:paraId="3F4417E3" w16cid:durableId="20E15BF3"/>
  <w16cid:commentId w16cid:paraId="4FFB0497" w16cid:durableId="20E15CA6"/>
  <w16cid:commentId w16cid:paraId="05192965" w16cid:durableId="20E165FB"/>
  <w16cid:commentId w16cid:paraId="55DCA020" w16cid:durableId="20E1661E"/>
  <w16cid:commentId w16cid:paraId="79925A58" w16cid:durableId="20E166A6"/>
  <w16cid:commentId w16cid:paraId="29B23193" w16cid:durableId="20E16796"/>
  <w16cid:commentId w16cid:paraId="2D8AF47A" w16cid:durableId="20E19B60"/>
  <w16cid:commentId w16cid:paraId="09AFA8CB" w16cid:durableId="20E17264"/>
  <w16cid:commentId w16cid:paraId="3365CF82" w16cid:durableId="20E19A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37A28" w14:textId="77777777" w:rsidR="006E2982" w:rsidRDefault="006E2982" w:rsidP="00D75295">
      <w:r>
        <w:separator/>
      </w:r>
    </w:p>
  </w:endnote>
  <w:endnote w:type="continuationSeparator" w:id="0">
    <w:p w14:paraId="7DED150A" w14:textId="77777777" w:rsidR="006E2982" w:rsidRDefault="006E2982" w:rsidP="00D75295">
      <w:r>
        <w:continuationSeparator/>
      </w:r>
    </w:p>
  </w:endnote>
  <w:endnote w:id="1">
    <w:p w14:paraId="3F02661C" w14:textId="77777777" w:rsidR="00984615" w:rsidRPr="00D577C5" w:rsidRDefault="00984615" w:rsidP="00984615">
      <w:pPr>
        <w:pStyle w:val="Footnote"/>
        <w:rPr>
          <w:lang w:val="en-CA"/>
        </w:rPr>
      </w:pPr>
      <w:r w:rsidRPr="00370ECF">
        <w:rPr>
          <w:rStyle w:val="EndnoteReference"/>
        </w:rPr>
        <w:endnoteRef/>
      </w:r>
      <w:r w:rsidRPr="00D577C5">
        <w:t xml:space="preserve"> </w:t>
      </w:r>
      <w:r w:rsidRPr="00D577C5">
        <w:rPr>
          <w:lang w:val="en-CA"/>
        </w:rPr>
        <w:t xml:space="preserve">SG$ = Singaporean dollar; all </w:t>
      </w:r>
      <w:r>
        <w:rPr>
          <w:lang w:val="en-CA"/>
        </w:rPr>
        <w:t>dollar</w:t>
      </w:r>
      <w:r w:rsidRPr="00D577C5">
        <w:rPr>
          <w:lang w:val="en-CA"/>
        </w:rPr>
        <w:t xml:space="preserve"> amounts are in SG$ unless otherwise specified; US$1 = SG$1.31 on April 1, 2018.</w:t>
      </w:r>
    </w:p>
  </w:endnote>
  <w:endnote w:id="2">
    <w:p w14:paraId="5A140687" w14:textId="77777777" w:rsidR="00984615" w:rsidRPr="00D577C5" w:rsidRDefault="00984615" w:rsidP="00984615">
      <w:pPr>
        <w:pStyle w:val="Footnote"/>
        <w:rPr>
          <w:spacing w:val="-2"/>
        </w:rPr>
      </w:pPr>
      <w:r w:rsidRPr="00370ECF">
        <w:rPr>
          <w:rStyle w:val="EndnoteReference"/>
        </w:rPr>
        <w:endnoteRef/>
      </w:r>
      <w:r w:rsidRPr="00D577C5">
        <w:rPr>
          <w:spacing w:val="-2"/>
        </w:rPr>
        <w:t xml:space="preserve"> The various long-term care facilities were operated by </w:t>
      </w:r>
      <w:proofErr w:type="spellStart"/>
      <w:r w:rsidRPr="00D577C5">
        <w:rPr>
          <w:spacing w:val="-2"/>
        </w:rPr>
        <w:t>Peacehaven</w:t>
      </w:r>
      <w:proofErr w:type="spellEnd"/>
      <w:r w:rsidRPr="00D577C5">
        <w:rPr>
          <w:spacing w:val="-2"/>
        </w:rPr>
        <w:t>, TOUCH Community Services, and the Salvation Army</w:t>
      </w:r>
      <w:r>
        <w:rPr>
          <w:spacing w:val="-2"/>
        </w:rPr>
        <w:t>.</w:t>
      </w:r>
    </w:p>
  </w:endnote>
  <w:endnote w:id="3">
    <w:p w14:paraId="4D4B5863" w14:textId="77777777" w:rsidR="00984615" w:rsidRPr="00D577C5" w:rsidRDefault="00984615" w:rsidP="00984615">
      <w:pPr>
        <w:pStyle w:val="Footnote"/>
        <w:rPr>
          <w:rFonts w:eastAsia="DengXian"/>
          <w:spacing w:val="-2"/>
        </w:rPr>
      </w:pPr>
      <w:r w:rsidRPr="00370ECF">
        <w:rPr>
          <w:rStyle w:val="EndnoteReference"/>
          <w:rFonts w:eastAsia="DengXian"/>
        </w:rPr>
        <w:endnoteRef/>
      </w:r>
      <w:r w:rsidRPr="00D577C5">
        <w:rPr>
          <w:rFonts w:eastAsia="DengXian"/>
          <w:spacing w:val="-2"/>
        </w:rPr>
        <w:t xml:space="preserve"> “Our History</w:t>
      </w:r>
      <w:r>
        <w:rPr>
          <w:rFonts w:eastAsia="DengXian"/>
          <w:spacing w:val="-2"/>
        </w:rPr>
        <w:t>,</w:t>
      </w:r>
      <w:r w:rsidRPr="00D577C5">
        <w:rPr>
          <w:rFonts w:eastAsia="DengXian"/>
          <w:spacing w:val="-2"/>
        </w:rPr>
        <w:t>” Soup Restaurant, accessed July 31, 2018, www.souprestaurant.com.sg/aboutus_ourhistory.html.</w:t>
      </w:r>
    </w:p>
  </w:endnote>
  <w:endnote w:id="4">
    <w:p w14:paraId="5E8AA4A8" w14:textId="77777777" w:rsidR="00984615" w:rsidRPr="00D577C5" w:rsidRDefault="00984615" w:rsidP="00984615">
      <w:pPr>
        <w:pStyle w:val="Footnote"/>
        <w:rPr>
          <w:spacing w:val="-2"/>
        </w:rPr>
      </w:pPr>
      <w:r w:rsidRPr="00370ECF">
        <w:rPr>
          <w:rStyle w:val="EndnoteReference"/>
        </w:rPr>
        <w:endnoteRef/>
      </w:r>
      <w:r>
        <w:rPr>
          <w:spacing w:val="-2"/>
        </w:rPr>
        <w:t xml:space="preserve"> </w:t>
      </w:r>
      <w:r w:rsidRPr="00D577C5">
        <w:rPr>
          <w:spacing w:val="-2"/>
        </w:rPr>
        <w:t>“Investor Relations</w:t>
      </w:r>
      <w:r>
        <w:rPr>
          <w:spacing w:val="-2"/>
        </w:rPr>
        <w:t>,</w:t>
      </w:r>
      <w:r w:rsidRPr="00D577C5">
        <w:rPr>
          <w:spacing w:val="-2"/>
        </w:rPr>
        <w:t xml:space="preserve">” </w:t>
      </w:r>
      <w:r w:rsidRPr="00D577C5">
        <w:rPr>
          <w:rFonts w:eastAsia="DengXian"/>
          <w:spacing w:val="-2"/>
        </w:rPr>
        <w:t>Soup Restaurant Group Limited</w:t>
      </w:r>
      <w:r w:rsidRPr="00D577C5">
        <w:rPr>
          <w:spacing w:val="-2"/>
        </w:rPr>
        <w:t>, accessed July 31, 2018, www.souprestaurant.com.sg/investorrelations.html.</w:t>
      </w:r>
    </w:p>
  </w:endnote>
  <w:endnote w:id="5">
    <w:p w14:paraId="07DBA0F1" w14:textId="77777777" w:rsidR="00984615" w:rsidRPr="00D577C5" w:rsidRDefault="00984615" w:rsidP="00984615">
      <w:pPr>
        <w:pStyle w:val="Footnote"/>
        <w:rPr>
          <w:rFonts w:eastAsia="DengXian"/>
          <w:spacing w:val="-2"/>
        </w:rPr>
      </w:pPr>
      <w:r w:rsidRPr="00370ECF">
        <w:rPr>
          <w:rStyle w:val="EndnoteReference"/>
          <w:rFonts w:eastAsia="DengXian"/>
        </w:rPr>
        <w:endnoteRef/>
      </w:r>
      <w:r w:rsidRPr="00D577C5">
        <w:rPr>
          <w:rFonts w:eastAsia="DengXian"/>
          <w:spacing w:val="-2"/>
        </w:rPr>
        <w:t xml:space="preserve"> “Corporate Structure,” Soup Restaurant Group Limited, </w:t>
      </w:r>
      <w:r w:rsidRPr="00D577C5">
        <w:rPr>
          <w:rFonts w:eastAsia="Arial"/>
          <w:i/>
          <w:spacing w:val="-2"/>
        </w:rPr>
        <w:t xml:space="preserve">Through Values We Grow: </w:t>
      </w:r>
      <w:r w:rsidRPr="00D577C5">
        <w:rPr>
          <w:rFonts w:eastAsia="DengXian"/>
          <w:i/>
          <w:spacing w:val="-2"/>
        </w:rPr>
        <w:t>Annual Report 2017</w:t>
      </w:r>
      <w:r w:rsidRPr="00D577C5">
        <w:rPr>
          <w:rFonts w:eastAsia="DengXian"/>
          <w:spacing w:val="-2"/>
        </w:rPr>
        <w:t>, 14, accessed July 31, 2018, http://souprestaurant.listedcompany.com/newsroom/20180411_171338_5KI_9C69EHGJ2H20M7ZG.1.pdf</w:t>
      </w:r>
      <w:r>
        <w:rPr>
          <w:rFonts w:eastAsia="DengXian"/>
          <w:spacing w:val="-2"/>
        </w:rPr>
        <w:t>.</w:t>
      </w:r>
    </w:p>
  </w:endnote>
  <w:endnote w:id="6">
    <w:p w14:paraId="4A6268E6" w14:textId="4131233D" w:rsidR="006674FB" w:rsidRPr="00D577C5" w:rsidRDefault="006674FB" w:rsidP="0045624B">
      <w:pPr>
        <w:pStyle w:val="Footnote"/>
        <w:rPr>
          <w:spacing w:val="-2"/>
        </w:rPr>
      </w:pPr>
      <w:r w:rsidRPr="00370ECF">
        <w:rPr>
          <w:rStyle w:val="EndnoteReference"/>
        </w:rPr>
        <w:endnoteRef/>
      </w:r>
      <w:r w:rsidRPr="00D577C5">
        <w:rPr>
          <w:spacing w:val="-2"/>
        </w:rPr>
        <w:t xml:space="preserve"> Sue-Ann </w:t>
      </w:r>
      <w:proofErr w:type="spellStart"/>
      <w:r w:rsidRPr="00D577C5">
        <w:rPr>
          <w:spacing w:val="-2"/>
        </w:rPr>
        <w:t>Cheow</w:t>
      </w:r>
      <w:proofErr w:type="spellEnd"/>
      <w:r w:rsidRPr="00D577C5">
        <w:rPr>
          <w:spacing w:val="-2"/>
        </w:rPr>
        <w:t>, "Prison Kitchen Supplies Nursing Home Meals,"</w:t>
      </w:r>
      <w:r>
        <w:rPr>
          <w:spacing w:val="-2"/>
        </w:rPr>
        <w:t xml:space="preserve"> </w:t>
      </w:r>
      <w:r w:rsidRPr="00D577C5">
        <w:rPr>
          <w:i/>
          <w:spacing w:val="-2"/>
        </w:rPr>
        <w:t>Straits Times</w:t>
      </w:r>
      <w:r w:rsidRPr="00D577C5">
        <w:rPr>
          <w:spacing w:val="-2"/>
        </w:rPr>
        <w:t>, October 14, 2017, accessed May 13, 2019, www.straitstimes.com/singapore/prison-kitchen-supplies-nursing-home-meals.</w:t>
      </w:r>
    </w:p>
  </w:endnote>
  <w:endnote w:id="7">
    <w:p w14:paraId="3C5F0DDB" w14:textId="42941E82" w:rsidR="006674FB" w:rsidRPr="00D577C5" w:rsidRDefault="006674FB" w:rsidP="0045624B">
      <w:pPr>
        <w:pStyle w:val="Footnote"/>
        <w:rPr>
          <w:spacing w:val="-2"/>
          <w:lang w:eastAsia="en-GB"/>
        </w:rPr>
      </w:pPr>
      <w:r w:rsidRPr="00370ECF">
        <w:rPr>
          <w:rStyle w:val="EndnoteReference"/>
        </w:rPr>
        <w:endnoteRef/>
      </w:r>
      <w:r w:rsidRPr="00D577C5">
        <w:rPr>
          <w:spacing w:val="-2"/>
        </w:rPr>
        <w:t xml:space="preserve"> </w:t>
      </w:r>
      <w:r w:rsidRPr="00D577C5">
        <w:rPr>
          <w:spacing w:val="-2"/>
          <w:lang w:eastAsia="en-GB"/>
        </w:rPr>
        <w:t xml:space="preserve">Vivien </w:t>
      </w:r>
      <w:proofErr w:type="spellStart"/>
      <w:r w:rsidRPr="00D577C5">
        <w:rPr>
          <w:spacing w:val="-2"/>
          <w:lang w:eastAsia="en-GB"/>
        </w:rPr>
        <w:t>Shiao</w:t>
      </w:r>
      <w:proofErr w:type="spellEnd"/>
      <w:r w:rsidRPr="00D577C5">
        <w:rPr>
          <w:spacing w:val="-2"/>
          <w:lang w:eastAsia="en-GB"/>
        </w:rPr>
        <w:t>, "The Different Ways of Doing Good</w:t>
      </w:r>
      <w:r>
        <w:rPr>
          <w:spacing w:val="-2"/>
          <w:lang w:eastAsia="en-GB"/>
        </w:rPr>
        <w:t>,</w:t>
      </w:r>
      <w:r w:rsidRPr="00D577C5">
        <w:rPr>
          <w:spacing w:val="-2"/>
          <w:lang w:eastAsia="en-GB"/>
        </w:rPr>
        <w:t xml:space="preserve">" </w:t>
      </w:r>
      <w:r w:rsidRPr="00D577C5">
        <w:rPr>
          <w:i/>
          <w:spacing w:val="-2"/>
          <w:lang w:eastAsia="en-GB"/>
        </w:rPr>
        <w:t>Business Times</w:t>
      </w:r>
      <w:r w:rsidRPr="00D577C5">
        <w:rPr>
          <w:spacing w:val="-2"/>
          <w:lang w:eastAsia="en-GB"/>
        </w:rPr>
        <w:t xml:space="preserve">, July 5, 2017, </w:t>
      </w:r>
      <w:r w:rsidRPr="00D577C5">
        <w:rPr>
          <w:spacing w:val="-2"/>
        </w:rPr>
        <w:t xml:space="preserve">accessed May 13, 2019, </w:t>
      </w:r>
      <w:r w:rsidRPr="00D577C5">
        <w:rPr>
          <w:spacing w:val="-2"/>
          <w:lang w:eastAsia="en-GB"/>
        </w:rPr>
        <w:t>www.businesstimes.com.sg/magazines/the-sme-magazine-julyaugust-2017/the-different-ways-of-doing-good; Mindy Tan, "Good Deeds</w:t>
      </w:r>
      <w:r>
        <w:rPr>
          <w:spacing w:val="-2"/>
          <w:lang w:eastAsia="en-GB"/>
        </w:rPr>
        <w:t>,</w:t>
      </w:r>
      <w:r w:rsidRPr="00D577C5">
        <w:rPr>
          <w:spacing w:val="-2"/>
          <w:lang w:eastAsia="en-GB"/>
        </w:rPr>
        <w:t xml:space="preserve">" </w:t>
      </w:r>
      <w:r w:rsidRPr="00D577C5">
        <w:rPr>
          <w:i/>
          <w:spacing w:val="-2"/>
          <w:lang w:eastAsia="en-GB"/>
        </w:rPr>
        <w:t>Business Times</w:t>
      </w:r>
      <w:r w:rsidRPr="00D577C5">
        <w:rPr>
          <w:spacing w:val="-2"/>
          <w:lang w:eastAsia="en-GB"/>
        </w:rPr>
        <w:t>, January 5, 2015,</w:t>
      </w:r>
      <w:r>
        <w:rPr>
          <w:spacing w:val="-2"/>
          <w:lang w:eastAsia="en-GB"/>
        </w:rPr>
        <w:t xml:space="preserve"> </w:t>
      </w:r>
      <w:r w:rsidRPr="00D577C5">
        <w:rPr>
          <w:spacing w:val="-2"/>
        </w:rPr>
        <w:t xml:space="preserve">accessed May 13, 2019, </w:t>
      </w:r>
      <w:r w:rsidRPr="00D577C5">
        <w:rPr>
          <w:spacing w:val="-2"/>
          <w:lang w:eastAsia="en-GB"/>
        </w:rPr>
        <w:t>www.businesstimes.com.sg/sites/default/files/attachment/2015/01/07/SME2015jan_pg04_06.pdf</w:t>
      </w:r>
    </w:p>
  </w:endnote>
  <w:endnote w:id="8">
    <w:p w14:paraId="25A35D48" w14:textId="79C3C14B" w:rsidR="006674FB" w:rsidRPr="00D577C5" w:rsidRDefault="006674FB" w:rsidP="0045624B">
      <w:pPr>
        <w:pStyle w:val="Footnote"/>
        <w:rPr>
          <w:spacing w:val="-2"/>
          <w:lang w:eastAsia="en-GB"/>
        </w:rPr>
      </w:pPr>
      <w:r w:rsidRPr="00370ECF">
        <w:rPr>
          <w:rStyle w:val="EndnoteReference"/>
        </w:rPr>
        <w:endnoteRef/>
      </w:r>
      <w:r w:rsidRPr="00D577C5">
        <w:rPr>
          <w:spacing w:val="-2"/>
        </w:rPr>
        <w:t xml:space="preserve"> </w:t>
      </w:r>
      <w:r w:rsidRPr="004D0E98">
        <w:rPr>
          <w:spacing w:val="-4"/>
          <w:lang w:eastAsia="en-GB"/>
        </w:rPr>
        <w:t>McKinsey &amp; Company, "</w:t>
      </w:r>
      <w:r w:rsidRPr="004D0E98">
        <w:rPr>
          <w:spacing w:val="-4"/>
        </w:rPr>
        <w:t xml:space="preserve"> </w:t>
      </w:r>
      <w:r w:rsidRPr="004D0E98">
        <w:rPr>
          <w:spacing w:val="-4"/>
          <w:lang w:eastAsia="en-GB"/>
        </w:rPr>
        <w:t xml:space="preserve">Beyond Corporate Social Responsibility: Integrated External Engagement," March 2013, </w:t>
      </w:r>
      <w:r w:rsidRPr="004D0E98">
        <w:rPr>
          <w:spacing w:val="-4"/>
        </w:rPr>
        <w:t>accessed May</w:t>
      </w:r>
      <w:r w:rsidR="004D0E98" w:rsidRPr="004D0E98">
        <w:rPr>
          <w:spacing w:val="-4"/>
        </w:rPr>
        <w:t> </w:t>
      </w:r>
      <w:r w:rsidRPr="004D0E98">
        <w:rPr>
          <w:spacing w:val="-4"/>
        </w:rPr>
        <w:t>13,</w:t>
      </w:r>
      <w:r w:rsidR="004D0E98" w:rsidRPr="004D0E98">
        <w:rPr>
          <w:spacing w:val="-4"/>
        </w:rPr>
        <w:t> </w:t>
      </w:r>
      <w:r w:rsidRPr="004D0E98">
        <w:rPr>
          <w:spacing w:val="-4"/>
        </w:rPr>
        <w:t>2019</w:t>
      </w:r>
      <w:proofErr w:type="gramStart"/>
      <w:r w:rsidRPr="004D0E98">
        <w:rPr>
          <w:spacing w:val="-4"/>
        </w:rPr>
        <w:t xml:space="preserve">, </w:t>
      </w:r>
      <w:r w:rsidR="004D0E98" w:rsidRPr="004D0E98">
        <w:rPr>
          <w:spacing w:val="-4"/>
        </w:rPr>
        <w:t> </w:t>
      </w:r>
      <w:r w:rsidRPr="004D0E98">
        <w:rPr>
          <w:spacing w:val="-4"/>
          <w:lang w:eastAsia="en-GB"/>
        </w:rPr>
        <w:t>www.mckinsey.com</w:t>
      </w:r>
      <w:proofErr w:type="gramEnd"/>
      <w:r w:rsidRPr="004D0E98">
        <w:rPr>
          <w:spacing w:val="-4"/>
          <w:lang w:eastAsia="en-GB"/>
        </w:rPr>
        <w:t>/insights/strategy/beyond_corporate_social_responsibility_integrated_external_engagement#.</w:t>
      </w:r>
    </w:p>
  </w:endnote>
  <w:endnote w:id="9">
    <w:p w14:paraId="073E5B04" w14:textId="25B60322" w:rsidR="006674FB" w:rsidRPr="00D577C5" w:rsidRDefault="006674FB" w:rsidP="0045624B">
      <w:pPr>
        <w:pStyle w:val="Footnote"/>
        <w:rPr>
          <w:spacing w:val="-2"/>
          <w:lang w:eastAsia="en-GB"/>
        </w:rPr>
      </w:pPr>
      <w:r w:rsidRPr="00370ECF">
        <w:rPr>
          <w:rStyle w:val="EndnoteReference"/>
        </w:rPr>
        <w:endnoteRef/>
      </w:r>
      <w:r w:rsidRPr="00D577C5">
        <w:rPr>
          <w:spacing w:val="-2"/>
        </w:rPr>
        <w:t xml:space="preserve"> </w:t>
      </w:r>
      <w:r w:rsidRPr="00D577C5">
        <w:rPr>
          <w:spacing w:val="-2"/>
          <w:lang w:eastAsia="en-GB"/>
        </w:rPr>
        <w:t xml:space="preserve">Mindy Tan, "Good </w:t>
      </w:r>
      <w:r>
        <w:rPr>
          <w:spacing w:val="-2"/>
          <w:lang w:eastAsia="en-GB"/>
        </w:rPr>
        <w:t>D</w:t>
      </w:r>
      <w:r w:rsidRPr="00D577C5">
        <w:rPr>
          <w:spacing w:val="-2"/>
          <w:lang w:eastAsia="en-GB"/>
        </w:rPr>
        <w:t>eeds</w:t>
      </w:r>
      <w:r>
        <w:rPr>
          <w:spacing w:val="-2"/>
          <w:lang w:eastAsia="en-GB"/>
        </w:rPr>
        <w:t>,</w:t>
      </w:r>
      <w:r w:rsidRPr="00D577C5">
        <w:rPr>
          <w:spacing w:val="-2"/>
          <w:lang w:eastAsia="en-GB"/>
        </w:rPr>
        <w:t xml:space="preserve">" </w:t>
      </w:r>
      <w:r w:rsidRPr="00A001AB">
        <w:rPr>
          <w:i/>
          <w:iCs/>
          <w:spacing w:val="-2"/>
          <w:lang w:eastAsia="en-GB"/>
        </w:rPr>
        <w:t>Business Times</w:t>
      </w:r>
      <w:r w:rsidRPr="00D577C5">
        <w:rPr>
          <w:spacing w:val="-2"/>
          <w:lang w:eastAsia="en-GB"/>
        </w:rPr>
        <w:t>, January 5, 2015,</w:t>
      </w:r>
      <w:r>
        <w:rPr>
          <w:spacing w:val="-2"/>
          <w:lang w:eastAsia="en-GB"/>
        </w:rPr>
        <w:t xml:space="preserve"> </w:t>
      </w:r>
      <w:r w:rsidRPr="00D577C5">
        <w:rPr>
          <w:spacing w:val="-2"/>
        </w:rPr>
        <w:t xml:space="preserve">accessed May 13, 2019, </w:t>
      </w:r>
      <w:r w:rsidRPr="00D577C5">
        <w:rPr>
          <w:spacing w:val="-2"/>
          <w:lang w:eastAsia="en-GB"/>
        </w:rPr>
        <w:t>www.businesstimes.com.sg/sites/default/files/attachment/2015/01/07/SME2015jan_pg04_06.pdf</w:t>
      </w:r>
      <w:r>
        <w:rPr>
          <w:spacing w:val="-2"/>
          <w:lang w:eastAsia="en-GB"/>
        </w:rPr>
        <w:t>.</w:t>
      </w:r>
    </w:p>
  </w:endnote>
  <w:endnote w:id="10">
    <w:p w14:paraId="7E366358" w14:textId="57604C3A"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rFonts w:eastAsia="DengXian"/>
          <w:spacing w:val="-2"/>
        </w:rPr>
        <w:t xml:space="preserve">Mary-Ann </w:t>
      </w:r>
      <w:proofErr w:type="spellStart"/>
      <w:r w:rsidRPr="00D577C5">
        <w:rPr>
          <w:rFonts w:eastAsia="DengXian"/>
          <w:spacing w:val="-2"/>
        </w:rPr>
        <w:t>Chiam</w:t>
      </w:r>
      <w:proofErr w:type="spellEnd"/>
      <w:r w:rsidRPr="00D577C5">
        <w:rPr>
          <w:rFonts w:eastAsia="DengXian"/>
          <w:spacing w:val="-2"/>
        </w:rPr>
        <w:t xml:space="preserve">, “Malnutrition in the Elderly,” </w:t>
      </w:r>
      <w:r w:rsidRPr="00D577C5">
        <w:rPr>
          <w:rFonts w:eastAsia="DengXian"/>
          <w:i/>
          <w:spacing w:val="-2"/>
        </w:rPr>
        <w:t>Singapore Family Physician</w:t>
      </w:r>
      <w:r w:rsidRPr="00D577C5">
        <w:rPr>
          <w:rFonts w:eastAsia="DengXian"/>
          <w:spacing w:val="-2"/>
        </w:rPr>
        <w:t xml:space="preserve"> 34, no. 4 (November 1, 2008): 50–54</w:t>
      </w:r>
      <w:r w:rsidRPr="00D577C5">
        <w:rPr>
          <w:spacing w:val="-2"/>
        </w:rPr>
        <w:t>.</w:t>
      </w:r>
    </w:p>
  </w:endnote>
  <w:endnote w:id="11">
    <w:p w14:paraId="078E1E55" w14:textId="3D0B7723" w:rsidR="006674FB" w:rsidRPr="00D577C5" w:rsidRDefault="006674FB" w:rsidP="0045624B">
      <w:pPr>
        <w:pStyle w:val="Footnote"/>
        <w:rPr>
          <w:spacing w:val="-2"/>
        </w:rPr>
      </w:pPr>
      <w:r w:rsidRPr="00370ECF">
        <w:rPr>
          <w:rStyle w:val="EndnoteReference"/>
        </w:rPr>
        <w:endnoteRef/>
      </w:r>
      <w:r w:rsidRPr="00D577C5">
        <w:rPr>
          <w:spacing w:val="-2"/>
        </w:rPr>
        <w:t xml:space="preserve"> </w:t>
      </w:r>
      <w:proofErr w:type="spellStart"/>
      <w:r w:rsidRPr="00D577C5">
        <w:rPr>
          <w:spacing w:val="-2"/>
          <w:lang w:eastAsia="en-GB"/>
        </w:rPr>
        <w:t>Chian</w:t>
      </w:r>
      <w:proofErr w:type="spellEnd"/>
      <w:r w:rsidRPr="00D577C5">
        <w:rPr>
          <w:spacing w:val="-2"/>
          <w:lang w:eastAsia="en-GB"/>
        </w:rPr>
        <w:t xml:space="preserve"> Hui Poon, "Hawker Food a Hit with Nursing Home Residents,” </w:t>
      </w:r>
      <w:r w:rsidRPr="00D577C5">
        <w:rPr>
          <w:i/>
          <w:spacing w:val="-2"/>
          <w:lang w:eastAsia="en-GB"/>
        </w:rPr>
        <w:t xml:space="preserve">Straits Times, </w:t>
      </w:r>
      <w:r w:rsidRPr="00D577C5">
        <w:rPr>
          <w:spacing w:val="-2"/>
          <w:lang w:eastAsia="en-GB"/>
        </w:rPr>
        <w:t xml:space="preserve">January 2, 2018, </w:t>
      </w:r>
      <w:r w:rsidRPr="00D577C5">
        <w:rPr>
          <w:spacing w:val="-2"/>
        </w:rPr>
        <w:t xml:space="preserve">accessed May 13, 2019, </w:t>
      </w:r>
      <w:r w:rsidRPr="00D577C5">
        <w:rPr>
          <w:spacing w:val="-2"/>
          <w:lang w:eastAsia="en-GB"/>
        </w:rPr>
        <w:t>www.straitstimes.com/singapore/health/hawker-food-a-hit-with-nursing-home-residents.</w:t>
      </w:r>
    </w:p>
  </w:endnote>
  <w:endnote w:id="12">
    <w:p w14:paraId="722E63FD" w14:textId="713B6BED"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rFonts w:eastAsia="DengXian"/>
          <w:spacing w:val="-2"/>
        </w:rPr>
        <w:t xml:space="preserve">Pei Wang, Philip Yap, Gerald </w:t>
      </w:r>
      <w:proofErr w:type="spellStart"/>
      <w:r w:rsidRPr="00D577C5">
        <w:rPr>
          <w:rFonts w:eastAsia="DengXian"/>
          <w:spacing w:val="-2"/>
        </w:rPr>
        <w:t>Koh</w:t>
      </w:r>
      <w:proofErr w:type="spellEnd"/>
      <w:r w:rsidRPr="00D577C5">
        <w:rPr>
          <w:rFonts w:eastAsia="DengXian"/>
          <w:spacing w:val="-2"/>
        </w:rPr>
        <w:t xml:space="preserve">, </w:t>
      </w:r>
      <w:proofErr w:type="spellStart"/>
      <w:r w:rsidRPr="00D577C5">
        <w:rPr>
          <w:rFonts w:eastAsia="DengXian"/>
          <w:spacing w:val="-2"/>
        </w:rPr>
        <w:t>Jia</w:t>
      </w:r>
      <w:proofErr w:type="spellEnd"/>
      <w:r w:rsidRPr="00D577C5">
        <w:rPr>
          <w:rFonts w:eastAsia="DengXian"/>
          <w:spacing w:val="-2"/>
        </w:rPr>
        <w:t xml:space="preserve"> An Chong, Lucy Jennifer Davies, </w:t>
      </w:r>
      <w:proofErr w:type="spellStart"/>
      <w:r w:rsidRPr="00D577C5">
        <w:rPr>
          <w:rFonts w:eastAsia="DengXian"/>
          <w:spacing w:val="-2"/>
        </w:rPr>
        <w:t>Mayank</w:t>
      </w:r>
      <w:proofErr w:type="spellEnd"/>
      <w:r w:rsidRPr="00D577C5">
        <w:rPr>
          <w:rFonts w:eastAsia="DengXian"/>
          <w:spacing w:val="-2"/>
        </w:rPr>
        <w:t xml:space="preserve"> </w:t>
      </w:r>
      <w:proofErr w:type="spellStart"/>
      <w:r w:rsidRPr="00D577C5">
        <w:rPr>
          <w:rFonts w:eastAsia="DengXian"/>
          <w:spacing w:val="-2"/>
        </w:rPr>
        <w:t>Dalakoti</w:t>
      </w:r>
      <w:proofErr w:type="spellEnd"/>
      <w:r w:rsidRPr="00D577C5">
        <w:rPr>
          <w:rFonts w:eastAsia="DengXian"/>
          <w:spacing w:val="-2"/>
        </w:rPr>
        <w:t xml:space="preserve">, </w:t>
      </w:r>
      <w:proofErr w:type="spellStart"/>
      <w:r w:rsidRPr="00D577C5">
        <w:rPr>
          <w:rFonts w:eastAsia="DengXian"/>
          <w:spacing w:val="-2"/>
        </w:rPr>
        <w:t>Ngan</w:t>
      </w:r>
      <w:proofErr w:type="spellEnd"/>
      <w:r w:rsidRPr="00D577C5">
        <w:rPr>
          <w:rFonts w:eastAsia="DengXian"/>
          <w:spacing w:val="-2"/>
        </w:rPr>
        <w:t xml:space="preserve"> </w:t>
      </w:r>
      <w:proofErr w:type="spellStart"/>
      <w:r w:rsidRPr="00D577C5">
        <w:rPr>
          <w:rFonts w:eastAsia="DengXian"/>
          <w:spacing w:val="-2"/>
        </w:rPr>
        <w:t>Phoon</w:t>
      </w:r>
      <w:proofErr w:type="spellEnd"/>
      <w:r w:rsidRPr="00D577C5">
        <w:rPr>
          <w:rFonts w:eastAsia="DengXian"/>
          <w:spacing w:val="-2"/>
        </w:rPr>
        <w:t xml:space="preserve"> Fong, Wei </w:t>
      </w:r>
      <w:proofErr w:type="spellStart"/>
      <w:r w:rsidRPr="00D577C5">
        <w:rPr>
          <w:rFonts w:eastAsia="DengXian"/>
          <w:spacing w:val="-2"/>
        </w:rPr>
        <w:t>Wei</w:t>
      </w:r>
      <w:proofErr w:type="spellEnd"/>
      <w:r w:rsidRPr="00D577C5">
        <w:rPr>
          <w:rFonts w:eastAsia="DengXian"/>
          <w:spacing w:val="-2"/>
        </w:rPr>
        <w:t xml:space="preserve"> </w:t>
      </w:r>
      <w:proofErr w:type="spellStart"/>
      <w:r w:rsidRPr="00D577C5">
        <w:rPr>
          <w:rFonts w:eastAsia="DengXian"/>
          <w:spacing w:val="-2"/>
        </w:rPr>
        <w:t>Tiong</w:t>
      </w:r>
      <w:proofErr w:type="spellEnd"/>
      <w:r w:rsidRPr="00D577C5">
        <w:rPr>
          <w:rFonts w:eastAsia="DengXian"/>
          <w:spacing w:val="-2"/>
        </w:rPr>
        <w:t xml:space="preserve">, and Nan Luo, “Quality of Life and Related Factors of Nursing Home Residents in Singapore,” </w:t>
      </w:r>
      <w:r w:rsidRPr="00D577C5">
        <w:rPr>
          <w:rFonts w:eastAsia="DengXian"/>
          <w:i/>
          <w:spacing w:val="-2"/>
        </w:rPr>
        <w:t>Health</w:t>
      </w:r>
      <w:r>
        <w:rPr>
          <w:rFonts w:eastAsia="DengXian"/>
          <w:i/>
          <w:spacing w:val="-2"/>
        </w:rPr>
        <w:t xml:space="preserve"> and </w:t>
      </w:r>
      <w:r w:rsidRPr="00D577C5">
        <w:rPr>
          <w:rFonts w:eastAsia="DengXian"/>
          <w:i/>
          <w:spacing w:val="-2"/>
        </w:rPr>
        <w:t>Qual</w:t>
      </w:r>
      <w:r>
        <w:rPr>
          <w:rFonts w:eastAsia="DengXian"/>
          <w:i/>
          <w:spacing w:val="-2"/>
        </w:rPr>
        <w:t>ity of</w:t>
      </w:r>
      <w:r w:rsidRPr="00D577C5">
        <w:rPr>
          <w:rFonts w:eastAsia="DengXian"/>
          <w:i/>
          <w:spacing w:val="-2"/>
        </w:rPr>
        <w:t xml:space="preserve"> Life Outcomes</w:t>
      </w:r>
      <w:r w:rsidRPr="00D577C5">
        <w:rPr>
          <w:rFonts w:eastAsia="DengXian"/>
          <w:spacing w:val="-2"/>
        </w:rPr>
        <w:t xml:space="preserve"> (2016): 14–112.</w:t>
      </w:r>
    </w:p>
  </w:endnote>
  <w:endnote w:id="13">
    <w:p w14:paraId="78BEDB31" w14:textId="11EB0027"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rFonts w:eastAsia="DengXian"/>
          <w:spacing w:val="-2"/>
        </w:rPr>
        <w:t xml:space="preserve">Neva </w:t>
      </w:r>
      <w:proofErr w:type="spellStart"/>
      <w:r w:rsidRPr="00D577C5">
        <w:rPr>
          <w:rFonts w:eastAsia="DengXian"/>
          <w:spacing w:val="-2"/>
        </w:rPr>
        <w:t>Crogan</w:t>
      </w:r>
      <w:proofErr w:type="spellEnd"/>
      <w:r w:rsidRPr="00D577C5">
        <w:rPr>
          <w:rFonts w:eastAsia="DengXian"/>
          <w:spacing w:val="-2"/>
        </w:rPr>
        <w:t xml:space="preserve">, Alice E </w:t>
      </w:r>
      <w:proofErr w:type="spellStart"/>
      <w:r w:rsidRPr="00D577C5">
        <w:rPr>
          <w:rFonts w:eastAsia="DengXian"/>
          <w:spacing w:val="-2"/>
        </w:rPr>
        <w:t>Dupler</w:t>
      </w:r>
      <w:proofErr w:type="spellEnd"/>
      <w:r w:rsidRPr="00D577C5">
        <w:rPr>
          <w:rFonts w:eastAsia="DengXian"/>
          <w:spacing w:val="-2"/>
        </w:rPr>
        <w:t xml:space="preserve">, Robert Short, and Grace Heaton, “Food Choice Can Improve Nursing Home Resident Meal Service Satisfaction and Nutritional Status,” </w:t>
      </w:r>
      <w:r w:rsidRPr="00D577C5">
        <w:rPr>
          <w:rFonts w:eastAsia="DengXian"/>
          <w:i/>
          <w:spacing w:val="-2"/>
        </w:rPr>
        <w:t xml:space="preserve">Journal of </w:t>
      </w:r>
      <w:proofErr w:type="spellStart"/>
      <w:r w:rsidRPr="00D577C5">
        <w:rPr>
          <w:rFonts w:eastAsia="DengXian"/>
          <w:i/>
          <w:spacing w:val="-2"/>
        </w:rPr>
        <w:t>Gerontological</w:t>
      </w:r>
      <w:proofErr w:type="spellEnd"/>
      <w:r w:rsidRPr="00D577C5">
        <w:rPr>
          <w:rFonts w:eastAsia="DengXian"/>
          <w:i/>
          <w:spacing w:val="-2"/>
        </w:rPr>
        <w:t xml:space="preserve"> Nursing</w:t>
      </w:r>
      <w:r w:rsidRPr="00D577C5">
        <w:rPr>
          <w:rFonts w:eastAsia="DengXian"/>
          <w:spacing w:val="-2"/>
        </w:rPr>
        <w:t xml:space="preserve"> 39, no. 5 (2013): 1–8.</w:t>
      </w:r>
    </w:p>
  </w:endnote>
  <w:endnote w:id="14">
    <w:p w14:paraId="4CEBD16C" w14:textId="11A511D3" w:rsidR="006674FB" w:rsidRPr="00D577C5" w:rsidRDefault="006674FB" w:rsidP="0045624B">
      <w:pPr>
        <w:pStyle w:val="Footnote"/>
        <w:rPr>
          <w:rFonts w:eastAsia="DengXian"/>
          <w:spacing w:val="-2"/>
        </w:rPr>
      </w:pPr>
      <w:r w:rsidRPr="00370ECF">
        <w:rPr>
          <w:rStyle w:val="EndnoteReference"/>
        </w:rPr>
        <w:endnoteRef/>
      </w:r>
      <w:r w:rsidRPr="00D577C5">
        <w:rPr>
          <w:spacing w:val="-2"/>
        </w:rPr>
        <w:t xml:space="preserve"> </w:t>
      </w:r>
      <w:r w:rsidRPr="00D577C5">
        <w:rPr>
          <w:rFonts w:eastAsia="DengXian"/>
          <w:spacing w:val="-2"/>
        </w:rPr>
        <w:t xml:space="preserve">Neva </w:t>
      </w:r>
      <w:proofErr w:type="spellStart"/>
      <w:r w:rsidRPr="00D577C5">
        <w:rPr>
          <w:rFonts w:eastAsia="DengXian"/>
          <w:spacing w:val="-2"/>
        </w:rPr>
        <w:t>Crogan</w:t>
      </w:r>
      <w:proofErr w:type="spellEnd"/>
      <w:r w:rsidRPr="00D577C5">
        <w:rPr>
          <w:rFonts w:eastAsia="DengXian"/>
          <w:spacing w:val="-2"/>
        </w:rPr>
        <w:t xml:space="preserve">, </w:t>
      </w:r>
      <w:proofErr w:type="spellStart"/>
      <w:r w:rsidRPr="00D577C5">
        <w:rPr>
          <w:rFonts w:eastAsia="DengXian"/>
          <w:spacing w:val="-2"/>
        </w:rPr>
        <w:t>Bronwynne</w:t>
      </w:r>
      <w:proofErr w:type="spellEnd"/>
      <w:r w:rsidRPr="00D577C5">
        <w:rPr>
          <w:rFonts w:eastAsia="DengXian"/>
          <w:spacing w:val="-2"/>
        </w:rPr>
        <w:t xml:space="preserve"> Evans, and Donna Velasquez, “Measuring Nursing Home Resident Satisfaction with Food and Food Service: Initial Testing of the </w:t>
      </w:r>
      <w:proofErr w:type="spellStart"/>
      <w:r w:rsidRPr="00D577C5">
        <w:rPr>
          <w:rFonts w:eastAsia="DengXian"/>
          <w:spacing w:val="-2"/>
        </w:rPr>
        <w:t>FoodEx</w:t>
      </w:r>
      <w:proofErr w:type="spellEnd"/>
      <w:r w:rsidRPr="00D577C5">
        <w:rPr>
          <w:rFonts w:eastAsia="DengXian"/>
          <w:spacing w:val="-2"/>
        </w:rPr>
        <w:t xml:space="preserve">-LTC,” </w:t>
      </w:r>
      <w:r w:rsidRPr="00D577C5">
        <w:rPr>
          <w:rFonts w:eastAsia="DengXian"/>
          <w:i/>
          <w:spacing w:val="-2"/>
        </w:rPr>
        <w:t>Journals of Gerontology: Series A</w:t>
      </w:r>
      <w:r w:rsidRPr="00D577C5">
        <w:rPr>
          <w:rFonts w:eastAsia="DengXian"/>
          <w:spacing w:val="-2"/>
        </w:rPr>
        <w:t>, 59, no. 4 (2004): M370–M377.</w:t>
      </w:r>
    </w:p>
  </w:endnote>
  <w:endnote w:id="15">
    <w:p w14:paraId="0DCE085C" w14:textId="6B6DD15D"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rFonts w:eastAsia="DengXian"/>
          <w:spacing w:val="-2"/>
        </w:rPr>
        <w:t xml:space="preserve">Karen L. Abbey, Olivia R. L. Wright, and Sandra Capra, “Menu Planning in Residential Aged Care—The Level of Choice and Quality of Planning of Meals Available to Residents,” </w:t>
      </w:r>
      <w:r w:rsidRPr="00D577C5">
        <w:rPr>
          <w:rFonts w:eastAsia="DengXian"/>
          <w:i/>
          <w:spacing w:val="-2"/>
        </w:rPr>
        <w:t>Nutrients</w:t>
      </w:r>
      <w:r w:rsidRPr="00D577C5">
        <w:rPr>
          <w:rFonts w:eastAsia="DengXian"/>
          <w:spacing w:val="-2"/>
        </w:rPr>
        <w:t xml:space="preserve"> (2015): 7,580</w:t>
      </w:r>
      <w:r>
        <w:rPr>
          <w:rFonts w:eastAsia="DengXian"/>
          <w:spacing w:val="-2"/>
        </w:rPr>
        <w:t>–</w:t>
      </w:r>
      <w:r w:rsidRPr="00D577C5">
        <w:rPr>
          <w:rFonts w:eastAsia="DengXian"/>
          <w:spacing w:val="-2"/>
        </w:rPr>
        <w:t>7,592.</w:t>
      </w:r>
    </w:p>
  </w:endnote>
  <w:endnote w:id="16">
    <w:p w14:paraId="34236905" w14:textId="05E60DA1"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rFonts w:eastAsia="DengXian"/>
          <w:spacing w:val="-2"/>
        </w:rPr>
        <w:t>Ibid.</w:t>
      </w:r>
    </w:p>
  </w:endnote>
  <w:endnote w:id="17">
    <w:p w14:paraId="4D80B61D" w14:textId="17F052A4" w:rsidR="006674FB" w:rsidRPr="00D577C5" w:rsidRDefault="006674FB" w:rsidP="0045624B">
      <w:pPr>
        <w:pStyle w:val="Footnote"/>
        <w:rPr>
          <w:spacing w:val="-2"/>
        </w:rPr>
      </w:pPr>
      <w:r w:rsidRPr="00370ECF">
        <w:rPr>
          <w:rStyle w:val="EndnoteReference"/>
        </w:rPr>
        <w:endnoteRef/>
      </w:r>
      <w:r w:rsidRPr="00D577C5">
        <w:rPr>
          <w:spacing w:val="-2"/>
        </w:rPr>
        <w:t xml:space="preserve"> “Nursing Home Capacity and Demand,” Ministry of Health, February 7, 2017, accessed July 30, 2018, www.moh.gov.sg/news-highlights/details/nursing-home-capacity-and-demand.</w:t>
      </w:r>
    </w:p>
  </w:endnote>
  <w:endnote w:id="18">
    <w:p w14:paraId="5DD75372" w14:textId="3B4CB4F2" w:rsidR="006674FB" w:rsidRPr="00D577C5" w:rsidRDefault="006674FB" w:rsidP="0045624B">
      <w:pPr>
        <w:pStyle w:val="Footnote"/>
        <w:rPr>
          <w:spacing w:val="-2"/>
        </w:rPr>
      </w:pPr>
      <w:r w:rsidRPr="00370ECF">
        <w:rPr>
          <w:rStyle w:val="EndnoteReference"/>
        </w:rPr>
        <w:endnoteRef/>
      </w:r>
      <w:r w:rsidRPr="00D577C5">
        <w:rPr>
          <w:spacing w:val="-2"/>
        </w:rPr>
        <w:t xml:space="preserve"> </w:t>
      </w:r>
      <w:proofErr w:type="spellStart"/>
      <w:r w:rsidRPr="00D577C5">
        <w:rPr>
          <w:spacing w:val="-2"/>
        </w:rPr>
        <w:t>Radha</w:t>
      </w:r>
      <w:proofErr w:type="spellEnd"/>
      <w:r w:rsidRPr="00D577C5">
        <w:rPr>
          <w:spacing w:val="-2"/>
        </w:rPr>
        <w:t xml:space="preserve"> Basu, </w:t>
      </w:r>
      <w:r w:rsidRPr="00D577C5">
        <w:rPr>
          <w:i/>
          <w:spacing w:val="-2"/>
        </w:rPr>
        <w:t xml:space="preserve">Safe </w:t>
      </w:r>
      <w:proofErr w:type="gramStart"/>
      <w:r>
        <w:rPr>
          <w:i/>
          <w:spacing w:val="-2"/>
        </w:rPr>
        <w:t>B</w:t>
      </w:r>
      <w:r w:rsidRPr="00D577C5">
        <w:rPr>
          <w:i/>
          <w:spacing w:val="-2"/>
        </w:rPr>
        <w:t>ut</w:t>
      </w:r>
      <w:proofErr w:type="gramEnd"/>
      <w:r w:rsidRPr="00D577C5">
        <w:rPr>
          <w:i/>
          <w:spacing w:val="-2"/>
        </w:rPr>
        <w:t xml:space="preserve"> Soulless: Nursing Homes Need a New Narrative</w:t>
      </w:r>
      <w:r w:rsidRPr="00D577C5">
        <w:rPr>
          <w:spacing w:val="-2"/>
        </w:rPr>
        <w:t xml:space="preserve"> (Singapore: Lien Foundation, 2016), accessed July 30, 2018, www.lienfoundation.org/sites/default/files/SafebutSoulless_0.pdf.</w:t>
      </w:r>
    </w:p>
  </w:endnote>
  <w:endnote w:id="19">
    <w:p w14:paraId="28A91F3F" w14:textId="7053B313" w:rsidR="006674FB" w:rsidRPr="00D577C5" w:rsidRDefault="006674FB" w:rsidP="0045624B">
      <w:pPr>
        <w:pStyle w:val="Footnote"/>
        <w:rPr>
          <w:spacing w:val="-2"/>
        </w:rPr>
      </w:pPr>
      <w:r w:rsidRPr="00370ECF">
        <w:rPr>
          <w:rStyle w:val="EndnoteReference"/>
        </w:rPr>
        <w:endnoteRef/>
      </w:r>
      <w:r w:rsidRPr="00D577C5">
        <w:rPr>
          <w:spacing w:val="-2"/>
        </w:rPr>
        <w:t xml:space="preserve"> Ibid</w:t>
      </w:r>
      <w:r>
        <w:rPr>
          <w:spacing w:val="-2"/>
        </w:rPr>
        <w:t>.</w:t>
      </w:r>
    </w:p>
  </w:endnote>
  <w:endnote w:id="20">
    <w:p w14:paraId="7B207DC3" w14:textId="3108FACF" w:rsidR="006674FB" w:rsidRPr="00D577C5" w:rsidRDefault="006674FB" w:rsidP="0045624B">
      <w:pPr>
        <w:pStyle w:val="Footnote"/>
        <w:rPr>
          <w:spacing w:val="-2"/>
        </w:rPr>
      </w:pPr>
      <w:r w:rsidRPr="00370ECF">
        <w:rPr>
          <w:rStyle w:val="EndnoteReference"/>
        </w:rPr>
        <w:endnoteRef/>
      </w:r>
      <w:r w:rsidRPr="00D577C5">
        <w:rPr>
          <w:spacing w:val="-2"/>
        </w:rPr>
        <w:t xml:space="preserve"> “</w:t>
      </w:r>
      <w:proofErr w:type="spellStart"/>
      <w:r w:rsidRPr="00D577C5">
        <w:rPr>
          <w:spacing w:val="-2"/>
        </w:rPr>
        <w:t>Samsui</w:t>
      </w:r>
      <w:proofErr w:type="spellEnd"/>
      <w:r w:rsidRPr="00D577C5">
        <w:rPr>
          <w:spacing w:val="-2"/>
        </w:rPr>
        <w:t xml:space="preserve"> Supplies and Standard Chartered Launched Singapore’s First Social Service System with Support of SCORE,” Soup Restaurant Group Limited, news release, October 13, 2017, accessed July 31, 2018, http://souprestaurant.listedcompany.com/newsroom/20171013_170841_5KI_Y4ZT9XXWSG9ZGRLH.1.pdf.</w:t>
      </w:r>
    </w:p>
  </w:endnote>
  <w:endnote w:id="21">
    <w:p w14:paraId="2885A5CA" w14:textId="5C841C5B" w:rsidR="006674FB" w:rsidRPr="00D577C5" w:rsidRDefault="006674FB" w:rsidP="0045624B">
      <w:pPr>
        <w:pStyle w:val="Footnote"/>
        <w:rPr>
          <w:color w:val="000000"/>
          <w:spacing w:val="-2"/>
        </w:rPr>
      </w:pPr>
      <w:r w:rsidRPr="00370ECF">
        <w:rPr>
          <w:rStyle w:val="EndnoteReference"/>
        </w:rPr>
        <w:endnoteRef/>
      </w:r>
      <w:r w:rsidRPr="00D577C5">
        <w:rPr>
          <w:spacing w:val="-2"/>
        </w:rPr>
        <w:t xml:space="preserve"> Grace Ma, “A Good Feed: </w:t>
      </w:r>
      <w:proofErr w:type="spellStart"/>
      <w:r w:rsidRPr="00D577C5">
        <w:rPr>
          <w:spacing w:val="-2"/>
        </w:rPr>
        <w:t>Samsui</w:t>
      </w:r>
      <w:proofErr w:type="spellEnd"/>
      <w:r w:rsidRPr="00D577C5">
        <w:rPr>
          <w:spacing w:val="-2"/>
        </w:rPr>
        <w:t xml:space="preserve"> Supplies Brings Healthy, Tasty Meals to VWOs,”</w:t>
      </w:r>
      <w:r>
        <w:rPr>
          <w:spacing w:val="-2"/>
        </w:rPr>
        <w:t xml:space="preserve"> </w:t>
      </w:r>
      <w:r w:rsidRPr="00D577C5">
        <w:rPr>
          <w:i/>
          <w:color w:val="000000"/>
          <w:spacing w:val="-2"/>
        </w:rPr>
        <w:t xml:space="preserve">Singapore </w:t>
      </w:r>
      <w:proofErr w:type="spellStart"/>
      <w:r w:rsidRPr="00D577C5">
        <w:rPr>
          <w:i/>
          <w:color w:val="000000"/>
          <w:spacing w:val="-2"/>
        </w:rPr>
        <w:t>Tatler</w:t>
      </w:r>
      <w:proofErr w:type="spellEnd"/>
      <w:r w:rsidRPr="00D577C5">
        <w:rPr>
          <w:color w:val="000000"/>
          <w:spacing w:val="-2"/>
        </w:rPr>
        <w:t>, February 1, 2017, accessed May 13, 2019, https://sg.asiatatler.com/life/a-good-feed.</w:t>
      </w:r>
    </w:p>
  </w:endnote>
  <w:endnote w:id="22">
    <w:p w14:paraId="0E40BA79" w14:textId="77777777" w:rsidR="006674FB" w:rsidRPr="00D577C5" w:rsidRDefault="006674FB" w:rsidP="00DE34F8">
      <w:pPr>
        <w:pStyle w:val="Footnote"/>
        <w:rPr>
          <w:spacing w:val="-2"/>
        </w:rPr>
      </w:pPr>
      <w:r w:rsidRPr="00370ECF">
        <w:rPr>
          <w:rStyle w:val="EndnoteReference"/>
        </w:rPr>
        <w:endnoteRef/>
      </w:r>
      <w:r w:rsidRPr="00D577C5">
        <w:rPr>
          <w:spacing w:val="-2"/>
        </w:rPr>
        <w:t xml:space="preserve"> </w:t>
      </w:r>
      <w:r w:rsidRPr="00D577C5">
        <w:rPr>
          <w:rFonts w:eastAsia="DengXian"/>
          <w:spacing w:val="-2"/>
        </w:rPr>
        <w:t xml:space="preserve">Karen L. Abbey, Olivia R. L. Wright, and Sandra Capra, op. </w:t>
      </w:r>
      <w:proofErr w:type="spellStart"/>
      <w:r w:rsidRPr="00D577C5">
        <w:rPr>
          <w:rFonts w:eastAsia="DengXian"/>
          <w:spacing w:val="-2"/>
        </w:rPr>
        <w:t>cit</w:t>
      </w:r>
      <w:proofErr w:type="spellEnd"/>
    </w:p>
  </w:endnote>
  <w:endnote w:id="23">
    <w:p w14:paraId="765B74E9" w14:textId="2A34B042" w:rsidR="006674FB" w:rsidRPr="00D577C5" w:rsidRDefault="006674FB" w:rsidP="0045624B">
      <w:pPr>
        <w:pStyle w:val="Footnote"/>
        <w:rPr>
          <w:spacing w:val="-2"/>
        </w:rPr>
      </w:pPr>
      <w:r w:rsidRPr="00370ECF">
        <w:rPr>
          <w:rStyle w:val="EndnoteReference"/>
        </w:rPr>
        <w:endnoteRef/>
      </w:r>
      <w:r w:rsidRPr="00D577C5">
        <w:rPr>
          <w:spacing w:val="-2"/>
        </w:rPr>
        <w:t xml:space="preserve"> Grace Ma, op. cit.</w:t>
      </w:r>
      <w:r>
        <w:rPr>
          <w:spacing w:val="-2"/>
        </w:rPr>
        <w:t xml:space="preserve"> </w:t>
      </w:r>
    </w:p>
  </w:endnote>
  <w:endnote w:id="24">
    <w:p w14:paraId="2DA111D8" w14:textId="46B0B303" w:rsidR="006674FB" w:rsidRPr="00D577C5" w:rsidRDefault="006674FB" w:rsidP="0045624B">
      <w:pPr>
        <w:pStyle w:val="Footnote"/>
        <w:rPr>
          <w:spacing w:val="-2"/>
        </w:rPr>
      </w:pPr>
      <w:r w:rsidRPr="00370ECF">
        <w:rPr>
          <w:rStyle w:val="EndnoteReference"/>
        </w:rPr>
        <w:endnoteRef/>
      </w:r>
      <w:r w:rsidRPr="00D577C5">
        <w:rPr>
          <w:spacing w:val="-2"/>
        </w:rPr>
        <w:t xml:space="preserve"> Sue-Ann </w:t>
      </w:r>
      <w:proofErr w:type="spellStart"/>
      <w:r w:rsidRPr="00D577C5">
        <w:rPr>
          <w:spacing w:val="-2"/>
        </w:rPr>
        <w:t>Cheow</w:t>
      </w:r>
      <w:proofErr w:type="spellEnd"/>
      <w:r w:rsidRPr="00D577C5">
        <w:rPr>
          <w:spacing w:val="-2"/>
        </w:rPr>
        <w:t>, op. cit.</w:t>
      </w:r>
      <w:r>
        <w:rPr>
          <w:spacing w:val="-2"/>
        </w:rPr>
        <w:t xml:space="preserve"> </w:t>
      </w:r>
    </w:p>
  </w:endnote>
  <w:endnote w:id="25">
    <w:p w14:paraId="17366769" w14:textId="2FA4D4E4" w:rsidR="006674FB" w:rsidRPr="00D577C5" w:rsidRDefault="006674FB" w:rsidP="0045624B">
      <w:pPr>
        <w:pStyle w:val="Footnote"/>
        <w:rPr>
          <w:spacing w:val="-2"/>
        </w:rPr>
      </w:pPr>
      <w:r w:rsidRPr="00370ECF">
        <w:rPr>
          <w:rStyle w:val="EndnoteReference"/>
        </w:rPr>
        <w:endnoteRef/>
      </w:r>
      <w:r w:rsidRPr="00D577C5">
        <w:rPr>
          <w:spacing w:val="-2"/>
        </w:rPr>
        <w:t xml:space="preserve"> “Nursing Home Capacity and Demand,” op. cit. </w:t>
      </w:r>
    </w:p>
  </w:endnote>
  <w:endnote w:id="26">
    <w:p w14:paraId="1D29D5C1" w14:textId="5C877C22" w:rsidR="006674FB" w:rsidRPr="00D577C5" w:rsidRDefault="006674FB" w:rsidP="0045624B">
      <w:pPr>
        <w:pStyle w:val="Footnote"/>
        <w:rPr>
          <w:spacing w:val="-2"/>
        </w:rPr>
      </w:pPr>
      <w:r w:rsidRPr="00370ECF">
        <w:rPr>
          <w:rStyle w:val="EndnoteReference"/>
        </w:rPr>
        <w:endnoteRef/>
      </w:r>
      <w:r w:rsidRPr="00D577C5">
        <w:rPr>
          <w:spacing w:val="-2"/>
        </w:rPr>
        <w:t xml:space="preserve"> </w:t>
      </w:r>
      <w:proofErr w:type="spellStart"/>
      <w:r w:rsidRPr="00D577C5">
        <w:rPr>
          <w:spacing w:val="-2"/>
        </w:rPr>
        <w:t>Laksa</w:t>
      </w:r>
      <w:proofErr w:type="spellEnd"/>
      <w:r w:rsidRPr="00D577C5">
        <w:rPr>
          <w:spacing w:val="-2"/>
        </w:rPr>
        <w:t xml:space="preserve"> was a spiced seafood noodle broth typically made from shrimp and coconut milk.</w:t>
      </w:r>
    </w:p>
  </w:endnote>
  <w:endnote w:id="27">
    <w:p w14:paraId="68F9FFD6" w14:textId="24D50798" w:rsidR="006674FB" w:rsidRPr="00D577C5" w:rsidRDefault="006674FB" w:rsidP="0045624B">
      <w:pPr>
        <w:pStyle w:val="Footnote"/>
        <w:rPr>
          <w:spacing w:val="-2"/>
        </w:rPr>
      </w:pPr>
      <w:r w:rsidRPr="00370ECF">
        <w:rPr>
          <w:rStyle w:val="EndnoteReference"/>
        </w:rPr>
        <w:endnoteRef/>
      </w:r>
      <w:r w:rsidRPr="00D577C5">
        <w:rPr>
          <w:spacing w:val="-2"/>
        </w:rPr>
        <w:t xml:space="preserve"> “Company of Good,” National Volunteer and Philanthropy Centre, accessed July 31, 2018, www.nvpc.org.sg/programmes/company-of-good.</w:t>
      </w:r>
    </w:p>
  </w:endnote>
  <w:endnote w:id="28">
    <w:p w14:paraId="59D8B3D2" w14:textId="5D8F7D41" w:rsidR="006674FB" w:rsidRPr="00D577C5" w:rsidRDefault="006674FB" w:rsidP="0045624B">
      <w:pPr>
        <w:pStyle w:val="Footnote"/>
        <w:rPr>
          <w:spacing w:val="-2"/>
          <w:lang w:val="en-SG"/>
        </w:rPr>
      </w:pPr>
      <w:r w:rsidRPr="00370ECF">
        <w:rPr>
          <w:rStyle w:val="EndnoteReference"/>
        </w:rPr>
        <w:endnoteRef/>
      </w:r>
      <w:r w:rsidRPr="00D577C5">
        <w:rPr>
          <w:spacing w:val="-2"/>
        </w:rPr>
        <w:t xml:space="preserve"> </w:t>
      </w:r>
      <w:r w:rsidRPr="00D577C5">
        <w:rPr>
          <w:spacing w:val="-2"/>
          <w:lang w:eastAsia="en-GB"/>
        </w:rPr>
        <w:t xml:space="preserve">Jorge Gomes and </w:t>
      </w:r>
      <w:proofErr w:type="spellStart"/>
      <w:r w:rsidRPr="00D577C5">
        <w:rPr>
          <w:spacing w:val="-2"/>
          <w:lang w:eastAsia="en-GB"/>
        </w:rPr>
        <w:t>Mário</w:t>
      </w:r>
      <w:proofErr w:type="spellEnd"/>
      <w:r w:rsidRPr="00D577C5">
        <w:rPr>
          <w:spacing w:val="-2"/>
          <w:lang w:eastAsia="en-GB"/>
        </w:rPr>
        <w:t xml:space="preserve"> </w:t>
      </w:r>
      <w:proofErr w:type="spellStart"/>
      <w:r w:rsidRPr="00D577C5">
        <w:rPr>
          <w:spacing w:val="-2"/>
          <w:lang w:eastAsia="en-GB"/>
        </w:rPr>
        <w:t>Romão</w:t>
      </w:r>
      <w:proofErr w:type="spellEnd"/>
      <w:r w:rsidRPr="00D577C5">
        <w:rPr>
          <w:spacing w:val="-2"/>
          <w:lang w:eastAsia="en-GB"/>
        </w:rPr>
        <w:t xml:space="preserve">, “Gaining Competitive Advantage through the Balanced Scorecard,” </w:t>
      </w:r>
      <w:proofErr w:type="spellStart"/>
      <w:r w:rsidRPr="00D577C5">
        <w:rPr>
          <w:i/>
          <w:spacing w:val="-2"/>
          <w:lang w:eastAsia="en-GB"/>
        </w:rPr>
        <w:t>Encyclopedia</w:t>
      </w:r>
      <w:proofErr w:type="spellEnd"/>
      <w:r w:rsidRPr="00D577C5">
        <w:rPr>
          <w:i/>
          <w:spacing w:val="-2"/>
          <w:lang w:eastAsia="en-GB"/>
        </w:rPr>
        <w:t xml:space="preserve"> of Information Science and Technology</w:t>
      </w:r>
      <w:r w:rsidRPr="00D577C5">
        <w:rPr>
          <w:spacing w:val="-2"/>
          <w:lang w:eastAsia="en-GB"/>
        </w:rPr>
        <w:t>, 3rd ed., accessed May 13, 2019, doi:10.4018/978-1-4666-5888-2.ch498.</w:t>
      </w:r>
    </w:p>
  </w:endnote>
  <w:endnote w:id="29">
    <w:p w14:paraId="69775B86" w14:textId="206F15E6" w:rsidR="006674FB" w:rsidRPr="00D577C5" w:rsidRDefault="006674FB" w:rsidP="0045624B">
      <w:pPr>
        <w:pStyle w:val="Footnote"/>
        <w:rPr>
          <w:spacing w:val="-2"/>
        </w:rPr>
      </w:pPr>
      <w:r w:rsidRPr="00370ECF">
        <w:rPr>
          <w:rStyle w:val="EndnoteReference"/>
        </w:rPr>
        <w:endnoteRef/>
      </w:r>
      <w:r w:rsidRPr="00D577C5">
        <w:rPr>
          <w:spacing w:val="-2"/>
        </w:rPr>
        <w:t xml:space="preserve"> </w:t>
      </w:r>
      <w:r w:rsidRPr="00D577C5">
        <w:rPr>
          <w:spacing w:val="-2"/>
          <w:lang w:eastAsia="en-GB"/>
        </w:rPr>
        <w:t xml:space="preserve">“Is It Worth It? How to Measure Social Return on Investment,” Deloitte </w:t>
      </w:r>
      <w:proofErr w:type="spellStart"/>
      <w:r w:rsidRPr="00D577C5">
        <w:rPr>
          <w:spacing w:val="-2"/>
          <w:lang w:eastAsia="en-GB"/>
        </w:rPr>
        <w:t>Touche</w:t>
      </w:r>
      <w:proofErr w:type="spellEnd"/>
      <w:r w:rsidRPr="00D577C5">
        <w:rPr>
          <w:spacing w:val="-2"/>
          <w:lang w:eastAsia="en-GB"/>
        </w:rPr>
        <w:t xml:space="preserve"> Tohmatsu Limited, January 2015,</w:t>
      </w:r>
      <w:r w:rsidRPr="00D577C5">
        <w:rPr>
          <w:spacing w:val="-2"/>
        </w:rPr>
        <w:t xml:space="preserve"> accessed May 13, 2019, </w:t>
      </w:r>
      <w:r w:rsidRPr="00D577C5">
        <w:rPr>
          <w:spacing w:val="-2"/>
          <w:lang w:eastAsia="en-GB"/>
        </w:rPr>
        <w:t>www2.deloitte.com/content/dam/Deloitte/global/Documents/gx-is-it-worth-it.pdf.</w:t>
      </w:r>
    </w:p>
  </w:endnote>
  <w:endnote w:id="30">
    <w:p w14:paraId="22FF1486" w14:textId="138E51FB" w:rsidR="006674FB" w:rsidRPr="00D577C5" w:rsidRDefault="006674FB" w:rsidP="0045624B">
      <w:pPr>
        <w:pStyle w:val="Footnote"/>
        <w:rPr>
          <w:spacing w:val="-2"/>
        </w:rPr>
      </w:pPr>
      <w:r w:rsidRPr="00370ECF">
        <w:rPr>
          <w:rStyle w:val="EndnoteReference"/>
        </w:rPr>
        <w:endnoteRef/>
      </w:r>
      <w:r w:rsidRPr="00D577C5">
        <w:rPr>
          <w:spacing w:val="-2"/>
        </w:rPr>
        <w:t xml:space="preserve"> World Health Organization, </w:t>
      </w:r>
      <w:r w:rsidRPr="00D577C5">
        <w:rPr>
          <w:i/>
          <w:spacing w:val="-2"/>
        </w:rPr>
        <w:t>Measuring Quality of Life: The World Health Organization Quality of Life Instruments</w:t>
      </w:r>
      <w:r w:rsidRPr="00D577C5">
        <w:rPr>
          <w:spacing w:val="-2"/>
        </w:rPr>
        <w:t>, 1, accessed April 10, 2019, www.who.int/mental_health/media/68.pdf.</w:t>
      </w:r>
    </w:p>
  </w:endnote>
  <w:endnote w:id="31">
    <w:p w14:paraId="2EC32149" w14:textId="3BF89157" w:rsidR="006674FB" w:rsidRPr="00D577C5" w:rsidRDefault="006674FB" w:rsidP="0045624B">
      <w:pPr>
        <w:pStyle w:val="Footnote"/>
        <w:rPr>
          <w:color w:val="222222"/>
          <w:spacing w:val="-2"/>
          <w:lang w:eastAsia="en-GB"/>
        </w:rPr>
      </w:pPr>
      <w:r w:rsidRPr="00370ECF">
        <w:rPr>
          <w:rStyle w:val="EndnoteReference"/>
        </w:rPr>
        <w:endnoteRef/>
      </w:r>
      <w:r w:rsidRPr="00D577C5">
        <w:rPr>
          <w:spacing w:val="-2"/>
        </w:rPr>
        <w:t xml:space="preserve"> </w:t>
      </w:r>
      <w:r w:rsidRPr="00D577C5">
        <w:rPr>
          <w:color w:val="222222"/>
          <w:spacing w:val="-2"/>
          <w:lang w:eastAsia="en-GB"/>
        </w:rPr>
        <w:t>“W.K. Kellogg Foundation Logic Model Development Guide,”</w:t>
      </w:r>
      <w:r w:rsidRPr="00D577C5">
        <w:rPr>
          <w:spacing w:val="-2"/>
        </w:rPr>
        <w:t xml:space="preserve"> </w:t>
      </w:r>
      <w:r w:rsidRPr="00D577C5">
        <w:rPr>
          <w:color w:val="222222"/>
          <w:spacing w:val="-2"/>
          <w:lang w:eastAsia="en-GB"/>
        </w:rPr>
        <w:t xml:space="preserve">W.K. Kellogg Foundation, </w:t>
      </w:r>
      <w:r w:rsidRPr="00D577C5">
        <w:rPr>
          <w:spacing w:val="-2"/>
        </w:rPr>
        <w:t>accessed April 10, 2019, www.wkkf.org/resource-directory/resource/2006/02/wk-kellogg-foundation-logic-model-development-guide</w:t>
      </w:r>
      <w:r w:rsidRPr="00D577C5">
        <w:rPr>
          <w:color w:val="222222"/>
          <w:spacing w:val="-2"/>
          <w:lang w:eastAsia="en-GB"/>
        </w:rPr>
        <w:t>.</w:t>
      </w:r>
    </w:p>
  </w:endnote>
  <w:endnote w:id="32">
    <w:p w14:paraId="0EE0C7BD" w14:textId="2CE9EBFB" w:rsidR="006674FB" w:rsidRPr="00D577C5" w:rsidRDefault="006674FB" w:rsidP="0045624B">
      <w:pPr>
        <w:pStyle w:val="Footnote"/>
        <w:rPr>
          <w:spacing w:val="-2"/>
        </w:rPr>
      </w:pPr>
      <w:r w:rsidRPr="00370ECF">
        <w:rPr>
          <w:rStyle w:val="EndnoteReference"/>
        </w:rPr>
        <w:endnoteRef/>
      </w:r>
      <w:r w:rsidRPr="00D577C5">
        <w:rPr>
          <w:spacing w:val="-2"/>
        </w:rPr>
        <w:t xml:space="preserve"> George T. Doran, “There’s </w:t>
      </w:r>
      <w:proofErr w:type="gramStart"/>
      <w:r w:rsidRPr="00D577C5">
        <w:rPr>
          <w:spacing w:val="-2"/>
        </w:rPr>
        <w:t>a</w:t>
      </w:r>
      <w:proofErr w:type="gramEnd"/>
      <w:r w:rsidRPr="00D577C5">
        <w:rPr>
          <w:spacing w:val="-2"/>
        </w:rPr>
        <w:t xml:space="preserve"> S.M.A.R.T. Way to Write Management’s Goals and Objectives,” </w:t>
      </w:r>
      <w:r w:rsidRPr="00D577C5">
        <w:rPr>
          <w:i/>
          <w:spacing w:val="-2"/>
        </w:rPr>
        <w:t>Management Review</w:t>
      </w:r>
      <w:r w:rsidRPr="00D577C5">
        <w:rPr>
          <w:spacing w:val="-2"/>
        </w:rPr>
        <w:t xml:space="preserve"> 70, no. 11 (1981): 35–36.</w:t>
      </w:r>
    </w:p>
  </w:endnote>
  <w:endnote w:id="33">
    <w:p w14:paraId="605B4572" w14:textId="419BBB20" w:rsidR="006674FB" w:rsidRPr="00D577C5" w:rsidRDefault="006674FB" w:rsidP="0045624B">
      <w:pPr>
        <w:pStyle w:val="Footnote"/>
        <w:rPr>
          <w:spacing w:val="-2"/>
          <w:lang w:eastAsia="en-GB"/>
        </w:rPr>
      </w:pPr>
      <w:r w:rsidRPr="00370ECF">
        <w:rPr>
          <w:rStyle w:val="EndnoteReference"/>
        </w:rPr>
        <w:endnoteRef/>
      </w:r>
      <w:r w:rsidRPr="00D577C5">
        <w:rPr>
          <w:spacing w:val="-2"/>
        </w:rPr>
        <w:t xml:space="preserve"> </w:t>
      </w:r>
      <w:r w:rsidRPr="00D577C5">
        <w:rPr>
          <w:spacing w:val="-2"/>
          <w:lang w:eastAsia="en-GB"/>
        </w:rPr>
        <w:t xml:space="preserve">“Is It Worth It? How to Measure Social Return on Investment,” op. cit. </w:t>
      </w:r>
    </w:p>
  </w:endnote>
  <w:endnote w:id="34">
    <w:p w14:paraId="28841190" w14:textId="70182077" w:rsidR="006674FB" w:rsidRPr="00D577C5" w:rsidRDefault="006674FB" w:rsidP="0045624B">
      <w:pPr>
        <w:pStyle w:val="Footnote"/>
        <w:rPr>
          <w:spacing w:val="-2"/>
          <w:lang w:eastAsia="en-GB"/>
        </w:rPr>
      </w:pPr>
      <w:r w:rsidRPr="00370ECF">
        <w:rPr>
          <w:rStyle w:val="EndnoteReference"/>
        </w:rPr>
        <w:endnoteRef/>
      </w:r>
      <w:r w:rsidRPr="00D577C5">
        <w:rPr>
          <w:spacing w:val="-2"/>
        </w:rPr>
        <w:t xml:space="preserve"> </w:t>
      </w:r>
      <w:r w:rsidRPr="00D577C5">
        <w:rPr>
          <w:spacing w:val="-2"/>
          <w:lang w:eastAsia="en-GB"/>
        </w:rPr>
        <w:t xml:space="preserve">“Financial Care Service Matrix,” Agency for Integrated Care, November 18, 2016, </w:t>
      </w:r>
      <w:r w:rsidRPr="00D577C5">
        <w:rPr>
          <w:spacing w:val="-2"/>
        </w:rPr>
        <w:t>accessed May 13, 2019, www.aic.sg/sites/aicassets/AssetGallery/Factsheets/Factsheet%20%20ILTC%20Nutrition%20Movement%202016.pdf</w:t>
      </w:r>
      <w:r w:rsidRPr="00D577C5">
        <w:rPr>
          <w:spacing w:val="-2"/>
          <w:lang w:eastAsia="en-GB"/>
        </w:rPr>
        <w:t xml:space="preserve">; </w:t>
      </w:r>
      <w:r>
        <w:rPr>
          <w:spacing w:val="-2"/>
          <w:lang w:eastAsia="en-GB"/>
        </w:rPr>
        <w:t xml:space="preserve">and </w:t>
      </w:r>
      <w:proofErr w:type="spellStart"/>
      <w:r w:rsidRPr="00D577C5">
        <w:rPr>
          <w:spacing w:val="-2"/>
          <w:lang w:eastAsia="en-GB"/>
        </w:rPr>
        <w:t>Chian</w:t>
      </w:r>
      <w:proofErr w:type="spellEnd"/>
      <w:r w:rsidRPr="00D577C5">
        <w:rPr>
          <w:spacing w:val="-2"/>
          <w:lang w:eastAsia="en-GB"/>
        </w:rPr>
        <w:t xml:space="preserve"> Hui Poon, </w:t>
      </w:r>
      <w:r>
        <w:rPr>
          <w:spacing w:val="-2"/>
          <w:lang w:eastAsia="en-GB"/>
        </w:rPr>
        <w:t>op. cit</w:t>
      </w:r>
      <w:r w:rsidRPr="00D577C5">
        <w:rPr>
          <w:spacing w:val="-2"/>
          <w:lang w:eastAsia="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2093B" w14:textId="77777777" w:rsidR="006E2982" w:rsidRDefault="006E2982" w:rsidP="00D75295">
      <w:r>
        <w:separator/>
      </w:r>
    </w:p>
  </w:footnote>
  <w:footnote w:type="continuationSeparator" w:id="0">
    <w:p w14:paraId="46EDB229" w14:textId="77777777" w:rsidR="006E2982" w:rsidRDefault="006E298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16EFF22" w:rsidR="006674FB" w:rsidRPr="00C92CC4" w:rsidRDefault="006674F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4C62">
      <w:rPr>
        <w:rFonts w:ascii="Arial" w:hAnsi="Arial"/>
        <w:b/>
        <w:noProof/>
      </w:rPr>
      <w:t>9</w:t>
    </w:r>
    <w:r>
      <w:rPr>
        <w:rFonts w:ascii="Arial" w:hAnsi="Arial"/>
        <w:b/>
      </w:rPr>
      <w:fldChar w:fldCharType="end"/>
    </w:r>
    <w:r>
      <w:rPr>
        <w:rFonts w:ascii="Arial" w:hAnsi="Arial"/>
        <w:b/>
      </w:rPr>
      <w:tab/>
    </w:r>
    <w:r w:rsidR="006179A0">
      <w:rPr>
        <w:rFonts w:ascii="Arial" w:hAnsi="Arial"/>
        <w:b/>
      </w:rPr>
      <w:t>9B19M080</w:t>
    </w:r>
  </w:p>
  <w:p w14:paraId="2B53C0A0" w14:textId="77777777" w:rsidR="006674FB" w:rsidRDefault="006674FB" w:rsidP="00D13667">
    <w:pPr>
      <w:pStyle w:val="Header"/>
      <w:tabs>
        <w:tab w:val="clear" w:pos="4680"/>
      </w:tabs>
      <w:rPr>
        <w:sz w:val="18"/>
        <w:szCs w:val="18"/>
      </w:rPr>
    </w:pPr>
  </w:p>
  <w:p w14:paraId="47119730" w14:textId="77777777" w:rsidR="006674FB" w:rsidRPr="00C92CC4" w:rsidRDefault="006674FB" w:rsidP="00D1366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B25ED" w14:textId="332D577B" w:rsidR="006674FB" w:rsidRPr="00C92CC4" w:rsidRDefault="006674FB" w:rsidP="00813AC0">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513C">
      <w:rPr>
        <w:rFonts w:ascii="Arial" w:hAnsi="Arial"/>
        <w:b/>
        <w:noProof/>
      </w:rPr>
      <w:t>10</w:t>
    </w:r>
    <w:r>
      <w:rPr>
        <w:rFonts w:ascii="Arial" w:hAnsi="Arial"/>
        <w:b/>
      </w:rPr>
      <w:fldChar w:fldCharType="end"/>
    </w:r>
    <w:r>
      <w:rPr>
        <w:rFonts w:ascii="Arial" w:hAnsi="Arial"/>
        <w:b/>
      </w:rPr>
      <w:tab/>
    </w:r>
    <w:r w:rsidR="00CA3D37">
      <w:rPr>
        <w:rFonts w:ascii="Arial" w:hAnsi="Arial"/>
        <w:b/>
      </w:rPr>
      <w:t>9B19M080</w:t>
    </w:r>
  </w:p>
  <w:p w14:paraId="66BAAE44" w14:textId="77777777" w:rsidR="006674FB" w:rsidRDefault="006674FB" w:rsidP="00813AC0">
    <w:pPr>
      <w:pStyle w:val="Header"/>
      <w:tabs>
        <w:tab w:val="clear" w:pos="4680"/>
        <w:tab w:val="clear" w:pos="9360"/>
        <w:tab w:val="right" w:pos="12960"/>
      </w:tabs>
      <w:rPr>
        <w:sz w:val="18"/>
        <w:szCs w:val="18"/>
      </w:rPr>
    </w:pPr>
  </w:p>
  <w:p w14:paraId="22BC573F" w14:textId="77777777" w:rsidR="006674FB" w:rsidRPr="00C92CC4" w:rsidRDefault="006674FB" w:rsidP="00813AC0">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657F" w14:textId="1EF0A30E" w:rsidR="006674FB" w:rsidRPr="00C92CC4" w:rsidRDefault="006674FB" w:rsidP="00813AC0">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4C62">
      <w:rPr>
        <w:rFonts w:ascii="Arial" w:hAnsi="Arial"/>
        <w:b/>
        <w:noProof/>
      </w:rPr>
      <w:t>12</w:t>
    </w:r>
    <w:r>
      <w:rPr>
        <w:rFonts w:ascii="Arial" w:hAnsi="Arial"/>
        <w:b/>
      </w:rPr>
      <w:fldChar w:fldCharType="end"/>
    </w:r>
    <w:r>
      <w:rPr>
        <w:rFonts w:ascii="Arial" w:hAnsi="Arial"/>
        <w:b/>
      </w:rPr>
      <w:tab/>
    </w:r>
    <w:r w:rsidR="00CA3D37">
      <w:rPr>
        <w:rFonts w:ascii="Arial" w:hAnsi="Arial"/>
        <w:b/>
      </w:rPr>
      <w:t>9B19M080</w:t>
    </w:r>
  </w:p>
  <w:p w14:paraId="1B809EF8" w14:textId="77777777" w:rsidR="006674FB" w:rsidRDefault="006674FB" w:rsidP="00813AC0">
    <w:pPr>
      <w:pStyle w:val="Header"/>
      <w:tabs>
        <w:tab w:val="clear" w:pos="4680"/>
        <w:tab w:val="clear" w:pos="9360"/>
        <w:tab w:val="right" w:pos="12960"/>
      </w:tabs>
      <w:rPr>
        <w:sz w:val="18"/>
        <w:szCs w:val="18"/>
      </w:rPr>
    </w:pPr>
  </w:p>
  <w:p w14:paraId="305F3DCD" w14:textId="77777777" w:rsidR="006674FB" w:rsidRPr="00C92CC4" w:rsidRDefault="006674FB" w:rsidP="00813AC0">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10AB1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9C3D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87C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5AEA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30ED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3CA4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A42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6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B2B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407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593785"/>
    <w:multiLevelType w:val="multilevel"/>
    <w:tmpl w:val="7FE02C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BDB4B6F"/>
    <w:multiLevelType w:val="multilevel"/>
    <w:tmpl w:val="AF96A3AE"/>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CC610A3"/>
    <w:multiLevelType w:val="hybridMultilevel"/>
    <w:tmpl w:val="E05A6B72"/>
    <w:lvl w:ilvl="0" w:tplc="EEEC7CD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084F91"/>
    <w:multiLevelType w:val="hybridMultilevel"/>
    <w:tmpl w:val="7DD2476E"/>
    <w:lvl w:ilvl="0" w:tplc="EEEC7CD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2C15F7"/>
    <w:multiLevelType w:val="hybridMultilevel"/>
    <w:tmpl w:val="BA7A80D2"/>
    <w:lvl w:ilvl="0" w:tplc="EEEC7CD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938C6"/>
    <w:multiLevelType w:val="hybridMultilevel"/>
    <w:tmpl w:val="AF96A3AE"/>
    <w:lvl w:ilvl="0" w:tplc="EEEC7CDA">
      <w:start w:val="1"/>
      <w:numFmt w:val="decimal"/>
      <w:lvlText w:val="%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2A4803"/>
    <w:multiLevelType w:val="multilevel"/>
    <w:tmpl w:val="7DD2476E"/>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15"/>
  </w:num>
  <w:num w:numId="4">
    <w:abstractNumId w:val="26"/>
  </w:num>
  <w:num w:numId="5">
    <w:abstractNumId w:val="17"/>
  </w:num>
  <w:num w:numId="6">
    <w:abstractNumId w:val="24"/>
  </w:num>
  <w:num w:numId="7">
    <w:abstractNumId w:val="10"/>
  </w:num>
  <w:num w:numId="8">
    <w:abstractNumId w:val="28"/>
  </w:num>
  <w:num w:numId="9">
    <w:abstractNumId w:val="25"/>
  </w:num>
  <w:num w:numId="10">
    <w:abstractNumId w:val="14"/>
  </w:num>
  <w:num w:numId="11">
    <w:abstractNumId w:val="22"/>
  </w:num>
  <w:num w:numId="12">
    <w:abstractNumId w:val="2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16"/>
  </w:num>
  <w:num w:numId="24">
    <w:abstractNumId w:val="11"/>
  </w:num>
  <w:num w:numId="25">
    <w:abstractNumId w:val="21"/>
  </w:num>
  <w:num w:numId="26">
    <w:abstractNumId w:val="19"/>
  </w:num>
  <w:num w:numId="27">
    <w:abstractNumId w:val="12"/>
  </w:num>
  <w:num w:numId="28">
    <w:abstractNumId w:val="13"/>
  </w:num>
  <w:num w:numId="2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4096" w:nlCheck="1" w:checkStyle="0"/>
  <w:activeWritingStyle w:appName="MSWord" w:lang="en-CA" w:vendorID="64" w:dllVersion="4096" w:nlCheck="1" w:checkStyle="0"/>
  <w:activeWritingStyle w:appName="MSWord" w:lang="en-GB" w:vendorID="64" w:dllVersion="131078" w:nlCheck="1" w:checkStyle="1"/>
  <w:activeWritingStyle w:appName="MSWord" w:lang="en-CA"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2289"/>
  </w:hdrShapeDefaults>
  <w:footnotePr>
    <w:numFmt w:val="chicago"/>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WAFVersion" w:val="5.0"/>
  </w:docVars>
  <w:rsids>
    <w:rsidRoot w:val="008A4DC4"/>
    <w:rsid w:val="0000085A"/>
    <w:rsid w:val="000044BC"/>
    <w:rsid w:val="00012A2A"/>
    <w:rsid w:val="00013360"/>
    <w:rsid w:val="00013895"/>
    <w:rsid w:val="00016759"/>
    <w:rsid w:val="000216CE"/>
    <w:rsid w:val="00024ED4"/>
    <w:rsid w:val="00025DC7"/>
    <w:rsid w:val="0003044D"/>
    <w:rsid w:val="000355C9"/>
    <w:rsid w:val="00035F09"/>
    <w:rsid w:val="00044D70"/>
    <w:rsid w:val="00044ECC"/>
    <w:rsid w:val="000531D3"/>
    <w:rsid w:val="0005646B"/>
    <w:rsid w:val="00060C54"/>
    <w:rsid w:val="000615D1"/>
    <w:rsid w:val="000621F8"/>
    <w:rsid w:val="00076364"/>
    <w:rsid w:val="0008102D"/>
    <w:rsid w:val="000818AE"/>
    <w:rsid w:val="00086B26"/>
    <w:rsid w:val="0009239F"/>
    <w:rsid w:val="00094C0E"/>
    <w:rsid w:val="000962F6"/>
    <w:rsid w:val="00097233"/>
    <w:rsid w:val="000A146D"/>
    <w:rsid w:val="000B11B0"/>
    <w:rsid w:val="000C1630"/>
    <w:rsid w:val="000D132A"/>
    <w:rsid w:val="000D2A2F"/>
    <w:rsid w:val="000D2E38"/>
    <w:rsid w:val="000D47A4"/>
    <w:rsid w:val="000D7091"/>
    <w:rsid w:val="000E15FE"/>
    <w:rsid w:val="000E691C"/>
    <w:rsid w:val="000F0C22"/>
    <w:rsid w:val="000F6B09"/>
    <w:rsid w:val="000F6FDC"/>
    <w:rsid w:val="000F7CB0"/>
    <w:rsid w:val="00101516"/>
    <w:rsid w:val="00102580"/>
    <w:rsid w:val="00104567"/>
    <w:rsid w:val="00104916"/>
    <w:rsid w:val="00104AA7"/>
    <w:rsid w:val="00110C73"/>
    <w:rsid w:val="0011519B"/>
    <w:rsid w:val="00120F3D"/>
    <w:rsid w:val="00121A7E"/>
    <w:rsid w:val="0012732D"/>
    <w:rsid w:val="00137041"/>
    <w:rsid w:val="00143F25"/>
    <w:rsid w:val="0014516E"/>
    <w:rsid w:val="001460DC"/>
    <w:rsid w:val="00152682"/>
    <w:rsid w:val="00154FC9"/>
    <w:rsid w:val="00167C3C"/>
    <w:rsid w:val="0018570D"/>
    <w:rsid w:val="001901C0"/>
    <w:rsid w:val="001915C2"/>
    <w:rsid w:val="0019241A"/>
    <w:rsid w:val="00192A18"/>
    <w:rsid w:val="00192B78"/>
    <w:rsid w:val="00195EE0"/>
    <w:rsid w:val="001961B7"/>
    <w:rsid w:val="00196A73"/>
    <w:rsid w:val="001A0EFC"/>
    <w:rsid w:val="001A22D1"/>
    <w:rsid w:val="001A433A"/>
    <w:rsid w:val="001A752D"/>
    <w:rsid w:val="001A757E"/>
    <w:rsid w:val="001B5032"/>
    <w:rsid w:val="001B5C23"/>
    <w:rsid w:val="001C7777"/>
    <w:rsid w:val="001D17FD"/>
    <w:rsid w:val="001D344B"/>
    <w:rsid w:val="001E0553"/>
    <w:rsid w:val="001E0E1F"/>
    <w:rsid w:val="001E364F"/>
    <w:rsid w:val="001E509E"/>
    <w:rsid w:val="001E5F81"/>
    <w:rsid w:val="001F0B8F"/>
    <w:rsid w:val="001F3560"/>
    <w:rsid w:val="001F4222"/>
    <w:rsid w:val="001F6B2C"/>
    <w:rsid w:val="00202E37"/>
    <w:rsid w:val="00203AA1"/>
    <w:rsid w:val="00203F6F"/>
    <w:rsid w:val="00213B83"/>
    <w:rsid w:val="00213E98"/>
    <w:rsid w:val="00227666"/>
    <w:rsid w:val="00230150"/>
    <w:rsid w:val="0023081A"/>
    <w:rsid w:val="00231B8D"/>
    <w:rsid w:val="00233111"/>
    <w:rsid w:val="0023377E"/>
    <w:rsid w:val="00233927"/>
    <w:rsid w:val="00234A71"/>
    <w:rsid w:val="00236DCC"/>
    <w:rsid w:val="00241B95"/>
    <w:rsid w:val="002453BC"/>
    <w:rsid w:val="002473F0"/>
    <w:rsid w:val="00256A12"/>
    <w:rsid w:val="00257380"/>
    <w:rsid w:val="002608C5"/>
    <w:rsid w:val="00261060"/>
    <w:rsid w:val="00261A34"/>
    <w:rsid w:val="00265FA8"/>
    <w:rsid w:val="0028767D"/>
    <w:rsid w:val="00292CFB"/>
    <w:rsid w:val="00293011"/>
    <w:rsid w:val="00295151"/>
    <w:rsid w:val="002A019F"/>
    <w:rsid w:val="002A1733"/>
    <w:rsid w:val="002A35CC"/>
    <w:rsid w:val="002A5FEB"/>
    <w:rsid w:val="002A60F8"/>
    <w:rsid w:val="002B03C5"/>
    <w:rsid w:val="002B40FF"/>
    <w:rsid w:val="002B4CC0"/>
    <w:rsid w:val="002C2ED6"/>
    <w:rsid w:val="002C3375"/>
    <w:rsid w:val="002C4E29"/>
    <w:rsid w:val="002C6F3C"/>
    <w:rsid w:val="002E6085"/>
    <w:rsid w:val="002E7096"/>
    <w:rsid w:val="002F338C"/>
    <w:rsid w:val="002F3D72"/>
    <w:rsid w:val="002F460C"/>
    <w:rsid w:val="002F48D6"/>
    <w:rsid w:val="00315919"/>
    <w:rsid w:val="00317391"/>
    <w:rsid w:val="003238D2"/>
    <w:rsid w:val="00323A20"/>
    <w:rsid w:val="00323A31"/>
    <w:rsid w:val="00326216"/>
    <w:rsid w:val="00336580"/>
    <w:rsid w:val="00343C35"/>
    <w:rsid w:val="00351B65"/>
    <w:rsid w:val="00354899"/>
    <w:rsid w:val="00355FD6"/>
    <w:rsid w:val="00356E6F"/>
    <w:rsid w:val="00360398"/>
    <w:rsid w:val="00364A5C"/>
    <w:rsid w:val="00365B48"/>
    <w:rsid w:val="00366067"/>
    <w:rsid w:val="00366D33"/>
    <w:rsid w:val="003673E5"/>
    <w:rsid w:val="00370ECF"/>
    <w:rsid w:val="00373FB1"/>
    <w:rsid w:val="003742F6"/>
    <w:rsid w:val="003836C8"/>
    <w:rsid w:val="00385C25"/>
    <w:rsid w:val="00396C76"/>
    <w:rsid w:val="003B30D8"/>
    <w:rsid w:val="003B7CDB"/>
    <w:rsid w:val="003B7EF2"/>
    <w:rsid w:val="003C231B"/>
    <w:rsid w:val="003C2F43"/>
    <w:rsid w:val="003C3FA4"/>
    <w:rsid w:val="003D08D7"/>
    <w:rsid w:val="003D0BA1"/>
    <w:rsid w:val="003D6803"/>
    <w:rsid w:val="003D68C2"/>
    <w:rsid w:val="003D69CE"/>
    <w:rsid w:val="003E2520"/>
    <w:rsid w:val="003E5740"/>
    <w:rsid w:val="003F2B0C"/>
    <w:rsid w:val="00402AC9"/>
    <w:rsid w:val="00403DA9"/>
    <w:rsid w:val="00404F02"/>
    <w:rsid w:val="0040513C"/>
    <w:rsid w:val="004058BA"/>
    <w:rsid w:val="004105B2"/>
    <w:rsid w:val="0041145A"/>
    <w:rsid w:val="00412900"/>
    <w:rsid w:val="004167EB"/>
    <w:rsid w:val="004221E4"/>
    <w:rsid w:val="004273F8"/>
    <w:rsid w:val="004355A3"/>
    <w:rsid w:val="004369B6"/>
    <w:rsid w:val="00446546"/>
    <w:rsid w:val="00452769"/>
    <w:rsid w:val="00454FA7"/>
    <w:rsid w:val="0045624B"/>
    <w:rsid w:val="004567AB"/>
    <w:rsid w:val="004613A7"/>
    <w:rsid w:val="00463296"/>
    <w:rsid w:val="00465348"/>
    <w:rsid w:val="00472D0A"/>
    <w:rsid w:val="00490765"/>
    <w:rsid w:val="004966EC"/>
    <w:rsid w:val="004979A5"/>
    <w:rsid w:val="004A25E0"/>
    <w:rsid w:val="004B1CCB"/>
    <w:rsid w:val="004B24CE"/>
    <w:rsid w:val="004B632F"/>
    <w:rsid w:val="004B63F5"/>
    <w:rsid w:val="004C01F2"/>
    <w:rsid w:val="004C5224"/>
    <w:rsid w:val="004C5C4C"/>
    <w:rsid w:val="004C6B21"/>
    <w:rsid w:val="004D0E98"/>
    <w:rsid w:val="004D3FB1"/>
    <w:rsid w:val="004D6F21"/>
    <w:rsid w:val="004D73A5"/>
    <w:rsid w:val="004F4197"/>
    <w:rsid w:val="00503BA0"/>
    <w:rsid w:val="0050649E"/>
    <w:rsid w:val="00512D41"/>
    <w:rsid w:val="005160F1"/>
    <w:rsid w:val="0052446A"/>
    <w:rsid w:val="00524F2F"/>
    <w:rsid w:val="005262C4"/>
    <w:rsid w:val="0052685B"/>
    <w:rsid w:val="00527E5C"/>
    <w:rsid w:val="00532806"/>
    <w:rsid w:val="00532CF5"/>
    <w:rsid w:val="005426BC"/>
    <w:rsid w:val="005528CB"/>
    <w:rsid w:val="0055473E"/>
    <w:rsid w:val="00566771"/>
    <w:rsid w:val="005669B3"/>
    <w:rsid w:val="00566D31"/>
    <w:rsid w:val="00573A16"/>
    <w:rsid w:val="00580C3A"/>
    <w:rsid w:val="00581E2E"/>
    <w:rsid w:val="00584F15"/>
    <w:rsid w:val="0059457F"/>
    <w:rsid w:val="0059514B"/>
    <w:rsid w:val="005A1B0F"/>
    <w:rsid w:val="005A310B"/>
    <w:rsid w:val="005A36DD"/>
    <w:rsid w:val="005A4941"/>
    <w:rsid w:val="005B4CE6"/>
    <w:rsid w:val="005B5EFE"/>
    <w:rsid w:val="005B6793"/>
    <w:rsid w:val="005B7E25"/>
    <w:rsid w:val="005C1ABD"/>
    <w:rsid w:val="005D3959"/>
    <w:rsid w:val="005D48F7"/>
    <w:rsid w:val="005D4A06"/>
    <w:rsid w:val="005D5B88"/>
    <w:rsid w:val="005E7CCB"/>
    <w:rsid w:val="005F4ECA"/>
    <w:rsid w:val="006163F7"/>
    <w:rsid w:val="006179A0"/>
    <w:rsid w:val="00620603"/>
    <w:rsid w:val="00627C63"/>
    <w:rsid w:val="00632398"/>
    <w:rsid w:val="0063350B"/>
    <w:rsid w:val="00644D47"/>
    <w:rsid w:val="00652606"/>
    <w:rsid w:val="00661C31"/>
    <w:rsid w:val="006674FB"/>
    <w:rsid w:val="0068150B"/>
    <w:rsid w:val="00681841"/>
    <w:rsid w:val="006946EE"/>
    <w:rsid w:val="006A58A9"/>
    <w:rsid w:val="006A606D"/>
    <w:rsid w:val="006B14C9"/>
    <w:rsid w:val="006C0371"/>
    <w:rsid w:val="006C08B6"/>
    <w:rsid w:val="006C0A5B"/>
    <w:rsid w:val="006C0B1A"/>
    <w:rsid w:val="006C23C8"/>
    <w:rsid w:val="006C6065"/>
    <w:rsid w:val="006C68CE"/>
    <w:rsid w:val="006C7F9F"/>
    <w:rsid w:val="006D67FE"/>
    <w:rsid w:val="006E0CF9"/>
    <w:rsid w:val="006E2982"/>
    <w:rsid w:val="006E2F6D"/>
    <w:rsid w:val="006E58F6"/>
    <w:rsid w:val="006E5E50"/>
    <w:rsid w:val="006E77E1"/>
    <w:rsid w:val="006F0713"/>
    <w:rsid w:val="006F131D"/>
    <w:rsid w:val="006F6D05"/>
    <w:rsid w:val="00702EF2"/>
    <w:rsid w:val="00711642"/>
    <w:rsid w:val="007507C6"/>
    <w:rsid w:val="00751E0B"/>
    <w:rsid w:val="00752BCD"/>
    <w:rsid w:val="00764AB5"/>
    <w:rsid w:val="00764F2F"/>
    <w:rsid w:val="00766DA1"/>
    <w:rsid w:val="0077160D"/>
    <w:rsid w:val="00772407"/>
    <w:rsid w:val="00780D94"/>
    <w:rsid w:val="007836F3"/>
    <w:rsid w:val="007866A6"/>
    <w:rsid w:val="0079211D"/>
    <w:rsid w:val="007938F8"/>
    <w:rsid w:val="00797405"/>
    <w:rsid w:val="007A130D"/>
    <w:rsid w:val="007A67E8"/>
    <w:rsid w:val="007B66D8"/>
    <w:rsid w:val="007B6C22"/>
    <w:rsid w:val="007B7575"/>
    <w:rsid w:val="007D134B"/>
    <w:rsid w:val="007D1A2D"/>
    <w:rsid w:val="007D32E6"/>
    <w:rsid w:val="007D4102"/>
    <w:rsid w:val="007E0C1C"/>
    <w:rsid w:val="007E1B78"/>
    <w:rsid w:val="007E21EF"/>
    <w:rsid w:val="007E54A7"/>
    <w:rsid w:val="007F43B7"/>
    <w:rsid w:val="00801B71"/>
    <w:rsid w:val="00812F93"/>
    <w:rsid w:val="00813AC0"/>
    <w:rsid w:val="0081586C"/>
    <w:rsid w:val="00821FFC"/>
    <w:rsid w:val="008271CA"/>
    <w:rsid w:val="00834E70"/>
    <w:rsid w:val="00835D00"/>
    <w:rsid w:val="008467D5"/>
    <w:rsid w:val="00852548"/>
    <w:rsid w:val="00854AE1"/>
    <w:rsid w:val="00855B05"/>
    <w:rsid w:val="008808DF"/>
    <w:rsid w:val="00882B47"/>
    <w:rsid w:val="008851F5"/>
    <w:rsid w:val="00890A10"/>
    <w:rsid w:val="008A0AFA"/>
    <w:rsid w:val="008A1AFA"/>
    <w:rsid w:val="008A4DC4"/>
    <w:rsid w:val="008B438C"/>
    <w:rsid w:val="008C3D04"/>
    <w:rsid w:val="008C6946"/>
    <w:rsid w:val="008D06CA"/>
    <w:rsid w:val="008D3A46"/>
    <w:rsid w:val="008D4BA7"/>
    <w:rsid w:val="008E0D20"/>
    <w:rsid w:val="008E5163"/>
    <w:rsid w:val="008F07E4"/>
    <w:rsid w:val="008F2385"/>
    <w:rsid w:val="008F4A81"/>
    <w:rsid w:val="0090236B"/>
    <w:rsid w:val="009067A4"/>
    <w:rsid w:val="009073B7"/>
    <w:rsid w:val="00930885"/>
    <w:rsid w:val="00933D68"/>
    <w:rsid w:val="009340DB"/>
    <w:rsid w:val="00942FAD"/>
    <w:rsid w:val="009460E3"/>
    <w:rsid w:val="0094618C"/>
    <w:rsid w:val="009512A2"/>
    <w:rsid w:val="0095684B"/>
    <w:rsid w:val="00972346"/>
    <w:rsid w:val="00972498"/>
    <w:rsid w:val="0097481F"/>
    <w:rsid w:val="00974CC6"/>
    <w:rsid w:val="00975119"/>
    <w:rsid w:val="00976AD4"/>
    <w:rsid w:val="00983AFD"/>
    <w:rsid w:val="00984615"/>
    <w:rsid w:val="009934D7"/>
    <w:rsid w:val="00995547"/>
    <w:rsid w:val="009A312F"/>
    <w:rsid w:val="009A4111"/>
    <w:rsid w:val="009A5348"/>
    <w:rsid w:val="009B0AB7"/>
    <w:rsid w:val="009B276A"/>
    <w:rsid w:val="009B3403"/>
    <w:rsid w:val="009C0278"/>
    <w:rsid w:val="009C49BC"/>
    <w:rsid w:val="009C76D5"/>
    <w:rsid w:val="009D132C"/>
    <w:rsid w:val="009D6F22"/>
    <w:rsid w:val="009E4CFA"/>
    <w:rsid w:val="009E5642"/>
    <w:rsid w:val="009E5F27"/>
    <w:rsid w:val="009F7AA4"/>
    <w:rsid w:val="00A001AB"/>
    <w:rsid w:val="00A0299B"/>
    <w:rsid w:val="00A06613"/>
    <w:rsid w:val="00A10AD7"/>
    <w:rsid w:val="00A12653"/>
    <w:rsid w:val="00A323B0"/>
    <w:rsid w:val="00A32FF6"/>
    <w:rsid w:val="00A33CC7"/>
    <w:rsid w:val="00A375F3"/>
    <w:rsid w:val="00A46122"/>
    <w:rsid w:val="00A508CF"/>
    <w:rsid w:val="00A558CE"/>
    <w:rsid w:val="00A559DB"/>
    <w:rsid w:val="00A569EA"/>
    <w:rsid w:val="00A6234A"/>
    <w:rsid w:val="00A676A0"/>
    <w:rsid w:val="00A75681"/>
    <w:rsid w:val="00A7760C"/>
    <w:rsid w:val="00A904E9"/>
    <w:rsid w:val="00A94831"/>
    <w:rsid w:val="00AA073F"/>
    <w:rsid w:val="00AA0B38"/>
    <w:rsid w:val="00AC10F7"/>
    <w:rsid w:val="00AC753D"/>
    <w:rsid w:val="00AD07F9"/>
    <w:rsid w:val="00AD6E79"/>
    <w:rsid w:val="00AF35FC"/>
    <w:rsid w:val="00AF5556"/>
    <w:rsid w:val="00AF7001"/>
    <w:rsid w:val="00B003B6"/>
    <w:rsid w:val="00B03639"/>
    <w:rsid w:val="00B0652A"/>
    <w:rsid w:val="00B13B0A"/>
    <w:rsid w:val="00B15E8C"/>
    <w:rsid w:val="00B2595A"/>
    <w:rsid w:val="00B337E6"/>
    <w:rsid w:val="00B40937"/>
    <w:rsid w:val="00B423EF"/>
    <w:rsid w:val="00B453DE"/>
    <w:rsid w:val="00B62497"/>
    <w:rsid w:val="00B702B1"/>
    <w:rsid w:val="00B718D7"/>
    <w:rsid w:val="00B72597"/>
    <w:rsid w:val="00B73624"/>
    <w:rsid w:val="00B8783D"/>
    <w:rsid w:val="00B87DC0"/>
    <w:rsid w:val="00B901F9"/>
    <w:rsid w:val="00B94C62"/>
    <w:rsid w:val="00BA3D5E"/>
    <w:rsid w:val="00BA59AD"/>
    <w:rsid w:val="00BB459E"/>
    <w:rsid w:val="00BB709C"/>
    <w:rsid w:val="00BC3EDB"/>
    <w:rsid w:val="00BC4D98"/>
    <w:rsid w:val="00BD046D"/>
    <w:rsid w:val="00BD137A"/>
    <w:rsid w:val="00BD496F"/>
    <w:rsid w:val="00BD6EFB"/>
    <w:rsid w:val="00BD717B"/>
    <w:rsid w:val="00BD7D40"/>
    <w:rsid w:val="00BE3DF5"/>
    <w:rsid w:val="00BF3BAC"/>
    <w:rsid w:val="00BF5EAB"/>
    <w:rsid w:val="00C02410"/>
    <w:rsid w:val="00C0427B"/>
    <w:rsid w:val="00C05674"/>
    <w:rsid w:val="00C07ACA"/>
    <w:rsid w:val="00C1584D"/>
    <w:rsid w:val="00C15BE2"/>
    <w:rsid w:val="00C204F7"/>
    <w:rsid w:val="00C23941"/>
    <w:rsid w:val="00C331A6"/>
    <w:rsid w:val="00C3447F"/>
    <w:rsid w:val="00C357EB"/>
    <w:rsid w:val="00C36F7A"/>
    <w:rsid w:val="00C44714"/>
    <w:rsid w:val="00C67102"/>
    <w:rsid w:val="00C70F23"/>
    <w:rsid w:val="00C76336"/>
    <w:rsid w:val="00C76CD8"/>
    <w:rsid w:val="00C81491"/>
    <w:rsid w:val="00C81676"/>
    <w:rsid w:val="00C85C5D"/>
    <w:rsid w:val="00C92CC4"/>
    <w:rsid w:val="00C93DAC"/>
    <w:rsid w:val="00C962E5"/>
    <w:rsid w:val="00C96B9B"/>
    <w:rsid w:val="00CA0AFB"/>
    <w:rsid w:val="00CA1C6A"/>
    <w:rsid w:val="00CA2CE1"/>
    <w:rsid w:val="00CA306E"/>
    <w:rsid w:val="00CA3476"/>
    <w:rsid w:val="00CA3976"/>
    <w:rsid w:val="00CA3D37"/>
    <w:rsid w:val="00CA50E3"/>
    <w:rsid w:val="00CA6A43"/>
    <w:rsid w:val="00CA757B"/>
    <w:rsid w:val="00CC1787"/>
    <w:rsid w:val="00CC182C"/>
    <w:rsid w:val="00CC6A10"/>
    <w:rsid w:val="00CD0824"/>
    <w:rsid w:val="00CD2908"/>
    <w:rsid w:val="00CE0AF1"/>
    <w:rsid w:val="00CE1478"/>
    <w:rsid w:val="00CE3D7E"/>
    <w:rsid w:val="00CE4001"/>
    <w:rsid w:val="00CF178B"/>
    <w:rsid w:val="00D03A82"/>
    <w:rsid w:val="00D13667"/>
    <w:rsid w:val="00D15344"/>
    <w:rsid w:val="00D16145"/>
    <w:rsid w:val="00D23B8A"/>
    <w:rsid w:val="00D23F57"/>
    <w:rsid w:val="00D24878"/>
    <w:rsid w:val="00D26B81"/>
    <w:rsid w:val="00D270AC"/>
    <w:rsid w:val="00D31BEC"/>
    <w:rsid w:val="00D3580A"/>
    <w:rsid w:val="00D37C5D"/>
    <w:rsid w:val="00D4025D"/>
    <w:rsid w:val="00D41975"/>
    <w:rsid w:val="00D45C3F"/>
    <w:rsid w:val="00D53039"/>
    <w:rsid w:val="00D577C5"/>
    <w:rsid w:val="00D60FC8"/>
    <w:rsid w:val="00D63150"/>
    <w:rsid w:val="00D636BA"/>
    <w:rsid w:val="00D636E7"/>
    <w:rsid w:val="00D64A32"/>
    <w:rsid w:val="00D64EFC"/>
    <w:rsid w:val="00D70495"/>
    <w:rsid w:val="00D75295"/>
    <w:rsid w:val="00D76CE9"/>
    <w:rsid w:val="00D861E0"/>
    <w:rsid w:val="00D938FE"/>
    <w:rsid w:val="00D97F12"/>
    <w:rsid w:val="00DA6095"/>
    <w:rsid w:val="00DB1A92"/>
    <w:rsid w:val="00DB42E7"/>
    <w:rsid w:val="00DB5689"/>
    <w:rsid w:val="00DB78E6"/>
    <w:rsid w:val="00DC09D8"/>
    <w:rsid w:val="00DC157B"/>
    <w:rsid w:val="00DC7E94"/>
    <w:rsid w:val="00DD0BB2"/>
    <w:rsid w:val="00DD1DC7"/>
    <w:rsid w:val="00DD36BD"/>
    <w:rsid w:val="00DD50F2"/>
    <w:rsid w:val="00DD6384"/>
    <w:rsid w:val="00DE01A6"/>
    <w:rsid w:val="00DE34F8"/>
    <w:rsid w:val="00DE473D"/>
    <w:rsid w:val="00DE7A98"/>
    <w:rsid w:val="00DF32C2"/>
    <w:rsid w:val="00DF6F64"/>
    <w:rsid w:val="00E0491D"/>
    <w:rsid w:val="00E332F7"/>
    <w:rsid w:val="00E34B9F"/>
    <w:rsid w:val="00E36C56"/>
    <w:rsid w:val="00E471A7"/>
    <w:rsid w:val="00E542CD"/>
    <w:rsid w:val="00E55B9E"/>
    <w:rsid w:val="00E579DD"/>
    <w:rsid w:val="00E635CF"/>
    <w:rsid w:val="00E76FB6"/>
    <w:rsid w:val="00E86A07"/>
    <w:rsid w:val="00E917C7"/>
    <w:rsid w:val="00E93440"/>
    <w:rsid w:val="00EA3A4C"/>
    <w:rsid w:val="00EB1859"/>
    <w:rsid w:val="00EB1E3B"/>
    <w:rsid w:val="00EB7E86"/>
    <w:rsid w:val="00EC6E0A"/>
    <w:rsid w:val="00ED09D7"/>
    <w:rsid w:val="00ED4E18"/>
    <w:rsid w:val="00ED53AD"/>
    <w:rsid w:val="00ED7922"/>
    <w:rsid w:val="00EE02C4"/>
    <w:rsid w:val="00EE1F37"/>
    <w:rsid w:val="00EF1B0F"/>
    <w:rsid w:val="00EF5438"/>
    <w:rsid w:val="00F0159C"/>
    <w:rsid w:val="00F06561"/>
    <w:rsid w:val="00F105B7"/>
    <w:rsid w:val="00F12155"/>
    <w:rsid w:val="00F13220"/>
    <w:rsid w:val="00F17A21"/>
    <w:rsid w:val="00F21222"/>
    <w:rsid w:val="00F31062"/>
    <w:rsid w:val="00F36FC2"/>
    <w:rsid w:val="00F371E3"/>
    <w:rsid w:val="00F37B27"/>
    <w:rsid w:val="00F46556"/>
    <w:rsid w:val="00F50E91"/>
    <w:rsid w:val="00F51299"/>
    <w:rsid w:val="00F5187E"/>
    <w:rsid w:val="00F5488C"/>
    <w:rsid w:val="00F56799"/>
    <w:rsid w:val="00F56BDD"/>
    <w:rsid w:val="00F57D29"/>
    <w:rsid w:val="00F60786"/>
    <w:rsid w:val="00F71B9A"/>
    <w:rsid w:val="00F72212"/>
    <w:rsid w:val="00F72750"/>
    <w:rsid w:val="00F81BEE"/>
    <w:rsid w:val="00F91BC7"/>
    <w:rsid w:val="00F93180"/>
    <w:rsid w:val="00F95AFA"/>
    <w:rsid w:val="00F96201"/>
    <w:rsid w:val="00F973E3"/>
    <w:rsid w:val="00FA1BBC"/>
    <w:rsid w:val="00FB087C"/>
    <w:rsid w:val="00FB08CA"/>
    <w:rsid w:val="00FB1C75"/>
    <w:rsid w:val="00FB5CED"/>
    <w:rsid w:val="00FD0B18"/>
    <w:rsid w:val="00FD2FAD"/>
    <w:rsid w:val="00FE714F"/>
    <w:rsid w:val="00FF0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C027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9C0278"/>
    <w:pPr>
      <w:keepNext/>
    </w:pPr>
    <w:rPr>
      <w:rFonts w:ascii="Arial" w:hAnsi="Arial" w:cs="Arial"/>
      <w:b/>
      <w:caps/>
      <w:sz w:val="20"/>
      <w:szCs w:val="20"/>
    </w:rPr>
  </w:style>
  <w:style w:type="character" w:customStyle="1" w:styleId="Casehead1Char">
    <w:name w:val="Casehead 1 Char"/>
    <w:basedOn w:val="BodyTextMainChar"/>
    <w:link w:val="Casehead1"/>
    <w:rsid w:val="009C027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669B3"/>
    <w:pPr>
      <w:jc w:val="both"/>
    </w:pPr>
    <w:rPr>
      <w:rFonts w:ascii="Arial" w:hAnsi="Arial" w:cs="Arial"/>
      <w:sz w:val="17"/>
      <w:szCs w:val="17"/>
    </w:rPr>
  </w:style>
  <w:style w:type="character" w:customStyle="1" w:styleId="FootnoteChar">
    <w:name w:val="Footnote Char"/>
    <w:basedOn w:val="FootnoteTextChar"/>
    <w:link w:val="Footnote"/>
    <w:rsid w:val="005669B3"/>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9C0278"/>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9C0278"/>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5669B3"/>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7938F8"/>
    <w:rPr>
      <w:color w:val="605E5C"/>
      <w:shd w:val="clear" w:color="auto" w:fill="E1DFDD"/>
    </w:rPr>
  </w:style>
  <w:style w:type="character" w:styleId="PlaceholderText">
    <w:name w:val="Placeholder Text"/>
    <w:basedOn w:val="DefaultParagraphFont"/>
    <w:uiPriority w:val="99"/>
    <w:semiHidden/>
    <w:rsid w:val="00CA30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F182F9-E76F-4B35-9DF7-01FDEC0A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12</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10</cp:revision>
  <cp:lastPrinted>2019-07-23T14:10:00Z</cp:lastPrinted>
  <dcterms:created xsi:type="dcterms:W3CDTF">2019-07-30T16:26:00Z</dcterms:created>
  <dcterms:modified xsi:type="dcterms:W3CDTF">2019-08-02T14:30:00Z</dcterms:modified>
</cp:coreProperties>
</file>