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9AF129" w14:textId="77777777" w:rsidR="003640EA" w:rsidRDefault="003640EA" w:rsidP="003640EA">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eastAsia="en-CA"/>
        </w:rPr>
        <w:drawing>
          <wp:inline distT="0" distB="0" distL="0" distR="0" wp14:anchorId="0A2F6A4B" wp14:editId="580D74BE">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F228405" w14:textId="3FA6F4FE" w:rsidR="003640EA" w:rsidRDefault="00E95951" w:rsidP="003640EA">
      <w:pPr>
        <w:pStyle w:val="ProductNumber"/>
      </w:pPr>
      <w:r>
        <w:t>9B19M082</w:t>
      </w:r>
    </w:p>
    <w:p w14:paraId="4E057522" w14:textId="7A113CB1" w:rsidR="00D75295" w:rsidRPr="0091055F" w:rsidRDefault="00D75295" w:rsidP="00D75295">
      <w:pPr>
        <w:jc w:val="right"/>
        <w:rPr>
          <w:rFonts w:ascii="Arial" w:hAnsi="Arial"/>
          <w:b/>
          <w:lang w:val="en-GB"/>
        </w:rPr>
      </w:pPr>
    </w:p>
    <w:p w14:paraId="02524312" w14:textId="77777777" w:rsidR="001901C0" w:rsidRPr="0091055F" w:rsidRDefault="001901C0" w:rsidP="00D75295">
      <w:pPr>
        <w:jc w:val="right"/>
        <w:rPr>
          <w:rFonts w:ascii="Arial" w:hAnsi="Arial"/>
          <w:b/>
          <w:lang w:val="en-GB"/>
        </w:rPr>
      </w:pPr>
    </w:p>
    <w:p w14:paraId="2F03D26A" w14:textId="5F09A74D" w:rsidR="00013360" w:rsidRPr="0091055F" w:rsidRDefault="00FE1FC6" w:rsidP="00013360">
      <w:pPr>
        <w:pStyle w:val="CaseTitle"/>
        <w:spacing w:after="0" w:line="240" w:lineRule="auto"/>
        <w:rPr>
          <w:sz w:val="20"/>
          <w:szCs w:val="20"/>
          <w:lang w:val="en-GB"/>
        </w:rPr>
      </w:pPr>
      <w:r w:rsidRPr="0091055F">
        <w:rPr>
          <w:lang w:val="en-GB"/>
        </w:rPr>
        <w:t>Rocky mountain soap company: the move toward sustainable packaging</w:t>
      </w:r>
    </w:p>
    <w:p w14:paraId="40ABF6FD" w14:textId="77777777" w:rsidR="00CA3976" w:rsidRPr="0091055F" w:rsidRDefault="00CA3976" w:rsidP="00013360">
      <w:pPr>
        <w:pStyle w:val="CaseTitle"/>
        <w:spacing w:after="0" w:line="240" w:lineRule="auto"/>
        <w:rPr>
          <w:sz w:val="20"/>
          <w:szCs w:val="20"/>
          <w:lang w:val="en-GB"/>
        </w:rPr>
      </w:pPr>
    </w:p>
    <w:p w14:paraId="202F1085" w14:textId="77777777" w:rsidR="00013360" w:rsidRPr="0091055F" w:rsidRDefault="00013360" w:rsidP="00013360">
      <w:pPr>
        <w:pStyle w:val="CaseTitle"/>
        <w:spacing w:after="0" w:line="240" w:lineRule="auto"/>
        <w:rPr>
          <w:sz w:val="20"/>
          <w:szCs w:val="20"/>
          <w:lang w:val="en-GB"/>
        </w:rPr>
      </w:pPr>
    </w:p>
    <w:p w14:paraId="58B0C73F" w14:textId="4E2DE726" w:rsidR="00086B26" w:rsidRPr="0091055F" w:rsidRDefault="00FE1FC6" w:rsidP="00086B26">
      <w:pPr>
        <w:pStyle w:val="StyleCopyrightStatementAfter0ptBottomSinglesolidline1"/>
        <w:rPr>
          <w:lang w:val="en-GB"/>
        </w:rPr>
      </w:pPr>
      <w:r w:rsidRPr="0091055F">
        <w:rPr>
          <w:rFonts w:eastAsia="Arial" w:cs="Arial"/>
          <w:iCs w:val="0"/>
          <w:szCs w:val="16"/>
          <w:lang w:val="en-GB"/>
        </w:rPr>
        <w:t>Jennifer Sloan, Leanne Hedberg, Jennifer Liu, and Yi Wu wrote this case under the supervision of Professor Joel Gehman</w:t>
      </w:r>
      <w:r w:rsidRPr="0091055F">
        <w:rPr>
          <w:lang w:val="en-GB"/>
        </w:rPr>
        <w:t xml:space="preserve"> </w:t>
      </w:r>
      <w:r w:rsidR="00086B26" w:rsidRPr="0091055F">
        <w:rPr>
          <w:lang w:val="en-GB"/>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91055F" w:rsidRDefault="00086B26" w:rsidP="00086B26">
      <w:pPr>
        <w:pStyle w:val="StyleCopyrightStatementAfter0ptBottomSinglesolidline1"/>
        <w:rPr>
          <w:lang w:val="en-GB"/>
        </w:rPr>
      </w:pPr>
    </w:p>
    <w:p w14:paraId="6CA6A300" w14:textId="77777777" w:rsidR="003640EA" w:rsidRPr="00A323B0" w:rsidRDefault="003640EA" w:rsidP="003640EA">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4FC837FD" w14:textId="77777777" w:rsidR="003640EA" w:rsidRPr="00A323B0" w:rsidRDefault="003640EA" w:rsidP="003640EA">
      <w:pPr>
        <w:pStyle w:val="StyleStyleCopyrightStatementAfter0ptBottomSinglesolid"/>
        <w:rPr>
          <w:rFonts w:cs="Arial"/>
          <w:szCs w:val="16"/>
        </w:rPr>
      </w:pPr>
    </w:p>
    <w:p w14:paraId="3922E14F" w14:textId="65865FC6" w:rsidR="00751E0B" w:rsidRPr="0091055F" w:rsidRDefault="003640EA" w:rsidP="003640EA">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19</w:t>
      </w:r>
      <w:r w:rsidRPr="00A323B0">
        <w:rPr>
          <w:rFonts w:cs="Arial"/>
          <w:iCs w:val="0"/>
          <w:color w:val="auto"/>
          <w:szCs w:val="16"/>
        </w:rPr>
        <w:t>, Ivey Business School Foundation</w:t>
      </w:r>
      <w:r w:rsidRPr="00A323B0">
        <w:rPr>
          <w:rFonts w:cs="Arial"/>
          <w:iCs w:val="0"/>
          <w:color w:val="auto"/>
          <w:szCs w:val="16"/>
        </w:rPr>
        <w:tab/>
        <w:t xml:space="preserve">Version: </w:t>
      </w:r>
      <w:r>
        <w:rPr>
          <w:rFonts w:cs="Arial"/>
          <w:iCs w:val="0"/>
          <w:color w:val="auto"/>
          <w:szCs w:val="16"/>
        </w:rPr>
        <w:t>2019-0</w:t>
      </w:r>
      <w:r w:rsidR="001D428A">
        <w:rPr>
          <w:rFonts w:cs="Arial"/>
          <w:iCs w:val="0"/>
          <w:color w:val="auto"/>
          <w:szCs w:val="16"/>
        </w:rPr>
        <w:t>9</w:t>
      </w:r>
      <w:r>
        <w:rPr>
          <w:rFonts w:cs="Arial"/>
          <w:iCs w:val="0"/>
          <w:color w:val="auto"/>
          <w:szCs w:val="16"/>
        </w:rPr>
        <w:t>-</w:t>
      </w:r>
      <w:r w:rsidR="00344BEC">
        <w:rPr>
          <w:rFonts w:cs="Arial"/>
          <w:iCs w:val="0"/>
          <w:color w:val="auto"/>
          <w:szCs w:val="16"/>
        </w:rPr>
        <w:t>30</w:t>
      </w:r>
      <w:bookmarkStart w:id="0" w:name="_GoBack"/>
      <w:bookmarkEnd w:id="0"/>
    </w:p>
    <w:p w14:paraId="0A2A54E4" w14:textId="77777777" w:rsidR="00751E0B" w:rsidRPr="0091055F" w:rsidRDefault="00751E0B" w:rsidP="00751E0B">
      <w:pPr>
        <w:pStyle w:val="StyleCopyrightStatementAfter0ptBottomSinglesolidline1"/>
        <w:rPr>
          <w:rFonts w:ascii="Times New Roman" w:hAnsi="Times New Roman"/>
          <w:sz w:val="20"/>
          <w:lang w:val="en-GB"/>
        </w:rPr>
      </w:pPr>
    </w:p>
    <w:p w14:paraId="2C183161" w14:textId="77777777" w:rsidR="00B87DC0" w:rsidRPr="00B36B52" w:rsidRDefault="00B87DC0" w:rsidP="00FE1FC6">
      <w:pPr>
        <w:pStyle w:val="BodyTextMain"/>
        <w:rPr>
          <w:sz w:val="20"/>
          <w:lang w:val="en-GB"/>
        </w:rPr>
      </w:pPr>
    </w:p>
    <w:p w14:paraId="4E39E3B3" w14:textId="05C8DE02" w:rsidR="00FE1FC6" w:rsidRPr="0070625B" w:rsidRDefault="001621CC" w:rsidP="00FE1FC6">
      <w:pPr>
        <w:pStyle w:val="BodyTextMain"/>
        <w:rPr>
          <w:spacing w:val="-2"/>
          <w:lang w:val="en-GB"/>
        </w:rPr>
      </w:pPr>
      <w:r w:rsidRPr="001621CC">
        <w:rPr>
          <w:spacing w:val="-2"/>
        </w:rPr>
        <w:t>In November 2017, Cam Baty sat in the sun on a veranda soaking up the European countryside. He and his wife, Karina Birch, had taken a well-deserved sabbatical from their life as co-owners of Rocky Mountain Soap Company (RMSC), based in Canmore, Alberta.</w:t>
      </w:r>
    </w:p>
    <w:p w14:paraId="1DE13806" w14:textId="77777777" w:rsidR="00FE1FC6" w:rsidRPr="00B36B52" w:rsidRDefault="00FE1FC6" w:rsidP="00FE1FC6">
      <w:pPr>
        <w:pStyle w:val="BodyTextMain"/>
        <w:rPr>
          <w:sz w:val="20"/>
          <w:lang w:val="en-GB"/>
        </w:rPr>
      </w:pPr>
    </w:p>
    <w:p w14:paraId="3EC2A57B" w14:textId="377C6A94" w:rsidR="00FE1FC6" w:rsidRPr="0091055F" w:rsidRDefault="00FE1FC6" w:rsidP="00FE1FC6">
      <w:pPr>
        <w:pStyle w:val="BodyTextMain"/>
        <w:rPr>
          <w:lang w:val="en-GB"/>
        </w:rPr>
      </w:pPr>
      <w:r w:rsidRPr="0091055F">
        <w:rPr>
          <w:lang w:val="en-GB"/>
        </w:rPr>
        <w:t xml:space="preserve">Despite </w:t>
      </w:r>
      <w:r w:rsidR="00744CEA">
        <w:rPr>
          <w:lang w:val="en-GB"/>
        </w:rPr>
        <w:t>being</w:t>
      </w:r>
      <w:r w:rsidRPr="0091055F">
        <w:rPr>
          <w:lang w:val="en-GB"/>
        </w:rPr>
        <w:t xml:space="preserve"> an ocean away, Baty accepted a webchat invitation and began an interview about RMSC’s path ahead. RMSC was committed to sustainability, and both he and Birch felt strongly about continuing to provide toxin-free, 100</w:t>
      </w:r>
      <w:r w:rsidR="0091055F">
        <w:rPr>
          <w:lang w:val="en-GB"/>
        </w:rPr>
        <w:t xml:space="preserve"> per cent</w:t>
      </w:r>
      <w:r w:rsidRPr="0091055F">
        <w:rPr>
          <w:lang w:val="en-GB"/>
        </w:rPr>
        <w:t xml:space="preserve"> natural bath and body products. They </w:t>
      </w:r>
      <w:r w:rsidR="00904B18">
        <w:rPr>
          <w:lang w:val="en-GB"/>
        </w:rPr>
        <w:t xml:space="preserve">also </w:t>
      </w:r>
      <w:r w:rsidRPr="0091055F">
        <w:rPr>
          <w:lang w:val="en-GB"/>
        </w:rPr>
        <w:t>were intent on finding a way to make their product packaging more closely mirror their values:</w:t>
      </w:r>
      <w:r w:rsidR="00EB5F28" w:rsidRPr="0091055F">
        <w:rPr>
          <w:lang w:val="en-GB"/>
        </w:rPr>
        <w:t xml:space="preserve"> </w:t>
      </w:r>
      <w:r w:rsidRPr="0091055F">
        <w:rPr>
          <w:lang w:val="en-GB"/>
        </w:rPr>
        <w:t>“At the end of the day we believe in our business</w:t>
      </w:r>
      <w:r w:rsidR="0091055F">
        <w:rPr>
          <w:lang w:val="en-GB"/>
        </w:rPr>
        <w:t>. . . .</w:t>
      </w:r>
      <w:r w:rsidRPr="0091055F">
        <w:rPr>
          <w:lang w:val="en-GB"/>
        </w:rPr>
        <w:t xml:space="preserve"> Our product is 100</w:t>
      </w:r>
      <w:r w:rsidR="0091055F">
        <w:rPr>
          <w:lang w:val="en-GB"/>
        </w:rPr>
        <w:t xml:space="preserve"> per cent</w:t>
      </w:r>
      <w:r w:rsidRPr="0091055F">
        <w:rPr>
          <w:lang w:val="en-GB"/>
        </w:rPr>
        <w:t xml:space="preserve"> natural and nobody can touch us on that</w:t>
      </w:r>
      <w:r w:rsidR="0091055F">
        <w:rPr>
          <w:lang w:val="en-GB"/>
        </w:rPr>
        <w:t xml:space="preserve">. . . . </w:t>
      </w:r>
      <w:r w:rsidRPr="0091055F">
        <w:rPr>
          <w:lang w:val="en-GB"/>
        </w:rPr>
        <w:t>We have tried to build sustainability in our built environment</w:t>
      </w:r>
      <w:r w:rsidR="006A0E3D">
        <w:rPr>
          <w:lang w:val="en-GB"/>
        </w:rPr>
        <w:t>,</w:t>
      </w:r>
      <w:r w:rsidRPr="0091055F">
        <w:rPr>
          <w:lang w:val="en-GB"/>
        </w:rPr>
        <w:t xml:space="preserve"> and the next step is to build it into our packaging.”</w:t>
      </w:r>
    </w:p>
    <w:p w14:paraId="4C533746" w14:textId="77777777" w:rsidR="00FE1FC6" w:rsidRPr="00B36B52" w:rsidRDefault="00FE1FC6" w:rsidP="00FE1FC6">
      <w:pPr>
        <w:pStyle w:val="BodyTextMain"/>
        <w:rPr>
          <w:sz w:val="20"/>
          <w:lang w:val="en-GB"/>
        </w:rPr>
      </w:pPr>
    </w:p>
    <w:p w14:paraId="2F7C5F3C" w14:textId="1EE0502F" w:rsidR="00FE1FC6" w:rsidRPr="0091055F" w:rsidRDefault="00FE1FC6" w:rsidP="00FE1FC6">
      <w:pPr>
        <w:pStyle w:val="BodyTextMain"/>
        <w:rPr>
          <w:lang w:val="en-GB"/>
        </w:rPr>
      </w:pPr>
      <w:r w:rsidRPr="0091055F">
        <w:rPr>
          <w:lang w:val="en-GB"/>
        </w:rPr>
        <w:t>While laudable, RMSC’s commitment to sustainability was</w:t>
      </w:r>
      <w:r w:rsidR="006A0E3D">
        <w:rPr>
          <w:lang w:val="en-GB"/>
        </w:rPr>
        <w:t xml:space="preserve"> not</w:t>
      </w:r>
      <w:r w:rsidRPr="0091055F">
        <w:rPr>
          <w:lang w:val="en-GB"/>
        </w:rPr>
        <w:t xml:space="preserve"> straightforward, especially given the intensifying competition in the personal care retail sector. As a still-growing company, how could RMSC ensure that its focus on sustainability remained central to </w:t>
      </w:r>
      <w:r w:rsidR="0091055F">
        <w:rPr>
          <w:lang w:val="en-GB"/>
        </w:rPr>
        <w:t>how</w:t>
      </w:r>
      <w:r w:rsidRPr="0091055F">
        <w:rPr>
          <w:lang w:val="en-GB"/>
        </w:rPr>
        <w:t xml:space="preserve"> it did business? And, maybe more importantly, what investments would the company need to make in order to help customers support RMSC as an organization that went beyond greenwashed marketing to deliver </w:t>
      </w:r>
      <w:r w:rsidR="0091055F">
        <w:rPr>
          <w:lang w:val="en-GB"/>
        </w:rPr>
        <w:t xml:space="preserve">both </w:t>
      </w:r>
      <w:r w:rsidRPr="0091055F">
        <w:rPr>
          <w:lang w:val="en-GB"/>
        </w:rPr>
        <w:t xml:space="preserve">a product and packaging that truly aligned with a sustainability consciousness? </w:t>
      </w:r>
    </w:p>
    <w:p w14:paraId="515E3C5D" w14:textId="77777777" w:rsidR="00FE1FC6" w:rsidRPr="00B36B52" w:rsidRDefault="00FE1FC6" w:rsidP="00FE1FC6">
      <w:pPr>
        <w:pStyle w:val="BodyTextMain"/>
        <w:rPr>
          <w:sz w:val="20"/>
          <w:lang w:val="en-GB"/>
        </w:rPr>
      </w:pPr>
    </w:p>
    <w:p w14:paraId="273EA523" w14:textId="77777777" w:rsidR="00FE1FC6" w:rsidRPr="00B36B52" w:rsidRDefault="00FE1FC6" w:rsidP="00FE1FC6">
      <w:pPr>
        <w:pStyle w:val="BodyTextMain"/>
        <w:rPr>
          <w:smallCaps/>
          <w:sz w:val="20"/>
          <w:lang w:val="en-GB"/>
        </w:rPr>
      </w:pPr>
    </w:p>
    <w:p w14:paraId="2951F207" w14:textId="77777777" w:rsidR="00FE1FC6" w:rsidRPr="0091055F" w:rsidRDefault="00FE1FC6" w:rsidP="00EB5F28">
      <w:pPr>
        <w:pStyle w:val="Casehead1"/>
        <w:rPr>
          <w:lang w:val="en-GB"/>
        </w:rPr>
      </w:pPr>
      <w:r w:rsidRPr="0091055F">
        <w:rPr>
          <w:lang w:val="en-GB"/>
        </w:rPr>
        <w:t>ROCKY MOUNTAIN SOAP COMPANY: THE ORGANIZATION</w:t>
      </w:r>
    </w:p>
    <w:p w14:paraId="47BEC6DE" w14:textId="77777777" w:rsidR="00FE1FC6" w:rsidRPr="00B36B52" w:rsidRDefault="00FE1FC6" w:rsidP="00FE1FC6">
      <w:pPr>
        <w:pStyle w:val="BodyTextMain"/>
        <w:rPr>
          <w:sz w:val="20"/>
          <w:lang w:val="en-GB"/>
        </w:rPr>
      </w:pPr>
    </w:p>
    <w:p w14:paraId="7CE001B2" w14:textId="77777777" w:rsidR="00FE1FC6" w:rsidRPr="0091055F" w:rsidRDefault="00FE1FC6" w:rsidP="00EB5F28">
      <w:pPr>
        <w:pStyle w:val="Casehead2"/>
        <w:rPr>
          <w:lang w:val="en-GB"/>
        </w:rPr>
      </w:pPr>
      <w:r w:rsidRPr="0091055F">
        <w:rPr>
          <w:lang w:val="en-GB"/>
        </w:rPr>
        <w:t>History</w:t>
      </w:r>
    </w:p>
    <w:p w14:paraId="38ADFBB5" w14:textId="77777777" w:rsidR="00FE1FC6" w:rsidRPr="00B36B52" w:rsidRDefault="00FE1FC6" w:rsidP="00FE1FC6">
      <w:pPr>
        <w:pStyle w:val="BodyTextMain"/>
        <w:rPr>
          <w:sz w:val="20"/>
          <w:lang w:val="en-GB"/>
        </w:rPr>
      </w:pPr>
    </w:p>
    <w:p w14:paraId="059E13EB" w14:textId="68AB0927" w:rsidR="00B36B52" w:rsidRPr="0091055F" w:rsidRDefault="00FE1FC6" w:rsidP="00FE1FC6">
      <w:pPr>
        <w:pStyle w:val="BodyTextMain"/>
        <w:rPr>
          <w:lang w:val="en-GB"/>
        </w:rPr>
      </w:pPr>
      <w:r w:rsidRPr="0091055F">
        <w:rPr>
          <w:lang w:val="en-GB"/>
        </w:rPr>
        <w:t>Tricia Pearson founded RMSC in 1995 but put the business up for sale a few years later when her husband received an overseas job transfer. In 2000, the company and its single 300</w:t>
      </w:r>
      <w:r w:rsidR="006A0E3D">
        <w:rPr>
          <w:lang w:val="en-GB"/>
        </w:rPr>
        <w:t>-</w:t>
      </w:r>
      <w:r w:rsidRPr="0091055F">
        <w:rPr>
          <w:lang w:val="en-GB"/>
        </w:rPr>
        <w:t>square</w:t>
      </w:r>
      <w:r w:rsidR="006A0E3D">
        <w:rPr>
          <w:lang w:val="en-GB"/>
        </w:rPr>
        <w:t>-</w:t>
      </w:r>
      <w:r w:rsidRPr="0091055F">
        <w:rPr>
          <w:lang w:val="en-GB"/>
        </w:rPr>
        <w:t xml:space="preserve">foot location was purchased for </w:t>
      </w:r>
      <w:r w:rsidR="0091055F">
        <w:rPr>
          <w:lang w:val="en-GB"/>
        </w:rPr>
        <w:t>CA</w:t>
      </w:r>
      <w:r w:rsidRPr="0091055F">
        <w:rPr>
          <w:lang w:val="en-GB"/>
        </w:rPr>
        <w:t>$45,000</w:t>
      </w:r>
      <w:r w:rsidR="00B36B52" w:rsidRPr="0091055F">
        <w:rPr>
          <w:vertAlign w:val="superscript"/>
          <w:lang w:val="en-GB"/>
        </w:rPr>
        <w:endnoteReference w:id="1"/>
      </w:r>
      <w:r w:rsidR="00B36B52" w:rsidRPr="0091055F">
        <w:rPr>
          <w:lang w:val="en-GB"/>
        </w:rPr>
        <w:t xml:space="preserve"> by regular customer and business graduate Birch and her then</w:t>
      </w:r>
      <w:r w:rsidR="00B36B52">
        <w:rPr>
          <w:lang w:val="en-GB"/>
        </w:rPr>
        <w:t xml:space="preserve"> </w:t>
      </w:r>
      <w:r w:rsidR="00B36B52" w:rsidRPr="0091055F">
        <w:rPr>
          <w:lang w:val="en-GB"/>
        </w:rPr>
        <w:t xml:space="preserve">boyfriend Baty, also a business graduate. During that first year, Birch and a team </w:t>
      </w:r>
      <w:r w:rsidR="00892450">
        <w:rPr>
          <w:lang w:val="en-GB"/>
        </w:rPr>
        <w:t>of</w:t>
      </w:r>
      <w:r w:rsidR="00892450" w:rsidRPr="0091055F">
        <w:rPr>
          <w:lang w:val="en-GB"/>
        </w:rPr>
        <w:t xml:space="preserve"> </w:t>
      </w:r>
      <w:r w:rsidR="00B36B52" w:rsidRPr="0091055F">
        <w:rPr>
          <w:lang w:val="en-GB"/>
        </w:rPr>
        <w:t xml:space="preserve">her friends could be found making the soaps on a hot plate in the back of the store and affixing printed labels with a glue stick. </w:t>
      </w:r>
    </w:p>
    <w:p w14:paraId="4BFCEC2F" w14:textId="77777777" w:rsidR="00B36B52" w:rsidRPr="00B36B52" w:rsidRDefault="00B36B52" w:rsidP="00FE1FC6">
      <w:pPr>
        <w:pStyle w:val="BodyTextMain"/>
        <w:rPr>
          <w:sz w:val="20"/>
          <w:lang w:val="en-GB"/>
        </w:rPr>
      </w:pPr>
    </w:p>
    <w:p w14:paraId="1C6EC496" w14:textId="602D81DA" w:rsidR="00B36B52" w:rsidRPr="0091055F" w:rsidRDefault="00B36B52" w:rsidP="00FE1FC6">
      <w:pPr>
        <w:pStyle w:val="BodyTextMain"/>
        <w:rPr>
          <w:lang w:val="en-GB"/>
        </w:rPr>
      </w:pPr>
      <w:r w:rsidRPr="0091055F">
        <w:rPr>
          <w:lang w:val="en-GB"/>
        </w:rPr>
        <w:t xml:space="preserve">Since that first humble year, however, Birch and Baty watched as annual sales rose to </w:t>
      </w:r>
      <w:r>
        <w:rPr>
          <w:lang w:val="en-GB"/>
        </w:rPr>
        <w:t>more than</w:t>
      </w:r>
      <w:r w:rsidRPr="0091055F">
        <w:rPr>
          <w:lang w:val="en-GB"/>
        </w:rPr>
        <w:t xml:space="preserve"> $10 million (</w:t>
      </w:r>
      <w:r>
        <w:rPr>
          <w:lang w:val="en-GB"/>
        </w:rPr>
        <w:t xml:space="preserve">see </w:t>
      </w:r>
      <w:r w:rsidRPr="0091055F">
        <w:rPr>
          <w:lang w:val="en-GB"/>
        </w:rPr>
        <w:t xml:space="preserve">Exhibit 1). By 2017, RMSC had </w:t>
      </w:r>
      <w:r>
        <w:rPr>
          <w:lang w:val="en-GB"/>
        </w:rPr>
        <w:t>more than</w:t>
      </w:r>
      <w:r w:rsidRPr="0091055F">
        <w:rPr>
          <w:lang w:val="en-GB"/>
        </w:rPr>
        <w:t xml:space="preserve"> 700 wholesale accounts and had expanded into </w:t>
      </w:r>
      <w:r>
        <w:rPr>
          <w:lang w:val="en-GB"/>
        </w:rPr>
        <w:lastRenderedPageBreak/>
        <w:t>six</w:t>
      </w:r>
      <w:r w:rsidRPr="0091055F">
        <w:rPr>
          <w:lang w:val="en-GB"/>
        </w:rPr>
        <w:t xml:space="preserve"> major retail markets, with seven of its 11 stores </w:t>
      </w:r>
      <w:r>
        <w:rPr>
          <w:lang w:val="en-GB"/>
        </w:rPr>
        <w:t xml:space="preserve">located </w:t>
      </w:r>
      <w:r w:rsidRPr="0091055F">
        <w:rPr>
          <w:lang w:val="en-GB"/>
        </w:rPr>
        <w:t>in Alberta. Also in 2017, Baty and Birch had their eyes set on a Yonge Street location in Toronto and had plans to open a storefront in Ottawa.</w:t>
      </w:r>
    </w:p>
    <w:p w14:paraId="60787A65" w14:textId="77777777" w:rsidR="00B36B52" w:rsidRPr="00B36B52" w:rsidRDefault="00B36B52" w:rsidP="00FE1FC6">
      <w:pPr>
        <w:pStyle w:val="BodyTextMain"/>
        <w:rPr>
          <w:sz w:val="20"/>
          <w:lang w:val="en-GB"/>
        </w:rPr>
      </w:pPr>
    </w:p>
    <w:p w14:paraId="41C8D9D5" w14:textId="77777777" w:rsidR="00B36B52" w:rsidRDefault="00B36B52" w:rsidP="00FE1FC6">
      <w:pPr>
        <w:pStyle w:val="BodyTextMain"/>
        <w:rPr>
          <w:highlight w:val="white"/>
          <w:lang w:val="en-GB"/>
        </w:rPr>
      </w:pPr>
      <w:r w:rsidRPr="0091055F">
        <w:rPr>
          <w:highlight w:val="white"/>
          <w:lang w:val="en-GB"/>
        </w:rPr>
        <w:t xml:space="preserve">RMSC’s impressive growth landed the company in a market alongside much larger industry players that had deep resource pools to draw from. Baty explained: </w:t>
      </w:r>
    </w:p>
    <w:p w14:paraId="763EBF59" w14:textId="77777777" w:rsidR="00B36B52" w:rsidRPr="00B36B52" w:rsidRDefault="00B36B52" w:rsidP="00FE1FC6">
      <w:pPr>
        <w:pStyle w:val="BodyTextMain"/>
        <w:rPr>
          <w:sz w:val="20"/>
          <w:lang w:val="en-GB"/>
        </w:rPr>
      </w:pPr>
    </w:p>
    <w:p w14:paraId="57A7078B" w14:textId="1B23A51E" w:rsidR="00B36B52" w:rsidRPr="0091055F" w:rsidRDefault="00B36B52" w:rsidP="0070625B">
      <w:pPr>
        <w:pStyle w:val="BodyTextMain"/>
        <w:ind w:left="720"/>
        <w:rPr>
          <w:lang w:val="en-GB"/>
        </w:rPr>
      </w:pPr>
      <w:r w:rsidRPr="0091055F">
        <w:rPr>
          <w:lang w:val="en-GB"/>
        </w:rPr>
        <w:t xml:space="preserve">We used to be the mom and pop </w:t>
      </w:r>
      <w:r>
        <w:rPr>
          <w:lang w:val="en-GB"/>
        </w:rPr>
        <w:t xml:space="preserve">[store] </w:t>
      </w:r>
      <w:r w:rsidRPr="0091055F">
        <w:rPr>
          <w:lang w:val="en-GB"/>
        </w:rPr>
        <w:t xml:space="preserve">in Canmore, but now we’re playing against the big guys from all over the world: </w:t>
      </w:r>
      <w:r>
        <w:rPr>
          <w:lang w:val="en-GB"/>
        </w:rPr>
        <w:t>T</w:t>
      </w:r>
      <w:r w:rsidRPr="0091055F">
        <w:rPr>
          <w:lang w:val="en-GB"/>
        </w:rPr>
        <w:t>he Body Shop, Lush, Sage, Kiehl’s</w:t>
      </w:r>
      <w:r>
        <w:rPr>
          <w:lang w:val="en-GB"/>
        </w:rPr>
        <w:t xml:space="preserve">. . . . </w:t>
      </w:r>
      <w:r w:rsidRPr="0091055F">
        <w:rPr>
          <w:lang w:val="en-GB"/>
        </w:rPr>
        <w:t>Now there’s</w:t>
      </w:r>
      <w:r w:rsidR="006A0E3D">
        <w:rPr>
          <w:lang w:val="en-GB"/>
        </w:rPr>
        <w:t xml:space="preserve"> [sic]</w:t>
      </w:r>
      <w:r w:rsidRPr="0091055F">
        <w:rPr>
          <w:lang w:val="en-GB"/>
        </w:rPr>
        <w:t xml:space="preserve"> </w:t>
      </w:r>
      <w:r>
        <w:rPr>
          <w:lang w:val="en-GB"/>
        </w:rPr>
        <w:t>10</w:t>
      </w:r>
      <w:r w:rsidRPr="0091055F">
        <w:rPr>
          <w:lang w:val="en-GB"/>
        </w:rPr>
        <w:t xml:space="preserve"> players in our category and it’s extremely competitive</w:t>
      </w:r>
      <w:r>
        <w:rPr>
          <w:lang w:val="en-GB"/>
        </w:rPr>
        <w:t xml:space="preserve">. . . . </w:t>
      </w:r>
      <w:r w:rsidRPr="0091055F">
        <w:rPr>
          <w:lang w:val="en-GB"/>
        </w:rPr>
        <w:t xml:space="preserve">We really have to be good to differentiate ourselves. We’re really still an infant business with infant skills. </w:t>
      </w:r>
    </w:p>
    <w:p w14:paraId="3DD95476" w14:textId="77777777" w:rsidR="00B36B52" w:rsidRPr="001621CC" w:rsidRDefault="00B36B52" w:rsidP="001621CC">
      <w:pPr>
        <w:pStyle w:val="BodyTextMain"/>
        <w:rPr>
          <w:highlight w:val="white"/>
        </w:rPr>
      </w:pPr>
    </w:p>
    <w:p w14:paraId="5589FB19" w14:textId="5B319483" w:rsidR="00B36B52" w:rsidRPr="001621CC" w:rsidRDefault="00B36B52" w:rsidP="001621CC">
      <w:pPr>
        <w:pStyle w:val="BodyTextMain"/>
        <w:rPr>
          <w:highlight w:val="white"/>
        </w:rPr>
      </w:pPr>
      <w:r w:rsidRPr="001621CC">
        <w:rPr>
          <w:highlight w:val="white"/>
        </w:rPr>
        <w:t>Feeling their way into a differentiation strategy took time, and it was</w:t>
      </w:r>
      <w:r w:rsidR="006A0E3D" w:rsidRPr="001621CC">
        <w:rPr>
          <w:highlight w:val="white"/>
        </w:rPr>
        <w:t xml:space="preserve"> not</w:t>
      </w:r>
      <w:r w:rsidRPr="001621CC">
        <w:rPr>
          <w:highlight w:val="white"/>
        </w:rPr>
        <w:t xml:space="preserve"> until about 2003 that Birch and Baty decided to include only 100 per cent natural ingredients in their products, a strategic decision that moved RMSC away from being a mere producer and retailer toward becoming an outward representation of a value system and informed lifestyle choice. </w:t>
      </w:r>
    </w:p>
    <w:p w14:paraId="2972CBD2" w14:textId="77777777" w:rsidR="00B36B52" w:rsidRPr="001621CC" w:rsidRDefault="00B36B52" w:rsidP="001621CC">
      <w:pPr>
        <w:pStyle w:val="BodyTextMain"/>
        <w:rPr>
          <w:highlight w:val="white"/>
        </w:rPr>
      </w:pPr>
    </w:p>
    <w:p w14:paraId="4A4DD64F" w14:textId="77777777" w:rsidR="00B36B52" w:rsidRPr="001621CC" w:rsidRDefault="00B36B52" w:rsidP="001621CC">
      <w:pPr>
        <w:pStyle w:val="BodyTextMain"/>
        <w:rPr>
          <w:highlight w:val="white"/>
        </w:rPr>
      </w:pPr>
    </w:p>
    <w:p w14:paraId="3401F3AF" w14:textId="77777777" w:rsidR="00B36B52" w:rsidRPr="0091055F" w:rsidRDefault="00B36B52" w:rsidP="00EB5F28">
      <w:pPr>
        <w:pStyle w:val="Casehead2"/>
        <w:rPr>
          <w:highlight w:val="white"/>
          <w:lang w:val="en-GB"/>
        </w:rPr>
      </w:pPr>
      <w:r w:rsidRPr="0091055F">
        <w:rPr>
          <w:highlight w:val="white"/>
          <w:lang w:val="en-GB"/>
        </w:rPr>
        <w:t>Natural Innovation</w:t>
      </w:r>
    </w:p>
    <w:p w14:paraId="49EE437C" w14:textId="77777777" w:rsidR="00B36B52" w:rsidRPr="001621CC" w:rsidRDefault="00B36B52" w:rsidP="001621CC">
      <w:pPr>
        <w:pStyle w:val="BodyTextMain"/>
        <w:rPr>
          <w:highlight w:val="white"/>
        </w:rPr>
      </w:pPr>
    </w:p>
    <w:p w14:paraId="549FCDC1" w14:textId="5E8401A8" w:rsidR="00B36B52" w:rsidRPr="00F17466" w:rsidRDefault="00B36B52" w:rsidP="001621CC">
      <w:pPr>
        <w:pStyle w:val="BodyTextMain"/>
        <w:rPr>
          <w:spacing w:val="-2"/>
          <w:highlight w:val="white"/>
        </w:rPr>
      </w:pPr>
      <w:r w:rsidRPr="00F17466">
        <w:rPr>
          <w:spacing w:val="-2"/>
          <w:highlight w:val="white"/>
        </w:rPr>
        <w:t>Birch and Baty believed that “with fewer ingredients, you obtain higher quality.” Thus, they focused on their products comprising 10 or fewer ingredients</w:t>
      </w:r>
      <w:r w:rsidR="00892450" w:rsidRPr="00F17466">
        <w:rPr>
          <w:spacing w:val="-2"/>
          <w:highlight w:val="white"/>
        </w:rPr>
        <w:t xml:space="preserve"> </w:t>
      </w:r>
      <w:r w:rsidRPr="00F17466">
        <w:rPr>
          <w:spacing w:val="-2"/>
          <w:highlight w:val="white"/>
        </w:rPr>
        <w:t xml:space="preserve">and locally sourced whenever possible. Additionally, they published two lists: a “Green List” of their 21 top natural or organic ingredients, many of which were sourced from local grocery and restaurant suppliers, and a “Red List” of 21 products that RMSC would “never put in anything they make.” Their commitment was to provide customers with therapeutic and toxin-free products that could go onto the skin and into the body without contributing to anyone’s “body burden” (which RMSC defined as the </w:t>
      </w:r>
      <w:r w:rsidR="00AF0012" w:rsidRPr="00F17466">
        <w:rPr>
          <w:spacing w:val="-2"/>
          <w:highlight w:val="white"/>
        </w:rPr>
        <w:t>number</w:t>
      </w:r>
      <w:r w:rsidRPr="00F17466">
        <w:rPr>
          <w:spacing w:val="-2"/>
          <w:highlight w:val="white"/>
        </w:rPr>
        <w:t xml:space="preserve"> of toxins that have been absorbed and stored in body tissues).</w:t>
      </w:r>
    </w:p>
    <w:p w14:paraId="11A53990" w14:textId="77777777" w:rsidR="00B36B52" w:rsidRPr="001621CC" w:rsidRDefault="00B36B52" w:rsidP="001621CC">
      <w:pPr>
        <w:pStyle w:val="BodyTextMain"/>
        <w:rPr>
          <w:highlight w:val="white"/>
        </w:rPr>
      </w:pPr>
    </w:p>
    <w:p w14:paraId="0A9DF1A1" w14:textId="7C9ABC36" w:rsidR="00B36B52" w:rsidRPr="001621CC" w:rsidRDefault="00B36B52" w:rsidP="001621CC">
      <w:pPr>
        <w:pStyle w:val="BodyTextMain"/>
        <w:rPr>
          <w:highlight w:val="white"/>
        </w:rPr>
      </w:pPr>
      <w:r w:rsidRPr="001621CC">
        <w:rPr>
          <w:highlight w:val="white"/>
        </w:rPr>
        <w:t>RMSC’s product design process, which Birch oversaw, primarily relied on customers and employees presenting a strong case for bringing a new product to market. Once a product idea was approved by Birch, she then worked with an on-staff chemist to develop product formulations and essential oil blends</w:t>
      </w:r>
      <w:r w:rsidR="00892450" w:rsidRPr="001621CC">
        <w:rPr>
          <w:highlight w:val="white"/>
        </w:rPr>
        <w:t xml:space="preserve"> </w:t>
      </w:r>
      <w:r w:rsidRPr="001621CC">
        <w:rPr>
          <w:highlight w:val="white"/>
        </w:rPr>
        <w:t>to ensure the safety of the product. Ensuring product safety meant that the product was tested</w:t>
      </w:r>
      <w:r w:rsidR="00AF0012" w:rsidRPr="001621CC">
        <w:rPr>
          <w:highlight w:val="white"/>
        </w:rPr>
        <w:t>—</w:t>
      </w:r>
      <w:r w:rsidRPr="001621CC">
        <w:rPr>
          <w:highlight w:val="white"/>
        </w:rPr>
        <w:t>repeatedly</w:t>
      </w:r>
      <w:r w:rsidR="00AF0012" w:rsidRPr="001621CC">
        <w:rPr>
          <w:highlight w:val="white"/>
        </w:rPr>
        <w:t>—</w:t>
      </w:r>
      <w:r w:rsidRPr="001621CC">
        <w:rPr>
          <w:highlight w:val="white"/>
        </w:rPr>
        <w:t>on Baty, Birch, their kids, store managers, and employees before it was ever sold to customers. For example, before a single salt scrub actually launched, RMSC insiders thoroughly tested each of its 17 different formulations.</w:t>
      </w:r>
    </w:p>
    <w:p w14:paraId="684B5652" w14:textId="77777777" w:rsidR="00B36B52" w:rsidRPr="001621CC" w:rsidRDefault="00B36B52" w:rsidP="001621CC">
      <w:pPr>
        <w:pStyle w:val="BodyTextMain"/>
        <w:rPr>
          <w:highlight w:val="white"/>
        </w:rPr>
      </w:pPr>
    </w:p>
    <w:p w14:paraId="2D3B87C5" w14:textId="77D8EB4E" w:rsidR="00B36B52" w:rsidRPr="001621CC" w:rsidRDefault="00892450" w:rsidP="001621CC">
      <w:pPr>
        <w:pStyle w:val="BodyTextMain"/>
        <w:rPr>
          <w:spacing w:val="-2"/>
          <w:highlight w:val="white"/>
        </w:rPr>
      </w:pPr>
      <w:r w:rsidRPr="001621CC">
        <w:rPr>
          <w:spacing w:val="-2"/>
          <w:highlight w:val="white"/>
        </w:rPr>
        <w:t xml:space="preserve">While </w:t>
      </w:r>
      <w:r w:rsidR="00B36B52" w:rsidRPr="001621CC">
        <w:rPr>
          <w:spacing w:val="-2"/>
          <w:highlight w:val="white"/>
        </w:rPr>
        <w:t xml:space="preserve">RMSC’s “tested on owners, not animals” approach was a protest against animal testing, it </w:t>
      </w:r>
      <w:r w:rsidRPr="001621CC">
        <w:rPr>
          <w:spacing w:val="-2"/>
          <w:highlight w:val="white"/>
        </w:rPr>
        <w:t xml:space="preserve">also meant </w:t>
      </w:r>
      <w:r w:rsidR="00B36B52" w:rsidRPr="001621CC">
        <w:rPr>
          <w:spacing w:val="-2"/>
          <w:highlight w:val="white"/>
        </w:rPr>
        <w:t>more</w:t>
      </w:r>
      <w:r w:rsidRPr="001621CC">
        <w:rPr>
          <w:spacing w:val="-2"/>
          <w:highlight w:val="white"/>
        </w:rPr>
        <w:t xml:space="preserve">. </w:t>
      </w:r>
      <w:r w:rsidR="00B36B52" w:rsidRPr="001621CC">
        <w:rPr>
          <w:spacing w:val="-2"/>
          <w:highlight w:val="white"/>
        </w:rPr>
        <w:t xml:space="preserve">RMSC believed that if all body care companies would use only toxin-free ingredients, then the </w:t>
      </w:r>
      <w:r w:rsidRPr="001621CC">
        <w:rPr>
          <w:spacing w:val="-2"/>
          <w:highlight w:val="white"/>
        </w:rPr>
        <w:t xml:space="preserve">entire </w:t>
      </w:r>
      <w:r w:rsidR="00B36B52" w:rsidRPr="001621CC">
        <w:rPr>
          <w:spacing w:val="-2"/>
          <w:highlight w:val="white"/>
        </w:rPr>
        <w:t>industry would completely eliminate the need to test on animals. RMSC also asserted that non-toxic body care products served to protect natural habitats and aquatic life after the products went down the drain and re-entered the natural environment. The co-owners’ goal was to change the industry as a whole so that it took care of animals and their habitats. They conscientiously worked to make “100 per cent natural” an environmentally and socially conscious choice for all consumers, not just RMSC customers.</w:t>
      </w:r>
    </w:p>
    <w:p w14:paraId="5FD44D55" w14:textId="77777777" w:rsidR="00B36B52" w:rsidRPr="001621CC" w:rsidRDefault="00B36B52" w:rsidP="001621CC">
      <w:pPr>
        <w:pStyle w:val="BodyTextMain"/>
        <w:rPr>
          <w:highlight w:val="white"/>
        </w:rPr>
      </w:pPr>
    </w:p>
    <w:p w14:paraId="27237343" w14:textId="77777777" w:rsidR="00B36B52" w:rsidRPr="001621CC" w:rsidRDefault="00B36B52" w:rsidP="001621CC">
      <w:pPr>
        <w:pStyle w:val="BodyTextMain"/>
        <w:rPr>
          <w:highlight w:val="white"/>
        </w:rPr>
      </w:pPr>
    </w:p>
    <w:p w14:paraId="6EA79BA1" w14:textId="77777777" w:rsidR="00B36B52" w:rsidRPr="0091055F" w:rsidRDefault="00B36B52" w:rsidP="00EB5F28">
      <w:pPr>
        <w:pStyle w:val="Casehead2"/>
        <w:rPr>
          <w:lang w:val="en-GB"/>
        </w:rPr>
      </w:pPr>
      <w:r w:rsidRPr="0091055F">
        <w:rPr>
          <w:highlight w:val="white"/>
          <w:lang w:val="en-GB"/>
        </w:rPr>
        <w:t xml:space="preserve">Manufacturing </w:t>
      </w:r>
    </w:p>
    <w:p w14:paraId="2F0A62F4" w14:textId="77777777" w:rsidR="00B36B52" w:rsidRPr="00B36B52" w:rsidRDefault="00B36B52" w:rsidP="00FE1FC6">
      <w:pPr>
        <w:pStyle w:val="BodyTextMain"/>
        <w:rPr>
          <w:sz w:val="20"/>
          <w:lang w:val="en-GB"/>
        </w:rPr>
      </w:pPr>
    </w:p>
    <w:p w14:paraId="3C830109" w14:textId="25F341A4" w:rsidR="00B36B52" w:rsidRPr="0091055F" w:rsidRDefault="00B36B52" w:rsidP="00FE1FC6">
      <w:pPr>
        <w:pStyle w:val="BodyTextMain"/>
        <w:rPr>
          <w:lang w:val="en-GB"/>
        </w:rPr>
      </w:pPr>
      <w:r w:rsidRPr="0091055F">
        <w:rPr>
          <w:highlight w:val="white"/>
          <w:lang w:val="en-GB"/>
        </w:rPr>
        <w:t>To ensure high quality, RMSC formulated and manufactured its own products in its Canmore workshop, a 16,000</w:t>
      </w:r>
      <w:r w:rsidR="00AF0012">
        <w:rPr>
          <w:highlight w:val="white"/>
          <w:lang w:val="en-GB"/>
        </w:rPr>
        <w:t>-</w:t>
      </w:r>
      <w:r w:rsidRPr="0091055F">
        <w:rPr>
          <w:highlight w:val="white"/>
          <w:lang w:val="en-GB"/>
        </w:rPr>
        <w:t>square</w:t>
      </w:r>
      <w:r w:rsidR="00AF0012">
        <w:rPr>
          <w:highlight w:val="white"/>
          <w:lang w:val="en-GB"/>
        </w:rPr>
        <w:t>-</w:t>
      </w:r>
      <w:r w:rsidRPr="0091055F">
        <w:rPr>
          <w:highlight w:val="white"/>
          <w:lang w:val="en-GB"/>
        </w:rPr>
        <w:t>foot “green” space that welcomed visitors who could see first</w:t>
      </w:r>
      <w:r>
        <w:rPr>
          <w:highlight w:val="white"/>
          <w:lang w:val="en-GB"/>
        </w:rPr>
        <w:t>-</w:t>
      </w:r>
      <w:r w:rsidRPr="0091055F">
        <w:rPr>
          <w:highlight w:val="white"/>
          <w:lang w:val="en-GB"/>
        </w:rPr>
        <w:t>hand how products were made and how RMSC’s different departments worked together to conduct business.</w:t>
      </w:r>
    </w:p>
    <w:p w14:paraId="08CB7A4F" w14:textId="77777777" w:rsidR="00B36B52" w:rsidRPr="00B36B52" w:rsidRDefault="00B36B52" w:rsidP="00FE1FC6">
      <w:pPr>
        <w:pStyle w:val="BodyTextMain"/>
        <w:rPr>
          <w:sz w:val="20"/>
          <w:highlight w:val="white"/>
          <w:lang w:val="en-GB"/>
        </w:rPr>
      </w:pPr>
    </w:p>
    <w:p w14:paraId="011FD97B" w14:textId="0FF6DF50" w:rsidR="00B36B52" w:rsidRPr="0091055F" w:rsidRDefault="00B36B52" w:rsidP="00FE1FC6">
      <w:pPr>
        <w:pStyle w:val="BodyTextMain"/>
        <w:rPr>
          <w:highlight w:val="white"/>
          <w:lang w:val="en-GB"/>
        </w:rPr>
      </w:pPr>
      <w:r w:rsidRPr="0091055F">
        <w:rPr>
          <w:highlight w:val="white"/>
          <w:lang w:val="en-GB"/>
        </w:rPr>
        <w:lastRenderedPageBreak/>
        <w:t>In planning for the facility expansion, which took place in 2015, Baty and Birch were intentional in designing a manufacturing space that aligned with their commitment to being 100</w:t>
      </w:r>
      <w:r>
        <w:rPr>
          <w:highlight w:val="white"/>
          <w:lang w:val="en-GB"/>
        </w:rPr>
        <w:t xml:space="preserve"> per cent</w:t>
      </w:r>
      <w:r w:rsidRPr="0091055F">
        <w:rPr>
          <w:highlight w:val="white"/>
          <w:lang w:val="en-GB"/>
        </w:rPr>
        <w:t xml:space="preserve"> natural and eco-friendly. Following through with that intention, they purchased and renovated a used building rather than constructing a new one. </w:t>
      </w:r>
      <w:r>
        <w:rPr>
          <w:highlight w:val="white"/>
          <w:lang w:val="en-GB"/>
        </w:rPr>
        <w:t>Whenever possible, t</w:t>
      </w:r>
      <w:r w:rsidRPr="0091055F">
        <w:rPr>
          <w:highlight w:val="white"/>
          <w:lang w:val="en-GB"/>
        </w:rPr>
        <w:t xml:space="preserve">hey also reused existing furnaces, insulation, lighting, doors, bathroom fixtures, and kitchen cabinets. Reclaimed wood was chosen for all millwork and studs, and all lighting was </w:t>
      </w:r>
      <w:r>
        <w:rPr>
          <w:highlight w:val="white"/>
          <w:lang w:val="en-GB"/>
        </w:rPr>
        <w:t xml:space="preserve">obtained </w:t>
      </w:r>
      <w:r w:rsidRPr="0091055F">
        <w:rPr>
          <w:highlight w:val="white"/>
          <w:lang w:val="en-GB"/>
        </w:rPr>
        <w:t>from reclaimed sources. Solar electricity was added, low</w:t>
      </w:r>
      <w:r>
        <w:rPr>
          <w:highlight w:val="white"/>
          <w:lang w:val="en-GB"/>
        </w:rPr>
        <w:t>-</w:t>
      </w:r>
      <w:r w:rsidRPr="0091055F">
        <w:rPr>
          <w:highlight w:val="white"/>
          <w:lang w:val="en-GB"/>
        </w:rPr>
        <w:t xml:space="preserve">VOC </w:t>
      </w:r>
      <w:r>
        <w:rPr>
          <w:highlight w:val="white"/>
          <w:lang w:val="en-GB"/>
        </w:rPr>
        <w:t xml:space="preserve">(volatile organic compound) </w:t>
      </w:r>
      <w:r w:rsidRPr="0091055F">
        <w:rPr>
          <w:highlight w:val="white"/>
          <w:lang w:val="en-GB"/>
        </w:rPr>
        <w:t>paint was used, and recycled fibre carpeting was installed. Desks were constructed from birch plywood rather than laminates, tables were made from barn fir, and marble countertops were fashioned from slabs that once dressed the outside of a Toronto office tower.</w:t>
      </w:r>
    </w:p>
    <w:p w14:paraId="3DE700AD" w14:textId="77777777" w:rsidR="00B36B52" w:rsidRPr="005C75C4" w:rsidRDefault="00B36B52" w:rsidP="005C75C4">
      <w:pPr>
        <w:pStyle w:val="BodyTextMain"/>
        <w:rPr>
          <w:highlight w:val="white"/>
        </w:rPr>
      </w:pPr>
    </w:p>
    <w:p w14:paraId="6211C124" w14:textId="22FC6F05" w:rsidR="00B36B52" w:rsidRPr="005C75C4" w:rsidRDefault="00B36B52" w:rsidP="005C75C4">
      <w:pPr>
        <w:pStyle w:val="BodyTextMain"/>
        <w:rPr>
          <w:highlight w:val="white"/>
        </w:rPr>
      </w:pPr>
      <w:r w:rsidRPr="005C75C4">
        <w:rPr>
          <w:highlight w:val="white"/>
        </w:rPr>
        <w:t>The expanded workshop allowed RMSC to keep the small-batch processing Baty and Birch believed was integral to the consistent manufacture of high-quality products while providing enough space for the operation to triple in size before they needed to consider another facility. And, while Baty admits that their expansion approach was more expensive than the other avenues they considered (most specifically, relocating manufacturing operations to his hometown of Winnipeg, where real estate and development costs were significantly lower than in the resort community of Canmore), the decision to keep operations “nestled in the heart of the snow-capped Canadian Rockies” made sense from both an ethical and branding perspective. Baty fittingly affirmed, “We are the Rocky Mountain Soap Company, after all.”</w:t>
      </w:r>
    </w:p>
    <w:p w14:paraId="5E2B74A4" w14:textId="77777777" w:rsidR="00B36B52" w:rsidRPr="005C75C4" w:rsidRDefault="00B36B52" w:rsidP="005C75C4">
      <w:pPr>
        <w:pStyle w:val="BodyTextMain"/>
        <w:rPr>
          <w:highlight w:val="white"/>
        </w:rPr>
      </w:pPr>
    </w:p>
    <w:p w14:paraId="4426AD5E" w14:textId="77777777" w:rsidR="00B36B52" w:rsidRPr="005C75C4" w:rsidRDefault="00B36B52" w:rsidP="005C75C4">
      <w:pPr>
        <w:pStyle w:val="BodyTextMain"/>
        <w:rPr>
          <w:highlight w:val="white"/>
        </w:rPr>
      </w:pPr>
    </w:p>
    <w:p w14:paraId="1AD5B74F" w14:textId="77777777" w:rsidR="00B36B52" w:rsidRPr="0091055F" w:rsidRDefault="00B36B52" w:rsidP="00EB5F28">
      <w:pPr>
        <w:pStyle w:val="Casehead2"/>
        <w:rPr>
          <w:highlight w:val="white"/>
          <w:lang w:val="en-GB"/>
        </w:rPr>
      </w:pPr>
      <w:r w:rsidRPr="0091055F">
        <w:rPr>
          <w:highlight w:val="white"/>
          <w:lang w:val="en-GB"/>
        </w:rPr>
        <w:t>Corporate Culture</w:t>
      </w:r>
    </w:p>
    <w:p w14:paraId="13E6021B" w14:textId="77777777" w:rsidR="00B36B52" w:rsidRPr="006266A1" w:rsidRDefault="00B36B52" w:rsidP="00FE1FC6">
      <w:pPr>
        <w:pStyle w:val="BodyTextMain"/>
        <w:rPr>
          <w:sz w:val="20"/>
          <w:highlight w:val="white"/>
          <w:lang w:val="en-GB"/>
        </w:rPr>
      </w:pPr>
    </w:p>
    <w:p w14:paraId="79EB8652" w14:textId="77777777" w:rsidR="00B36B52" w:rsidRPr="005C75C4" w:rsidRDefault="00B36B52" w:rsidP="005C75C4">
      <w:pPr>
        <w:pStyle w:val="BodyTextMain"/>
        <w:rPr>
          <w:highlight w:val="white"/>
        </w:rPr>
      </w:pPr>
      <w:bookmarkStart w:id="1" w:name="30j0zll" w:colFirst="0" w:colLast="0"/>
      <w:bookmarkStart w:id="2" w:name="gjdgxs" w:colFirst="0" w:colLast="0"/>
      <w:bookmarkEnd w:id="1"/>
      <w:bookmarkEnd w:id="2"/>
      <w:r w:rsidRPr="005C75C4">
        <w:rPr>
          <w:highlight w:val="white"/>
        </w:rPr>
        <w:t>In 2012, RMSC was recognized as one of Canada’s 10 Most Admired Corporate Cultures.</w:t>
      </w:r>
      <w:r w:rsidRPr="005C75C4">
        <w:rPr>
          <w:highlight w:val="white"/>
          <w:vertAlign w:val="superscript"/>
        </w:rPr>
        <w:endnoteReference w:id="2"/>
      </w:r>
      <w:r w:rsidRPr="005C75C4">
        <w:rPr>
          <w:highlight w:val="white"/>
        </w:rPr>
        <w:t xml:space="preserve"> This prestigious award was created to celebrate and advance “best-in-class Canadian organizations for having cultures that have helped them enhance performance and sustain a competitive advantage.”</w:t>
      </w:r>
      <w:r w:rsidRPr="005C75C4">
        <w:rPr>
          <w:highlight w:val="white"/>
          <w:vertAlign w:val="superscript"/>
        </w:rPr>
        <w:endnoteReference w:id="3"/>
      </w:r>
      <w:r w:rsidRPr="005C75C4">
        <w:rPr>
          <w:highlight w:val="white"/>
        </w:rPr>
        <w:t xml:space="preserve"> </w:t>
      </w:r>
    </w:p>
    <w:p w14:paraId="5B8CE0B0" w14:textId="77777777" w:rsidR="00B36B52" w:rsidRPr="005C75C4" w:rsidRDefault="00B36B52" w:rsidP="005C75C4">
      <w:pPr>
        <w:pStyle w:val="BodyTextMain"/>
        <w:rPr>
          <w:highlight w:val="white"/>
        </w:rPr>
      </w:pPr>
    </w:p>
    <w:p w14:paraId="4694A52A" w14:textId="48BBED0E" w:rsidR="00B36B52" w:rsidRPr="005C75C4" w:rsidRDefault="00B36B52" w:rsidP="005C75C4">
      <w:pPr>
        <w:pStyle w:val="BodyTextMain"/>
        <w:rPr>
          <w:highlight w:val="white"/>
        </w:rPr>
      </w:pPr>
      <w:r w:rsidRPr="005C75C4">
        <w:rPr>
          <w:highlight w:val="white"/>
        </w:rPr>
        <w:t>In line with the criteria for this award, RMSC identified five key values that helped drive its business practices:</w:t>
      </w:r>
    </w:p>
    <w:p w14:paraId="4F91254F" w14:textId="77777777" w:rsidR="00B36B52" w:rsidRPr="001621CC" w:rsidRDefault="00B36B52" w:rsidP="001621CC">
      <w:pPr>
        <w:pStyle w:val="BodyTextMain"/>
        <w:rPr>
          <w:highlight w:val="white"/>
        </w:rPr>
      </w:pPr>
    </w:p>
    <w:p w14:paraId="0E511481" w14:textId="6B096349" w:rsidR="00B36B52" w:rsidRPr="001621CC" w:rsidRDefault="00B36B52" w:rsidP="001621CC">
      <w:pPr>
        <w:pStyle w:val="BodyTextMain"/>
        <w:numPr>
          <w:ilvl w:val="0"/>
          <w:numId w:val="22"/>
        </w:numPr>
        <w:rPr>
          <w:highlight w:val="white"/>
        </w:rPr>
      </w:pPr>
      <w:r w:rsidRPr="001621CC">
        <w:rPr>
          <w:i/>
          <w:highlight w:val="white"/>
        </w:rPr>
        <w:t>Positivitude</w:t>
      </w:r>
      <w:r w:rsidR="00160BB0" w:rsidRPr="001621CC">
        <w:rPr>
          <w:highlight w:val="white"/>
        </w:rPr>
        <w:t>—</w:t>
      </w:r>
      <w:r w:rsidRPr="001621CC">
        <w:rPr>
          <w:highlight w:val="white"/>
        </w:rPr>
        <w:t xml:space="preserve">RMSC coined this word to amalgamate positivity and attitude. RMSC believed that the more positive energy that people experienced, the healthier and happier they would be. </w:t>
      </w:r>
    </w:p>
    <w:p w14:paraId="578C534E" w14:textId="7BE39F6E" w:rsidR="00B36B52" w:rsidRPr="001621CC" w:rsidRDefault="00B36B52" w:rsidP="001621CC">
      <w:pPr>
        <w:pStyle w:val="BodyTextMain"/>
        <w:numPr>
          <w:ilvl w:val="0"/>
          <w:numId w:val="22"/>
        </w:numPr>
        <w:rPr>
          <w:highlight w:val="white"/>
        </w:rPr>
      </w:pPr>
      <w:r w:rsidRPr="001621CC">
        <w:rPr>
          <w:i/>
          <w:highlight w:val="white"/>
        </w:rPr>
        <w:t>Be Kind</w:t>
      </w:r>
      <w:r w:rsidR="00160BB0" w:rsidRPr="001621CC">
        <w:rPr>
          <w:highlight w:val="white"/>
        </w:rPr>
        <w:t>—</w:t>
      </w:r>
      <w:r w:rsidRPr="001621CC">
        <w:rPr>
          <w:highlight w:val="white"/>
        </w:rPr>
        <w:t>RMSC invited its staff to consider the impact of their actions on those around them: “In the hardest moments it’s not what you do, but how you do it.”</w:t>
      </w:r>
    </w:p>
    <w:p w14:paraId="3D64CB40" w14:textId="61F44CAC" w:rsidR="00B36B52" w:rsidRPr="001621CC" w:rsidRDefault="00B36B52" w:rsidP="001621CC">
      <w:pPr>
        <w:pStyle w:val="BodyTextMain"/>
        <w:numPr>
          <w:ilvl w:val="0"/>
          <w:numId w:val="22"/>
        </w:numPr>
        <w:rPr>
          <w:highlight w:val="white"/>
        </w:rPr>
      </w:pPr>
      <w:r w:rsidRPr="001621CC">
        <w:rPr>
          <w:i/>
          <w:highlight w:val="white"/>
        </w:rPr>
        <w:t>Customer Service Is an Extreme Sport</w:t>
      </w:r>
      <w:r w:rsidR="00160BB0" w:rsidRPr="001621CC">
        <w:rPr>
          <w:highlight w:val="white"/>
        </w:rPr>
        <w:t>—</w:t>
      </w:r>
      <w:r w:rsidRPr="001621CC">
        <w:rPr>
          <w:highlight w:val="white"/>
        </w:rPr>
        <w:t>According to RMSC, providing great service required creativity, focus, and a solid game plan, all built from sharp skills and meaningful relationships.</w:t>
      </w:r>
    </w:p>
    <w:p w14:paraId="5ED63003" w14:textId="6A0FDA5F" w:rsidR="00B36B52" w:rsidRPr="001621CC" w:rsidRDefault="00B36B52" w:rsidP="001621CC">
      <w:pPr>
        <w:pStyle w:val="BodyTextMain"/>
        <w:numPr>
          <w:ilvl w:val="0"/>
          <w:numId w:val="22"/>
        </w:numPr>
        <w:rPr>
          <w:highlight w:val="white"/>
        </w:rPr>
      </w:pPr>
      <w:r w:rsidRPr="001621CC">
        <w:rPr>
          <w:i/>
          <w:highlight w:val="white"/>
        </w:rPr>
        <w:t>Cultivate Team Spirit</w:t>
      </w:r>
      <w:r w:rsidR="00160BB0" w:rsidRPr="001621CC">
        <w:rPr>
          <w:highlight w:val="white"/>
        </w:rPr>
        <w:t>—</w:t>
      </w:r>
      <w:r w:rsidRPr="001621CC">
        <w:rPr>
          <w:highlight w:val="white"/>
        </w:rPr>
        <w:t>“Never leaving anyone behind” was the summary principle. RMSC advocated open and honest communication, respect, and positivity as methods to build team trust and create unity around shared objectives.</w:t>
      </w:r>
    </w:p>
    <w:p w14:paraId="59FCD428" w14:textId="52940F0B" w:rsidR="00B36B52" w:rsidRPr="001621CC" w:rsidRDefault="00B36B52" w:rsidP="001621CC">
      <w:pPr>
        <w:pStyle w:val="BodyTextMain"/>
        <w:numPr>
          <w:ilvl w:val="0"/>
          <w:numId w:val="22"/>
        </w:numPr>
        <w:rPr>
          <w:highlight w:val="white"/>
        </w:rPr>
      </w:pPr>
      <w:r w:rsidRPr="001621CC">
        <w:rPr>
          <w:i/>
          <w:highlight w:val="white"/>
        </w:rPr>
        <w:t>Give It a Go</w:t>
      </w:r>
      <w:r w:rsidR="00160BB0" w:rsidRPr="001621CC">
        <w:rPr>
          <w:highlight w:val="white"/>
        </w:rPr>
        <w:t>—</w:t>
      </w:r>
      <w:r w:rsidRPr="001621CC">
        <w:rPr>
          <w:highlight w:val="white"/>
        </w:rPr>
        <w:t>This final value referred to the use of innovation, adventure, courage, curiosity, open-mindedness, flexibility, and imagination.</w:t>
      </w:r>
    </w:p>
    <w:p w14:paraId="5363E00A" w14:textId="77777777" w:rsidR="00B36B52" w:rsidRPr="001621CC" w:rsidRDefault="00B36B52" w:rsidP="001621CC">
      <w:pPr>
        <w:pStyle w:val="BodyTextMain"/>
        <w:rPr>
          <w:highlight w:val="white"/>
        </w:rPr>
      </w:pPr>
    </w:p>
    <w:p w14:paraId="3996D3D9" w14:textId="5CE508A3" w:rsidR="00B36B52" w:rsidRPr="003640EA" w:rsidRDefault="00B36B52" w:rsidP="00FE1FC6">
      <w:pPr>
        <w:pStyle w:val="BodyTextMain"/>
        <w:rPr>
          <w:spacing w:val="-2"/>
          <w:lang w:val="en-GB"/>
        </w:rPr>
      </w:pPr>
      <w:r w:rsidRPr="003640EA">
        <w:rPr>
          <w:spacing w:val="-2"/>
          <w:lang w:val="en-GB"/>
        </w:rPr>
        <w:t xml:space="preserve">These values stemmed from Baty and Birch’s general leadership approach to dismantling barriers between management and employees. To demonstrate their commitment to sharing RMSC’s successes with their employees, Baty and Birch drew on WestJet’s model and implemented their own profit-sharing program. </w:t>
      </w:r>
    </w:p>
    <w:p w14:paraId="6A49FB1B" w14:textId="77777777" w:rsidR="00B36B52" w:rsidRPr="006266A1" w:rsidRDefault="00B36B52" w:rsidP="00FE1FC6">
      <w:pPr>
        <w:pStyle w:val="BodyTextMain"/>
        <w:rPr>
          <w:sz w:val="20"/>
          <w:lang w:val="en-GB"/>
        </w:rPr>
      </w:pPr>
    </w:p>
    <w:p w14:paraId="33331B64" w14:textId="77777777" w:rsidR="00B36B52" w:rsidRPr="006266A1" w:rsidRDefault="00B36B52" w:rsidP="00FE1FC6">
      <w:pPr>
        <w:pStyle w:val="BodyTextMain"/>
        <w:rPr>
          <w:color w:val="000000"/>
          <w:sz w:val="20"/>
          <w:lang w:val="en-GB"/>
        </w:rPr>
      </w:pPr>
    </w:p>
    <w:p w14:paraId="4AAEAA56" w14:textId="77777777" w:rsidR="00B36B52" w:rsidRPr="0091055F" w:rsidRDefault="00B36B52" w:rsidP="009E7AA2">
      <w:pPr>
        <w:pStyle w:val="Casehead1"/>
        <w:keepNext/>
        <w:rPr>
          <w:lang w:val="en-GB"/>
        </w:rPr>
      </w:pPr>
      <w:r w:rsidRPr="0091055F">
        <w:rPr>
          <w:lang w:val="en-GB"/>
        </w:rPr>
        <w:lastRenderedPageBreak/>
        <w:t>THE SKINCARE INDUSTRY</w:t>
      </w:r>
    </w:p>
    <w:p w14:paraId="29C98B5F" w14:textId="77777777" w:rsidR="00B36B52" w:rsidRPr="006266A1" w:rsidRDefault="00B36B52" w:rsidP="009E7AA2">
      <w:pPr>
        <w:pStyle w:val="BodyTextMain"/>
        <w:keepNext/>
        <w:rPr>
          <w:rFonts w:ascii="Times" w:eastAsia="Times" w:hAnsi="Times" w:cs="Times"/>
          <w:color w:val="000000"/>
          <w:sz w:val="20"/>
          <w:lang w:val="en-GB"/>
        </w:rPr>
      </w:pPr>
    </w:p>
    <w:p w14:paraId="33F48518" w14:textId="54B70359" w:rsidR="00B36B52" w:rsidRPr="0091055F" w:rsidRDefault="00B36B52" w:rsidP="009E7AA2">
      <w:pPr>
        <w:pStyle w:val="BodyTextMain"/>
        <w:keepNext/>
        <w:rPr>
          <w:color w:val="000000"/>
          <w:spacing w:val="-4"/>
          <w:lang w:val="en-GB"/>
        </w:rPr>
      </w:pPr>
      <w:r w:rsidRPr="0091055F">
        <w:rPr>
          <w:color w:val="000000"/>
          <w:spacing w:val="-4"/>
          <w:lang w:val="en-GB"/>
        </w:rPr>
        <w:t xml:space="preserve">The retail market of skincare products included </w:t>
      </w:r>
      <w:r>
        <w:rPr>
          <w:color w:val="000000"/>
          <w:spacing w:val="-4"/>
          <w:lang w:val="en-GB"/>
        </w:rPr>
        <w:t xml:space="preserve">products formulated for </w:t>
      </w:r>
      <w:r w:rsidRPr="0091055F">
        <w:rPr>
          <w:color w:val="000000"/>
          <w:spacing w:val="-4"/>
          <w:lang w:val="en-GB"/>
        </w:rPr>
        <w:t>facial care, body care, hand care, make-up remov</w:t>
      </w:r>
      <w:r>
        <w:rPr>
          <w:color w:val="000000"/>
          <w:spacing w:val="-4"/>
          <w:lang w:val="en-GB"/>
        </w:rPr>
        <w:t>al</w:t>
      </w:r>
      <w:r w:rsidRPr="0091055F">
        <w:rPr>
          <w:color w:val="000000"/>
          <w:spacing w:val="-4"/>
          <w:lang w:val="en-GB"/>
        </w:rPr>
        <w:t>, and depilatories (hair remover</w:t>
      </w:r>
      <w:r>
        <w:rPr>
          <w:color w:val="000000"/>
          <w:spacing w:val="-4"/>
          <w:lang w:val="en-GB"/>
        </w:rPr>
        <w:t>s</w:t>
      </w:r>
      <w:r w:rsidRPr="0091055F">
        <w:rPr>
          <w:color w:val="000000"/>
          <w:spacing w:val="-4"/>
          <w:lang w:val="en-GB"/>
        </w:rPr>
        <w:t>)</w:t>
      </w:r>
      <w:r>
        <w:rPr>
          <w:color w:val="000000"/>
          <w:spacing w:val="-4"/>
          <w:lang w:val="en-GB"/>
        </w:rPr>
        <w:t>.</w:t>
      </w:r>
      <w:r w:rsidRPr="0091055F">
        <w:rPr>
          <w:color w:val="000000"/>
          <w:spacing w:val="-4"/>
          <w:lang w:val="en-GB"/>
        </w:rPr>
        <w:t xml:space="preserve"> Facial</w:t>
      </w:r>
      <w:r>
        <w:rPr>
          <w:color w:val="000000"/>
          <w:spacing w:val="-4"/>
          <w:lang w:val="en-GB"/>
        </w:rPr>
        <w:t xml:space="preserve"> care</w:t>
      </w:r>
      <w:r w:rsidRPr="0091055F">
        <w:rPr>
          <w:color w:val="000000"/>
          <w:spacing w:val="-4"/>
          <w:lang w:val="en-GB"/>
        </w:rPr>
        <w:t>, body</w:t>
      </w:r>
      <w:r>
        <w:rPr>
          <w:color w:val="000000"/>
          <w:spacing w:val="-4"/>
          <w:lang w:val="en-GB"/>
        </w:rPr>
        <w:t xml:space="preserve"> care,</w:t>
      </w:r>
      <w:r w:rsidRPr="0091055F">
        <w:rPr>
          <w:color w:val="000000"/>
          <w:spacing w:val="-4"/>
          <w:lang w:val="en-GB"/>
        </w:rPr>
        <w:t xml:space="preserve"> and hand care made up 96</w:t>
      </w:r>
      <w:r>
        <w:rPr>
          <w:color w:val="000000"/>
          <w:spacing w:val="-4"/>
          <w:lang w:val="en-GB"/>
        </w:rPr>
        <w:t xml:space="preserve"> per cent</w:t>
      </w:r>
      <w:r w:rsidRPr="0091055F">
        <w:rPr>
          <w:color w:val="000000"/>
          <w:spacing w:val="-4"/>
          <w:lang w:val="en-GB"/>
        </w:rPr>
        <w:t xml:space="preserve"> of the skincare market in 2017 (</w:t>
      </w:r>
      <w:r>
        <w:rPr>
          <w:color w:val="000000"/>
          <w:spacing w:val="-4"/>
          <w:lang w:val="en-GB"/>
        </w:rPr>
        <w:t xml:space="preserve">see </w:t>
      </w:r>
      <w:r w:rsidRPr="0091055F">
        <w:rPr>
          <w:color w:val="000000"/>
          <w:spacing w:val="-4"/>
          <w:lang w:val="en-GB"/>
        </w:rPr>
        <w:t xml:space="preserve">Exhibit 2). </w:t>
      </w:r>
    </w:p>
    <w:p w14:paraId="46A2AB6E" w14:textId="77777777" w:rsidR="00B36B52" w:rsidRPr="006266A1" w:rsidRDefault="00B36B52" w:rsidP="00FE1FC6">
      <w:pPr>
        <w:pStyle w:val="BodyTextMain"/>
        <w:rPr>
          <w:color w:val="000000"/>
          <w:sz w:val="20"/>
          <w:lang w:val="en-GB"/>
        </w:rPr>
      </w:pPr>
    </w:p>
    <w:p w14:paraId="69978043" w14:textId="5F1A83EB" w:rsidR="00B36B52" w:rsidRPr="0091055F" w:rsidRDefault="00B36B52" w:rsidP="00FE1FC6">
      <w:pPr>
        <w:pStyle w:val="BodyTextMain"/>
        <w:rPr>
          <w:color w:val="000000"/>
          <w:lang w:val="en-GB"/>
        </w:rPr>
      </w:pPr>
      <w:r w:rsidRPr="0091055F">
        <w:rPr>
          <w:color w:val="000000"/>
          <w:lang w:val="en-GB"/>
        </w:rPr>
        <w:t xml:space="preserve">The Personal Products Council, a trade association for the cosmetics and personal-care products industry with more than 600 member companies, reported annual industry revenue of more than </w:t>
      </w:r>
      <w:r>
        <w:rPr>
          <w:color w:val="000000"/>
          <w:lang w:val="en-GB"/>
        </w:rPr>
        <w:t>US</w:t>
      </w:r>
      <w:r w:rsidRPr="0091055F">
        <w:rPr>
          <w:color w:val="000000"/>
          <w:lang w:val="en-GB"/>
        </w:rPr>
        <w:t>$250 billion worldwide for 2016.</w:t>
      </w:r>
      <w:r w:rsidRPr="0091055F">
        <w:rPr>
          <w:color w:val="000000"/>
          <w:vertAlign w:val="superscript"/>
          <w:lang w:val="en-GB"/>
        </w:rPr>
        <w:endnoteReference w:id="4"/>
      </w:r>
      <w:r w:rsidRPr="0091055F">
        <w:rPr>
          <w:color w:val="000000"/>
          <w:lang w:val="en-GB"/>
        </w:rPr>
        <w:t xml:space="preserve"> Furthermore, the global market for this sector was expected to increase between 3.5</w:t>
      </w:r>
      <w:r>
        <w:rPr>
          <w:color w:val="000000"/>
          <w:lang w:val="en-GB"/>
        </w:rPr>
        <w:t xml:space="preserve"> per cent</w:t>
      </w:r>
      <w:r w:rsidRPr="0091055F">
        <w:rPr>
          <w:color w:val="000000"/>
          <w:lang w:val="en-GB"/>
        </w:rPr>
        <w:t xml:space="preserve"> and 4.5</w:t>
      </w:r>
      <w:r>
        <w:rPr>
          <w:color w:val="000000"/>
          <w:lang w:val="en-GB"/>
        </w:rPr>
        <w:t xml:space="preserve"> per cent</w:t>
      </w:r>
      <w:r w:rsidRPr="0091055F">
        <w:rPr>
          <w:color w:val="000000"/>
          <w:lang w:val="en-GB"/>
        </w:rPr>
        <w:t xml:space="preserve"> to reach a forecasted total market value of </w:t>
      </w:r>
      <w:r>
        <w:rPr>
          <w:color w:val="000000"/>
          <w:lang w:val="en-GB"/>
        </w:rPr>
        <w:t>US</w:t>
      </w:r>
      <w:r w:rsidRPr="0091055F">
        <w:rPr>
          <w:color w:val="000000"/>
          <w:lang w:val="en-GB"/>
        </w:rPr>
        <w:t>$500 billion by 2020.</w:t>
      </w:r>
      <w:r w:rsidRPr="0091055F">
        <w:rPr>
          <w:color w:val="000000"/>
          <w:vertAlign w:val="superscript"/>
          <w:lang w:val="en-GB"/>
        </w:rPr>
        <w:endnoteReference w:id="5"/>
      </w:r>
    </w:p>
    <w:p w14:paraId="74207A5B" w14:textId="77777777" w:rsidR="00B36B52" w:rsidRPr="006266A1" w:rsidRDefault="00B36B52" w:rsidP="00FE1FC6">
      <w:pPr>
        <w:pStyle w:val="BodyTextMain"/>
        <w:rPr>
          <w:color w:val="000000"/>
          <w:sz w:val="20"/>
          <w:lang w:val="en-GB"/>
        </w:rPr>
      </w:pPr>
    </w:p>
    <w:p w14:paraId="1B4D19DF" w14:textId="77777777" w:rsidR="00B36B52" w:rsidRPr="006266A1" w:rsidRDefault="00B36B52" w:rsidP="00FE1FC6">
      <w:pPr>
        <w:pStyle w:val="BodyTextMain"/>
        <w:rPr>
          <w:color w:val="000000"/>
          <w:sz w:val="20"/>
          <w:lang w:val="en-GB"/>
        </w:rPr>
      </w:pPr>
    </w:p>
    <w:p w14:paraId="1D02E41B" w14:textId="77777777" w:rsidR="00B36B52" w:rsidRPr="0091055F" w:rsidRDefault="00B36B52" w:rsidP="00EB5F28">
      <w:pPr>
        <w:pStyle w:val="Casehead2"/>
        <w:rPr>
          <w:lang w:val="en-GB"/>
        </w:rPr>
      </w:pPr>
      <w:r w:rsidRPr="0091055F">
        <w:rPr>
          <w:lang w:val="en-GB"/>
        </w:rPr>
        <w:t>Industry Trends and Opportunities</w:t>
      </w:r>
    </w:p>
    <w:p w14:paraId="12F59AC8" w14:textId="77777777" w:rsidR="00B36B52" w:rsidRPr="003640EA" w:rsidRDefault="00B36B52" w:rsidP="00FE1FC6">
      <w:pPr>
        <w:pStyle w:val="BodyTextMain"/>
        <w:rPr>
          <w:color w:val="000000"/>
          <w:sz w:val="20"/>
          <w:lang w:val="en-GB"/>
        </w:rPr>
      </w:pPr>
    </w:p>
    <w:p w14:paraId="733F9C42" w14:textId="5D084AE2" w:rsidR="00B36B52" w:rsidRDefault="00B36B52" w:rsidP="00FE1FC6">
      <w:pPr>
        <w:pStyle w:val="BodyTextMain"/>
        <w:rPr>
          <w:color w:val="000000"/>
          <w:lang w:val="en-GB"/>
        </w:rPr>
      </w:pPr>
      <w:r w:rsidRPr="0091055F">
        <w:rPr>
          <w:color w:val="000000"/>
          <w:lang w:val="en-GB"/>
        </w:rPr>
        <w:t>RMSC was growing amid rapid</w:t>
      </w:r>
      <w:r w:rsidR="00904B18">
        <w:rPr>
          <w:color w:val="000000"/>
          <w:lang w:val="en-GB"/>
        </w:rPr>
        <w:t>ly</w:t>
      </w:r>
      <w:r w:rsidRPr="0091055F">
        <w:rPr>
          <w:color w:val="000000"/>
          <w:lang w:val="en-GB"/>
        </w:rPr>
        <w:t xml:space="preserve"> changing trends in the personal care product industry</w:t>
      </w:r>
      <w:r>
        <w:rPr>
          <w:color w:val="000000"/>
          <w:lang w:val="en-GB"/>
        </w:rPr>
        <w:t>, including increased demand for organic and natural products, new target markets, and new distribution channels</w:t>
      </w:r>
      <w:r w:rsidR="00904B18">
        <w:rPr>
          <w:color w:val="000000"/>
          <w:lang w:val="en-GB"/>
        </w:rPr>
        <w:t>.</w:t>
      </w:r>
    </w:p>
    <w:p w14:paraId="2748F4A7" w14:textId="77777777" w:rsidR="00B36B52" w:rsidRPr="003640EA" w:rsidRDefault="00B36B52" w:rsidP="00FE1FC6">
      <w:pPr>
        <w:pStyle w:val="BodyTextMain"/>
        <w:rPr>
          <w:color w:val="000000"/>
          <w:sz w:val="20"/>
          <w:lang w:val="en-GB"/>
        </w:rPr>
      </w:pPr>
    </w:p>
    <w:p w14:paraId="6AB706F9" w14:textId="77777777" w:rsidR="00B36B52" w:rsidRPr="003640EA" w:rsidRDefault="00B36B52" w:rsidP="00FE1FC6">
      <w:pPr>
        <w:pStyle w:val="BodyTextMain"/>
        <w:rPr>
          <w:color w:val="000000"/>
          <w:sz w:val="20"/>
          <w:lang w:val="en-GB"/>
        </w:rPr>
      </w:pPr>
    </w:p>
    <w:p w14:paraId="26CB9FCC" w14:textId="0D8F33AF" w:rsidR="00B36B52" w:rsidRPr="0091055F" w:rsidRDefault="00B36B52" w:rsidP="005D6F0C">
      <w:pPr>
        <w:pStyle w:val="Casehead3"/>
        <w:rPr>
          <w:lang w:val="en-GB"/>
        </w:rPr>
      </w:pPr>
      <w:r>
        <w:rPr>
          <w:lang w:val="en-GB"/>
        </w:rPr>
        <w:t>Increased Demand for Organic and Natural Products</w:t>
      </w:r>
    </w:p>
    <w:p w14:paraId="6A5A7341" w14:textId="77777777" w:rsidR="00B36B52" w:rsidRPr="003640EA" w:rsidRDefault="00B36B52" w:rsidP="00FE1FC6">
      <w:pPr>
        <w:pStyle w:val="BodyTextMain"/>
        <w:rPr>
          <w:i/>
          <w:color w:val="000000"/>
          <w:sz w:val="20"/>
          <w:lang w:val="en-GB"/>
        </w:rPr>
      </w:pPr>
    </w:p>
    <w:p w14:paraId="2B047861" w14:textId="5C932B95" w:rsidR="00B36B52" w:rsidRDefault="00B36B52" w:rsidP="009E7AA2">
      <w:pPr>
        <w:pStyle w:val="BodyTextMain"/>
        <w:rPr>
          <w:color w:val="000000"/>
          <w:lang w:val="en-GB"/>
        </w:rPr>
      </w:pPr>
      <w:r w:rsidRPr="0091055F">
        <w:rPr>
          <w:color w:val="000000"/>
          <w:lang w:val="en-GB"/>
        </w:rPr>
        <w:t xml:space="preserve">Consumers had begun to draw connections between toxic chemicals and health, </w:t>
      </w:r>
      <w:r>
        <w:rPr>
          <w:color w:val="000000"/>
          <w:lang w:val="en-GB"/>
        </w:rPr>
        <w:t>which led</w:t>
      </w:r>
      <w:r w:rsidRPr="0091055F">
        <w:rPr>
          <w:color w:val="000000"/>
          <w:lang w:val="en-GB"/>
        </w:rPr>
        <w:t xml:space="preserve"> </w:t>
      </w:r>
      <w:r w:rsidR="00892450">
        <w:rPr>
          <w:color w:val="000000"/>
          <w:lang w:val="en-GB"/>
        </w:rPr>
        <w:t xml:space="preserve">to </w:t>
      </w:r>
      <w:r w:rsidRPr="0091055F">
        <w:rPr>
          <w:color w:val="000000"/>
          <w:lang w:val="en-GB"/>
        </w:rPr>
        <w:t>a realignment</w:t>
      </w:r>
      <w:r w:rsidR="00892450" w:rsidRPr="00892450">
        <w:rPr>
          <w:color w:val="000000"/>
          <w:lang w:val="en-GB"/>
        </w:rPr>
        <w:t xml:space="preserve"> </w:t>
      </w:r>
      <w:r w:rsidR="00892450">
        <w:rPr>
          <w:color w:val="000000"/>
          <w:lang w:val="en-GB"/>
        </w:rPr>
        <w:t xml:space="preserve">in </w:t>
      </w:r>
      <w:r w:rsidR="00892450" w:rsidRPr="0091055F">
        <w:rPr>
          <w:color w:val="000000"/>
          <w:lang w:val="en-GB"/>
        </w:rPr>
        <w:t>the personal care market</w:t>
      </w:r>
      <w:r w:rsidRPr="0091055F">
        <w:rPr>
          <w:color w:val="000000"/>
          <w:lang w:val="en-GB"/>
        </w:rPr>
        <w:t>.</w:t>
      </w:r>
      <w:r w:rsidRPr="0091055F">
        <w:rPr>
          <w:color w:val="000000"/>
          <w:vertAlign w:val="superscript"/>
          <w:lang w:val="en-GB"/>
        </w:rPr>
        <w:endnoteReference w:id="6"/>
      </w:r>
      <w:r w:rsidRPr="0091055F">
        <w:rPr>
          <w:color w:val="000000"/>
          <w:lang w:val="en-GB"/>
        </w:rPr>
        <w:t xml:space="preserve"> Even though natural and organic products were generally 30</w:t>
      </w:r>
      <w:r>
        <w:rPr>
          <w:color w:val="000000"/>
          <w:lang w:val="en-GB"/>
        </w:rPr>
        <w:t>–</w:t>
      </w:r>
      <w:r w:rsidRPr="0091055F">
        <w:rPr>
          <w:color w:val="000000"/>
          <w:lang w:val="en-GB"/>
        </w:rPr>
        <w:t>50</w:t>
      </w:r>
      <w:r>
        <w:rPr>
          <w:color w:val="000000"/>
          <w:lang w:val="en-GB"/>
        </w:rPr>
        <w:t xml:space="preserve"> per cent</w:t>
      </w:r>
      <w:r w:rsidRPr="0091055F">
        <w:rPr>
          <w:color w:val="000000"/>
          <w:lang w:val="en-GB"/>
        </w:rPr>
        <w:t xml:space="preserve"> more expensive than traditional products, this segment’s consumer base was growing. In response, large manufacturers were trying to enter this growing market by buying smaller, natural brand companies </w:t>
      </w:r>
      <w:r w:rsidR="004A0440">
        <w:rPr>
          <w:color w:val="000000"/>
          <w:lang w:val="en-GB"/>
        </w:rPr>
        <w:t>like</w:t>
      </w:r>
      <w:r w:rsidRPr="0091055F">
        <w:rPr>
          <w:color w:val="000000"/>
          <w:lang w:val="en-GB"/>
        </w:rPr>
        <w:t xml:space="preserve"> RMSC.</w:t>
      </w:r>
      <w:r w:rsidRPr="0091055F">
        <w:rPr>
          <w:color w:val="000000"/>
          <w:vertAlign w:val="superscript"/>
          <w:lang w:val="en-GB"/>
        </w:rPr>
        <w:endnoteReference w:id="7"/>
      </w:r>
      <w:r>
        <w:rPr>
          <w:color w:val="000000"/>
          <w:lang w:val="en-GB"/>
        </w:rPr>
        <w:t xml:space="preserve"> </w:t>
      </w:r>
    </w:p>
    <w:p w14:paraId="7585EAF5" w14:textId="77777777" w:rsidR="00B36B52" w:rsidRPr="003640EA" w:rsidRDefault="00B36B52" w:rsidP="009E7AA2">
      <w:pPr>
        <w:pStyle w:val="BodyTextMain"/>
        <w:rPr>
          <w:color w:val="000000"/>
          <w:sz w:val="20"/>
          <w:lang w:val="en-GB"/>
        </w:rPr>
      </w:pPr>
    </w:p>
    <w:p w14:paraId="5161E00C" w14:textId="77777777" w:rsidR="00B36B52" w:rsidRPr="003640EA" w:rsidRDefault="00B36B52" w:rsidP="009E7AA2">
      <w:pPr>
        <w:pStyle w:val="BodyTextMain"/>
        <w:rPr>
          <w:color w:val="000000"/>
          <w:sz w:val="20"/>
          <w:lang w:val="en-GB"/>
        </w:rPr>
      </w:pPr>
    </w:p>
    <w:p w14:paraId="5012F75F" w14:textId="06494EBD" w:rsidR="00B36B52" w:rsidRPr="009E7AA2" w:rsidRDefault="00B36B52" w:rsidP="009E7AA2">
      <w:pPr>
        <w:pStyle w:val="Casehead3"/>
        <w:rPr>
          <w:lang w:val="en-GB"/>
        </w:rPr>
      </w:pPr>
      <w:r w:rsidRPr="009E7AA2">
        <w:rPr>
          <w:lang w:val="en-GB"/>
        </w:rPr>
        <w:t>New Target Markets</w:t>
      </w:r>
    </w:p>
    <w:p w14:paraId="34FA9E66" w14:textId="77777777" w:rsidR="00B36B52" w:rsidRPr="003640EA" w:rsidRDefault="00B36B52" w:rsidP="009E7AA2">
      <w:pPr>
        <w:pStyle w:val="BodyTextMain"/>
        <w:rPr>
          <w:i/>
          <w:color w:val="000000"/>
          <w:sz w:val="20"/>
          <w:lang w:val="en-GB"/>
        </w:rPr>
      </w:pPr>
    </w:p>
    <w:p w14:paraId="1DB57820" w14:textId="6E956D96" w:rsidR="00B36B52" w:rsidRDefault="00B36B52" w:rsidP="009E7AA2">
      <w:pPr>
        <w:pStyle w:val="BodyTextMain"/>
        <w:rPr>
          <w:color w:val="000000"/>
          <w:lang w:val="en-GB"/>
        </w:rPr>
      </w:pPr>
      <w:r w:rsidRPr="0091055F">
        <w:rPr>
          <w:color w:val="000000"/>
          <w:lang w:val="en-GB"/>
        </w:rPr>
        <w:t>Historically, the primary target market for personal care products had been women. However, statistics revealed that 52</w:t>
      </w:r>
      <w:r>
        <w:rPr>
          <w:color w:val="000000"/>
          <w:lang w:val="en-GB"/>
        </w:rPr>
        <w:t xml:space="preserve"> per cent</w:t>
      </w:r>
      <w:r w:rsidRPr="0091055F">
        <w:rPr>
          <w:color w:val="000000"/>
          <w:lang w:val="en-GB"/>
        </w:rPr>
        <w:t xml:space="preserve"> of global male consumers considered their looks and appearance to be either important or very important, and 29</w:t>
      </w:r>
      <w:r>
        <w:rPr>
          <w:color w:val="000000"/>
          <w:lang w:val="en-GB"/>
        </w:rPr>
        <w:t xml:space="preserve"> per cent</w:t>
      </w:r>
      <w:r w:rsidRPr="0091055F">
        <w:rPr>
          <w:color w:val="000000"/>
          <w:lang w:val="en-GB"/>
        </w:rPr>
        <w:t xml:space="preserve"> touched</w:t>
      </w:r>
      <w:r>
        <w:rPr>
          <w:color w:val="000000"/>
          <w:lang w:val="en-GB"/>
        </w:rPr>
        <w:t xml:space="preserve"> </w:t>
      </w:r>
      <w:r w:rsidRPr="0091055F">
        <w:rPr>
          <w:color w:val="000000"/>
          <w:lang w:val="en-GB"/>
        </w:rPr>
        <w:t>up their look throughout the day.</w:t>
      </w:r>
      <w:r w:rsidRPr="0091055F">
        <w:rPr>
          <w:color w:val="000000"/>
          <w:vertAlign w:val="superscript"/>
          <w:lang w:val="en-GB"/>
        </w:rPr>
        <w:endnoteReference w:id="8"/>
      </w:r>
      <w:r w:rsidRPr="0091055F">
        <w:rPr>
          <w:color w:val="000000"/>
          <w:lang w:val="en-GB"/>
        </w:rPr>
        <w:t xml:space="preserve"> Not surprisingly then, the men’s personal care market was expected to grow to </w:t>
      </w:r>
      <w:r>
        <w:rPr>
          <w:color w:val="000000"/>
          <w:lang w:val="en-GB"/>
        </w:rPr>
        <w:t>US</w:t>
      </w:r>
      <w:r w:rsidRPr="0091055F">
        <w:rPr>
          <w:color w:val="000000"/>
          <w:lang w:val="en-GB"/>
        </w:rPr>
        <w:t xml:space="preserve">$166 billion worldwide </w:t>
      </w:r>
      <w:r>
        <w:rPr>
          <w:color w:val="000000"/>
          <w:lang w:val="en-GB"/>
        </w:rPr>
        <w:t>by</w:t>
      </w:r>
      <w:r w:rsidRPr="0091055F">
        <w:rPr>
          <w:color w:val="000000"/>
          <w:lang w:val="en-GB"/>
        </w:rPr>
        <w:t xml:space="preserve"> 2022, translating to an exceptional compound annual growth rate </w:t>
      </w:r>
      <w:r>
        <w:rPr>
          <w:color w:val="000000"/>
          <w:lang w:val="en-GB"/>
        </w:rPr>
        <w:t xml:space="preserve">(CAGR) </w:t>
      </w:r>
      <w:r w:rsidRPr="0091055F">
        <w:rPr>
          <w:color w:val="000000"/>
          <w:lang w:val="en-GB"/>
        </w:rPr>
        <w:t>of 5.4</w:t>
      </w:r>
      <w:r>
        <w:rPr>
          <w:color w:val="000000"/>
          <w:lang w:val="en-GB"/>
        </w:rPr>
        <w:t xml:space="preserve"> per cent</w:t>
      </w:r>
      <w:r w:rsidRPr="0091055F">
        <w:rPr>
          <w:color w:val="000000"/>
          <w:lang w:val="en-GB"/>
        </w:rPr>
        <w:t xml:space="preserve"> from 2016 to 2022.</w:t>
      </w:r>
      <w:r w:rsidRPr="0091055F">
        <w:rPr>
          <w:color w:val="000000"/>
          <w:vertAlign w:val="superscript"/>
          <w:lang w:val="en-GB"/>
        </w:rPr>
        <w:endnoteReference w:id="9"/>
      </w:r>
    </w:p>
    <w:p w14:paraId="64DA0C7C" w14:textId="77777777" w:rsidR="00B36B52" w:rsidRPr="003640EA" w:rsidRDefault="00B36B52" w:rsidP="009E7AA2">
      <w:pPr>
        <w:pStyle w:val="BodyTextMain"/>
        <w:rPr>
          <w:color w:val="000000"/>
          <w:sz w:val="20"/>
          <w:lang w:val="en-GB"/>
        </w:rPr>
      </w:pPr>
    </w:p>
    <w:p w14:paraId="5CCA9B0C" w14:textId="77777777" w:rsidR="00B36B52" w:rsidRPr="003640EA" w:rsidRDefault="00B36B52" w:rsidP="009E7AA2">
      <w:pPr>
        <w:pStyle w:val="BodyTextMain"/>
        <w:rPr>
          <w:color w:val="000000"/>
          <w:sz w:val="20"/>
          <w:lang w:val="en-GB"/>
        </w:rPr>
      </w:pPr>
    </w:p>
    <w:p w14:paraId="28BF9666" w14:textId="56AD314D" w:rsidR="00B36B52" w:rsidRDefault="00B36B52" w:rsidP="009E7AA2">
      <w:pPr>
        <w:pStyle w:val="Casehead3"/>
        <w:rPr>
          <w:lang w:val="en-GB"/>
        </w:rPr>
      </w:pPr>
      <w:r>
        <w:rPr>
          <w:lang w:val="en-GB"/>
        </w:rPr>
        <w:t>New Distribution Channels</w:t>
      </w:r>
    </w:p>
    <w:p w14:paraId="7C969C4E" w14:textId="77777777" w:rsidR="00B36B52" w:rsidRPr="003640EA" w:rsidRDefault="00B36B52" w:rsidP="009E7AA2">
      <w:pPr>
        <w:pStyle w:val="Casehead3"/>
        <w:rPr>
          <w:sz w:val="20"/>
          <w:lang w:val="en-GB"/>
        </w:rPr>
      </w:pPr>
    </w:p>
    <w:p w14:paraId="5EC92D12" w14:textId="7F4B5EBF" w:rsidR="00B36B52" w:rsidRPr="0091055F" w:rsidRDefault="00B36B52" w:rsidP="009E7AA2">
      <w:pPr>
        <w:pStyle w:val="BodyTextMain"/>
        <w:rPr>
          <w:color w:val="000000"/>
          <w:lang w:val="en-GB"/>
        </w:rPr>
      </w:pPr>
      <w:r w:rsidRPr="0091055F">
        <w:rPr>
          <w:color w:val="000000"/>
          <w:lang w:val="en-GB"/>
        </w:rPr>
        <w:t>In 2016, consumers were 37</w:t>
      </w:r>
      <w:r>
        <w:rPr>
          <w:color w:val="000000"/>
          <w:lang w:val="en-GB"/>
        </w:rPr>
        <w:t xml:space="preserve"> per cent</w:t>
      </w:r>
      <w:r w:rsidRPr="0091055F">
        <w:rPr>
          <w:color w:val="000000"/>
          <w:lang w:val="en-GB"/>
        </w:rPr>
        <w:t xml:space="preserve"> more likely to buy products </w:t>
      </w:r>
      <w:r>
        <w:rPr>
          <w:color w:val="000000"/>
          <w:lang w:val="en-GB"/>
        </w:rPr>
        <w:t>such as</w:t>
      </w:r>
      <w:r w:rsidRPr="0091055F">
        <w:rPr>
          <w:color w:val="000000"/>
          <w:lang w:val="en-GB"/>
        </w:rPr>
        <w:t xml:space="preserve"> soap bars and shaving cream on Amazon.com, Inc. (Amazon) in 2016 than they were in 2015.</w:t>
      </w:r>
      <w:r w:rsidRPr="0091055F">
        <w:rPr>
          <w:color w:val="000000"/>
          <w:vertAlign w:val="superscript"/>
          <w:lang w:val="en-GB"/>
        </w:rPr>
        <w:endnoteReference w:id="10"/>
      </w:r>
      <w:r w:rsidRPr="0091055F">
        <w:rPr>
          <w:color w:val="000000"/>
          <w:lang w:val="en-GB"/>
        </w:rPr>
        <w:t xml:space="preserve"> By leveraging e-commerce distribution, smaller companies could compete with established players, particularly by posting product reviews, creating positive customer experiences, and providing community engagement forums.</w:t>
      </w:r>
    </w:p>
    <w:p w14:paraId="66D30406" w14:textId="77777777" w:rsidR="00B36B52" w:rsidRPr="003640EA" w:rsidRDefault="00B36B52" w:rsidP="00FE1FC6">
      <w:pPr>
        <w:pStyle w:val="BodyTextMain"/>
        <w:rPr>
          <w:color w:val="000000"/>
          <w:sz w:val="20"/>
          <w:u w:val="single"/>
          <w:lang w:val="en-GB"/>
        </w:rPr>
      </w:pPr>
    </w:p>
    <w:p w14:paraId="4FF4B3B4" w14:textId="77777777" w:rsidR="00B36B52" w:rsidRPr="003640EA" w:rsidRDefault="00B36B52" w:rsidP="00FE1FC6">
      <w:pPr>
        <w:pStyle w:val="BodyTextMain"/>
        <w:rPr>
          <w:color w:val="000000"/>
          <w:sz w:val="20"/>
          <w:u w:val="single"/>
          <w:lang w:val="en-GB"/>
        </w:rPr>
      </w:pPr>
    </w:p>
    <w:p w14:paraId="484E3704" w14:textId="0B92E5C8" w:rsidR="00B36B52" w:rsidRPr="0091055F" w:rsidRDefault="00B36B52" w:rsidP="0027250E">
      <w:pPr>
        <w:pStyle w:val="Casehead2"/>
        <w:rPr>
          <w:lang w:val="en-GB"/>
        </w:rPr>
      </w:pPr>
      <w:r>
        <w:rPr>
          <w:lang w:val="en-GB"/>
        </w:rPr>
        <w:t xml:space="preserve">The </w:t>
      </w:r>
      <w:r w:rsidRPr="0091055F">
        <w:rPr>
          <w:lang w:val="en-GB"/>
        </w:rPr>
        <w:t>Natural and Organic Personal Care Market</w:t>
      </w:r>
    </w:p>
    <w:p w14:paraId="7BA17050" w14:textId="77777777" w:rsidR="00B36B52" w:rsidRPr="003640EA" w:rsidRDefault="00B36B52" w:rsidP="00FE1FC6">
      <w:pPr>
        <w:pStyle w:val="BodyTextMain"/>
        <w:rPr>
          <w:color w:val="000000"/>
          <w:sz w:val="20"/>
          <w:lang w:val="en-GB"/>
        </w:rPr>
      </w:pPr>
    </w:p>
    <w:p w14:paraId="7B5EA16C" w14:textId="519C765D" w:rsidR="00B36B52" w:rsidRDefault="00B36B52" w:rsidP="00FE1FC6">
      <w:pPr>
        <w:pStyle w:val="BodyTextMain"/>
        <w:rPr>
          <w:color w:val="000000"/>
          <w:lang w:val="en-GB"/>
        </w:rPr>
      </w:pPr>
      <w:r w:rsidRPr="0091055F">
        <w:rPr>
          <w:color w:val="000000"/>
          <w:lang w:val="en-GB"/>
        </w:rPr>
        <w:t>Consumer</w:t>
      </w:r>
      <w:r>
        <w:rPr>
          <w:color w:val="000000"/>
          <w:lang w:val="en-GB"/>
        </w:rPr>
        <w:t>s’</w:t>
      </w:r>
      <w:r w:rsidRPr="0091055F">
        <w:rPr>
          <w:color w:val="000000"/>
          <w:lang w:val="en-GB"/>
        </w:rPr>
        <w:t xml:space="preserve"> purchase behaviours for natural and organic skin and hair care products were influenced by three main factors: health consciousness, environmental consciousness, and appearance consciousness. </w:t>
      </w:r>
      <w:r w:rsidR="00892450">
        <w:rPr>
          <w:color w:val="000000"/>
          <w:lang w:val="en-GB"/>
        </w:rPr>
        <w:t xml:space="preserve">The term </w:t>
      </w:r>
      <w:r w:rsidR="004A0440">
        <w:rPr>
          <w:color w:val="000000"/>
          <w:lang w:val="en-GB"/>
        </w:rPr>
        <w:t>“</w:t>
      </w:r>
      <w:r w:rsidR="00892450">
        <w:rPr>
          <w:color w:val="000000"/>
          <w:lang w:val="en-GB"/>
        </w:rPr>
        <w:t>h</w:t>
      </w:r>
      <w:r w:rsidRPr="0091055F">
        <w:rPr>
          <w:color w:val="000000"/>
          <w:lang w:val="en-GB"/>
        </w:rPr>
        <w:t>ealth consciousness</w:t>
      </w:r>
      <w:r w:rsidR="004A0440">
        <w:rPr>
          <w:color w:val="000000"/>
          <w:lang w:val="en-GB"/>
        </w:rPr>
        <w:t>”</w:t>
      </w:r>
      <w:r w:rsidRPr="0091055F">
        <w:rPr>
          <w:color w:val="000000"/>
          <w:lang w:val="en-GB"/>
        </w:rPr>
        <w:t xml:space="preserve"> </w:t>
      </w:r>
      <w:r>
        <w:rPr>
          <w:color w:val="000000"/>
          <w:lang w:val="en-GB"/>
        </w:rPr>
        <w:t>refer</w:t>
      </w:r>
      <w:r w:rsidR="000D6DFD">
        <w:rPr>
          <w:color w:val="000000"/>
          <w:lang w:val="en-GB"/>
        </w:rPr>
        <w:t>red</w:t>
      </w:r>
      <w:r>
        <w:rPr>
          <w:color w:val="000000"/>
          <w:lang w:val="en-GB"/>
        </w:rPr>
        <w:t xml:space="preserve"> to </w:t>
      </w:r>
      <w:r w:rsidRPr="0091055F">
        <w:rPr>
          <w:color w:val="000000"/>
          <w:lang w:val="en-GB"/>
        </w:rPr>
        <w:t>consumer</w:t>
      </w:r>
      <w:r w:rsidR="00892450">
        <w:rPr>
          <w:color w:val="000000"/>
          <w:lang w:val="en-GB"/>
        </w:rPr>
        <w:t>s</w:t>
      </w:r>
      <w:r w:rsidR="00904B18">
        <w:rPr>
          <w:color w:val="000000"/>
          <w:lang w:val="en-GB"/>
        </w:rPr>
        <w:t>’</w:t>
      </w:r>
      <w:r w:rsidR="00892450">
        <w:rPr>
          <w:color w:val="000000"/>
          <w:lang w:val="en-GB"/>
        </w:rPr>
        <w:t xml:space="preserve"> desire to</w:t>
      </w:r>
      <w:r w:rsidRPr="0091055F">
        <w:rPr>
          <w:color w:val="000000"/>
          <w:lang w:val="en-GB"/>
        </w:rPr>
        <w:t xml:space="preserve"> actively </w:t>
      </w:r>
      <w:r>
        <w:rPr>
          <w:color w:val="000000"/>
          <w:lang w:val="en-GB"/>
        </w:rPr>
        <w:t>seek</w:t>
      </w:r>
      <w:r w:rsidRPr="0091055F">
        <w:rPr>
          <w:color w:val="000000"/>
          <w:lang w:val="en-GB"/>
        </w:rPr>
        <w:t xml:space="preserve"> a healthy lifestyle</w:t>
      </w:r>
      <w:r w:rsidR="000D6DFD">
        <w:rPr>
          <w:color w:val="000000"/>
          <w:lang w:val="en-GB"/>
        </w:rPr>
        <w:t xml:space="preserve">, and </w:t>
      </w:r>
      <w:r w:rsidRPr="0091055F">
        <w:rPr>
          <w:color w:val="000000"/>
          <w:lang w:val="en-GB"/>
        </w:rPr>
        <w:t xml:space="preserve">environmental consciousness </w:t>
      </w:r>
      <w:r>
        <w:rPr>
          <w:color w:val="000000"/>
          <w:lang w:val="en-GB"/>
        </w:rPr>
        <w:t>refer</w:t>
      </w:r>
      <w:r w:rsidR="000D6DFD">
        <w:rPr>
          <w:color w:val="000000"/>
          <w:lang w:val="en-GB"/>
        </w:rPr>
        <w:t>red</w:t>
      </w:r>
      <w:r>
        <w:rPr>
          <w:color w:val="000000"/>
          <w:lang w:val="en-GB"/>
        </w:rPr>
        <w:t xml:space="preserve"> to </w:t>
      </w:r>
      <w:r w:rsidRPr="0091055F">
        <w:rPr>
          <w:color w:val="000000"/>
          <w:lang w:val="en-GB"/>
        </w:rPr>
        <w:t>consumers</w:t>
      </w:r>
      <w:r w:rsidR="00892450">
        <w:rPr>
          <w:color w:val="000000"/>
          <w:lang w:val="en-GB"/>
        </w:rPr>
        <w:t>'</w:t>
      </w:r>
      <w:r w:rsidRPr="0091055F">
        <w:rPr>
          <w:color w:val="000000"/>
          <w:lang w:val="en-GB"/>
        </w:rPr>
        <w:t xml:space="preserve"> </w:t>
      </w:r>
      <w:r>
        <w:rPr>
          <w:color w:val="000000"/>
          <w:lang w:val="en-GB"/>
        </w:rPr>
        <w:t>prefer</w:t>
      </w:r>
      <w:r w:rsidR="00892450">
        <w:rPr>
          <w:color w:val="000000"/>
          <w:lang w:val="en-GB"/>
        </w:rPr>
        <w:t>ence</w:t>
      </w:r>
      <w:r>
        <w:rPr>
          <w:color w:val="000000"/>
          <w:lang w:val="en-GB"/>
        </w:rPr>
        <w:t xml:space="preserve"> to </w:t>
      </w:r>
      <w:r w:rsidRPr="0091055F">
        <w:rPr>
          <w:color w:val="000000"/>
          <w:lang w:val="en-GB"/>
        </w:rPr>
        <w:t xml:space="preserve">purchase products that had </w:t>
      </w:r>
      <w:r>
        <w:rPr>
          <w:color w:val="000000"/>
          <w:lang w:val="en-GB"/>
        </w:rPr>
        <w:t xml:space="preserve">a </w:t>
      </w:r>
      <w:r w:rsidRPr="0091055F">
        <w:rPr>
          <w:color w:val="000000"/>
          <w:lang w:val="en-GB"/>
        </w:rPr>
        <w:t>minim</w:t>
      </w:r>
      <w:r>
        <w:rPr>
          <w:color w:val="000000"/>
          <w:lang w:val="en-GB"/>
        </w:rPr>
        <w:t>al</w:t>
      </w:r>
      <w:r w:rsidRPr="0091055F">
        <w:rPr>
          <w:color w:val="000000"/>
          <w:lang w:val="en-GB"/>
        </w:rPr>
        <w:t xml:space="preserve"> impact on the environment</w:t>
      </w:r>
      <w:r w:rsidR="00892450">
        <w:rPr>
          <w:color w:val="000000"/>
          <w:lang w:val="en-GB"/>
        </w:rPr>
        <w:t>. La</w:t>
      </w:r>
      <w:r w:rsidR="00904B18">
        <w:rPr>
          <w:color w:val="000000"/>
          <w:lang w:val="en-GB"/>
        </w:rPr>
        <w:t>s</w:t>
      </w:r>
      <w:r w:rsidR="00892450">
        <w:rPr>
          <w:color w:val="000000"/>
          <w:lang w:val="en-GB"/>
        </w:rPr>
        <w:t xml:space="preserve">tly, </w:t>
      </w:r>
      <w:r w:rsidRPr="0091055F">
        <w:rPr>
          <w:color w:val="000000"/>
          <w:lang w:val="en-GB"/>
        </w:rPr>
        <w:t xml:space="preserve">appearance consciousness </w:t>
      </w:r>
      <w:r>
        <w:rPr>
          <w:color w:val="000000"/>
          <w:lang w:val="en-GB"/>
        </w:rPr>
        <w:t>refer</w:t>
      </w:r>
      <w:r w:rsidR="000D6DFD">
        <w:rPr>
          <w:color w:val="000000"/>
          <w:lang w:val="en-GB"/>
        </w:rPr>
        <w:t>red</w:t>
      </w:r>
      <w:r>
        <w:rPr>
          <w:color w:val="000000"/>
          <w:lang w:val="en-GB"/>
        </w:rPr>
        <w:t xml:space="preserve"> to </w:t>
      </w:r>
      <w:r w:rsidRPr="0091055F">
        <w:rPr>
          <w:color w:val="000000"/>
          <w:lang w:val="en-GB"/>
        </w:rPr>
        <w:t>consumer</w:t>
      </w:r>
      <w:r w:rsidR="00160BB0">
        <w:rPr>
          <w:color w:val="000000"/>
          <w:lang w:val="en-GB"/>
        </w:rPr>
        <w:t>s’</w:t>
      </w:r>
      <w:r w:rsidRPr="0091055F">
        <w:rPr>
          <w:color w:val="000000"/>
          <w:lang w:val="en-GB"/>
        </w:rPr>
        <w:t xml:space="preserve"> perce</w:t>
      </w:r>
      <w:r w:rsidR="00892450">
        <w:rPr>
          <w:color w:val="000000"/>
          <w:lang w:val="en-GB"/>
        </w:rPr>
        <w:t>ption</w:t>
      </w:r>
      <w:r w:rsidRPr="0091055F">
        <w:rPr>
          <w:color w:val="000000"/>
          <w:lang w:val="en-GB"/>
        </w:rPr>
        <w:t xml:space="preserve"> that </w:t>
      </w:r>
      <w:r w:rsidRPr="0091055F">
        <w:rPr>
          <w:color w:val="000000"/>
          <w:lang w:val="en-GB"/>
        </w:rPr>
        <w:lastRenderedPageBreak/>
        <w:t xml:space="preserve">chemical-free products would be more likely to help them externalize an internal image of being </w:t>
      </w:r>
      <w:r>
        <w:rPr>
          <w:color w:val="000000"/>
          <w:lang w:val="en-GB"/>
        </w:rPr>
        <w:t xml:space="preserve">both </w:t>
      </w:r>
      <w:r w:rsidRPr="0091055F">
        <w:rPr>
          <w:color w:val="000000"/>
          <w:lang w:val="en-GB"/>
        </w:rPr>
        <w:t xml:space="preserve">health </w:t>
      </w:r>
      <w:r>
        <w:rPr>
          <w:color w:val="000000"/>
          <w:lang w:val="en-GB"/>
        </w:rPr>
        <w:t xml:space="preserve">conscious </w:t>
      </w:r>
      <w:r w:rsidRPr="0091055F">
        <w:rPr>
          <w:color w:val="000000"/>
          <w:lang w:val="en-GB"/>
        </w:rPr>
        <w:t>and environmentally conscious.</w:t>
      </w:r>
      <w:r w:rsidRPr="0091055F">
        <w:rPr>
          <w:color w:val="000000"/>
          <w:vertAlign w:val="superscript"/>
          <w:lang w:val="en-GB"/>
        </w:rPr>
        <w:endnoteReference w:id="11"/>
      </w:r>
      <w:r w:rsidRPr="0091055F">
        <w:rPr>
          <w:color w:val="000000"/>
          <w:lang w:val="en-GB"/>
        </w:rPr>
        <w:t xml:space="preserve"> Although the natural and organic personal care market was a small market segment, increasing demand from consumers and growing awareness w</w:t>
      </w:r>
      <w:r>
        <w:rPr>
          <w:color w:val="000000"/>
          <w:lang w:val="en-GB"/>
        </w:rPr>
        <w:t>ere</w:t>
      </w:r>
      <w:r w:rsidRPr="0091055F">
        <w:rPr>
          <w:color w:val="000000"/>
          <w:lang w:val="en-GB"/>
        </w:rPr>
        <w:t xml:space="preserve"> expected to drive the global natural and organic personal care market to an estimated </w:t>
      </w:r>
      <w:r>
        <w:rPr>
          <w:color w:val="000000"/>
          <w:lang w:val="en-GB"/>
        </w:rPr>
        <w:t>value of US</w:t>
      </w:r>
      <w:r w:rsidRPr="0091055F">
        <w:rPr>
          <w:color w:val="000000"/>
          <w:lang w:val="en-GB"/>
        </w:rPr>
        <w:t>$22 billion by the end of 2024, based on a CAGR of 8.8</w:t>
      </w:r>
      <w:r>
        <w:rPr>
          <w:color w:val="000000"/>
          <w:lang w:val="en-GB"/>
        </w:rPr>
        <w:t xml:space="preserve"> per cent</w:t>
      </w:r>
      <w:r w:rsidRPr="0091055F">
        <w:rPr>
          <w:color w:val="000000"/>
          <w:lang w:val="en-GB"/>
        </w:rPr>
        <w:t>. North America was expected to dominate the market with a 33.5</w:t>
      </w:r>
      <w:r>
        <w:rPr>
          <w:color w:val="000000"/>
          <w:lang w:val="en-GB"/>
        </w:rPr>
        <w:t xml:space="preserve"> per cent</w:t>
      </w:r>
      <w:r w:rsidRPr="0091055F">
        <w:rPr>
          <w:color w:val="000000"/>
          <w:lang w:val="en-GB"/>
        </w:rPr>
        <w:t xml:space="preserve"> global market share, registering a CAGR of 9.7</w:t>
      </w:r>
      <w:r>
        <w:rPr>
          <w:color w:val="000000"/>
          <w:lang w:val="en-GB"/>
        </w:rPr>
        <w:t xml:space="preserve"> per cent</w:t>
      </w:r>
      <w:r w:rsidRPr="0091055F">
        <w:rPr>
          <w:color w:val="000000"/>
          <w:lang w:val="en-GB"/>
        </w:rPr>
        <w:t>.</w:t>
      </w:r>
      <w:r w:rsidRPr="0091055F">
        <w:rPr>
          <w:color w:val="000000"/>
          <w:vertAlign w:val="superscript"/>
          <w:lang w:val="en-GB"/>
        </w:rPr>
        <w:endnoteReference w:id="12"/>
      </w:r>
    </w:p>
    <w:p w14:paraId="48ACA97A" w14:textId="5EF157BB" w:rsidR="005C75C4" w:rsidRPr="005C75C4" w:rsidRDefault="005C75C4" w:rsidP="00FE1FC6">
      <w:pPr>
        <w:pStyle w:val="BodyTextMain"/>
        <w:rPr>
          <w:color w:val="000000"/>
          <w:sz w:val="20"/>
          <w:lang w:val="en-GB"/>
        </w:rPr>
      </w:pPr>
    </w:p>
    <w:p w14:paraId="6BBF8DF4" w14:textId="77777777" w:rsidR="005C75C4" w:rsidRPr="005C75C4" w:rsidRDefault="005C75C4" w:rsidP="00FE1FC6">
      <w:pPr>
        <w:pStyle w:val="BodyTextMain"/>
        <w:rPr>
          <w:color w:val="000000"/>
          <w:sz w:val="20"/>
          <w:lang w:val="en-GB"/>
        </w:rPr>
      </w:pPr>
    </w:p>
    <w:p w14:paraId="235F507D" w14:textId="77777777" w:rsidR="00B36B52" w:rsidRPr="0091055F" w:rsidRDefault="00B36B52" w:rsidP="0027250E">
      <w:pPr>
        <w:pStyle w:val="Casehead2"/>
        <w:rPr>
          <w:lang w:val="en-GB"/>
        </w:rPr>
      </w:pPr>
      <w:r w:rsidRPr="0091055F">
        <w:rPr>
          <w:lang w:val="en-GB"/>
        </w:rPr>
        <w:t>Competitors</w:t>
      </w:r>
    </w:p>
    <w:p w14:paraId="7AC5BB75" w14:textId="77777777" w:rsidR="00B36B52" w:rsidRPr="003640EA" w:rsidRDefault="00B36B52" w:rsidP="00FE1FC6">
      <w:pPr>
        <w:pStyle w:val="BodyTextMain"/>
        <w:rPr>
          <w:color w:val="000000"/>
          <w:sz w:val="20"/>
          <w:lang w:val="en-GB"/>
        </w:rPr>
      </w:pPr>
    </w:p>
    <w:p w14:paraId="1A9F87BB" w14:textId="5540D2C9" w:rsidR="00B36B52" w:rsidRPr="004A0440" w:rsidRDefault="00B36B52" w:rsidP="00FE1FC6">
      <w:pPr>
        <w:pStyle w:val="BodyTextMain"/>
        <w:rPr>
          <w:rFonts w:ascii="Times" w:eastAsia="Times" w:hAnsi="Times" w:cs="Times"/>
          <w:lang w:val="en-GB"/>
        </w:rPr>
      </w:pPr>
      <w:r w:rsidRPr="004A0440">
        <w:rPr>
          <w:color w:val="000000"/>
          <w:lang w:val="en-GB"/>
        </w:rPr>
        <w:t>At the time that RMSC was contemplating changes to its product packaging, the natural and organic personal care market appeared to be highly fragmented and intensely competitive. Brands were working to differentiate their images and products by competing on the basis of product, cost, and even packaging. Key global players in the same market included Estée Lauder Companies Inc.; L’Oréal Group (L’Oréal); L’Occitane en Provence; The Body Shop International Limited (The Body Shop); Burt’s Bees, Inc. (Burt’s Bees); and Kiehl’s LLC (Kiehl’s).</w:t>
      </w:r>
      <w:r w:rsidRPr="004A0440">
        <w:rPr>
          <w:color w:val="000000"/>
          <w:vertAlign w:val="superscript"/>
          <w:lang w:val="en-GB"/>
        </w:rPr>
        <w:endnoteReference w:id="13"/>
      </w:r>
      <w:r w:rsidRPr="004A0440">
        <w:rPr>
          <w:color w:val="000000"/>
          <w:lang w:val="en-GB"/>
        </w:rPr>
        <w:t xml:space="preserve"> However, considering RMSC’s geographic location and primary product line, the most relevant competitors were Lush Retail Ltd. (Lush), Kiehl’s, Burt’s Bees, and The Body Shop.</w:t>
      </w:r>
    </w:p>
    <w:p w14:paraId="7526CCE0" w14:textId="77777777" w:rsidR="00B36B52" w:rsidRPr="004A0440" w:rsidRDefault="00B36B52" w:rsidP="00FE1FC6">
      <w:pPr>
        <w:pStyle w:val="BodyTextMain"/>
        <w:rPr>
          <w:color w:val="000000"/>
          <w:sz w:val="20"/>
          <w:lang w:val="en-GB"/>
        </w:rPr>
      </w:pPr>
    </w:p>
    <w:p w14:paraId="0EB57F5A" w14:textId="77777777" w:rsidR="00B36B52" w:rsidRPr="004A0440" w:rsidRDefault="00B36B52" w:rsidP="00FE1FC6">
      <w:pPr>
        <w:pStyle w:val="BodyTextMain"/>
        <w:rPr>
          <w:color w:val="000000"/>
          <w:sz w:val="20"/>
          <w:lang w:val="en-GB"/>
        </w:rPr>
      </w:pPr>
    </w:p>
    <w:p w14:paraId="6C8E9333" w14:textId="77777777" w:rsidR="00B36B52" w:rsidRPr="0091055F" w:rsidRDefault="00B36B52" w:rsidP="0027250E">
      <w:pPr>
        <w:pStyle w:val="Casehead3"/>
        <w:rPr>
          <w:lang w:val="en-GB"/>
        </w:rPr>
      </w:pPr>
      <w:r w:rsidRPr="0091055F">
        <w:rPr>
          <w:lang w:val="en-GB"/>
        </w:rPr>
        <w:t>Lush</w:t>
      </w:r>
    </w:p>
    <w:p w14:paraId="46A32FF6" w14:textId="77777777" w:rsidR="008764F9" w:rsidRDefault="008764F9" w:rsidP="00FE1FC6">
      <w:pPr>
        <w:pStyle w:val="BodyTextMain"/>
        <w:rPr>
          <w:color w:val="000000"/>
          <w:lang w:val="en-GB"/>
        </w:rPr>
      </w:pPr>
    </w:p>
    <w:p w14:paraId="2C9E6083" w14:textId="2875E56B" w:rsidR="00B36B52" w:rsidRPr="0091055F" w:rsidRDefault="00B36B52" w:rsidP="00FE1FC6">
      <w:pPr>
        <w:pStyle w:val="BodyTextMain"/>
        <w:rPr>
          <w:color w:val="000000"/>
          <w:lang w:val="en-GB"/>
        </w:rPr>
      </w:pPr>
      <w:r w:rsidRPr="0091055F">
        <w:rPr>
          <w:color w:val="000000"/>
          <w:lang w:val="en-GB"/>
        </w:rPr>
        <w:t>Founded in 1994, Lush was a UK-based firm that focused on using fresh and natural ingredients.</w:t>
      </w:r>
      <w:r w:rsidRPr="0091055F">
        <w:rPr>
          <w:color w:val="000000"/>
          <w:vertAlign w:val="superscript"/>
          <w:lang w:val="en-GB"/>
        </w:rPr>
        <w:endnoteReference w:id="14"/>
      </w:r>
      <w:r w:rsidRPr="0091055F">
        <w:rPr>
          <w:color w:val="000000"/>
          <w:lang w:val="en-GB"/>
        </w:rPr>
        <w:t xml:space="preserve"> In 2016, the company generated </w:t>
      </w:r>
      <w:r>
        <w:rPr>
          <w:color w:val="000000"/>
          <w:lang w:val="en-GB"/>
        </w:rPr>
        <w:t>US</w:t>
      </w:r>
      <w:r w:rsidRPr="0091055F">
        <w:rPr>
          <w:color w:val="000000"/>
          <w:lang w:val="en-GB"/>
        </w:rPr>
        <w:t>$900 million in sales, which represented an increase of 26</w:t>
      </w:r>
      <w:r>
        <w:rPr>
          <w:color w:val="000000"/>
          <w:lang w:val="en-GB"/>
        </w:rPr>
        <w:t xml:space="preserve"> per cent</w:t>
      </w:r>
      <w:r w:rsidRPr="0091055F">
        <w:rPr>
          <w:color w:val="000000"/>
          <w:lang w:val="en-GB"/>
        </w:rPr>
        <w:t xml:space="preserve"> from the previous year.</w:t>
      </w:r>
      <w:r w:rsidRPr="0091055F">
        <w:rPr>
          <w:color w:val="000000"/>
          <w:vertAlign w:val="superscript"/>
          <w:lang w:val="en-GB"/>
        </w:rPr>
        <w:endnoteReference w:id="15"/>
      </w:r>
      <w:r w:rsidRPr="0091055F">
        <w:rPr>
          <w:color w:val="000000"/>
          <w:lang w:val="en-GB"/>
        </w:rPr>
        <w:t xml:space="preserve"> By 2017, Lush had opened approximately 250 stores in North America with products being made primarily in two Canadian factories. To offer some context, workers in these factories hand-ma</w:t>
      </w:r>
      <w:r>
        <w:rPr>
          <w:color w:val="000000"/>
          <w:lang w:val="en-GB"/>
        </w:rPr>
        <w:t>d</w:t>
      </w:r>
      <w:r w:rsidRPr="0091055F">
        <w:rPr>
          <w:color w:val="000000"/>
          <w:lang w:val="en-GB"/>
        </w:rPr>
        <w:t>e roughly 500 fist-sized bath bombs per day.</w:t>
      </w:r>
      <w:r w:rsidRPr="0091055F">
        <w:rPr>
          <w:color w:val="000000"/>
          <w:vertAlign w:val="superscript"/>
          <w:lang w:val="en-GB"/>
        </w:rPr>
        <w:endnoteReference w:id="16"/>
      </w:r>
      <w:r w:rsidRPr="0091055F">
        <w:rPr>
          <w:color w:val="000000"/>
          <w:lang w:val="en-GB"/>
        </w:rPr>
        <w:t xml:space="preserve"> </w:t>
      </w:r>
    </w:p>
    <w:p w14:paraId="52E941E1" w14:textId="77777777" w:rsidR="00B36B52" w:rsidRPr="003640EA" w:rsidRDefault="00B36B52" w:rsidP="00FE1FC6">
      <w:pPr>
        <w:pStyle w:val="BodyTextMain"/>
        <w:rPr>
          <w:color w:val="000000"/>
          <w:sz w:val="20"/>
          <w:lang w:val="en-GB"/>
        </w:rPr>
      </w:pPr>
    </w:p>
    <w:p w14:paraId="599128BB" w14:textId="0903BFB5" w:rsidR="00B36B52" w:rsidRPr="0091055F" w:rsidRDefault="00B36B52" w:rsidP="00FE1FC6">
      <w:pPr>
        <w:pStyle w:val="BodyTextMain"/>
        <w:rPr>
          <w:color w:val="000000"/>
          <w:lang w:val="en-GB"/>
        </w:rPr>
      </w:pPr>
      <w:r w:rsidRPr="0091055F">
        <w:rPr>
          <w:color w:val="000000"/>
          <w:lang w:val="en-GB"/>
        </w:rPr>
        <w:t>Lush’s focuses included (1) fighting animal testing, (2) providing the freshest cosmetics online, (3) practi</w:t>
      </w:r>
      <w:r>
        <w:rPr>
          <w:color w:val="000000"/>
          <w:lang w:val="en-GB"/>
        </w:rPr>
        <w:t>s</w:t>
      </w:r>
      <w:r w:rsidRPr="0091055F">
        <w:rPr>
          <w:color w:val="000000"/>
          <w:lang w:val="en-GB"/>
        </w:rPr>
        <w:t>ing ethical buying, (4) providing 100</w:t>
      </w:r>
      <w:r>
        <w:rPr>
          <w:color w:val="000000"/>
          <w:lang w:val="en-GB"/>
        </w:rPr>
        <w:t xml:space="preserve"> per cent</w:t>
      </w:r>
      <w:r w:rsidRPr="0091055F">
        <w:rPr>
          <w:color w:val="000000"/>
          <w:lang w:val="en-GB"/>
        </w:rPr>
        <w:t xml:space="preserve"> vegetarian products, (5) building products by hand, </w:t>
      </w:r>
      <w:r>
        <w:rPr>
          <w:color w:val="000000"/>
          <w:lang w:val="en-GB"/>
        </w:rPr>
        <w:t xml:space="preserve">and </w:t>
      </w:r>
      <w:r w:rsidRPr="0091055F">
        <w:rPr>
          <w:color w:val="000000"/>
          <w:lang w:val="en-GB"/>
        </w:rPr>
        <w:t>(6) using “naked packaging” as often as possible. To reduce packaging waste, 35</w:t>
      </w:r>
      <w:r>
        <w:rPr>
          <w:color w:val="000000"/>
          <w:lang w:val="en-GB"/>
        </w:rPr>
        <w:t xml:space="preserve"> per cent</w:t>
      </w:r>
      <w:r w:rsidRPr="0091055F">
        <w:rPr>
          <w:color w:val="000000"/>
          <w:lang w:val="en-GB"/>
        </w:rPr>
        <w:t xml:space="preserve"> of its products (e.g.</w:t>
      </w:r>
      <w:r>
        <w:rPr>
          <w:color w:val="000000"/>
          <w:lang w:val="en-GB"/>
        </w:rPr>
        <w:t>,</w:t>
      </w:r>
      <w:r w:rsidRPr="0091055F">
        <w:rPr>
          <w:color w:val="000000"/>
          <w:lang w:val="en-GB"/>
        </w:rPr>
        <w:t xml:space="preserve"> solid shampoo bars </w:t>
      </w:r>
      <w:r>
        <w:rPr>
          <w:color w:val="000000"/>
          <w:lang w:val="en-GB"/>
        </w:rPr>
        <w:t xml:space="preserve">and </w:t>
      </w:r>
      <w:r w:rsidRPr="0091055F">
        <w:rPr>
          <w:color w:val="000000"/>
          <w:lang w:val="en-GB"/>
        </w:rPr>
        <w:t>massage bars) were unpackaged, with the remaining product line packaged using recycled and recyclable materials.</w:t>
      </w:r>
      <w:r w:rsidRPr="0091055F">
        <w:rPr>
          <w:color w:val="000000"/>
          <w:vertAlign w:val="superscript"/>
          <w:lang w:val="en-GB"/>
        </w:rPr>
        <w:endnoteReference w:id="17"/>
      </w:r>
      <w:r w:rsidRPr="0091055F">
        <w:rPr>
          <w:color w:val="000000"/>
          <w:lang w:val="en-GB"/>
        </w:rPr>
        <w:t xml:space="preserve"> </w:t>
      </w:r>
    </w:p>
    <w:p w14:paraId="30D47F87" w14:textId="77777777" w:rsidR="00B36B52" w:rsidRPr="003640EA" w:rsidRDefault="00B36B52" w:rsidP="00FE1FC6">
      <w:pPr>
        <w:pStyle w:val="BodyTextMain"/>
        <w:rPr>
          <w:color w:val="000000"/>
          <w:sz w:val="20"/>
          <w:lang w:val="en-GB"/>
        </w:rPr>
      </w:pPr>
    </w:p>
    <w:p w14:paraId="49978090" w14:textId="77777777" w:rsidR="00B36B52" w:rsidRPr="003640EA" w:rsidRDefault="00B36B52" w:rsidP="00FE1FC6">
      <w:pPr>
        <w:pStyle w:val="BodyTextMain"/>
        <w:rPr>
          <w:color w:val="000000"/>
          <w:sz w:val="20"/>
          <w:lang w:val="en-GB"/>
        </w:rPr>
      </w:pPr>
    </w:p>
    <w:p w14:paraId="632D1F9A" w14:textId="77777777" w:rsidR="00B36B52" w:rsidRPr="0091055F" w:rsidRDefault="00B36B52" w:rsidP="0027250E">
      <w:pPr>
        <w:pStyle w:val="Casehead3"/>
        <w:rPr>
          <w:lang w:val="en-GB"/>
        </w:rPr>
      </w:pPr>
      <w:r w:rsidRPr="0091055F">
        <w:rPr>
          <w:lang w:val="en-GB"/>
        </w:rPr>
        <w:t>Kiehl’s</w:t>
      </w:r>
    </w:p>
    <w:p w14:paraId="552254AD" w14:textId="77777777" w:rsidR="00B36B52" w:rsidRPr="003640EA" w:rsidRDefault="00B36B52" w:rsidP="00FE1FC6">
      <w:pPr>
        <w:pStyle w:val="BodyTextMain"/>
        <w:rPr>
          <w:color w:val="000000"/>
          <w:sz w:val="20"/>
          <w:lang w:val="en-GB"/>
        </w:rPr>
      </w:pPr>
    </w:p>
    <w:p w14:paraId="211742BF" w14:textId="3F96093F" w:rsidR="00B36B52" w:rsidRPr="0091055F" w:rsidRDefault="00B36B52" w:rsidP="00FE1FC6">
      <w:pPr>
        <w:pStyle w:val="BodyTextMain"/>
        <w:rPr>
          <w:color w:val="000000"/>
          <w:lang w:val="en-GB"/>
        </w:rPr>
      </w:pPr>
      <w:r w:rsidRPr="0091055F">
        <w:rPr>
          <w:color w:val="000000"/>
          <w:lang w:val="en-GB"/>
        </w:rPr>
        <w:t xml:space="preserve">Kiehl’s began as a New York pharmacy in 1851 and had been developing and marketing efficient, highly concentrated skin care from natural ingredients ever since. </w:t>
      </w:r>
      <w:r w:rsidR="000A339F">
        <w:rPr>
          <w:color w:val="000000"/>
          <w:lang w:val="en-GB"/>
        </w:rPr>
        <w:t>By 2017</w:t>
      </w:r>
      <w:r w:rsidRPr="0091055F">
        <w:rPr>
          <w:color w:val="000000"/>
          <w:lang w:val="en-GB"/>
        </w:rPr>
        <w:t xml:space="preserve">, it surpassed </w:t>
      </w:r>
      <w:r>
        <w:rPr>
          <w:color w:val="000000"/>
          <w:lang w:val="en-GB"/>
        </w:rPr>
        <w:t>sales of</w:t>
      </w:r>
      <w:r w:rsidRPr="0091055F">
        <w:rPr>
          <w:color w:val="000000"/>
          <w:lang w:val="en-GB"/>
        </w:rPr>
        <w:t xml:space="preserve"> </w:t>
      </w:r>
      <w:r>
        <w:rPr>
          <w:color w:val="000000"/>
          <w:lang w:val="en-GB"/>
        </w:rPr>
        <w:t>US</w:t>
      </w:r>
      <w:r w:rsidRPr="0091055F">
        <w:rPr>
          <w:color w:val="000000"/>
          <w:lang w:val="en-GB"/>
        </w:rPr>
        <w:t>$1 billion.</w:t>
      </w:r>
      <w:r w:rsidRPr="0091055F">
        <w:rPr>
          <w:color w:val="000000"/>
          <w:vertAlign w:val="superscript"/>
          <w:lang w:val="en-GB"/>
        </w:rPr>
        <w:endnoteReference w:id="18"/>
      </w:r>
    </w:p>
    <w:p w14:paraId="14686152" w14:textId="77777777" w:rsidR="00B36B52" w:rsidRPr="003640EA" w:rsidRDefault="00B36B52" w:rsidP="00FE1FC6">
      <w:pPr>
        <w:pStyle w:val="BodyTextMain"/>
        <w:rPr>
          <w:color w:val="000000"/>
          <w:sz w:val="20"/>
          <w:lang w:val="en-GB"/>
        </w:rPr>
      </w:pPr>
    </w:p>
    <w:p w14:paraId="036A48A8" w14:textId="41535361" w:rsidR="00B36B52" w:rsidRPr="003640EA" w:rsidRDefault="00B36B52" w:rsidP="00FE1FC6">
      <w:pPr>
        <w:pStyle w:val="BodyTextMain"/>
        <w:rPr>
          <w:color w:val="000000"/>
          <w:spacing w:val="-4"/>
          <w:lang w:val="en-GB"/>
        </w:rPr>
      </w:pPr>
      <w:r w:rsidRPr="003640EA">
        <w:rPr>
          <w:color w:val="000000"/>
          <w:spacing w:val="-4"/>
          <w:lang w:val="en-GB"/>
        </w:rPr>
        <w:t>The company focused on three pillars: quality, service, and community.</w:t>
      </w:r>
      <w:r w:rsidRPr="003640EA">
        <w:rPr>
          <w:color w:val="000000"/>
          <w:spacing w:val="-4"/>
          <w:vertAlign w:val="superscript"/>
          <w:lang w:val="en-GB"/>
        </w:rPr>
        <w:endnoteReference w:id="19"/>
      </w:r>
      <w:r w:rsidRPr="003640EA">
        <w:rPr>
          <w:color w:val="000000"/>
          <w:spacing w:val="-4"/>
          <w:lang w:val="en-GB"/>
        </w:rPr>
        <w:t xml:space="preserve"> Until 2015, the company had donated approximately US$3.5 million to charities related to its three core initiatives: environmental sustainability, HIV (human immunodeficiency virus) protection and education, and children’s well-being.</w:t>
      </w:r>
      <w:r w:rsidRPr="003640EA">
        <w:rPr>
          <w:color w:val="000000"/>
          <w:spacing w:val="-4"/>
          <w:vertAlign w:val="superscript"/>
          <w:lang w:val="en-GB"/>
        </w:rPr>
        <w:endnoteReference w:id="20"/>
      </w:r>
      <w:r w:rsidRPr="003640EA">
        <w:rPr>
          <w:color w:val="000000"/>
          <w:spacing w:val="-4"/>
          <w:lang w:val="en-GB"/>
        </w:rPr>
        <w:t xml:space="preserve"> Recently, Kiehl’s </w:t>
      </w:r>
      <w:r w:rsidR="000A339F" w:rsidRPr="003640EA">
        <w:rPr>
          <w:color w:val="000000"/>
          <w:spacing w:val="-4"/>
          <w:lang w:val="en-GB"/>
        </w:rPr>
        <w:t xml:space="preserve">had </w:t>
      </w:r>
      <w:r w:rsidRPr="003640EA">
        <w:rPr>
          <w:color w:val="000000"/>
          <w:spacing w:val="-4"/>
          <w:lang w:val="en-GB"/>
        </w:rPr>
        <w:t xml:space="preserve">partnered with Academy Award-winning actor Matthew McConaughey to benefit Autism Speaks, a global leader in autism advocacy. </w:t>
      </w:r>
      <w:r w:rsidR="000A339F" w:rsidRPr="003640EA">
        <w:rPr>
          <w:color w:val="000000"/>
          <w:spacing w:val="-4"/>
          <w:lang w:val="en-GB"/>
        </w:rPr>
        <w:t>Each</w:t>
      </w:r>
      <w:r w:rsidRPr="003640EA">
        <w:rPr>
          <w:color w:val="000000"/>
          <w:spacing w:val="-4"/>
          <w:lang w:val="en-GB"/>
        </w:rPr>
        <w:t xml:space="preserve"> time someone shared Kiehl’s awareness video, Kiehl’s donate</w:t>
      </w:r>
      <w:r w:rsidR="004A0440">
        <w:rPr>
          <w:color w:val="000000"/>
          <w:spacing w:val="-4"/>
          <w:lang w:val="en-GB"/>
        </w:rPr>
        <w:t>d</w:t>
      </w:r>
      <w:r w:rsidRPr="003640EA">
        <w:rPr>
          <w:color w:val="000000"/>
          <w:spacing w:val="-4"/>
          <w:lang w:val="en-GB"/>
        </w:rPr>
        <w:t xml:space="preserve"> US$1, up to a maximum of US$200,000, to autism advocacy. To further support the cause, the company released a Kiehl’s x Matthew McConaughey Limited Edition Ultra Facial Cream.</w:t>
      </w:r>
      <w:r w:rsidRPr="003640EA">
        <w:rPr>
          <w:color w:val="000000"/>
          <w:spacing w:val="-4"/>
          <w:vertAlign w:val="superscript"/>
          <w:lang w:val="en-GB"/>
        </w:rPr>
        <w:endnoteReference w:id="21"/>
      </w:r>
      <w:r w:rsidRPr="003640EA">
        <w:rPr>
          <w:color w:val="000000"/>
          <w:spacing w:val="-4"/>
          <w:lang w:val="en-GB"/>
        </w:rPr>
        <w:t xml:space="preserve"> </w:t>
      </w:r>
    </w:p>
    <w:p w14:paraId="1F71FB8C" w14:textId="77777777" w:rsidR="00B36B52" w:rsidRPr="003640EA" w:rsidRDefault="00B36B52" w:rsidP="00FE1FC6">
      <w:pPr>
        <w:pStyle w:val="BodyTextMain"/>
        <w:rPr>
          <w:color w:val="000000"/>
          <w:sz w:val="20"/>
          <w:lang w:val="en-GB"/>
        </w:rPr>
      </w:pPr>
    </w:p>
    <w:p w14:paraId="72CBEB45" w14:textId="35EA6A68" w:rsidR="00B36B52" w:rsidRPr="0091055F" w:rsidRDefault="00B36B52" w:rsidP="00FE1FC6">
      <w:pPr>
        <w:pStyle w:val="BodyTextMain"/>
        <w:rPr>
          <w:color w:val="000000"/>
          <w:lang w:val="en-GB"/>
        </w:rPr>
      </w:pPr>
      <w:r w:rsidRPr="0091055F">
        <w:rPr>
          <w:color w:val="000000"/>
          <w:lang w:val="en-GB"/>
        </w:rPr>
        <w:t>In addition, Kiehl’s had a program called “Recycle and Be Rewarded” that provided customers with a complimentary product when they returned 10 empty bottles of Kiehl’s products.</w:t>
      </w:r>
      <w:r w:rsidRPr="0091055F">
        <w:rPr>
          <w:color w:val="000000"/>
          <w:vertAlign w:val="superscript"/>
          <w:lang w:val="en-GB"/>
        </w:rPr>
        <w:endnoteReference w:id="22"/>
      </w:r>
      <w:r w:rsidRPr="0091055F">
        <w:rPr>
          <w:color w:val="000000"/>
          <w:lang w:val="en-GB"/>
        </w:rPr>
        <w:t xml:space="preserve"> </w:t>
      </w:r>
    </w:p>
    <w:p w14:paraId="140DA5DD" w14:textId="77777777" w:rsidR="00B36B52" w:rsidRPr="003640EA" w:rsidRDefault="00B36B52" w:rsidP="00FE1FC6">
      <w:pPr>
        <w:pStyle w:val="BodyTextMain"/>
        <w:rPr>
          <w:color w:val="000000"/>
          <w:sz w:val="20"/>
          <w:lang w:val="en-GB"/>
        </w:rPr>
      </w:pPr>
    </w:p>
    <w:p w14:paraId="6AA0C30F" w14:textId="77777777" w:rsidR="00B36B52" w:rsidRPr="0091055F" w:rsidRDefault="00B36B52" w:rsidP="003640EA">
      <w:pPr>
        <w:pStyle w:val="Casehead3"/>
        <w:keepNext/>
        <w:rPr>
          <w:smallCaps/>
          <w:lang w:val="en-GB"/>
        </w:rPr>
      </w:pPr>
      <w:r w:rsidRPr="0091055F">
        <w:rPr>
          <w:lang w:val="en-GB"/>
        </w:rPr>
        <w:lastRenderedPageBreak/>
        <w:t>Burt’s Bees</w:t>
      </w:r>
    </w:p>
    <w:p w14:paraId="346803FF" w14:textId="77777777" w:rsidR="00B36B52" w:rsidRPr="003640EA" w:rsidRDefault="00B36B52" w:rsidP="003640EA">
      <w:pPr>
        <w:pStyle w:val="BodyTextMain"/>
        <w:keepNext/>
        <w:rPr>
          <w:color w:val="000000"/>
          <w:sz w:val="20"/>
          <w:lang w:val="en-GB"/>
        </w:rPr>
      </w:pPr>
    </w:p>
    <w:p w14:paraId="156E168B" w14:textId="498EFCBA" w:rsidR="00B36B52" w:rsidRPr="0091055F" w:rsidRDefault="00B36B52" w:rsidP="003640EA">
      <w:pPr>
        <w:pStyle w:val="BodyTextMain"/>
        <w:keepNext/>
        <w:rPr>
          <w:color w:val="000000"/>
          <w:lang w:val="en-GB"/>
        </w:rPr>
      </w:pPr>
      <w:r w:rsidRPr="0091055F">
        <w:rPr>
          <w:color w:val="000000"/>
          <w:lang w:val="en-GB"/>
        </w:rPr>
        <w:t xml:space="preserve">Acquired by The Clorox Company in 2007, US-based Burt’s Bees was originally founded in 1984 and was a prominent role model for this market sector. In 2008, the company collaborated with the Natural Products Association to develop the Natural Standard for </w:t>
      </w:r>
      <w:r w:rsidR="009E2722">
        <w:rPr>
          <w:color w:val="000000"/>
          <w:lang w:val="en-GB"/>
        </w:rPr>
        <w:t>P</w:t>
      </w:r>
      <w:r w:rsidRPr="0091055F">
        <w:rPr>
          <w:color w:val="000000"/>
          <w:lang w:val="en-GB"/>
        </w:rPr>
        <w:t xml:space="preserve">ersonal </w:t>
      </w:r>
      <w:r w:rsidR="009E2722">
        <w:rPr>
          <w:color w:val="000000"/>
          <w:lang w:val="en-GB"/>
        </w:rPr>
        <w:t>C</w:t>
      </w:r>
      <w:r w:rsidRPr="0091055F">
        <w:rPr>
          <w:color w:val="000000"/>
          <w:lang w:val="en-GB"/>
        </w:rPr>
        <w:t xml:space="preserve">are </w:t>
      </w:r>
      <w:r w:rsidR="009E2722">
        <w:rPr>
          <w:color w:val="000000"/>
          <w:lang w:val="en-GB"/>
        </w:rPr>
        <w:t>P</w:t>
      </w:r>
      <w:r w:rsidRPr="0091055F">
        <w:rPr>
          <w:color w:val="000000"/>
          <w:lang w:val="en-GB"/>
        </w:rPr>
        <w:t>roducts</w:t>
      </w:r>
      <w:r w:rsidR="009E2722">
        <w:rPr>
          <w:color w:val="000000"/>
          <w:lang w:val="en-GB"/>
        </w:rPr>
        <w:t>,</w:t>
      </w:r>
      <w:r w:rsidRPr="0091055F">
        <w:rPr>
          <w:color w:val="000000"/>
          <w:lang w:val="en-GB"/>
        </w:rPr>
        <w:t xml:space="preserve"> and in 2011, the ImagePower Green Brands Survey identified Burt’s Bees as the number one green brand as perceived by US consumers.</w:t>
      </w:r>
      <w:r w:rsidRPr="0091055F">
        <w:rPr>
          <w:color w:val="000000"/>
          <w:vertAlign w:val="superscript"/>
          <w:lang w:val="en-GB"/>
        </w:rPr>
        <w:endnoteReference w:id="23"/>
      </w:r>
    </w:p>
    <w:p w14:paraId="3B63A238" w14:textId="77777777" w:rsidR="00B36B52" w:rsidRPr="003640EA" w:rsidRDefault="00B36B52" w:rsidP="00FE1FC6">
      <w:pPr>
        <w:pStyle w:val="BodyTextMain"/>
        <w:rPr>
          <w:color w:val="000000"/>
          <w:sz w:val="20"/>
          <w:lang w:val="en-GB"/>
        </w:rPr>
      </w:pPr>
    </w:p>
    <w:p w14:paraId="7853225F" w14:textId="71AB5EBA" w:rsidR="00B36B52" w:rsidRPr="0091055F" w:rsidRDefault="00B36B52" w:rsidP="00FE1FC6">
      <w:pPr>
        <w:pStyle w:val="BodyTextMain"/>
        <w:rPr>
          <w:color w:val="000000"/>
          <w:lang w:val="en-GB"/>
        </w:rPr>
      </w:pPr>
      <w:r w:rsidRPr="0091055F">
        <w:rPr>
          <w:color w:val="000000"/>
          <w:lang w:val="en-GB"/>
        </w:rPr>
        <w:t xml:space="preserve">A member of the Sustainable Packaging Coalition, Burt’s Bees had committed to the highest standards of package development and actively developed innovative sustainable packaging solutions including TerraSkin </w:t>
      </w:r>
      <w:r w:rsidR="009E2722">
        <w:rPr>
          <w:color w:val="000000"/>
          <w:lang w:val="en-GB"/>
        </w:rPr>
        <w:t>w</w:t>
      </w:r>
      <w:r w:rsidRPr="0091055F">
        <w:rPr>
          <w:color w:val="000000"/>
          <w:lang w:val="en-GB"/>
        </w:rPr>
        <w:t>raps, an environmentally friendly, treeless</w:t>
      </w:r>
      <w:r w:rsidR="009E2722">
        <w:rPr>
          <w:color w:val="000000"/>
          <w:lang w:val="en-GB"/>
        </w:rPr>
        <w:t>,</w:t>
      </w:r>
      <w:r w:rsidRPr="0091055F">
        <w:rPr>
          <w:color w:val="000000"/>
          <w:lang w:val="en-GB"/>
        </w:rPr>
        <w:t xml:space="preserve"> and bleach-free paper alternative the company used to package its bar soaps.</w:t>
      </w:r>
      <w:r w:rsidRPr="0091055F">
        <w:rPr>
          <w:color w:val="000000"/>
          <w:vertAlign w:val="superscript"/>
          <w:lang w:val="en-GB"/>
        </w:rPr>
        <w:endnoteReference w:id="24"/>
      </w:r>
    </w:p>
    <w:p w14:paraId="21623ADC" w14:textId="77777777" w:rsidR="00B36B52" w:rsidRPr="003640EA" w:rsidRDefault="00B36B52" w:rsidP="0027250E">
      <w:pPr>
        <w:pStyle w:val="Casehead3"/>
        <w:rPr>
          <w:sz w:val="20"/>
          <w:lang w:val="en-GB"/>
        </w:rPr>
      </w:pPr>
    </w:p>
    <w:p w14:paraId="463FBE9C" w14:textId="77777777" w:rsidR="00B36B52" w:rsidRPr="003640EA" w:rsidRDefault="00B36B52" w:rsidP="0027250E">
      <w:pPr>
        <w:pStyle w:val="Casehead3"/>
        <w:rPr>
          <w:sz w:val="20"/>
          <w:lang w:val="en-GB"/>
        </w:rPr>
      </w:pPr>
    </w:p>
    <w:p w14:paraId="33667E0F" w14:textId="5078D2E7" w:rsidR="00B36B52" w:rsidRPr="0091055F" w:rsidRDefault="00B36B52" w:rsidP="0027250E">
      <w:pPr>
        <w:pStyle w:val="Casehead3"/>
        <w:rPr>
          <w:smallCaps/>
          <w:lang w:val="en-GB"/>
        </w:rPr>
      </w:pPr>
      <w:r w:rsidRPr="0091055F">
        <w:rPr>
          <w:lang w:val="en-GB"/>
        </w:rPr>
        <w:t xml:space="preserve">The Body Shop </w:t>
      </w:r>
    </w:p>
    <w:p w14:paraId="7DFEC7D5" w14:textId="77777777" w:rsidR="00B36B52" w:rsidRPr="003640EA" w:rsidRDefault="00B36B52" w:rsidP="00FE1FC6">
      <w:pPr>
        <w:pStyle w:val="BodyTextMain"/>
        <w:rPr>
          <w:color w:val="000000"/>
          <w:sz w:val="20"/>
          <w:lang w:val="en-GB"/>
        </w:rPr>
      </w:pPr>
    </w:p>
    <w:p w14:paraId="32453409" w14:textId="17FE0192" w:rsidR="00B36B52" w:rsidRPr="0091055F" w:rsidRDefault="00B36B52" w:rsidP="00FE1FC6">
      <w:pPr>
        <w:pStyle w:val="BodyTextMain"/>
        <w:rPr>
          <w:color w:val="000000"/>
          <w:lang w:val="en-GB"/>
        </w:rPr>
      </w:pPr>
      <w:r w:rsidRPr="0091055F">
        <w:rPr>
          <w:color w:val="000000"/>
          <w:lang w:val="en-GB"/>
        </w:rPr>
        <w:t xml:space="preserve">Established in 1976, the UK cosmetics chain was </w:t>
      </w:r>
      <w:r>
        <w:rPr>
          <w:color w:val="000000"/>
          <w:lang w:val="en-GB"/>
        </w:rPr>
        <w:t>purchased by L’Oréal</w:t>
      </w:r>
      <w:r w:rsidR="004A0440">
        <w:rPr>
          <w:color w:val="000000"/>
          <w:lang w:val="en-GB"/>
        </w:rPr>
        <w:t xml:space="preserve"> in 2006 and </w:t>
      </w:r>
      <w:r w:rsidRPr="0091055F">
        <w:rPr>
          <w:color w:val="000000"/>
          <w:lang w:val="en-GB"/>
        </w:rPr>
        <w:t xml:space="preserve">sold for </w:t>
      </w:r>
      <w:r>
        <w:rPr>
          <w:color w:val="000000"/>
          <w:lang w:val="en-GB"/>
        </w:rPr>
        <w:t>US</w:t>
      </w:r>
      <w:r w:rsidRPr="0091055F">
        <w:rPr>
          <w:color w:val="000000"/>
          <w:lang w:val="en-GB"/>
        </w:rPr>
        <w:t xml:space="preserve">$1.1 billion in 2017. The Body Shop’s new owner, Natura, was a Brazilian cosmetics group considered to be a pioneer in nature-inspired products, personalized service, and ethical business. The acquisition provided Natura with </w:t>
      </w:r>
      <w:r>
        <w:rPr>
          <w:color w:val="000000"/>
          <w:lang w:val="en-GB"/>
        </w:rPr>
        <w:t>more than</w:t>
      </w:r>
      <w:r w:rsidRPr="0091055F">
        <w:rPr>
          <w:color w:val="000000"/>
          <w:lang w:val="en-GB"/>
        </w:rPr>
        <w:t xml:space="preserve"> 3,000 stores in 66 countries, the corporate infrastructure to test its local expertise at a global level,</w:t>
      </w:r>
      <w:r w:rsidRPr="0091055F">
        <w:rPr>
          <w:color w:val="000000"/>
          <w:vertAlign w:val="superscript"/>
          <w:lang w:val="en-GB"/>
        </w:rPr>
        <w:endnoteReference w:id="25"/>
      </w:r>
      <w:r w:rsidRPr="0091055F">
        <w:rPr>
          <w:color w:val="000000"/>
          <w:lang w:val="en-GB"/>
        </w:rPr>
        <w:t xml:space="preserve"> and sales of </w:t>
      </w:r>
      <w:r>
        <w:rPr>
          <w:color w:val="000000"/>
          <w:lang w:val="en-GB"/>
        </w:rPr>
        <w:t>more than</w:t>
      </w:r>
      <w:r w:rsidRPr="0091055F">
        <w:rPr>
          <w:color w:val="000000"/>
          <w:lang w:val="en-GB"/>
        </w:rPr>
        <w:t xml:space="preserve"> </w:t>
      </w:r>
      <w:r>
        <w:rPr>
          <w:color w:val="000000"/>
          <w:lang w:val="en-GB"/>
        </w:rPr>
        <w:t>US</w:t>
      </w:r>
      <w:r w:rsidRPr="0091055F">
        <w:rPr>
          <w:color w:val="000000"/>
          <w:lang w:val="en-GB"/>
        </w:rPr>
        <w:t>$1 billion.</w:t>
      </w:r>
      <w:r w:rsidRPr="0091055F">
        <w:rPr>
          <w:color w:val="000000"/>
          <w:vertAlign w:val="superscript"/>
          <w:lang w:val="en-GB"/>
        </w:rPr>
        <w:endnoteReference w:id="26"/>
      </w:r>
      <w:r w:rsidRPr="0091055F">
        <w:rPr>
          <w:color w:val="000000"/>
          <w:lang w:val="en-GB"/>
        </w:rPr>
        <w:t xml:space="preserve"> The core values of the business included (1) supporting community fair trade, (2) activating self-esteem, (3) defending human rights, (4) eliminating animal testing, and (5) protecting the planet.</w:t>
      </w:r>
      <w:r w:rsidRPr="0091055F">
        <w:rPr>
          <w:color w:val="000000"/>
          <w:vertAlign w:val="superscript"/>
          <w:lang w:val="en-GB"/>
        </w:rPr>
        <w:endnoteReference w:id="27"/>
      </w:r>
      <w:r w:rsidRPr="0091055F">
        <w:rPr>
          <w:color w:val="000000"/>
          <w:lang w:val="en-GB"/>
        </w:rPr>
        <w:t xml:space="preserve"> </w:t>
      </w:r>
    </w:p>
    <w:p w14:paraId="23EA0846" w14:textId="7722ACF9" w:rsidR="00B36B52" w:rsidRPr="003640EA" w:rsidRDefault="00B36B52" w:rsidP="00FE1FC6">
      <w:pPr>
        <w:pStyle w:val="BodyTextMain"/>
        <w:rPr>
          <w:color w:val="000000"/>
          <w:sz w:val="20"/>
          <w:lang w:val="en-GB"/>
        </w:rPr>
      </w:pPr>
    </w:p>
    <w:p w14:paraId="644C3873" w14:textId="1EE68AF3" w:rsidR="00B36B52" w:rsidRPr="0091055F" w:rsidRDefault="00B36B52" w:rsidP="00FE1FC6">
      <w:pPr>
        <w:pStyle w:val="BodyTextMain"/>
        <w:rPr>
          <w:color w:val="000000"/>
          <w:lang w:val="en-GB"/>
        </w:rPr>
      </w:pPr>
      <w:r w:rsidRPr="0091055F">
        <w:rPr>
          <w:color w:val="000000"/>
          <w:lang w:val="en-GB"/>
        </w:rPr>
        <w:t>In 2016, The Body Shop introduced a new commitment, Enrich Not Exploit</w:t>
      </w:r>
      <w:r w:rsidR="000A339F">
        <w:rPr>
          <w:color w:val="000000"/>
          <w:lang w:val="en-GB"/>
        </w:rPr>
        <w:t xml:space="preserve">, which </w:t>
      </w:r>
      <w:r w:rsidRPr="0091055F">
        <w:rPr>
          <w:color w:val="000000"/>
          <w:lang w:val="en-GB"/>
        </w:rPr>
        <w:t xml:space="preserve">aimed </w:t>
      </w:r>
      <w:r w:rsidR="000A339F">
        <w:rPr>
          <w:color w:val="000000"/>
          <w:lang w:val="en-GB"/>
        </w:rPr>
        <w:t>to</w:t>
      </w:r>
      <w:r w:rsidR="000A339F" w:rsidRPr="0091055F">
        <w:rPr>
          <w:color w:val="000000"/>
          <w:lang w:val="en-GB"/>
        </w:rPr>
        <w:t xml:space="preserve"> </w:t>
      </w:r>
      <w:r w:rsidRPr="0091055F">
        <w:rPr>
          <w:color w:val="000000"/>
          <w:lang w:val="en-GB"/>
        </w:rPr>
        <w:t>protect and enhanc</w:t>
      </w:r>
      <w:r w:rsidR="000A339F">
        <w:rPr>
          <w:color w:val="000000"/>
          <w:lang w:val="en-GB"/>
        </w:rPr>
        <w:t>e</w:t>
      </w:r>
      <w:r w:rsidRPr="0091055F">
        <w:rPr>
          <w:color w:val="000000"/>
          <w:lang w:val="en-GB"/>
        </w:rPr>
        <w:t xml:space="preserve"> the planet and its people. The Enrich Not Exploit initiative introduced new packaging designs for all 905 full-sized products and for </w:t>
      </w:r>
      <w:r>
        <w:rPr>
          <w:color w:val="000000"/>
          <w:lang w:val="en-GB"/>
        </w:rPr>
        <w:t>more than</w:t>
      </w:r>
      <w:r w:rsidRPr="0091055F">
        <w:rPr>
          <w:color w:val="000000"/>
          <w:lang w:val="en-GB"/>
        </w:rPr>
        <w:t xml:space="preserve"> 100 trial-size and travel-size products with the goal that, by 2020, 70</w:t>
      </w:r>
      <w:r>
        <w:rPr>
          <w:color w:val="000000"/>
          <w:lang w:val="en-GB"/>
        </w:rPr>
        <w:t xml:space="preserve"> per cent</w:t>
      </w:r>
      <w:r w:rsidRPr="0091055F">
        <w:rPr>
          <w:color w:val="000000"/>
          <w:lang w:val="en-GB"/>
        </w:rPr>
        <w:t xml:space="preserve"> of product packaging would not contain plastics made from oil. To achieve this goal, </w:t>
      </w:r>
      <w:r>
        <w:rPr>
          <w:color w:val="000000"/>
          <w:lang w:val="en-GB"/>
        </w:rPr>
        <w:t>T</w:t>
      </w:r>
      <w:r w:rsidRPr="0091055F">
        <w:rPr>
          <w:color w:val="000000"/>
          <w:lang w:val="en-GB"/>
        </w:rPr>
        <w:t>he Body Shop partnered with Newlight Technology to develop packaging using AirCarbon, a thermoplastic made from pollutant gases</w:t>
      </w:r>
      <w:r w:rsidR="00F2347C">
        <w:rPr>
          <w:color w:val="000000"/>
          <w:lang w:val="en-GB"/>
        </w:rPr>
        <w:t>—</w:t>
      </w:r>
      <w:r w:rsidRPr="0091055F">
        <w:rPr>
          <w:color w:val="000000"/>
          <w:lang w:val="en-GB"/>
        </w:rPr>
        <w:t xml:space="preserve">carbon dioxide and methane. The </w:t>
      </w:r>
      <w:r>
        <w:rPr>
          <w:color w:val="000000"/>
          <w:lang w:val="en-GB"/>
        </w:rPr>
        <w:t>Body Shop</w:t>
      </w:r>
      <w:r w:rsidRPr="0091055F">
        <w:rPr>
          <w:color w:val="000000"/>
          <w:lang w:val="en-GB"/>
        </w:rPr>
        <w:t xml:space="preserve"> claimed that it was the first within the beauty industry to commerciali</w:t>
      </w:r>
      <w:r>
        <w:rPr>
          <w:color w:val="000000"/>
          <w:lang w:val="en-GB"/>
        </w:rPr>
        <w:t>z</w:t>
      </w:r>
      <w:r w:rsidRPr="0091055F">
        <w:rPr>
          <w:color w:val="000000"/>
          <w:lang w:val="en-GB"/>
        </w:rPr>
        <w:t>e the use of AirCarbon</w:t>
      </w:r>
      <w:r w:rsidRPr="0091055F">
        <w:rPr>
          <w:color w:val="000000"/>
          <w:vertAlign w:val="superscript"/>
          <w:lang w:val="en-GB"/>
        </w:rPr>
        <w:endnoteReference w:id="28"/>
      </w:r>
      <w:r w:rsidRPr="0091055F">
        <w:rPr>
          <w:color w:val="000000"/>
          <w:lang w:val="en-GB"/>
        </w:rPr>
        <w:t xml:space="preserve"> and saw the move as an outward commitment toward the principle of “keeping fossil fuels in the ground.”</w:t>
      </w:r>
      <w:r w:rsidRPr="0091055F">
        <w:rPr>
          <w:color w:val="000000"/>
          <w:vertAlign w:val="superscript"/>
          <w:lang w:val="en-GB"/>
        </w:rPr>
        <w:endnoteReference w:id="29"/>
      </w:r>
      <w:r w:rsidRPr="0091055F">
        <w:rPr>
          <w:color w:val="000000"/>
          <w:lang w:val="en-GB"/>
        </w:rPr>
        <w:t xml:space="preserve"> </w:t>
      </w:r>
    </w:p>
    <w:p w14:paraId="5B1E7781" w14:textId="77777777" w:rsidR="00B36B52" w:rsidRPr="005C75C4" w:rsidRDefault="00B36B52" w:rsidP="00FE1FC6">
      <w:pPr>
        <w:pStyle w:val="BodyTextMain"/>
        <w:rPr>
          <w:color w:val="000000"/>
          <w:sz w:val="16"/>
          <w:highlight w:val="yellow"/>
          <w:lang w:val="en-GB"/>
        </w:rPr>
      </w:pPr>
    </w:p>
    <w:p w14:paraId="37449E58" w14:textId="77777777" w:rsidR="00B36B52" w:rsidRPr="005C75C4" w:rsidRDefault="00B36B52" w:rsidP="00FE1FC6">
      <w:pPr>
        <w:pStyle w:val="BodyTextMain"/>
        <w:rPr>
          <w:color w:val="000000"/>
          <w:sz w:val="16"/>
          <w:highlight w:val="yellow"/>
          <w:lang w:val="en-GB"/>
        </w:rPr>
      </w:pPr>
    </w:p>
    <w:p w14:paraId="3ADB8700" w14:textId="77777777" w:rsidR="00B36B52" w:rsidRPr="0091055F" w:rsidRDefault="00B36B52" w:rsidP="0027250E">
      <w:pPr>
        <w:pStyle w:val="Casehead1"/>
        <w:rPr>
          <w:lang w:val="en-GB"/>
        </w:rPr>
      </w:pPr>
      <w:r w:rsidRPr="0091055F">
        <w:rPr>
          <w:lang w:val="en-GB"/>
        </w:rPr>
        <w:t>SUSTAINABLE PACKAGING</w:t>
      </w:r>
    </w:p>
    <w:p w14:paraId="12D6DD80" w14:textId="77777777" w:rsidR="00B36B52" w:rsidRPr="003640EA" w:rsidRDefault="00B36B52" w:rsidP="00FE1FC6">
      <w:pPr>
        <w:pStyle w:val="BodyTextMain"/>
        <w:rPr>
          <w:sz w:val="20"/>
          <w:lang w:val="en-GB"/>
        </w:rPr>
      </w:pPr>
    </w:p>
    <w:p w14:paraId="57FC2A73" w14:textId="33309994" w:rsidR="00B36B52" w:rsidRPr="00B36B52" w:rsidRDefault="00B36B52" w:rsidP="00FE1FC6">
      <w:pPr>
        <w:pStyle w:val="BodyTextMain"/>
        <w:rPr>
          <w:spacing w:val="-2"/>
          <w:lang w:val="en-GB"/>
        </w:rPr>
      </w:pPr>
      <w:r w:rsidRPr="00B36B52">
        <w:rPr>
          <w:spacing w:val="-2"/>
          <w:lang w:val="en-GB"/>
        </w:rPr>
        <w:t xml:space="preserve">One of the fastest-growing influences on consumers’ purchasing behaviour </w:t>
      </w:r>
      <w:r w:rsidR="004A0440">
        <w:t>were the sustainability claims that were made by companies</w:t>
      </w:r>
      <w:r w:rsidRPr="00B36B52">
        <w:rPr>
          <w:spacing w:val="-2"/>
          <w:lang w:val="en-GB"/>
        </w:rPr>
        <w:t>.</w:t>
      </w:r>
      <w:r w:rsidRPr="00B36B52">
        <w:rPr>
          <w:spacing w:val="-2"/>
          <w:vertAlign w:val="superscript"/>
          <w:lang w:val="en-GB"/>
        </w:rPr>
        <w:endnoteReference w:id="30"/>
      </w:r>
      <w:r w:rsidRPr="00B36B52">
        <w:rPr>
          <w:spacing w:val="-2"/>
          <w:lang w:val="en-GB"/>
        </w:rPr>
        <w:t xml:space="preserve"> In 2015, Nielsen conducted an online survey of 30,000 consumers in 60 countries to assess how sustainability influenced purchasing decisions. At that time, customers weighed environmentally</w:t>
      </w:r>
      <w:r w:rsidR="000A339F">
        <w:rPr>
          <w:spacing w:val="-2"/>
          <w:lang w:val="en-GB"/>
        </w:rPr>
        <w:t xml:space="preserve"> </w:t>
      </w:r>
      <w:r w:rsidRPr="00B36B52">
        <w:rPr>
          <w:spacing w:val="-2"/>
          <w:lang w:val="en-GB"/>
        </w:rPr>
        <w:t>friendly packaging as driving 41 per cent of their purchase behaviour, the same rank they afforded products made by companies known for their commitment to community (see Exhibit 3 for a full list of customer responses).</w:t>
      </w:r>
    </w:p>
    <w:p w14:paraId="7FF56B65" w14:textId="77777777" w:rsidR="00B36B52" w:rsidRPr="003640EA" w:rsidRDefault="00B36B52" w:rsidP="00FE1FC6">
      <w:pPr>
        <w:pStyle w:val="BodyTextMain"/>
        <w:rPr>
          <w:sz w:val="20"/>
          <w:lang w:val="en-GB"/>
        </w:rPr>
      </w:pPr>
    </w:p>
    <w:p w14:paraId="0525F7EF" w14:textId="4EEEB5CC" w:rsidR="00B36B52" w:rsidRPr="0091055F" w:rsidRDefault="00B36B52" w:rsidP="00FE1FC6">
      <w:pPr>
        <w:pStyle w:val="BodyTextMain"/>
        <w:rPr>
          <w:lang w:val="en-GB"/>
        </w:rPr>
      </w:pPr>
      <w:r w:rsidRPr="0091055F">
        <w:rPr>
          <w:lang w:val="en-GB"/>
        </w:rPr>
        <w:t>Perhaps in response to changing consumer behavio</w:t>
      </w:r>
      <w:r>
        <w:rPr>
          <w:lang w:val="en-GB"/>
        </w:rPr>
        <w:t>u</w:t>
      </w:r>
      <w:r w:rsidRPr="0091055F">
        <w:rPr>
          <w:lang w:val="en-GB"/>
        </w:rPr>
        <w:t xml:space="preserve">rs that valued sustainability, companies </w:t>
      </w:r>
      <w:r>
        <w:rPr>
          <w:lang w:val="en-GB"/>
        </w:rPr>
        <w:t>began</w:t>
      </w:r>
      <w:r w:rsidRPr="0091055F">
        <w:rPr>
          <w:lang w:val="en-GB"/>
        </w:rPr>
        <w:t xml:space="preserve"> including environmentally</w:t>
      </w:r>
      <w:r>
        <w:rPr>
          <w:lang w:val="en-GB"/>
        </w:rPr>
        <w:t xml:space="preserve"> </w:t>
      </w:r>
      <w:r w:rsidRPr="0091055F">
        <w:rPr>
          <w:lang w:val="en-GB"/>
        </w:rPr>
        <w:t xml:space="preserve">responsible packaging as a part of their standard practice and sustainability goals, pushing the sustainable packaging industry toward the forecasted value of </w:t>
      </w:r>
      <w:r>
        <w:rPr>
          <w:lang w:val="en-GB"/>
        </w:rPr>
        <w:t>US</w:t>
      </w:r>
      <w:r w:rsidRPr="0091055F">
        <w:rPr>
          <w:lang w:val="en-GB"/>
        </w:rPr>
        <w:t>$244 billion in 2018.</w:t>
      </w:r>
      <w:r w:rsidRPr="0091055F">
        <w:rPr>
          <w:vertAlign w:val="superscript"/>
          <w:lang w:val="en-GB"/>
        </w:rPr>
        <w:endnoteReference w:id="31"/>
      </w:r>
      <w:r w:rsidRPr="0091055F">
        <w:rPr>
          <w:lang w:val="en-GB"/>
        </w:rPr>
        <w:t xml:space="preserve"> Sustainable packaging refer</w:t>
      </w:r>
      <w:r>
        <w:rPr>
          <w:lang w:val="en-GB"/>
        </w:rPr>
        <w:t>red</w:t>
      </w:r>
      <w:r w:rsidRPr="0091055F">
        <w:rPr>
          <w:lang w:val="en-GB"/>
        </w:rPr>
        <w:t>, in general, to the use of materials and manufacturing methods that ha</w:t>
      </w:r>
      <w:r w:rsidR="004A0440">
        <w:rPr>
          <w:lang w:val="en-GB"/>
        </w:rPr>
        <w:t>d</w:t>
      </w:r>
      <w:r w:rsidRPr="0091055F">
        <w:rPr>
          <w:lang w:val="en-GB"/>
        </w:rPr>
        <w:t xml:space="preserve"> a positive impact on the environment and on people. The Sustainable Packaging </w:t>
      </w:r>
      <w:r>
        <w:rPr>
          <w:lang w:val="en-GB"/>
        </w:rPr>
        <w:t>Coalition’s</w:t>
      </w:r>
      <w:r w:rsidRPr="0091055F">
        <w:rPr>
          <w:lang w:val="en-GB"/>
        </w:rPr>
        <w:t xml:space="preserve"> (SPC</w:t>
      </w:r>
      <w:r>
        <w:rPr>
          <w:lang w:val="en-GB"/>
        </w:rPr>
        <w:t>’s</w:t>
      </w:r>
      <w:r w:rsidRPr="0091055F">
        <w:rPr>
          <w:lang w:val="en-GB"/>
        </w:rPr>
        <w:t>) definition for sustainable packaging focuse</w:t>
      </w:r>
      <w:r w:rsidR="004A0440">
        <w:rPr>
          <w:lang w:val="en-GB"/>
        </w:rPr>
        <w:t>d</w:t>
      </w:r>
      <w:r w:rsidRPr="0091055F">
        <w:rPr>
          <w:lang w:val="en-GB"/>
        </w:rPr>
        <w:t xml:space="preserve"> on eight equally weighted criteria</w:t>
      </w:r>
      <w:r w:rsidR="00F2347C">
        <w:rPr>
          <w:lang w:val="en-GB"/>
        </w:rPr>
        <w:t>:</w:t>
      </w:r>
      <w:r w:rsidRPr="0091055F">
        <w:rPr>
          <w:vertAlign w:val="superscript"/>
          <w:lang w:val="en-GB"/>
        </w:rPr>
        <w:endnoteReference w:id="32"/>
      </w:r>
    </w:p>
    <w:p w14:paraId="1CA53137" w14:textId="14A14BDD" w:rsidR="00B36B52" w:rsidRDefault="00B36B52" w:rsidP="00FE1FC6">
      <w:pPr>
        <w:pStyle w:val="BodyTextMain"/>
        <w:rPr>
          <w:sz w:val="20"/>
          <w:lang w:val="en-GB"/>
        </w:rPr>
      </w:pPr>
    </w:p>
    <w:p w14:paraId="0AE818EF" w14:textId="77777777" w:rsidR="0028059F" w:rsidRPr="003640EA" w:rsidRDefault="0028059F" w:rsidP="00FE1FC6">
      <w:pPr>
        <w:pStyle w:val="BodyTextMain"/>
        <w:rPr>
          <w:sz w:val="20"/>
          <w:lang w:val="en-GB"/>
        </w:rPr>
      </w:pPr>
    </w:p>
    <w:p w14:paraId="4C44665A" w14:textId="1399B67E" w:rsidR="005D6F0C" w:rsidRPr="005D6F0C" w:rsidRDefault="005D6F0C" w:rsidP="005D6F0C">
      <w:pPr>
        <w:pStyle w:val="BodyTextMain"/>
        <w:numPr>
          <w:ilvl w:val="0"/>
          <w:numId w:val="20"/>
        </w:numPr>
      </w:pPr>
      <w:r w:rsidRPr="005D6F0C">
        <w:lastRenderedPageBreak/>
        <w:t>is beneficial, safe</w:t>
      </w:r>
      <w:r w:rsidR="00F2347C">
        <w:t>, and</w:t>
      </w:r>
      <w:r w:rsidRPr="005D6F0C">
        <w:t xml:space="preserve"> healthy for individuals and communities throughout its life cycle,</w:t>
      </w:r>
    </w:p>
    <w:p w14:paraId="771770F8" w14:textId="77777777" w:rsidR="005D6F0C" w:rsidRPr="005D6F0C" w:rsidRDefault="005D6F0C" w:rsidP="005D6F0C">
      <w:pPr>
        <w:pStyle w:val="BodyTextMain"/>
        <w:numPr>
          <w:ilvl w:val="0"/>
          <w:numId w:val="20"/>
        </w:numPr>
      </w:pPr>
      <w:r w:rsidRPr="005D6F0C">
        <w:t>meets market criteria for performance and cost,</w:t>
      </w:r>
    </w:p>
    <w:p w14:paraId="5955D7F9" w14:textId="77777777" w:rsidR="005D6F0C" w:rsidRPr="005D6F0C" w:rsidRDefault="005D6F0C" w:rsidP="005D6F0C">
      <w:pPr>
        <w:pStyle w:val="BodyTextMain"/>
        <w:numPr>
          <w:ilvl w:val="0"/>
          <w:numId w:val="20"/>
        </w:numPr>
      </w:pPr>
      <w:r w:rsidRPr="005D6F0C">
        <w:t>is sourced, manufactured, transported, and recycled using renewable energy,</w:t>
      </w:r>
    </w:p>
    <w:p w14:paraId="4D4B4B4A" w14:textId="77777777" w:rsidR="005D6F0C" w:rsidRPr="005D6F0C" w:rsidRDefault="005D6F0C" w:rsidP="005D6F0C">
      <w:pPr>
        <w:pStyle w:val="BodyTextMain"/>
        <w:numPr>
          <w:ilvl w:val="0"/>
          <w:numId w:val="20"/>
        </w:numPr>
      </w:pPr>
      <w:r w:rsidRPr="005D6F0C">
        <w:t>optimizes the use of renewable or recycled source materials,</w:t>
      </w:r>
    </w:p>
    <w:p w14:paraId="5C943BEF" w14:textId="77777777" w:rsidR="005D6F0C" w:rsidRPr="005D6F0C" w:rsidRDefault="005D6F0C" w:rsidP="005D6F0C">
      <w:pPr>
        <w:pStyle w:val="BodyTextMain"/>
        <w:numPr>
          <w:ilvl w:val="0"/>
          <w:numId w:val="20"/>
        </w:numPr>
      </w:pPr>
      <w:r w:rsidRPr="005D6F0C">
        <w:t>is manufactured using clean production technologies and best practices,</w:t>
      </w:r>
    </w:p>
    <w:p w14:paraId="3DCC28CD" w14:textId="77777777" w:rsidR="005D6F0C" w:rsidRPr="005D6F0C" w:rsidRDefault="005D6F0C" w:rsidP="005D6F0C">
      <w:pPr>
        <w:pStyle w:val="BodyTextMain"/>
        <w:numPr>
          <w:ilvl w:val="0"/>
          <w:numId w:val="20"/>
        </w:numPr>
      </w:pPr>
      <w:r w:rsidRPr="005D6F0C">
        <w:t>is made from materials healthy throughout the life cycle,</w:t>
      </w:r>
    </w:p>
    <w:p w14:paraId="5C46064E" w14:textId="77777777" w:rsidR="005D6F0C" w:rsidRPr="005D6F0C" w:rsidRDefault="005D6F0C" w:rsidP="005D6F0C">
      <w:pPr>
        <w:pStyle w:val="BodyTextMain"/>
        <w:numPr>
          <w:ilvl w:val="0"/>
          <w:numId w:val="20"/>
        </w:numPr>
      </w:pPr>
      <w:r w:rsidRPr="005D6F0C">
        <w:t>is physically designed to optimize materials and energy, and</w:t>
      </w:r>
    </w:p>
    <w:p w14:paraId="056CC345" w14:textId="77777777" w:rsidR="005D6F0C" w:rsidRPr="000C0582" w:rsidRDefault="005D6F0C" w:rsidP="005D6F0C">
      <w:pPr>
        <w:pStyle w:val="BodyTextMain"/>
        <w:numPr>
          <w:ilvl w:val="0"/>
          <w:numId w:val="20"/>
        </w:numPr>
        <w:rPr>
          <w:lang w:val="en-GB"/>
        </w:rPr>
      </w:pPr>
      <w:r w:rsidRPr="005D6F0C">
        <w:t>is effectively recovered</w:t>
      </w:r>
      <w:r w:rsidRPr="000C0582">
        <w:rPr>
          <w:lang w:val="en-GB"/>
        </w:rPr>
        <w:t xml:space="preserve"> and utilized in biological and/or industrial closed loop cycles</w:t>
      </w:r>
    </w:p>
    <w:p w14:paraId="4A08CBE5" w14:textId="0058B09F" w:rsidR="00B36B52" w:rsidRDefault="00B36B52" w:rsidP="005D6F0C">
      <w:pPr>
        <w:pStyle w:val="BodyTextMain"/>
        <w:rPr>
          <w:sz w:val="20"/>
          <w:lang w:val="en-GB"/>
        </w:rPr>
      </w:pPr>
    </w:p>
    <w:p w14:paraId="657C6E05" w14:textId="77777777" w:rsidR="005C75C4" w:rsidRPr="003640EA" w:rsidRDefault="005C75C4" w:rsidP="005D6F0C">
      <w:pPr>
        <w:pStyle w:val="BodyTextMain"/>
        <w:rPr>
          <w:sz w:val="20"/>
          <w:lang w:val="en-GB"/>
        </w:rPr>
      </w:pPr>
    </w:p>
    <w:p w14:paraId="4E82FB43" w14:textId="77777777" w:rsidR="00B36B52" w:rsidRPr="0091055F" w:rsidRDefault="00B36B52" w:rsidP="0027250E">
      <w:pPr>
        <w:pStyle w:val="Casehead2"/>
        <w:rPr>
          <w:lang w:val="en-GB"/>
        </w:rPr>
      </w:pPr>
      <w:r w:rsidRPr="0091055F">
        <w:rPr>
          <w:lang w:val="en-GB"/>
        </w:rPr>
        <w:t>Packaging for RMSC</w:t>
      </w:r>
    </w:p>
    <w:p w14:paraId="11EE28D6" w14:textId="77777777" w:rsidR="00B36B52" w:rsidRPr="003640EA" w:rsidRDefault="00B36B52" w:rsidP="00FE1FC6">
      <w:pPr>
        <w:pStyle w:val="BodyTextMain"/>
        <w:rPr>
          <w:sz w:val="20"/>
          <w:lang w:val="en-GB"/>
        </w:rPr>
      </w:pPr>
    </w:p>
    <w:p w14:paraId="5EE0163F" w14:textId="4DF16EAE" w:rsidR="00B36B52" w:rsidRPr="0091055F" w:rsidRDefault="00B36B52" w:rsidP="00FE1FC6">
      <w:pPr>
        <w:pStyle w:val="BodyTextMain"/>
        <w:rPr>
          <w:lang w:val="en-GB"/>
        </w:rPr>
      </w:pPr>
      <w:r w:rsidRPr="0091055F">
        <w:rPr>
          <w:lang w:val="en-GB"/>
        </w:rPr>
        <w:t>From the beginning, Birch and Baty had embedded economic, social, and environmental logic into RMSC’s business and manufacturing operations. Waste reduction and sustainability efforts included simple measures, such as reducing and simplifying product packaging, and more complex decisions, such as abandoning traditional plastic-based shipping peanuts in favour of an edible corn</w:t>
      </w:r>
      <w:r>
        <w:rPr>
          <w:lang w:val="en-GB"/>
        </w:rPr>
        <w:t xml:space="preserve"> </w:t>
      </w:r>
      <w:r w:rsidRPr="0091055F">
        <w:rPr>
          <w:lang w:val="en-GB"/>
        </w:rPr>
        <w:t xml:space="preserve">starch version. In an interview with </w:t>
      </w:r>
      <w:r w:rsidRPr="009E7AA2">
        <w:rPr>
          <w:i/>
          <w:lang w:val="en-GB"/>
        </w:rPr>
        <w:t>Forbes</w:t>
      </w:r>
      <w:r w:rsidRPr="0091055F">
        <w:rPr>
          <w:lang w:val="en-GB"/>
        </w:rPr>
        <w:t>, Birch explained: “It just makes sense. We work hard to make sure that our product is clean, 10 ingredients or less</w:t>
      </w:r>
      <w:r w:rsidR="00415AF3">
        <w:rPr>
          <w:lang w:val="en-GB"/>
        </w:rPr>
        <w:t xml:space="preserve"> [sic]</w:t>
      </w:r>
      <w:r w:rsidRPr="0091055F">
        <w:rPr>
          <w:lang w:val="en-GB"/>
        </w:rPr>
        <w:t>, that our stores and offices are eco-friendly. It’s only natural that we try to limit our impact in the packaging department as well.”</w:t>
      </w:r>
      <w:r w:rsidRPr="0091055F">
        <w:rPr>
          <w:vertAlign w:val="superscript"/>
          <w:lang w:val="en-GB"/>
        </w:rPr>
        <w:endnoteReference w:id="33"/>
      </w:r>
    </w:p>
    <w:p w14:paraId="55C25AA2" w14:textId="77777777" w:rsidR="00B36B52" w:rsidRPr="003640EA" w:rsidRDefault="00B36B52" w:rsidP="00FE1FC6">
      <w:pPr>
        <w:pStyle w:val="BodyTextMain"/>
        <w:rPr>
          <w:sz w:val="20"/>
          <w:lang w:val="en-GB"/>
        </w:rPr>
      </w:pPr>
    </w:p>
    <w:p w14:paraId="1C1BDA56" w14:textId="0E917F84" w:rsidR="00B36B52" w:rsidRPr="0091055F" w:rsidRDefault="00B36B52" w:rsidP="00FE1FC6">
      <w:pPr>
        <w:pStyle w:val="BodyTextMain"/>
        <w:rPr>
          <w:lang w:val="en-GB"/>
        </w:rPr>
      </w:pPr>
      <w:r w:rsidRPr="0091055F">
        <w:rPr>
          <w:lang w:val="en-GB"/>
        </w:rPr>
        <w:t>As Birch and Baty decided how to solve the problem of unsustainable packaging, they considered at least three possible avenues: reduce, recycle, or refill.</w:t>
      </w:r>
    </w:p>
    <w:p w14:paraId="7393D4C7" w14:textId="77777777" w:rsidR="00B36B52" w:rsidRPr="003640EA" w:rsidRDefault="00B36B52" w:rsidP="00FE1FC6">
      <w:pPr>
        <w:pStyle w:val="BodyTextMain"/>
        <w:rPr>
          <w:sz w:val="20"/>
          <w:lang w:val="en-GB"/>
        </w:rPr>
      </w:pPr>
    </w:p>
    <w:p w14:paraId="2720A93D" w14:textId="77777777" w:rsidR="00B36B52" w:rsidRPr="003640EA" w:rsidRDefault="00B36B52" w:rsidP="00FE1FC6">
      <w:pPr>
        <w:pStyle w:val="BodyTextMain"/>
        <w:rPr>
          <w:sz w:val="20"/>
          <w:lang w:val="en-GB"/>
        </w:rPr>
      </w:pPr>
    </w:p>
    <w:p w14:paraId="0956D7B3" w14:textId="516744A7" w:rsidR="00B36B52" w:rsidRPr="0091055F" w:rsidRDefault="00B36B52" w:rsidP="0027250E">
      <w:pPr>
        <w:pStyle w:val="Casehead3"/>
        <w:rPr>
          <w:smallCaps/>
          <w:lang w:val="en-GB"/>
        </w:rPr>
      </w:pPr>
      <w:r w:rsidRPr="0091055F">
        <w:rPr>
          <w:lang w:val="en-GB"/>
        </w:rPr>
        <w:t>Reduce</w:t>
      </w:r>
    </w:p>
    <w:p w14:paraId="639D95D0" w14:textId="77777777" w:rsidR="00B36B52" w:rsidRPr="003640EA" w:rsidRDefault="00B36B52" w:rsidP="00FE1FC6">
      <w:pPr>
        <w:pStyle w:val="BodyTextMain"/>
        <w:rPr>
          <w:sz w:val="20"/>
          <w:lang w:val="en-GB"/>
        </w:rPr>
      </w:pPr>
    </w:p>
    <w:p w14:paraId="2F8937B6" w14:textId="25C8DC37" w:rsidR="00B36B52" w:rsidRPr="0091055F" w:rsidRDefault="00B36B52" w:rsidP="00FE1FC6">
      <w:pPr>
        <w:pStyle w:val="BodyTextMain"/>
        <w:rPr>
          <w:lang w:val="en-GB"/>
        </w:rPr>
      </w:pPr>
      <w:r w:rsidRPr="0091055F">
        <w:rPr>
          <w:lang w:val="en-GB"/>
        </w:rPr>
        <w:t xml:space="preserve">Reducing package material content and eliminating unnecessary design work on packages could be both earth-friendly and cost-saving. To date, RMSC </w:t>
      </w:r>
      <w:r>
        <w:rPr>
          <w:lang w:val="en-GB"/>
        </w:rPr>
        <w:t xml:space="preserve">had </w:t>
      </w:r>
      <w:r w:rsidRPr="0091055F">
        <w:rPr>
          <w:lang w:val="en-GB"/>
        </w:rPr>
        <w:t xml:space="preserve">used minimal packaging for soap and had removed extraneous elements from other personal care products. Further reductions were best thought to be done “one step at a time” where customers and staff would have the opportunity to contribute to the unfolding of new package strategies. </w:t>
      </w:r>
    </w:p>
    <w:p w14:paraId="3E2B1137" w14:textId="77777777" w:rsidR="00B36B52" w:rsidRPr="003640EA" w:rsidRDefault="00B36B52" w:rsidP="00FE1FC6">
      <w:pPr>
        <w:pStyle w:val="BodyTextMain"/>
        <w:rPr>
          <w:sz w:val="20"/>
          <w:lang w:val="en-GB"/>
        </w:rPr>
      </w:pPr>
    </w:p>
    <w:p w14:paraId="39AA1095" w14:textId="77777777" w:rsidR="00B36B52" w:rsidRPr="003640EA" w:rsidRDefault="00B36B52" w:rsidP="00FE1FC6">
      <w:pPr>
        <w:pStyle w:val="BodyTextMain"/>
        <w:rPr>
          <w:sz w:val="20"/>
          <w:lang w:val="en-GB"/>
        </w:rPr>
      </w:pPr>
    </w:p>
    <w:p w14:paraId="15404B7E" w14:textId="488F72BE" w:rsidR="00B36B52" w:rsidRPr="0091055F" w:rsidRDefault="00B36B52" w:rsidP="0027250E">
      <w:pPr>
        <w:pStyle w:val="Casehead3"/>
        <w:rPr>
          <w:smallCaps/>
          <w:lang w:val="en-GB"/>
        </w:rPr>
      </w:pPr>
      <w:r w:rsidRPr="0091055F">
        <w:rPr>
          <w:lang w:val="en-GB"/>
        </w:rPr>
        <w:t>Recycle</w:t>
      </w:r>
    </w:p>
    <w:p w14:paraId="5E9CD273" w14:textId="77777777" w:rsidR="00B36B52" w:rsidRPr="003640EA" w:rsidRDefault="00B36B52" w:rsidP="00FE1FC6">
      <w:pPr>
        <w:pStyle w:val="BodyTextMain"/>
        <w:rPr>
          <w:sz w:val="20"/>
          <w:lang w:val="en-GB"/>
        </w:rPr>
      </w:pPr>
    </w:p>
    <w:p w14:paraId="41427007" w14:textId="697D9B80" w:rsidR="00B36B52" w:rsidRPr="003640EA" w:rsidRDefault="00B36B52" w:rsidP="00FE1FC6">
      <w:pPr>
        <w:pStyle w:val="BodyTextMain"/>
        <w:rPr>
          <w:lang w:val="en-GB"/>
        </w:rPr>
      </w:pPr>
      <w:r w:rsidRPr="003640EA">
        <w:rPr>
          <w:lang w:val="en-GB"/>
        </w:rPr>
        <w:t xml:space="preserve">Recycling was considered a way to address package waste but was generally neither convenient nor profitable. Many </w:t>
      </w:r>
      <w:r w:rsidR="00415AF3">
        <w:rPr>
          <w:lang w:val="en-GB"/>
        </w:rPr>
        <w:t xml:space="preserve">sources of </w:t>
      </w:r>
      <w:r w:rsidRPr="003640EA">
        <w:rPr>
          <w:lang w:val="en-GB"/>
        </w:rPr>
        <w:t xml:space="preserve">personal care packaging </w:t>
      </w:r>
      <w:r w:rsidR="00415AF3">
        <w:rPr>
          <w:lang w:val="en-GB"/>
        </w:rPr>
        <w:t xml:space="preserve">were </w:t>
      </w:r>
      <w:r w:rsidRPr="003640EA">
        <w:rPr>
          <w:lang w:val="en-GB"/>
        </w:rPr>
        <w:t>comprised</w:t>
      </w:r>
      <w:r w:rsidR="00415AF3">
        <w:rPr>
          <w:lang w:val="en-GB"/>
        </w:rPr>
        <w:t xml:space="preserve"> of</w:t>
      </w:r>
      <w:r w:rsidRPr="003640EA">
        <w:rPr>
          <w:lang w:val="en-GB"/>
        </w:rPr>
        <w:t xml:space="preserve"> blended materials that were not easily separated, making recycling virtually impossible, especially when leftover product remained in the tube or container. Furthermore, the high costs for collection, separation, and processing made traditional disposal methods (i.e., landfill or incineration) the most economically viable options.</w:t>
      </w:r>
      <w:r w:rsidRPr="003640EA">
        <w:rPr>
          <w:vertAlign w:val="superscript"/>
          <w:lang w:val="en-GB"/>
        </w:rPr>
        <w:endnoteReference w:id="34"/>
      </w:r>
      <w:r w:rsidRPr="003640EA">
        <w:rPr>
          <w:lang w:val="en-GB"/>
        </w:rPr>
        <w:t xml:space="preserve"> </w:t>
      </w:r>
    </w:p>
    <w:p w14:paraId="2CD085C0" w14:textId="77777777" w:rsidR="00B36B52" w:rsidRPr="003640EA" w:rsidRDefault="00B36B52" w:rsidP="00FE1FC6">
      <w:pPr>
        <w:pStyle w:val="BodyTextMain"/>
        <w:rPr>
          <w:sz w:val="20"/>
          <w:lang w:val="en-GB"/>
        </w:rPr>
      </w:pPr>
    </w:p>
    <w:p w14:paraId="56A7DBFC" w14:textId="77777777" w:rsidR="00B36B52" w:rsidRPr="0091055F" w:rsidRDefault="00B36B52" w:rsidP="00FE1FC6">
      <w:pPr>
        <w:pStyle w:val="BodyTextMain"/>
        <w:rPr>
          <w:color w:val="000000"/>
          <w:lang w:val="en-GB"/>
        </w:rPr>
      </w:pPr>
      <w:r w:rsidRPr="0091055F">
        <w:rPr>
          <w:color w:val="000000"/>
          <w:lang w:val="en-GB"/>
        </w:rPr>
        <w:t xml:space="preserve">Nonetheless, to facilitate recycling, RMSC designed packaging from simple materials that did not require extensive disassembly prior to being recycled. The company also coloured its packaging with natural inks that would not release toxins into the environment. </w:t>
      </w:r>
    </w:p>
    <w:p w14:paraId="00AF2619" w14:textId="77777777" w:rsidR="00B36B52" w:rsidRPr="003640EA" w:rsidRDefault="00B36B52" w:rsidP="00FE1FC6">
      <w:pPr>
        <w:pStyle w:val="BodyTextMain"/>
        <w:rPr>
          <w:color w:val="000000"/>
          <w:sz w:val="20"/>
          <w:lang w:val="en-GB"/>
        </w:rPr>
      </w:pPr>
    </w:p>
    <w:p w14:paraId="5A552E80" w14:textId="05DA935E" w:rsidR="00B36B52" w:rsidRDefault="00B36B52" w:rsidP="00FE1FC6">
      <w:pPr>
        <w:pStyle w:val="BodyTextMain"/>
        <w:rPr>
          <w:lang w:val="en-GB"/>
        </w:rPr>
      </w:pPr>
      <w:r w:rsidRPr="0091055F">
        <w:rPr>
          <w:lang w:val="en-GB"/>
        </w:rPr>
        <w:t>Further, RMSC promoted “upcycling</w:t>
      </w:r>
      <w:r>
        <w:rPr>
          <w:lang w:val="en-GB"/>
        </w:rPr>
        <w:t>,</w:t>
      </w:r>
      <w:r w:rsidRPr="0091055F">
        <w:rPr>
          <w:lang w:val="en-GB"/>
        </w:rPr>
        <w:t xml:space="preserve">” a way of recycling that used an unwanted item to create a product of higher quality or </w:t>
      </w:r>
      <w:r>
        <w:rPr>
          <w:lang w:val="en-GB"/>
        </w:rPr>
        <w:t xml:space="preserve">higher </w:t>
      </w:r>
      <w:r w:rsidRPr="0091055F">
        <w:rPr>
          <w:lang w:val="en-GB"/>
        </w:rPr>
        <w:t>value than the original.</w:t>
      </w:r>
      <w:r w:rsidRPr="0091055F">
        <w:rPr>
          <w:color w:val="1A1A1A"/>
          <w:vertAlign w:val="superscript"/>
          <w:lang w:val="en-GB"/>
        </w:rPr>
        <w:endnoteReference w:id="35"/>
      </w:r>
      <w:r w:rsidRPr="0091055F">
        <w:rPr>
          <w:lang w:val="en-GB"/>
        </w:rPr>
        <w:t xml:space="preserve"> For example, in 2016</w:t>
      </w:r>
      <w:r>
        <w:rPr>
          <w:lang w:val="en-GB"/>
        </w:rPr>
        <w:t>,</w:t>
      </w:r>
      <w:r w:rsidRPr="0091055F">
        <w:rPr>
          <w:lang w:val="en-GB"/>
        </w:rPr>
        <w:t xml:space="preserve"> RMSC worked with the </w:t>
      </w:r>
      <w:r w:rsidR="00415AF3">
        <w:rPr>
          <w:lang w:val="en-GB"/>
        </w:rPr>
        <w:t>S</w:t>
      </w:r>
      <w:r>
        <w:rPr>
          <w:lang w:val="en-GB"/>
        </w:rPr>
        <w:t>PC</w:t>
      </w:r>
      <w:r w:rsidRPr="0091055F">
        <w:rPr>
          <w:lang w:val="en-GB"/>
        </w:rPr>
        <w:t xml:space="preserve"> in the U</w:t>
      </w:r>
      <w:r>
        <w:rPr>
          <w:lang w:val="en-GB"/>
        </w:rPr>
        <w:t xml:space="preserve">nited </w:t>
      </w:r>
      <w:r w:rsidRPr="0091055F">
        <w:rPr>
          <w:lang w:val="en-GB"/>
        </w:rPr>
        <w:t>S</w:t>
      </w:r>
      <w:r>
        <w:rPr>
          <w:lang w:val="en-GB"/>
        </w:rPr>
        <w:t>tates</w:t>
      </w:r>
      <w:r w:rsidRPr="0091055F">
        <w:rPr>
          <w:lang w:val="en-GB"/>
        </w:rPr>
        <w:t xml:space="preserve"> and a Chicago-based supplier to develop a paper-based, compostable pot </w:t>
      </w:r>
      <w:r>
        <w:rPr>
          <w:lang w:val="en-GB"/>
        </w:rPr>
        <w:t xml:space="preserve">that was </w:t>
      </w:r>
      <w:r w:rsidRPr="0091055F">
        <w:rPr>
          <w:lang w:val="en-GB"/>
        </w:rPr>
        <w:t xml:space="preserve">robust enough for </w:t>
      </w:r>
      <w:r>
        <w:rPr>
          <w:lang w:val="en-GB"/>
        </w:rPr>
        <w:t xml:space="preserve">packaging </w:t>
      </w:r>
      <w:r w:rsidRPr="0091055F">
        <w:rPr>
          <w:lang w:val="en-GB"/>
        </w:rPr>
        <w:t xml:space="preserve">waxy substances, </w:t>
      </w:r>
      <w:r>
        <w:rPr>
          <w:lang w:val="en-GB"/>
        </w:rPr>
        <w:t>such as</w:t>
      </w:r>
      <w:r w:rsidRPr="0091055F">
        <w:rPr>
          <w:lang w:val="en-GB"/>
        </w:rPr>
        <w:t xml:space="preserve"> lipsticks. RMSC used this packaging, made from the fibres of recycled materials and post-consumer waste, to launch its Lip Quench product. The RMSC </w:t>
      </w:r>
      <w:r w:rsidRPr="0091055F">
        <w:rPr>
          <w:lang w:val="en-GB"/>
        </w:rPr>
        <w:lastRenderedPageBreak/>
        <w:t>website showed how, once empty, the Lip Quench package could be upcycled into a plant pot used to start seedlings.</w:t>
      </w:r>
      <w:r w:rsidRPr="0091055F">
        <w:rPr>
          <w:vertAlign w:val="superscript"/>
          <w:lang w:val="en-GB"/>
        </w:rPr>
        <w:endnoteReference w:id="36"/>
      </w:r>
      <w:r w:rsidRPr="0091055F">
        <w:rPr>
          <w:lang w:val="en-GB"/>
        </w:rPr>
        <w:t xml:space="preserve"> Later, this packaging would become Forest Stewardship Council</w:t>
      </w:r>
      <w:r>
        <w:rPr>
          <w:lang w:val="en-GB"/>
        </w:rPr>
        <w:t>-</w:t>
      </w:r>
      <w:r w:rsidRPr="0091055F">
        <w:rPr>
          <w:lang w:val="en-GB"/>
        </w:rPr>
        <w:t>certified.</w:t>
      </w:r>
      <w:r w:rsidRPr="0091055F">
        <w:rPr>
          <w:vertAlign w:val="superscript"/>
          <w:lang w:val="en-GB"/>
        </w:rPr>
        <w:endnoteReference w:id="37"/>
      </w:r>
      <w:r w:rsidRPr="0091055F">
        <w:rPr>
          <w:lang w:val="en-GB"/>
        </w:rPr>
        <w:t xml:space="preserve"> </w:t>
      </w:r>
    </w:p>
    <w:p w14:paraId="3391DED1" w14:textId="77777777" w:rsidR="008D7F7A" w:rsidRPr="0091055F" w:rsidRDefault="008D7F7A" w:rsidP="00FE1FC6">
      <w:pPr>
        <w:pStyle w:val="BodyTextMain"/>
        <w:rPr>
          <w:lang w:val="en-GB"/>
        </w:rPr>
      </w:pPr>
    </w:p>
    <w:p w14:paraId="58D52BF7" w14:textId="0656F59E" w:rsidR="00B36B52" w:rsidRPr="0091055F" w:rsidRDefault="00B36B52" w:rsidP="00FE1FC6">
      <w:pPr>
        <w:pStyle w:val="BodyTextMain"/>
        <w:rPr>
          <w:lang w:val="en-GB"/>
        </w:rPr>
      </w:pPr>
      <w:r w:rsidRPr="0091055F">
        <w:rPr>
          <w:lang w:val="en-GB"/>
        </w:rPr>
        <w:t>Although this innovative packaging aligned with RMSC values, developing and sourcing it had been cost and time</w:t>
      </w:r>
      <w:r w:rsidR="000A339F">
        <w:rPr>
          <w:lang w:val="en-GB"/>
        </w:rPr>
        <w:t xml:space="preserve"> </w:t>
      </w:r>
      <w:r w:rsidRPr="0091055F">
        <w:rPr>
          <w:lang w:val="en-GB"/>
        </w:rPr>
        <w:t xml:space="preserve">intensive. At </w:t>
      </w:r>
      <w:r>
        <w:rPr>
          <w:lang w:val="en-GB"/>
        </w:rPr>
        <w:t xml:space="preserve">a cost of </w:t>
      </w:r>
      <w:r w:rsidRPr="0091055F">
        <w:rPr>
          <w:lang w:val="en-GB"/>
        </w:rPr>
        <w:t>$2.50</w:t>
      </w:r>
      <w:r>
        <w:rPr>
          <w:lang w:val="en-GB"/>
        </w:rPr>
        <w:t xml:space="preserve"> per </w:t>
      </w:r>
      <w:r w:rsidRPr="0091055F">
        <w:rPr>
          <w:lang w:val="en-GB"/>
        </w:rPr>
        <w:t>unit, the compostable packaging for Lip Quench comprised 72</w:t>
      </w:r>
      <w:r>
        <w:rPr>
          <w:lang w:val="en-GB"/>
        </w:rPr>
        <w:t xml:space="preserve"> per cent</w:t>
      </w:r>
      <w:r w:rsidRPr="0091055F">
        <w:rPr>
          <w:lang w:val="en-GB"/>
        </w:rPr>
        <w:t xml:space="preserve"> of </w:t>
      </w:r>
      <w:r>
        <w:rPr>
          <w:lang w:val="en-GB"/>
        </w:rPr>
        <w:t>the cost of goods sold</w:t>
      </w:r>
      <w:r w:rsidRPr="0091055F">
        <w:rPr>
          <w:lang w:val="en-GB"/>
        </w:rPr>
        <w:t xml:space="preserve"> </w:t>
      </w:r>
      <w:r>
        <w:rPr>
          <w:lang w:val="en-GB"/>
        </w:rPr>
        <w:t>(</w:t>
      </w:r>
      <w:r w:rsidRPr="0091055F">
        <w:rPr>
          <w:lang w:val="en-GB"/>
        </w:rPr>
        <w:t>COGS</w:t>
      </w:r>
      <w:r>
        <w:rPr>
          <w:lang w:val="en-GB"/>
        </w:rPr>
        <w:t>)</w:t>
      </w:r>
      <w:r w:rsidRPr="0091055F">
        <w:rPr>
          <w:lang w:val="en-GB"/>
        </w:rPr>
        <w:t xml:space="preserve"> and 18</w:t>
      </w:r>
      <w:r>
        <w:rPr>
          <w:lang w:val="en-GB"/>
        </w:rPr>
        <w:t xml:space="preserve"> per cent</w:t>
      </w:r>
      <w:r w:rsidRPr="0091055F">
        <w:rPr>
          <w:lang w:val="en-GB"/>
        </w:rPr>
        <w:t xml:space="preserve"> of </w:t>
      </w:r>
      <w:r>
        <w:rPr>
          <w:lang w:val="en-GB"/>
        </w:rPr>
        <w:t xml:space="preserve">the </w:t>
      </w:r>
      <w:r w:rsidRPr="0091055F">
        <w:rPr>
          <w:lang w:val="en-GB"/>
        </w:rPr>
        <w:t>retail price</w:t>
      </w:r>
      <w:r w:rsidR="008D7F7A">
        <w:rPr>
          <w:lang w:val="en-GB"/>
        </w:rPr>
        <w:t xml:space="preserve">. </w:t>
      </w:r>
      <w:r w:rsidRPr="0091055F">
        <w:rPr>
          <w:lang w:val="en-GB"/>
        </w:rPr>
        <w:t>RMSC’s average packaging costs were 36</w:t>
      </w:r>
      <w:r>
        <w:rPr>
          <w:lang w:val="en-GB"/>
        </w:rPr>
        <w:t xml:space="preserve"> per cent</w:t>
      </w:r>
      <w:r w:rsidRPr="0091055F">
        <w:rPr>
          <w:lang w:val="en-GB"/>
        </w:rPr>
        <w:t xml:space="preserve"> of COGS</w:t>
      </w:r>
      <w:r>
        <w:rPr>
          <w:lang w:val="en-GB"/>
        </w:rPr>
        <w:t xml:space="preserve"> and</w:t>
      </w:r>
      <w:r w:rsidRPr="0091055F">
        <w:rPr>
          <w:lang w:val="en-GB"/>
        </w:rPr>
        <w:t xml:space="preserve"> 4</w:t>
      </w:r>
      <w:r>
        <w:rPr>
          <w:lang w:val="en-GB"/>
        </w:rPr>
        <w:t xml:space="preserve"> per cent</w:t>
      </w:r>
      <w:r w:rsidRPr="0091055F">
        <w:rPr>
          <w:lang w:val="en-GB"/>
        </w:rPr>
        <w:t xml:space="preserve"> of retail price</w:t>
      </w:r>
      <w:r w:rsidR="008F7F82">
        <w:rPr>
          <w:lang w:val="en-GB"/>
        </w:rPr>
        <w:t>.</w:t>
      </w:r>
      <w:r w:rsidR="008D7F7A">
        <w:rPr>
          <w:lang w:val="en-GB"/>
        </w:rPr>
        <w:t xml:space="preserve"> </w:t>
      </w:r>
      <w:r w:rsidRPr="0091055F">
        <w:rPr>
          <w:lang w:val="en-GB"/>
        </w:rPr>
        <w:t>Traditional plastic packaging would have cost only $0.56</w:t>
      </w:r>
      <w:r>
        <w:rPr>
          <w:lang w:val="en-GB"/>
        </w:rPr>
        <w:t xml:space="preserve"> per </w:t>
      </w:r>
      <w:r w:rsidRPr="0091055F">
        <w:rPr>
          <w:lang w:val="en-GB"/>
        </w:rPr>
        <w:t>unit</w:t>
      </w:r>
      <w:r w:rsidR="008F7F82">
        <w:rPr>
          <w:lang w:val="en-GB"/>
        </w:rPr>
        <w:t xml:space="preserve"> (</w:t>
      </w:r>
      <w:r w:rsidR="008F7F82" w:rsidRPr="0091055F">
        <w:rPr>
          <w:lang w:val="en-GB"/>
        </w:rPr>
        <w:t>see Exhibit 4).</w:t>
      </w:r>
      <w:r w:rsidRPr="0091055F">
        <w:rPr>
          <w:lang w:val="en-GB"/>
        </w:rPr>
        <w:t xml:space="preserve"> </w:t>
      </w:r>
    </w:p>
    <w:p w14:paraId="050481BE" w14:textId="77777777" w:rsidR="00B36B52" w:rsidRPr="003640EA" w:rsidRDefault="00B36B52" w:rsidP="00FE1FC6">
      <w:pPr>
        <w:pStyle w:val="BodyTextMain"/>
        <w:rPr>
          <w:sz w:val="20"/>
          <w:lang w:val="en-GB"/>
        </w:rPr>
      </w:pPr>
    </w:p>
    <w:p w14:paraId="18F215CA" w14:textId="77777777" w:rsidR="00B36B52" w:rsidRPr="004A0440" w:rsidRDefault="00B36B52" w:rsidP="00FE1FC6">
      <w:pPr>
        <w:pStyle w:val="BodyTextMain"/>
        <w:rPr>
          <w:smallCaps/>
          <w:sz w:val="20"/>
          <w:lang w:val="en-GB"/>
        </w:rPr>
      </w:pPr>
    </w:p>
    <w:p w14:paraId="1A3AAFF7" w14:textId="5F35F8AD" w:rsidR="00B36B52" w:rsidRPr="0091055F" w:rsidRDefault="00B36B52" w:rsidP="003640EA">
      <w:pPr>
        <w:pStyle w:val="Casehead3"/>
        <w:keepNext/>
        <w:rPr>
          <w:smallCaps/>
          <w:lang w:val="en-GB"/>
        </w:rPr>
      </w:pPr>
      <w:r w:rsidRPr="0091055F">
        <w:rPr>
          <w:lang w:val="en-GB"/>
        </w:rPr>
        <w:t>Refill</w:t>
      </w:r>
    </w:p>
    <w:p w14:paraId="587D5871" w14:textId="77777777" w:rsidR="00B36B52" w:rsidRPr="003640EA" w:rsidRDefault="00B36B52" w:rsidP="003640EA">
      <w:pPr>
        <w:pStyle w:val="BodyTextMain"/>
        <w:keepNext/>
        <w:rPr>
          <w:rFonts w:ascii="Times" w:eastAsia="Times" w:hAnsi="Times" w:cs="Times"/>
          <w:sz w:val="20"/>
          <w:lang w:val="en-GB"/>
        </w:rPr>
      </w:pPr>
    </w:p>
    <w:p w14:paraId="5BB6CC5A" w14:textId="75BCAD68" w:rsidR="00B36B52" w:rsidRPr="0091055F" w:rsidRDefault="00B36B52" w:rsidP="003640EA">
      <w:pPr>
        <w:pStyle w:val="BodyTextMain"/>
        <w:keepNext/>
        <w:rPr>
          <w:lang w:val="en-GB"/>
        </w:rPr>
      </w:pPr>
      <w:r w:rsidRPr="0091055F">
        <w:rPr>
          <w:lang w:val="en-GB"/>
        </w:rPr>
        <w:t xml:space="preserve">RMSC considered two refill strategies. The first was to create milk carton packaging that would function as a refill for liquid products </w:t>
      </w:r>
      <w:r>
        <w:rPr>
          <w:lang w:val="en-GB"/>
        </w:rPr>
        <w:t>such as</w:t>
      </w:r>
      <w:r w:rsidRPr="0091055F">
        <w:rPr>
          <w:lang w:val="en-GB"/>
        </w:rPr>
        <w:t xml:space="preserve"> shampoo, condition</w:t>
      </w:r>
      <w:r>
        <w:rPr>
          <w:lang w:val="en-GB"/>
        </w:rPr>
        <w:t>er</w:t>
      </w:r>
      <w:r w:rsidRPr="0091055F">
        <w:rPr>
          <w:lang w:val="en-GB"/>
        </w:rPr>
        <w:t xml:space="preserve">, body wash, and liquid soap. RMSC’s current refill bottle was made of highly recyclable plastic, but Baty and Birch believed that a cardboard solution would be better. They had approached a packager to help develop a carton but were having difficulty finding a closure that would prevent soap and essential oils from leaking out and an exterior coating that could effectively resist water. These </w:t>
      </w:r>
      <w:r>
        <w:rPr>
          <w:lang w:val="en-GB"/>
        </w:rPr>
        <w:t>research and development</w:t>
      </w:r>
      <w:r w:rsidRPr="0091055F">
        <w:rPr>
          <w:lang w:val="en-GB"/>
        </w:rPr>
        <w:t xml:space="preserve"> efforts were expensive, and as a small company, RMSC had limited bargaining power and no economy of scale to leverage. </w:t>
      </w:r>
    </w:p>
    <w:p w14:paraId="0ECA88B7" w14:textId="77777777" w:rsidR="00B36B52" w:rsidRPr="003640EA" w:rsidRDefault="00B36B52" w:rsidP="00FE1FC6">
      <w:pPr>
        <w:pStyle w:val="BodyTextMain"/>
        <w:rPr>
          <w:sz w:val="20"/>
          <w:lang w:val="en-GB"/>
        </w:rPr>
      </w:pPr>
    </w:p>
    <w:p w14:paraId="0AEB9D2A" w14:textId="74818C28" w:rsidR="00FE1FC6" w:rsidRPr="0091055F" w:rsidRDefault="00B36B52" w:rsidP="00FE1FC6">
      <w:pPr>
        <w:pStyle w:val="BodyTextMain"/>
        <w:rPr>
          <w:lang w:val="en-GB"/>
        </w:rPr>
      </w:pPr>
      <w:r w:rsidRPr="0091055F">
        <w:rPr>
          <w:lang w:val="en-GB"/>
        </w:rPr>
        <w:t>For the second strategy, RMSC considered splitting the product containers into an outer component and an inner component. The outer container would be designed to house an inner insert, which would contain the product. Because RMSC used glass jars for products in its skincare line and the glass industry was energy intensive,</w:t>
      </w:r>
      <w:r w:rsidRPr="0091055F">
        <w:rPr>
          <w:vertAlign w:val="superscript"/>
          <w:lang w:val="en-GB"/>
        </w:rPr>
        <w:endnoteReference w:id="38"/>
      </w:r>
      <w:r w:rsidRPr="0091055F">
        <w:rPr>
          <w:lang w:val="en-GB"/>
        </w:rPr>
        <w:t xml:space="preserve"> </w:t>
      </w:r>
      <w:r w:rsidR="00FE1FC6" w:rsidRPr="0091055F">
        <w:rPr>
          <w:lang w:val="en-GB"/>
        </w:rPr>
        <w:t>providing customers with a cardboard or plastic insert option could effectively reduce waste and decrease the amount of energy required to transport materials (cardboard was significantly lighter than glass). Customer reactions to this approach remained unclear, as did the total cost of redesigning current packaging to accommodate an insert option.</w:t>
      </w:r>
    </w:p>
    <w:p w14:paraId="0BF90F14" w14:textId="77777777" w:rsidR="00FE1FC6" w:rsidRPr="003640EA" w:rsidRDefault="00FE1FC6" w:rsidP="00FE1FC6">
      <w:pPr>
        <w:pStyle w:val="BodyTextMain"/>
        <w:rPr>
          <w:sz w:val="20"/>
          <w:lang w:val="en-GB"/>
        </w:rPr>
      </w:pPr>
    </w:p>
    <w:p w14:paraId="6CC43C4B" w14:textId="77777777" w:rsidR="00FE1FC6" w:rsidRPr="003640EA" w:rsidRDefault="00FE1FC6" w:rsidP="00FE1FC6">
      <w:pPr>
        <w:pStyle w:val="BodyTextMain"/>
        <w:rPr>
          <w:sz w:val="20"/>
          <w:lang w:val="en-GB"/>
        </w:rPr>
      </w:pPr>
    </w:p>
    <w:p w14:paraId="3F49F4C5" w14:textId="77777777" w:rsidR="00FE1FC6" w:rsidRPr="0091055F" w:rsidRDefault="00FE1FC6" w:rsidP="0027250E">
      <w:pPr>
        <w:pStyle w:val="Casehead1"/>
        <w:rPr>
          <w:lang w:val="en-GB"/>
        </w:rPr>
      </w:pPr>
      <w:r w:rsidRPr="0091055F">
        <w:rPr>
          <w:lang w:val="en-GB"/>
        </w:rPr>
        <w:t>CONCLUSION</w:t>
      </w:r>
    </w:p>
    <w:p w14:paraId="133FF639" w14:textId="77777777" w:rsidR="00FE1FC6" w:rsidRPr="003640EA" w:rsidRDefault="00FE1FC6" w:rsidP="00FE1FC6">
      <w:pPr>
        <w:pStyle w:val="BodyTextMain"/>
        <w:rPr>
          <w:sz w:val="20"/>
          <w:lang w:val="en-GB"/>
        </w:rPr>
      </w:pPr>
    </w:p>
    <w:p w14:paraId="17D59538" w14:textId="4C59BFA9" w:rsidR="00FE1FC6" w:rsidRPr="0091055F" w:rsidRDefault="00FE1FC6" w:rsidP="00FE1FC6">
      <w:pPr>
        <w:pStyle w:val="BodyTextMain"/>
        <w:rPr>
          <w:lang w:val="en-GB"/>
        </w:rPr>
      </w:pPr>
      <w:r w:rsidRPr="0091055F">
        <w:rPr>
          <w:lang w:val="en-GB"/>
        </w:rPr>
        <w:t xml:space="preserve">Birch and Baty knew that decisions about how to build greater sustainability into RMSC’s packaging would be waiting for them as soon as they returned home from Europe. They recognized how important these efforts were for their company, but also saw how RMSC’s progress could motivate a new industry precedent that would benefit businesses, people, and the environment in the long term. Yet, none of these initiatives would matter if the expense of pursuing them put the company at risk: financial viability </w:t>
      </w:r>
      <w:r w:rsidR="00D10F9C">
        <w:rPr>
          <w:lang w:val="en-GB"/>
        </w:rPr>
        <w:t>wa</w:t>
      </w:r>
      <w:r w:rsidR="00D10F9C" w:rsidRPr="0091055F">
        <w:rPr>
          <w:lang w:val="en-GB"/>
        </w:rPr>
        <w:t xml:space="preserve">s </w:t>
      </w:r>
      <w:r w:rsidRPr="0091055F">
        <w:rPr>
          <w:lang w:val="en-GB"/>
        </w:rPr>
        <w:t>a prerequisite for a business pursuing environmental and social stewardship.</w:t>
      </w:r>
    </w:p>
    <w:p w14:paraId="77CA34C5" w14:textId="77777777" w:rsidR="00FE1FC6" w:rsidRPr="003640EA" w:rsidRDefault="00FE1FC6" w:rsidP="00FE1FC6">
      <w:pPr>
        <w:pStyle w:val="BodyTextMain"/>
        <w:rPr>
          <w:sz w:val="20"/>
          <w:lang w:val="en-GB"/>
        </w:rPr>
      </w:pPr>
    </w:p>
    <w:p w14:paraId="235768F2" w14:textId="02E3E9D1" w:rsidR="00FE1FC6" w:rsidRPr="003640EA" w:rsidRDefault="00FE1FC6" w:rsidP="00FE1FC6">
      <w:pPr>
        <w:pStyle w:val="BodyTextMain"/>
        <w:rPr>
          <w:spacing w:val="-4"/>
          <w:lang w:val="en-GB"/>
        </w:rPr>
      </w:pPr>
      <w:r w:rsidRPr="003640EA">
        <w:rPr>
          <w:spacing w:val="-4"/>
          <w:lang w:val="en-GB"/>
        </w:rPr>
        <w:t xml:space="preserve">What should Birch and Baty do? How </w:t>
      </w:r>
      <w:r w:rsidR="00D10F9C" w:rsidRPr="003640EA">
        <w:rPr>
          <w:spacing w:val="-4"/>
          <w:lang w:val="en-GB"/>
        </w:rPr>
        <w:t xml:space="preserve">could </w:t>
      </w:r>
      <w:r w:rsidRPr="003640EA">
        <w:rPr>
          <w:spacing w:val="-4"/>
          <w:lang w:val="en-GB"/>
        </w:rPr>
        <w:t xml:space="preserve">they </w:t>
      </w:r>
      <w:r w:rsidR="00D10F9C" w:rsidRPr="003640EA">
        <w:rPr>
          <w:spacing w:val="-4"/>
          <w:lang w:val="en-GB"/>
        </w:rPr>
        <w:t xml:space="preserve">use the resources available to </w:t>
      </w:r>
      <w:r w:rsidRPr="003640EA">
        <w:rPr>
          <w:spacing w:val="-4"/>
          <w:lang w:val="en-GB"/>
        </w:rPr>
        <w:t xml:space="preserve">develop a packaging solution that </w:t>
      </w:r>
      <w:r w:rsidR="00D10F9C" w:rsidRPr="003640EA">
        <w:rPr>
          <w:spacing w:val="-4"/>
          <w:lang w:val="en-GB"/>
        </w:rPr>
        <w:t xml:space="preserve">aligned </w:t>
      </w:r>
      <w:r w:rsidRPr="003640EA">
        <w:rPr>
          <w:spacing w:val="-4"/>
          <w:lang w:val="en-GB"/>
        </w:rPr>
        <w:t xml:space="preserve">with RMSC’s </w:t>
      </w:r>
      <w:r w:rsidR="00D10F9C" w:rsidRPr="003640EA">
        <w:rPr>
          <w:spacing w:val="-4"/>
          <w:lang w:val="en-GB"/>
        </w:rPr>
        <w:t xml:space="preserve">brand focus of </w:t>
      </w:r>
      <w:r w:rsidRPr="003640EA">
        <w:rPr>
          <w:spacing w:val="-4"/>
          <w:lang w:val="en-GB"/>
        </w:rPr>
        <w:t>“100</w:t>
      </w:r>
      <w:r w:rsidR="00D10F9C" w:rsidRPr="003640EA">
        <w:rPr>
          <w:spacing w:val="-4"/>
          <w:lang w:val="en-GB"/>
        </w:rPr>
        <w:t xml:space="preserve"> per cent</w:t>
      </w:r>
      <w:r w:rsidRPr="003640EA">
        <w:rPr>
          <w:spacing w:val="-4"/>
          <w:lang w:val="en-GB"/>
        </w:rPr>
        <w:t xml:space="preserve"> natural”? </w:t>
      </w:r>
      <w:r w:rsidR="00D10F9C" w:rsidRPr="003640EA">
        <w:rPr>
          <w:spacing w:val="-4"/>
          <w:lang w:val="en-GB"/>
        </w:rPr>
        <w:t xml:space="preserve">Were </w:t>
      </w:r>
      <w:r w:rsidRPr="003640EA">
        <w:rPr>
          <w:spacing w:val="-4"/>
          <w:lang w:val="en-GB"/>
        </w:rPr>
        <w:t xml:space="preserve">there other options to consider? </w:t>
      </w:r>
      <w:r w:rsidR="00D10F9C" w:rsidRPr="003640EA">
        <w:rPr>
          <w:spacing w:val="-4"/>
          <w:lang w:val="en-GB"/>
        </w:rPr>
        <w:t xml:space="preserve">Was </w:t>
      </w:r>
      <w:r w:rsidRPr="003640EA">
        <w:rPr>
          <w:spacing w:val="-4"/>
          <w:lang w:val="en-GB"/>
        </w:rPr>
        <w:t xml:space="preserve">there someone they could bring on board to help? In general, how </w:t>
      </w:r>
      <w:r w:rsidR="00D10F9C" w:rsidRPr="003640EA">
        <w:rPr>
          <w:spacing w:val="-4"/>
          <w:lang w:val="en-GB"/>
        </w:rPr>
        <w:t xml:space="preserve">could </w:t>
      </w:r>
      <w:r w:rsidRPr="003640EA">
        <w:rPr>
          <w:spacing w:val="-4"/>
          <w:lang w:val="en-GB"/>
        </w:rPr>
        <w:t>they find the support they need</w:t>
      </w:r>
      <w:r w:rsidR="00D10F9C" w:rsidRPr="003640EA">
        <w:rPr>
          <w:spacing w:val="-4"/>
          <w:lang w:val="en-GB"/>
        </w:rPr>
        <w:t>ed</w:t>
      </w:r>
      <w:r w:rsidRPr="003640EA">
        <w:rPr>
          <w:spacing w:val="-4"/>
          <w:lang w:val="en-GB"/>
        </w:rPr>
        <w:t>?</w:t>
      </w:r>
    </w:p>
    <w:p w14:paraId="6B61DDA9" w14:textId="77777777" w:rsidR="00FE1FC6" w:rsidRPr="003640EA" w:rsidRDefault="00FE1FC6" w:rsidP="00FE1FC6">
      <w:pPr>
        <w:pStyle w:val="BodyTextMain"/>
        <w:rPr>
          <w:sz w:val="20"/>
          <w:lang w:val="en-GB"/>
        </w:rPr>
      </w:pPr>
    </w:p>
    <w:p w14:paraId="24817CC1" w14:textId="24ECDBC6" w:rsidR="00FE1FC6" w:rsidRPr="003640EA" w:rsidRDefault="00FE1FC6" w:rsidP="00FE1FC6">
      <w:pPr>
        <w:pStyle w:val="BodyTextMain"/>
        <w:rPr>
          <w:lang w:val="en-GB"/>
        </w:rPr>
      </w:pPr>
      <w:r w:rsidRPr="003640EA">
        <w:rPr>
          <w:lang w:val="en-GB"/>
        </w:rPr>
        <w:t>Baty knew that improved packaging would happen</w:t>
      </w:r>
      <w:r w:rsidR="00A43497">
        <w:rPr>
          <w:lang w:val="en-GB"/>
        </w:rPr>
        <w:t xml:space="preserve"> </w:t>
      </w:r>
      <w:r w:rsidR="00A43497" w:rsidRPr="003640EA">
        <w:rPr>
          <w:lang w:val="en-GB"/>
        </w:rPr>
        <w:t>only</w:t>
      </w:r>
      <w:r w:rsidRPr="003640EA">
        <w:rPr>
          <w:lang w:val="en-GB"/>
        </w:rPr>
        <w:t xml:space="preserve"> if he and Birch forced it to happen, at least initially. </w:t>
      </w:r>
      <w:r w:rsidR="00A43497">
        <w:rPr>
          <w:lang w:val="en-GB"/>
        </w:rPr>
        <w:t>H</w:t>
      </w:r>
      <w:r w:rsidRPr="003640EA">
        <w:rPr>
          <w:lang w:val="en-GB"/>
        </w:rPr>
        <w:t>is mind began filling with potential solutions</w:t>
      </w:r>
      <w:r w:rsidR="00A43497">
        <w:rPr>
          <w:lang w:val="en-GB"/>
        </w:rPr>
        <w:t>.</w:t>
      </w:r>
      <w:r w:rsidRPr="003640EA">
        <w:rPr>
          <w:lang w:val="en-GB"/>
        </w:rPr>
        <w:t xml:space="preserve"> Baty’s eyes turned toward the patio table, landing first on a pen and some paper, and then on a tube of natural sunscreen. The choice was simple: sunscreen first, pen second. </w:t>
      </w:r>
    </w:p>
    <w:p w14:paraId="4614F647" w14:textId="259A1950" w:rsidR="00A43497" w:rsidRDefault="003640EA" w:rsidP="0028059F">
      <w:pPr>
        <w:pStyle w:val="BodyTextMain"/>
        <w:rPr>
          <w:rFonts w:ascii="Arial" w:hAnsi="Arial" w:cs="Arial"/>
          <w:b/>
          <w:caps/>
          <w:highlight w:val="white"/>
          <w:lang w:val="en-GB"/>
        </w:rPr>
      </w:pPr>
      <w:r w:rsidRPr="003640EA">
        <w:rPr>
          <w:noProof/>
          <w:lang w:eastAsia="en-CA"/>
        </w:rPr>
        <mc:AlternateContent>
          <mc:Choice Requires="wps">
            <w:drawing>
              <wp:anchor distT="45720" distB="45720" distL="114300" distR="114300" simplePos="0" relativeHeight="251657216" behindDoc="0" locked="0" layoutInCell="1" allowOverlap="1" wp14:anchorId="29F15FA1" wp14:editId="5B8DBCE5">
                <wp:simplePos x="0" y="0"/>
                <wp:positionH relativeFrom="column">
                  <wp:posOffset>63500</wp:posOffset>
                </wp:positionH>
                <wp:positionV relativeFrom="paragraph">
                  <wp:posOffset>227744</wp:posOffset>
                </wp:positionV>
                <wp:extent cx="5859780" cy="348615"/>
                <wp:effectExtent l="0" t="0" r="2667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780" cy="348615"/>
                        </a:xfrm>
                        <a:prstGeom prst="rect">
                          <a:avLst/>
                        </a:prstGeom>
                        <a:solidFill>
                          <a:srgbClr val="FFFFFF"/>
                        </a:solidFill>
                        <a:ln w="9525">
                          <a:solidFill>
                            <a:srgbClr val="000000"/>
                          </a:solidFill>
                          <a:miter lim="800000"/>
                          <a:headEnd/>
                          <a:tailEnd/>
                        </a:ln>
                      </wps:spPr>
                      <wps:txbx>
                        <w:txbxContent>
                          <w:p w14:paraId="2EB713ED" w14:textId="2AD89B94" w:rsidR="00545103" w:rsidRDefault="00545103" w:rsidP="0027250E">
                            <w:pPr>
                              <w:pStyle w:val="Footnote"/>
                            </w:pPr>
                            <w:r>
                              <w:t>Acknowledgement: The authors thank the Canadian Centre for Corporate Social Responsibility at the Alberta School of Business and the University of Alberta Office of Sustainability for their support in the development of this case study.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F15FA1" id="_x0000_t202" coordsize="21600,21600" o:spt="202" path="m,l,21600r21600,l21600,xe">
                <v:stroke joinstyle="miter"/>
                <v:path gradientshapeok="t" o:connecttype="rect"/>
              </v:shapetype>
              <v:shape id="Text Box 2" o:spid="_x0000_s1026" type="#_x0000_t202" style="position:absolute;left:0;text-align:left;margin-left:5pt;margin-top:17.95pt;width:461.4pt;height:27.45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">
                <v:textbox style="mso-fit-shape-to-text:t">
                  <w:txbxContent>
                    <w:p w14:paraId="2EB713ED" w14:textId="2AD89B94" w:rsidR="00545103" w:rsidRDefault="00545103" w:rsidP="0027250E">
                      <w:pPr>
                        <w:pStyle w:val="Footnote"/>
                      </w:pPr>
                      <w:r>
                        <w:t>Acknowledgement: The authors thank the Canadian Centre for Corporate Social Responsibility at the Alberta School of Business and the University of Alberta Office of Sustainability for their support in the development of this case study.</w:t>
                      </w:r>
                    </w:p>
                  </w:txbxContent>
                </v:textbox>
                <w10:wrap type="square"/>
              </v:shape>
            </w:pict>
          </mc:Fallback>
        </mc:AlternateContent>
      </w:r>
      <w:r w:rsidR="00A43497">
        <w:rPr>
          <w:highlight w:val="white"/>
          <w:lang w:val="en-GB"/>
        </w:rPr>
        <w:br w:type="page"/>
      </w:r>
    </w:p>
    <w:p w14:paraId="2F924AF8" w14:textId="3E4EA25F" w:rsidR="00FE1FC6" w:rsidRPr="0091055F" w:rsidRDefault="00FE1FC6" w:rsidP="001621CC">
      <w:pPr>
        <w:pStyle w:val="ExhibitHeading"/>
        <w:rPr>
          <w:lang w:val="en-GB"/>
        </w:rPr>
      </w:pPr>
      <w:r w:rsidRPr="0091055F">
        <w:rPr>
          <w:highlight w:val="white"/>
          <w:lang w:val="en-GB"/>
        </w:rPr>
        <w:lastRenderedPageBreak/>
        <w:t>EXHIBIT 1: R</w:t>
      </w:r>
      <w:r w:rsidR="002236AB">
        <w:rPr>
          <w:highlight w:val="white"/>
          <w:lang w:val="en-GB"/>
        </w:rPr>
        <w:t xml:space="preserve">ocky </w:t>
      </w:r>
      <w:r w:rsidRPr="0091055F">
        <w:rPr>
          <w:highlight w:val="white"/>
          <w:lang w:val="en-GB"/>
        </w:rPr>
        <w:t>M</w:t>
      </w:r>
      <w:r w:rsidR="002236AB">
        <w:rPr>
          <w:highlight w:val="white"/>
          <w:lang w:val="en-GB"/>
        </w:rPr>
        <w:t xml:space="preserve">ountain </w:t>
      </w:r>
      <w:r w:rsidRPr="0091055F">
        <w:rPr>
          <w:highlight w:val="white"/>
          <w:lang w:val="en-GB"/>
        </w:rPr>
        <w:t>S</w:t>
      </w:r>
      <w:r w:rsidR="002236AB">
        <w:rPr>
          <w:highlight w:val="white"/>
          <w:lang w:val="en-GB"/>
        </w:rPr>
        <w:t xml:space="preserve">oap </w:t>
      </w:r>
      <w:r w:rsidRPr="0091055F">
        <w:rPr>
          <w:highlight w:val="white"/>
          <w:lang w:val="en-GB"/>
        </w:rPr>
        <w:t>C</w:t>
      </w:r>
      <w:r w:rsidR="002236AB">
        <w:rPr>
          <w:highlight w:val="white"/>
          <w:lang w:val="en-GB"/>
        </w:rPr>
        <w:t>ompany</w:t>
      </w:r>
      <w:r w:rsidRPr="0091055F">
        <w:rPr>
          <w:highlight w:val="white"/>
          <w:lang w:val="en-GB"/>
        </w:rPr>
        <w:t xml:space="preserve"> REVENUE GROWTH</w:t>
      </w:r>
      <w:r w:rsidR="003310D0">
        <w:rPr>
          <w:highlight w:val="white"/>
          <w:lang w:val="en-GB"/>
        </w:rPr>
        <w:t>, 2013–2019</w:t>
      </w:r>
      <w:r w:rsidRPr="0091055F">
        <w:rPr>
          <w:highlight w:val="white"/>
          <w:lang w:val="en-GB"/>
        </w:rPr>
        <w:t xml:space="preserve"> (</w:t>
      </w:r>
      <w:r w:rsidR="00B36B52">
        <w:rPr>
          <w:highlight w:val="white"/>
          <w:lang w:val="en-GB"/>
        </w:rPr>
        <w:t xml:space="preserve">Revenue </w:t>
      </w:r>
      <w:r w:rsidR="002236AB">
        <w:rPr>
          <w:highlight w:val="white"/>
          <w:lang w:val="en-GB"/>
        </w:rPr>
        <w:t xml:space="preserve">in </w:t>
      </w:r>
      <w:r w:rsidR="00352A4B">
        <w:rPr>
          <w:highlight w:val="white"/>
          <w:lang w:val="en-GB"/>
        </w:rPr>
        <w:t xml:space="preserve">THOUSANDS </w:t>
      </w:r>
      <w:r w:rsidR="002236AB">
        <w:rPr>
          <w:highlight w:val="white"/>
          <w:lang w:val="en-GB"/>
        </w:rPr>
        <w:t>of CA$</w:t>
      </w:r>
      <w:r w:rsidRPr="0091055F">
        <w:rPr>
          <w:highlight w:val="white"/>
          <w:lang w:val="en-GB"/>
        </w:rPr>
        <w:t>)</w:t>
      </w:r>
    </w:p>
    <w:p w14:paraId="67F23FD3" w14:textId="77777777" w:rsidR="00FE1FC6" w:rsidRPr="00B36B52" w:rsidRDefault="00FE1FC6" w:rsidP="001621CC">
      <w:pPr>
        <w:pStyle w:val="Casehead1"/>
        <w:rPr>
          <w:sz w:val="18"/>
          <w:lang w:val="en-GB"/>
        </w:rPr>
      </w:pPr>
    </w:p>
    <w:tbl>
      <w:tblPr>
        <w:tblStyle w:val="TableGrid"/>
        <w:tblW w:w="7645" w:type="dxa"/>
        <w:jc w:val="center"/>
        <w:tblLayout w:type="fixed"/>
        <w:tblLook w:val="0400" w:firstRow="0" w:lastRow="0" w:firstColumn="0" w:lastColumn="0" w:noHBand="0" w:noVBand="1"/>
      </w:tblPr>
      <w:tblGrid>
        <w:gridCol w:w="1525"/>
        <w:gridCol w:w="874"/>
        <w:gridCol w:w="874"/>
        <w:gridCol w:w="874"/>
        <w:gridCol w:w="875"/>
        <w:gridCol w:w="874"/>
        <w:gridCol w:w="874"/>
        <w:gridCol w:w="875"/>
      </w:tblGrid>
      <w:tr w:rsidR="00FE1FC6" w:rsidRPr="0091055F" w14:paraId="5E2255AB" w14:textId="77777777" w:rsidTr="00B36B52">
        <w:trPr>
          <w:trHeight w:val="60"/>
          <w:jc w:val="center"/>
        </w:trPr>
        <w:tc>
          <w:tcPr>
            <w:tcW w:w="1525" w:type="dxa"/>
          </w:tcPr>
          <w:p w14:paraId="1A52D706" w14:textId="77777777" w:rsidR="00FE1FC6" w:rsidRPr="0091055F" w:rsidRDefault="00FE1FC6" w:rsidP="00FE1FC6">
            <w:pPr>
              <w:pStyle w:val="ExhibitText"/>
              <w:jc w:val="center"/>
              <w:rPr>
                <w:rFonts w:eastAsia="Calibri"/>
                <w:b/>
                <w:sz w:val="18"/>
                <w:szCs w:val="18"/>
                <w:lang w:val="en-GB"/>
              </w:rPr>
            </w:pPr>
          </w:p>
        </w:tc>
        <w:tc>
          <w:tcPr>
            <w:tcW w:w="874" w:type="dxa"/>
          </w:tcPr>
          <w:p w14:paraId="770FCD3B" w14:textId="77777777" w:rsidR="00FE1FC6" w:rsidRPr="0091055F" w:rsidRDefault="00FE1FC6" w:rsidP="00FE1FC6">
            <w:pPr>
              <w:pStyle w:val="ExhibitText"/>
              <w:jc w:val="center"/>
              <w:rPr>
                <w:rFonts w:eastAsia="Calibri"/>
                <w:b/>
                <w:sz w:val="18"/>
                <w:szCs w:val="18"/>
                <w:lang w:val="en-GB"/>
              </w:rPr>
            </w:pPr>
            <w:r w:rsidRPr="0091055F">
              <w:rPr>
                <w:rFonts w:eastAsia="Calibri"/>
                <w:b/>
                <w:sz w:val="18"/>
                <w:szCs w:val="18"/>
                <w:lang w:val="en-GB"/>
              </w:rPr>
              <w:t>FY13</w:t>
            </w:r>
          </w:p>
        </w:tc>
        <w:tc>
          <w:tcPr>
            <w:tcW w:w="874" w:type="dxa"/>
          </w:tcPr>
          <w:p w14:paraId="34413849" w14:textId="77777777" w:rsidR="00FE1FC6" w:rsidRPr="0091055F" w:rsidRDefault="00FE1FC6" w:rsidP="00FE1FC6">
            <w:pPr>
              <w:pStyle w:val="ExhibitText"/>
              <w:jc w:val="center"/>
              <w:rPr>
                <w:rFonts w:eastAsia="Calibri"/>
                <w:b/>
                <w:sz w:val="18"/>
                <w:szCs w:val="18"/>
                <w:lang w:val="en-GB"/>
              </w:rPr>
            </w:pPr>
            <w:r w:rsidRPr="0091055F">
              <w:rPr>
                <w:rFonts w:eastAsia="Calibri"/>
                <w:b/>
                <w:sz w:val="18"/>
                <w:szCs w:val="18"/>
                <w:lang w:val="en-GB"/>
              </w:rPr>
              <w:t>FY14</w:t>
            </w:r>
          </w:p>
        </w:tc>
        <w:tc>
          <w:tcPr>
            <w:tcW w:w="874" w:type="dxa"/>
          </w:tcPr>
          <w:p w14:paraId="45191911" w14:textId="77777777" w:rsidR="00FE1FC6" w:rsidRPr="0091055F" w:rsidRDefault="00FE1FC6" w:rsidP="00FE1FC6">
            <w:pPr>
              <w:pStyle w:val="ExhibitText"/>
              <w:jc w:val="center"/>
              <w:rPr>
                <w:rFonts w:eastAsia="Calibri"/>
                <w:b/>
                <w:sz w:val="18"/>
                <w:szCs w:val="18"/>
                <w:lang w:val="en-GB"/>
              </w:rPr>
            </w:pPr>
            <w:r w:rsidRPr="0091055F">
              <w:rPr>
                <w:rFonts w:eastAsia="Calibri"/>
                <w:b/>
                <w:sz w:val="18"/>
                <w:szCs w:val="18"/>
                <w:lang w:val="en-GB"/>
              </w:rPr>
              <w:t>FY15</w:t>
            </w:r>
          </w:p>
        </w:tc>
        <w:tc>
          <w:tcPr>
            <w:tcW w:w="875" w:type="dxa"/>
          </w:tcPr>
          <w:p w14:paraId="6EE38521" w14:textId="77777777" w:rsidR="00FE1FC6" w:rsidRPr="0091055F" w:rsidRDefault="00FE1FC6" w:rsidP="00FE1FC6">
            <w:pPr>
              <w:pStyle w:val="ExhibitText"/>
              <w:jc w:val="center"/>
              <w:rPr>
                <w:rFonts w:eastAsia="Calibri"/>
                <w:b/>
                <w:sz w:val="18"/>
                <w:szCs w:val="18"/>
                <w:lang w:val="en-GB"/>
              </w:rPr>
            </w:pPr>
            <w:r w:rsidRPr="0091055F">
              <w:rPr>
                <w:rFonts w:eastAsia="Calibri"/>
                <w:b/>
                <w:sz w:val="18"/>
                <w:szCs w:val="18"/>
                <w:lang w:val="en-GB"/>
              </w:rPr>
              <w:t>FY16</w:t>
            </w:r>
          </w:p>
        </w:tc>
        <w:tc>
          <w:tcPr>
            <w:tcW w:w="874" w:type="dxa"/>
          </w:tcPr>
          <w:p w14:paraId="297728AB" w14:textId="77777777" w:rsidR="00FE1FC6" w:rsidRPr="0091055F" w:rsidRDefault="00FE1FC6" w:rsidP="00FE1FC6">
            <w:pPr>
              <w:pStyle w:val="ExhibitText"/>
              <w:jc w:val="center"/>
              <w:rPr>
                <w:rFonts w:eastAsia="Calibri"/>
                <w:b/>
                <w:sz w:val="18"/>
                <w:szCs w:val="18"/>
                <w:lang w:val="en-GB"/>
              </w:rPr>
            </w:pPr>
            <w:r w:rsidRPr="0091055F">
              <w:rPr>
                <w:rFonts w:eastAsia="Calibri"/>
                <w:b/>
                <w:sz w:val="18"/>
                <w:szCs w:val="18"/>
                <w:lang w:val="en-GB"/>
              </w:rPr>
              <w:t>FY17*</w:t>
            </w:r>
          </w:p>
        </w:tc>
        <w:tc>
          <w:tcPr>
            <w:tcW w:w="874" w:type="dxa"/>
          </w:tcPr>
          <w:p w14:paraId="5B5FEE54" w14:textId="77777777" w:rsidR="00FE1FC6" w:rsidRPr="0091055F" w:rsidRDefault="00FE1FC6" w:rsidP="00FE1FC6">
            <w:pPr>
              <w:pStyle w:val="ExhibitText"/>
              <w:jc w:val="center"/>
              <w:rPr>
                <w:rFonts w:eastAsia="Calibri"/>
                <w:b/>
                <w:sz w:val="18"/>
                <w:szCs w:val="18"/>
                <w:lang w:val="en-GB"/>
              </w:rPr>
            </w:pPr>
            <w:r w:rsidRPr="0091055F">
              <w:rPr>
                <w:rFonts w:eastAsia="Calibri"/>
                <w:b/>
                <w:sz w:val="18"/>
                <w:szCs w:val="18"/>
                <w:lang w:val="en-GB"/>
              </w:rPr>
              <w:t>FY18*</w:t>
            </w:r>
          </w:p>
        </w:tc>
        <w:tc>
          <w:tcPr>
            <w:tcW w:w="875" w:type="dxa"/>
          </w:tcPr>
          <w:p w14:paraId="0A46EDED" w14:textId="77777777" w:rsidR="00FE1FC6" w:rsidRPr="0091055F" w:rsidRDefault="00FE1FC6" w:rsidP="00FE1FC6">
            <w:pPr>
              <w:pStyle w:val="ExhibitText"/>
              <w:jc w:val="center"/>
              <w:rPr>
                <w:rFonts w:eastAsia="Calibri"/>
                <w:b/>
                <w:sz w:val="18"/>
                <w:szCs w:val="18"/>
                <w:lang w:val="en-GB"/>
              </w:rPr>
            </w:pPr>
            <w:r w:rsidRPr="0091055F">
              <w:rPr>
                <w:rFonts w:eastAsia="Calibri"/>
                <w:b/>
                <w:sz w:val="18"/>
                <w:szCs w:val="18"/>
                <w:lang w:val="en-GB"/>
              </w:rPr>
              <w:t>FY19*</w:t>
            </w:r>
          </w:p>
        </w:tc>
      </w:tr>
      <w:tr w:rsidR="00FE1FC6" w:rsidRPr="0091055F" w14:paraId="54A08A5A" w14:textId="77777777" w:rsidTr="00B36B52">
        <w:trPr>
          <w:trHeight w:val="60"/>
          <w:jc w:val="center"/>
        </w:trPr>
        <w:tc>
          <w:tcPr>
            <w:tcW w:w="1525" w:type="dxa"/>
          </w:tcPr>
          <w:p w14:paraId="11F9FD7C" w14:textId="77777777" w:rsidR="00FE1FC6" w:rsidRPr="0091055F" w:rsidRDefault="00FE1FC6" w:rsidP="00FE1FC6">
            <w:pPr>
              <w:pStyle w:val="ExhibitText"/>
              <w:rPr>
                <w:rFonts w:eastAsia="Calibri"/>
                <w:sz w:val="18"/>
                <w:szCs w:val="18"/>
                <w:lang w:val="en-GB"/>
              </w:rPr>
            </w:pPr>
            <w:r w:rsidRPr="0091055F">
              <w:rPr>
                <w:rFonts w:eastAsia="Calibri"/>
                <w:sz w:val="18"/>
                <w:szCs w:val="18"/>
                <w:lang w:val="en-GB"/>
              </w:rPr>
              <w:t>Total Revenue</w:t>
            </w:r>
          </w:p>
        </w:tc>
        <w:tc>
          <w:tcPr>
            <w:tcW w:w="874" w:type="dxa"/>
          </w:tcPr>
          <w:p w14:paraId="3E7E48D3" w14:textId="77777777" w:rsidR="00FE1FC6" w:rsidRPr="0091055F" w:rsidRDefault="00FE1FC6" w:rsidP="00B36B52">
            <w:pPr>
              <w:pStyle w:val="ExhibitText"/>
              <w:jc w:val="right"/>
              <w:rPr>
                <w:rFonts w:eastAsia="Calibri"/>
                <w:sz w:val="18"/>
                <w:szCs w:val="18"/>
                <w:lang w:val="en-GB"/>
              </w:rPr>
            </w:pPr>
            <w:r w:rsidRPr="0091055F">
              <w:rPr>
                <w:rFonts w:eastAsia="Calibri"/>
                <w:sz w:val="18"/>
                <w:szCs w:val="18"/>
                <w:lang w:val="en-GB"/>
              </w:rPr>
              <w:t>7,139</w:t>
            </w:r>
          </w:p>
        </w:tc>
        <w:tc>
          <w:tcPr>
            <w:tcW w:w="874" w:type="dxa"/>
          </w:tcPr>
          <w:p w14:paraId="0DBCAB22" w14:textId="77777777" w:rsidR="00FE1FC6" w:rsidRPr="0091055F" w:rsidRDefault="00FE1FC6" w:rsidP="00B36B52">
            <w:pPr>
              <w:pStyle w:val="ExhibitText"/>
              <w:jc w:val="right"/>
              <w:rPr>
                <w:rFonts w:eastAsia="Calibri"/>
                <w:sz w:val="18"/>
                <w:szCs w:val="18"/>
                <w:lang w:val="en-GB"/>
              </w:rPr>
            </w:pPr>
            <w:r w:rsidRPr="0091055F">
              <w:rPr>
                <w:rFonts w:eastAsia="Calibri"/>
                <w:sz w:val="18"/>
                <w:szCs w:val="18"/>
                <w:lang w:val="en-GB"/>
              </w:rPr>
              <w:t>7,552</w:t>
            </w:r>
          </w:p>
        </w:tc>
        <w:tc>
          <w:tcPr>
            <w:tcW w:w="874" w:type="dxa"/>
          </w:tcPr>
          <w:p w14:paraId="19FE0115" w14:textId="77777777" w:rsidR="00FE1FC6" w:rsidRPr="0091055F" w:rsidRDefault="00FE1FC6" w:rsidP="00B36B52">
            <w:pPr>
              <w:pStyle w:val="ExhibitText"/>
              <w:jc w:val="right"/>
              <w:rPr>
                <w:rFonts w:eastAsia="Calibri"/>
                <w:sz w:val="18"/>
                <w:szCs w:val="18"/>
                <w:lang w:val="en-GB"/>
              </w:rPr>
            </w:pPr>
            <w:r w:rsidRPr="0091055F">
              <w:rPr>
                <w:rFonts w:eastAsia="Calibri"/>
                <w:sz w:val="18"/>
                <w:szCs w:val="18"/>
                <w:lang w:val="en-GB"/>
              </w:rPr>
              <w:t>8,509</w:t>
            </w:r>
          </w:p>
        </w:tc>
        <w:tc>
          <w:tcPr>
            <w:tcW w:w="875" w:type="dxa"/>
          </w:tcPr>
          <w:p w14:paraId="407C5247" w14:textId="77777777" w:rsidR="00FE1FC6" w:rsidRPr="0091055F" w:rsidRDefault="00FE1FC6" w:rsidP="00B36B52">
            <w:pPr>
              <w:pStyle w:val="ExhibitText"/>
              <w:jc w:val="right"/>
              <w:rPr>
                <w:rFonts w:eastAsia="Calibri"/>
                <w:sz w:val="18"/>
                <w:szCs w:val="18"/>
                <w:lang w:val="en-GB"/>
              </w:rPr>
            </w:pPr>
            <w:r w:rsidRPr="0091055F">
              <w:rPr>
                <w:rFonts w:eastAsia="Calibri"/>
                <w:sz w:val="18"/>
                <w:szCs w:val="18"/>
                <w:lang w:val="en-GB"/>
              </w:rPr>
              <w:t>9,836</w:t>
            </w:r>
          </w:p>
        </w:tc>
        <w:tc>
          <w:tcPr>
            <w:tcW w:w="874" w:type="dxa"/>
          </w:tcPr>
          <w:p w14:paraId="7C6D4ADA" w14:textId="77777777" w:rsidR="00FE1FC6" w:rsidRPr="0091055F" w:rsidRDefault="00FE1FC6" w:rsidP="00B36B52">
            <w:pPr>
              <w:pStyle w:val="ExhibitText"/>
              <w:jc w:val="right"/>
              <w:rPr>
                <w:rFonts w:eastAsia="Calibri"/>
                <w:sz w:val="18"/>
                <w:szCs w:val="18"/>
                <w:lang w:val="en-GB"/>
              </w:rPr>
            </w:pPr>
            <w:r w:rsidRPr="0091055F">
              <w:rPr>
                <w:rFonts w:eastAsia="Calibri"/>
                <w:sz w:val="18"/>
                <w:szCs w:val="18"/>
                <w:lang w:val="en-GB"/>
              </w:rPr>
              <w:t>10,911</w:t>
            </w:r>
          </w:p>
        </w:tc>
        <w:tc>
          <w:tcPr>
            <w:tcW w:w="874" w:type="dxa"/>
          </w:tcPr>
          <w:p w14:paraId="07DD7DF7" w14:textId="77777777" w:rsidR="00FE1FC6" w:rsidRPr="0091055F" w:rsidRDefault="00FE1FC6" w:rsidP="00B36B52">
            <w:pPr>
              <w:pStyle w:val="ExhibitText"/>
              <w:jc w:val="right"/>
              <w:rPr>
                <w:rFonts w:eastAsia="Calibri"/>
                <w:sz w:val="18"/>
                <w:szCs w:val="18"/>
                <w:lang w:val="en-GB"/>
              </w:rPr>
            </w:pPr>
            <w:r w:rsidRPr="0091055F">
              <w:rPr>
                <w:rFonts w:eastAsia="Calibri"/>
                <w:sz w:val="18"/>
                <w:szCs w:val="18"/>
                <w:lang w:val="en-GB"/>
              </w:rPr>
              <w:t>11,944</w:t>
            </w:r>
          </w:p>
        </w:tc>
        <w:tc>
          <w:tcPr>
            <w:tcW w:w="875" w:type="dxa"/>
          </w:tcPr>
          <w:p w14:paraId="57362E71" w14:textId="77777777" w:rsidR="00FE1FC6" w:rsidRPr="0091055F" w:rsidRDefault="00FE1FC6" w:rsidP="00B36B52">
            <w:pPr>
              <w:pStyle w:val="ExhibitText"/>
              <w:jc w:val="right"/>
              <w:rPr>
                <w:rFonts w:eastAsia="Calibri"/>
                <w:sz w:val="18"/>
                <w:szCs w:val="18"/>
                <w:lang w:val="en-GB"/>
              </w:rPr>
            </w:pPr>
            <w:r w:rsidRPr="0091055F">
              <w:rPr>
                <w:rFonts w:eastAsia="Calibri"/>
                <w:sz w:val="18"/>
                <w:szCs w:val="18"/>
                <w:lang w:val="en-GB"/>
              </w:rPr>
              <w:t>13,883</w:t>
            </w:r>
          </w:p>
        </w:tc>
      </w:tr>
      <w:tr w:rsidR="00FE1FC6" w:rsidRPr="0091055F" w14:paraId="0E8FAFD7" w14:textId="77777777" w:rsidTr="00B36B52">
        <w:trPr>
          <w:trHeight w:val="60"/>
          <w:jc w:val="center"/>
        </w:trPr>
        <w:tc>
          <w:tcPr>
            <w:tcW w:w="1525" w:type="dxa"/>
          </w:tcPr>
          <w:p w14:paraId="2DE88EB7" w14:textId="77777777" w:rsidR="00FE1FC6" w:rsidRPr="0091055F" w:rsidRDefault="00FE1FC6" w:rsidP="00FE1FC6">
            <w:pPr>
              <w:pStyle w:val="ExhibitText"/>
              <w:rPr>
                <w:rFonts w:eastAsia="Calibri"/>
                <w:sz w:val="18"/>
                <w:szCs w:val="18"/>
                <w:lang w:val="en-GB"/>
              </w:rPr>
            </w:pPr>
            <w:r w:rsidRPr="0091055F">
              <w:rPr>
                <w:rFonts w:eastAsia="Calibri"/>
                <w:sz w:val="18"/>
                <w:szCs w:val="18"/>
                <w:lang w:val="en-GB"/>
              </w:rPr>
              <w:t>LTR %</w:t>
            </w:r>
          </w:p>
        </w:tc>
        <w:tc>
          <w:tcPr>
            <w:tcW w:w="874" w:type="dxa"/>
          </w:tcPr>
          <w:p w14:paraId="4DB7CB29" w14:textId="77777777" w:rsidR="00FE1FC6" w:rsidRPr="0091055F" w:rsidRDefault="00FE1FC6" w:rsidP="00B36B52">
            <w:pPr>
              <w:pStyle w:val="ExhibitText"/>
              <w:tabs>
                <w:tab w:val="decimal" w:pos="345"/>
              </w:tabs>
              <w:rPr>
                <w:rFonts w:eastAsia="Calibri"/>
                <w:sz w:val="18"/>
                <w:szCs w:val="18"/>
                <w:lang w:val="en-GB"/>
              </w:rPr>
            </w:pPr>
            <w:r w:rsidRPr="0091055F">
              <w:rPr>
                <w:rFonts w:eastAsia="Calibri"/>
                <w:sz w:val="18"/>
                <w:szCs w:val="18"/>
                <w:lang w:val="en-GB"/>
              </w:rPr>
              <w:t>32.3%</w:t>
            </w:r>
          </w:p>
        </w:tc>
        <w:tc>
          <w:tcPr>
            <w:tcW w:w="874" w:type="dxa"/>
          </w:tcPr>
          <w:p w14:paraId="1EF9C514" w14:textId="77777777" w:rsidR="00FE1FC6" w:rsidRPr="0091055F" w:rsidRDefault="00FE1FC6" w:rsidP="00B36B52">
            <w:pPr>
              <w:pStyle w:val="ExhibitText"/>
              <w:tabs>
                <w:tab w:val="decimal" w:pos="441"/>
              </w:tabs>
              <w:rPr>
                <w:rFonts w:eastAsia="Calibri"/>
                <w:sz w:val="18"/>
                <w:szCs w:val="18"/>
                <w:lang w:val="en-GB"/>
              </w:rPr>
            </w:pPr>
            <w:r w:rsidRPr="0091055F">
              <w:rPr>
                <w:rFonts w:eastAsia="Calibri"/>
                <w:sz w:val="18"/>
                <w:szCs w:val="18"/>
                <w:lang w:val="en-GB"/>
              </w:rPr>
              <w:t>31.1%</w:t>
            </w:r>
          </w:p>
        </w:tc>
        <w:tc>
          <w:tcPr>
            <w:tcW w:w="874" w:type="dxa"/>
          </w:tcPr>
          <w:p w14:paraId="6F0A5A4B" w14:textId="77777777" w:rsidR="00FE1FC6" w:rsidRPr="0091055F" w:rsidRDefault="00FE1FC6" w:rsidP="00B36B52">
            <w:pPr>
              <w:pStyle w:val="ExhibitText"/>
              <w:tabs>
                <w:tab w:val="decimal" w:pos="388"/>
              </w:tabs>
              <w:rPr>
                <w:rFonts w:eastAsia="Calibri"/>
                <w:sz w:val="18"/>
                <w:szCs w:val="18"/>
                <w:lang w:val="en-GB"/>
              </w:rPr>
            </w:pPr>
            <w:r w:rsidRPr="0091055F">
              <w:rPr>
                <w:rFonts w:eastAsia="Calibri"/>
                <w:sz w:val="18"/>
                <w:szCs w:val="18"/>
                <w:lang w:val="en-GB"/>
              </w:rPr>
              <w:t>30.5%</w:t>
            </w:r>
          </w:p>
        </w:tc>
        <w:tc>
          <w:tcPr>
            <w:tcW w:w="875" w:type="dxa"/>
          </w:tcPr>
          <w:p w14:paraId="7B36DAC4" w14:textId="77777777" w:rsidR="00FE1FC6" w:rsidRPr="0091055F" w:rsidRDefault="00FE1FC6" w:rsidP="00B36B52">
            <w:pPr>
              <w:pStyle w:val="ExhibitText"/>
              <w:tabs>
                <w:tab w:val="decimal" w:pos="288"/>
              </w:tabs>
              <w:rPr>
                <w:rFonts w:eastAsia="Calibri"/>
                <w:sz w:val="18"/>
                <w:szCs w:val="18"/>
                <w:lang w:val="en-GB"/>
              </w:rPr>
            </w:pPr>
            <w:r w:rsidRPr="0091055F">
              <w:rPr>
                <w:rFonts w:eastAsia="Calibri"/>
                <w:sz w:val="18"/>
                <w:szCs w:val="18"/>
                <w:lang w:val="en-GB"/>
              </w:rPr>
              <w:t>33.9%</w:t>
            </w:r>
          </w:p>
        </w:tc>
        <w:tc>
          <w:tcPr>
            <w:tcW w:w="874" w:type="dxa"/>
          </w:tcPr>
          <w:p w14:paraId="02738439" w14:textId="77777777" w:rsidR="00FE1FC6" w:rsidRPr="0091055F" w:rsidRDefault="00FE1FC6" w:rsidP="00B36B52">
            <w:pPr>
              <w:pStyle w:val="ExhibitText"/>
              <w:tabs>
                <w:tab w:val="decimal" w:pos="473"/>
              </w:tabs>
              <w:rPr>
                <w:rFonts w:eastAsia="Calibri"/>
                <w:sz w:val="18"/>
                <w:szCs w:val="18"/>
                <w:lang w:val="en-GB"/>
              </w:rPr>
            </w:pPr>
            <w:r w:rsidRPr="0091055F">
              <w:rPr>
                <w:rFonts w:eastAsia="Calibri"/>
                <w:sz w:val="18"/>
                <w:szCs w:val="18"/>
                <w:lang w:val="en-GB"/>
              </w:rPr>
              <w:t>32.8%</w:t>
            </w:r>
          </w:p>
        </w:tc>
        <w:tc>
          <w:tcPr>
            <w:tcW w:w="874" w:type="dxa"/>
          </w:tcPr>
          <w:p w14:paraId="24A42B4B" w14:textId="77777777" w:rsidR="00FE1FC6" w:rsidRPr="0091055F" w:rsidRDefault="00FE1FC6" w:rsidP="00B36B52">
            <w:pPr>
              <w:pStyle w:val="ExhibitText"/>
              <w:tabs>
                <w:tab w:val="decimal" w:pos="419"/>
              </w:tabs>
              <w:rPr>
                <w:rFonts w:eastAsia="Calibri"/>
                <w:sz w:val="18"/>
                <w:szCs w:val="18"/>
                <w:lang w:val="en-GB"/>
              </w:rPr>
            </w:pPr>
            <w:r w:rsidRPr="0091055F">
              <w:rPr>
                <w:rFonts w:eastAsia="Calibri"/>
                <w:sz w:val="18"/>
                <w:szCs w:val="18"/>
                <w:lang w:val="en-GB"/>
              </w:rPr>
              <w:t>36.3%</w:t>
            </w:r>
          </w:p>
        </w:tc>
        <w:tc>
          <w:tcPr>
            <w:tcW w:w="875" w:type="dxa"/>
          </w:tcPr>
          <w:p w14:paraId="491D92A5" w14:textId="77777777" w:rsidR="00FE1FC6" w:rsidRPr="0091055F" w:rsidRDefault="00FE1FC6" w:rsidP="00B36B52">
            <w:pPr>
              <w:pStyle w:val="ExhibitText"/>
              <w:tabs>
                <w:tab w:val="decimal" w:pos="374"/>
              </w:tabs>
              <w:rPr>
                <w:rFonts w:eastAsia="Calibri"/>
                <w:sz w:val="18"/>
                <w:szCs w:val="18"/>
                <w:lang w:val="en-GB"/>
              </w:rPr>
            </w:pPr>
            <w:r w:rsidRPr="0091055F">
              <w:rPr>
                <w:rFonts w:eastAsia="Calibri"/>
                <w:sz w:val="18"/>
                <w:szCs w:val="18"/>
                <w:lang w:val="en-GB"/>
              </w:rPr>
              <w:t>36.5%</w:t>
            </w:r>
          </w:p>
        </w:tc>
      </w:tr>
      <w:tr w:rsidR="00FE1FC6" w:rsidRPr="0091055F" w14:paraId="540051A2" w14:textId="77777777" w:rsidTr="00B36B52">
        <w:trPr>
          <w:trHeight w:val="60"/>
          <w:jc w:val="center"/>
        </w:trPr>
        <w:tc>
          <w:tcPr>
            <w:tcW w:w="1525" w:type="dxa"/>
          </w:tcPr>
          <w:p w14:paraId="39599429" w14:textId="77777777" w:rsidR="00FE1FC6" w:rsidRPr="0091055F" w:rsidRDefault="00FE1FC6" w:rsidP="00FE1FC6">
            <w:pPr>
              <w:pStyle w:val="ExhibitText"/>
              <w:rPr>
                <w:rFonts w:eastAsia="Calibri"/>
                <w:sz w:val="18"/>
                <w:szCs w:val="18"/>
                <w:lang w:val="en-GB"/>
              </w:rPr>
            </w:pPr>
            <w:r w:rsidRPr="0091055F">
              <w:rPr>
                <w:rFonts w:eastAsia="Calibri"/>
                <w:sz w:val="18"/>
                <w:szCs w:val="18"/>
                <w:lang w:val="en-GB"/>
              </w:rPr>
              <w:t>COGS %</w:t>
            </w:r>
          </w:p>
        </w:tc>
        <w:tc>
          <w:tcPr>
            <w:tcW w:w="874" w:type="dxa"/>
          </w:tcPr>
          <w:p w14:paraId="3C95C68E" w14:textId="77777777" w:rsidR="00FE1FC6" w:rsidRPr="0091055F" w:rsidRDefault="00FE1FC6" w:rsidP="00B36B52">
            <w:pPr>
              <w:pStyle w:val="ExhibitText"/>
              <w:tabs>
                <w:tab w:val="decimal" w:pos="345"/>
              </w:tabs>
              <w:rPr>
                <w:rFonts w:eastAsia="Calibri"/>
                <w:sz w:val="18"/>
                <w:szCs w:val="18"/>
                <w:lang w:val="en-GB"/>
              </w:rPr>
            </w:pPr>
            <w:r w:rsidRPr="0091055F">
              <w:rPr>
                <w:rFonts w:eastAsia="Calibri"/>
                <w:sz w:val="18"/>
                <w:szCs w:val="18"/>
                <w:lang w:val="en-GB"/>
              </w:rPr>
              <w:t>28.6%</w:t>
            </w:r>
          </w:p>
        </w:tc>
        <w:tc>
          <w:tcPr>
            <w:tcW w:w="874" w:type="dxa"/>
          </w:tcPr>
          <w:p w14:paraId="58EF115F" w14:textId="77777777" w:rsidR="00FE1FC6" w:rsidRPr="0091055F" w:rsidRDefault="00FE1FC6" w:rsidP="00B36B52">
            <w:pPr>
              <w:pStyle w:val="ExhibitText"/>
              <w:tabs>
                <w:tab w:val="decimal" w:pos="441"/>
              </w:tabs>
              <w:rPr>
                <w:rFonts w:eastAsia="Calibri"/>
                <w:sz w:val="18"/>
                <w:szCs w:val="18"/>
                <w:lang w:val="en-GB"/>
              </w:rPr>
            </w:pPr>
            <w:r w:rsidRPr="0091055F">
              <w:rPr>
                <w:rFonts w:eastAsia="Calibri"/>
                <w:sz w:val="18"/>
                <w:szCs w:val="18"/>
                <w:lang w:val="en-GB"/>
              </w:rPr>
              <w:t>29.2%</w:t>
            </w:r>
          </w:p>
        </w:tc>
        <w:tc>
          <w:tcPr>
            <w:tcW w:w="874" w:type="dxa"/>
          </w:tcPr>
          <w:p w14:paraId="667A56E8" w14:textId="77777777" w:rsidR="00FE1FC6" w:rsidRPr="0091055F" w:rsidRDefault="00FE1FC6" w:rsidP="00B36B52">
            <w:pPr>
              <w:pStyle w:val="ExhibitText"/>
              <w:tabs>
                <w:tab w:val="decimal" w:pos="388"/>
              </w:tabs>
              <w:rPr>
                <w:rFonts w:eastAsia="Calibri"/>
                <w:sz w:val="18"/>
                <w:szCs w:val="18"/>
                <w:lang w:val="en-GB"/>
              </w:rPr>
            </w:pPr>
            <w:r w:rsidRPr="0091055F">
              <w:rPr>
                <w:rFonts w:eastAsia="Calibri"/>
                <w:sz w:val="18"/>
                <w:szCs w:val="18"/>
                <w:lang w:val="en-GB"/>
              </w:rPr>
              <w:t>31.2%</w:t>
            </w:r>
          </w:p>
        </w:tc>
        <w:tc>
          <w:tcPr>
            <w:tcW w:w="875" w:type="dxa"/>
          </w:tcPr>
          <w:p w14:paraId="7E64E39C" w14:textId="77777777" w:rsidR="00FE1FC6" w:rsidRPr="0091055F" w:rsidRDefault="00FE1FC6" w:rsidP="00B36B52">
            <w:pPr>
              <w:pStyle w:val="ExhibitText"/>
              <w:tabs>
                <w:tab w:val="decimal" w:pos="288"/>
              </w:tabs>
              <w:rPr>
                <w:rFonts w:eastAsia="Calibri"/>
                <w:sz w:val="18"/>
                <w:szCs w:val="18"/>
                <w:lang w:val="en-GB"/>
              </w:rPr>
            </w:pPr>
            <w:r w:rsidRPr="0091055F">
              <w:rPr>
                <w:rFonts w:eastAsia="Calibri"/>
                <w:sz w:val="18"/>
                <w:szCs w:val="18"/>
                <w:lang w:val="en-GB"/>
              </w:rPr>
              <w:t>31.3%</w:t>
            </w:r>
          </w:p>
        </w:tc>
        <w:tc>
          <w:tcPr>
            <w:tcW w:w="874" w:type="dxa"/>
          </w:tcPr>
          <w:p w14:paraId="7F7CD5FF" w14:textId="77777777" w:rsidR="00FE1FC6" w:rsidRPr="0091055F" w:rsidRDefault="00FE1FC6" w:rsidP="00B36B52">
            <w:pPr>
              <w:pStyle w:val="ExhibitText"/>
              <w:tabs>
                <w:tab w:val="decimal" w:pos="473"/>
              </w:tabs>
              <w:rPr>
                <w:rFonts w:eastAsia="Calibri"/>
                <w:sz w:val="18"/>
                <w:szCs w:val="18"/>
                <w:lang w:val="en-GB"/>
              </w:rPr>
            </w:pPr>
            <w:r w:rsidRPr="0091055F">
              <w:rPr>
                <w:rFonts w:eastAsia="Calibri"/>
                <w:sz w:val="18"/>
                <w:szCs w:val="18"/>
                <w:lang w:val="en-GB"/>
              </w:rPr>
              <w:t>24.0%</w:t>
            </w:r>
          </w:p>
        </w:tc>
        <w:tc>
          <w:tcPr>
            <w:tcW w:w="874" w:type="dxa"/>
          </w:tcPr>
          <w:p w14:paraId="732AA16D" w14:textId="77777777" w:rsidR="00FE1FC6" w:rsidRPr="0091055F" w:rsidRDefault="00FE1FC6" w:rsidP="00B36B52">
            <w:pPr>
              <w:pStyle w:val="ExhibitText"/>
              <w:tabs>
                <w:tab w:val="decimal" w:pos="419"/>
              </w:tabs>
              <w:rPr>
                <w:rFonts w:eastAsia="Calibri"/>
                <w:sz w:val="18"/>
                <w:szCs w:val="18"/>
                <w:lang w:val="en-GB"/>
              </w:rPr>
            </w:pPr>
            <w:r w:rsidRPr="0091055F">
              <w:rPr>
                <w:rFonts w:eastAsia="Calibri"/>
                <w:sz w:val="18"/>
                <w:szCs w:val="18"/>
                <w:lang w:val="en-GB"/>
              </w:rPr>
              <w:t>28.8%</w:t>
            </w:r>
          </w:p>
        </w:tc>
        <w:tc>
          <w:tcPr>
            <w:tcW w:w="875" w:type="dxa"/>
          </w:tcPr>
          <w:p w14:paraId="457FD44C" w14:textId="77777777" w:rsidR="00FE1FC6" w:rsidRPr="0091055F" w:rsidRDefault="00FE1FC6" w:rsidP="00B36B52">
            <w:pPr>
              <w:pStyle w:val="ExhibitText"/>
              <w:tabs>
                <w:tab w:val="decimal" w:pos="374"/>
              </w:tabs>
              <w:rPr>
                <w:rFonts w:eastAsia="Calibri"/>
                <w:sz w:val="18"/>
                <w:szCs w:val="18"/>
                <w:lang w:val="en-GB"/>
              </w:rPr>
            </w:pPr>
            <w:r w:rsidRPr="0091055F">
              <w:rPr>
                <w:rFonts w:eastAsia="Calibri"/>
                <w:sz w:val="18"/>
                <w:szCs w:val="18"/>
                <w:lang w:val="en-GB"/>
              </w:rPr>
              <w:t>27.8%</w:t>
            </w:r>
          </w:p>
        </w:tc>
      </w:tr>
      <w:tr w:rsidR="00FE1FC6" w:rsidRPr="0091055F" w14:paraId="1BC01885" w14:textId="77777777" w:rsidTr="00B36B52">
        <w:trPr>
          <w:trHeight w:val="60"/>
          <w:jc w:val="center"/>
        </w:trPr>
        <w:tc>
          <w:tcPr>
            <w:tcW w:w="1525" w:type="dxa"/>
          </w:tcPr>
          <w:p w14:paraId="2B488E84" w14:textId="77777777" w:rsidR="00FE1FC6" w:rsidRPr="0091055F" w:rsidRDefault="00FE1FC6" w:rsidP="00FE1FC6">
            <w:pPr>
              <w:pStyle w:val="ExhibitText"/>
              <w:rPr>
                <w:rFonts w:eastAsia="Calibri"/>
                <w:sz w:val="18"/>
                <w:szCs w:val="18"/>
                <w:lang w:val="en-GB"/>
              </w:rPr>
            </w:pPr>
            <w:r w:rsidRPr="0091055F">
              <w:rPr>
                <w:rFonts w:eastAsia="Calibri"/>
                <w:sz w:val="18"/>
                <w:szCs w:val="18"/>
                <w:lang w:val="en-GB"/>
              </w:rPr>
              <w:t>OH %</w:t>
            </w:r>
          </w:p>
        </w:tc>
        <w:tc>
          <w:tcPr>
            <w:tcW w:w="874" w:type="dxa"/>
          </w:tcPr>
          <w:p w14:paraId="19902F8D" w14:textId="77777777" w:rsidR="00FE1FC6" w:rsidRPr="0091055F" w:rsidRDefault="00FE1FC6" w:rsidP="00B36B52">
            <w:pPr>
              <w:pStyle w:val="ExhibitText"/>
              <w:tabs>
                <w:tab w:val="decimal" w:pos="345"/>
              </w:tabs>
              <w:rPr>
                <w:rFonts w:eastAsia="Calibri"/>
                <w:sz w:val="18"/>
                <w:szCs w:val="18"/>
                <w:lang w:val="en-GB"/>
              </w:rPr>
            </w:pPr>
            <w:r w:rsidRPr="0091055F">
              <w:rPr>
                <w:rFonts w:eastAsia="Calibri"/>
                <w:sz w:val="18"/>
                <w:szCs w:val="18"/>
                <w:lang w:val="en-GB"/>
              </w:rPr>
              <w:t>20.2%</w:t>
            </w:r>
          </w:p>
        </w:tc>
        <w:tc>
          <w:tcPr>
            <w:tcW w:w="874" w:type="dxa"/>
          </w:tcPr>
          <w:p w14:paraId="4B7D06A5" w14:textId="77777777" w:rsidR="00FE1FC6" w:rsidRPr="0091055F" w:rsidRDefault="00FE1FC6" w:rsidP="00B36B52">
            <w:pPr>
              <w:pStyle w:val="ExhibitText"/>
              <w:tabs>
                <w:tab w:val="decimal" w:pos="441"/>
              </w:tabs>
              <w:rPr>
                <w:rFonts w:eastAsia="Calibri"/>
                <w:sz w:val="18"/>
                <w:szCs w:val="18"/>
                <w:lang w:val="en-GB"/>
              </w:rPr>
            </w:pPr>
            <w:r w:rsidRPr="0091055F">
              <w:rPr>
                <w:rFonts w:eastAsia="Calibri"/>
                <w:sz w:val="18"/>
                <w:szCs w:val="18"/>
                <w:lang w:val="en-GB"/>
              </w:rPr>
              <w:t>23.3%</w:t>
            </w:r>
          </w:p>
        </w:tc>
        <w:tc>
          <w:tcPr>
            <w:tcW w:w="874" w:type="dxa"/>
          </w:tcPr>
          <w:p w14:paraId="1674BA4A" w14:textId="77777777" w:rsidR="00FE1FC6" w:rsidRPr="0091055F" w:rsidRDefault="00FE1FC6" w:rsidP="00B36B52">
            <w:pPr>
              <w:pStyle w:val="ExhibitText"/>
              <w:tabs>
                <w:tab w:val="decimal" w:pos="388"/>
              </w:tabs>
              <w:rPr>
                <w:rFonts w:eastAsia="Calibri"/>
                <w:sz w:val="18"/>
                <w:szCs w:val="18"/>
                <w:lang w:val="en-GB"/>
              </w:rPr>
            </w:pPr>
            <w:r w:rsidRPr="0091055F">
              <w:rPr>
                <w:rFonts w:eastAsia="Calibri"/>
                <w:sz w:val="18"/>
                <w:szCs w:val="18"/>
                <w:lang w:val="en-GB"/>
              </w:rPr>
              <w:t>24.5%</w:t>
            </w:r>
          </w:p>
        </w:tc>
        <w:tc>
          <w:tcPr>
            <w:tcW w:w="875" w:type="dxa"/>
          </w:tcPr>
          <w:p w14:paraId="171B7443" w14:textId="77777777" w:rsidR="00FE1FC6" w:rsidRPr="0091055F" w:rsidRDefault="00FE1FC6" w:rsidP="00B36B52">
            <w:pPr>
              <w:pStyle w:val="ExhibitText"/>
              <w:tabs>
                <w:tab w:val="decimal" w:pos="288"/>
              </w:tabs>
              <w:rPr>
                <w:rFonts w:eastAsia="Calibri"/>
                <w:sz w:val="18"/>
                <w:szCs w:val="18"/>
                <w:lang w:val="en-GB"/>
              </w:rPr>
            </w:pPr>
            <w:r w:rsidRPr="0091055F">
              <w:rPr>
                <w:rFonts w:eastAsia="Calibri"/>
                <w:sz w:val="18"/>
                <w:szCs w:val="18"/>
                <w:lang w:val="en-GB"/>
              </w:rPr>
              <w:t>23.5%</w:t>
            </w:r>
          </w:p>
        </w:tc>
        <w:tc>
          <w:tcPr>
            <w:tcW w:w="874" w:type="dxa"/>
          </w:tcPr>
          <w:p w14:paraId="1347FDD8" w14:textId="77777777" w:rsidR="00FE1FC6" w:rsidRPr="0091055F" w:rsidRDefault="00FE1FC6" w:rsidP="00B36B52">
            <w:pPr>
              <w:pStyle w:val="ExhibitText"/>
              <w:tabs>
                <w:tab w:val="decimal" w:pos="473"/>
              </w:tabs>
              <w:rPr>
                <w:rFonts w:eastAsia="Calibri"/>
                <w:sz w:val="18"/>
                <w:szCs w:val="18"/>
                <w:lang w:val="en-GB"/>
              </w:rPr>
            </w:pPr>
            <w:r w:rsidRPr="0091055F">
              <w:rPr>
                <w:rFonts w:eastAsia="Calibri"/>
                <w:sz w:val="18"/>
                <w:szCs w:val="18"/>
                <w:lang w:val="en-GB"/>
              </w:rPr>
              <w:t>25.3%</w:t>
            </w:r>
          </w:p>
        </w:tc>
        <w:tc>
          <w:tcPr>
            <w:tcW w:w="874" w:type="dxa"/>
          </w:tcPr>
          <w:p w14:paraId="4BE1F03B" w14:textId="77777777" w:rsidR="00FE1FC6" w:rsidRPr="0091055F" w:rsidRDefault="00FE1FC6" w:rsidP="00B36B52">
            <w:pPr>
              <w:pStyle w:val="ExhibitText"/>
              <w:tabs>
                <w:tab w:val="decimal" w:pos="419"/>
              </w:tabs>
              <w:rPr>
                <w:rFonts w:eastAsia="Calibri"/>
                <w:sz w:val="18"/>
                <w:szCs w:val="18"/>
                <w:lang w:val="en-GB"/>
              </w:rPr>
            </w:pPr>
            <w:r w:rsidRPr="0091055F">
              <w:rPr>
                <w:rFonts w:eastAsia="Calibri"/>
                <w:sz w:val="18"/>
                <w:szCs w:val="18"/>
                <w:lang w:val="en-GB"/>
              </w:rPr>
              <w:t>25.4%</w:t>
            </w:r>
          </w:p>
        </w:tc>
        <w:tc>
          <w:tcPr>
            <w:tcW w:w="875" w:type="dxa"/>
          </w:tcPr>
          <w:p w14:paraId="35C9DA15" w14:textId="77777777" w:rsidR="00FE1FC6" w:rsidRPr="0091055F" w:rsidRDefault="00FE1FC6" w:rsidP="00B36B52">
            <w:pPr>
              <w:pStyle w:val="ExhibitText"/>
              <w:tabs>
                <w:tab w:val="decimal" w:pos="374"/>
              </w:tabs>
              <w:rPr>
                <w:rFonts w:eastAsia="Calibri"/>
                <w:sz w:val="18"/>
                <w:szCs w:val="18"/>
                <w:lang w:val="en-GB"/>
              </w:rPr>
            </w:pPr>
            <w:r w:rsidRPr="0091055F">
              <w:rPr>
                <w:rFonts w:eastAsia="Calibri"/>
                <w:sz w:val="18"/>
                <w:szCs w:val="18"/>
                <w:lang w:val="en-GB"/>
              </w:rPr>
              <w:t>22.0%</w:t>
            </w:r>
          </w:p>
        </w:tc>
      </w:tr>
      <w:tr w:rsidR="00FE1FC6" w:rsidRPr="0091055F" w14:paraId="2594C1F6" w14:textId="77777777" w:rsidTr="00B36B52">
        <w:trPr>
          <w:trHeight w:val="60"/>
          <w:jc w:val="center"/>
        </w:trPr>
        <w:tc>
          <w:tcPr>
            <w:tcW w:w="1525" w:type="dxa"/>
          </w:tcPr>
          <w:p w14:paraId="33796555" w14:textId="77777777" w:rsidR="00FE1FC6" w:rsidRPr="0091055F" w:rsidRDefault="00FE1FC6" w:rsidP="00FE1FC6">
            <w:pPr>
              <w:pStyle w:val="ExhibitText"/>
              <w:rPr>
                <w:rFonts w:eastAsia="Calibri"/>
                <w:sz w:val="18"/>
                <w:szCs w:val="18"/>
                <w:lang w:val="en-GB"/>
              </w:rPr>
            </w:pPr>
            <w:r w:rsidRPr="0091055F">
              <w:rPr>
                <w:rFonts w:eastAsia="Calibri"/>
                <w:sz w:val="18"/>
                <w:szCs w:val="18"/>
                <w:lang w:val="en-GB"/>
              </w:rPr>
              <w:t>R&amp;D %</w:t>
            </w:r>
          </w:p>
        </w:tc>
        <w:tc>
          <w:tcPr>
            <w:tcW w:w="874" w:type="dxa"/>
          </w:tcPr>
          <w:p w14:paraId="53313E80" w14:textId="77777777" w:rsidR="00FE1FC6" w:rsidRPr="0091055F" w:rsidRDefault="00FE1FC6" w:rsidP="00B36B52">
            <w:pPr>
              <w:pStyle w:val="ExhibitText"/>
              <w:tabs>
                <w:tab w:val="decimal" w:pos="345"/>
              </w:tabs>
              <w:rPr>
                <w:rFonts w:eastAsia="Calibri"/>
                <w:sz w:val="18"/>
                <w:szCs w:val="18"/>
                <w:lang w:val="en-GB"/>
              </w:rPr>
            </w:pPr>
            <w:r w:rsidRPr="0091055F">
              <w:rPr>
                <w:rFonts w:eastAsia="Calibri"/>
                <w:sz w:val="18"/>
                <w:szCs w:val="18"/>
                <w:lang w:val="en-GB"/>
              </w:rPr>
              <w:t>3.0%</w:t>
            </w:r>
          </w:p>
        </w:tc>
        <w:tc>
          <w:tcPr>
            <w:tcW w:w="874" w:type="dxa"/>
          </w:tcPr>
          <w:p w14:paraId="23379F6D" w14:textId="77777777" w:rsidR="00FE1FC6" w:rsidRPr="0091055F" w:rsidRDefault="00FE1FC6" w:rsidP="00B36B52">
            <w:pPr>
              <w:pStyle w:val="ExhibitText"/>
              <w:tabs>
                <w:tab w:val="decimal" w:pos="441"/>
              </w:tabs>
              <w:rPr>
                <w:rFonts w:eastAsia="Calibri"/>
                <w:sz w:val="18"/>
                <w:szCs w:val="18"/>
                <w:lang w:val="en-GB"/>
              </w:rPr>
            </w:pPr>
            <w:r w:rsidRPr="0091055F">
              <w:rPr>
                <w:rFonts w:eastAsia="Calibri"/>
                <w:sz w:val="18"/>
                <w:szCs w:val="18"/>
                <w:lang w:val="en-GB"/>
              </w:rPr>
              <w:t>3.0%</w:t>
            </w:r>
          </w:p>
        </w:tc>
        <w:tc>
          <w:tcPr>
            <w:tcW w:w="874" w:type="dxa"/>
          </w:tcPr>
          <w:p w14:paraId="27EBD3CB" w14:textId="77777777" w:rsidR="00FE1FC6" w:rsidRPr="0091055F" w:rsidRDefault="00FE1FC6" w:rsidP="00B36B52">
            <w:pPr>
              <w:pStyle w:val="ExhibitText"/>
              <w:tabs>
                <w:tab w:val="decimal" w:pos="388"/>
              </w:tabs>
              <w:rPr>
                <w:rFonts w:eastAsia="Calibri"/>
                <w:sz w:val="18"/>
                <w:szCs w:val="18"/>
                <w:lang w:val="en-GB"/>
              </w:rPr>
            </w:pPr>
            <w:r w:rsidRPr="0091055F">
              <w:rPr>
                <w:rFonts w:eastAsia="Calibri"/>
                <w:sz w:val="18"/>
                <w:szCs w:val="18"/>
                <w:lang w:val="en-GB"/>
              </w:rPr>
              <w:t>2.5%</w:t>
            </w:r>
          </w:p>
        </w:tc>
        <w:tc>
          <w:tcPr>
            <w:tcW w:w="875" w:type="dxa"/>
          </w:tcPr>
          <w:p w14:paraId="1D28D942" w14:textId="77777777" w:rsidR="00FE1FC6" w:rsidRPr="0091055F" w:rsidRDefault="00FE1FC6" w:rsidP="00B36B52">
            <w:pPr>
              <w:pStyle w:val="ExhibitText"/>
              <w:tabs>
                <w:tab w:val="decimal" w:pos="288"/>
              </w:tabs>
              <w:rPr>
                <w:rFonts w:eastAsia="Calibri"/>
                <w:sz w:val="18"/>
                <w:szCs w:val="18"/>
                <w:lang w:val="en-GB"/>
              </w:rPr>
            </w:pPr>
            <w:r w:rsidRPr="0091055F">
              <w:rPr>
                <w:rFonts w:eastAsia="Calibri"/>
                <w:sz w:val="18"/>
                <w:szCs w:val="18"/>
                <w:lang w:val="en-GB"/>
              </w:rPr>
              <w:t>2.3%</w:t>
            </w:r>
          </w:p>
        </w:tc>
        <w:tc>
          <w:tcPr>
            <w:tcW w:w="874" w:type="dxa"/>
          </w:tcPr>
          <w:p w14:paraId="43236988" w14:textId="77777777" w:rsidR="00FE1FC6" w:rsidRPr="0091055F" w:rsidRDefault="00FE1FC6" w:rsidP="00B36B52">
            <w:pPr>
              <w:pStyle w:val="ExhibitText"/>
              <w:tabs>
                <w:tab w:val="decimal" w:pos="473"/>
              </w:tabs>
              <w:rPr>
                <w:rFonts w:eastAsia="Calibri"/>
                <w:sz w:val="18"/>
                <w:szCs w:val="18"/>
                <w:lang w:val="en-GB"/>
              </w:rPr>
            </w:pPr>
            <w:r w:rsidRPr="0091055F">
              <w:rPr>
                <w:rFonts w:eastAsia="Calibri"/>
                <w:sz w:val="18"/>
                <w:szCs w:val="18"/>
                <w:lang w:val="en-GB"/>
              </w:rPr>
              <w:t>2.5%</w:t>
            </w:r>
          </w:p>
        </w:tc>
        <w:tc>
          <w:tcPr>
            <w:tcW w:w="874" w:type="dxa"/>
          </w:tcPr>
          <w:p w14:paraId="409454DB" w14:textId="77777777" w:rsidR="00FE1FC6" w:rsidRPr="0091055F" w:rsidRDefault="00FE1FC6" w:rsidP="00B36B52">
            <w:pPr>
              <w:pStyle w:val="ExhibitText"/>
              <w:tabs>
                <w:tab w:val="decimal" w:pos="419"/>
              </w:tabs>
              <w:rPr>
                <w:rFonts w:eastAsia="Calibri"/>
                <w:sz w:val="18"/>
                <w:szCs w:val="18"/>
                <w:lang w:val="en-GB"/>
              </w:rPr>
            </w:pPr>
            <w:r w:rsidRPr="0091055F">
              <w:rPr>
                <w:rFonts w:eastAsia="Calibri"/>
                <w:sz w:val="18"/>
                <w:szCs w:val="18"/>
                <w:lang w:val="en-GB"/>
              </w:rPr>
              <w:t>2.9%</w:t>
            </w:r>
          </w:p>
        </w:tc>
        <w:tc>
          <w:tcPr>
            <w:tcW w:w="875" w:type="dxa"/>
          </w:tcPr>
          <w:p w14:paraId="15883638" w14:textId="77777777" w:rsidR="00FE1FC6" w:rsidRPr="0091055F" w:rsidRDefault="00FE1FC6" w:rsidP="00B36B52">
            <w:pPr>
              <w:pStyle w:val="ExhibitText"/>
              <w:tabs>
                <w:tab w:val="decimal" w:pos="374"/>
              </w:tabs>
              <w:rPr>
                <w:rFonts w:eastAsia="Calibri"/>
                <w:sz w:val="18"/>
                <w:szCs w:val="18"/>
                <w:lang w:val="en-GB"/>
              </w:rPr>
            </w:pPr>
            <w:r w:rsidRPr="0091055F">
              <w:rPr>
                <w:rFonts w:eastAsia="Calibri"/>
                <w:sz w:val="18"/>
                <w:szCs w:val="18"/>
                <w:lang w:val="en-GB"/>
              </w:rPr>
              <w:t>2.7%</w:t>
            </w:r>
          </w:p>
        </w:tc>
      </w:tr>
    </w:tbl>
    <w:p w14:paraId="36464700" w14:textId="77777777" w:rsidR="00FE1FC6" w:rsidRPr="0091055F" w:rsidRDefault="00FE1FC6" w:rsidP="00FE1FC6">
      <w:pPr>
        <w:pStyle w:val="ExhibitText"/>
        <w:rPr>
          <w:i/>
          <w:sz w:val="16"/>
          <w:szCs w:val="16"/>
          <w:highlight w:val="white"/>
          <w:lang w:val="en-GB"/>
        </w:rPr>
      </w:pPr>
    </w:p>
    <w:p w14:paraId="56E1B602" w14:textId="76925017" w:rsidR="00FE1FC6" w:rsidRPr="0091055F" w:rsidRDefault="003310D0" w:rsidP="00FE1FC6">
      <w:pPr>
        <w:pStyle w:val="Footnote"/>
        <w:rPr>
          <w:highlight w:val="white"/>
          <w:lang w:val="en-GB"/>
        </w:rPr>
      </w:pPr>
      <w:r>
        <w:rPr>
          <w:highlight w:val="white"/>
          <w:lang w:val="en-GB"/>
        </w:rPr>
        <w:t>Note: FY = fi</w:t>
      </w:r>
      <w:r w:rsidR="00904B18">
        <w:rPr>
          <w:highlight w:val="white"/>
          <w:lang w:val="en-GB"/>
        </w:rPr>
        <w:t>s</w:t>
      </w:r>
      <w:r>
        <w:rPr>
          <w:highlight w:val="white"/>
          <w:lang w:val="en-GB"/>
        </w:rPr>
        <w:t xml:space="preserve">cal year; </w:t>
      </w:r>
      <w:r w:rsidR="00FE1FC6" w:rsidRPr="0091055F">
        <w:rPr>
          <w:highlight w:val="white"/>
          <w:lang w:val="en-GB"/>
        </w:rPr>
        <w:t xml:space="preserve">LTR = </w:t>
      </w:r>
      <w:r>
        <w:rPr>
          <w:highlight w:val="white"/>
          <w:lang w:val="en-GB"/>
        </w:rPr>
        <w:t>l</w:t>
      </w:r>
      <w:r w:rsidR="00FE1FC6" w:rsidRPr="0091055F">
        <w:rPr>
          <w:highlight w:val="white"/>
          <w:lang w:val="en-GB"/>
        </w:rPr>
        <w:t xml:space="preserve">oan to </w:t>
      </w:r>
      <w:r>
        <w:rPr>
          <w:highlight w:val="white"/>
          <w:lang w:val="en-GB"/>
        </w:rPr>
        <w:t>r</w:t>
      </w:r>
      <w:r w:rsidR="00FE1FC6" w:rsidRPr="0091055F">
        <w:rPr>
          <w:highlight w:val="white"/>
          <w:lang w:val="en-GB"/>
        </w:rPr>
        <w:t xml:space="preserve">evenue (also referred to as </w:t>
      </w:r>
      <w:r>
        <w:rPr>
          <w:highlight w:val="white"/>
          <w:lang w:val="en-GB"/>
        </w:rPr>
        <w:t>d</w:t>
      </w:r>
      <w:r w:rsidR="00FE1FC6" w:rsidRPr="0091055F">
        <w:rPr>
          <w:highlight w:val="white"/>
          <w:lang w:val="en-GB"/>
        </w:rPr>
        <w:t xml:space="preserve">ebt to </w:t>
      </w:r>
      <w:r>
        <w:rPr>
          <w:highlight w:val="white"/>
          <w:lang w:val="en-GB"/>
        </w:rPr>
        <w:t>i</w:t>
      </w:r>
      <w:r w:rsidR="00FE1FC6" w:rsidRPr="0091055F">
        <w:rPr>
          <w:highlight w:val="white"/>
          <w:lang w:val="en-GB"/>
        </w:rPr>
        <w:t xml:space="preserve">ncome); COGS = </w:t>
      </w:r>
      <w:r>
        <w:rPr>
          <w:highlight w:val="white"/>
          <w:lang w:val="en-GB"/>
        </w:rPr>
        <w:t>c</w:t>
      </w:r>
      <w:r w:rsidR="00FE1FC6" w:rsidRPr="0091055F">
        <w:rPr>
          <w:highlight w:val="white"/>
          <w:lang w:val="en-GB"/>
        </w:rPr>
        <w:t xml:space="preserve">ost </w:t>
      </w:r>
      <w:r>
        <w:rPr>
          <w:highlight w:val="white"/>
          <w:lang w:val="en-GB"/>
        </w:rPr>
        <w:t>o</w:t>
      </w:r>
      <w:r w:rsidR="00FE1FC6" w:rsidRPr="0091055F">
        <w:rPr>
          <w:highlight w:val="white"/>
          <w:lang w:val="en-GB"/>
        </w:rPr>
        <w:t xml:space="preserve">f </w:t>
      </w:r>
      <w:r>
        <w:rPr>
          <w:highlight w:val="white"/>
          <w:lang w:val="en-GB"/>
        </w:rPr>
        <w:t>g</w:t>
      </w:r>
      <w:r w:rsidR="00FE1FC6" w:rsidRPr="0091055F">
        <w:rPr>
          <w:highlight w:val="white"/>
          <w:lang w:val="en-GB"/>
        </w:rPr>
        <w:t xml:space="preserve">oods </w:t>
      </w:r>
      <w:r>
        <w:rPr>
          <w:highlight w:val="white"/>
          <w:lang w:val="en-GB"/>
        </w:rPr>
        <w:t>s</w:t>
      </w:r>
      <w:r w:rsidR="00FE1FC6" w:rsidRPr="0091055F">
        <w:rPr>
          <w:highlight w:val="white"/>
          <w:lang w:val="en-GB"/>
        </w:rPr>
        <w:t xml:space="preserve">old; OH = </w:t>
      </w:r>
      <w:r>
        <w:rPr>
          <w:highlight w:val="white"/>
          <w:lang w:val="en-GB"/>
        </w:rPr>
        <w:t>o</w:t>
      </w:r>
      <w:r w:rsidR="00FE1FC6" w:rsidRPr="0091055F">
        <w:rPr>
          <w:highlight w:val="white"/>
          <w:lang w:val="en-GB"/>
        </w:rPr>
        <w:t xml:space="preserve">verhead; R&amp;D = </w:t>
      </w:r>
      <w:r>
        <w:rPr>
          <w:highlight w:val="white"/>
          <w:lang w:val="en-GB"/>
        </w:rPr>
        <w:t>r</w:t>
      </w:r>
      <w:r w:rsidR="00FE1FC6" w:rsidRPr="0091055F">
        <w:rPr>
          <w:highlight w:val="white"/>
          <w:lang w:val="en-GB"/>
        </w:rPr>
        <w:t xml:space="preserve">esearch and </w:t>
      </w:r>
      <w:r>
        <w:rPr>
          <w:highlight w:val="white"/>
          <w:lang w:val="en-GB"/>
        </w:rPr>
        <w:t>d</w:t>
      </w:r>
      <w:r w:rsidR="00FE1FC6" w:rsidRPr="0091055F">
        <w:rPr>
          <w:highlight w:val="white"/>
          <w:lang w:val="en-GB"/>
        </w:rPr>
        <w:t>evelopment; *FY17</w:t>
      </w:r>
      <w:r>
        <w:rPr>
          <w:highlight w:val="white"/>
          <w:lang w:val="en-GB"/>
        </w:rPr>
        <w:t>–</w:t>
      </w:r>
      <w:r w:rsidR="00FE1FC6" w:rsidRPr="0091055F">
        <w:rPr>
          <w:highlight w:val="white"/>
          <w:lang w:val="en-GB"/>
        </w:rPr>
        <w:t>FY19 are estimates.</w:t>
      </w:r>
    </w:p>
    <w:p w14:paraId="2C105B0C" w14:textId="3345EFFA" w:rsidR="00FE1FC6" w:rsidRPr="0091055F" w:rsidRDefault="00FE1FC6" w:rsidP="00FE1FC6">
      <w:pPr>
        <w:pStyle w:val="Footnote"/>
        <w:rPr>
          <w:highlight w:val="white"/>
          <w:lang w:val="en-GB"/>
        </w:rPr>
      </w:pPr>
      <w:r w:rsidRPr="0091055F">
        <w:rPr>
          <w:highlight w:val="white"/>
          <w:lang w:val="en-GB"/>
        </w:rPr>
        <w:t xml:space="preserve">Source: Compiled by authors based on </w:t>
      </w:r>
      <w:r w:rsidR="00A857DB">
        <w:rPr>
          <w:highlight w:val="white"/>
          <w:lang w:val="en-GB"/>
        </w:rPr>
        <w:t xml:space="preserve">company </w:t>
      </w:r>
      <w:r w:rsidRPr="0091055F">
        <w:rPr>
          <w:highlight w:val="white"/>
          <w:lang w:val="en-GB"/>
        </w:rPr>
        <w:t>data</w:t>
      </w:r>
      <w:r w:rsidR="00A857DB">
        <w:rPr>
          <w:highlight w:val="white"/>
          <w:lang w:val="en-GB"/>
        </w:rPr>
        <w:t>.</w:t>
      </w:r>
    </w:p>
    <w:p w14:paraId="0A81998E" w14:textId="1986F5EA" w:rsidR="00FE1FC6" w:rsidRDefault="00FE1FC6" w:rsidP="00FE1FC6">
      <w:pPr>
        <w:pStyle w:val="BodyTextMain"/>
        <w:rPr>
          <w:sz w:val="16"/>
          <w:highlight w:val="white"/>
          <w:lang w:val="en-GB"/>
        </w:rPr>
      </w:pPr>
    </w:p>
    <w:p w14:paraId="6994DD4F" w14:textId="77777777" w:rsidR="001621CC" w:rsidRPr="00B36B52" w:rsidRDefault="001621CC" w:rsidP="00FE1FC6">
      <w:pPr>
        <w:pStyle w:val="BodyTextMain"/>
        <w:rPr>
          <w:sz w:val="16"/>
          <w:highlight w:val="white"/>
          <w:lang w:val="en-GB"/>
        </w:rPr>
      </w:pPr>
    </w:p>
    <w:p w14:paraId="5E2A532C" w14:textId="77777777" w:rsidR="00FE1FC6" w:rsidRPr="001621CC" w:rsidRDefault="00FE1FC6" w:rsidP="001621CC">
      <w:pPr>
        <w:pStyle w:val="ExhibitHeading"/>
        <w:rPr>
          <w:highlight w:val="white"/>
        </w:rPr>
      </w:pPr>
      <w:r w:rsidRPr="001621CC">
        <w:rPr>
          <w:highlight w:val="white"/>
        </w:rPr>
        <w:t>EXHIBIT 2: 2017 GLOBAL SKINCARE PRODUCTS MARKET CATEGORY SEGMENTATION</w:t>
      </w:r>
    </w:p>
    <w:p w14:paraId="2296CAFA" w14:textId="77777777" w:rsidR="00FE1FC6" w:rsidRPr="00B36B52" w:rsidRDefault="00FE1FC6" w:rsidP="00FE1FC6">
      <w:pPr>
        <w:pStyle w:val="BodyTextMain"/>
        <w:jc w:val="center"/>
        <w:rPr>
          <w:sz w:val="16"/>
          <w:highlight w:val="white"/>
          <w:lang w:val="en-GB"/>
        </w:rPr>
      </w:pPr>
    </w:p>
    <w:tbl>
      <w:tblPr>
        <w:tblStyle w:val="TableGrid"/>
        <w:tblW w:w="5765" w:type="dxa"/>
        <w:jc w:val="center"/>
        <w:tblLayout w:type="fixed"/>
        <w:tblLook w:val="04A0" w:firstRow="1" w:lastRow="0" w:firstColumn="1" w:lastColumn="0" w:noHBand="0" w:noVBand="1"/>
      </w:tblPr>
      <w:tblGrid>
        <w:gridCol w:w="2250"/>
        <w:gridCol w:w="2795"/>
        <w:gridCol w:w="720"/>
      </w:tblGrid>
      <w:tr w:rsidR="00FE1FC6" w:rsidRPr="0091055F" w14:paraId="0854862E" w14:textId="77777777" w:rsidTr="007C4CF6">
        <w:trPr>
          <w:jc w:val="center"/>
        </w:trPr>
        <w:tc>
          <w:tcPr>
            <w:tcW w:w="2250" w:type="dxa"/>
            <w:vAlign w:val="center"/>
          </w:tcPr>
          <w:p w14:paraId="18C5B8BF" w14:textId="77777777" w:rsidR="00FE1FC6" w:rsidRPr="0091055F" w:rsidRDefault="00FE1FC6" w:rsidP="00FE1FC6">
            <w:pPr>
              <w:pStyle w:val="ExhibitText"/>
              <w:jc w:val="left"/>
              <w:rPr>
                <w:b/>
                <w:sz w:val="18"/>
                <w:szCs w:val="18"/>
                <w:lang w:val="en-GB"/>
              </w:rPr>
            </w:pPr>
            <w:r w:rsidRPr="0091055F">
              <w:rPr>
                <w:b/>
                <w:sz w:val="18"/>
                <w:szCs w:val="18"/>
                <w:lang w:val="en-GB"/>
              </w:rPr>
              <w:t>Category</w:t>
            </w:r>
          </w:p>
        </w:tc>
        <w:tc>
          <w:tcPr>
            <w:tcW w:w="2795" w:type="dxa"/>
            <w:vAlign w:val="center"/>
          </w:tcPr>
          <w:p w14:paraId="744D313A" w14:textId="53A6F4F6" w:rsidR="00FE1FC6" w:rsidRPr="0091055F" w:rsidRDefault="003310D0" w:rsidP="00FE1FC6">
            <w:pPr>
              <w:pStyle w:val="ExhibitText"/>
              <w:jc w:val="center"/>
              <w:rPr>
                <w:b/>
                <w:sz w:val="18"/>
                <w:szCs w:val="18"/>
                <w:lang w:val="en-GB"/>
              </w:rPr>
            </w:pPr>
            <w:r>
              <w:rPr>
                <w:b/>
                <w:sz w:val="18"/>
                <w:szCs w:val="18"/>
                <w:lang w:val="en-GB"/>
              </w:rPr>
              <w:t>Value (in US</w:t>
            </w:r>
            <w:r w:rsidR="00FE1FC6" w:rsidRPr="0091055F">
              <w:rPr>
                <w:b/>
                <w:sz w:val="18"/>
                <w:szCs w:val="18"/>
                <w:lang w:val="en-GB"/>
              </w:rPr>
              <w:t xml:space="preserve">$ </w:t>
            </w:r>
            <w:r>
              <w:rPr>
                <w:b/>
                <w:sz w:val="18"/>
                <w:szCs w:val="18"/>
                <w:lang w:val="en-GB"/>
              </w:rPr>
              <w:t>b</w:t>
            </w:r>
            <w:r w:rsidR="00FE1FC6" w:rsidRPr="0091055F">
              <w:rPr>
                <w:b/>
                <w:sz w:val="18"/>
                <w:szCs w:val="18"/>
                <w:lang w:val="en-GB"/>
              </w:rPr>
              <w:t>illion</w:t>
            </w:r>
            <w:r>
              <w:rPr>
                <w:b/>
                <w:sz w:val="18"/>
                <w:szCs w:val="18"/>
                <w:lang w:val="en-GB"/>
              </w:rPr>
              <w:t>s</w:t>
            </w:r>
            <w:r w:rsidR="00FE1FC6" w:rsidRPr="0091055F">
              <w:rPr>
                <w:b/>
                <w:sz w:val="18"/>
                <w:szCs w:val="18"/>
                <w:lang w:val="en-GB"/>
              </w:rPr>
              <w:t>)</w:t>
            </w:r>
          </w:p>
        </w:tc>
        <w:tc>
          <w:tcPr>
            <w:tcW w:w="720" w:type="dxa"/>
            <w:vAlign w:val="center"/>
          </w:tcPr>
          <w:p w14:paraId="506686F7" w14:textId="77777777" w:rsidR="00FE1FC6" w:rsidRPr="0091055F" w:rsidRDefault="00FE1FC6" w:rsidP="00FE1FC6">
            <w:pPr>
              <w:pStyle w:val="ExhibitText"/>
              <w:jc w:val="center"/>
              <w:rPr>
                <w:b/>
                <w:sz w:val="18"/>
                <w:szCs w:val="18"/>
                <w:lang w:val="en-GB"/>
              </w:rPr>
            </w:pPr>
            <w:r w:rsidRPr="0091055F">
              <w:rPr>
                <w:b/>
                <w:sz w:val="18"/>
                <w:szCs w:val="18"/>
                <w:lang w:val="en-GB"/>
              </w:rPr>
              <w:t>%</w:t>
            </w:r>
          </w:p>
        </w:tc>
      </w:tr>
      <w:tr w:rsidR="00FE1FC6" w:rsidRPr="0091055F" w14:paraId="7F856C52" w14:textId="77777777" w:rsidTr="007C4CF6">
        <w:trPr>
          <w:jc w:val="center"/>
        </w:trPr>
        <w:tc>
          <w:tcPr>
            <w:tcW w:w="2250" w:type="dxa"/>
          </w:tcPr>
          <w:p w14:paraId="2DAC3B06" w14:textId="77777777" w:rsidR="00FE1FC6" w:rsidRPr="0091055F" w:rsidRDefault="00FE1FC6" w:rsidP="00FE1FC6">
            <w:pPr>
              <w:pStyle w:val="ExhibitText"/>
              <w:rPr>
                <w:sz w:val="18"/>
                <w:szCs w:val="18"/>
                <w:lang w:val="en-GB"/>
              </w:rPr>
            </w:pPr>
            <w:r w:rsidRPr="0091055F">
              <w:rPr>
                <w:sz w:val="18"/>
                <w:szCs w:val="18"/>
                <w:lang w:val="en-GB"/>
              </w:rPr>
              <w:t>Facial Care</w:t>
            </w:r>
          </w:p>
        </w:tc>
        <w:tc>
          <w:tcPr>
            <w:tcW w:w="2795" w:type="dxa"/>
            <w:vAlign w:val="center"/>
          </w:tcPr>
          <w:p w14:paraId="43612461" w14:textId="77777777" w:rsidR="00FE1FC6" w:rsidRPr="0091055F" w:rsidRDefault="00FE1FC6" w:rsidP="00B36B52">
            <w:pPr>
              <w:pStyle w:val="ExhibitText"/>
              <w:tabs>
                <w:tab w:val="decimal" w:pos="1330"/>
              </w:tabs>
              <w:rPr>
                <w:sz w:val="18"/>
                <w:szCs w:val="18"/>
                <w:lang w:val="en-GB"/>
              </w:rPr>
            </w:pPr>
            <w:r w:rsidRPr="0091055F">
              <w:rPr>
                <w:sz w:val="18"/>
                <w:szCs w:val="18"/>
                <w:lang w:val="en-GB"/>
              </w:rPr>
              <w:t>97.4</w:t>
            </w:r>
          </w:p>
        </w:tc>
        <w:tc>
          <w:tcPr>
            <w:tcW w:w="720" w:type="dxa"/>
            <w:vAlign w:val="center"/>
          </w:tcPr>
          <w:p w14:paraId="00BD76DB" w14:textId="77777777" w:rsidR="00FE1FC6" w:rsidRPr="0091055F" w:rsidRDefault="00FE1FC6" w:rsidP="00B36B52">
            <w:pPr>
              <w:pStyle w:val="ExhibitText"/>
              <w:tabs>
                <w:tab w:val="decimal" w:pos="330"/>
              </w:tabs>
              <w:rPr>
                <w:sz w:val="18"/>
                <w:szCs w:val="18"/>
                <w:lang w:val="en-GB"/>
              </w:rPr>
            </w:pPr>
            <w:r w:rsidRPr="0091055F">
              <w:rPr>
                <w:sz w:val="18"/>
                <w:szCs w:val="18"/>
                <w:lang w:val="en-GB"/>
              </w:rPr>
              <w:t>80.5</w:t>
            </w:r>
          </w:p>
        </w:tc>
      </w:tr>
      <w:tr w:rsidR="00FE1FC6" w:rsidRPr="0091055F" w14:paraId="30F6CCF7" w14:textId="77777777" w:rsidTr="007C4CF6">
        <w:trPr>
          <w:jc w:val="center"/>
        </w:trPr>
        <w:tc>
          <w:tcPr>
            <w:tcW w:w="2250" w:type="dxa"/>
          </w:tcPr>
          <w:p w14:paraId="3C9991E8" w14:textId="77777777" w:rsidR="00FE1FC6" w:rsidRPr="0091055F" w:rsidRDefault="00FE1FC6" w:rsidP="00FE1FC6">
            <w:pPr>
              <w:pStyle w:val="ExhibitText"/>
              <w:rPr>
                <w:sz w:val="18"/>
                <w:szCs w:val="18"/>
                <w:lang w:val="en-GB"/>
              </w:rPr>
            </w:pPr>
            <w:r w:rsidRPr="0091055F">
              <w:rPr>
                <w:sz w:val="18"/>
                <w:szCs w:val="18"/>
                <w:lang w:val="en-GB"/>
              </w:rPr>
              <w:t>Body Care</w:t>
            </w:r>
          </w:p>
        </w:tc>
        <w:tc>
          <w:tcPr>
            <w:tcW w:w="2795" w:type="dxa"/>
            <w:vAlign w:val="center"/>
          </w:tcPr>
          <w:p w14:paraId="6A7F49EB" w14:textId="77777777" w:rsidR="00FE1FC6" w:rsidRPr="0091055F" w:rsidRDefault="00FE1FC6" w:rsidP="00B36B52">
            <w:pPr>
              <w:pStyle w:val="ExhibitText"/>
              <w:tabs>
                <w:tab w:val="decimal" w:pos="1330"/>
              </w:tabs>
              <w:rPr>
                <w:sz w:val="18"/>
                <w:szCs w:val="18"/>
                <w:lang w:val="en-GB"/>
              </w:rPr>
            </w:pPr>
            <w:r w:rsidRPr="0091055F">
              <w:rPr>
                <w:sz w:val="18"/>
                <w:szCs w:val="18"/>
                <w:lang w:val="en-GB"/>
              </w:rPr>
              <w:t>15.6</w:t>
            </w:r>
          </w:p>
        </w:tc>
        <w:tc>
          <w:tcPr>
            <w:tcW w:w="720" w:type="dxa"/>
            <w:vAlign w:val="center"/>
          </w:tcPr>
          <w:p w14:paraId="3043B801" w14:textId="073510DA" w:rsidR="00FE1FC6" w:rsidRPr="0091055F" w:rsidRDefault="00FE1FC6" w:rsidP="00B36B52">
            <w:pPr>
              <w:pStyle w:val="ExhibitText"/>
              <w:tabs>
                <w:tab w:val="decimal" w:pos="330"/>
              </w:tabs>
              <w:rPr>
                <w:sz w:val="18"/>
                <w:szCs w:val="18"/>
                <w:lang w:val="en-GB"/>
              </w:rPr>
            </w:pPr>
            <w:r w:rsidRPr="0091055F">
              <w:rPr>
                <w:sz w:val="18"/>
                <w:szCs w:val="18"/>
                <w:lang w:val="en-GB"/>
              </w:rPr>
              <w:t>13</w:t>
            </w:r>
            <w:r w:rsidR="00904B18">
              <w:rPr>
                <w:sz w:val="18"/>
                <w:szCs w:val="18"/>
                <w:lang w:val="en-GB"/>
              </w:rPr>
              <w:t>.0</w:t>
            </w:r>
          </w:p>
        </w:tc>
      </w:tr>
      <w:tr w:rsidR="00FE1FC6" w:rsidRPr="0091055F" w14:paraId="09198BCE" w14:textId="77777777" w:rsidTr="007C4CF6">
        <w:trPr>
          <w:jc w:val="center"/>
        </w:trPr>
        <w:tc>
          <w:tcPr>
            <w:tcW w:w="2250" w:type="dxa"/>
          </w:tcPr>
          <w:p w14:paraId="0721E7F7" w14:textId="77777777" w:rsidR="00FE1FC6" w:rsidRPr="0091055F" w:rsidRDefault="00FE1FC6" w:rsidP="00FE1FC6">
            <w:pPr>
              <w:pStyle w:val="ExhibitText"/>
              <w:rPr>
                <w:sz w:val="18"/>
                <w:szCs w:val="18"/>
                <w:lang w:val="en-GB"/>
              </w:rPr>
            </w:pPr>
            <w:r w:rsidRPr="0091055F">
              <w:rPr>
                <w:sz w:val="18"/>
                <w:szCs w:val="18"/>
                <w:lang w:val="en-GB"/>
              </w:rPr>
              <w:t>Hand Care</w:t>
            </w:r>
          </w:p>
        </w:tc>
        <w:tc>
          <w:tcPr>
            <w:tcW w:w="2795" w:type="dxa"/>
            <w:vAlign w:val="center"/>
          </w:tcPr>
          <w:p w14:paraId="3ACCA61A" w14:textId="77777777" w:rsidR="00FE1FC6" w:rsidRPr="0091055F" w:rsidRDefault="00FE1FC6" w:rsidP="00B36B52">
            <w:pPr>
              <w:pStyle w:val="ExhibitText"/>
              <w:tabs>
                <w:tab w:val="decimal" w:pos="1330"/>
              </w:tabs>
              <w:rPr>
                <w:sz w:val="18"/>
                <w:szCs w:val="18"/>
                <w:lang w:val="en-GB"/>
              </w:rPr>
            </w:pPr>
            <w:r w:rsidRPr="0091055F">
              <w:rPr>
                <w:sz w:val="18"/>
                <w:szCs w:val="18"/>
                <w:lang w:val="en-GB"/>
              </w:rPr>
              <w:t>3.1</w:t>
            </w:r>
          </w:p>
        </w:tc>
        <w:tc>
          <w:tcPr>
            <w:tcW w:w="720" w:type="dxa"/>
            <w:vAlign w:val="center"/>
          </w:tcPr>
          <w:p w14:paraId="580D1633" w14:textId="77777777" w:rsidR="00FE1FC6" w:rsidRPr="0091055F" w:rsidRDefault="00FE1FC6" w:rsidP="00B36B52">
            <w:pPr>
              <w:pStyle w:val="ExhibitText"/>
              <w:tabs>
                <w:tab w:val="decimal" w:pos="330"/>
              </w:tabs>
              <w:rPr>
                <w:sz w:val="18"/>
                <w:szCs w:val="18"/>
                <w:lang w:val="en-GB"/>
              </w:rPr>
            </w:pPr>
            <w:r w:rsidRPr="0091055F">
              <w:rPr>
                <w:sz w:val="18"/>
                <w:szCs w:val="18"/>
                <w:lang w:val="en-GB"/>
              </w:rPr>
              <w:t>2.5</w:t>
            </w:r>
          </w:p>
        </w:tc>
      </w:tr>
      <w:tr w:rsidR="00FE1FC6" w:rsidRPr="0091055F" w14:paraId="2F59F774" w14:textId="77777777" w:rsidTr="007C4CF6">
        <w:trPr>
          <w:jc w:val="center"/>
        </w:trPr>
        <w:tc>
          <w:tcPr>
            <w:tcW w:w="2250" w:type="dxa"/>
          </w:tcPr>
          <w:p w14:paraId="3415192E" w14:textId="77777777" w:rsidR="00FE1FC6" w:rsidRPr="0091055F" w:rsidRDefault="00FE1FC6" w:rsidP="00FE1FC6">
            <w:pPr>
              <w:pStyle w:val="ExhibitText"/>
              <w:rPr>
                <w:sz w:val="18"/>
                <w:szCs w:val="18"/>
                <w:lang w:val="en-GB"/>
              </w:rPr>
            </w:pPr>
            <w:r w:rsidRPr="0091055F">
              <w:rPr>
                <w:sz w:val="18"/>
                <w:szCs w:val="18"/>
                <w:lang w:val="en-GB"/>
              </w:rPr>
              <w:t>Make-up Remover</w:t>
            </w:r>
          </w:p>
        </w:tc>
        <w:tc>
          <w:tcPr>
            <w:tcW w:w="2795" w:type="dxa"/>
            <w:vAlign w:val="center"/>
          </w:tcPr>
          <w:p w14:paraId="2873CE28" w14:textId="77777777" w:rsidR="00FE1FC6" w:rsidRPr="0091055F" w:rsidRDefault="00FE1FC6" w:rsidP="00B36B52">
            <w:pPr>
              <w:pStyle w:val="ExhibitText"/>
              <w:tabs>
                <w:tab w:val="decimal" w:pos="1330"/>
              </w:tabs>
              <w:rPr>
                <w:sz w:val="18"/>
                <w:szCs w:val="18"/>
                <w:lang w:val="en-GB"/>
              </w:rPr>
            </w:pPr>
            <w:r w:rsidRPr="0091055F">
              <w:rPr>
                <w:sz w:val="18"/>
                <w:szCs w:val="18"/>
                <w:lang w:val="en-GB"/>
              </w:rPr>
              <w:t>2.3</w:t>
            </w:r>
          </w:p>
        </w:tc>
        <w:tc>
          <w:tcPr>
            <w:tcW w:w="720" w:type="dxa"/>
            <w:vAlign w:val="center"/>
          </w:tcPr>
          <w:p w14:paraId="7DB8A334" w14:textId="7B5196B0" w:rsidR="00FE1FC6" w:rsidRPr="0091055F" w:rsidRDefault="00FE1FC6" w:rsidP="00B36B52">
            <w:pPr>
              <w:pStyle w:val="ExhibitText"/>
              <w:tabs>
                <w:tab w:val="decimal" w:pos="330"/>
              </w:tabs>
              <w:rPr>
                <w:sz w:val="18"/>
                <w:szCs w:val="18"/>
                <w:lang w:val="en-GB"/>
              </w:rPr>
            </w:pPr>
            <w:r w:rsidRPr="0091055F">
              <w:rPr>
                <w:sz w:val="18"/>
                <w:szCs w:val="18"/>
                <w:lang w:val="en-GB"/>
              </w:rPr>
              <w:t>2</w:t>
            </w:r>
            <w:r w:rsidR="00904B18">
              <w:rPr>
                <w:sz w:val="18"/>
                <w:szCs w:val="18"/>
                <w:lang w:val="en-GB"/>
              </w:rPr>
              <w:t>.0</w:t>
            </w:r>
          </w:p>
        </w:tc>
      </w:tr>
      <w:tr w:rsidR="00FE1FC6" w:rsidRPr="0091055F" w14:paraId="64BC8618" w14:textId="77777777" w:rsidTr="007C4CF6">
        <w:trPr>
          <w:jc w:val="center"/>
        </w:trPr>
        <w:tc>
          <w:tcPr>
            <w:tcW w:w="2250" w:type="dxa"/>
          </w:tcPr>
          <w:p w14:paraId="2976F6D5" w14:textId="77777777" w:rsidR="00FE1FC6" w:rsidRPr="0091055F" w:rsidRDefault="00FE1FC6" w:rsidP="00FE1FC6">
            <w:pPr>
              <w:pStyle w:val="ExhibitText"/>
              <w:rPr>
                <w:sz w:val="18"/>
                <w:szCs w:val="18"/>
                <w:lang w:val="en-GB"/>
              </w:rPr>
            </w:pPr>
            <w:r w:rsidRPr="0091055F">
              <w:rPr>
                <w:sz w:val="18"/>
                <w:szCs w:val="18"/>
                <w:lang w:val="en-GB"/>
              </w:rPr>
              <w:t>Depilatories</w:t>
            </w:r>
          </w:p>
        </w:tc>
        <w:tc>
          <w:tcPr>
            <w:tcW w:w="2795" w:type="dxa"/>
            <w:vAlign w:val="center"/>
          </w:tcPr>
          <w:p w14:paraId="53E80D1D" w14:textId="77777777" w:rsidR="00FE1FC6" w:rsidRPr="0091055F" w:rsidRDefault="00FE1FC6" w:rsidP="00B36B52">
            <w:pPr>
              <w:pStyle w:val="ExhibitText"/>
              <w:tabs>
                <w:tab w:val="decimal" w:pos="1330"/>
              </w:tabs>
              <w:rPr>
                <w:sz w:val="18"/>
                <w:szCs w:val="18"/>
                <w:lang w:val="en-GB"/>
              </w:rPr>
            </w:pPr>
            <w:r w:rsidRPr="0091055F">
              <w:rPr>
                <w:sz w:val="18"/>
                <w:szCs w:val="18"/>
                <w:lang w:val="en-GB"/>
              </w:rPr>
              <w:t>2.3</w:t>
            </w:r>
          </w:p>
        </w:tc>
        <w:tc>
          <w:tcPr>
            <w:tcW w:w="720" w:type="dxa"/>
            <w:vAlign w:val="center"/>
          </w:tcPr>
          <w:p w14:paraId="084BF32C" w14:textId="49DFD7A7" w:rsidR="00FE1FC6" w:rsidRPr="0091055F" w:rsidRDefault="00FE1FC6" w:rsidP="00B36B52">
            <w:pPr>
              <w:pStyle w:val="ExhibitText"/>
              <w:tabs>
                <w:tab w:val="decimal" w:pos="330"/>
              </w:tabs>
              <w:rPr>
                <w:sz w:val="18"/>
                <w:szCs w:val="18"/>
                <w:lang w:val="en-GB"/>
              </w:rPr>
            </w:pPr>
            <w:r w:rsidRPr="0091055F">
              <w:rPr>
                <w:sz w:val="18"/>
                <w:szCs w:val="18"/>
                <w:lang w:val="en-GB"/>
              </w:rPr>
              <w:t>2</w:t>
            </w:r>
            <w:r w:rsidR="00904B18">
              <w:rPr>
                <w:sz w:val="18"/>
                <w:szCs w:val="18"/>
                <w:lang w:val="en-GB"/>
              </w:rPr>
              <w:t>.0</w:t>
            </w:r>
          </w:p>
        </w:tc>
      </w:tr>
      <w:tr w:rsidR="00FE1FC6" w:rsidRPr="0091055F" w14:paraId="114A8B27" w14:textId="77777777" w:rsidTr="007C4CF6">
        <w:trPr>
          <w:jc w:val="center"/>
        </w:trPr>
        <w:tc>
          <w:tcPr>
            <w:tcW w:w="2250" w:type="dxa"/>
          </w:tcPr>
          <w:p w14:paraId="2F713FE1" w14:textId="77777777" w:rsidR="00FE1FC6" w:rsidRPr="0091055F" w:rsidRDefault="00FE1FC6" w:rsidP="00FE1FC6">
            <w:pPr>
              <w:pStyle w:val="ExhibitText"/>
              <w:rPr>
                <w:sz w:val="18"/>
                <w:szCs w:val="18"/>
                <w:lang w:val="en-GB"/>
              </w:rPr>
            </w:pPr>
            <w:r w:rsidRPr="0091055F">
              <w:rPr>
                <w:sz w:val="18"/>
                <w:szCs w:val="18"/>
                <w:lang w:val="en-GB"/>
              </w:rPr>
              <w:t>Total</w:t>
            </w:r>
          </w:p>
        </w:tc>
        <w:tc>
          <w:tcPr>
            <w:tcW w:w="2795" w:type="dxa"/>
            <w:vAlign w:val="center"/>
          </w:tcPr>
          <w:p w14:paraId="26AC6991" w14:textId="77777777" w:rsidR="00FE1FC6" w:rsidRPr="0091055F" w:rsidRDefault="00FE1FC6" w:rsidP="00B36B52">
            <w:pPr>
              <w:pStyle w:val="ExhibitText"/>
              <w:tabs>
                <w:tab w:val="decimal" w:pos="1330"/>
              </w:tabs>
              <w:rPr>
                <w:sz w:val="18"/>
                <w:szCs w:val="18"/>
                <w:lang w:val="en-GB"/>
              </w:rPr>
            </w:pPr>
            <w:r w:rsidRPr="0091055F">
              <w:rPr>
                <w:sz w:val="18"/>
                <w:szCs w:val="18"/>
                <w:lang w:val="en-GB"/>
              </w:rPr>
              <w:t>120.7</w:t>
            </w:r>
          </w:p>
        </w:tc>
        <w:tc>
          <w:tcPr>
            <w:tcW w:w="720" w:type="dxa"/>
            <w:vAlign w:val="center"/>
          </w:tcPr>
          <w:p w14:paraId="3F5A9673" w14:textId="41E2A44E" w:rsidR="00FE1FC6" w:rsidRPr="0091055F" w:rsidRDefault="00FE1FC6" w:rsidP="00B36B52">
            <w:pPr>
              <w:pStyle w:val="ExhibitText"/>
              <w:tabs>
                <w:tab w:val="decimal" w:pos="330"/>
              </w:tabs>
              <w:rPr>
                <w:sz w:val="18"/>
                <w:szCs w:val="18"/>
                <w:lang w:val="en-GB"/>
              </w:rPr>
            </w:pPr>
            <w:r w:rsidRPr="0091055F">
              <w:rPr>
                <w:sz w:val="18"/>
                <w:szCs w:val="18"/>
                <w:lang w:val="en-GB"/>
              </w:rPr>
              <w:t>100</w:t>
            </w:r>
            <w:r w:rsidR="00904B18">
              <w:rPr>
                <w:sz w:val="18"/>
                <w:szCs w:val="18"/>
                <w:lang w:val="en-GB"/>
              </w:rPr>
              <w:t>.0</w:t>
            </w:r>
          </w:p>
        </w:tc>
      </w:tr>
    </w:tbl>
    <w:p w14:paraId="267F3E92" w14:textId="77777777" w:rsidR="00FE1FC6" w:rsidRPr="00B36B52" w:rsidRDefault="00FE1FC6" w:rsidP="00FE1FC6">
      <w:pPr>
        <w:pStyle w:val="BodyTextMain"/>
        <w:rPr>
          <w:sz w:val="18"/>
          <w:lang w:val="en-GB"/>
        </w:rPr>
      </w:pPr>
    </w:p>
    <w:p w14:paraId="73C914AE" w14:textId="1C2090EA" w:rsidR="00FE1FC6" w:rsidRPr="001D428A" w:rsidRDefault="00FE1FC6" w:rsidP="00FE1FC6">
      <w:pPr>
        <w:pStyle w:val="Footnote"/>
        <w:rPr>
          <w:lang w:val="en-GB"/>
        </w:rPr>
      </w:pPr>
      <w:r w:rsidRPr="0091055F">
        <w:rPr>
          <w:lang w:val="en-GB"/>
        </w:rPr>
        <w:t xml:space="preserve">Source: </w:t>
      </w:r>
      <w:r w:rsidR="003310D0">
        <w:rPr>
          <w:lang w:val="en-GB"/>
        </w:rPr>
        <w:t>R</w:t>
      </w:r>
      <w:r w:rsidRPr="0091055F">
        <w:rPr>
          <w:lang w:val="en-GB"/>
        </w:rPr>
        <w:t xml:space="preserve">eformatted by </w:t>
      </w:r>
      <w:r w:rsidR="003310D0">
        <w:rPr>
          <w:lang w:val="en-GB"/>
        </w:rPr>
        <w:t xml:space="preserve">the </w:t>
      </w:r>
      <w:r w:rsidRPr="0091055F">
        <w:rPr>
          <w:lang w:val="en-GB"/>
        </w:rPr>
        <w:t>authors from Marketline,</w:t>
      </w:r>
      <w:r w:rsidR="00B36B52">
        <w:rPr>
          <w:lang w:val="en-GB"/>
        </w:rPr>
        <w:t xml:space="preserve"> </w:t>
      </w:r>
      <w:r w:rsidRPr="0091055F">
        <w:rPr>
          <w:lang w:val="en-GB"/>
        </w:rPr>
        <w:t xml:space="preserve">“Global Skincare,” </w:t>
      </w:r>
      <w:r w:rsidR="0028059F">
        <w:rPr>
          <w:lang w:val="en-GB"/>
        </w:rPr>
        <w:t xml:space="preserve">2, </w:t>
      </w:r>
      <w:r w:rsidRPr="0091055F">
        <w:rPr>
          <w:lang w:val="en-GB"/>
        </w:rPr>
        <w:t>MarketLine Industry Profile, 2018.</w:t>
      </w:r>
    </w:p>
    <w:p w14:paraId="0E8026C7" w14:textId="0BBBC6AC" w:rsidR="00FE1FC6" w:rsidRDefault="00FE1FC6" w:rsidP="00FE1FC6">
      <w:pPr>
        <w:pStyle w:val="BodyTextMain"/>
        <w:rPr>
          <w:sz w:val="16"/>
          <w:lang w:val="en-GB"/>
        </w:rPr>
      </w:pPr>
    </w:p>
    <w:p w14:paraId="3DC16A22" w14:textId="77777777" w:rsidR="001621CC" w:rsidRPr="00B36B52" w:rsidRDefault="001621CC" w:rsidP="00FE1FC6">
      <w:pPr>
        <w:pStyle w:val="BodyTextMain"/>
        <w:rPr>
          <w:sz w:val="16"/>
          <w:lang w:val="en-GB"/>
        </w:rPr>
      </w:pPr>
    </w:p>
    <w:p w14:paraId="43B0B70E" w14:textId="2D856EEC" w:rsidR="00FE1FC6" w:rsidRPr="001621CC" w:rsidRDefault="00FE1FC6" w:rsidP="001621CC">
      <w:pPr>
        <w:pStyle w:val="ExhibitHeading"/>
        <w:rPr>
          <w:highlight w:val="white"/>
        </w:rPr>
      </w:pPr>
      <w:r w:rsidRPr="001621CC">
        <w:rPr>
          <w:highlight w:val="white"/>
        </w:rPr>
        <w:t>EXHIBIT 3: NIELSEN RESEARCH ON HOW SUSTAINABILITY INFLUENCES CONSUMER</w:t>
      </w:r>
      <w:r w:rsidR="003310D0" w:rsidRPr="001621CC">
        <w:rPr>
          <w:highlight w:val="white"/>
        </w:rPr>
        <w:t>S’</w:t>
      </w:r>
      <w:r w:rsidRPr="001621CC">
        <w:rPr>
          <w:highlight w:val="white"/>
        </w:rPr>
        <w:t xml:space="preserve"> </w:t>
      </w:r>
      <w:r w:rsidR="003310D0" w:rsidRPr="001621CC">
        <w:rPr>
          <w:highlight w:val="white"/>
        </w:rPr>
        <w:t xml:space="preserve">PURCHASing </w:t>
      </w:r>
      <w:r w:rsidRPr="001621CC">
        <w:rPr>
          <w:highlight w:val="white"/>
        </w:rPr>
        <w:t>INTENT</w:t>
      </w:r>
    </w:p>
    <w:p w14:paraId="083E8A22" w14:textId="77777777" w:rsidR="00FE1FC6" w:rsidRPr="0091055F" w:rsidRDefault="00FE1FC6" w:rsidP="007C4CF6">
      <w:pPr>
        <w:pStyle w:val="BodyTextMain"/>
        <w:rPr>
          <w:sz w:val="20"/>
          <w:highlight w:val="white"/>
          <w:lang w:val="en-GB"/>
        </w:rPr>
      </w:pPr>
    </w:p>
    <w:tbl>
      <w:tblPr>
        <w:tblStyle w:val="TableGrid"/>
        <w:tblW w:w="8960" w:type="dxa"/>
        <w:jc w:val="center"/>
        <w:tblLayout w:type="fixed"/>
        <w:tblLook w:val="04A0" w:firstRow="1" w:lastRow="0" w:firstColumn="1" w:lastColumn="0" w:noHBand="0" w:noVBand="1"/>
      </w:tblPr>
      <w:tblGrid>
        <w:gridCol w:w="8330"/>
        <w:gridCol w:w="630"/>
      </w:tblGrid>
      <w:tr w:rsidR="00FE1FC6" w:rsidRPr="0091055F" w14:paraId="4F72F71A" w14:textId="77777777" w:rsidTr="003640EA">
        <w:trPr>
          <w:jc w:val="center"/>
        </w:trPr>
        <w:tc>
          <w:tcPr>
            <w:tcW w:w="8960" w:type="dxa"/>
            <w:gridSpan w:val="2"/>
          </w:tcPr>
          <w:p w14:paraId="6D6B7BA2" w14:textId="77777777" w:rsidR="00FE1FC6" w:rsidRPr="0091055F" w:rsidRDefault="00FE1FC6" w:rsidP="00FE1FC6">
            <w:pPr>
              <w:pStyle w:val="ExhibitText"/>
              <w:rPr>
                <w:b/>
                <w:sz w:val="18"/>
                <w:szCs w:val="18"/>
                <w:lang w:val="en-GB"/>
              </w:rPr>
            </w:pPr>
            <w:r w:rsidRPr="0091055F">
              <w:rPr>
                <w:b/>
                <w:sz w:val="18"/>
                <w:szCs w:val="18"/>
                <w:lang w:val="en-GB"/>
              </w:rPr>
              <w:t>Key purchasing drivers as weighted by all survey respondents</w:t>
            </w:r>
          </w:p>
        </w:tc>
      </w:tr>
      <w:tr w:rsidR="00FE1FC6" w:rsidRPr="0091055F" w14:paraId="45A3C69A" w14:textId="77777777" w:rsidTr="003640EA">
        <w:trPr>
          <w:jc w:val="center"/>
        </w:trPr>
        <w:tc>
          <w:tcPr>
            <w:tcW w:w="8330" w:type="dxa"/>
          </w:tcPr>
          <w:p w14:paraId="087E8707" w14:textId="0785E459" w:rsidR="00FE1FC6" w:rsidRPr="0091055F" w:rsidRDefault="00FE1FC6" w:rsidP="00FE1FC6">
            <w:pPr>
              <w:pStyle w:val="ExhibitText"/>
              <w:rPr>
                <w:sz w:val="18"/>
                <w:szCs w:val="18"/>
                <w:lang w:val="en-GB"/>
              </w:rPr>
            </w:pPr>
            <w:r w:rsidRPr="0091055F">
              <w:rPr>
                <w:sz w:val="18"/>
                <w:szCs w:val="18"/>
                <w:lang w:val="en-GB"/>
              </w:rPr>
              <w:t>The products are made by a brand</w:t>
            </w:r>
            <w:r w:rsidR="00A857DB">
              <w:rPr>
                <w:sz w:val="18"/>
                <w:szCs w:val="18"/>
                <w:lang w:val="en-GB"/>
              </w:rPr>
              <w:t xml:space="preserve"> or </w:t>
            </w:r>
            <w:r w:rsidRPr="0091055F">
              <w:rPr>
                <w:sz w:val="18"/>
                <w:szCs w:val="18"/>
                <w:lang w:val="en-GB"/>
              </w:rPr>
              <w:t>company that I trust</w:t>
            </w:r>
          </w:p>
        </w:tc>
        <w:tc>
          <w:tcPr>
            <w:tcW w:w="630" w:type="dxa"/>
          </w:tcPr>
          <w:p w14:paraId="790EBE34" w14:textId="77777777" w:rsidR="00FE1FC6" w:rsidRPr="0091055F" w:rsidRDefault="00FE1FC6" w:rsidP="00FE1FC6">
            <w:pPr>
              <w:pStyle w:val="ExhibitText"/>
              <w:rPr>
                <w:sz w:val="18"/>
                <w:szCs w:val="18"/>
                <w:lang w:val="en-GB"/>
              </w:rPr>
            </w:pPr>
            <w:r w:rsidRPr="0091055F">
              <w:rPr>
                <w:sz w:val="18"/>
                <w:szCs w:val="18"/>
                <w:lang w:val="en-GB"/>
              </w:rPr>
              <w:t>62%</w:t>
            </w:r>
          </w:p>
        </w:tc>
      </w:tr>
      <w:tr w:rsidR="00FE1FC6" w:rsidRPr="0091055F" w14:paraId="450D9E93" w14:textId="77777777" w:rsidTr="003640EA">
        <w:trPr>
          <w:jc w:val="center"/>
        </w:trPr>
        <w:tc>
          <w:tcPr>
            <w:tcW w:w="8330" w:type="dxa"/>
          </w:tcPr>
          <w:p w14:paraId="3706E992" w14:textId="77777777" w:rsidR="00FE1FC6" w:rsidRPr="0091055F" w:rsidRDefault="00FE1FC6" w:rsidP="00FE1FC6">
            <w:pPr>
              <w:pStyle w:val="ExhibitText"/>
              <w:rPr>
                <w:sz w:val="18"/>
                <w:szCs w:val="18"/>
                <w:lang w:val="en-GB"/>
              </w:rPr>
            </w:pPr>
            <w:r w:rsidRPr="0091055F">
              <w:rPr>
                <w:sz w:val="18"/>
                <w:szCs w:val="18"/>
                <w:lang w:val="en-GB"/>
              </w:rPr>
              <w:t>The product is known for its health &amp; wellness benefits</w:t>
            </w:r>
          </w:p>
        </w:tc>
        <w:tc>
          <w:tcPr>
            <w:tcW w:w="630" w:type="dxa"/>
          </w:tcPr>
          <w:p w14:paraId="1F3B67E6" w14:textId="77777777" w:rsidR="00FE1FC6" w:rsidRPr="0091055F" w:rsidRDefault="00FE1FC6" w:rsidP="00FE1FC6">
            <w:pPr>
              <w:pStyle w:val="ExhibitText"/>
              <w:rPr>
                <w:sz w:val="18"/>
                <w:szCs w:val="18"/>
                <w:lang w:val="en-GB"/>
              </w:rPr>
            </w:pPr>
            <w:r w:rsidRPr="0091055F">
              <w:rPr>
                <w:sz w:val="18"/>
                <w:szCs w:val="18"/>
                <w:lang w:val="en-GB"/>
              </w:rPr>
              <w:t>59%</w:t>
            </w:r>
          </w:p>
        </w:tc>
      </w:tr>
      <w:tr w:rsidR="00FE1FC6" w:rsidRPr="0091055F" w14:paraId="4D3B20DF" w14:textId="77777777" w:rsidTr="003640EA">
        <w:trPr>
          <w:jc w:val="center"/>
        </w:trPr>
        <w:tc>
          <w:tcPr>
            <w:tcW w:w="8330" w:type="dxa"/>
          </w:tcPr>
          <w:p w14:paraId="368933D6" w14:textId="23FCBE73" w:rsidR="00FE1FC6" w:rsidRPr="0091055F" w:rsidRDefault="00FE1FC6" w:rsidP="00FE1FC6">
            <w:pPr>
              <w:pStyle w:val="ExhibitText"/>
              <w:rPr>
                <w:sz w:val="18"/>
                <w:szCs w:val="18"/>
                <w:lang w:val="en-GB"/>
              </w:rPr>
            </w:pPr>
            <w:r w:rsidRPr="0091055F">
              <w:rPr>
                <w:sz w:val="18"/>
                <w:szCs w:val="18"/>
                <w:lang w:val="en-GB"/>
              </w:rPr>
              <w:t>The product is made from fresh, natural</w:t>
            </w:r>
            <w:r w:rsidR="00A857DB">
              <w:rPr>
                <w:sz w:val="18"/>
                <w:szCs w:val="18"/>
                <w:lang w:val="en-GB"/>
              </w:rPr>
              <w:t xml:space="preserve">, </w:t>
            </w:r>
            <w:r w:rsidRPr="0091055F">
              <w:rPr>
                <w:sz w:val="18"/>
                <w:szCs w:val="18"/>
                <w:lang w:val="en-GB"/>
              </w:rPr>
              <w:t>or organic ingredients</w:t>
            </w:r>
          </w:p>
        </w:tc>
        <w:tc>
          <w:tcPr>
            <w:tcW w:w="630" w:type="dxa"/>
          </w:tcPr>
          <w:p w14:paraId="489668B1" w14:textId="77777777" w:rsidR="00FE1FC6" w:rsidRPr="0091055F" w:rsidRDefault="00FE1FC6" w:rsidP="00FE1FC6">
            <w:pPr>
              <w:pStyle w:val="ExhibitText"/>
              <w:rPr>
                <w:sz w:val="18"/>
                <w:szCs w:val="18"/>
                <w:lang w:val="en-GB"/>
              </w:rPr>
            </w:pPr>
            <w:r w:rsidRPr="0091055F">
              <w:rPr>
                <w:sz w:val="18"/>
                <w:szCs w:val="18"/>
                <w:lang w:val="en-GB"/>
              </w:rPr>
              <w:t>57%</w:t>
            </w:r>
          </w:p>
        </w:tc>
      </w:tr>
      <w:tr w:rsidR="00FE1FC6" w:rsidRPr="0091055F" w14:paraId="1572C0A3" w14:textId="77777777" w:rsidTr="003640EA">
        <w:trPr>
          <w:jc w:val="center"/>
        </w:trPr>
        <w:tc>
          <w:tcPr>
            <w:tcW w:w="8330" w:type="dxa"/>
          </w:tcPr>
          <w:p w14:paraId="7068EB4B" w14:textId="77777777" w:rsidR="00FE1FC6" w:rsidRPr="0091055F" w:rsidRDefault="00FE1FC6" w:rsidP="00FE1FC6">
            <w:pPr>
              <w:pStyle w:val="ExhibitText"/>
              <w:rPr>
                <w:sz w:val="18"/>
                <w:szCs w:val="18"/>
                <w:lang w:val="en-GB"/>
              </w:rPr>
            </w:pPr>
            <w:r w:rsidRPr="0091055F">
              <w:rPr>
                <w:sz w:val="18"/>
                <w:szCs w:val="18"/>
                <w:lang w:val="en-GB"/>
              </w:rPr>
              <w:t>The product is from a company known for being environmentally friendly</w:t>
            </w:r>
          </w:p>
        </w:tc>
        <w:tc>
          <w:tcPr>
            <w:tcW w:w="630" w:type="dxa"/>
          </w:tcPr>
          <w:p w14:paraId="041785C0" w14:textId="77777777" w:rsidR="00FE1FC6" w:rsidRPr="0091055F" w:rsidRDefault="00FE1FC6" w:rsidP="00FE1FC6">
            <w:pPr>
              <w:pStyle w:val="ExhibitText"/>
              <w:rPr>
                <w:sz w:val="18"/>
                <w:szCs w:val="18"/>
                <w:lang w:val="en-GB"/>
              </w:rPr>
            </w:pPr>
            <w:r w:rsidRPr="0091055F">
              <w:rPr>
                <w:sz w:val="18"/>
                <w:szCs w:val="18"/>
                <w:lang w:val="en-GB"/>
              </w:rPr>
              <w:t>45%</w:t>
            </w:r>
          </w:p>
        </w:tc>
      </w:tr>
      <w:tr w:rsidR="00FE1FC6" w:rsidRPr="0091055F" w14:paraId="2F0E64DB" w14:textId="77777777" w:rsidTr="003640EA">
        <w:trPr>
          <w:jc w:val="center"/>
        </w:trPr>
        <w:tc>
          <w:tcPr>
            <w:tcW w:w="8330" w:type="dxa"/>
          </w:tcPr>
          <w:p w14:paraId="6E54F54B" w14:textId="77777777" w:rsidR="00FE1FC6" w:rsidRPr="0091055F" w:rsidRDefault="00FE1FC6" w:rsidP="00FE1FC6">
            <w:pPr>
              <w:pStyle w:val="ExhibitText"/>
              <w:rPr>
                <w:sz w:val="18"/>
                <w:szCs w:val="18"/>
                <w:lang w:val="en-GB"/>
              </w:rPr>
            </w:pPr>
            <w:r w:rsidRPr="0091055F">
              <w:rPr>
                <w:sz w:val="18"/>
                <w:szCs w:val="18"/>
                <w:lang w:val="en-GB"/>
              </w:rPr>
              <w:t>The product is from a company known for its commitment to social value</w:t>
            </w:r>
          </w:p>
        </w:tc>
        <w:tc>
          <w:tcPr>
            <w:tcW w:w="630" w:type="dxa"/>
          </w:tcPr>
          <w:p w14:paraId="4C533468" w14:textId="77777777" w:rsidR="00FE1FC6" w:rsidRPr="0091055F" w:rsidRDefault="00FE1FC6" w:rsidP="00FE1FC6">
            <w:pPr>
              <w:pStyle w:val="ExhibitText"/>
              <w:rPr>
                <w:sz w:val="18"/>
                <w:szCs w:val="18"/>
                <w:lang w:val="en-GB"/>
              </w:rPr>
            </w:pPr>
            <w:r w:rsidRPr="0091055F">
              <w:rPr>
                <w:sz w:val="18"/>
                <w:szCs w:val="18"/>
                <w:lang w:val="en-GB"/>
              </w:rPr>
              <w:t>43%</w:t>
            </w:r>
          </w:p>
        </w:tc>
      </w:tr>
      <w:tr w:rsidR="00FE1FC6" w:rsidRPr="0091055F" w14:paraId="49662457" w14:textId="77777777" w:rsidTr="003640EA">
        <w:trPr>
          <w:jc w:val="center"/>
        </w:trPr>
        <w:tc>
          <w:tcPr>
            <w:tcW w:w="8330" w:type="dxa"/>
          </w:tcPr>
          <w:p w14:paraId="563FEEB0" w14:textId="77777777" w:rsidR="00FE1FC6" w:rsidRPr="0091055F" w:rsidRDefault="00FE1FC6" w:rsidP="00FE1FC6">
            <w:pPr>
              <w:pStyle w:val="ExhibitText"/>
              <w:rPr>
                <w:sz w:val="18"/>
                <w:szCs w:val="18"/>
                <w:lang w:val="en-GB"/>
              </w:rPr>
            </w:pPr>
            <w:r w:rsidRPr="0091055F">
              <w:rPr>
                <w:sz w:val="18"/>
                <w:szCs w:val="18"/>
                <w:lang w:val="en-GB"/>
              </w:rPr>
              <w:t>The product’s packaging is environmentally friendly</w:t>
            </w:r>
          </w:p>
        </w:tc>
        <w:tc>
          <w:tcPr>
            <w:tcW w:w="630" w:type="dxa"/>
          </w:tcPr>
          <w:p w14:paraId="6DB4BA90" w14:textId="77777777" w:rsidR="00FE1FC6" w:rsidRPr="0091055F" w:rsidRDefault="00FE1FC6" w:rsidP="00FE1FC6">
            <w:pPr>
              <w:pStyle w:val="ExhibitText"/>
              <w:rPr>
                <w:sz w:val="18"/>
                <w:szCs w:val="18"/>
                <w:lang w:val="en-GB"/>
              </w:rPr>
            </w:pPr>
            <w:r w:rsidRPr="0091055F">
              <w:rPr>
                <w:sz w:val="18"/>
                <w:szCs w:val="18"/>
                <w:lang w:val="en-GB"/>
              </w:rPr>
              <w:t>41%</w:t>
            </w:r>
          </w:p>
        </w:tc>
      </w:tr>
      <w:tr w:rsidR="00FE1FC6" w:rsidRPr="0091055F" w14:paraId="7EF6DA3A" w14:textId="77777777" w:rsidTr="003640EA">
        <w:trPr>
          <w:jc w:val="center"/>
        </w:trPr>
        <w:tc>
          <w:tcPr>
            <w:tcW w:w="8330" w:type="dxa"/>
          </w:tcPr>
          <w:p w14:paraId="6E8D0B86" w14:textId="77777777" w:rsidR="00FE1FC6" w:rsidRPr="0091055F" w:rsidRDefault="00FE1FC6" w:rsidP="00FE1FC6">
            <w:pPr>
              <w:pStyle w:val="ExhibitText"/>
              <w:rPr>
                <w:sz w:val="18"/>
                <w:szCs w:val="18"/>
                <w:lang w:val="en-GB"/>
              </w:rPr>
            </w:pPr>
            <w:r w:rsidRPr="0091055F">
              <w:rPr>
                <w:sz w:val="18"/>
                <w:szCs w:val="18"/>
                <w:lang w:val="en-GB"/>
              </w:rPr>
              <w:t>The product is from a company known for its commitment to my community</w:t>
            </w:r>
          </w:p>
        </w:tc>
        <w:tc>
          <w:tcPr>
            <w:tcW w:w="630" w:type="dxa"/>
          </w:tcPr>
          <w:p w14:paraId="33FFFF6D" w14:textId="77777777" w:rsidR="00FE1FC6" w:rsidRPr="0091055F" w:rsidRDefault="00FE1FC6" w:rsidP="00FE1FC6">
            <w:pPr>
              <w:pStyle w:val="ExhibitText"/>
              <w:rPr>
                <w:sz w:val="18"/>
                <w:szCs w:val="18"/>
                <w:lang w:val="en-GB"/>
              </w:rPr>
            </w:pPr>
            <w:r w:rsidRPr="0091055F">
              <w:rPr>
                <w:sz w:val="18"/>
                <w:szCs w:val="18"/>
                <w:lang w:val="en-GB"/>
              </w:rPr>
              <w:t>41%</w:t>
            </w:r>
          </w:p>
        </w:tc>
      </w:tr>
      <w:tr w:rsidR="00FE1FC6" w:rsidRPr="0091055F" w14:paraId="2EBD2C9E" w14:textId="77777777" w:rsidTr="003640EA">
        <w:trPr>
          <w:jc w:val="center"/>
        </w:trPr>
        <w:tc>
          <w:tcPr>
            <w:tcW w:w="8330" w:type="dxa"/>
          </w:tcPr>
          <w:p w14:paraId="5F1ED6E8" w14:textId="218A34CB" w:rsidR="00FE1FC6" w:rsidRPr="0091055F" w:rsidRDefault="00FE1FC6" w:rsidP="00FE1FC6">
            <w:pPr>
              <w:pStyle w:val="ExhibitText"/>
              <w:rPr>
                <w:sz w:val="18"/>
                <w:szCs w:val="18"/>
                <w:lang w:val="en-GB"/>
              </w:rPr>
            </w:pPr>
            <w:r w:rsidRPr="0091055F">
              <w:rPr>
                <w:sz w:val="18"/>
                <w:szCs w:val="18"/>
                <w:lang w:val="en-GB"/>
              </w:rPr>
              <w:t>I saw an ad on television about the social or environmental good the product’s company is doing</w:t>
            </w:r>
          </w:p>
        </w:tc>
        <w:tc>
          <w:tcPr>
            <w:tcW w:w="630" w:type="dxa"/>
          </w:tcPr>
          <w:p w14:paraId="3D277B97" w14:textId="77777777" w:rsidR="00FE1FC6" w:rsidRPr="0091055F" w:rsidRDefault="00FE1FC6" w:rsidP="00FE1FC6">
            <w:pPr>
              <w:pStyle w:val="ExhibitText"/>
              <w:rPr>
                <w:sz w:val="18"/>
                <w:szCs w:val="18"/>
                <w:lang w:val="en-GB"/>
              </w:rPr>
            </w:pPr>
            <w:r w:rsidRPr="0091055F">
              <w:rPr>
                <w:sz w:val="18"/>
                <w:szCs w:val="18"/>
                <w:lang w:val="en-GB"/>
              </w:rPr>
              <w:t>34%</w:t>
            </w:r>
          </w:p>
        </w:tc>
      </w:tr>
    </w:tbl>
    <w:p w14:paraId="7A902DEB" w14:textId="77777777" w:rsidR="00FE1FC6" w:rsidRPr="0091055F" w:rsidRDefault="00FE1FC6" w:rsidP="00FE1FC6">
      <w:pPr>
        <w:pStyle w:val="BodyTextMain"/>
        <w:rPr>
          <w:lang w:val="en-GB"/>
        </w:rPr>
      </w:pPr>
    </w:p>
    <w:p w14:paraId="2A657E4B" w14:textId="5CA6147E" w:rsidR="00FE1FC6" w:rsidRPr="0028059F" w:rsidRDefault="00FE1FC6" w:rsidP="00FE1FC6">
      <w:pPr>
        <w:pStyle w:val="Footnote"/>
        <w:rPr>
          <w:spacing w:val="-4"/>
          <w:highlight w:val="white"/>
          <w:lang w:val="en-GB"/>
        </w:rPr>
      </w:pPr>
      <w:r w:rsidRPr="0028059F">
        <w:rPr>
          <w:spacing w:val="-4"/>
          <w:lang w:val="en-GB"/>
        </w:rPr>
        <w:t xml:space="preserve">Source: </w:t>
      </w:r>
      <w:r w:rsidR="003310D0" w:rsidRPr="0028059F">
        <w:rPr>
          <w:spacing w:val="-4"/>
          <w:lang w:val="en-GB"/>
        </w:rPr>
        <w:t>R</w:t>
      </w:r>
      <w:r w:rsidRPr="0028059F">
        <w:rPr>
          <w:spacing w:val="-4"/>
          <w:lang w:val="en-GB"/>
        </w:rPr>
        <w:t xml:space="preserve">eformatted by </w:t>
      </w:r>
      <w:r w:rsidR="003310D0" w:rsidRPr="0028059F">
        <w:rPr>
          <w:spacing w:val="-4"/>
          <w:lang w:val="en-GB"/>
        </w:rPr>
        <w:t xml:space="preserve">the </w:t>
      </w:r>
      <w:r w:rsidRPr="0028059F">
        <w:rPr>
          <w:spacing w:val="-4"/>
          <w:lang w:val="en-GB"/>
        </w:rPr>
        <w:t xml:space="preserve">authors from Nielsen, </w:t>
      </w:r>
      <w:r w:rsidRPr="0028059F">
        <w:rPr>
          <w:i/>
          <w:spacing w:val="-4"/>
          <w:lang w:val="en-GB"/>
        </w:rPr>
        <w:t>The Sustainability Imperative. New Insights on Consumer Expectations</w:t>
      </w:r>
      <w:r w:rsidRPr="0028059F">
        <w:rPr>
          <w:spacing w:val="-4"/>
          <w:lang w:val="en-GB"/>
        </w:rPr>
        <w:t>,</w:t>
      </w:r>
      <w:r w:rsidR="006E6E60" w:rsidRPr="0028059F">
        <w:rPr>
          <w:spacing w:val="-4"/>
          <w:lang w:val="en-GB"/>
        </w:rPr>
        <w:t xml:space="preserve"> October 2015,</w:t>
      </w:r>
      <w:r w:rsidRPr="0028059F">
        <w:rPr>
          <w:spacing w:val="-4"/>
          <w:lang w:val="en-GB"/>
        </w:rPr>
        <w:t xml:space="preserve"> </w:t>
      </w:r>
      <w:r w:rsidR="003310D0" w:rsidRPr="0028059F">
        <w:rPr>
          <w:spacing w:val="-4"/>
          <w:lang w:val="en-GB"/>
        </w:rPr>
        <w:t xml:space="preserve">accessed November 22, 2017, </w:t>
      </w:r>
      <w:r w:rsidR="007C4CF6" w:rsidRPr="0028059F">
        <w:rPr>
          <w:spacing w:val="-4"/>
          <w:lang w:val="en-GB"/>
        </w:rPr>
        <w:t>www.nielsen.com/content/dam/nielsenglobal/dk/docs/global-sustainability-report-oct-2015.pdf?afflt=ntrt15340001&amp;afflt_uid=oB7cx5Vqojc.7kTBloThxcFQfMbv5bHjKFtN7-7s9F2r&amp;afflt_uid_2=AFFLT_ID_2</w:t>
      </w:r>
      <w:r w:rsidRPr="0028059F">
        <w:rPr>
          <w:spacing w:val="-4"/>
          <w:lang w:val="en-GB"/>
        </w:rPr>
        <w:t xml:space="preserve">. </w:t>
      </w:r>
    </w:p>
    <w:p w14:paraId="12AAD55F" w14:textId="7B2E86D6" w:rsidR="00FE1FC6" w:rsidRDefault="00FE1FC6" w:rsidP="007C4CF6">
      <w:pPr>
        <w:pStyle w:val="BodyTextMain"/>
        <w:rPr>
          <w:sz w:val="18"/>
          <w:highlight w:val="white"/>
          <w:lang w:val="en-GB"/>
        </w:rPr>
      </w:pPr>
    </w:p>
    <w:p w14:paraId="42F7B9BA" w14:textId="77777777" w:rsidR="0028059F" w:rsidRPr="0091055F" w:rsidRDefault="0028059F" w:rsidP="007C4CF6">
      <w:pPr>
        <w:pStyle w:val="BodyTextMain"/>
        <w:rPr>
          <w:sz w:val="18"/>
          <w:highlight w:val="white"/>
          <w:lang w:val="en-GB"/>
        </w:rPr>
      </w:pPr>
    </w:p>
    <w:p w14:paraId="31392F7C" w14:textId="2F4DD4B4" w:rsidR="00FE1FC6" w:rsidRPr="00F17466" w:rsidRDefault="00FE1FC6" w:rsidP="00F17466">
      <w:pPr>
        <w:pStyle w:val="ExhibitHeading"/>
      </w:pPr>
      <w:r w:rsidRPr="00F17466">
        <w:rPr>
          <w:highlight w:val="white"/>
        </w:rPr>
        <w:t>EXHIBIT 4: R</w:t>
      </w:r>
      <w:r w:rsidR="003310D0" w:rsidRPr="00F17466">
        <w:rPr>
          <w:highlight w:val="white"/>
        </w:rPr>
        <w:t xml:space="preserve">ocky </w:t>
      </w:r>
      <w:r w:rsidRPr="00F17466">
        <w:rPr>
          <w:highlight w:val="white"/>
        </w:rPr>
        <w:t>M</w:t>
      </w:r>
      <w:r w:rsidR="003310D0" w:rsidRPr="00F17466">
        <w:rPr>
          <w:highlight w:val="white"/>
        </w:rPr>
        <w:t xml:space="preserve">ountain </w:t>
      </w:r>
      <w:r w:rsidRPr="00F17466">
        <w:rPr>
          <w:highlight w:val="white"/>
        </w:rPr>
        <w:t>S</w:t>
      </w:r>
      <w:r w:rsidR="003310D0" w:rsidRPr="00F17466">
        <w:rPr>
          <w:highlight w:val="white"/>
        </w:rPr>
        <w:t xml:space="preserve">oap </w:t>
      </w:r>
      <w:r w:rsidRPr="00F17466">
        <w:rPr>
          <w:highlight w:val="white"/>
        </w:rPr>
        <w:t>C</w:t>
      </w:r>
      <w:r w:rsidR="003310D0" w:rsidRPr="00F17466">
        <w:rPr>
          <w:highlight w:val="white"/>
        </w:rPr>
        <w:t>ompany</w:t>
      </w:r>
      <w:r w:rsidRPr="00F17466">
        <w:rPr>
          <w:highlight w:val="white"/>
        </w:rPr>
        <w:t xml:space="preserve">’S </w:t>
      </w:r>
      <w:r w:rsidR="00020678" w:rsidRPr="00F17466">
        <w:rPr>
          <w:highlight w:val="white"/>
        </w:rPr>
        <w:t>PACKAGING OPTIONS—</w:t>
      </w:r>
      <w:r w:rsidRPr="00F17466">
        <w:rPr>
          <w:highlight w:val="white"/>
        </w:rPr>
        <w:t xml:space="preserve">TRADITIONAL VERSUS SUSTAINABLE LIPSTICK </w:t>
      </w:r>
    </w:p>
    <w:p w14:paraId="7026FA0D" w14:textId="77777777" w:rsidR="007C4CF6" w:rsidRPr="00B36B52" w:rsidRDefault="007C4CF6" w:rsidP="007C4CF6">
      <w:pPr>
        <w:pStyle w:val="BodyTextMain"/>
        <w:rPr>
          <w:sz w:val="14"/>
          <w:lang w:val="en-GB"/>
        </w:rPr>
      </w:pPr>
    </w:p>
    <w:tbl>
      <w:tblPr>
        <w:tblStyle w:val="TableGrid"/>
        <w:tblW w:w="8697" w:type="dxa"/>
        <w:jc w:val="center"/>
        <w:tblLayout w:type="fixed"/>
        <w:tblLook w:val="0400" w:firstRow="0" w:lastRow="0" w:firstColumn="0" w:lastColumn="0" w:noHBand="0" w:noVBand="1"/>
      </w:tblPr>
      <w:tblGrid>
        <w:gridCol w:w="2700"/>
        <w:gridCol w:w="2800"/>
        <w:gridCol w:w="3197"/>
      </w:tblGrid>
      <w:tr w:rsidR="007C4CF6" w:rsidRPr="0091055F" w14:paraId="136A948A" w14:textId="77777777" w:rsidTr="007C4CF6">
        <w:trPr>
          <w:trHeight w:val="143"/>
          <w:jc w:val="center"/>
        </w:trPr>
        <w:tc>
          <w:tcPr>
            <w:tcW w:w="2700" w:type="dxa"/>
          </w:tcPr>
          <w:p w14:paraId="79DF8721" w14:textId="3B2F9F8E" w:rsidR="007C4CF6" w:rsidRPr="0091055F" w:rsidRDefault="00020678" w:rsidP="00B36B52">
            <w:pPr>
              <w:pStyle w:val="ExhibitText"/>
              <w:jc w:val="center"/>
              <w:rPr>
                <w:rFonts w:eastAsia="Calibri"/>
                <w:b/>
                <w:sz w:val="18"/>
                <w:szCs w:val="18"/>
                <w:lang w:val="en-GB"/>
              </w:rPr>
            </w:pPr>
            <w:r>
              <w:rPr>
                <w:rFonts w:eastAsia="Calibri"/>
                <w:b/>
                <w:sz w:val="18"/>
                <w:szCs w:val="18"/>
                <w:lang w:val="en-GB"/>
              </w:rPr>
              <w:t>Item</w:t>
            </w:r>
          </w:p>
        </w:tc>
        <w:tc>
          <w:tcPr>
            <w:tcW w:w="2800" w:type="dxa"/>
          </w:tcPr>
          <w:p w14:paraId="0F4FEA16" w14:textId="77777777" w:rsidR="007C4CF6" w:rsidRPr="0091055F" w:rsidRDefault="007C4CF6" w:rsidP="00B36B52">
            <w:pPr>
              <w:pStyle w:val="ExhibitText"/>
              <w:jc w:val="center"/>
              <w:rPr>
                <w:rFonts w:eastAsia="Calibri"/>
                <w:b/>
                <w:sz w:val="18"/>
                <w:szCs w:val="18"/>
                <w:lang w:val="en-GB"/>
              </w:rPr>
            </w:pPr>
            <w:r w:rsidRPr="0091055F">
              <w:rPr>
                <w:rFonts w:eastAsia="Calibri"/>
                <w:b/>
                <w:sz w:val="18"/>
                <w:szCs w:val="18"/>
                <w:lang w:val="en-GB"/>
              </w:rPr>
              <w:t>Conventional Lipstick with Traditional Packaging</w:t>
            </w:r>
          </w:p>
        </w:tc>
        <w:tc>
          <w:tcPr>
            <w:tcW w:w="3197" w:type="dxa"/>
          </w:tcPr>
          <w:p w14:paraId="6DFB0B3A" w14:textId="62DFB264" w:rsidR="007C4CF6" w:rsidRPr="0091055F" w:rsidRDefault="007C4CF6" w:rsidP="00B36B52">
            <w:pPr>
              <w:pStyle w:val="ExhibitText"/>
              <w:jc w:val="center"/>
              <w:rPr>
                <w:rFonts w:eastAsia="Calibri"/>
                <w:b/>
                <w:sz w:val="18"/>
                <w:szCs w:val="18"/>
                <w:lang w:val="en-GB"/>
              </w:rPr>
            </w:pPr>
            <w:r w:rsidRPr="0091055F">
              <w:rPr>
                <w:rFonts w:eastAsia="Calibri"/>
                <w:b/>
                <w:sz w:val="18"/>
                <w:szCs w:val="18"/>
                <w:lang w:val="en-GB"/>
              </w:rPr>
              <w:t>Lip Quench with Sustainable Packaging</w:t>
            </w:r>
          </w:p>
        </w:tc>
      </w:tr>
      <w:tr w:rsidR="007C4CF6" w:rsidRPr="0091055F" w14:paraId="56D5850C" w14:textId="77777777" w:rsidTr="007C4CF6">
        <w:trPr>
          <w:trHeight w:val="71"/>
          <w:jc w:val="center"/>
        </w:trPr>
        <w:tc>
          <w:tcPr>
            <w:tcW w:w="2700" w:type="dxa"/>
          </w:tcPr>
          <w:p w14:paraId="7AD1223C" w14:textId="77777777" w:rsidR="007C4CF6" w:rsidRPr="0091055F" w:rsidRDefault="007C4CF6" w:rsidP="00FE1FC6">
            <w:pPr>
              <w:pStyle w:val="ExhibitText"/>
              <w:rPr>
                <w:rFonts w:eastAsia="Calibri"/>
                <w:sz w:val="18"/>
                <w:szCs w:val="18"/>
                <w:lang w:val="en-GB"/>
              </w:rPr>
            </w:pPr>
            <w:r w:rsidRPr="0091055F">
              <w:rPr>
                <w:rFonts w:eastAsia="Calibri"/>
                <w:sz w:val="18"/>
                <w:szCs w:val="18"/>
                <w:lang w:val="en-GB"/>
              </w:rPr>
              <w:t>Retail Price</w:t>
            </w:r>
          </w:p>
        </w:tc>
        <w:tc>
          <w:tcPr>
            <w:tcW w:w="2800" w:type="dxa"/>
          </w:tcPr>
          <w:p w14:paraId="441B492A" w14:textId="77777777" w:rsidR="007C4CF6" w:rsidRPr="0091055F" w:rsidRDefault="007C4CF6" w:rsidP="00B36B52">
            <w:pPr>
              <w:pStyle w:val="ExhibitText"/>
              <w:tabs>
                <w:tab w:val="decimal" w:pos="1234"/>
              </w:tabs>
              <w:rPr>
                <w:rFonts w:eastAsia="Calibri"/>
                <w:sz w:val="18"/>
                <w:szCs w:val="18"/>
                <w:lang w:val="en-GB"/>
              </w:rPr>
            </w:pPr>
            <w:r w:rsidRPr="0091055F">
              <w:rPr>
                <w:rFonts w:eastAsia="Calibri"/>
                <w:sz w:val="18"/>
                <w:szCs w:val="18"/>
                <w:lang w:val="en-GB"/>
              </w:rPr>
              <w:t>$14.00</w:t>
            </w:r>
          </w:p>
        </w:tc>
        <w:tc>
          <w:tcPr>
            <w:tcW w:w="3197" w:type="dxa"/>
          </w:tcPr>
          <w:p w14:paraId="65D2A35A" w14:textId="77777777" w:rsidR="007C4CF6" w:rsidRPr="0091055F" w:rsidRDefault="007C4CF6" w:rsidP="00B36B52">
            <w:pPr>
              <w:pStyle w:val="ExhibitText"/>
              <w:tabs>
                <w:tab w:val="decimal" w:pos="1584"/>
              </w:tabs>
              <w:rPr>
                <w:rFonts w:eastAsia="Calibri"/>
                <w:sz w:val="18"/>
                <w:szCs w:val="18"/>
                <w:lang w:val="en-GB"/>
              </w:rPr>
            </w:pPr>
            <w:r w:rsidRPr="0091055F">
              <w:rPr>
                <w:rFonts w:eastAsia="Calibri"/>
                <w:sz w:val="18"/>
                <w:szCs w:val="18"/>
                <w:lang w:val="en-GB"/>
              </w:rPr>
              <w:t xml:space="preserve"> $14.00 </w:t>
            </w:r>
          </w:p>
        </w:tc>
      </w:tr>
      <w:tr w:rsidR="007C4CF6" w:rsidRPr="0091055F" w14:paraId="5A87F741" w14:textId="77777777" w:rsidTr="007C4CF6">
        <w:trPr>
          <w:trHeight w:val="60"/>
          <w:jc w:val="center"/>
        </w:trPr>
        <w:tc>
          <w:tcPr>
            <w:tcW w:w="2700" w:type="dxa"/>
          </w:tcPr>
          <w:p w14:paraId="585E044F" w14:textId="77777777" w:rsidR="007C4CF6" w:rsidRPr="0091055F" w:rsidRDefault="007C4CF6" w:rsidP="00FE1FC6">
            <w:pPr>
              <w:pStyle w:val="ExhibitText"/>
              <w:rPr>
                <w:rFonts w:eastAsia="Calibri"/>
                <w:sz w:val="18"/>
                <w:szCs w:val="18"/>
                <w:lang w:val="en-GB"/>
              </w:rPr>
            </w:pPr>
            <w:r w:rsidRPr="0091055F">
              <w:rPr>
                <w:rFonts w:eastAsia="Calibri"/>
                <w:sz w:val="18"/>
                <w:szCs w:val="18"/>
                <w:lang w:val="en-GB"/>
              </w:rPr>
              <w:t>Total COGS</w:t>
            </w:r>
          </w:p>
        </w:tc>
        <w:tc>
          <w:tcPr>
            <w:tcW w:w="2800" w:type="dxa"/>
          </w:tcPr>
          <w:p w14:paraId="29D83A92" w14:textId="1EF796B4" w:rsidR="007C4CF6" w:rsidRPr="0091055F" w:rsidRDefault="007F6D37" w:rsidP="00B36B52">
            <w:pPr>
              <w:pStyle w:val="ExhibitText"/>
              <w:tabs>
                <w:tab w:val="decimal" w:pos="1234"/>
              </w:tabs>
              <w:rPr>
                <w:rFonts w:eastAsia="Calibri"/>
                <w:sz w:val="18"/>
                <w:szCs w:val="18"/>
                <w:lang w:val="en-GB"/>
              </w:rPr>
            </w:pPr>
            <w:r w:rsidRPr="0091055F">
              <w:rPr>
                <w:rFonts w:eastAsia="Calibri"/>
                <w:sz w:val="18"/>
                <w:szCs w:val="18"/>
                <w:lang w:val="en-GB"/>
              </w:rPr>
              <w:t xml:space="preserve"> </w:t>
            </w:r>
            <w:r w:rsidR="007C4CF6" w:rsidRPr="0091055F">
              <w:rPr>
                <w:rFonts w:eastAsia="Calibri"/>
                <w:sz w:val="18"/>
                <w:szCs w:val="18"/>
                <w:lang w:val="en-GB"/>
              </w:rPr>
              <w:t>$1.55</w:t>
            </w:r>
          </w:p>
        </w:tc>
        <w:tc>
          <w:tcPr>
            <w:tcW w:w="3197" w:type="dxa"/>
          </w:tcPr>
          <w:p w14:paraId="674BADC8" w14:textId="77777777" w:rsidR="007C4CF6" w:rsidRPr="0091055F" w:rsidRDefault="007C4CF6" w:rsidP="00B36B52">
            <w:pPr>
              <w:pStyle w:val="ExhibitText"/>
              <w:tabs>
                <w:tab w:val="decimal" w:pos="1584"/>
              </w:tabs>
              <w:rPr>
                <w:rFonts w:eastAsia="Calibri"/>
                <w:sz w:val="18"/>
                <w:szCs w:val="18"/>
                <w:lang w:val="en-GB"/>
              </w:rPr>
            </w:pPr>
            <w:r w:rsidRPr="0091055F">
              <w:rPr>
                <w:rFonts w:eastAsia="Calibri"/>
                <w:sz w:val="18"/>
                <w:szCs w:val="18"/>
                <w:lang w:val="en-GB"/>
              </w:rPr>
              <w:t xml:space="preserve"> $3.49 </w:t>
            </w:r>
          </w:p>
        </w:tc>
      </w:tr>
      <w:tr w:rsidR="007C4CF6" w:rsidRPr="0091055F" w14:paraId="638BF880" w14:textId="77777777" w:rsidTr="007C4CF6">
        <w:trPr>
          <w:trHeight w:val="60"/>
          <w:jc w:val="center"/>
        </w:trPr>
        <w:tc>
          <w:tcPr>
            <w:tcW w:w="2700" w:type="dxa"/>
          </w:tcPr>
          <w:p w14:paraId="2D256722" w14:textId="77777777" w:rsidR="007C4CF6" w:rsidRPr="0091055F" w:rsidRDefault="007C4CF6" w:rsidP="00FE1FC6">
            <w:pPr>
              <w:pStyle w:val="ExhibitText"/>
              <w:rPr>
                <w:rFonts w:eastAsia="Calibri"/>
                <w:sz w:val="18"/>
                <w:szCs w:val="18"/>
                <w:lang w:val="en-GB"/>
              </w:rPr>
            </w:pPr>
            <w:r w:rsidRPr="0091055F">
              <w:rPr>
                <w:rFonts w:eastAsia="Calibri"/>
                <w:sz w:val="18"/>
                <w:szCs w:val="18"/>
                <w:lang w:val="en-GB"/>
              </w:rPr>
              <w:t>COGS as a % of Retail Price</w:t>
            </w:r>
          </w:p>
        </w:tc>
        <w:tc>
          <w:tcPr>
            <w:tcW w:w="2800" w:type="dxa"/>
          </w:tcPr>
          <w:p w14:paraId="0EF25A1F" w14:textId="77777777" w:rsidR="007C4CF6" w:rsidRPr="0091055F" w:rsidRDefault="007C4CF6" w:rsidP="00B36B52">
            <w:pPr>
              <w:pStyle w:val="ExhibitText"/>
              <w:tabs>
                <w:tab w:val="decimal" w:pos="1234"/>
              </w:tabs>
              <w:rPr>
                <w:rFonts w:eastAsia="Calibri"/>
                <w:sz w:val="18"/>
                <w:szCs w:val="18"/>
                <w:lang w:val="en-GB"/>
              </w:rPr>
            </w:pPr>
            <w:r w:rsidRPr="0091055F">
              <w:rPr>
                <w:rFonts w:eastAsia="Calibri"/>
                <w:sz w:val="18"/>
                <w:szCs w:val="18"/>
                <w:lang w:val="en-GB"/>
              </w:rPr>
              <w:t>11%</w:t>
            </w:r>
          </w:p>
        </w:tc>
        <w:tc>
          <w:tcPr>
            <w:tcW w:w="3197" w:type="dxa"/>
          </w:tcPr>
          <w:p w14:paraId="027817C7" w14:textId="77777777" w:rsidR="007C4CF6" w:rsidRPr="0091055F" w:rsidRDefault="007C4CF6" w:rsidP="00B36B52">
            <w:pPr>
              <w:pStyle w:val="ExhibitText"/>
              <w:tabs>
                <w:tab w:val="decimal" w:pos="1584"/>
              </w:tabs>
              <w:rPr>
                <w:rFonts w:eastAsia="Calibri"/>
                <w:sz w:val="18"/>
                <w:szCs w:val="18"/>
                <w:lang w:val="en-GB"/>
              </w:rPr>
            </w:pPr>
            <w:r w:rsidRPr="0091055F">
              <w:rPr>
                <w:rFonts w:eastAsia="Calibri"/>
                <w:sz w:val="18"/>
                <w:szCs w:val="18"/>
                <w:lang w:val="en-GB"/>
              </w:rPr>
              <w:t>25%</w:t>
            </w:r>
          </w:p>
        </w:tc>
      </w:tr>
      <w:tr w:rsidR="007C4CF6" w:rsidRPr="0091055F" w14:paraId="6C3BBB47" w14:textId="77777777" w:rsidTr="007C4CF6">
        <w:trPr>
          <w:trHeight w:val="60"/>
          <w:jc w:val="center"/>
        </w:trPr>
        <w:tc>
          <w:tcPr>
            <w:tcW w:w="2700" w:type="dxa"/>
          </w:tcPr>
          <w:p w14:paraId="7B48ED9E" w14:textId="77777777" w:rsidR="007C4CF6" w:rsidRPr="0091055F" w:rsidRDefault="007C4CF6" w:rsidP="00FE1FC6">
            <w:pPr>
              <w:pStyle w:val="ExhibitText"/>
              <w:rPr>
                <w:rFonts w:eastAsia="Calibri"/>
                <w:sz w:val="18"/>
                <w:szCs w:val="18"/>
                <w:lang w:val="en-GB"/>
              </w:rPr>
            </w:pPr>
            <w:r w:rsidRPr="0091055F">
              <w:rPr>
                <w:rFonts w:eastAsia="Calibri"/>
                <w:sz w:val="18"/>
                <w:szCs w:val="18"/>
                <w:lang w:val="en-GB"/>
              </w:rPr>
              <w:t>Packaging Cost</w:t>
            </w:r>
          </w:p>
        </w:tc>
        <w:tc>
          <w:tcPr>
            <w:tcW w:w="2800" w:type="dxa"/>
          </w:tcPr>
          <w:p w14:paraId="37D0BDFC" w14:textId="61B80782" w:rsidR="007C4CF6" w:rsidRPr="0091055F" w:rsidRDefault="007F6D37" w:rsidP="00B36B52">
            <w:pPr>
              <w:pStyle w:val="ExhibitText"/>
              <w:tabs>
                <w:tab w:val="decimal" w:pos="1234"/>
              </w:tabs>
              <w:rPr>
                <w:rFonts w:eastAsia="Calibri"/>
                <w:sz w:val="18"/>
                <w:szCs w:val="18"/>
                <w:lang w:val="en-GB"/>
              </w:rPr>
            </w:pPr>
            <w:r w:rsidRPr="0091055F">
              <w:rPr>
                <w:rFonts w:eastAsia="Calibri"/>
                <w:sz w:val="18"/>
                <w:szCs w:val="18"/>
                <w:lang w:val="en-GB"/>
              </w:rPr>
              <w:t xml:space="preserve"> </w:t>
            </w:r>
            <w:r w:rsidR="007C4CF6" w:rsidRPr="0091055F">
              <w:rPr>
                <w:rFonts w:eastAsia="Calibri"/>
                <w:sz w:val="18"/>
                <w:szCs w:val="18"/>
                <w:lang w:val="en-GB"/>
              </w:rPr>
              <w:t>$0.56</w:t>
            </w:r>
          </w:p>
        </w:tc>
        <w:tc>
          <w:tcPr>
            <w:tcW w:w="3197" w:type="dxa"/>
          </w:tcPr>
          <w:p w14:paraId="5E15427D" w14:textId="77777777" w:rsidR="007C4CF6" w:rsidRPr="0091055F" w:rsidRDefault="007C4CF6" w:rsidP="00B36B52">
            <w:pPr>
              <w:pStyle w:val="ExhibitText"/>
              <w:tabs>
                <w:tab w:val="decimal" w:pos="1584"/>
              </w:tabs>
              <w:rPr>
                <w:rFonts w:eastAsia="Calibri"/>
                <w:sz w:val="18"/>
                <w:szCs w:val="18"/>
                <w:lang w:val="en-GB"/>
              </w:rPr>
            </w:pPr>
            <w:r w:rsidRPr="0091055F">
              <w:rPr>
                <w:rFonts w:eastAsia="Calibri"/>
                <w:sz w:val="18"/>
                <w:szCs w:val="18"/>
                <w:lang w:val="en-GB"/>
              </w:rPr>
              <w:t xml:space="preserve"> $2.50 </w:t>
            </w:r>
          </w:p>
        </w:tc>
      </w:tr>
      <w:tr w:rsidR="007C4CF6" w:rsidRPr="0091055F" w14:paraId="2FE8A0C6" w14:textId="77777777" w:rsidTr="007C4CF6">
        <w:trPr>
          <w:trHeight w:val="60"/>
          <w:jc w:val="center"/>
        </w:trPr>
        <w:tc>
          <w:tcPr>
            <w:tcW w:w="2700" w:type="dxa"/>
          </w:tcPr>
          <w:p w14:paraId="4A8C8548" w14:textId="77777777" w:rsidR="007C4CF6" w:rsidRPr="0091055F" w:rsidRDefault="007C4CF6" w:rsidP="00FE1FC6">
            <w:pPr>
              <w:pStyle w:val="ExhibitText"/>
              <w:rPr>
                <w:rFonts w:eastAsia="Calibri"/>
                <w:sz w:val="18"/>
                <w:szCs w:val="18"/>
                <w:lang w:val="en-GB"/>
              </w:rPr>
            </w:pPr>
            <w:r w:rsidRPr="0091055F">
              <w:rPr>
                <w:rFonts w:eastAsia="Calibri"/>
                <w:sz w:val="18"/>
                <w:szCs w:val="18"/>
                <w:lang w:val="en-GB"/>
              </w:rPr>
              <w:t>As a % of Retail Price</w:t>
            </w:r>
          </w:p>
        </w:tc>
        <w:tc>
          <w:tcPr>
            <w:tcW w:w="2800" w:type="dxa"/>
          </w:tcPr>
          <w:p w14:paraId="0BE209FB" w14:textId="00C165A9" w:rsidR="007C4CF6" w:rsidRPr="0091055F" w:rsidRDefault="007F6D37" w:rsidP="00B36B52">
            <w:pPr>
              <w:pStyle w:val="ExhibitText"/>
              <w:tabs>
                <w:tab w:val="decimal" w:pos="1234"/>
              </w:tabs>
              <w:rPr>
                <w:rFonts w:eastAsia="Calibri"/>
                <w:sz w:val="18"/>
                <w:szCs w:val="18"/>
                <w:lang w:val="en-GB"/>
              </w:rPr>
            </w:pPr>
            <w:r w:rsidRPr="0091055F">
              <w:rPr>
                <w:rFonts w:eastAsia="Calibri"/>
                <w:sz w:val="18"/>
                <w:szCs w:val="18"/>
                <w:lang w:val="en-GB"/>
              </w:rPr>
              <w:t xml:space="preserve"> </w:t>
            </w:r>
            <w:r w:rsidR="007C4CF6" w:rsidRPr="0091055F">
              <w:rPr>
                <w:rFonts w:eastAsia="Calibri"/>
                <w:sz w:val="18"/>
                <w:szCs w:val="18"/>
                <w:lang w:val="en-GB"/>
              </w:rPr>
              <w:t>4%</w:t>
            </w:r>
          </w:p>
        </w:tc>
        <w:tc>
          <w:tcPr>
            <w:tcW w:w="3197" w:type="dxa"/>
          </w:tcPr>
          <w:p w14:paraId="79A58818" w14:textId="77777777" w:rsidR="007C4CF6" w:rsidRPr="0091055F" w:rsidRDefault="007C4CF6" w:rsidP="00B36B52">
            <w:pPr>
              <w:pStyle w:val="ExhibitText"/>
              <w:tabs>
                <w:tab w:val="decimal" w:pos="1584"/>
              </w:tabs>
              <w:rPr>
                <w:rFonts w:eastAsia="Calibri"/>
                <w:sz w:val="18"/>
                <w:szCs w:val="18"/>
                <w:lang w:val="en-GB"/>
              </w:rPr>
            </w:pPr>
            <w:r w:rsidRPr="0091055F">
              <w:rPr>
                <w:rFonts w:eastAsia="Calibri"/>
                <w:sz w:val="18"/>
                <w:szCs w:val="18"/>
                <w:lang w:val="en-GB"/>
              </w:rPr>
              <w:t>18%</w:t>
            </w:r>
          </w:p>
        </w:tc>
      </w:tr>
      <w:tr w:rsidR="007C4CF6" w:rsidRPr="0091055F" w14:paraId="65E07DD3" w14:textId="77777777" w:rsidTr="007C4CF6">
        <w:trPr>
          <w:trHeight w:val="60"/>
          <w:jc w:val="center"/>
        </w:trPr>
        <w:tc>
          <w:tcPr>
            <w:tcW w:w="2700" w:type="dxa"/>
          </w:tcPr>
          <w:p w14:paraId="0A6CA09A" w14:textId="77777777" w:rsidR="007C4CF6" w:rsidRPr="0091055F" w:rsidRDefault="007C4CF6" w:rsidP="00FE1FC6">
            <w:pPr>
              <w:pStyle w:val="ExhibitText"/>
              <w:rPr>
                <w:rFonts w:eastAsia="Calibri"/>
                <w:sz w:val="18"/>
                <w:szCs w:val="18"/>
                <w:lang w:val="en-GB"/>
              </w:rPr>
            </w:pPr>
            <w:r w:rsidRPr="0091055F">
              <w:rPr>
                <w:rFonts w:eastAsia="Calibri"/>
                <w:sz w:val="18"/>
                <w:szCs w:val="18"/>
                <w:lang w:val="en-GB"/>
              </w:rPr>
              <w:t>As a % of COGS</w:t>
            </w:r>
          </w:p>
        </w:tc>
        <w:tc>
          <w:tcPr>
            <w:tcW w:w="2800" w:type="dxa"/>
          </w:tcPr>
          <w:p w14:paraId="0459F12A" w14:textId="6236E26B" w:rsidR="007C4CF6" w:rsidRPr="0091055F" w:rsidRDefault="007F6D37" w:rsidP="00B36B52">
            <w:pPr>
              <w:pStyle w:val="ExhibitText"/>
              <w:tabs>
                <w:tab w:val="decimal" w:pos="1234"/>
              </w:tabs>
              <w:rPr>
                <w:rFonts w:eastAsia="Calibri"/>
                <w:sz w:val="18"/>
                <w:szCs w:val="18"/>
                <w:lang w:val="en-GB"/>
              </w:rPr>
            </w:pPr>
            <w:r w:rsidRPr="0091055F">
              <w:rPr>
                <w:rFonts w:eastAsia="Calibri"/>
                <w:sz w:val="18"/>
                <w:szCs w:val="18"/>
                <w:lang w:val="en-GB"/>
              </w:rPr>
              <w:t xml:space="preserve"> </w:t>
            </w:r>
            <w:r w:rsidR="007C4CF6" w:rsidRPr="0091055F">
              <w:rPr>
                <w:rFonts w:eastAsia="Calibri"/>
                <w:sz w:val="18"/>
                <w:szCs w:val="18"/>
                <w:lang w:val="en-GB"/>
              </w:rPr>
              <w:t>36%</w:t>
            </w:r>
          </w:p>
        </w:tc>
        <w:tc>
          <w:tcPr>
            <w:tcW w:w="3197" w:type="dxa"/>
          </w:tcPr>
          <w:p w14:paraId="09859B19" w14:textId="77777777" w:rsidR="007C4CF6" w:rsidRPr="0091055F" w:rsidRDefault="007C4CF6" w:rsidP="00B36B52">
            <w:pPr>
              <w:pStyle w:val="ExhibitText"/>
              <w:tabs>
                <w:tab w:val="decimal" w:pos="1584"/>
              </w:tabs>
              <w:rPr>
                <w:rFonts w:eastAsia="Calibri"/>
                <w:sz w:val="18"/>
                <w:szCs w:val="18"/>
                <w:lang w:val="en-GB"/>
              </w:rPr>
            </w:pPr>
            <w:r w:rsidRPr="0091055F">
              <w:rPr>
                <w:rFonts w:eastAsia="Calibri"/>
                <w:sz w:val="18"/>
                <w:szCs w:val="18"/>
                <w:lang w:val="en-GB"/>
              </w:rPr>
              <w:t>72%</w:t>
            </w:r>
          </w:p>
        </w:tc>
      </w:tr>
    </w:tbl>
    <w:p w14:paraId="16C12F6D" w14:textId="77777777" w:rsidR="00A857DB" w:rsidRPr="00B36B52" w:rsidRDefault="00A857DB" w:rsidP="00FE1FC6">
      <w:pPr>
        <w:pStyle w:val="ExhibitText"/>
        <w:rPr>
          <w:sz w:val="12"/>
          <w:szCs w:val="16"/>
          <w:highlight w:val="white"/>
          <w:lang w:val="en-GB"/>
        </w:rPr>
      </w:pPr>
    </w:p>
    <w:p w14:paraId="31E31B27" w14:textId="09F31598" w:rsidR="00A857DB" w:rsidRPr="00B36B52" w:rsidRDefault="00020678" w:rsidP="00FE1FC6">
      <w:pPr>
        <w:pStyle w:val="ExhibitText"/>
        <w:rPr>
          <w:sz w:val="16"/>
          <w:szCs w:val="16"/>
          <w:highlight w:val="white"/>
          <w:lang w:val="en-GB"/>
        </w:rPr>
      </w:pPr>
      <w:r>
        <w:rPr>
          <w:sz w:val="16"/>
          <w:szCs w:val="16"/>
          <w:highlight w:val="white"/>
          <w:lang w:val="en-GB"/>
        </w:rPr>
        <w:t>Note: COGS = cost of goods sold</w:t>
      </w:r>
    </w:p>
    <w:p w14:paraId="06E5917C" w14:textId="0AC472AC" w:rsidR="00FE1FC6" w:rsidRPr="0091055F" w:rsidRDefault="00FE1FC6" w:rsidP="001D428A">
      <w:pPr>
        <w:pStyle w:val="ExhibitText"/>
        <w:rPr>
          <w:lang w:val="en-GB"/>
        </w:rPr>
      </w:pPr>
      <w:r w:rsidRPr="001D428A">
        <w:rPr>
          <w:sz w:val="16"/>
          <w:szCs w:val="16"/>
          <w:highlight w:val="white"/>
          <w:lang w:val="en-GB"/>
        </w:rPr>
        <w:t xml:space="preserve">Source: Compiled by authors based on </w:t>
      </w:r>
      <w:r w:rsidR="00020678" w:rsidRPr="001D428A">
        <w:rPr>
          <w:sz w:val="16"/>
          <w:szCs w:val="16"/>
          <w:highlight w:val="white"/>
          <w:lang w:val="en-GB"/>
        </w:rPr>
        <w:t xml:space="preserve">company </w:t>
      </w:r>
      <w:r w:rsidRPr="001D428A">
        <w:rPr>
          <w:sz w:val="16"/>
          <w:szCs w:val="16"/>
          <w:highlight w:val="white"/>
          <w:lang w:val="en-GB"/>
        </w:rPr>
        <w:t>data</w:t>
      </w:r>
      <w:r w:rsidR="007C4CF6" w:rsidRPr="001D428A">
        <w:rPr>
          <w:sz w:val="16"/>
          <w:szCs w:val="16"/>
          <w:highlight w:val="white"/>
          <w:lang w:val="en-GB"/>
        </w:rPr>
        <w:t>.</w:t>
      </w:r>
      <w:r w:rsidRPr="0091055F">
        <w:rPr>
          <w:lang w:val="en-GB"/>
        </w:rPr>
        <w:br w:type="page"/>
      </w:r>
    </w:p>
    <w:p w14:paraId="5D451C28" w14:textId="3F56190D" w:rsidR="00FE1FC6" w:rsidRPr="0091055F" w:rsidRDefault="00FE1FC6" w:rsidP="00FE1FC6">
      <w:pPr>
        <w:pStyle w:val="Casehead1"/>
        <w:rPr>
          <w:lang w:val="en-GB"/>
        </w:rPr>
      </w:pPr>
      <w:r w:rsidRPr="0091055F">
        <w:rPr>
          <w:lang w:val="en-GB"/>
        </w:rPr>
        <w:lastRenderedPageBreak/>
        <w:t>Endnotes</w:t>
      </w:r>
    </w:p>
    <w:sectPr w:rsidR="00FE1FC6" w:rsidRPr="0091055F" w:rsidSect="00751E0B">
      <w:headerReference w:type="default" r:id="rId9"/>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B0250B" w16cid:durableId="20D07248"/>
  <w16cid:commentId w16cid:paraId="0F9A510D" w16cid:durableId="20E885CE"/>
  <w16cid:commentId w16cid:paraId="19A5FD21" w16cid:durableId="20E98524"/>
  <w16cid:commentId w16cid:paraId="3C8CC40A" w16cid:durableId="20D18876"/>
  <w16cid:commentId w16cid:paraId="0625878B" w16cid:durableId="20E88357"/>
  <w16cid:commentId w16cid:paraId="28A06964" w16cid:durableId="20D2F5F4"/>
  <w16cid:commentId w16cid:paraId="3F823025" w16cid:durableId="20D0908D"/>
  <w16cid:commentId w16cid:paraId="10C72DD0" w16cid:durableId="20E8835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E8D349" w14:textId="77777777" w:rsidR="00D3273B" w:rsidRDefault="00D3273B" w:rsidP="00D75295">
      <w:r>
        <w:separator/>
      </w:r>
    </w:p>
  </w:endnote>
  <w:endnote w:type="continuationSeparator" w:id="0">
    <w:p w14:paraId="0543D1AB" w14:textId="77777777" w:rsidR="00D3273B" w:rsidRDefault="00D3273B" w:rsidP="00D75295">
      <w:r>
        <w:continuationSeparator/>
      </w:r>
    </w:p>
  </w:endnote>
  <w:endnote w:id="1">
    <w:p w14:paraId="169BC25F" w14:textId="6239313A" w:rsidR="00545103" w:rsidRPr="00FE1FC6" w:rsidRDefault="00545103" w:rsidP="00FE1FC6">
      <w:pPr>
        <w:pStyle w:val="Footnote"/>
      </w:pPr>
      <w:r w:rsidRPr="00FE1FC6">
        <w:rPr>
          <w:vertAlign w:val="superscript"/>
        </w:rPr>
        <w:endnoteRef/>
      </w:r>
      <w:r w:rsidRPr="00FE1FC6">
        <w:t xml:space="preserve"> All </w:t>
      </w:r>
      <w:r>
        <w:t xml:space="preserve">currency </w:t>
      </w:r>
      <w:r w:rsidRPr="00FE1FC6">
        <w:t xml:space="preserve">amounts are </w:t>
      </w:r>
      <w:r>
        <w:t xml:space="preserve">in </w:t>
      </w:r>
      <w:r w:rsidRPr="00FE1FC6">
        <w:t>CA</w:t>
      </w:r>
      <w:r>
        <w:t>$</w:t>
      </w:r>
      <w:r w:rsidRPr="00FE1FC6">
        <w:t xml:space="preserve"> unless otherwise </w:t>
      </w:r>
      <w:r>
        <w:t>specified</w:t>
      </w:r>
      <w:r w:rsidRPr="00FE1FC6">
        <w:t>.</w:t>
      </w:r>
    </w:p>
  </w:endnote>
  <w:endnote w:id="2">
    <w:p w14:paraId="707C6A36" w14:textId="703BD201" w:rsidR="00545103" w:rsidRPr="00FE1FC6" w:rsidRDefault="00545103" w:rsidP="00FE1FC6">
      <w:pPr>
        <w:pStyle w:val="Footnote"/>
        <w:rPr>
          <w:rFonts w:eastAsia="Calibri"/>
        </w:rPr>
      </w:pPr>
      <w:r w:rsidRPr="00FE1FC6">
        <w:rPr>
          <w:vertAlign w:val="superscript"/>
        </w:rPr>
        <w:endnoteRef/>
      </w:r>
      <w:r w:rsidRPr="00FE1FC6">
        <w:rPr>
          <w:rFonts w:eastAsia="Calibri"/>
          <w:vertAlign w:val="superscript"/>
        </w:rPr>
        <w:t xml:space="preserve"> </w:t>
      </w:r>
      <w:r w:rsidRPr="00FE1FC6">
        <w:rPr>
          <w:rFonts w:eastAsia="Calibri"/>
        </w:rPr>
        <w:t>“</w:t>
      </w:r>
      <w:r>
        <w:rPr>
          <w:rFonts w:eastAsia="Calibri"/>
        </w:rPr>
        <w:t xml:space="preserve">Rocky in the Spotlight,” </w:t>
      </w:r>
      <w:r w:rsidRPr="00FE1FC6">
        <w:rPr>
          <w:rFonts w:eastAsia="Calibri"/>
        </w:rPr>
        <w:t>Rocky Mountain Soap Co</w:t>
      </w:r>
      <w:r>
        <w:rPr>
          <w:rFonts w:eastAsia="Calibri"/>
        </w:rPr>
        <w:t>.</w:t>
      </w:r>
      <w:r w:rsidRPr="00FE1FC6">
        <w:rPr>
          <w:rFonts w:eastAsia="Calibri"/>
        </w:rPr>
        <w:t>, accessed November 16, 2017, www.rockymountainsoap.com/pages/awards</w:t>
      </w:r>
      <w:r>
        <w:rPr>
          <w:rFonts w:eastAsia="Calibri"/>
        </w:rPr>
        <w:t>.</w:t>
      </w:r>
    </w:p>
  </w:endnote>
  <w:endnote w:id="3">
    <w:p w14:paraId="70038031" w14:textId="5C1C5C03" w:rsidR="00545103" w:rsidRPr="00FE1FC6" w:rsidRDefault="00545103" w:rsidP="00FE1FC6">
      <w:pPr>
        <w:pStyle w:val="Footnote"/>
        <w:rPr>
          <w:rFonts w:eastAsia="Calibri"/>
        </w:rPr>
      </w:pPr>
      <w:r w:rsidRPr="00FE1FC6">
        <w:rPr>
          <w:vertAlign w:val="superscript"/>
        </w:rPr>
        <w:endnoteRef/>
      </w:r>
      <w:r w:rsidRPr="00FE1FC6">
        <w:rPr>
          <w:rFonts w:eastAsia="Calibri"/>
        </w:rPr>
        <w:t xml:space="preserve"> “</w:t>
      </w:r>
      <w:r>
        <w:rPr>
          <w:rFonts w:eastAsia="Calibri"/>
        </w:rPr>
        <w:t xml:space="preserve">Canada’s Most Admired Corporate Cultures™,” Waterstone Human Capital, </w:t>
      </w:r>
      <w:r w:rsidRPr="00FE1FC6">
        <w:rPr>
          <w:rFonts w:eastAsia="Calibri"/>
        </w:rPr>
        <w:t>accessed November 18, 2017, https://waterstonehc.com/cma/awards/canadas-most-admired-corporate-cultures/</w:t>
      </w:r>
      <w:r>
        <w:rPr>
          <w:rFonts w:eastAsia="Calibri"/>
        </w:rPr>
        <w:t>.</w:t>
      </w:r>
    </w:p>
  </w:endnote>
  <w:endnote w:id="4">
    <w:p w14:paraId="7CD7C618" w14:textId="4468BD4F" w:rsidR="00545103" w:rsidRPr="00FE1FC6" w:rsidRDefault="00545103" w:rsidP="00FE1FC6">
      <w:pPr>
        <w:pStyle w:val="Footnote"/>
        <w:rPr>
          <w:rFonts w:eastAsia="Calibri"/>
        </w:rPr>
      </w:pPr>
      <w:r w:rsidRPr="00FE1FC6">
        <w:rPr>
          <w:vertAlign w:val="superscript"/>
        </w:rPr>
        <w:endnoteRef/>
      </w:r>
      <w:r w:rsidRPr="00FE1FC6">
        <w:rPr>
          <w:rFonts w:eastAsia="Calibri"/>
        </w:rPr>
        <w:t xml:space="preserve"> “Personal Care Products,” </w:t>
      </w:r>
      <w:r>
        <w:rPr>
          <w:rFonts w:eastAsia="Calibri"/>
        </w:rPr>
        <w:t>Vault</w:t>
      </w:r>
      <w:r w:rsidRPr="00FE1FC6">
        <w:rPr>
          <w:rFonts w:eastAsia="Calibri"/>
        </w:rPr>
        <w:t>, accessed November 23, 2017, www.vault.com/industries-professions/industries/personal-care-products.aspx.</w:t>
      </w:r>
    </w:p>
  </w:endnote>
  <w:endnote w:id="5">
    <w:p w14:paraId="7CD7711D" w14:textId="33BF6BBB" w:rsidR="00545103" w:rsidRPr="00FE1FC6" w:rsidRDefault="00545103" w:rsidP="00FE1FC6">
      <w:pPr>
        <w:pStyle w:val="Footnote"/>
        <w:rPr>
          <w:rFonts w:eastAsia="Calibri"/>
        </w:rPr>
      </w:pPr>
      <w:r w:rsidRPr="00FE1FC6">
        <w:rPr>
          <w:vertAlign w:val="superscript"/>
        </w:rPr>
        <w:endnoteRef/>
      </w:r>
      <w:r w:rsidRPr="00FE1FC6">
        <w:rPr>
          <w:rFonts w:eastAsia="Calibri"/>
        </w:rPr>
        <w:t xml:space="preserve"> Simon Pitman, “Growth of Global Ingredients Market Outpaces Personal Care Industry,” Cosmetics Design, October 28, 2015, accessed November 23, 2017, www.cosmeticsdesign.com/Article/2015/10/28/Growth-of-global-ingredients-market-outpaces-personal-care-industry</w:t>
      </w:r>
      <w:r>
        <w:rPr>
          <w:rFonts w:eastAsia="Calibri"/>
        </w:rPr>
        <w:t>.</w:t>
      </w:r>
    </w:p>
  </w:endnote>
  <w:endnote w:id="6">
    <w:p w14:paraId="701B630A" w14:textId="3AFBC0E5" w:rsidR="00545103" w:rsidRPr="00FE1FC6" w:rsidRDefault="00545103" w:rsidP="005D6F0C">
      <w:pPr>
        <w:pStyle w:val="Footnote"/>
        <w:rPr>
          <w:rFonts w:eastAsia="Calibri"/>
        </w:rPr>
      </w:pPr>
      <w:r w:rsidRPr="00FE1FC6">
        <w:rPr>
          <w:vertAlign w:val="superscript"/>
        </w:rPr>
        <w:endnoteRef/>
      </w:r>
      <w:r w:rsidRPr="00FE1FC6">
        <w:rPr>
          <w:rFonts w:eastAsia="Calibri"/>
        </w:rPr>
        <w:t xml:space="preserve"> “Industry Trends 2017</w:t>
      </w:r>
      <w:r>
        <w:rPr>
          <w:rFonts w:eastAsia="Calibri"/>
        </w:rPr>
        <w:t>—</w:t>
      </w:r>
      <w:r w:rsidRPr="00FE1FC6">
        <w:rPr>
          <w:rFonts w:eastAsia="Calibri"/>
        </w:rPr>
        <w:t>CPG Personal Care,” Snipp</w:t>
      </w:r>
      <w:r>
        <w:rPr>
          <w:rFonts w:eastAsia="Calibri"/>
        </w:rPr>
        <w:t>!</w:t>
      </w:r>
      <w:r w:rsidRPr="00FE1FC6">
        <w:rPr>
          <w:rFonts w:eastAsia="Calibri"/>
        </w:rPr>
        <w:t>, August 14, 2017, accessed November 22, 2017, www.snipp.com/blog/2017-08-14/industry-trends-2017-cpg-personal-care/</w:t>
      </w:r>
      <w:r>
        <w:rPr>
          <w:rFonts w:eastAsia="Calibri"/>
        </w:rPr>
        <w:t>.</w:t>
      </w:r>
    </w:p>
  </w:endnote>
  <w:endnote w:id="7">
    <w:p w14:paraId="65B35A10" w14:textId="6B21B792" w:rsidR="00545103" w:rsidRPr="00E32785" w:rsidRDefault="00545103" w:rsidP="005D6F0C">
      <w:pPr>
        <w:pStyle w:val="Footnote"/>
        <w:rPr>
          <w:rFonts w:eastAsia="Calibri"/>
        </w:rPr>
      </w:pPr>
      <w:r w:rsidRPr="00FE1FC6">
        <w:rPr>
          <w:vertAlign w:val="superscript"/>
        </w:rPr>
        <w:endnoteRef/>
      </w:r>
      <w:r w:rsidRPr="00FE1FC6">
        <w:rPr>
          <w:rFonts w:eastAsia="Calibri"/>
          <w:vertAlign w:val="superscript"/>
        </w:rPr>
        <w:t xml:space="preserve"> </w:t>
      </w:r>
      <w:r w:rsidRPr="00FE1FC6">
        <w:rPr>
          <w:rFonts w:eastAsia="Calibri"/>
        </w:rPr>
        <w:t xml:space="preserve">“First Research Industry Profile: Personal Care Products Manufacturing,” </w:t>
      </w:r>
      <w:r>
        <w:rPr>
          <w:rFonts w:eastAsia="Calibri"/>
        </w:rPr>
        <w:t xml:space="preserve">First Research, </w:t>
      </w:r>
      <w:r w:rsidRPr="00FE1FC6">
        <w:rPr>
          <w:rFonts w:eastAsia="Calibri"/>
        </w:rPr>
        <w:t>August 7, 2017.</w:t>
      </w:r>
      <w:r>
        <w:rPr>
          <w:rFonts w:eastAsia="Calibri"/>
        </w:rPr>
        <w:t xml:space="preserve"> </w:t>
      </w:r>
    </w:p>
  </w:endnote>
  <w:endnote w:id="8">
    <w:p w14:paraId="2C92F327" w14:textId="5C0427DC" w:rsidR="00545103" w:rsidRPr="00FE1FC6" w:rsidRDefault="00545103" w:rsidP="00FE1FC6">
      <w:pPr>
        <w:pStyle w:val="Footnote"/>
        <w:rPr>
          <w:rFonts w:eastAsia="Calibri"/>
        </w:rPr>
      </w:pPr>
      <w:r w:rsidRPr="00FE1FC6">
        <w:rPr>
          <w:vertAlign w:val="superscript"/>
        </w:rPr>
        <w:endnoteRef/>
      </w:r>
      <w:r w:rsidRPr="00FE1FC6">
        <w:rPr>
          <w:rFonts w:eastAsia="Calibri"/>
          <w:vertAlign w:val="superscript"/>
        </w:rPr>
        <w:t xml:space="preserve"> </w:t>
      </w:r>
      <w:r w:rsidRPr="00FE1FC6">
        <w:rPr>
          <w:rFonts w:eastAsia="Calibri"/>
        </w:rPr>
        <w:t xml:space="preserve">Imogen Matthews, “Trends in the </w:t>
      </w:r>
      <w:r>
        <w:rPr>
          <w:rFonts w:eastAsia="Calibri"/>
        </w:rPr>
        <w:t>G</w:t>
      </w:r>
      <w:r w:rsidRPr="00FE1FC6">
        <w:rPr>
          <w:rFonts w:eastAsia="Calibri"/>
        </w:rPr>
        <w:t xml:space="preserve">lobal </w:t>
      </w:r>
      <w:r>
        <w:rPr>
          <w:rFonts w:eastAsia="Calibri"/>
        </w:rPr>
        <w:t>M</w:t>
      </w:r>
      <w:r w:rsidRPr="00FE1FC6">
        <w:rPr>
          <w:rFonts w:eastAsia="Calibri"/>
        </w:rPr>
        <w:t xml:space="preserve">en’s </w:t>
      </w:r>
      <w:r>
        <w:rPr>
          <w:rFonts w:eastAsia="Calibri"/>
        </w:rPr>
        <w:t>G</w:t>
      </w:r>
      <w:r w:rsidRPr="00FE1FC6">
        <w:rPr>
          <w:rFonts w:eastAsia="Calibri"/>
        </w:rPr>
        <w:t xml:space="preserve">rooming </w:t>
      </w:r>
      <w:r>
        <w:rPr>
          <w:rFonts w:eastAsia="Calibri"/>
        </w:rPr>
        <w:t>M</w:t>
      </w:r>
      <w:r w:rsidRPr="00FE1FC6">
        <w:rPr>
          <w:rFonts w:eastAsia="Calibri"/>
        </w:rPr>
        <w:t>arket,” In-cosmetics, January 29, 2015, accessed November 21, 2017, http://news.in-cosmetics.com/2015/01/trends-in-the-global-mens-grooming-market/</w:t>
      </w:r>
      <w:r>
        <w:rPr>
          <w:rFonts w:eastAsia="Calibri"/>
        </w:rPr>
        <w:t>.</w:t>
      </w:r>
    </w:p>
  </w:endnote>
  <w:endnote w:id="9">
    <w:p w14:paraId="1C86E2C1" w14:textId="58E09561" w:rsidR="00545103" w:rsidRPr="00FE1FC6" w:rsidRDefault="00545103" w:rsidP="00FE1FC6">
      <w:pPr>
        <w:pStyle w:val="Footnote"/>
        <w:rPr>
          <w:rFonts w:eastAsia="Calibri"/>
        </w:rPr>
      </w:pPr>
      <w:r w:rsidRPr="00FE1FC6">
        <w:rPr>
          <w:vertAlign w:val="superscript"/>
        </w:rPr>
        <w:endnoteRef/>
      </w:r>
      <w:r w:rsidRPr="00FE1FC6">
        <w:rPr>
          <w:rFonts w:eastAsia="Calibri"/>
        </w:rPr>
        <w:t xml:space="preserve"> “Men's Personal Care Market to Reach $166 Billion, Globally, by 2022</w:t>
      </w:r>
      <w:r>
        <w:rPr>
          <w:rFonts w:eastAsia="Calibri"/>
        </w:rPr>
        <w:t>—</w:t>
      </w:r>
      <w:r w:rsidRPr="00FE1FC6">
        <w:rPr>
          <w:rFonts w:eastAsia="Calibri"/>
        </w:rPr>
        <w:t xml:space="preserve">Allied Market Research,” </w:t>
      </w:r>
      <w:r w:rsidR="008451A8">
        <w:rPr>
          <w:rFonts w:eastAsia="Calibri"/>
        </w:rPr>
        <w:t>Cision: PR Newswire,</w:t>
      </w:r>
      <w:r w:rsidRPr="00FE1FC6">
        <w:rPr>
          <w:rFonts w:eastAsia="Calibri"/>
        </w:rPr>
        <w:t xml:space="preserve"> Oct</w:t>
      </w:r>
      <w:r>
        <w:rPr>
          <w:rFonts w:eastAsia="Calibri"/>
        </w:rPr>
        <w:t>ober</w:t>
      </w:r>
      <w:r w:rsidRPr="00FE1FC6">
        <w:rPr>
          <w:rFonts w:eastAsia="Calibri"/>
        </w:rPr>
        <w:t xml:space="preserve"> 19, 2016, accessed November 23, 2017, www.prnewswire.com/news-releases/mens-personal-care-market-to-reach-166-billion-globally-by-2022-allied-market-research-597595471.html</w:t>
      </w:r>
      <w:r>
        <w:rPr>
          <w:rFonts w:eastAsia="Calibri"/>
        </w:rPr>
        <w:t>.</w:t>
      </w:r>
    </w:p>
  </w:endnote>
  <w:endnote w:id="10">
    <w:p w14:paraId="7DB5D9CE" w14:textId="33E74F0D" w:rsidR="00545103" w:rsidRPr="00FE1FC6" w:rsidRDefault="00545103" w:rsidP="00FE1FC6">
      <w:pPr>
        <w:pStyle w:val="Footnote"/>
        <w:rPr>
          <w:rFonts w:eastAsia="Calibri"/>
        </w:rPr>
      </w:pPr>
      <w:r w:rsidRPr="00FE1FC6">
        <w:rPr>
          <w:vertAlign w:val="superscript"/>
        </w:rPr>
        <w:endnoteRef/>
      </w:r>
      <w:r w:rsidRPr="00FE1FC6">
        <w:rPr>
          <w:rFonts w:eastAsia="Calibri"/>
        </w:rPr>
        <w:t xml:space="preserve"> “Industry Trends 2017,” </w:t>
      </w:r>
      <w:r>
        <w:rPr>
          <w:rFonts w:eastAsia="Calibri"/>
        </w:rPr>
        <w:t xml:space="preserve">op. cit. </w:t>
      </w:r>
    </w:p>
  </w:endnote>
  <w:endnote w:id="11">
    <w:p w14:paraId="4471AFEB" w14:textId="0C83849B" w:rsidR="00545103" w:rsidRPr="00FE1FC6" w:rsidRDefault="00545103" w:rsidP="00FE1FC6">
      <w:pPr>
        <w:pStyle w:val="Footnote"/>
        <w:rPr>
          <w:rFonts w:eastAsia="Calibri"/>
        </w:rPr>
      </w:pPr>
      <w:r w:rsidRPr="00FE1FC6">
        <w:rPr>
          <w:vertAlign w:val="superscript"/>
        </w:rPr>
        <w:endnoteRef/>
      </w:r>
      <w:r w:rsidRPr="00FE1FC6">
        <w:rPr>
          <w:rFonts w:eastAsia="Calibri"/>
        </w:rPr>
        <w:t xml:space="preserve"> Hee Yeon Kim and Jae-Eun Chung, “Consumer </w:t>
      </w:r>
      <w:r>
        <w:rPr>
          <w:rFonts w:eastAsia="Calibri"/>
        </w:rPr>
        <w:t>P</w:t>
      </w:r>
      <w:r w:rsidRPr="00FE1FC6">
        <w:rPr>
          <w:rFonts w:eastAsia="Calibri"/>
        </w:rPr>
        <w:t xml:space="preserve">urchase </w:t>
      </w:r>
      <w:r>
        <w:rPr>
          <w:rFonts w:eastAsia="Calibri"/>
        </w:rPr>
        <w:t>I</w:t>
      </w:r>
      <w:r w:rsidRPr="00FE1FC6">
        <w:rPr>
          <w:rFonts w:eastAsia="Calibri"/>
        </w:rPr>
        <w:t xml:space="preserve">ntention for </w:t>
      </w:r>
      <w:r>
        <w:rPr>
          <w:rFonts w:eastAsia="Calibri"/>
        </w:rPr>
        <w:t>O</w:t>
      </w:r>
      <w:r w:rsidRPr="00FE1FC6">
        <w:rPr>
          <w:rFonts w:eastAsia="Calibri"/>
        </w:rPr>
        <w:t xml:space="preserve">rganic </w:t>
      </w:r>
      <w:r>
        <w:rPr>
          <w:rFonts w:eastAsia="Calibri"/>
        </w:rPr>
        <w:t>P</w:t>
      </w:r>
      <w:r w:rsidRPr="00FE1FC6">
        <w:rPr>
          <w:rFonts w:eastAsia="Calibri"/>
        </w:rPr>
        <w:t xml:space="preserve">ersonal </w:t>
      </w:r>
      <w:r>
        <w:rPr>
          <w:rFonts w:eastAsia="Calibri"/>
        </w:rPr>
        <w:t>C</w:t>
      </w:r>
      <w:r w:rsidRPr="00FE1FC6">
        <w:rPr>
          <w:rFonts w:eastAsia="Calibri"/>
        </w:rPr>
        <w:t xml:space="preserve">are </w:t>
      </w:r>
      <w:r>
        <w:rPr>
          <w:rFonts w:eastAsia="Calibri"/>
        </w:rPr>
        <w:t>P</w:t>
      </w:r>
      <w:r w:rsidRPr="00FE1FC6">
        <w:rPr>
          <w:rFonts w:eastAsia="Calibri"/>
        </w:rPr>
        <w:t>roducts</w:t>
      </w:r>
      <w:r>
        <w:rPr>
          <w:rFonts w:eastAsia="Calibri"/>
        </w:rPr>
        <w:t>,</w:t>
      </w:r>
      <w:r w:rsidRPr="00FE1FC6">
        <w:rPr>
          <w:rFonts w:eastAsia="Calibri"/>
        </w:rPr>
        <w:t xml:space="preserve">” </w:t>
      </w:r>
      <w:r w:rsidRPr="00E32785">
        <w:rPr>
          <w:rFonts w:eastAsia="Calibri"/>
          <w:i/>
        </w:rPr>
        <w:t>Journal of Consumer Marketing</w:t>
      </w:r>
      <w:r w:rsidRPr="00FE1FC6">
        <w:rPr>
          <w:rFonts w:eastAsia="Calibri"/>
        </w:rPr>
        <w:t xml:space="preserve"> 28</w:t>
      </w:r>
      <w:r>
        <w:rPr>
          <w:rFonts w:eastAsia="Calibri"/>
        </w:rPr>
        <w:t xml:space="preserve">, no. </w:t>
      </w:r>
      <w:r w:rsidRPr="00FE1FC6">
        <w:rPr>
          <w:rFonts w:eastAsia="Calibri"/>
        </w:rPr>
        <w:t xml:space="preserve">1 </w:t>
      </w:r>
      <w:r>
        <w:rPr>
          <w:rFonts w:eastAsia="Calibri"/>
        </w:rPr>
        <w:t xml:space="preserve">(2011): </w:t>
      </w:r>
      <w:r w:rsidRPr="00FE1FC6">
        <w:rPr>
          <w:rFonts w:eastAsia="Calibri"/>
        </w:rPr>
        <w:t>40</w:t>
      </w:r>
      <w:r>
        <w:rPr>
          <w:rFonts w:eastAsia="Calibri"/>
        </w:rPr>
        <w:t>–</w:t>
      </w:r>
      <w:r w:rsidRPr="00FE1FC6">
        <w:rPr>
          <w:rFonts w:eastAsia="Calibri"/>
        </w:rPr>
        <w:t>47</w:t>
      </w:r>
      <w:r>
        <w:rPr>
          <w:rFonts w:eastAsia="Calibri"/>
        </w:rPr>
        <w:t>.</w:t>
      </w:r>
    </w:p>
  </w:endnote>
  <w:endnote w:id="12">
    <w:p w14:paraId="58769C6B" w14:textId="6298D7C1" w:rsidR="00545103" w:rsidRPr="00FE1FC6" w:rsidRDefault="00545103" w:rsidP="00FE1FC6">
      <w:pPr>
        <w:pStyle w:val="Footnote"/>
        <w:rPr>
          <w:rFonts w:eastAsia="Calibri"/>
        </w:rPr>
      </w:pPr>
      <w:r w:rsidRPr="00FE1FC6">
        <w:rPr>
          <w:vertAlign w:val="superscript"/>
        </w:rPr>
        <w:endnoteRef/>
      </w:r>
      <w:r w:rsidRPr="00FE1FC6">
        <w:rPr>
          <w:rFonts w:eastAsia="Calibri"/>
        </w:rPr>
        <w:t xml:space="preserve"> “Natural and Organic Personal Care on Track to $22 Billion by 2024,” Global Cosmetic Industry, July 12, 2016, accessed November 15, 2017, www.gcimagazine.com/marketstrends/segments/natural/Natural-and-Organic-Personal-Care-on--Track-to-22-Billion-by-2024-386495471.html</w:t>
      </w:r>
      <w:r>
        <w:rPr>
          <w:rFonts w:eastAsia="Calibri"/>
        </w:rPr>
        <w:t>.</w:t>
      </w:r>
    </w:p>
  </w:endnote>
  <w:endnote w:id="13">
    <w:p w14:paraId="595B8ABD" w14:textId="17DC7CF8" w:rsidR="00545103" w:rsidRPr="00E32785" w:rsidRDefault="00545103" w:rsidP="00FE1FC6">
      <w:pPr>
        <w:pStyle w:val="Footnote"/>
        <w:rPr>
          <w:rFonts w:eastAsia="Calibri"/>
          <w:b/>
        </w:rPr>
      </w:pPr>
      <w:r w:rsidRPr="0028059F">
        <w:rPr>
          <w:spacing w:val="-4"/>
          <w:vertAlign w:val="superscript"/>
        </w:rPr>
        <w:endnoteRef/>
      </w:r>
      <w:r w:rsidRPr="0028059F">
        <w:rPr>
          <w:rFonts w:eastAsia="Calibri"/>
          <w:spacing w:val="-4"/>
          <w:vertAlign w:val="superscript"/>
        </w:rPr>
        <w:t xml:space="preserve"> </w:t>
      </w:r>
      <w:r w:rsidRPr="0028059F">
        <w:rPr>
          <w:rFonts w:eastAsia="Calibri"/>
          <w:spacing w:val="-4"/>
        </w:rPr>
        <w:t>“Global Natural and Organic Personal Care Products Market Projected to Be Worth USD 17.63 Billion by 2021: Technavio,”</w:t>
      </w:r>
      <w:r w:rsidR="00BF6306" w:rsidRPr="0028059F">
        <w:rPr>
          <w:rFonts w:eastAsia="Calibri"/>
          <w:spacing w:val="-4"/>
        </w:rPr>
        <w:t xml:space="preserve"> BusinessWire, </w:t>
      </w:r>
      <w:r w:rsidRPr="0028059F">
        <w:rPr>
          <w:rFonts w:eastAsia="Calibri"/>
          <w:spacing w:val="-4"/>
        </w:rPr>
        <w:t xml:space="preserve">February 14, 2018, accessed July 10, 2019, </w:t>
      </w:r>
      <w:r w:rsidR="0028059F" w:rsidRPr="0028059F">
        <w:rPr>
          <w:rFonts w:eastAsia="Calibri"/>
          <w:spacing w:val="-4"/>
        </w:rPr>
        <w:t>www.businesswire.com/news/home/20170601006665/</w:t>
      </w:r>
      <w:r w:rsidRPr="0028059F">
        <w:rPr>
          <w:rFonts w:eastAsia="Calibri"/>
          <w:spacing w:val="-4"/>
        </w:rPr>
        <w:t xml:space="preserve">en/Global-Natural-Organic-Personal-Care-Products-Market. </w:t>
      </w:r>
    </w:p>
  </w:endnote>
  <w:endnote w:id="14">
    <w:p w14:paraId="625CF8C7" w14:textId="19400EAA" w:rsidR="0028059F" w:rsidRDefault="00545103" w:rsidP="00FE1FC6">
      <w:pPr>
        <w:pStyle w:val="Footnote"/>
        <w:rPr>
          <w:rFonts w:eastAsia="Calibri"/>
        </w:rPr>
      </w:pPr>
      <w:r w:rsidRPr="00FE1FC6">
        <w:rPr>
          <w:vertAlign w:val="superscript"/>
        </w:rPr>
        <w:endnoteRef/>
      </w:r>
      <w:r w:rsidRPr="00FE1FC6">
        <w:rPr>
          <w:rFonts w:eastAsia="Calibri"/>
        </w:rPr>
        <w:t xml:space="preserve"> “</w:t>
      </w:r>
      <w:r w:rsidR="00BF6306">
        <w:rPr>
          <w:rFonts w:eastAsia="Calibri"/>
        </w:rPr>
        <w:t xml:space="preserve">Lush Cosmetics Ltd.,” Bloomberg, </w:t>
      </w:r>
      <w:r w:rsidRPr="00FE1FC6">
        <w:rPr>
          <w:rFonts w:eastAsia="Calibri"/>
        </w:rPr>
        <w:t xml:space="preserve">accessed November 28, 2017, </w:t>
      </w:r>
      <w:r w:rsidR="0028059F" w:rsidRPr="0028059F">
        <w:rPr>
          <w:rFonts w:eastAsia="Calibri"/>
        </w:rPr>
        <w:t>www.bloomberg.com/research/stocks/private/</w:t>
      </w:r>
      <w:r w:rsidRPr="00FE1FC6">
        <w:rPr>
          <w:rFonts w:eastAsia="Calibri"/>
        </w:rPr>
        <w:t>snapshot.</w:t>
      </w:r>
    </w:p>
    <w:p w14:paraId="27E654A5" w14:textId="4931F067" w:rsidR="00545103" w:rsidRPr="00FE1FC6" w:rsidRDefault="00545103" w:rsidP="00FE1FC6">
      <w:pPr>
        <w:pStyle w:val="Footnote"/>
        <w:rPr>
          <w:rFonts w:eastAsia="Calibri"/>
        </w:rPr>
      </w:pPr>
      <w:r w:rsidRPr="00FE1FC6">
        <w:rPr>
          <w:rFonts w:eastAsia="Calibri"/>
        </w:rPr>
        <w:t>asp?privcapid=159642571</w:t>
      </w:r>
      <w:r>
        <w:rPr>
          <w:rFonts w:eastAsia="Calibri"/>
        </w:rPr>
        <w:t>.</w:t>
      </w:r>
    </w:p>
  </w:endnote>
  <w:endnote w:id="15">
    <w:p w14:paraId="4A4A0B91" w14:textId="1C9AA891" w:rsidR="00545103" w:rsidRPr="00FE1FC6" w:rsidRDefault="00545103" w:rsidP="00FE1FC6">
      <w:pPr>
        <w:pStyle w:val="Footnote"/>
        <w:rPr>
          <w:rFonts w:eastAsia="Calibri"/>
        </w:rPr>
      </w:pPr>
      <w:r w:rsidRPr="00FE1FC6">
        <w:rPr>
          <w:vertAlign w:val="superscript"/>
        </w:rPr>
        <w:endnoteRef/>
      </w:r>
      <w:r w:rsidRPr="00E32785">
        <w:rPr>
          <w:rFonts w:eastAsia="Calibri"/>
        </w:rPr>
        <w:t xml:space="preserve"> </w:t>
      </w:r>
      <w:r w:rsidRPr="00FE1FC6">
        <w:rPr>
          <w:rFonts w:eastAsia="Calibri"/>
        </w:rPr>
        <w:t xml:space="preserve">Walter Loeb, “Lush Beauty: Taking </w:t>
      </w:r>
      <w:r>
        <w:rPr>
          <w:rFonts w:eastAsia="Calibri"/>
        </w:rPr>
        <w:t>t</w:t>
      </w:r>
      <w:r w:rsidRPr="00FE1FC6">
        <w:rPr>
          <w:rFonts w:eastAsia="Calibri"/>
        </w:rPr>
        <w:t xml:space="preserve">he Industry </w:t>
      </w:r>
      <w:r>
        <w:rPr>
          <w:rFonts w:eastAsia="Calibri"/>
        </w:rPr>
        <w:t>b</w:t>
      </w:r>
      <w:r w:rsidRPr="00FE1FC6">
        <w:rPr>
          <w:rFonts w:eastAsia="Calibri"/>
        </w:rPr>
        <w:t xml:space="preserve">y Storm Thanks </w:t>
      </w:r>
      <w:r>
        <w:rPr>
          <w:rFonts w:eastAsia="Calibri"/>
        </w:rPr>
        <w:t>t</w:t>
      </w:r>
      <w:r w:rsidRPr="00FE1FC6">
        <w:rPr>
          <w:rFonts w:eastAsia="Calibri"/>
        </w:rPr>
        <w:t xml:space="preserve">o Young Love,” </w:t>
      </w:r>
      <w:r w:rsidRPr="00E32785">
        <w:rPr>
          <w:rFonts w:eastAsia="Calibri"/>
          <w:i/>
        </w:rPr>
        <w:t>Forbes</w:t>
      </w:r>
      <w:r w:rsidRPr="00FE1FC6">
        <w:rPr>
          <w:rFonts w:eastAsia="Calibri"/>
        </w:rPr>
        <w:t>, April 7, 2017, accessed November 14, 2017, www.forbes.com/sites/walterloeb/2017/04/07/lush-beauty-taking-the-industry-by-storm-thanks-to-young-love/#4d3d692b11c5</w:t>
      </w:r>
      <w:r>
        <w:rPr>
          <w:rFonts w:eastAsia="Calibri"/>
        </w:rPr>
        <w:t>.</w:t>
      </w:r>
    </w:p>
  </w:endnote>
  <w:endnote w:id="16">
    <w:p w14:paraId="15AA9A69" w14:textId="672728D5" w:rsidR="00545103" w:rsidRPr="00FE1FC6" w:rsidRDefault="00545103" w:rsidP="00FE1FC6">
      <w:pPr>
        <w:pStyle w:val="Footnote"/>
        <w:rPr>
          <w:rFonts w:eastAsia="Calibri"/>
        </w:rPr>
      </w:pPr>
      <w:r w:rsidRPr="00FE1FC6">
        <w:rPr>
          <w:vertAlign w:val="superscript"/>
        </w:rPr>
        <w:endnoteRef/>
      </w:r>
      <w:r w:rsidRPr="00FE1FC6">
        <w:rPr>
          <w:rFonts w:eastAsia="Calibri"/>
          <w:vertAlign w:val="superscript"/>
        </w:rPr>
        <w:t xml:space="preserve"> </w:t>
      </w:r>
      <w:r w:rsidRPr="00FE1FC6">
        <w:rPr>
          <w:rFonts w:eastAsia="Calibri"/>
        </w:rPr>
        <w:t xml:space="preserve">Jennifer Roberts, “Canadian Factories Keep 250 Lush Stores Humming </w:t>
      </w:r>
      <w:r w:rsidR="00643099">
        <w:rPr>
          <w:rFonts w:eastAsia="Calibri"/>
        </w:rPr>
        <w:t>a</w:t>
      </w:r>
      <w:r w:rsidRPr="00FE1FC6">
        <w:rPr>
          <w:rFonts w:eastAsia="Calibri"/>
        </w:rPr>
        <w:t xml:space="preserve">cross N. America,” </w:t>
      </w:r>
      <w:r w:rsidRPr="00E32785">
        <w:rPr>
          <w:rFonts w:eastAsia="Calibri"/>
          <w:i/>
        </w:rPr>
        <w:t>Globe and Mail</w:t>
      </w:r>
      <w:r w:rsidRPr="00FE1FC6">
        <w:rPr>
          <w:rFonts w:eastAsia="Calibri"/>
        </w:rPr>
        <w:t>, September 19, 2017, accessed November 22, 2017, https://beta.theglobeandmail.com/report-on-business/economy/growth/canadian-factories-keep-250-lush-stores-humming-across-n-america/article35461101/?ref=http://www.theglobeandmail.com</w:t>
      </w:r>
      <w:r>
        <w:rPr>
          <w:rFonts w:eastAsia="Calibri"/>
        </w:rPr>
        <w:t>.</w:t>
      </w:r>
    </w:p>
  </w:endnote>
  <w:endnote w:id="17">
    <w:p w14:paraId="4CF274BA" w14:textId="46994A4C" w:rsidR="00545103" w:rsidRPr="00E32785" w:rsidRDefault="00545103" w:rsidP="00FE1FC6">
      <w:pPr>
        <w:pStyle w:val="Footnote"/>
        <w:rPr>
          <w:rFonts w:eastAsia="Calibri"/>
        </w:rPr>
      </w:pPr>
      <w:r w:rsidRPr="00FE1FC6">
        <w:rPr>
          <w:vertAlign w:val="superscript"/>
        </w:rPr>
        <w:endnoteRef/>
      </w:r>
      <w:r w:rsidRPr="00FE1FC6">
        <w:rPr>
          <w:rFonts w:eastAsia="Calibri"/>
          <w:vertAlign w:val="superscript"/>
        </w:rPr>
        <w:t xml:space="preserve"> </w:t>
      </w:r>
      <w:r w:rsidRPr="00FE1FC6">
        <w:rPr>
          <w:rFonts w:eastAsia="Calibri"/>
        </w:rPr>
        <w:t>“</w:t>
      </w:r>
      <w:r>
        <w:rPr>
          <w:rFonts w:eastAsia="Calibri"/>
        </w:rPr>
        <w:t>Our Values: Naked—Packing-Free Goods Are Always in Store</w:t>
      </w:r>
      <w:r w:rsidRPr="00FE1FC6">
        <w:rPr>
          <w:rFonts w:eastAsia="Calibri"/>
        </w:rPr>
        <w:t>,” Lush, accessed November 15, 2017, www.lush.ca</w:t>
      </w:r>
      <w:r>
        <w:rPr>
          <w:rFonts w:eastAsia="Calibri"/>
        </w:rPr>
        <w:t>/en/article_our-values-naked.</w:t>
      </w:r>
      <w:r w:rsidRPr="00E32785">
        <w:rPr>
          <w:rFonts w:eastAsia="Calibri"/>
        </w:rPr>
        <w:t xml:space="preserve">html. </w:t>
      </w:r>
    </w:p>
  </w:endnote>
  <w:endnote w:id="18">
    <w:p w14:paraId="0C74E175" w14:textId="53B94D2C" w:rsidR="00545103" w:rsidRPr="00E32785" w:rsidRDefault="00545103" w:rsidP="00FE1FC6">
      <w:pPr>
        <w:pStyle w:val="Footnote"/>
        <w:rPr>
          <w:rFonts w:eastAsia="Calibri"/>
          <w:bCs/>
        </w:rPr>
      </w:pPr>
      <w:r w:rsidRPr="00FE1FC6">
        <w:rPr>
          <w:vertAlign w:val="superscript"/>
        </w:rPr>
        <w:endnoteRef/>
      </w:r>
      <w:r>
        <w:rPr>
          <w:rFonts w:eastAsia="Calibri"/>
        </w:rPr>
        <w:t xml:space="preserve"> Erin Griffith,</w:t>
      </w:r>
      <w:r w:rsidRPr="00FE1FC6">
        <w:rPr>
          <w:rFonts w:eastAsia="Calibri"/>
        </w:rPr>
        <w:t xml:space="preserve"> “</w:t>
      </w:r>
      <w:r w:rsidRPr="00E32785">
        <w:rPr>
          <w:rFonts w:eastAsia="Calibri"/>
          <w:bCs/>
        </w:rPr>
        <w:t>L’Oréal’s Beauty Secret: Buying Other Brands</w:t>
      </w:r>
      <w:r>
        <w:rPr>
          <w:rFonts w:eastAsia="Calibri"/>
          <w:bCs/>
        </w:rPr>
        <w:t>,”</w:t>
      </w:r>
      <w:r w:rsidRPr="00E32785">
        <w:rPr>
          <w:rFonts w:eastAsia="Calibri"/>
          <w:bCs/>
        </w:rPr>
        <w:t xml:space="preserve"> </w:t>
      </w:r>
      <w:r>
        <w:rPr>
          <w:rFonts w:eastAsia="Calibri"/>
        </w:rPr>
        <w:t>Fortune,</w:t>
      </w:r>
      <w:r w:rsidRPr="00FE1FC6">
        <w:rPr>
          <w:rFonts w:eastAsia="Calibri"/>
        </w:rPr>
        <w:t xml:space="preserve"> </w:t>
      </w:r>
      <w:r>
        <w:rPr>
          <w:rFonts w:eastAsia="Calibri"/>
        </w:rPr>
        <w:t>March 15, 2017</w:t>
      </w:r>
      <w:r w:rsidRPr="00FE1FC6">
        <w:rPr>
          <w:rFonts w:eastAsia="Calibri"/>
        </w:rPr>
        <w:t xml:space="preserve">, accessed </w:t>
      </w:r>
      <w:r>
        <w:rPr>
          <w:rFonts w:eastAsia="Calibri"/>
        </w:rPr>
        <w:t>July 29, 2019</w:t>
      </w:r>
      <w:r w:rsidRPr="00FE1FC6">
        <w:rPr>
          <w:rFonts w:eastAsia="Calibri"/>
        </w:rPr>
        <w:t xml:space="preserve">, </w:t>
      </w:r>
      <w:r w:rsidRPr="00E32785">
        <w:rPr>
          <w:rFonts w:eastAsia="Calibri"/>
        </w:rPr>
        <w:t xml:space="preserve">https://fortune.com/2017/03/15/loreal-mergers-acquisitions/. </w:t>
      </w:r>
    </w:p>
  </w:endnote>
  <w:endnote w:id="19">
    <w:p w14:paraId="7AFA0FD4" w14:textId="6C8B3AF7" w:rsidR="00545103" w:rsidRPr="00FE1FC6" w:rsidRDefault="00545103" w:rsidP="00FE1FC6">
      <w:pPr>
        <w:pStyle w:val="Footnote"/>
        <w:rPr>
          <w:rFonts w:eastAsia="Calibri"/>
        </w:rPr>
      </w:pPr>
      <w:r w:rsidRPr="00FE1FC6">
        <w:rPr>
          <w:vertAlign w:val="superscript"/>
        </w:rPr>
        <w:endnoteRef/>
      </w:r>
      <w:r w:rsidRPr="00FE1FC6">
        <w:rPr>
          <w:rFonts w:eastAsia="Calibri"/>
        </w:rPr>
        <w:t xml:space="preserve"> “Kiehl’s,” </w:t>
      </w:r>
      <w:r>
        <w:rPr>
          <w:rFonts w:eastAsia="Calibri"/>
        </w:rPr>
        <w:t xml:space="preserve">L’Oréal, </w:t>
      </w:r>
      <w:r w:rsidRPr="00FE1FC6">
        <w:rPr>
          <w:rFonts w:eastAsia="Calibri"/>
        </w:rPr>
        <w:t>accessed November 22, 2017, www.loreal.ca/brand/l’oréal-luxe/kiehl’s</w:t>
      </w:r>
      <w:r>
        <w:rPr>
          <w:rFonts w:eastAsia="Calibri"/>
        </w:rPr>
        <w:t>.</w:t>
      </w:r>
    </w:p>
  </w:endnote>
  <w:endnote w:id="20">
    <w:p w14:paraId="663E3F69" w14:textId="0FEC3E9D" w:rsidR="00545103" w:rsidRPr="00FE1FC6" w:rsidRDefault="00545103" w:rsidP="00FE1FC6">
      <w:pPr>
        <w:pStyle w:val="Footnote"/>
        <w:rPr>
          <w:rFonts w:eastAsia="Calibri"/>
        </w:rPr>
      </w:pPr>
      <w:r w:rsidRPr="00FE1FC6">
        <w:rPr>
          <w:vertAlign w:val="superscript"/>
        </w:rPr>
        <w:endnoteRef/>
      </w:r>
      <w:r w:rsidRPr="00FE1FC6">
        <w:rPr>
          <w:rFonts w:eastAsia="Calibri"/>
        </w:rPr>
        <w:t xml:space="preserve"> N</w:t>
      </w:r>
      <w:r>
        <w:rPr>
          <w:rFonts w:eastAsia="Calibri"/>
        </w:rPr>
        <w:t>ichole</w:t>
      </w:r>
      <w:r w:rsidRPr="00FE1FC6">
        <w:rPr>
          <w:rFonts w:eastAsia="Calibri"/>
        </w:rPr>
        <w:t xml:space="preserve"> Dunst, “Greenwashing Alert: Kiehl’s,” Ecocult, June 9, 2015, accessed November 22, 2017, https://ecocult.com/greenwashing-alert-kiehls/</w:t>
      </w:r>
      <w:r>
        <w:rPr>
          <w:rFonts w:eastAsia="Calibri"/>
        </w:rPr>
        <w:t>.</w:t>
      </w:r>
    </w:p>
  </w:endnote>
  <w:endnote w:id="21">
    <w:p w14:paraId="7D1381AC" w14:textId="25BCF96B" w:rsidR="00545103" w:rsidRPr="00FE1FC6" w:rsidRDefault="00545103" w:rsidP="00FE1FC6">
      <w:pPr>
        <w:pStyle w:val="Footnote"/>
        <w:rPr>
          <w:rFonts w:eastAsia="Calibri"/>
        </w:rPr>
      </w:pPr>
      <w:r w:rsidRPr="00FE1FC6">
        <w:rPr>
          <w:vertAlign w:val="superscript"/>
        </w:rPr>
        <w:endnoteRef/>
      </w:r>
      <w:r w:rsidRPr="00FE1FC6">
        <w:rPr>
          <w:rFonts w:eastAsia="Calibri"/>
        </w:rPr>
        <w:t xml:space="preserve"> “Kiehl’s Partners </w:t>
      </w:r>
      <w:r>
        <w:rPr>
          <w:rFonts w:eastAsia="Calibri"/>
        </w:rPr>
        <w:t>w</w:t>
      </w:r>
      <w:r w:rsidRPr="00FE1FC6">
        <w:rPr>
          <w:rFonts w:eastAsia="Calibri"/>
        </w:rPr>
        <w:t>ith Matthew McConaughey to Benefit Autism Speaks,” L’Or</w:t>
      </w:r>
      <w:r>
        <w:rPr>
          <w:rFonts w:eastAsia="Calibri"/>
        </w:rPr>
        <w:t>é</w:t>
      </w:r>
      <w:r w:rsidRPr="00FE1FC6">
        <w:rPr>
          <w:rFonts w:eastAsia="Calibri"/>
        </w:rPr>
        <w:t>al</w:t>
      </w:r>
      <w:r w:rsidR="003119B1">
        <w:rPr>
          <w:rFonts w:eastAsia="Calibri"/>
        </w:rPr>
        <w:t>,</w:t>
      </w:r>
      <w:r>
        <w:rPr>
          <w:rFonts w:eastAsia="Calibri"/>
        </w:rPr>
        <w:t xml:space="preserve"> press release</w:t>
      </w:r>
      <w:r w:rsidRPr="00FE1FC6">
        <w:rPr>
          <w:rFonts w:eastAsia="Calibri"/>
        </w:rPr>
        <w:t>, September 27, 2017, accessed November 27, 2017, www.loreal.com/media/news/2017/september/kiehls-partners-with-matthew-mcconaughey-to-benefit-autism-speaks-</w:t>
      </w:r>
      <w:r w:rsidR="00744986">
        <w:rPr>
          <w:rFonts w:eastAsia="Calibri"/>
        </w:rPr>
        <w:t>.</w:t>
      </w:r>
    </w:p>
  </w:endnote>
  <w:endnote w:id="22">
    <w:p w14:paraId="70629E37" w14:textId="4C2B47E4" w:rsidR="00545103" w:rsidRPr="00FE1FC6" w:rsidRDefault="00545103" w:rsidP="00FE1FC6">
      <w:pPr>
        <w:pStyle w:val="Footnote"/>
        <w:rPr>
          <w:rFonts w:eastAsia="Calibri"/>
        </w:rPr>
      </w:pPr>
      <w:r w:rsidRPr="00FE1FC6">
        <w:rPr>
          <w:vertAlign w:val="superscript"/>
        </w:rPr>
        <w:endnoteRef/>
      </w:r>
      <w:r w:rsidRPr="00FE1FC6">
        <w:rPr>
          <w:rFonts w:eastAsia="Calibri"/>
        </w:rPr>
        <w:t xml:space="preserve"> “Recycle and Be Rewarded</w:t>
      </w:r>
      <w:r>
        <w:rPr>
          <w:rFonts w:eastAsia="Calibri"/>
        </w:rPr>
        <w:t xml:space="preserve"> Program</w:t>
      </w:r>
      <w:r w:rsidRPr="00FE1FC6">
        <w:rPr>
          <w:rFonts w:eastAsia="Calibri"/>
        </w:rPr>
        <w:t xml:space="preserve">,” </w:t>
      </w:r>
      <w:r w:rsidR="00744986">
        <w:rPr>
          <w:rFonts w:eastAsia="Calibri"/>
        </w:rPr>
        <w:t xml:space="preserve">Kiehl’s, </w:t>
      </w:r>
      <w:r w:rsidRPr="00FE1FC6">
        <w:rPr>
          <w:rFonts w:eastAsia="Calibri"/>
        </w:rPr>
        <w:t>accessed November 23, 2017, www.kiehls.ca/en/editorial-pages/recycle-and-be-rewarded/</w:t>
      </w:r>
      <w:r>
        <w:rPr>
          <w:rFonts w:eastAsia="Calibri"/>
        </w:rPr>
        <w:t>.</w:t>
      </w:r>
    </w:p>
  </w:endnote>
  <w:endnote w:id="23">
    <w:p w14:paraId="125C9234" w14:textId="4538ED25" w:rsidR="00545103" w:rsidRPr="00FE1FC6" w:rsidRDefault="00545103" w:rsidP="00FE1FC6">
      <w:pPr>
        <w:pStyle w:val="Footnote"/>
        <w:rPr>
          <w:rFonts w:eastAsia="Calibri"/>
        </w:rPr>
      </w:pPr>
      <w:r w:rsidRPr="00FE1FC6">
        <w:rPr>
          <w:vertAlign w:val="superscript"/>
        </w:rPr>
        <w:endnoteRef/>
      </w:r>
      <w:r w:rsidRPr="00FE1FC6">
        <w:rPr>
          <w:rFonts w:eastAsia="Calibri"/>
        </w:rPr>
        <w:t xml:space="preserve"> Burt</w:t>
      </w:r>
      <w:r>
        <w:rPr>
          <w:rFonts w:eastAsia="Calibri"/>
        </w:rPr>
        <w:t>’</w:t>
      </w:r>
      <w:r w:rsidRPr="00FE1FC6">
        <w:rPr>
          <w:rFonts w:eastAsia="Calibri"/>
        </w:rPr>
        <w:t>s Bees, “Our History,” 2017, accessed November 23, 2017, www.bee2bee.com/story-history.html</w:t>
      </w:r>
      <w:r>
        <w:rPr>
          <w:rFonts w:eastAsia="Calibri"/>
        </w:rPr>
        <w:t>.</w:t>
      </w:r>
    </w:p>
  </w:endnote>
  <w:endnote w:id="24">
    <w:p w14:paraId="04618FDD" w14:textId="53A5431D" w:rsidR="00545103" w:rsidRPr="00FE1FC6" w:rsidRDefault="00545103" w:rsidP="00FE1FC6">
      <w:pPr>
        <w:pStyle w:val="Footnote"/>
        <w:rPr>
          <w:rFonts w:eastAsia="Calibri"/>
        </w:rPr>
      </w:pPr>
      <w:r w:rsidRPr="00FE1FC6">
        <w:rPr>
          <w:vertAlign w:val="superscript"/>
        </w:rPr>
        <w:endnoteRef/>
      </w:r>
      <w:r w:rsidRPr="00FE1FC6">
        <w:rPr>
          <w:rFonts w:eastAsia="Calibri"/>
        </w:rPr>
        <w:t xml:space="preserve"> Burt</w:t>
      </w:r>
      <w:r>
        <w:rPr>
          <w:rFonts w:eastAsia="Calibri"/>
        </w:rPr>
        <w:t>’</w:t>
      </w:r>
      <w:r w:rsidRPr="00FE1FC6">
        <w:rPr>
          <w:rFonts w:eastAsia="Calibri"/>
        </w:rPr>
        <w:t>s Bees, “Commitment to Green Packaging</w:t>
      </w:r>
      <w:r>
        <w:rPr>
          <w:rFonts w:eastAsia="Calibri"/>
        </w:rPr>
        <w:t>—</w:t>
      </w:r>
      <w:r w:rsidRPr="00FE1FC6">
        <w:rPr>
          <w:rFonts w:eastAsia="Calibri"/>
        </w:rPr>
        <w:t>Environment &amp; Sustainability,” accessed November 14, 2017, www.burtsbees.ca/c/root-commitment-to-green-packaging-environment-sustainability-burt-s-bees.html</w:t>
      </w:r>
      <w:r>
        <w:rPr>
          <w:rFonts w:eastAsia="Calibri"/>
        </w:rPr>
        <w:t>.</w:t>
      </w:r>
    </w:p>
  </w:endnote>
  <w:endnote w:id="25">
    <w:p w14:paraId="2DD8C2E4" w14:textId="756EFF32" w:rsidR="00545103" w:rsidRPr="00FE1FC6" w:rsidRDefault="00545103" w:rsidP="00FE1FC6">
      <w:pPr>
        <w:pStyle w:val="Footnote"/>
        <w:rPr>
          <w:rFonts w:eastAsia="Calibri"/>
        </w:rPr>
      </w:pPr>
      <w:r w:rsidRPr="00FE1FC6">
        <w:rPr>
          <w:vertAlign w:val="superscript"/>
        </w:rPr>
        <w:endnoteRef/>
      </w:r>
      <w:r w:rsidRPr="00FE1FC6">
        <w:rPr>
          <w:rFonts w:eastAsia="Calibri"/>
        </w:rPr>
        <w:t xml:space="preserve"> “Body Shop Bought </w:t>
      </w:r>
      <w:r>
        <w:rPr>
          <w:rFonts w:eastAsia="Calibri"/>
        </w:rPr>
        <w:t>b</w:t>
      </w:r>
      <w:r w:rsidRPr="00FE1FC6">
        <w:rPr>
          <w:rFonts w:eastAsia="Calibri"/>
        </w:rPr>
        <w:t xml:space="preserve">y Brazil’s Natura,” </w:t>
      </w:r>
      <w:r>
        <w:rPr>
          <w:rFonts w:eastAsia="Calibri"/>
        </w:rPr>
        <w:t xml:space="preserve">BBC News, </w:t>
      </w:r>
      <w:r w:rsidRPr="00FE1FC6">
        <w:rPr>
          <w:rFonts w:eastAsia="Calibri"/>
        </w:rPr>
        <w:t>June 27, 2017, accessed November 12, 2017, www.bbc.com/news/business-40417961</w:t>
      </w:r>
      <w:r>
        <w:rPr>
          <w:rFonts w:eastAsia="Calibri"/>
        </w:rPr>
        <w:t>.</w:t>
      </w:r>
    </w:p>
  </w:endnote>
  <w:endnote w:id="26">
    <w:p w14:paraId="6FB961BE" w14:textId="4EDE4AC0" w:rsidR="00545103" w:rsidRPr="00FE1FC6" w:rsidRDefault="00545103" w:rsidP="00FE1FC6">
      <w:pPr>
        <w:pStyle w:val="Footnote"/>
        <w:rPr>
          <w:rFonts w:eastAsia="Calibri"/>
        </w:rPr>
      </w:pPr>
      <w:r w:rsidRPr="00FE1FC6">
        <w:rPr>
          <w:vertAlign w:val="superscript"/>
        </w:rPr>
        <w:endnoteRef/>
      </w:r>
      <w:r w:rsidRPr="00FE1FC6">
        <w:rPr>
          <w:rFonts w:eastAsia="Calibri"/>
        </w:rPr>
        <w:t xml:space="preserve"> “Sales at 30 September 2017,” </w:t>
      </w:r>
      <w:r w:rsidR="00931B30">
        <w:rPr>
          <w:rFonts w:eastAsia="Calibri"/>
        </w:rPr>
        <w:t>L’Oréa</w:t>
      </w:r>
      <w:r w:rsidR="00DF6262">
        <w:rPr>
          <w:rFonts w:eastAsia="Calibri"/>
        </w:rPr>
        <w:t>l</w:t>
      </w:r>
      <w:r w:rsidR="00931B30">
        <w:rPr>
          <w:rFonts w:eastAsia="Calibri"/>
        </w:rPr>
        <w:t xml:space="preserve">: Finance, </w:t>
      </w:r>
      <w:r w:rsidRPr="00FE1FC6">
        <w:rPr>
          <w:rFonts w:eastAsia="Calibri"/>
        </w:rPr>
        <w:t>November 2, 2017, accessed November 14, 2017, www.loreal-finance.com/eng/news/sales-at-30-september-2017-1216.htm</w:t>
      </w:r>
      <w:r>
        <w:rPr>
          <w:rFonts w:eastAsia="Calibri"/>
        </w:rPr>
        <w:t>.</w:t>
      </w:r>
    </w:p>
  </w:endnote>
  <w:endnote w:id="27">
    <w:p w14:paraId="35E7A9B7" w14:textId="573AFC8C" w:rsidR="00545103" w:rsidRPr="00E32785" w:rsidRDefault="00545103" w:rsidP="00FE1FC6">
      <w:pPr>
        <w:pStyle w:val="Footnote"/>
        <w:rPr>
          <w:rFonts w:eastAsia="Calibri"/>
          <w:b/>
        </w:rPr>
      </w:pPr>
      <w:r w:rsidRPr="00FE1FC6">
        <w:rPr>
          <w:vertAlign w:val="superscript"/>
        </w:rPr>
        <w:endnoteRef/>
      </w:r>
      <w:r w:rsidRPr="00FE1FC6">
        <w:rPr>
          <w:rFonts w:eastAsia="Calibri"/>
        </w:rPr>
        <w:t xml:space="preserve"> The Body Shop, “The Body Shop Values Report,” 201</w:t>
      </w:r>
      <w:r>
        <w:rPr>
          <w:rFonts w:eastAsia="Calibri"/>
        </w:rPr>
        <w:t>4/2015</w:t>
      </w:r>
      <w:r w:rsidRPr="00FE1FC6">
        <w:rPr>
          <w:rFonts w:eastAsia="Calibri"/>
        </w:rPr>
        <w:t xml:space="preserve">, accessed </w:t>
      </w:r>
      <w:r>
        <w:rPr>
          <w:rFonts w:eastAsia="Calibri"/>
        </w:rPr>
        <w:t>July 29, 2019</w:t>
      </w:r>
      <w:r w:rsidRPr="00FE1FC6">
        <w:rPr>
          <w:rFonts w:eastAsia="Calibri"/>
        </w:rPr>
        <w:t xml:space="preserve">, </w:t>
      </w:r>
      <w:r w:rsidRPr="00E32785">
        <w:rPr>
          <w:rFonts w:eastAsia="Calibri"/>
        </w:rPr>
        <w:t>https://www.thebodyshop.com/medias/Values-Report-2015-6.pdf?context=pdf/ha8/h40/9089793032222.pdf/</w:t>
      </w:r>
      <w:r>
        <w:rPr>
          <w:rFonts w:eastAsia="Calibri"/>
        </w:rPr>
        <w:t xml:space="preserve">. </w:t>
      </w:r>
    </w:p>
  </w:endnote>
  <w:endnote w:id="28">
    <w:p w14:paraId="13669658" w14:textId="6C6368F3" w:rsidR="00545103" w:rsidRPr="00FE1FC6" w:rsidRDefault="00545103" w:rsidP="00FE1FC6">
      <w:pPr>
        <w:pStyle w:val="Footnote"/>
        <w:rPr>
          <w:rFonts w:eastAsia="Calibri"/>
        </w:rPr>
      </w:pPr>
      <w:r w:rsidRPr="00FE1FC6">
        <w:rPr>
          <w:vertAlign w:val="superscript"/>
        </w:rPr>
        <w:endnoteRef/>
      </w:r>
      <w:r w:rsidRPr="00FE1FC6">
        <w:rPr>
          <w:rFonts w:eastAsia="Calibri"/>
          <w:vertAlign w:val="superscript"/>
        </w:rPr>
        <w:t xml:space="preserve"> </w:t>
      </w:r>
      <w:r w:rsidRPr="00FE1FC6">
        <w:rPr>
          <w:rFonts w:eastAsia="Calibri"/>
        </w:rPr>
        <w:t xml:space="preserve">Sarah Dawood, “Why The Body Shop </w:t>
      </w:r>
      <w:r>
        <w:rPr>
          <w:rFonts w:eastAsia="Calibri"/>
        </w:rPr>
        <w:t>I</w:t>
      </w:r>
      <w:r w:rsidRPr="00FE1FC6">
        <w:rPr>
          <w:rFonts w:eastAsia="Calibri"/>
        </w:rPr>
        <w:t xml:space="preserve">s </w:t>
      </w:r>
      <w:r>
        <w:rPr>
          <w:rFonts w:eastAsia="Calibri"/>
        </w:rPr>
        <w:t>M</w:t>
      </w:r>
      <w:r w:rsidRPr="00FE1FC6">
        <w:rPr>
          <w:rFonts w:eastAsia="Calibri"/>
        </w:rPr>
        <w:t xml:space="preserve">aking </w:t>
      </w:r>
      <w:r>
        <w:rPr>
          <w:rFonts w:eastAsia="Calibri"/>
        </w:rPr>
        <w:t>P</w:t>
      </w:r>
      <w:r w:rsidRPr="00FE1FC6">
        <w:rPr>
          <w:rFonts w:eastAsia="Calibri"/>
        </w:rPr>
        <w:t xml:space="preserve">ackaging out of </w:t>
      </w:r>
      <w:r>
        <w:rPr>
          <w:rFonts w:eastAsia="Calibri"/>
        </w:rPr>
        <w:t>G</w:t>
      </w:r>
      <w:r w:rsidRPr="00FE1FC6">
        <w:rPr>
          <w:rFonts w:eastAsia="Calibri"/>
        </w:rPr>
        <w:t xml:space="preserve">reenhouse </w:t>
      </w:r>
      <w:r>
        <w:rPr>
          <w:rFonts w:eastAsia="Calibri"/>
        </w:rPr>
        <w:t>G</w:t>
      </w:r>
      <w:r w:rsidRPr="00FE1FC6">
        <w:rPr>
          <w:rFonts w:eastAsia="Calibri"/>
        </w:rPr>
        <w:t>ases,” Design Week, February 1, 2016, accessed November 25, 2017, www.designweek.co.uk/issues/1-7-february-2016/why-the-body-shop-is-making-packaging-out-of-greenhouse-gases/</w:t>
      </w:r>
      <w:r>
        <w:rPr>
          <w:rFonts w:eastAsia="Calibri"/>
        </w:rPr>
        <w:t>.</w:t>
      </w:r>
    </w:p>
  </w:endnote>
  <w:endnote w:id="29">
    <w:p w14:paraId="61A25EAC" w14:textId="198BF04E" w:rsidR="00545103" w:rsidRPr="00E32785" w:rsidRDefault="00545103" w:rsidP="00FE1FC6">
      <w:pPr>
        <w:pStyle w:val="Footnote"/>
        <w:rPr>
          <w:rFonts w:eastAsia="Calibri"/>
          <w:spacing w:val="-6"/>
        </w:rPr>
      </w:pPr>
      <w:r w:rsidRPr="00E32785">
        <w:rPr>
          <w:spacing w:val="-6"/>
          <w:vertAlign w:val="superscript"/>
        </w:rPr>
        <w:endnoteRef/>
      </w:r>
      <w:r w:rsidRPr="00E32785">
        <w:rPr>
          <w:rFonts w:eastAsia="Calibri"/>
          <w:spacing w:val="-6"/>
        </w:rPr>
        <w:t xml:space="preserve"> The Body Shop, “Enrich Our Planet,” 2017, accessed November 23, 2017, http://thebodyshop.com.ph/commitment/enrich-planet.</w:t>
      </w:r>
    </w:p>
  </w:endnote>
  <w:endnote w:id="30">
    <w:p w14:paraId="2D16C8DF" w14:textId="7C12AF04" w:rsidR="00545103" w:rsidRPr="00E32785" w:rsidRDefault="00545103" w:rsidP="00FE1FC6">
      <w:pPr>
        <w:pStyle w:val="Footnote"/>
        <w:rPr>
          <w:rFonts w:eastAsia="Calibri"/>
          <w:b/>
          <w:spacing w:val="-4"/>
        </w:rPr>
      </w:pPr>
      <w:r w:rsidRPr="00FE1FC6">
        <w:rPr>
          <w:spacing w:val="-4"/>
          <w:vertAlign w:val="superscript"/>
        </w:rPr>
        <w:endnoteRef/>
      </w:r>
      <w:r w:rsidRPr="00FE1FC6">
        <w:rPr>
          <w:rFonts w:eastAsia="Calibri"/>
          <w:spacing w:val="-4"/>
          <w:vertAlign w:val="superscript"/>
        </w:rPr>
        <w:t xml:space="preserve"> </w:t>
      </w:r>
      <w:r w:rsidRPr="00FE1FC6">
        <w:rPr>
          <w:rFonts w:eastAsia="Calibri"/>
          <w:spacing w:val="-4"/>
        </w:rPr>
        <w:t xml:space="preserve">Nielsen, </w:t>
      </w:r>
      <w:r w:rsidRPr="001D428A">
        <w:rPr>
          <w:rFonts w:eastAsia="Calibri"/>
          <w:i/>
          <w:spacing w:val="-4"/>
        </w:rPr>
        <w:t>The Sustainability Imperative. New Insights on Consumer Expectations</w:t>
      </w:r>
      <w:r w:rsidRPr="00FE1FC6">
        <w:rPr>
          <w:rFonts w:eastAsia="Calibri"/>
          <w:spacing w:val="-4"/>
        </w:rPr>
        <w:t xml:space="preserve">, </w:t>
      </w:r>
      <w:r>
        <w:rPr>
          <w:rFonts w:eastAsia="Calibri"/>
          <w:spacing w:val="-4"/>
        </w:rPr>
        <w:t xml:space="preserve">5, </w:t>
      </w:r>
      <w:r w:rsidRPr="00FE1FC6">
        <w:rPr>
          <w:rFonts w:eastAsia="Calibri"/>
          <w:spacing w:val="-4"/>
        </w:rPr>
        <w:t xml:space="preserve">October 2015, accessed </w:t>
      </w:r>
      <w:r>
        <w:rPr>
          <w:rFonts w:eastAsia="Calibri"/>
          <w:spacing w:val="-4"/>
        </w:rPr>
        <w:t>July 29, 2019</w:t>
      </w:r>
      <w:r w:rsidRPr="00FE1FC6">
        <w:rPr>
          <w:rFonts w:eastAsia="Calibri"/>
          <w:spacing w:val="-4"/>
        </w:rPr>
        <w:t xml:space="preserve">, </w:t>
      </w:r>
      <w:r w:rsidRPr="00CE1C34">
        <w:rPr>
          <w:rFonts w:eastAsia="Calibri"/>
          <w:spacing w:val="-4"/>
        </w:rPr>
        <w:t>https://www.nielsen.com/wp-content/uploads/sites/3/2019/04/Global20Sustainability20Report_October202015.pdf</w:t>
      </w:r>
      <w:r>
        <w:rPr>
          <w:rFonts w:eastAsia="Calibri"/>
          <w:spacing w:val="-4"/>
        </w:rPr>
        <w:t>.</w:t>
      </w:r>
    </w:p>
  </w:endnote>
  <w:endnote w:id="31">
    <w:p w14:paraId="7A704632" w14:textId="5D586C50" w:rsidR="0028059F" w:rsidRDefault="00545103" w:rsidP="00FE1FC6">
      <w:pPr>
        <w:pStyle w:val="Footnote"/>
        <w:rPr>
          <w:rFonts w:eastAsia="Calibri"/>
        </w:rPr>
      </w:pPr>
      <w:r w:rsidRPr="00E32785">
        <w:rPr>
          <w:vertAlign w:val="superscript"/>
        </w:rPr>
        <w:endnoteRef/>
      </w:r>
      <w:r w:rsidRPr="00E32785">
        <w:rPr>
          <w:rFonts w:eastAsia="Calibri"/>
        </w:rPr>
        <w:t xml:space="preserve"> Mike Hower, “Sustainable Packaging Market to Hit $244 Billion by 2018,” Sustainable Brands, February 18, 2014, accessed November 22, 2017, </w:t>
      </w:r>
      <w:r w:rsidR="0028059F" w:rsidRPr="0028059F">
        <w:rPr>
          <w:rFonts w:eastAsia="Calibri"/>
        </w:rPr>
        <w:t>www.sustainablebrands.com/news_and_views/packaging/mike_hower/report_sustainable_</w:t>
      </w:r>
    </w:p>
    <w:p w14:paraId="5E24EB6D" w14:textId="1359E343" w:rsidR="00545103" w:rsidRPr="00E32785" w:rsidRDefault="00545103" w:rsidP="00FE1FC6">
      <w:pPr>
        <w:pStyle w:val="Footnote"/>
        <w:rPr>
          <w:rFonts w:eastAsia="Calibri"/>
        </w:rPr>
      </w:pPr>
      <w:r w:rsidRPr="00E32785">
        <w:rPr>
          <w:rFonts w:eastAsia="Calibri"/>
        </w:rPr>
        <w:t>packaging_market_hit_244_billion_2018.</w:t>
      </w:r>
    </w:p>
  </w:endnote>
  <w:endnote w:id="32">
    <w:p w14:paraId="49689B53" w14:textId="7F2BB838" w:rsidR="00545103" w:rsidRPr="00FE1FC6" w:rsidRDefault="00545103" w:rsidP="00FE1FC6">
      <w:pPr>
        <w:pStyle w:val="Footnote"/>
        <w:rPr>
          <w:rFonts w:eastAsia="Calibri"/>
        </w:rPr>
      </w:pPr>
      <w:r w:rsidRPr="00FE1FC6">
        <w:rPr>
          <w:vertAlign w:val="superscript"/>
        </w:rPr>
        <w:endnoteRef/>
      </w:r>
      <w:r w:rsidRPr="00FE1FC6">
        <w:rPr>
          <w:rFonts w:eastAsia="Calibri"/>
        </w:rPr>
        <w:t xml:space="preserve"> </w:t>
      </w:r>
      <w:r w:rsidRPr="008A5026">
        <w:rPr>
          <w:rFonts w:eastAsia="Calibri"/>
        </w:rPr>
        <w:t xml:space="preserve">Sustainable Packaging Coalition, </w:t>
      </w:r>
      <w:r w:rsidRPr="0028059F">
        <w:rPr>
          <w:rFonts w:eastAsia="Calibri"/>
          <w:i/>
        </w:rPr>
        <w:t>Definition of Sustainable Packaging</w:t>
      </w:r>
      <w:r w:rsidRPr="008A5026">
        <w:rPr>
          <w:rFonts w:eastAsia="Calibri"/>
        </w:rPr>
        <w:t>, August 2011, accessed November 22, 2017, https://sustainablepackaging.org/wp-content/uploads/2017/09/Definition-of-Sustainable-Packaging.pdf.</w:t>
      </w:r>
    </w:p>
  </w:endnote>
  <w:endnote w:id="33">
    <w:p w14:paraId="4D1B9A1D" w14:textId="59EE90A2" w:rsidR="00545103" w:rsidRPr="00FE1FC6" w:rsidRDefault="00545103" w:rsidP="00FE1FC6">
      <w:pPr>
        <w:pStyle w:val="Footnote"/>
        <w:rPr>
          <w:rFonts w:eastAsia="Calibri"/>
        </w:rPr>
      </w:pPr>
      <w:r w:rsidRPr="00FE1FC6">
        <w:rPr>
          <w:vertAlign w:val="superscript"/>
        </w:rPr>
        <w:endnoteRef/>
      </w:r>
      <w:r w:rsidRPr="00FE1FC6">
        <w:rPr>
          <w:rFonts w:eastAsia="Calibri"/>
          <w:vertAlign w:val="superscript"/>
        </w:rPr>
        <w:t xml:space="preserve"> </w:t>
      </w:r>
      <w:r w:rsidRPr="00FE1FC6">
        <w:rPr>
          <w:rFonts w:eastAsia="Calibri"/>
        </w:rPr>
        <w:t>Esha Chhabra, “Th</w:t>
      </w:r>
      <w:r>
        <w:rPr>
          <w:rFonts w:eastAsia="Calibri"/>
        </w:rPr>
        <w:t>is</w:t>
      </w:r>
      <w:r w:rsidRPr="00FE1FC6">
        <w:rPr>
          <w:rFonts w:eastAsia="Calibri"/>
        </w:rPr>
        <w:t xml:space="preserve"> Canadian Company Has $11 Million in Annual Sales While Putting the Environment First</w:t>
      </w:r>
      <w:r>
        <w:rPr>
          <w:rFonts w:eastAsia="Calibri"/>
        </w:rPr>
        <w:t>,</w:t>
      </w:r>
      <w:r w:rsidRPr="00FE1FC6">
        <w:rPr>
          <w:rFonts w:eastAsia="Calibri"/>
        </w:rPr>
        <w:t xml:space="preserve">” </w:t>
      </w:r>
      <w:r w:rsidRPr="00E32785">
        <w:rPr>
          <w:rFonts w:eastAsia="Calibri"/>
          <w:i/>
        </w:rPr>
        <w:t>Forbes</w:t>
      </w:r>
      <w:r w:rsidRPr="00FE1FC6">
        <w:rPr>
          <w:rFonts w:eastAsia="Calibri"/>
        </w:rPr>
        <w:t>, January 23,</w:t>
      </w:r>
      <w:r>
        <w:rPr>
          <w:rFonts w:eastAsia="Calibri"/>
        </w:rPr>
        <w:t xml:space="preserve"> </w:t>
      </w:r>
      <w:r w:rsidRPr="00FE1FC6">
        <w:rPr>
          <w:rFonts w:eastAsia="Calibri"/>
        </w:rPr>
        <w:t>2017, accessed November 20, 2017, www.forbes.com/sites/eshachhabra/2017/01/23/how-this-canadian-company-has-11-million-in-annual-sales-while-putting-the-environment-first/#6803d3ce5085.</w:t>
      </w:r>
    </w:p>
  </w:endnote>
  <w:endnote w:id="34">
    <w:p w14:paraId="36F43802" w14:textId="4F3B0C8B" w:rsidR="00545103" w:rsidRPr="00FE1FC6" w:rsidRDefault="00545103" w:rsidP="00FE1FC6">
      <w:pPr>
        <w:pStyle w:val="Footnote"/>
        <w:rPr>
          <w:rFonts w:eastAsia="Calibri"/>
        </w:rPr>
      </w:pPr>
      <w:r w:rsidRPr="00FE1FC6">
        <w:rPr>
          <w:vertAlign w:val="superscript"/>
        </w:rPr>
        <w:endnoteRef/>
      </w:r>
      <w:r w:rsidRPr="00FE1FC6">
        <w:rPr>
          <w:rFonts w:eastAsia="Calibri"/>
        </w:rPr>
        <w:t xml:space="preserve"> Tom Szaky,</w:t>
      </w:r>
      <w:r>
        <w:rPr>
          <w:rFonts w:eastAsia="Calibri"/>
        </w:rPr>
        <w:t xml:space="preserve"> </w:t>
      </w:r>
      <w:r w:rsidRPr="00FE1FC6">
        <w:rPr>
          <w:rFonts w:eastAsia="Calibri"/>
        </w:rPr>
        <w:t>“Recycling Adds Value to Beauty Packaging</w:t>
      </w:r>
      <w:r>
        <w:rPr>
          <w:rFonts w:eastAsia="Calibri"/>
        </w:rPr>
        <w:t>,</w:t>
      </w:r>
      <w:r w:rsidRPr="00FE1FC6">
        <w:rPr>
          <w:rFonts w:eastAsia="Calibri"/>
        </w:rPr>
        <w:t>” Happi, January 1,</w:t>
      </w:r>
      <w:r>
        <w:rPr>
          <w:rFonts w:eastAsia="Calibri"/>
        </w:rPr>
        <w:t xml:space="preserve"> </w:t>
      </w:r>
      <w:r w:rsidRPr="00FE1FC6">
        <w:rPr>
          <w:rFonts w:eastAsia="Calibri"/>
        </w:rPr>
        <w:t>2017,</w:t>
      </w:r>
      <w:r>
        <w:rPr>
          <w:rFonts w:eastAsia="Calibri"/>
        </w:rPr>
        <w:t xml:space="preserve"> </w:t>
      </w:r>
      <w:r w:rsidRPr="00FE1FC6">
        <w:rPr>
          <w:rFonts w:eastAsia="Calibri"/>
        </w:rPr>
        <w:t>accessed November 20,</w:t>
      </w:r>
      <w:r>
        <w:rPr>
          <w:rFonts w:eastAsia="Calibri"/>
        </w:rPr>
        <w:t xml:space="preserve"> </w:t>
      </w:r>
      <w:r w:rsidRPr="00FE1FC6">
        <w:rPr>
          <w:rFonts w:eastAsia="Calibri"/>
        </w:rPr>
        <w:t>2017, www.happi.com/contents/view_experts-opinion/2017-01-01/recycling-adds-value-to-beauty-packaging/.</w:t>
      </w:r>
    </w:p>
  </w:endnote>
  <w:endnote w:id="35">
    <w:p w14:paraId="521566AA" w14:textId="6526483A" w:rsidR="00545103" w:rsidRPr="00FE1FC6" w:rsidRDefault="00545103" w:rsidP="00FE1FC6">
      <w:pPr>
        <w:pStyle w:val="Footnote"/>
        <w:rPr>
          <w:rFonts w:eastAsia="Calibri"/>
        </w:rPr>
      </w:pPr>
      <w:r w:rsidRPr="00FE1FC6">
        <w:rPr>
          <w:vertAlign w:val="superscript"/>
        </w:rPr>
        <w:endnoteRef/>
      </w:r>
      <w:r w:rsidRPr="00FE1FC6">
        <w:rPr>
          <w:rFonts w:eastAsia="Calibri"/>
        </w:rPr>
        <w:t xml:space="preserve"> “</w:t>
      </w:r>
      <w:r w:rsidR="0028059F">
        <w:rPr>
          <w:rFonts w:eastAsia="Calibri"/>
        </w:rPr>
        <w:t>U</w:t>
      </w:r>
      <w:r w:rsidRPr="00FE1FC6">
        <w:rPr>
          <w:rFonts w:eastAsia="Calibri"/>
        </w:rPr>
        <w:t>pcycle,” accessed December 6, 2017, www.dictionary.com/browse/upcycle?s=t</w:t>
      </w:r>
      <w:r>
        <w:rPr>
          <w:rFonts w:eastAsia="Calibri"/>
        </w:rPr>
        <w:t>.</w:t>
      </w:r>
    </w:p>
  </w:endnote>
  <w:endnote w:id="36">
    <w:p w14:paraId="1A105B9B" w14:textId="4745C154" w:rsidR="00545103" w:rsidRPr="00FE1FC6" w:rsidRDefault="00545103" w:rsidP="00FE1FC6">
      <w:pPr>
        <w:pStyle w:val="Footnote"/>
        <w:rPr>
          <w:rFonts w:eastAsia="Calibri"/>
        </w:rPr>
      </w:pPr>
      <w:r w:rsidRPr="00FE1FC6">
        <w:rPr>
          <w:vertAlign w:val="superscript"/>
        </w:rPr>
        <w:endnoteRef/>
      </w:r>
      <w:r w:rsidR="00E43E02">
        <w:rPr>
          <w:rFonts w:eastAsia="Calibri"/>
        </w:rPr>
        <w:t xml:space="preserve"> “</w:t>
      </w:r>
      <w:r w:rsidRPr="00FE1FC6">
        <w:rPr>
          <w:rFonts w:eastAsia="Calibri"/>
        </w:rPr>
        <w:t xml:space="preserve">Upcycle Your </w:t>
      </w:r>
      <w:r w:rsidR="00E43E02">
        <w:rPr>
          <w:rFonts w:eastAsia="Calibri"/>
        </w:rPr>
        <w:t xml:space="preserve">Tinted </w:t>
      </w:r>
      <w:r w:rsidRPr="00FE1FC6">
        <w:rPr>
          <w:rFonts w:eastAsia="Calibri"/>
        </w:rPr>
        <w:t>Lip</w:t>
      </w:r>
      <w:r w:rsidR="00E43E02">
        <w:rPr>
          <w:rFonts w:eastAsia="Calibri"/>
        </w:rPr>
        <w:t xml:space="preserve"> Balm </w:t>
      </w:r>
      <w:r w:rsidRPr="00FE1FC6">
        <w:rPr>
          <w:rFonts w:eastAsia="Calibri"/>
        </w:rPr>
        <w:t xml:space="preserve">Packaging,” </w:t>
      </w:r>
      <w:r w:rsidR="001D428A">
        <w:rPr>
          <w:rFonts w:eastAsia="Calibri"/>
        </w:rPr>
        <w:t xml:space="preserve">Rocky Mountain Soap Company, </w:t>
      </w:r>
      <w:r w:rsidRPr="00FE1FC6">
        <w:rPr>
          <w:rFonts w:eastAsia="Calibri"/>
        </w:rPr>
        <w:t xml:space="preserve">August 2, </w:t>
      </w:r>
      <w:r w:rsidR="00E43E02" w:rsidRPr="00FE1FC6">
        <w:rPr>
          <w:rFonts w:eastAsia="Calibri"/>
        </w:rPr>
        <w:t>201</w:t>
      </w:r>
      <w:r w:rsidR="00E43E02">
        <w:rPr>
          <w:rFonts w:eastAsia="Calibri"/>
        </w:rPr>
        <w:t>6</w:t>
      </w:r>
      <w:r w:rsidRPr="00FE1FC6">
        <w:rPr>
          <w:rFonts w:eastAsia="Calibri"/>
        </w:rPr>
        <w:t>, accessed November 20, 2017, www.rockymountainsoap.com/blogs/blog/upcycle-your-lip-quench-packaging.</w:t>
      </w:r>
    </w:p>
  </w:endnote>
  <w:endnote w:id="37">
    <w:p w14:paraId="3CE50BC0" w14:textId="3BFE41CC" w:rsidR="00545103" w:rsidRPr="003640EA" w:rsidRDefault="00545103" w:rsidP="00FE1FC6">
      <w:pPr>
        <w:pStyle w:val="Footnote"/>
        <w:rPr>
          <w:rFonts w:eastAsia="Calibri"/>
          <w:spacing w:val="-4"/>
        </w:rPr>
      </w:pPr>
      <w:r w:rsidRPr="003640EA">
        <w:rPr>
          <w:spacing w:val="-4"/>
          <w:vertAlign w:val="superscript"/>
        </w:rPr>
        <w:endnoteRef/>
      </w:r>
      <w:r w:rsidRPr="003640EA">
        <w:rPr>
          <w:rFonts w:eastAsia="Calibri"/>
          <w:spacing w:val="-4"/>
        </w:rPr>
        <w:t xml:space="preserve"> “Rocky Mountain Soap Co’s Lip Color Is in Paper Pots,” Beauty Packaging, February 13, 2017, accessed November 14, 2017, www.beautypackaging.com/contents/view_breaking-news/2017-02-13/rocky-mountain-soap-cos-lip-color-is-in-paper-pots.</w:t>
      </w:r>
    </w:p>
  </w:endnote>
  <w:endnote w:id="38">
    <w:p w14:paraId="3A009B5E" w14:textId="24060146" w:rsidR="00545103" w:rsidRPr="00FE1FC6" w:rsidRDefault="00545103" w:rsidP="00FE1FC6">
      <w:pPr>
        <w:pStyle w:val="Footnote"/>
        <w:rPr>
          <w:rFonts w:eastAsia="Calibri"/>
        </w:rPr>
      </w:pPr>
      <w:r w:rsidRPr="00FE1FC6">
        <w:rPr>
          <w:vertAlign w:val="superscript"/>
        </w:rPr>
        <w:endnoteRef/>
      </w:r>
      <w:r w:rsidRPr="00FE1FC6">
        <w:rPr>
          <w:rFonts w:eastAsia="Calibri"/>
          <w:vertAlign w:val="superscript"/>
        </w:rPr>
        <w:t xml:space="preserve"> </w:t>
      </w:r>
      <w:r w:rsidRPr="00FE1FC6">
        <w:rPr>
          <w:rFonts w:eastAsia="Calibri"/>
        </w:rPr>
        <w:t>“Plastic vs Glass VOTE</w:t>
      </w:r>
      <w:r>
        <w:rPr>
          <w:rFonts w:eastAsia="Calibri"/>
        </w:rPr>
        <w:t>!</w:t>
      </w:r>
      <w:r w:rsidRPr="00FE1FC6">
        <w:rPr>
          <w:rFonts w:eastAsia="Calibri"/>
        </w:rPr>
        <w:t>,” Voss World, November 20, 2012, accessed November 20, 2017, https://vossworld.wordpress.com/2012/11/20/plastic-vs-glass/.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KaiTi_GB2312">
    <w:altName w:val="Microsoft YaHei"/>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918F37" w14:textId="77777777" w:rsidR="00D3273B" w:rsidRDefault="00D3273B" w:rsidP="00D75295">
      <w:r>
        <w:separator/>
      </w:r>
    </w:p>
  </w:footnote>
  <w:footnote w:type="continuationSeparator" w:id="0">
    <w:p w14:paraId="5C18E094" w14:textId="77777777" w:rsidR="00D3273B" w:rsidRDefault="00D3273B"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4535E6FD" w:rsidR="00545103" w:rsidRPr="00C92CC4" w:rsidRDefault="00545103"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44BEC">
      <w:rPr>
        <w:rFonts w:ascii="Arial" w:hAnsi="Arial"/>
        <w:b/>
        <w:noProof/>
      </w:rPr>
      <w:t>2</w:t>
    </w:r>
    <w:r>
      <w:rPr>
        <w:rFonts w:ascii="Arial" w:hAnsi="Arial"/>
        <w:b/>
      </w:rPr>
      <w:fldChar w:fldCharType="end"/>
    </w:r>
    <w:r>
      <w:rPr>
        <w:rFonts w:ascii="Arial" w:hAnsi="Arial"/>
        <w:b/>
      </w:rPr>
      <w:tab/>
    </w:r>
    <w:r w:rsidR="00E95951">
      <w:rPr>
        <w:rFonts w:ascii="Arial" w:hAnsi="Arial"/>
        <w:b/>
      </w:rPr>
      <w:t>9B19M082</w:t>
    </w:r>
  </w:p>
  <w:p w14:paraId="2B53C0A0" w14:textId="77777777" w:rsidR="00545103" w:rsidRDefault="00545103" w:rsidP="00D13667">
    <w:pPr>
      <w:pStyle w:val="Header"/>
      <w:tabs>
        <w:tab w:val="clear" w:pos="4680"/>
      </w:tabs>
      <w:rPr>
        <w:sz w:val="18"/>
        <w:szCs w:val="18"/>
      </w:rPr>
    </w:pPr>
  </w:p>
  <w:p w14:paraId="47119730" w14:textId="77777777" w:rsidR="00545103" w:rsidRPr="00C92CC4" w:rsidRDefault="00545103"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11C8A"/>
    <w:multiLevelType w:val="hybridMultilevel"/>
    <w:tmpl w:val="36D61B8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09078C"/>
    <w:multiLevelType w:val="hybridMultilevel"/>
    <w:tmpl w:val="6A8E5DA2"/>
    <w:lvl w:ilvl="0" w:tplc="8FA4EB96">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750EC4"/>
    <w:multiLevelType w:val="hybridMultilevel"/>
    <w:tmpl w:val="40FA435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8E47356"/>
    <w:multiLevelType w:val="multilevel"/>
    <w:tmpl w:val="DDC2D8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7161B5"/>
    <w:multiLevelType w:val="hybridMultilevel"/>
    <w:tmpl w:val="6C403BFA"/>
    <w:lvl w:ilvl="0" w:tplc="41A81840">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FE3DD4"/>
    <w:multiLevelType w:val="hybridMultilevel"/>
    <w:tmpl w:val="451CD1A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E2F2750"/>
    <w:multiLevelType w:val="multilevel"/>
    <w:tmpl w:val="CE66B5D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109091D"/>
    <w:multiLevelType w:val="hybridMultilevel"/>
    <w:tmpl w:val="B6FC7072"/>
    <w:lvl w:ilvl="0" w:tplc="5E52FA74">
      <w:start w:val="1"/>
      <w:numFmt w:val="bullet"/>
      <w:lvlText w:val=""/>
      <w:lvlJc w:val="left"/>
      <w:pPr>
        <w:ind w:left="-3960" w:hanging="360"/>
      </w:pPr>
      <w:rPr>
        <w:rFonts w:ascii="Symbol" w:hAnsi="Symbol" w:hint="default"/>
        <w:sz w:val="20"/>
        <w:szCs w:val="2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1080" w:hanging="360"/>
      </w:pPr>
      <w:rPr>
        <w:rFonts w:ascii="Courier New" w:hAnsi="Courier New" w:cs="Courier New" w:hint="default"/>
      </w:rPr>
    </w:lvl>
    <w:lvl w:ilvl="5" w:tplc="04090005" w:tentative="1">
      <w:start w:val="1"/>
      <w:numFmt w:val="bullet"/>
      <w:lvlText w:val=""/>
      <w:lvlJc w:val="left"/>
      <w:pPr>
        <w:ind w:left="-360" w:hanging="360"/>
      </w:pPr>
      <w:rPr>
        <w:rFonts w:ascii="Wingdings" w:hAnsi="Wingdings" w:hint="default"/>
      </w:rPr>
    </w:lvl>
    <w:lvl w:ilvl="6" w:tplc="04090001" w:tentative="1">
      <w:start w:val="1"/>
      <w:numFmt w:val="bullet"/>
      <w:lvlText w:val=""/>
      <w:lvlJc w:val="left"/>
      <w:pPr>
        <w:ind w:left="360" w:hanging="360"/>
      </w:pPr>
      <w:rPr>
        <w:rFonts w:ascii="Symbol" w:hAnsi="Symbol" w:hint="default"/>
      </w:rPr>
    </w:lvl>
    <w:lvl w:ilvl="7" w:tplc="04090003" w:tentative="1">
      <w:start w:val="1"/>
      <w:numFmt w:val="bullet"/>
      <w:lvlText w:val="o"/>
      <w:lvlJc w:val="left"/>
      <w:pPr>
        <w:ind w:left="1080" w:hanging="360"/>
      </w:pPr>
      <w:rPr>
        <w:rFonts w:ascii="Courier New" w:hAnsi="Courier New" w:cs="Courier New" w:hint="default"/>
      </w:rPr>
    </w:lvl>
    <w:lvl w:ilvl="8" w:tplc="04090005" w:tentative="1">
      <w:start w:val="1"/>
      <w:numFmt w:val="bullet"/>
      <w:lvlText w:val=""/>
      <w:lvlJc w:val="left"/>
      <w:pPr>
        <w:ind w:left="1800" w:hanging="360"/>
      </w:pPr>
      <w:rPr>
        <w:rFonts w:ascii="Wingdings" w:hAnsi="Wingdings" w:hint="default"/>
      </w:rPr>
    </w:lvl>
  </w:abstractNum>
  <w:abstractNum w:abstractNumId="12" w15:restartNumberingAfterBreak="0">
    <w:nsid w:val="524C7A8F"/>
    <w:multiLevelType w:val="multilevel"/>
    <w:tmpl w:val="099AA1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7A4170"/>
    <w:multiLevelType w:val="hybridMultilevel"/>
    <w:tmpl w:val="743823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8"/>
  </w:num>
  <w:num w:numId="4">
    <w:abstractNumId w:val="19"/>
  </w:num>
  <w:num w:numId="5">
    <w:abstractNumId w:val="9"/>
  </w:num>
  <w:num w:numId="6">
    <w:abstractNumId w:val="17"/>
  </w:num>
  <w:num w:numId="7">
    <w:abstractNumId w:val="1"/>
  </w:num>
  <w:num w:numId="8">
    <w:abstractNumId w:val="21"/>
  </w:num>
  <w:num w:numId="9">
    <w:abstractNumId w:val="18"/>
  </w:num>
  <w:num w:numId="10">
    <w:abstractNumId w:val="5"/>
  </w:num>
  <w:num w:numId="11">
    <w:abstractNumId w:val="15"/>
  </w:num>
  <w:num w:numId="12">
    <w:abstractNumId w:val="16"/>
  </w:num>
  <w:num w:numId="13">
    <w:abstractNumId w:val="10"/>
  </w:num>
  <w:num w:numId="14">
    <w:abstractNumId w:val="12"/>
  </w:num>
  <w:num w:numId="15">
    <w:abstractNumId w:val="4"/>
  </w:num>
  <w:num w:numId="16">
    <w:abstractNumId w:val="2"/>
  </w:num>
  <w:num w:numId="17">
    <w:abstractNumId w:val="6"/>
  </w:num>
  <w:num w:numId="18">
    <w:abstractNumId w:val="14"/>
  </w:num>
  <w:num w:numId="19">
    <w:abstractNumId w:val="11"/>
  </w:num>
  <w:num w:numId="20">
    <w:abstractNumId w:val="3"/>
  </w:num>
  <w:num w:numId="21">
    <w:abstractNumId w:val="0"/>
  </w:num>
  <w:num w:numId="2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LAwMTE2tTQyt7A0tTBQ0lEKTi0uzszPAykwrAUA5TnsuSwAAAA="/>
  </w:docVars>
  <w:rsids>
    <w:rsidRoot w:val="008A4DC4"/>
    <w:rsid w:val="0000085A"/>
    <w:rsid w:val="00013360"/>
    <w:rsid w:val="00016759"/>
    <w:rsid w:val="00020678"/>
    <w:rsid w:val="000216CE"/>
    <w:rsid w:val="00024ED4"/>
    <w:rsid w:val="00025DC7"/>
    <w:rsid w:val="00035F09"/>
    <w:rsid w:val="0004140D"/>
    <w:rsid w:val="00044ECC"/>
    <w:rsid w:val="000531D3"/>
    <w:rsid w:val="0005646B"/>
    <w:rsid w:val="000615D1"/>
    <w:rsid w:val="0008102D"/>
    <w:rsid w:val="00086B26"/>
    <w:rsid w:val="00094C0E"/>
    <w:rsid w:val="000A146D"/>
    <w:rsid w:val="000A339F"/>
    <w:rsid w:val="000A742E"/>
    <w:rsid w:val="000C1357"/>
    <w:rsid w:val="000D2A2F"/>
    <w:rsid w:val="000D6DFD"/>
    <w:rsid w:val="000D7091"/>
    <w:rsid w:val="000F0C22"/>
    <w:rsid w:val="000F6B09"/>
    <w:rsid w:val="000F6FDC"/>
    <w:rsid w:val="00104567"/>
    <w:rsid w:val="00104916"/>
    <w:rsid w:val="00104AA7"/>
    <w:rsid w:val="0012732D"/>
    <w:rsid w:val="00143F25"/>
    <w:rsid w:val="00152682"/>
    <w:rsid w:val="00154FC9"/>
    <w:rsid w:val="00155184"/>
    <w:rsid w:val="00160BB0"/>
    <w:rsid w:val="001621CC"/>
    <w:rsid w:val="00181EC4"/>
    <w:rsid w:val="001901C0"/>
    <w:rsid w:val="0019241A"/>
    <w:rsid w:val="00192A18"/>
    <w:rsid w:val="001A22D1"/>
    <w:rsid w:val="001A752D"/>
    <w:rsid w:val="001A757E"/>
    <w:rsid w:val="001B5032"/>
    <w:rsid w:val="001C7777"/>
    <w:rsid w:val="001D0CF4"/>
    <w:rsid w:val="001D344B"/>
    <w:rsid w:val="001D428A"/>
    <w:rsid w:val="001E364F"/>
    <w:rsid w:val="001E3D53"/>
    <w:rsid w:val="001F4222"/>
    <w:rsid w:val="00203AA1"/>
    <w:rsid w:val="00213E98"/>
    <w:rsid w:val="002236AB"/>
    <w:rsid w:val="00230150"/>
    <w:rsid w:val="0023081A"/>
    <w:rsid w:val="00233111"/>
    <w:rsid w:val="00265FA8"/>
    <w:rsid w:val="0027250E"/>
    <w:rsid w:val="0028059F"/>
    <w:rsid w:val="0029040F"/>
    <w:rsid w:val="00295562"/>
    <w:rsid w:val="002B40FF"/>
    <w:rsid w:val="002C4E29"/>
    <w:rsid w:val="002F460C"/>
    <w:rsid w:val="002F48D6"/>
    <w:rsid w:val="00306C0E"/>
    <w:rsid w:val="003119B1"/>
    <w:rsid w:val="00316830"/>
    <w:rsid w:val="00317391"/>
    <w:rsid w:val="003228E7"/>
    <w:rsid w:val="00326216"/>
    <w:rsid w:val="003310D0"/>
    <w:rsid w:val="00336580"/>
    <w:rsid w:val="00344BEC"/>
    <w:rsid w:val="00352A4B"/>
    <w:rsid w:val="00354899"/>
    <w:rsid w:val="00355FD6"/>
    <w:rsid w:val="003640EA"/>
    <w:rsid w:val="00364A5C"/>
    <w:rsid w:val="00373FB1"/>
    <w:rsid w:val="00396C76"/>
    <w:rsid w:val="003B30D8"/>
    <w:rsid w:val="003B7EF2"/>
    <w:rsid w:val="003C3FA4"/>
    <w:rsid w:val="003D0BA1"/>
    <w:rsid w:val="003D2751"/>
    <w:rsid w:val="003F2B0C"/>
    <w:rsid w:val="004105B2"/>
    <w:rsid w:val="0041145A"/>
    <w:rsid w:val="00412900"/>
    <w:rsid w:val="00415AF3"/>
    <w:rsid w:val="004221E4"/>
    <w:rsid w:val="004273F8"/>
    <w:rsid w:val="004355A3"/>
    <w:rsid w:val="004360F7"/>
    <w:rsid w:val="00446546"/>
    <w:rsid w:val="00452769"/>
    <w:rsid w:val="00454FA7"/>
    <w:rsid w:val="0045576A"/>
    <w:rsid w:val="00465348"/>
    <w:rsid w:val="004656D4"/>
    <w:rsid w:val="00496D5F"/>
    <w:rsid w:val="004979A5"/>
    <w:rsid w:val="004A0440"/>
    <w:rsid w:val="004A25E0"/>
    <w:rsid w:val="004B0D3D"/>
    <w:rsid w:val="004B1CCB"/>
    <w:rsid w:val="004B632F"/>
    <w:rsid w:val="004D0A3C"/>
    <w:rsid w:val="004D3FB1"/>
    <w:rsid w:val="004D6F21"/>
    <w:rsid w:val="004D73A5"/>
    <w:rsid w:val="005160F1"/>
    <w:rsid w:val="00524F2F"/>
    <w:rsid w:val="00527E5C"/>
    <w:rsid w:val="00532CF5"/>
    <w:rsid w:val="00545103"/>
    <w:rsid w:val="005528CB"/>
    <w:rsid w:val="00566771"/>
    <w:rsid w:val="005736B8"/>
    <w:rsid w:val="00581E2E"/>
    <w:rsid w:val="00584F15"/>
    <w:rsid w:val="0059514B"/>
    <w:rsid w:val="005A1B0F"/>
    <w:rsid w:val="005B4CE6"/>
    <w:rsid w:val="005B5EFE"/>
    <w:rsid w:val="005C75C4"/>
    <w:rsid w:val="005C7DBC"/>
    <w:rsid w:val="005D6F0C"/>
    <w:rsid w:val="005F65D5"/>
    <w:rsid w:val="005F68F9"/>
    <w:rsid w:val="006163F7"/>
    <w:rsid w:val="0062364D"/>
    <w:rsid w:val="006266A1"/>
    <w:rsid w:val="00627C63"/>
    <w:rsid w:val="0063350B"/>
    <w:rsid w:val="00643099"/>
    <w:rsid w:val="00652606"/>
    <w:rsid w:val="00672C8D"/>
    <w:rsid w:val="006946EE"/>
    <w:rsid w:val="006A0E3D"/>
    <w:rsid w:val="006A58A9"/>
    <w:rsid w:val="006A606D"/>
    <w:rsid w:val="006C0371"/>
    <w:rsid w:val="006C08B6"/>
    <w:rsid w:val="006C0B1A"/>
    <w:rsid w:val="006C6065"/>
    <w:rsid w:val="006C7F9F"/>
    <w:rsid w:val="006D1EF8"/>
    <w:rsid w:val="006D43E5"/>
    <w:rsid w:val="006E03CC"/>
    <w:rsid w:val="006E2F6D"/>
    <w:rsid w:val="006E58F6"/>
    <w:rsid w:val="006E6E60"/>
    <w:rsid w:val="006E77E1"/>
    <w:rsid w:val="006F131D"/>
    <w:rsid w:val="0070625B"/>
    <w:rsid w:val="00711642"/>
    <w:rsid w:val="0073205A"/>
    <w:rsid w:val="00744986"/>
    <w:rsid w:val="00744CEA"/>
    <w:rsid w:val="007507C6"/>
    <w:rsid w:val="00751E0B"/>
    <w:rsid w:val="00752BCD"/>
    <w:rsid w:val="007570F1"/>
    <w:rsid w:val="00766DA1"/>
    <w:rsid w:val="00780D94"/>
    <w:rsid w:val="0078389B"/>
    <w:rsid w:val="007866A6"/>
    <w:rsid w:val="007A130D"/>
    <w:rsid w:val="007A34C6"/>
    <w:rsid w:val="007C4CF6"/>
    <w:rsid w:val="007D1A2D"/>
    <w:rsid w:val="007D32E6"/>
    <w:rsid w:val="007D4102"/>
    <w:rsid w:val="007E54A7"/>
    <w:rsid w:val="007F43B7"/>
    <w:rsid w:val="007F6D37"/>
    <w:rsid w:val="00821FFC"/>
    <w:rsid w:val="008271CA"/>
    <w:rsid w:val="008451A8"/>
    <w:rsid w:val="008467D5"/>
    <w:rsid w:val="00865723"/>
    <w:rsid w:val="008764F9"/>
    <w:rsid w:val="008876B4"/>
    <w:rsid w:val="00892450"/>
    <w:rsid w:val="008A4DC4"/>
    <w:rsid w:val="008A5026"/>
    <w:rsid w:val="008B438C"/>
    <w:rsid w:val="008D06CA"/>
    <w:rsid w:val="008D3A46"/>
    <w:rsid w:val="008D4D69"/>
    <w:rsid w:val="008D7F7A"/>
    <w:rsid w:val="008F2385"/>
    <w:rsid w:val="008F7F82"/>
    <w:rsid w:val="00904B18"/>
    <w:rsid w:val="009067A4"/>
    <w:rsid w:val="0091055F"/>
    <w:rsid w:val="00930885"/>
    <w:rsid w:val="00931B30"/>
    <w:rsid w:val="00933D68"/>
    <w:rsid w:val="009340DB"/>
    <w:rsid w:val="0094618C"/>
    <w:rsid w:val="0095684B"/>
    <w:rsid w:val="00972498"/>
    <w:rsid w:val="0097481F"/>
    <w:rsid w:val="00974CC6"/>
    <w:rsid w:val="00976AD4"/>
    <w:rsid w:val="00984CBE"/>
    <w:rsid w:val="00995547"/>
    <w:rsid w:val="009A312F"/>
    <w:rsid w:val="009A5348"/>
    <w:rsid w:val="009B0AB7"/>
    <w:rsid w:val="009C76D5"/>
    <w:rsid w:val="009E2722"/>
    <w:rsid w:val="009E7AA2"/>
    <w:rsid w:val="009F404C"/>
    <w:rsid w:val="009F7AA4"/>
    <w:rsid w:val="00A10AD7"/>
    <w:rsid w:val="00A23B84"/>
    <w:rsid w:val="00A3219A"/>
    <w:rsid w:val="00A323B0"/>
    <w:rsid w:val="00A43497"/>
    <w:rsid w:val="00A559DB"/>
    <w:rsid w:val="00A569EA"/>
    <w:rsid w:val="00A676A0"/>
    <w:rsid w:val="00A81E74"/>
    <w:rsid w:val="00A857DB"/>
    <w:rsid w:val="00AC2D7D"/>
    <w:rsid w:val="00AD2AFE"/>
    <w:rsid w:val="00AE1E04"/>
    <w:rsid w:val="00AE4A2F"/>
    <w:rsid w:val="00AE6C0A"/>
    <w:rsid w:val="00AF0012"/>
    <w:rsid w:val="00AF35FC"/>
    <w:rsid w:val="00AF5556"/>
    <w:rsid w:val="00B00D7E"/>
    <w:rsid w:val="00B03639"/>
    <w:rsid w:val="00B0652A"/>
    <w:rsid w:val="00B36B52"/>
    <w:rsid w:val="00B400CF"/>
    <w:rsid w:val="00B40937"/>
    <w:rsid w:val="00B423EF"/>
    <w:rsid w:val="00B453DE"/>
    <w:rsid w:val="00B50757"/>
    <w:rsid w:val="00B5349C"/>
    <w:rsid w:val="00B62497"/>
    <w:rsid w:val="00B645F2"/>
    <w:rsid w:val="00B678BD"/>
    <w:rsid w:val="00B72597"/>
    <w:rsid w:val="00B87DC0"/>
    <w:rsid w:val="00B901F9"/>
    <w:rsid w:val="00BC4D98"/>
    <w:rsid w:val="00BD6EFB"/>
    <w:rsid w:val="00BE3DF5"/>
    <w:rsid w:val="00BF5EAB"/>
    <w:rsid w:val="00BF6306"/>
    <w:rsid w:val="00C02410"/>
    <w:rsid w:val="00C1584D"/>
    <w:rsid w:val="00C15BE2"/>
    <w:rsid w:val="00C3447F"/>
    <w:rsid w:val="00C44714"/>
    <w:rsid w:val="00C67102"/>
    <w:rsid w:val="00C74B5A"/>
    <w:rsid w:val="00C81491"/>
    <w:rsid w:val="00C81676"/>
    <w:rsid w:val="00C85C5D"/>
    <w:rsid w:val="00C92CC4"/>
    <w:rsid w:val="00CA0AFB"/>
    <w:rsid w:val="00CA2CE1"/>
    <w:rsid w:val="00CA3976"/>
    <w:rsid w:val="00CA44E6"/>
    <w:rsid w:val="00CA48B6"/>
    <w:rsid w:val="00CA50E3"/>
    <w:rsid w:val="00CA757B"/>
    <w:rsid w:val="00CC1787"/>
    <w:rsid w:val="00CC182C"/>
    <w:rsid w:val="00CD0824"/>
    <w:rsid w:val="00CD2908"/>
    <w:rsid w:val="00CD518A"/>
    <w:rsid w:val="00CE1C34"/>
    <w:rsid w:val="00D03A82"/>
    <w:rsid w:val="00D10F9C"/>
    <w:rsid w:val="00D110D6"/>
    <w:rsid w:val="00D13667"/>
    <w:rsid w:val="00D15344"/>
    <w:rsid w:val="00D23F57"/>
    <w:rsid w:val="00D31BEC"/>
    <w:rsid w:val="00D3273B"/>
    <w:rsid w:val="00D43002"/>
    <w:rsid w:val="00D55213"/>
    <w:rsid w:val="00D63150"/>
    <w:rsid w:val="00D636BA"/>
    <w:rsid w:val="00D64A32"/>
    <w:rsid w:val="00D64EFC"/>
    <w:rsid w:val="00D75295"/>
    <w:rsid w:val="00D76CE9"/>
    <w:rsid w:val="00D97F12"/>
    <w:rsid w:val="00DA6095"/>
    <w:rsid w:val="00DB42E7"/>
    <w:rsid w:val="00DC09D8"/>
    <w:rsid w:val="00DE01A6"/>
    <w:rsid w:val="00DE7A98"/>
    <w:rsid w:val="00DF32C2"/>
    <w:rsid w:val="00DF6262"/>
    <w:rsid w:val="00E21CD0"/>
    <w:rsid w:val="00E32785"/>
    <w:rsid w:val="00E3618C"/>
    <w:rsid w:val="00E43E02"/>
    <w:rsid w:val="00E471A7"/>
    <w:rsid w:val="00E635CF"/>
    <w:rsid w:val="00E84A7C"/>
    <w:rsid w:val="00E95951"/>
    <w:rsid w:val="00EA5C3E"/>
    <w:rsid w:val="00EB0388"/>
    <w:rsid w:val="00EB1E3B"/>
    <w:rsid w:val="00EB5F28"/>
    <w:rsid w:val="00EC6E0A"/>
    <w:rsid w:val="00ED4E18"/>
    <w:rsid w:val="00ED7922"/>
    <w:rsid w:val="00EE02C4"/>
    <w:rsid w:val="00EE1F37"/>
    <w:rsid w:val="00EF0786"/>
    <w:rsid w:val="00F0159C"/>
    <w:rsid w:val="00F027A0"/>
    <w:rsid w:val="00F0322D"/>
    <w:rsid w:val="00F105B7"/>
    <w:rsid w:val="00F13220"/>
    <w:rsid w:val="00F17466"/>
    <w:rsid w:val="00F17A21"/>
    <w:rsid w:val="00F2347C"/>
    <w:rsid w:val="00F36FC2"/>
    <w:rsid w:val="00F37B27"/>
    <w:rsid w:val="00F46556"/>
    <w:rsid w:val="00F50E91"/>
    <w:rsid w:val="00F5484F"/>
    <w:rsid w:val="00F56799"/>
    <w:rsid w:val="00F57D29"/>
    <w:rsid w:val="00F60786"/>
    <w:rsid w:val="00F91BC7"/>
    <w:rsid w:val="00F96201"/>
    <w:rsid w:val="00FA1BBC"/>
    <w:rsid w:val="00FB6DCA"/>
    <w:rsid w:val="00FD0B18"/>
    <w:rsid w:val="00FD2FAD"/>
    <w:rsid w:val="00FE1FC6"/>
    <w:rsid w:val="00FE2688"/>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79AA937"/>
  <w15:docId w15:val="{90F708F0-6A91-423F-AAE0-BCC4F3D7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CA"/>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B534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460754">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78594-CC98-4A46-84F6-E248AE488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4294</Words>
  <Characters>24482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4</cp:revision>
  <cp:lastPrinted>2019-09-30T17:20:00Z</cp:lastPrinted>
  <dcterms:created xsi:type="dcterms:W3CDTF">2019-09-30T17:14:00Z</dcterms:created>
  <dcterms:modified xsi:type="dcterms:W3CDTF">2019-09-30T17:22:00Z</dcterms:modified>
</cp:coreProperties>
</file>