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6A3790" w:rsidRPr="00A71B1D" w14:paraId="0720D739" w14:textId="77777777" w:rsidTr="00DC4D5B">
        <w:trPr>
          <w:jc w:val="center"/>
        </w:trPr>
        <w:tc>
          <w:tcPr>
            <w:tcW w:w="4755" w:type="dxa"/>
          </w:tcPr>
          <w:p w14:paraId="316AE18B" w14:textId="77777777" w:rsidR="006A3790" w:rsidRPr="00A71B1D" w:rsidRDefault="006A3790" w:rsidP="00DC4D5B">
            <w:pPr>
              <w:tabs>
                <w:tab w:val="left" w:pos="-1440"/>
                <w:tab w:val="left" w:pos="-720"/>
                <w:tab w:val="left" w:pos="1"/>
              </w:tabs>
              <w:jc w:val="both"/>
              <w:rPr>
                <w:rFonts w:ascii="Arial" w:hAnsi="Arial"/>
                <w:b/>
                <w:sz w:val="24"/>
              </w:rPr>
            </w:pPr>
            <w:bookmarkStart w:id="0" w:name="_Hlk85698315"/>
            <w:r w:rsidRPr="00A71B1D">
              <w:rPr>
                <w:rFonts w:ascii="Arial" w:hAnsi="Arial"/>
                <w:b/>
                <w:noProof/>
                <w:sz w:val="24"/>
                <w:lang w:val="en-GB" w:eastAsia="en-GB"/>
              </w:rPr>
              <w:drawing>
                <wp:anchor distT="0" distB="0" distL="114300" distR="114300" simplePos="0" relativeHeight="251659264" behindDoc="0" locked="0" layoutInCell="1" allowOverlap="1" wp14:anchorId="3EE0702B" wp14:editId="433BE50F">
                  <wp:simplePos x="0" y="0"/>
                  <wp:positionH relativeFrom="column">
                    <wp:posOffset>-25400</wp:posOffset>
                  </wp:positionH>
                  <wp:positionV relativeFrom="paragraph">
                    <wp:posOffset>0</wp:posOffset>
                  </wp:positionV>
                  <wp:extent cx="2613660" cy="551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6C5B56E1" w14:textId="77777777" w:rsidR="006A3790" w:rsidRPr="00A71B1D" w:rsidRDefault="006A3790" w:rsidP="00DC4D5B">
            <w:pPr>
              <w:tabs>
                <w:tab w:val="left" w:pos="-1440"/>
                <w:tab w:val="left" w:pos="-720"/>
                <w:tab w:val="left" w:pos="1"/>
              </w:tabs>
              <w:jc w:val="right"/>
              <w:rPr>
                <w:rFonts w:ascii="Arial" w:hAnsi="Arial"/>
                <w:b/>
                <w:sz w:val="24"/>
              </w:rPr>
            </w:pPr>
            <w:r>
              <w:rPr>
                <w:noProof/>
              </w:rPr>
              <w:drawing>
                <wp:inline distT="0" distB="0" distL="0" distR="0" wp14:anchorId="6BCF3635" wp14:editId="075F6D38">
                  <wp:extent cx="1733550" cy="649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11ED6553" w14:textId="77777777" w:rsidR="006A3790" w:rsidRPr="00A5652A" w:rsidRDefault="006A3790" w:rsidP="006A3790">
      <w:pPr>
        <w:pBdr>
          <w:bottom w:val="single" w:sz="18" w:space="0" w:color="auto"/>
        </w:pBdr>
        <w:tabs>
          <w:tab w:val="left" w:pos="-1440"/>
          <w:tab w:val="left" w:pos="-720"/>
          <w:tab w:val="left" w:pos="1"/>
        </w:tabs>
        <w:jc w:val="both"/>
        <w:rPr>
          <w:rFonts w:ascii="Arial" w:hAnsi="Arial"/>
          <w:b/>
          <w:sz w:val="4"/>
          <w:szCs w:val="4"/>
        </w:rPr>
      </w:pPr>
    </w:p>
    <w:p w14:paraId="5B54DCCB" w14:textId="77777777" w:rsidR="006A3790" w:rsidRDefault="006A3790" w:rsidP="006A3790">
      <w:pPr>
        <w:pStyle w:val="ProductNumber"/>
      </w:pPr>
      <w:r w:rsidRPr="001907AF">
        <w:t>9B19M084</w:t>
      </w:r>
    </w:p>
    <w:p w14:paraId="61A74810" w14:textId="77777777" w:rsidR="006A3790" w:rsidRDefault="006A3790" w:rsidP="006A3790">
      <w:pPr>
        <w:jc w:val="right"/>
        <w:rPr>
          <w:rFonts w:ascii="Arial" w:hAnsi="Arial"/>
          <w:b/>
        </w:rPr>
      </w:pPr>
    </w:p>
    <w:p w14:paraId="6984725D" w14:textId="77777777" w:rsidR="006A3790" w:rsidRPr="001901C0" w:rsidRDefault="006A3790" w:rsidP="006A3790">
      <w:pPr>
        <w:jc w:val="right"/>
        <w:rPr>
          <w:rFonts w:ascii="Arial" w:hAnsi="Arial"/>
          <w:b/>
        </w:rPr>
      </w:pPr>
    </w:p>
    <w:p w14:paraId="192450D9" w14:textId="77777777" w:rsidR="006A3790" w:rsidRDefault="006A3790" w:rsidP="006A3790">
      <w:pPr>
        <w:pStyle w:val="CaseTitle"/>
        <w:spacing w:after="0" w:line="240" w:lineRule="auto"/>
        <w:rPr>
          <w:sz w:val="20"/>
          <w:szCs w:val="20"/>
        </w:rPr>
      </w:pPr>
      <w:r w:rsidRPr="001907AF">
        <w:rPr>
          <w:lang w:val="en-GB"/>
        </w:rPr>
        <w:t>THE INSIDE-OUT PRISON EXCHANGE PROGRAM: IMPACT ON STAKEHOLDERS</w:t>
      </w:r>
    </w:p>
    <w:p w14:paraId="213E605D" w14:textId="77777777" w:rsidR="006A3790" w:rsidRDefault="006A3790" w:rsidP="006A3790">
      <w:pPr>
        <w:pStyle w:val="CaseTitle"/>
        <w:spacing w:after="0" w:line="240" w:lineRule="auto"/>
        <w:rPr>
          <w:sz w:val="20"/>
          <w:szCs w:val="20"/>
        </w:rPr>
      </w:pPr>
    </w:p>
    <w:p w14:paraId="710386DB" w14:textId="77777777" w:rsidR="006A3790" w:rsidRPr="00013360" w:rsidRDefault="006A3790" w:rsidP="006A3790">
      <w:pPr>
        <w:pStyle w:val="CaseTitle"/>
        <w:spacing w:after="0" w:line="240" w:lineRule="auto"/>
        <w:rPr>
          <w:sz w:val="20"/>
          <w:szCs w:val="20"/>
        </w:rPr>
      </w:pPr>
    </w:p>
    <w:p w14:paraId="2F596CCE" w14:textId="77777777" w:rsidR="006A3790" w:rsidRPr="00287D6F" w:rsidRDefault="006A3790" w:rsidP="006A3790">
      <w:pPr>
        <w:pStyle w:val="StyleCopyrightStatementAfter0ptBottomSinglesolidline1"/>
        <w:rPr>
          <w:lang w:val="en-GB"/>
        </w:rPr>
      </w:pPr>
      <w:r w:rsidRPr="001907AF">
        <w:t xml:space="preserve">TL Hill, Rebecca </w:t>
      </w:r>
      <w:proofErr w:type="spellStart"/>
      <w:r w:rsidRPr="001907AF">
        <w:t>DeWhitt</w:t>
      </w:r>
      <w:proofErr w:type="spellEnd"/>
      <w:r w:rsidRPr="001907AF">
        <w:t xml:space="preserve">, Claire Thanh Tran, and Lynne Andersson </w:t>
      </w:r>
      <w:r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4AFEE62" w14:textId="77777777" w:rsidR="006A3790" w:rsidRDefault="006A3790" w:rsidP="006A3790">
      <w:pPr>
        <w:pStyle w:val="StyleCopyrightStatementAfter0ptBottomSinglesolidline1"/>
        <w:rPr>
          <w:lang w:val="en-GB"/>
        </w:rPr>
      </w:pPr>
    </w:p>
    <w:p w14:paraId="3C58ED62" w14:textId="77777777" w:rsidR="006A3790" w:rsidRPr="00A323B0" w:rsidRDefault="006A3790" w:rsidP="006A3790">
      <w:pPr>
        <w:pStyle w:val="StyleStyleCopyrightStatementAfter0ptBottomSinglesolid"/>
        <w:rPr>
          <w:rFonts w:cs="Arial"/>
          <w:szCs w:val="16"/>
        </w:rPr>
      </w:pPr>
      <w:bookmarkStart w:id="1" w:name="_Hlk85703772"/>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bookmarkEnd w:id="1"/>
    <w:p w14:paraId="3A97A2E4" w14:textId="77777777" w:rsidR="006A3790" w:rsidRPr="00A323B0" w:rsidRDefault="006A3790" w:rsidP="006A3790">
      <w:pPr>
        <w:pStyle w:val="StyleStyleCopyrightStatementAfter0ptBottomSinglesolid"/>
        <w:rPr>
          <w:rFonts w:cs="Arial"/>
          <w:szCs w:val="16"/>
        </w:rPr>
      </w:pPr>
    </w:p>
    <w:p w14:paraId="6650D9F2" w14:textId="77777777" w:rsidR="006A3790" w:rsidRPr="00C02410" w:rsidRDefault="006A3790" w:rsidP="006A3790">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Pr>
          <w:rFonts w:cs="Arial"/>
          <w:iCs w:val="0"/>
          <w:color w:val="auto"/>
          <w:szCs w:val="16"/>
        </w:rPr>
        <w:t>21-10-22</w:t>
      </w:r>
    </w:p>
    <w:p w14:paraId="46C5FFF1" w14:textId="77777777" w:rsidR="006A3790" w:rsidRPr="003B12E3" w:rsidRDefault="006A3790" w:rsidP="006A3790">
      <w:pPr>
        <w:pStyle w:val="StyleCopyrightStatementAfter0ptBottomSinglesolidline1"/>
        <w:rPr>
          <w:rFonts w:ascii="Times New Roman" w:hAnsi="Times New Roman"/>
          <w:i w:val="0"/>
          <w:sz w:val="20"/>
        </w:rPr>
      </w:pPr>
    </w:p>
    <w:bookmarkEnd w:id="0"/>
    <w:p w14:paraId="34F89106" w14:textId="77777777" w:rsidR="006A3790" w:rsidRPr="003B12E3" w:rsidRDefault="006A3790" w:rsidP="006A3790">
      <w:pPr>
        <w:pStyle w:val="Casehead1"/>
        <w:rPr>
          <w:rFonts w:ascii="Times New Roman" w:hAnsi="Times New Roman" w:cs="Times New Roman"/>
          <w:b w:val="0"/>
        </w:rPr>
      </w:pPr>
    </w:p>
    <w:p w14:paraId="563F536F" w14:textId="5C4C9EEE" w:rsidR="005860DE" w:rsidRPr="00BD3C31" w:rsidRDefault="005860DE" w:rsidP="005860DE">
      <w:pPr>
        <w:pStyle w:val="BodyTextMain"/>
        <w:rPr>
          <w:spacing w:val="-2"/>
          <w:lang w:val="en-GB"/>
        </w:rPr>
      </w:pPr>
      <w:r w:rsidRPr="00BD3C31">
        <w:rPr>
          <w:spacing w:val="-2"/>
          <w:lang w:val="en-GB"/>
        </w:rPr>
        <w:t xml:space="preserve">It was late May 2018, and Lori </w:t>
      </w:r>
      <w:proofErr w:type="spellStart"/>
      <w:r w:rsidRPr="00BD3C31">
        <w:rPr>
          <w:spacing w:val="-2"/>
          <w:lang w:val="en-GB"/>
        </w:rPr>
        <w:t>Pompa</w:t>
      </w:r>
      <w:proofErr w:type="spellEnd"/>
      <w:r w:rsidRPr="00BD3C31">
        <w:rPr>
          <w:spacing w:val="-2"/>
          <w:lang w:val="en-GB"/>
        </w:rPr>
        <w:t xml:space="preserve">, founder of </w:t>
      </w:r>
      <w:r w:rsidR="006F1644">
        <w:rPr>
          <w:spacing w:val="-2"/>
          <w:lang w:val="en-GB"/>
        </w:rPr>
        <w:t>t</w:t>
      </w:r>
      <w:r w:rsidRPr="00BD3C31">
        <w:rPr>
          <w:spacing w:val="-2"/>
          <w:lang w:val="en-GB"/>
        </w:rPr>
        <w:t xml:space="preserve">he Inside-Out Prison Exchange Program </w:t>
      </w:r>
      <w:r w:rsidR="00694955" w:rsidRPr="00BD3C31">
        <w:rPr>
          <w:spacing w:val="-2"/>
          <w:lang w:val="en-GB"/>
        </w:rPr>
        <w:t xml:space="preserve">(Inside-Out) and executive director of the Inside-Out </w:t>
      </w:r>
      <w:proofErr w:type="spellStart"/>
      <w:r w:rsidR="00694955" w:rsidRPr="00BD3C31">
        <w:rPr>
          <w:spacing w:val="-2"/>
          <w:lang w:val="en-GB"/>
        </w:rPr>
        <w:t>Center</w:t>
      </w:r>
      <w:proofErr w:type="spellEnd"/>
      <w:r w:rsidR="00694955" w:rsidRPr="00BD3C31">
        <w:rPr>
          <w:spacing w:val="-2"/>
          <w:lang w:val="en-GB"/>
        </w:rPr>
        <w:t xml:space="preserve"> at Temple University in Philadelphia, </w:t>
      </w:r>
      <w:r w:rsidRPr="00BD3C31">
        <w:rPr>
          <w:spacing w:val="-2"/>
          <w:lang w:val="en-GB"/>
        </w:rPr>
        <w:t xml:space="preserve">was exhausted. She had just wrapped up her 21st year of teaching college courses within Philadelphia prisons through Inside-Out. Now she </w:t>
      </w:r>
      <w:r w:rsidR="006F1644">
        <w:rPr>
          <w:spacing w:val="-2"/>
          <w:lang w:val="en-GB"/>
        </w:rPr>
        <w:t>needed</w:t>
      </w:r>
      <w:r w:rsidR="006F1644" w:rsidRPr="00BD3C31">
        <w:rPr>
          <w:spacing w:val="-2"/>
          <w:lang w:val="en-GB"/>
        </w:rPr>
        <w:t xml:space="preserve"> </w:t>
      </w:r>
      <w:r w:rsidRPr="00BD3C31">
        <w:rPr>
          <w:spacing w:val="-2"/>
          <w:lang w:val="en-GB"/>
        </w:rPr>
        <w:t xml:space="preserve">to prepare for the summer, Inside-Out’s busiest season for international instructor training. As </w:t>
      </w:r>
      <w:proofErr w:type="spellStart"/>
      <w:r w:rsidRPr="00BD3C31">
        <w:rPr>
          <w:spacing w:val="-2"/>
          <w:lang w:val="en-GB"/>
        </w:rPr>
        <w:t>Pompa</w:t>
      </w:r>
      <w:proofErr w:type="spellEnd"/>
      <w:r w:rsidRPr="00BD3C31">
        <w:rPr>
          <w:spacing w:val="-2"/>
          <w:lang w:val="en-GB"/>
        </w:rPr>
        <w:t xml:space="preserve"> reflected on the </w:t>
      </w:r>
      <w:r w:rsidR="006F1644">
        <w:rPr>
          <w:spacing w:val="-2"/>
          <w:lang w:val="en-GB"/>
        </w:rPr>
        <w:t>p</w:t>
      </w:r>
      <w:r w:rsidR="006F1644" w:rsidRPr="00BD3C31">
        <w:rPr>
          <w:spacing w:val="-2"/>
          <w:lang w:val="en-GB"/>
        </w:rPr>
        <w:t xml:space="preserve">ast </w:t>
      </w:r>
      <w:r w:rsidRPr="00BD3C31">
        <w:rPr>
          <w:spacing w:val="-2"/>
          <w:lang w:val="en-GB"/>
        </w:rPr>
        <w:t xml:space="preserve">year, she knew she </w:t>
      </w:r>
      <w:r w:rsidR="006F1644">
        <w:rPr>
          <w:spacing w:val="-2"/>
          <w:lang w:val="en-GB"/>
        </w:rPr>
        <w:t>needed</w:t>
      </w:r>
      <w:r w:rsidR="006F1644" w:rsidRPr="00BD3C31">
        <w:rPr>
          <w:spacing w:val="-2"/>
          <w:lang w:val="en-GB"/>
        </w:rPr>
        <w:t xml:space="preserve"> </w:t>
      </w:r>
      <w:r w:rsidRPr="00BD3C31">
        <w:rPr>
          <w:spacing w:val="-2"/>
          <w:lang w:val="en-GB"/>
        </w:rPr>
        <w:t xml:space="preserve">to raise more funds to support the program’s vital work and hire additional staff. University students and incarcerated students alike regularly </w:t>
      </w:r>
      <w:r w:rsidR="006F1644" w:rsidRPr="00BD3C31">
        <w:rPr>
          <w:spacing w:val="-2"/>
          <w:lang w:val="en-GB"/>
        </w:rPr>
        <w:t>refer</w:t>
      </w:r>
      <w:r w:rsidR="006F1644">
        <w:rPr>
          <w:spacing w:val="-2"/>
          <w:lang w:val="en-GB"/>
        </w:rPr>
        <w:t>r</w:t>
      </w:r>
      <w:r w:rsidR="006F1644" w:rsidRPr="00BD3C31">
        <w:rPr>
          <w:spacing w:val="-2"/>
          <w:lang w:val="en-GB"/>
        </w:rPr>
        <w:t xml:space="preserve">ed </w:t>
      </w:r>
      <w:r w:rsidR="006F1644">
        <w:rPr>
          <w:spacing w:val="-2"/>
          <w:lang w:val="en-GB"/>
        </w:rPr>
        <w:t xml:space="preserve">to </w:t>
      </w:r>
      <w:r w:rsidRPr="00BD3C31">
        <w:rPr>
          <w:spacing w:val="-2"/>
          <w:lang w:val="en-GB"/>
        </w:rPr>
        <w:t xml:space="preserve">the course as </w:t>
      </w:r>
      <w:r w:rsidR="006F1644">
        <w:rPr>
          <w:spacing w:val="-2"/>
          <w:lang w:val="en-GB"/>
        </w:rPr>
        <w:t xml:space="preserve">having been </w:t>
      </w:r>
      <w:r w:rsidRPr="00BD3C31">
        <w:rPr>
          <w:spacing w:val="-2"/>
          <w:lang w:val="en-GB"/>
        </w:rPr>
        <w:t>life-changing. Program participants around the country were so passionate</w:t>
      </w:r>
      <w:r w:rsidR="00112DD2" w:rsidRPr="00BD3C31">
        <w:rPr>
          <w:spacing w:val="-2"/>
          <w:lang w:val="en-GB"/>
        </w:rPr>
        <w:t xml:space="preserve"> about the experience</w:t>
      </w:r>
      <w:r w:rsidRPr="00BD3C31">
        <w:rPr>
          <w:spacing w:val="-2"/>
          <w:lang w:val="en-GB"/>
        </w:rPr>
        <w:t xml:space="preserve"> that</w:t>
      </w:r>
      <w:r w:rsidR="00112DD2" w:rsidRPr="00BD3C31">
        <w:rPr>
          <w:spacing w:val="-2"/>
          <w:lang w:val="en-GB"/>
        </w:rPr>
        <w:t>, even</w:t>
      </w:r>
      <w:r w:rsidR="009E0CB3" w:rsidRPr="00BD3C31">
        <w:rPr>
          <w:spacing w:val="-2"/>
          <w:lang w:val="en-GB"/>
        </w:rPr>
        <w:t xml:space="preserve"> after leaving the program,</w:t>
      </w:r>
      <w:r w:rsidRPr="00BD3C31">
        <w:rPr>
          <w:spacing w:val="-2"/>
          <w:lang w:val="en-GB"/>
        </w:rPr>
        <w:t xml:space="preserve"> they continued meeting regularly in </w:t>
      </w:r>
      <w:r w:rsidR="00112DD2" w:rsidRPr="00BD3C31">
        <w:rPr>
          <w:spacing w:val="-2"/>
          <w:lang w:val="en-GB"/>
        </w:rPr>
        <w:t xml:space="preserve">Inside-Out </w:t>
      </w:r>
      <w:r w:rsidRPr="00BD3C31">
        <w:rPr>
          <w:spacing w:val="-2"/>
          <w:lang w:val="en-GB"/>
        </w:rPr>
        <w:t>“</w:t>
      </w:r>
      <w:r w:rsidR="00112DD2" w:rsidRPr="00BD3C31">
        <w:rPr>
          <w:spacing w:val="-2"/>
          <w:lang w:val="en-GB"/>
        </w:rPr>
        <w:t>T</w:t>
      </w:r>
      <w:r w:rsidRPr="00BD3C31">
        <w:rPr>
          <w:spacing w:val="-2"/>
          <w:lang w:val="en-GB"/>
        </w:rPr>
        <w:t xml:space="preserve">hink </w:t>
      </w:r>
      <w:r w:rsidR="00112DD2" w:rsidRPr="00BD3C31">
        <w:rPr>
          <w:spacing w:val="-2"/>
          <w:lang w:val="en-GB"/>
        </w:rPr>
        <w:t>T</w:t>
      </w:r>
      <w:r w:rsidRPr="00BD3C31">
        <w:rPr>
          <w:spacing w:val="-2"/>
          <w:lang w:val="en-GB"/>
        </w:rPr>
        <w:t xml:space="preserve">anks” to educate their communities and advocate for prison system reform. Faculty from </w:t>
      </w:r>
      <w:r w:rsidR="00112DD2" w:rsidRPr="00BD3C31">
        <w:rPr>
          <w:spacing w:val="-2"/>
          <w:lang w:val="en-GB"/>
        </w:rPr>
        <w:t>t</w:t>
      </w:r>
      <w:r w:rsidRPr="00BD3C31">
        <w:rPr>
          <w:spacing w:val="-2"/>
          <w:lang w:val="en-GB"/>
        </w:rPr>
        <w:t xml:space="preserve">he Inside-Out Instructor Training Program reported that the training </w:t>
      </w:r>
      <w:r w:rsidR="006F1644">
        <w:rPr>
          <w:spacing w:val="-2"/>
          <w:lang w:val="en-GB"/>
        </w:rPr>
        <w:t xml:space="preserve">had </w:t>
      </w:r>
      <w:r w:rsidRPr="00BD3C31">
        <w:rPr>
          <w:spacing w:val="-2"/>
          <w:lang w:val="en-GB"/>
        </w:rPr>
        <w:t>revived their passion for teaching, and prisons participating in Inside-Out noted improvements in the behavio</w:t>
      </w:r>
      <w:r w:rsidR="009E0CB3" w:rsidRPr="00BD3C31">
        <w:rPr>
          <w:spacing w:val="-2"/>
          <w:lang w:val="en-GB"/>
        </w:rPr>
        <w:t>u</w:t>
      </w:r>
      <w:r w:rsidRPr="00BD3C31">
        <w:rPr>
          <w:spacing w:val="-2"/>
          <w:lang w:val="en-GB"/>
        </w:rPr>
        <w:t>r and mental health of the incarcerated</w:t>
      </w:r>
      <w:r w:rsidR="00112DD2" w:rsidRPr="00BD3C31">
        <w:rPr>
          <w:spacing w:val="-2"/>
          <w:lang w:val="en-GB"/>
        </w:rPr>
        <w:t xml:space="preserve"> students</w:t>
      </w:r>
      <w:r w:rsidRPr="00BD3C31">
        <w:rPr>
          <w:spacing w:val="-2"/>
          <w:lang w:val="en-GB"/>
        </w:rPr>
        <w:t xml:space="preserve">. </w:t>
      </w:r>
    </w:p>
    <w:p w14:paraId="375D1E9F" w14:textId="77777777" w:rsidR="005860DE" w:rsidRPr="003B12E3" w:rsidRDefault="005860DE" w:rsidP="005860DE">
      <w:pPr>
        <w:pStyle w:val="BodyTextMain"/>
        <w:rPr>
          <w:spacing w:val="-2"/>
          <w:sz w:val="20"/>
          <w:szCs w:val="20"/>
          <w:lang w:val="en-GB"/>
        </w:rPr>
      </w:pPr>
    </w:p>
    <w:p w14:paraId="5670AEA0" w14:textId="0F37E641" w:rsidR="005860DE" w:rsidRPr="003B12E3" w:rsidRDefault="005860DE" w:rsidP="005860DE">
      <w:pPr>
        <w:pStyle w:val="BodyTextMain"/>
        <w:rPr>
          <w:spacing w:val="-4"/>
          <w:lang w:val="en-GB"/>
        </w:rPr>
      </w:pPr>
      <w:r w:rsidRPr="003B12E3">
        <w:rPr>
          <w:spacing w:val="-4"/>
          <w:lang w:val="en-GB"/>
        </w:rPr>
        <w:t xml:space="preserve">Despite the success stories, </w:t>
      </w:r>
      <w:proofErr w:type="spellStart"/>
      <w:r w:rsidRPr="003B12E3">
        <w:rPr>
          <w:spacing w:val="-4"/>
          <w:lang w:val="en-GB"/>
        </w:rPr>
        <w:t>Pompa</w:t>
      </w:r>
      <w:proofErr w:type="spellEnd"/>
      <w:r w:rsidRPr="003B12E3">
        <w:rPr>
          <w:spacing w:val="-4"/>
          <w:lang w:val="en-GB"/>
        </w:rPr>
        <w:t xml:space="preserve"> knew it would take more than anecdotal evidence to gain new funders. Prison education funding was competitive, and foundations and individual donors increasingly required tangible impact measurements to demonstrate program efficacy. Gathering that data within the strict boundaries of the prison system would be a challenge</w:t>
      </w:r>
      <w:r w:rsidR="00694955" w:rsidRPr="003B12E3">
        <w:rPr>
          <w:spacing w:val="-4"/>
          <w:lang w:val="en-GB"/>
        </w:rPr>
        <w:t>,</w:t>
      </w:r>
      <w:r w:rsidRPr="003B12E3">
        <w:rPr>
          <w:spacing w:val="-4"/>
          <w:lang w:val="en-GB"/>
        </w:rPr>
        <w:t xml:space="preserve"> and might call into question the efforts and effectiveness of the </w:t>
      </w:r>
      <w:r w:rsidR="00B03F56" w:rsidRPr="003B12E3">
        <w:rPr>
          <w:spacing w:val="-4"/>
          <w:lang w:val="en-GB"/>
        </w:rPr>
        <w:t>Inside-Out N</w:t>
      </w:r>
      <w:r w:rsidRPr="003B12E3">
        <w:rPr>
          <w:spacing w:val="-4"/>
          <w:lang w:val="en-GB"/>
        </w:rPr>
        <w:t>etwork</w:t>
      </w:r>
      <w:r w:rsidR="00694955" w:rsidRPr="003B12E3">
        <w:rPr>
          <w:spacing w:val="-4"/>
          <w:lang w:val="en-GB"/>
        </w:rPr>
        <w:t xml:space="preserve"> members—hundreds of colleges, universities, sponsors, and instructors</w:t>
      </w:r>
      <w:r w:rsidRPr="003B12E3">
        <w:rPr>
          <w:spacing w:val="-4"/>
          <w:lang w:val="en-GB"/>
        </w:rPr>
        <w:t xml:space="preserve">. Assessing long-term impacts seemed nearly impossible because it was </w:t>
      </w:r>
      <w:r w:rsidR="00694955" w:rsidRPr="003B12E3">
        <w:rPr>
          <w:spacing w:val="-4"/>
          <w:lang w:val="en-GB"/>
        </w:rPr>
        <w:t>difficult</w:t>
      </w:r>
      <w:r w:rsidRPr="003B12E3">
        <w:rPr>
          <w:spacing w:val="-4"/>
          <w:lang w:val="en-GB"/>
        </w:rPr>
        <w:t xml:space="preserve"> to keep track of participants as they graduated from </w:t>
      </w:r>
      <w:r w:rsidR="00A942AF" w:rsidRPr="003B12E3">
        <w:rPr>
          <w:spacing w:val="-4"/>
          <w:lang w:val="en-GB"/>
        </w:rPr>
        <w:t xml:space="preserve">the </w:t>
      </w:r>
      <w:r w:rsidRPr="003B12E3">
        <w:rPr>
          <w:spacing w:val="-4"/>
          <w:lang w:val="en-GB"/>
        </w:rPr>
        <w:t>college</w:t>
      </w:r>
      <w:r w:rsidR="00A942AF" w:rsidRPr="003B12E3">
        <w:rPr>
          <w:spacing w:val="-4"/>
          <w:lang w:val="en-GB"/>
        </w:rPr>
        <w:t xml:space="preserve"> program</w:t>
      </w:r>
      <w:r w:rsidRPr="003B12E3">
        <w:rPr>
          <w:spacing w:val="-4"/>
          <w:lang w:val="en-GB"/>
        </w:rPr>
        <w:t xml:space="preserve"> or completed their prison sentences and returned to the outside world. Plus, as </w:t>
      </w:r>
      <w:proofErr w:type="spellStart"/>
      <w:r w:rsidRPr="003B12E3">
        <w:rPr>
          <w:spacing w:val="-4"/>
          <w:lang w:val="en-GB"/>
        </w:rPr>
        <w:t>Pompa</w:t>
      </w:r>
      <w:proofErr w:type="spellEnd"/>
      <w:r w:rsidRPr="003B12E3">
        <w:rPr>
          <w:spacing w:val="-4"/>
          <w:lang w:val="en-GB"/>
        </w:rPr>
        <w:t xml:space="preserve"> looked ahead to the upcoming summer, she knew any measurement efforts would </w:t>
      </w:r>
      <w:r w:rsidR="006F1644" w:rsidRPr="003B12E3">
        <w:rPr>
          <w:spacing w:val="-4"/>
          <w:lang w:val="en-GB"/>
        </w:rPr>
        <w:t xml:space="preserve">need </w:t>
      </w:r>
      <w:r w:rsidRPr="003B12E3">
        <w:rPr>
          <w:spacing w:val="-4"/>
          <w:lang w:val="en-GB"/>
        </w:rPr>
        <w:t xml:space="preserve">to be extremely cost-efficient. Without the funding to hire extra staff, she and her existing team were already stretched thin. </w:t>
      </w:r>
    </w:p>
    <w:p w14:paraId="3BE82025" w14:textId="728E80C0" w:rsidR="005860DE" w:rsidRPr="003B12E3" w:rsidRDefault="005860DE" w:rsidP="005860DE">
      <w:pPr>
        <w:pStyle w:val="BodyTextMain"/>
        <w:rPr>
          <w:sz w:val="20"/>
          <w:szCs w:val="20"/>
          <w:lang w:val="en-GB"/>
        </w:rPr>
      </w:pPr>
    </w:p>
    <w:p w14:paraId="5FEE3564" w14:textId="77777777" w:rsidR="005860DE" w:rsidRPr="003B12E3" w:rsidRDefault="005860DE" w:rsidP="005860DE">
      <w:pPr>
        <w:pStyle w:val="BodyTextMain"/>
        <w:rPr>
          <w:sz w:val="20"/>
          <w:szCs w:val="20"/>
          <w:lang w:val="en-GB"/>
        </w:rPr>
      </w:pPr>
    </w:p>
    <w:p w14:paraId="5325F41F" w14:textId="77777777" w:rsidR="005860DE" w:rsidRPr="00BD3C31" w:rsidRDefault="005860DE" w:rsidP="005860DE">
      <w:pPr>
        <w:pStyle w:val="Casehead1"/>
        <w:rPr>
          <w:lang w:val="en-GB"/>
        </w:rPr>
      </w:pPr>
      <w:r w:rsidRPr="00BD3C31">
        <w:rPr>
          <w:lang w:val="en-GB"/>
        </w:rPr>
        <w:t>Creating Inside-Out</w:t>
      </w:r>
    </w:p>
    <w:p w14:paraId="7AA7C84E" w14:textId="77777777" w:rsidR="005860DE" w:rsidRPr="003B12E3" w:rsidRDefault="005860DE" w:rsidP="005860DE">
      <w:pPr>
        <w:pStyle w:val="BodyTextMain"/>
        <w:rPr>
          <w:sz w:val="20"/>
          <w:szCs w:val="20"/>
          <w:lang w:val="en-GB"/>
        </w:rPr>
      </w:pPr>
    </w:p>
    <w:p w14:paraId="72132A71" w14:textId="1970B4DC" w:rsidR="005860DE" w:rsidRPr="00BD3C31" w:rsidRDefault="005860DE" w:rsidP="005860DE">
      <w:pPr>
        <w:pStyle w:val="BodyTextMain"/>
        <w:rPr>
          <w:spacing w:val="-2"/>
          <w:lang w:val="en-GB"/>
        </w:rPr>
      </w:pPr>
      <w:r w:rsidRPr="00BD3C31">
        <w:rPr>
          <w:spacing w:val="-2"/>
          <w:lang w:val="en-GB"/>
        </w:rPr>
        <w:t xml:space="preserve">When </w:t>
      </w:r>
      <w:proofErr w:type="spellStart"/>
      <w:r w:rsidRPr="00BD3C31">
        <w:rPr>
          <w:spacing w:val="-2"/>
          <w:lang w:val="en-GB"/>
        </w:rPr>
        <w:t>Pompa</w:t>
      </w:r>
      <w:proofErr w:type="spellEnd"/>
      <w:r w:rsidRPr="00BD3C31">
        <w:rPr>
          <w:spacing w:val="-2"/>
          <w:lang w:val="en-GB"/>
        </w:rPr>
        <w:t xml:space="preserve"> joined Temple University’s Criminal Justice </w:t>
      </w:r>
      <w:r w:rsidR="00AD43CD" w:rsidRPr="00BD3C31">
        <w:rPr>
          <w:spacing w:val="-2"/>
          <w:lang w:val="en-GB"/>
        </w:rPr>
        <w:t>D</w:t>
      </w:r>
      <w:r w:rsidRPr="00BD3C31">
        <w:rPr>
          <w:spacing w:val="-2"/>
          <w:lang w:val="en-GB"/>
        </w:rPr>
        <w:t xml:space="preserve">epartment as teaching faculty in 1992, she made prison visits a regular part of her curriculum. “Part of my personal mission is to get as many people </w:t>
      </w:r>
      <w:r w:rsidR="00A942AF" w:rsidRPr="00BD3C31">
        <w:rPr>
          <w:spacing w:val="-2"/>
          <w:lang w:val="en-GB"/>
        </w:rPr>
        <w:t xml:space="preserve">to visit </w:t>
      </w:r>
      <w:r w:rsidRPr="00BD3C31">
        <w:rPr>
          <w:spacing w:val="-2"/>
          <w:lang w:val="en-GB"/>
        </w:rPr>
        <w:t xml:space="preserve">inside prisons and jails as possible,” </w:t>
      </w:r>
      <w:proofErr w:type="spellStart"/>
      <w:r w:rsidRPr="00BD3C31">
        <w:rPr>
          <w:spacing w:val="-2"/>
          <w:lang w:val="en-GB"/>
        </w:rPr>
        <w:t>Pompa</w:t>
      </w:r>
      <w:proofErr w:type="spellEnd"/>
      <w:r w:rsidRPr="00BD3C31">
        <w:rPr>
          <w:spacing w:val="-2"/>
          <w:lang w:val="en-GB"/>
        </w:rPr>
        <w:t xml:space="preserve"> said. “We as a society are only able to continue to incarcerate 2.2 million people because so many of us don’t know what’s going on. Getting people </w:t>
      </w:r>
      <w:r w:rsidR="00A942AF" w:rsidRPr="00BD3C31">
        <w:rPr>
          <w:spacing w:val="-2"/>
          <w:lang w:val="en-GB"/>
        </w:rPr>
        <w:t xml:space="preserve">to visit </w:t>
      </w:r>
      <w:r w:rsidRPr="00BD3C31">
        <w:rPr>
          <w:spacing w:val="-2"/>
          <w:lang w:val="en-GB"/>
        </w:rPr>
        <w:t>inside prisons is one of the ways that change is going to happen.”</w:t>
      </w:r>
    </w:p>
    <w:p w14:paraId="64502171" w14:textId="2FE85BBE" w:rsidR="005860DE" w:rsidRPr="00BD3C31" w:rsidRDefault="005860DE" w:rsidP="005860DE">
      <w:pPr>
        <w:pStyle w:val="BodyTextMain"/>
        <w:rPr>
          <w:lang w:val="en-GB"/>
        </w:rPr>
      </w:pPr>
      <w:proofErr w:type="spellStart"/>
      <w:r w:rsidRPr="00BD3C31">
        <w:rPr>
          <w:lang w:val="en-GB"/>
        </w:rPr>
        <w:lastRenderedPageBreak/>
        <w:t>Pompa</w:t>
      </w:r>
      <w:proofErr w:type="spellEnd"/>
      <w:r w:rsidRPr="00BD3C31">
        <w:rPr>
          <w:lang w:val="en-GB"/>
        </w:rPr>
        <w:t xml:space="preserve"> had spent years working in prisons and becoming familiar with the landscape. Still, she found herself surprised by the impact </w:t>
      </w:r>
      <w:r w:rsidR="006F1644">
        <w:rPr>
          <w:lang w:val="en-GB"/>
        </w:rPr>
        <w:t xml:space="preserve">of </w:t>
      </w:r>
      <w:r w:rsidRPr="00BD3C31">
        <w:rPr>
          <w:lang w:val="en-GB"/>
        </w:rPr>
        <w:t>these prison visits. “One day, a few years into teaching, I remember taking my students to speak to a panel of men who were serving life</w:t>
      </w:r>
      <w:r w:rsidR="00A942AF" w:rsidRPr="00BD3C31">
        <w:rPr>
          <w:lang w:val="en-GB"/>
        </w:rPr>
        <w:t xml:space="preserve"> sentences</w:t>
      </w:r>
      <w:r w:rsidRPr="00BD3C31">
        <w:rPr>
          <w:lang w:val="en-GB"/>
        </w:rPr>
        <w:t xml:space="preserve"> in prison.” The discussion quickly moved beyond basic criminology questions. “We talked about crime and justice and race and class and politics and economics</w:t>
      </w:r>
      <w:r w:rsidR="00A942AF" w:rsidRPr="00BD3C31">
        <w:rPr>
          <w:rFonts w:eastAsia="Calibri"/>
          <w:lang w:val="en-GB"/>
        </w:rPr>
        <w:t>—</w:t>
      </w:r>
      <w:r w:rsidRPr="00BD3C31">
        <w:rPr>
          <w:lang w:val="en-GB"/>
        </w:rPr>
        <w:t xml:space="preserve">and how it was all interwoven. Up to that point, I had never had this powerful of a discussion anywhere.” Following the discussion, one of the men from the panel suggested that </w:t>
      </w:r>
      <w:proofErr w:type="spellStart"/>
      <w:r w:rsidRPr="00BD3C31">
        <w:rPr>
          <w:lang w:val="en-GB"/>
        </w:rPr>
        <w:t>Pompa</w:t>
      </w:r>
      <w:proofErr w:type="spellEnd"/>
      <w:r w:rsidRPr="00BD3C31">
        <w:rPr>
          <w:lang w:val="en-GB"/>
        </w:rPr>
        <w:t xml:space="preserve"> teach an entire course within a prison </w:t>
      </w:r>
      <w:r w:rsidR="006F1644">
        <w:rPr>
          <w:lang w:val="en-GB"/>
        </w:rPr>
        <w:t>for</w:t>
      </w:r>
      <w:r w:rsidR="006F1644" w:rsidRPr="00BD3C31">
        <w:rPr>
          <w:lang w:val="en-GB"/>
        </w:rPr>
        <w:t xml:space="preserve"> </w:t>
      </w:r>
      <w:r w:rsidRPr="00BD3C31">
        <w:rPr>
          <w:lang w:val="en-GB"/>
        </w:rPr>
        <w:t xml:space="preserve">both </w:t>
      </w:r>
      <w:r w:rsidR="00A942AF" w:rsidRPr="00BD3C31">
        <w:rPr>
          <w:lang w:val="en-GB"/>
        </w:rPr>
        <w:t>incarcerated and university</w:t>
      </w:r>
      <w:r w:rsidRPr="00BD3C31">
        <w:rPr>
          <w:lang w:val="en-GB"/>
        </w:rPr>
        <w:t xml:space="preserve"> students. </w:t>
      </w:r>
    </w:p>
    <w:p w14:paraId="0DADDD9A" w14:textId="77777777" w:rsidR="005860DE" w:rsidRPr="003B12E3" w:rsidRDefault="005860DE" w:rsidP="005860DE">
      <w:pPr>
        <w:pStyle w:val="BodyTextMain"/>
        <w:rPr>
          <w:sz w:val="20"/>
          <w:szCs w:val="20"/>
          <w:lang w:val="en-GB"/>
        </w:rPr>
      </w:pPr>
    </w:p>
    <w:p w14:paraId="6A5FBF56" w14:textId="42E1C487" w:rsidR="00AD43CD" w:rsidRPr="003B12E3" w:rsidRDefault="005860DE" w:rsidP="003B12E3">
      <w:pPr>
        <w:pStyle w:val="BodyTextMain"/>
        <w:rPr>
          <w:spacing w:val="-2"/>
          <w:lang w:val="en-GB"/>
        </w:rPr>
      </w:pPr>
      <w:proofErr w:type="spellStart"/>
      <w:r w:rsidRPr="003B12E3">
        <w:rPr>
          <w:spacing w:val="-2"/>
          <w:lang w:val="en-GB"/>
        </w:rPr>
        <w:t>Pompa</w:t>
      </w:r>
      <w:proofErr w:type="spellEnd"/>
      <w:r w:rsidRPr="003B12E3">
        <w:rPr>
          <w:spacing w:val="-2"/>
          <w:lang w:val="en-GB"/>
        </w:rPr>
        <w:t xml:space="preserve"> couldn’t get the idea out of her head. She began planning and negotiating with prison and university officials</w:t>
      </w:r>
      <w:r w:rsidR="00AD43CD" w:rsidRPr="003B12E3">
        <w:rPr>
          <w:spacing w:val="-2"/>
          <w:lang w:val="en-GB"/>
        </w:rPr>
        <w:t>,</w:t>
      </w:r>
      <w:r w:rsidRPr="003B12E3">
        <w:rPr>
          <w:spacing w:val="-2"/>
          <w:lang w:val="en-GB"/>
        </w:rPr>
        <w:t xml:space="preserve"> and two years later </w:t>
      </w:r>
      <w:r w:rsidR="00AD43CD" w:rsidRPr="003B12E3">
        <w:rPr>
          <w:spacing w:val="-2"/>
          <w:lang w:val="en-GB"/>
        </w:rPr>
        <w:t xml:space="preserve">she </w:t>
      </w:r>
      <w:r w:rsidRPr="003B12E3">
        <w:rPr>
          <w:spacing w:val="-2"/>
          <w:lang w:val="en-GB"/>
        </w:rPr>
        <w:t xml:space="preserve">offered </w:t>
      </w:r>
      <w:r w:rsidR="00AD43CD" w:rsidRPr="003B12E3">
        <w:rPr>
          <w:spacing w:val="-2"/>
          <w:lang w:val="en-GB"/>
        </w:rPr>
        <w:t>the</w:t>
      </w:r>
      <w:r w:rsidRPr="003B12E3">
        <w:rPr>
          <w:spacing w:val="-2"/>
          <w:lang w:val="en-GB"/>
        </w:rPr>
        <w:t xml:space="preserve"> first full-semester course at a local jail. Each week, 15 university students (“outside” students) came to a jail to meet with 15 incarcerated students (“inside” students). </w:t>
      </w:r>
      <w:r w:rsidR="00934366" w:rsidRPr="003B12E3">
        <w:rPr>
          <w:spacing w:val="-2"/>
          <w:lang w:val="en-GB"/>
        </w:rPr>
        <w:t>She recalled</w:t>
      </w:r>
      <w:r w:rsidR="003B12E3" w:rsidRPr="003B12E3">
        <w:rPr>
          <w:spacing w:val="-2"/>
          <w:lang w:val="en-GB"/>
        </w:rPr>
        <w:t>, “</w:t>
      </w:r>
      <w:r w:rsidRPr="003B12E3">
        <w:rPr>
          <w:spacing w:val="-2"/>
          <w:lang w:val="en-GB"/>
        </w:rPr>
        <w:t>At first, I was really focused on what we could learn together about crime and justice</w:t>
      </w:r>
      <w:r w:rsidR="00AD43CD" w:rsidRPr="003B12E3">
        <w:rPr>
          <w:spacing w:val="-2"/>
          <w:lang w:val="en-GB"/>
        </w:rPr>
        <w:t xml:space="preserve">. </w:t>
      </w:r>
      <w:r w:rsidRPr="003B12E3">
        <w:rPr>
          <w:spacing w:val="-2"/>
          <w:lang w:val="en-GB"/>
        </w:rPr>
        <w:t>What I didn’t expect was the other learning that unfolded before my eyes. People were learning about themselves, about communication, about conflict and about society and their relationship to society in a totally different way.</w:t>
      </w:r>
      <w:r w:rsidR="003B12E3" w:rsidRPr="003B12E3">
        <w:rPr>
          <w:spacing w:val="-2"/>
          <w:lang w:val="en-GB"/>
        </w:rPr>
        <w:t>”</w:t>
      </w:r>
    </w:p>
    <w:p w14:paraId="6EF6A12C" w14:textId="77777777" w:rsidR="00AD43CD" w:rsidRPr="003B12E3" w:rsidRDefault="00AD43CD" w:rsidP="005860DE">
      <w:pPr>
        <w:pStyle w:val="BodyTextMain"/>
        <w:rPr>
          <w:sz w:val="20"/>
          <w:szCs w:val="20"/>
          <w:lang w:val="en-GB"/>
        </w:rPr>
      </w:pPr>
    </w:p>
    <w:p w14:paraId="711FD792" w14:textId="763C2A91" w:rsidR="005860DE" w:rsidRPr="00BD3C31" w:rsidRDefault="005860DE" w:rsidP="005860DE">
      <w:pPr>
        <w:pStyle w:val="BodyTextMain"/>
        <w:rPr>
          <w:lang w:val="en-GB"/>
        </w:rPr>
      </w:pPr>
      <w:r w:rsidRPr="00BD3C31">
        <w:rPr>
          <w:lang w:val="en-GB"/>
        </w:rPr>
        <w:t>One inside student agreed: “I started seeing things I could do. In the eight years I’ve been incarcerated, I’ve never felt so strong about wanting to make a change.”</w:t>
      </w:r>
    </w:p>
    <w:p w14:paraId="6D9DEEFA" w14:textId="3728DD82" w:rsidR="005860DE" w:rsidRPr="003B12E3" w:rsidRDefault="005860DE" w:rsidP="009B2D7F">
      <w:pPr>
        <w:pStyle w:val="BodyTextMain"/>
        <w:rPr>
          <w:sz w:val="20"/>
          <w:szCs w:val="20"/>
          <w:lang w:val="en-GB"/>
        </w:rPr>
      </w:pPr>
    </w:p>
    <w:p w14:paraId="35C69D78" w14:textId="77777777" w:rsidR="005860DE" w:rsidRPr="003B12E3" w:rsidRDefault="005860DE" w:rsidP="009B2D7F">
      <w:pPr>
        <w:pStyle w:val="BodyTextMain"/>
        <w:rPr>
          <w:sz w:val="20"/>
          <w:szCs w:val="20"/>
          <w:lang w:val="en-GB"/>
        </w:rPr>
      </w:pPr>
    </w:p>
    <w:p w14:paraId="5EE5DF3C" w14:textId="57AAC76D" w:rsidR="005860DE" w:rsidRPr="00BD3C31" w:rsidRDefault="005860DE" w:rsidP="005860DE">
      <w:pPr>
        <w:pStyle w:val="Casehead1"/>
        <w:rPr>
          <w:lang w:val="en-GB"/>
        </w:rPr>
      </w:pPr>
      <w:r w:rsidRPr="00BD3C31">
        <w:rPr>
          <w:lang w:val="en-GB"/>
        </w:rPr>
        <w:t xml:space="preserve">Designing </w:t>
      </w:r>
      <w:r w:rsidR="00934366" w:rsidRPr="00BD3C31">
        <w:rPr>
          <w:lang w:val="en-GB"/>
        </w:rPr>
        <w:t xml:space="preserve">a </w:t>
      </w:r>
      <w:r w:rsidRPr="00BD3C31">
        <w:rPr>
          <w:lang w:val="en-GB"/>
        </w:rPr>
        <w:t>Successful Curriculum</w:t>
      </w:r>
    </w:p>
    <w:p w14:paraId="2124C0C8" w14:textId="77777777" w:rsidR="005860DE" w:rsidRPr="003B12E3" w:rsidRDefault="005860DE" w:rsidP="005860DE">
      <w:pPr>
        <w:pStyle w:val="BodyTextMain"/>
        <w:rPr>
          <w:sz w:val="20"/>
          <w:szCs w:val="20"/>
          <w:lang w:val="en-GB"/>
        </w:rPr>
      </w:pPr>
    </w:p>
    <w:p w14:paraId="33B1E8B9" w14:textId="5CA19D4A" w:rsidR="007E7199" w:rsidRPr="00BD3C31" w:rsidRDefault="005860DE" w:rsidP="005860DE">
      <w:pPr>
        <w:pStyle w:val="BodyTextMain"/>
        <w:rPr>
          <w:lang w:val="en-GB"/>
        </w:rPr>
      </w:pPr>
      <w:r w:rsidRPr="00BD3C31">
        <w:rPr>
          <w:lang w:val="en-GB"/>
        </w:rPr>
        <w:t>Each Inside-Out course involved equal numbers of inside and outside students meeting weekly inside a prison or jail. Students sat in a circle, with inside and outside students alternating. “What this circle represents is an opportunity to bring people back into the community,”</w:t>
      </w:r>
      <w:r w:rsidR="007E7199" w:rsidRPr="00BD3C31">
        <w:rPr>
          <w:rStyle w:val="EndnoteReference"/>
          <w:lang w:val="en-GB"/>
        </w:rPr>
        <w:endnoteReference w:id="1"/>
      </w:r>
      <w:r w:rsidR="007E7199" w:rsidRPr="00BD3C31">
        <w:rPr>
          <w:lang w:val="en-GB"/>
        </w:rPr>
        <w:t xml:space="preserve"> said </w:t>
      </w:r>
      <w:proofErr w:type="spellStart"/>
      <w:r w:rsidR="007E7199" w:rsidRPr="00BD3C31">
        <w:rPr>
          <w:lang w:val="en-GB"/>
        </w:rPr>
        <w:t>Pompa</w:t>
      </w:r>
      <w:proofErr w:type="spellEnd"/>
      <w:r w:rsidR="007E7199" w:rsidRPr="00BD3C31">
        <w:rPr>
          <w:lang w:val="en-GB"/>
        </w:rPr>
        <w:t>. She screened all of the students,</w:t>
      </w:r>
      <w:r w:rsidR="00AC65D3" w:rsidRPr="00BD3C31">
        <w:rPr>
          <w:lang w:val="en-GB"/>
        </w:rPr>
        <w:t xml:space="preserve"> both</w:t>
      </w:r>
      <w:r w:rsidR="007E7199" w:rsidRPr="00BD3C31">
        <w:rPr>
          <w:lang w:val="en-GB"/>
        </w:rPr>
        <w:t xml:space="preserve"> inside and out</w:t>
      </w:r>
      <w:r w:rsidR="000A69F8" w:rsidRPr="00BD3C31">
        <w:rPr>
          <w:lang w:val="en-GB"/>
        </w:rPr>
        <w:t>side</w:t>
      </w:r>
      <w:r w:rsidR="007E7199" w:rsidRPr="00BD3C31">
        <w:rPr>
          <w:lang w:val="en-GB"/>
        </w:rPr>
        <w:t xml:space="preserve">, prior to admission to ensure </w:t>
      </w:r>
      <w:r w:rsidR="00AC65D3" w:rsidRPr="00BD3C31">
        <w:rPr>
          <w:lang w:val="en-GB"/>
        </w:rPr>
        <w:t xml:space="preserve">that </w:t>
      </w:r>
      <w:r w:rsidR="007E7199" w:rsidRPr="00BD3C31">
        <w:rPr>
          <w:lang w:val="en-GB"/>
        </w:rPr>
        <w:t xml:space="preserve">they could handle the workload and </w:t>
      </w:r>
      <w:r w:rsidR="00B74500">
        <w:rPr>
          <w:lang w:val="en-GB"/>
        </w:rPr>
        <w:t xml:space="preserve">the </w:t>
      </w:r>
      <w:r w:rsidR="007E7199" w:rsidRPr="00BD3C31">
        <w:rPr>
          <w:lang w:val="en-GB"/>
        </w:rPr>
        <w:t>unique social demands of the course. “I was so trying to be at ease,” said one outside student, recalling her first day in the course. “But as soon as [the inside students] entered the classroom, you didn’t have to try, because everyone was so amiable.”</w:t>
      </w:r>
      <w:r w:rsidR="007E7199" w:rsidRPr="00BD3C31">
        <w:rPr>
          <w:rStyle w:val="EndnoteReference"/>
          <w:lang w:val="en-GB"/>
        </w:rPr>
        <w:endnoteReference w:id="2"/>
      </w:r>
      <w:r w:rsidR="007E7199" w:rsidRPr="00BD3C31">
        <w:rPr>
          <w:lang w:val="en-GB"/>
        </w:rPr>
        <w:t xml:space="preserve"> </w:t>
      </w:r>
    </w:p>
    <w:p w14:paraId="79AE15C8" w14:textId="77777777" w:rsidR="007E7199" w:rsidRPr="003B12E3" w:rsidRDefault="007E7199" w:rsidP="005860DE">
      <w:pPr>
        <w:pStyle w:val="BodyTextMain"/>
        <w:rPr>
          <w:sz w:val="20"/>
          <w:szCs w:val="20"/>
          <w:lang w:val="en-GB"/>
        </w:rPr>
      </w:pPr>
    </w:p>
    <w:p w14:paraId="4B39D893" w14:textId="77FE033A" w:rsidR="007E7199" w:rsidRPr="00BD3C31" w:rsidRDefault="007E7199" w:rsidP="005860DE">
      <w:pPr>
        <w:pStyle w:val="BodyTextMain"/>
        <w:rPr>
          <w:lang w:val="en-GB"/>
        </w:rPr>
      </w:pPr>
      <w:proofErr w:type="spellStart"/>
      <w:r w:rsidRPr="00BD3C31">
        <w:rPr>
          <w:lang w:val="en-GB"/>
        </w:rPr>
        <w:t>Pompa</w:t>
      </w:r>
      <w:proofErr w:type="spellEnd"/>
      <w:r w:rsidRPr="00BD3C31">
        <w:rPr>
          <w:lang w:val="en-GB"/>
        </w:rPr>
        <w:t xml:space="preserve"> was clear about the goals of the Inside-Out courses: “We were not going in to study the folks on the inside. We were not going in to help them; nobody asked us for help. We were not advocating for them in any way</w:t>
      </w:r>
      <w:r w:rsidR="00BE3A05">
        <w:rPr>
          <w:lang w:val="en-GB"/>
        </w:rPr>
        <w:t>.</w:t>
      </w:r>
      <w:r w:rsidR="00AC65D3" w:rsidRPr="00BD3C31">
        <w:rPr>
          <w:lang w:val="en-GB"/>
        </w:rPr>
        <w:t xml:space="preserve"> . . . </w:t>
      </w:r>
      <w:r w:rsidRPr="00BD3C31">
        <w:rPr>
          <w:lang w:val="en-GB"/>
        </w:rPr>
        <w:t>It was really studying together.”</w:t>
      </w:r>
      <w:r w:rsidRPr="00BD3C31">
        <w:rPr>
          <w:rStyle w:val="EndnoteReference"/>
          <w:lang w:val="en-GB"/>
        </w:rPr>
        <w:endnoteReference w:id="3"/>
      </w:r>
      <w:r w:rsidRPr="00BD3C31">
        <w:rPr>
          <w:lang w:val="en-GB"/>
        </w:rPr>
        <w:t xml:space="preserve"> </w:t>
      </w:r>
      <w:proofErr w:type="spellStart"/>
      <w:r w:rsidRPr="00BD3C31">
        <w:rPr>
          <w:lang w:val="en-GB"/>
        </w:rPr>
        <w:t>Pompa</w:t>
      </w:r>
      <w:proofErr w:type="spellEnd"/>
      <w:r w:rsidRPr="00BD3C31">
        <w:rPr>
          <w:lang w:val="en-GB"/>
        </w:rPr>
        <w:t xml:space="preserve"> stayed in the background as much as possible, facilitating conversations between the students to help them learn from each other. The students completed coursework around a central theme, </w:t>
      </w:r>
      <w:r w:rsidR="00BE3A05">
        <w:rPr>
          <w:lang w:val="en-GB"/>
        </w:rPr>
        <w:t>such as</w:t>
      </w:r>
      <w:r w:rsidR="00BE3A05" w:rsidRPr="00BD3C31">
        <w:rPr>
          <w:lang w:val="en-GB"/>
        </w:rPr>
        <w:t xml:space="preserve"> </w:t>
      </w:r>
      <w:r w:rsidRPr="00BD3C31">
        <w:rPr>
          <w:lang w:val="en-GB"/>
        </w:rPr>
        <w:t>criminology or sociology, but discussions naturally diverged into a wide range of issues, including race, poverty, education, and student</w:t>
      </w:r>
      <w:r w:rsidR="00B74500">
        <w:rPr>
          <w:lang w:val="en-GB"/>
        </w:rPr>
        <w:t>s’</w:t>
      </w:r>
      <w:r w:rsidRPr="00BD3C31">
        <w:rPr>
          <w:lang w:val="en-GB"/>
        </w:rPr>
        <w:t xml:space="preserve"> experiences inside and outside of the walls. “They come in seeing us as criminals,” one inside student said, reflecting on an ethics course he took, “and we may see them as people in school or the outside world or whatever</w:t>
      </w:r>
      <w:r w:rsidR="004472EE" w:rsidRPr="00BD3C31">
        <w:rPr>
          <w:lang w:val="en-GB"/>
        </w:rPr>
        <w:t xml:space="preserve"> </w:t>
      </w:r>
      <w:r w:rsidR="00AC65D3" w:rsidRPr="00BD3C31">
        <w:rPr>
          <w:lang w:val="en-GB"/>
        </w:rPr>
        <w:t xml:space="preserve">. . . </w:t>
      </w:r>
      <w:r w:rsidRPr="00BD3C31">
        <w:rPr>
          <w:lang w:val="en-GB"/>
        </w:rPr>
        <w:t>but the point of ethics is to see past that and to see the actual person. It fits for the class because there’s two different worlds coming into this class trying to learn the same thing.”</w:t>
      </w:r>
      <w:r w:rsidRPr="00BD3C31">
        <w:rPr>
          <w:rStyle w:val="EndnoteReference"/>
          <w:lang w:val="en-GB"/>
        </w:rPr>
        <w:endnoteReference w:id="4"/>
      </w:r>
      <w:r w:rsidRPr="00BD3C31">
        <w:rPr>
          <w:lang w:val="en-GB"/>
        </w:rPr>
        <w:t xml:space="preserve"> </w:t>
      </w:r>
    </w:p>
    <w:p w14:paraId="6FA132BE" w14:textId="77777777" w:rsidR="007E7199" w:rsidRPr="003B12E3" w:rsidRDefault="007E7199" w:rsidP="005860DE">
      <w:pPr>
        <w:pStyle w:val="BodyTextMain"/>
        <w:rPr>
          <w:sz w:val="20"/>
          <w:szCs w:val="20"/>
          <w:lang w:val="en-GB"/>
        </w:rPr>
      </w:pPr>
    </w:p>
    <w:p w14:paraId="0536514E" w14:textId="4A84F80A" w:rsidR="007E7199" w:rsidRPr="0010127D" w:rsidRDefault="007E7199" w:rsidP="005860DE">
      <w:pPr>
        <w:pStyle w:val="BodyTextMain"/>
        <w:rPr>
          <w:spacing w:val="-2"/>
          <w:lang w:val="en-GB"/>
        </w:rPr>
      </w:pPr>
      <w:r w:rsidRPr="0010127D">
        <w:rPr>
          <w:spacing w:val="-2"/>
          <w:lang w:val="en-GB"/>
        </w:rPr>
        <w:t xml:space="preserve">Correctional facilities kept a close eye on programs </w:t>
      </w:r>
      <w:r w:rsidR="00BE3A05" w:rsidRPr="0010127D">
        <w:rPr>
          <w:spacing w:val="-2"/>
          <w:lang w:val="en-GB"/>
        </w:rPr>
        <w:t xml:space="preserve">such as </w:t>
      </w:r>
      <w:r w:rsidRPr="0010127D">
        <w:rPr>
          <w:spacing w:val="-2"/>
          <w:lang w:val="en-GB"/>
        </w:rPr>
        <w:t>Inside-Out that operated within their walls. Prison wardens were highly interconnected</w:t>
      </w:r>
      <w:r w:rsidR="00BE3A05" w:rsidRPr="0010127D">
        <w:rPr>
          <w:spacing w:val="-2"/>
          <w:lang w:val="en-GB"/>
        </w:rPr>
        <w:t>,</w:t>
      </w:r>
      <w:r w:rsidRPr="0010127D">
        <w:rPr>
          <w:spacing w:val="-2"/>
          <w:lang w:val="en-GB"/>
        </w:rPr>
        <w:t xml:space="preserve"> and bad news travel</w:t>
      </w:r>
      <w:r w:rsidR="00BE3A05" w:rsidRPr="0010127D">
        <w:rPr>
          <w:spacing w:val="-2"/>
          <w:lang w:val="en-GB"/>
        </w:rPr>
        <w:t>l</w:t>
      </w:r>
      <w:r w:rsidRPr="0010127D">
        <w:rPr>
          <w:spacing w:val="-2"/>
          <w:lang w:val="en-GB"/>
        </w:rPr>
        <w:t xml:space="preserve">ed quickly. “I’ve seen really wonderful programs get shut down because people bring in contraband or people fall in love or something occurs,” </w:t>
      </w:r>
      <w:proofErr w:type="spellStart"/>
      <w:r w:rsidRPr="0010127D">
        <w:rPr>
          <w:spacing w:val="-2"/>
          <w:lang w:val="en-GB"/>
        </w:rPr>
        <w:t>Pompa</w:t>
      </w:r>
      <w:proofErr w:type="spellEnd"/>
      <w:r w:rsidRPr="0010127D">
        <w:rPr>
          <w:spacing w:val="-2"/>
          <w:lang w:val="en-GB"/>
        </w:rPr>
        <w:t xml:space="preserve"> said. “We cannot afford for that to happen. Period.” To protect these boundaries, the only personal information exchanged by students was their first names. Students agreed not to contact one another outside of class, even after completing the course. “You go into this class knowing that you can never be in contact with the inside students again,” one outside student recalled. “And leaving on the last day was saying goodbye forever. Honestly, I think that’s the hardest thing I’ve ever done.”</w:t>
      </w:r>
      <w:r w:rsidRPr="0010127D">
        <w:rPr>
          <w:rStyle w:val="EndnoteReference"/>
          <w:spacing w:val="-2"/>
          <w:lang w:val="en-GB"/>
        </w:rPr>
        <w:endnoteReference w:id="5"/>
      </w:r>
      <w:r w:rsidRPr="0010127D">
        <w:rPr>
          <w:spacing w:val="-2"/>
          <w:lang w:val="en-GB"/>
        </w:rPr>
        <w:t xml:space="preserve"> Thanks to these boundaries, Inside-Out had not had any major incidents in its 21-year history, but </w:t>
      </w:r>
      <w:proofErr w:type="spellStart"/>
      <w:r w:rsidRPr="0010127D">
        <w:rPr>
          <w:spacing w:val="-2"/>
          <w:lang w:val="en-GB"/>
        </w:rPr>
        <w:t>Pompa</w:t>
      </w:r>
      <w:proofErr w:type="spellEnd"/>
      <w:r w:rsidRPr="0010127D">
        <w:rPr>
          <w:spacing w:val="-2"/>
          <w:lang w:val="en-GB"/>
        </w:rPr>
        <w:t xml:space="preserve"> knew it was an ongoing risk. “If anything bad were to happen</w:t>
      </w:r>
      <w:r w:rsidR="00AC65D3" w:rsidRPr="0010127D">
        <w:rPr>
          <w:rFonts w:eastAsia="Calibri"/>
          <w:spacing w:val="-2"/>
          <w:lang w:val="en-GB"/>
        </w:rPr>
        <w:t>—</w:t>
      </w:r>
      <w:r w:rsidRPr="0010127D">
        <w:rPr>
          <w:spacing w:val="-2"/>
          <w:lang w:val="en-GB"/>
        </w:rPr>
        <w:t>an injury or accident</w:t>
      </w:r>
      <w:r w:rsidR="00AC65D3" w:rsidRPr="0010127D">
        <w:rPr>
          <w:rFonts w:eastAsia="Calibri"/>
          <w:spacing w:val="-2"/>
          <w:lang w:val="en-GB"/>
        </w:rPr>
        <w:t>—</w:t>
      </w:r>
      <w:r w:rsidRPr="0010127D">
        <w:rPr>
          <w:spacing w:val="-2"/>
          <w:lang w:val="en-GB"/>
        </w:rPr>
        <w:t>correctional facilities could get rid of the program in a heartbeat.”</w:t>
      </w:r>
    </w:p>
    <w:p w14:paraId="2F7D8C25" w14:textId="77777777" w:rsidR="007E7199" w:rsidRPr="00BD3C31" w:rsidRDefault="007E7199" w:rsidP="005860DE">
      <w:pPr>
        <w:pStyle w:val="Casehead1"/>
        <w:rPr>
          <w:lang w:val="en-GB"/>
        </w:rPr>
      </w:pPr>
      <w:r w:rsidRPr="00BD3C31">
        <w:rPr>
          <w:lang w:val="en-GB"/>
        </w:rPr>
        <w:lastRenderedPageBreak/>
        <w:t>Global Expansion</w:t>
      </w:r>
    </w:p>
    <w:p w14:paraId="6FCE4E4C" w14:textId="77777777" w:rsidR="007E7199" w:rsidRPr="00BD3C31" w:rsidRDefault="007E7199" w:rsidP="005860DE">
      <w:pPr>
        <w:pStyle w:val="BodyTextMain"/>
        <w:rPr>
          <w:lang w:val="en-GB"/>
        </w:rPr>
      </w:pPr>
    </w:p>
    <w:p w14:paraId="7E763450" w14:textId="333E225D" w:rsidR="007E7199" w:rsidRPr="0010127D" w:rsidRDefault="007E7199" w:rsidP="005860DE">
      <w:pPr>
        <w:pStyle w:val="BodyTextMain"/>
        <w:rPr>
          <w:spacing w:val="-2"/>
          <w:lang w:val="en-GB"/>
        </w:rPr>
      </w:pPr>
      <w:r w:rsidRPr="0010127D">
        <w:rPr>
          <w:spacing w:val="-2"/>
          <w:lang w:val="en-GB"/>
        </w:rPr>
        <w:t xml:space="preserve">When </w:t>
      </w:r>
      <w:proofErr w:type="spellStart"/>
      <w:r w:rsidRPr="0010127D">
        <w:rPr>
          <w:spacing w:val="-2"/>
          <w:lang w:val="en-GB"/>
        </w:rPr>
        <w:t>Pompa</w:t>
      </w:r>
      <w:proofErr w:type="spellEnd"/>
      <w:r w:rsidRPr="0010127D">
        <w:rPr>
          <w:spacing w:val="-2"/>
          <w:lang w:val="en-GB"/>
        </w:rPr>
        <w:t xml:space="preserve"> first began teaching Inside-Out classes, the program met in a jail in Philadelphia. Because those in jail had relatively short sentences, some of the inside students were released midway through the course each semester, which disrupted classes and learning. In 2002, </w:t>
      </w:r>
      <w:proofErr w:type="spellStart"/>
      <w:r w:rsidRPr="0010127D">
        <w:rPr>
          <w:spacing w:val="-2"/>
          <w:lang w:val="en-GB"/>
        </w:rPr>
        <w:t>Pompa</w:t>
      </w:r>
      <w:proofErr w:type="spellEnd"/>
      <w:r w:rsidRPr="0010127D">
        <w:rPr>
          <w:spacing w:val="-2"/>
          <w:lang w:val="en-GB"/>
        </w:rPr>
        <w:t xml:space="preserve"> had the opportunity to move her courses to </w:t>
      </w:r>
      <w:proofErr w:type="spellStart"/>
      <w:r w:rsidRPr="0010127D">
        <w:rPr>
          <w:spacing w:val="-2"/>
          <w:lang w:val="en-GB"/>
        </w:rPr>
        <w:t>Graterford</w:t>
      </w:r>
      <w:proofErr w:type="spellEnd"/>
      <w:r w:rsidRPr="0010127D">
        <w:rPr>
          <w:spacing w:val="-2"/>
          <w:lang w:val="en-GB"/>
        </w:rPr>
        <w:t xml:space="preserve"> Prison, a maximum-security prison located an hour’s drive outside of Philadelphia.</w:t>
      </w:r>
      <w:r w:rsidRPr="0010127D">
        <w:rPr>
          <w:rStyle w:val="EndnoteReference"/>
          <w:spacing w:val="-2"/>
          <w:lang w:val="en-GB"/>
        </w:rPr>
        <w:endnoteReference w:id="6"/>
      </w:r>
      <w:r w:rsidRPr="0010127D">
        <w:rPr>
          <w:spacing w:val="-2"/>
          <w:lang w:val="en-GB"/>
        </w:rPr>
        <w:t xml:space="preserve"> Due to the longer sentences that people</w:t>
      </w:r>
      <w:r w:rsidR="000C32FD" w:rsidRPr="0010127D">
        <w:rPr>
          <w:spacing w:val="-2"/>
          <w:lang w:val="en-GB"/>
        </w:rPr>
        <w:t xml:space="preserve"> served</w:t>
      </w:r>
      <w:r w:rsidRPr="0010127D">
        <w:rPr>
          <w:spacing w:val="-2"/>
          <w:lang w:val="en-GB"/>
        </w:rPr>
        <w:t xml:space="preserve"> in prison, inside students at </w:t>
      </w:r>
      <w:proofErr w:type="spellStart"/>
      <w:r w:rsidRPr="0010127D">
        <w:rPr>
          <w:spacing w:val="-2"/>
          <w:lang w:val="en-GB"/>
        </w:rPr>
        <w:t>Graterford</w:t>
      </w:r>
      <w:proofErr w:type="spellEnd"/>
      <w:r w:rsidRPr="0010127D">
        <w:rPr>
          <w:spacing w:val="-2"/>
          <w:lang w:val="en-GB"/>
        </w:rPr>
        <w:t xml:space="preserve"> could commit to full</w:t>
      </w:r>
      <w:r w:rsidR="00AC65D3" w:rsidRPr="0010127D">
        <w:rPr>
          <w:spacing w:val="-2"/>
          <w:lang w:val="en-GB"/>
        </w:rPr>
        <w:t>-</w:t>
      </w:r>
      <w:r w:rsidRPr="0010127D">
        <w:rPr>
          <w:spacing w:val="-2"/>
          <w:lang w:val="en-GB"/>
        </w:rPr>
        <w:t xml:space="preserve">semester courses, and the classroom discussions became even richer. When </w:t>
      </w:r>
      <w:proofErr w:type="spellStart"/>
      <w:r w:rsidRPr="0010127D">
        <w:rPr>
          <w:spacing w:val="-2"/>
          <w:lang w:val="en-GB"/>
        </w:rPr>
        <w:t>Pompa’s</w:t>
      </w:r>
      <w:proofErr w:type="spellEnd"/>
      <w:r w:rsidRPr="0010127D">
        <w:rPr>
          <w:spacing w:val="-2"/>
          <w:lang w:val="en-GB"/>
        </w:rPr>
        <w:t xml:space="preserve"> first course at </w:t>
      </w:r>
      <w:proofErr w:type="spellStart"/>
      <w:r w:rsidRPr="0010127D">
        <w:rPr>
          <w:spacing w:val="-2"/>
          <w:lang w:val="en-GB"/>
        </w:rPr>
        <w:t>Graterford</w:t>
      </w:r>
      <w:proofErr w:type="spellEnd"/>
      <w:r w:rsidRPr="0010127D">
        <w:rPr>
          <w:spacing w:val="-2"/>
          <w:lang w:val="en-GB"/>
        </w:rPr>
        <w:t xml:space="preserve"> ended, none of her students wanted to stop meeting. They decided to continue coming together weekly and became the </w:t>
      </w:r>
      <w:r w:rsidR="00AC65D3" w:rsidRPr="0010127D">
        <w:rPr>
          <w:spacing w:val="-2"/>
          <w:lang w:val="en-GB"/>
        </w:rPr>
        <w:t>“</w:t>
      </w:r>
      <w:proofErr w:type="spellStart"/>
      <w:r w:rsidRPr="0010127D">
        <w:rPr>
          <w:spacing w:val="-2"/>
          <w:lang w:val="en-GB"/>
        </w:rPr>
        <w:t>Graterford</w:t>
      </w:r>
      <w:proofErr w:type="spellEnd"/>
      <w:r w:rsidRPr="0010127D">
        <w:rPr>
          <w:spacing w:val="-2"/>
          <w:lang w:val="en-GB"/>
        </w:rPr>
        <w:t xml:space="preserve"> Think Tank,” a critical guiding and advising body for </w:t>
      </w:r>
      <w:r w:rsidR="00AC65D3" w:rsidRPr="0010127D">
        <w:rPr>
          <w:spacing w:val="-2"/>
          <w:lang w:val="en-GB"/>
        </w:rPr>
        <w:t>t</w:t>
      </w:r>
      <w:r w:rsidRPr="0010127D">
        <w:rPr>
          <w:spacing w:val="-2"/>
          <w:lang w:val="en-GB"/>
        </w:rPr>
        <w:t xml:space="preserve">he Inside-Out Prison Exchange Program. By 2018, the </w:t>
      </w:r>
      <w:proofErr w:type="spellStart"/>
      <w:r w:rsidRPr="0010127D">
        <w:rPr>
          <w:spacing w:val="-2"/>
          <w:lang w:val="en-GB"/>
        </w:rPr>
        <w:t>Graterford</w:t>
      </w:r>
      <w:proofErr w:type="spellEnd"/>
      <w:r w:rsidRPr="0010127D">
        <w:rPr>
          <w:spacing w:val="-2"/>
          <w:lang w:val="en-GB"/>
        </w:rPr>
        <w:t xml:space="preserve"> Think Tank had been meeting weekly for over 16 years.</w:t>
      </w:r>
    </w:p>
    <w:p w14:paraId="1AA4E0F6" w14:textId="77777777" w:rsidR="007E7199" w:rsidRPr="00BD3C31" w:rsidRDefault="007E7199" w:rsidP="005860DE">
      <w:pPr>
        <w:pStyle w:val="BodyTextMain"/>
        <w:rPr>
          <w:lang w:val="en-GB"/>
        </w:rPr>
      </w:pPr>
    </w:p>
    <w:p w14:paraId="354DC1B6" w14:textId="6F6E2963" w:rsidR="00AC65D3" w:rsidRPr="00BD3C31" w:rsidRDefault="007E7199" w:rsidP="000C32FD">
      <w:pPr>
        <w:pStyle w:val="BodyTextMain"/>
        <w:rPr>
          <w:lang w:val="en-GB"/>
        </w:rPr>
      </w:pPr>
      <w:r w:rsidRPr="00BD3C31">
        <w:rPr>
          <w:lang w:val="en-GB"/>
        </w:rPr>
        <w:t xml:space="preserve">Following </w:t>
      </w:r>
      <w:proofErr w:type="spellStart"/>
      <w:r w:rsidRPr="00BD3C31">
        <w:rPr>
          <w:lang w:val="en-GB"/>
        </w:rPr>
        <w:t>Pompa’s</w:t>
      </w:r>
      <w:proofErr w:type="spellEnd"/>
      <w:r w:rsidRPr="00BD3C31">
        <w:rPr>
          <w:lang w:val="en-GB"/>
        </w:rPr>
        <w:t xml:space="preserve"> initial success, two colleagues from Temple University approached her about teaching their subjects through Inside-Out</w:t>
      </w:r>
      <w:r w:rsidR="0010127D">
        <w:rPr>
          <w:lang w:val="en-GB"/>
        </w:rPr>
        <w:t xml:space="preserve"> and</w:t>
      </w:r>
      <w:r w:rsidRPr="00BD3C31">
        <w:rPr>
          <w:lang w:val="en-GB"/>
        </w:rPr>
        <w:t xml:space="preserve">, expanding the program within Philadelphia. Later, the </w:t>
      </w:r>
      <w:proofErr w:type="spellStart"/>
      <w:r w:rsidRPr="00BD3C31">
        <w:rPr>
          <w:lang w:val="en-GB"/>
        </w:rPr>
        <w:t>Graterford</w:t>
      </w:r>
      <w:proofErr w:type="spellEnd"/>
      <w:r w:rsidRPr="00BD3C31">
        <w:rPr>
          <w:lang w:val="en-GB"/>
        </w:rPr>
        <w:t xml:space="preserve"> Think Tank suggested expanding </w:t>
      </w:r>
      <w:r w:rsidR="00AC65D3" w:rsidRPr="00BD3C31">
        <w:rPr>
          <w:lang w:val="en-GB"/>
        </w:rPr>
        <w:t>t</w:t>
      </w:r>
      <w:r w:rsidRPr="00BD3C31">
        <w:rPr>
          <w:lang w:val="en-GB"/>
        </w:rPr>
        <w:t xml:space="preserve">he Inside-Out Program nationally. To coordinate the expansion, </w:t>
      </w:r>
      <w:proofErr w:type="spellStart"/>
      <w:r w:rsidRPr="00BD3C31">
        <w:rPr>
          <w:lang w:val="en-GB"/>
        </w:rPr>
        <w:t>Pompa</w:t>
      </w:r>
      <w:proofErr w:type="spellEnd"/>
      <w:r w:rsidRPr="00BD3C31">
        <w:rPr>
          <w:lang w:val="en-GB"/>
        </w:rPr>
        <w:t xml:space="preserve"> founded </w:t>
      </w:r>
      <w:r w:rsidR="00AC65D3" w:rsidRPr="00BD3C31">
        <w:rPr>
          <w:lang w:val="en-GB"/>
        </w:rPr>
        <w:t>t</w:t>
      </w:r>
      <w:r w:rsidR="0010127D">
        <w:rPr>
          <w:lang w:val="en-GB"/>
        </w:rPr>
        <w:t xml:space="preserve">he Inside-Out </w:t>
      </w:r>
      <w:proofErr w:type="spellStart"/>
      <w:r w:rsidR="0010127D">
        <w:rPr>
          <w:lang w:val="en-GB"/>
        </w:rPr>
        <w:t>Center</w:t>
      </w:r>
      <w:proofErr w:type="spellEnd"/>
      <w:r w:rsidR="002E34F1">
        <w:rPr>
          <w:lang w:val="en-GB"/>
        </w:rPr>
        <w:t xml:space="preserve"> </w:t>
      </w:r>
      <w:r w:rsidRPr="00BD3C31">
        <w:rPr>
          <w:lang w:val="en-GB"/>
        </w:rPr>
        <w:t xml:space="preserve">and became its </w:t>
      </w:r>
      <w:r w:rsidR="003A7137" w:rsidRPr="00BD3C31">
        <w:rPr>
          <w:lang w:val="en-GB"/>
        </w:rPr>
        <w:t>e</w:t>
      </w:r>
      <w:r w:rsidRPr="00BD3C31">
        <w:rPr>
          <w:lang w:val="en-GB"/>
        </w:rPr>
        <w:t xml:space="preserve">xecutive </w:t>
      </w:r>
      <w:r w:rsidR="003A7137" w:rsidRPr="00BD3C31">
        <w:rPr>
          <w:lang w:val="en-GB"/>
        </w:rPr>
        <w:t>d</w:t>
      </w:r>
      <w:r w:rsidRPr="00BD3C31">
        <w:rPr>
          <w:lang w:val="en-GB"/>
        </w:rPr>
        <w:t xml:space="preserve">irector. In 2003, </w:t>
      </w:r>
      <w:proofErr w:type="spellStart"/>
      <w:r w:rsidRPr="00BD3C31">
        <w:rPr>
          <w:lang w:val="en-GB"/>
        </w:rPr>
        <w:t>Pompa</w:t>
      </w:r>
      <w:proofErr w:type="spellEnd"/>
      <w:r w:rsidRPr="00BD3C31">
        <w:rPr>
          <w:lang w:val="en-GB"/>
        </w:rPr>
        <w:t xml:space="preserve"> received a Soros Justice Senior Fellowship to fund the expansion and in July 2004, the </w:t>
      </w:r>
      <w:r w:rsidR="0010127D">
        <w:rPr>
          <w:lang w:val="en-GB"/>
        </w:rPr>
        <w:t xml:space="preserve">Inside-Out </w:t>
      </w:r>
      <w:proofErr w:type="spellStart"/>
      <w:r w:rsidR="0010127D">
        <w:rPr>
          <w:lang w:val="en-GB"/>
        </w:rPr>
        <w:t>Center</w:t>
      </w:r>
      <w:proofErr w:type="spellEnd"/>
      <w:r w:rsidRPr="00BD3C31">
        <w:rPr>
          <w:lang w:val="en-GB"/>
        </w:rPr>
        <w:t xml:space="preserve"> offered its first training</w:t>
      </w:r>
      <w:r w:rsidR="003A7137" w:rsidRPr="00BD3C31">
        <w:rPr>
          <w:lang w:val="en-GB"/>
        </w:rPr>
        <w:t xml:space="preserve"> session</w:t>
      </w:r>
      <w:r w:rsidRPr="00BD3C31">
        <w:rPr>
          <w:lang w:val="en-GB"/>
        </w:rPr>
        <w:t xml:space="preserve"> for faculty from other universities. “We were afraid that nobody would come because it was too weird an idea,” </w:t>
      </w:r>
      <w:proofErr w:type="spellStart"/>
      <w:r w:rsidRPr="00BD3C31">
        <w:rPr>
          <w:lang w:val="en-GB"/>
        </w:rPr>
        <w:t>Pompa</w:t>
      </w:r>
      <w:proofErr w:type="spellEnd"/>
      <w:r w:rsidRPr="00BD3C31">
        <w:rPr>
          <w:lang w:val="en-GB"/>
        </w:rPr>
        <w:t xml:space="preserve"> recalled. “We were hoping for maybe 10</w:t>
      </w:r>
      <w:r w:rsidR="00AC65D3" w:rsidRPr="00BD3C31">
        <w:rPr>
          <w:lang w:val="en-GB"/>
        </w:rPr>
        <w:t xml:space="preserve"> to</w:t>
      </w:r>
      <w:r w:rsidR="00BE3A05">
        <w:rPr>
          <w:lang w:val="en-GB"/>
        </w:rPr>
        <w:t xml:space="preserve"> </w:t>
      </w:r>
      <w:r w:rsidRPr="00BD3C31">
        <w:rPr>
          <w:lang w:val="en-GB"/>
        </w:rPr>
        <w:t>12 people. We got 20 people in the first training from all over the country.”</w:t>
      </w:r>
      <w:r w:rsidRPr="00BD3C31">
        <w:rPr>
          <w:vertAlign w:val="superscript"/>
          <w:lang w:val="en-GB"/>
        </w:rPr>
        <w:endnoteReference w:id="7"/>
      </w:r>
    </w:p>
    <w:p w14:paraId="1899E599" w14:textId="77777777" w:rsidR="007E7199" w:rsidRPr="00BD3C31" w:rsidRDefault="007E7199" w:rsidP="005860DE">
      <w:pPr>
        <w:pStyle w:val="BodyTextMain"/>
        <w:rPr>
          <w:lang w:val="en-GB"/>
        </w:rPr>
      </w:pPr>
    </w:p>
    <w:p w14:paraId="06026766" w14:textId="115CAEAE" w:rsidR="007E7199" w:rsidRPr="00BD3C31" w:rsidRDefault="007E7199" w:rsidP="005860DE">
      <w:pPr>
        <w:pStyle w:val="BodyTextMain"/>
        <w:rPr>
          <w:lang w:val="en-GB"/>
        </w:rPr>
      </w:pPr>
      <w:r w:rsidRPr="00BD3C31">
        <w:rPr>
          <w:lang w:val="en-GB"/>
        </w:rPr>
        <w:t>Instructor training classes consisted of 15</w:t>
      </w:r>
      <w:r w:rsidR="00AC65D3" w:rsidRPr="00BD3C31">
        <w:rPr>
          <w:lang w:val="en-GB"/>
        </w:rPr>
        <w:t>–</w:t>
      </w:r>
      <w:r w:rsidRPr="00BD3C31">
        <w:rPr>
          <w:lang w:val="en-GB"/>
        </w:rPr>
        <w:t xml:space="preserve">20 faculty who spent 60 hours over </w:t>
      </w:r>
      <w:r w:rsidR="00AC65D3" w:rsidRPr="00BD3C31">
        <w:rPr>
          <w:lang w:val="en-GB"/>
        </w:rPr>
        <w:t>seven</w:t>
      </w:r>
      <w:r w:rsidRPr="00BD3C31">
        <w:rPr>
          <w:lang w:val="en-GB"/>
        </w:rPr>
        <w:t xml:space="preserve"> days discussing course structure, completing team projects, and meeting with the Think Tank inside of the prison to talk through curricular and diversity issues. “You cannot go in without preparation,” said </w:t>
      </w:r>
      <w:proofErr w:type="spellStart"/>
      <w:r w:rsidRPr="00BD3C31">
        <w:rPr>
          <w:lang w:val="en-GB"/>
        </w:rPr>
        <w:t>Pompa</w:t>
      </w:r>
      <w:proofErr w:type="spellEnd"/>
      <w:r w:rsidRPr="00BD3C31">
        <w:rPr>
          <w:lang w:val="en-GB"/>
        </w:rPr>
        <w:t>. “Instructors must know the language prisons use and what question</w:t>
      </w:r>
      <w:r w:rsidR="003A7137" w:rsidRPr="00BD3C31">
        <w:rPr>
          <w:lang w:val="en-GB"/>
        </w:rPr>
        <w:t>s</w:t>
      </w:r>
      <w:r w:rsidRPr="00BD3C31">
        <w:rPr>
          <w:lang w:val="en-GB"/>
        </w:rPr>
        <w:t xml:space="preserve"> to ask.”</w:t>
      </w:r>
    </w:p>
    <w:p w14:paraId="46CC822D" w14:textId="77777777" w:rsidR="007E7199" w:rsidRPr="00BD3C31" w:rsidRDefault="007E7199" w:rsidP="005860DE">
      <w:pPr>
        <w:pStyle w:val="BodyTextMain"/>
        <w:rPr>
          <w:lang w:val="en-GB"/>
        </w:rPr>
      </w:pPr>
    </w:p>
    <w:p w14:paraId="25456ECD" w14:textId="39678C95" w:rsidR="007E7199" w:rsidRPr="00BD3C31" w:rsidRDefault="007E7199" w:rsidP="005860DE">
      <w:pPr>
        <w:pStyle w:val="BodyTextMain"/>
        <w:rPr>
          <w:lang w:val="en-GB"/>
        </w:rPr>
      </w:pPr>
      <w:r w:rsidRPr="00BD3C31">
        <w:rPr>
          <w:lang w:val="en-GB"/>
        </w:rPr>
        <w:t xml:space="preserve">The instructor training </w:t>
      </w:r>
      <w:r w:rsidR="0078755E" w:rsidRPr="00BD3C31">
        <w:rPr>
          <w:lang w:val="en-GB"/>
        </w:rPr>
        <w:t xml:space="preserve">sessions </w:t>
      </w:r>
      <w:r w:rsidRPr="00BD3C31">
        <w:rPr>
          <w:lang w:val="en-GB"/>
        </w:rPr>
        <w:t>cost $2,700</w:t>
      </w:r>
      <w:r w:rsidR="00F66D64">
        <w:rPr>
          <w:rStyle w:val="EndnoteReference"/>
          <w:lang w:val="en-GB"/>
        </w:rPr>
        <w:endnoteReference w:id="8"/>
      </w:r>
      <w:r w:rsidRPr="00BD3C31">
        <w:rPr>
          <w:lang w:val="en-GB"/>
        </w:rPr>
        <w:t xml:space="preserve"> and centred on Inside-Out’s unique, dialog</w:t>
      </w:r>
      <w:r w:rsidR="0078755E" w:rsidRPr="00BD3C31">
        <w:rPr>
          <w:lang w:val="en-GB"/>
        </w:rPr>
        <w:t>ue</w:t>
      </w:r>
      <w:r w:rsidRPr="00BD3C31">
        <w:rPr>
          <w:lang w:val="en-GB"/>
        </w:rPr>
        <w:t>-based approach to education</w:t>
      </w:r>
      <w:r w:rsidR="00AC65D3" w:rsidRPr="00BD3C31">
        <w:rPr>
          <w:lang w:val="en-GB"/>
        </w:rPr>
        <w:t>,</w:t>
      </w:r>
      <w:r w:rsidRPr="00BD3C31">
        <w:rPr>
          <w:lang w:val="en-GB"/>
        </w:rPr>
        <w:t xml:space="preserve"> which emphasized learning how to communicate deeply across large social differences. In an Inside-Out learning circle, “students on both sides have a voice in the world despite their different opinions,” said </w:t>
      </w:r>
      <w:r w:rsidR="0078755E" w:rsidRPr="00BD3C31">
        <w:rPr>
          <w:lang w:val="en-GB"/>
        </w:rPr>
        <w:t xml:space="preserve">Interim Executive Director </w:t>
      </w:r>
      <w:r w:rsidRPr="00BD3C31">
        <w:rPr>
          <w:lang w:val="en-GB"/>
        </w:rPr>
        <w:t>David Krueger, “and this method of dialogue is important to creating basic values of civic conversation.”</w:t>
      </w:r>
    </w:p>
    <w:p w14:paraId="32B6F340" w14:textId="77777777" w:rsidR="007E7199" w:rsidRPr="00BD3C31" w:rsidRDefault="007E7199" w:rsidP="005860DE">
      <w:pPr>
        <w:pStyle w:val="BodyTextMain"/>
        <w:rPr>
          <w:lang w:val="en-GB"/>
        </w:rPr>
      </w:pPr>
    </w:p>
    <w:p w14:paraId="73B87188" w14:textId="3D465E54" w:rsidR="007E7199" w:rsidRPr="00BD3C31" w:rsidRDefault="007E7199" w:rsidP="005860DE">
      <w:pPr>
        <w:pStyle w:val="BodyTextMain"/>
        <w:rPr>
          <w:lang w:val="en-GB"/>
        </w:rPr>
      </w:pPr>
      <w:r w:rsidRPr="00BD3C31">
        <w:rPr>
          <w:lang w:val="en-GB"/>
        </w:rPr>
        <w:t>The instructor training proved to be very successful, not only for preparing faculty to facilitate Inside-Out classes but also to encourage dee</w:t>
      </w:r>
      <w:r w:rsidR="0010127D">
        <w:rPr>
          <w:lang w:val="en-GB"/>
        </w:rPr>
        <w:t>per exploration of what it meant</w:t>
      </w:r>
      <w:r w:rsidRPr="00BD3C31">
        <w:rPr>
          <w:lang w:val="en-GB"/>
        </w:rPr>
        <w:t xml:space="preserve"> to teach. “It was very experientially oriented,” said Wade </w:t>
      </w:r>
      <w:proofErr w:type="spellStart"/>
      <w:r w:rsidRPr="00BD3C31">
        <w:rPr>
          <w:lang w:val="en-GB"/>
        </w:rPr>
        <w:t>Deisman</w:t>
      </w:r>
      <w:proofErr w:type="spellEnd"/>
      <w:r w:rsidRPr="00BD3C31">
        <w:rPr>
          <w:lang w:val="en-GB"/>
        </w:rPr>
        <w:t>, a professor from Vancouver, reflecting on his week-long experience in 2015. “It renewed my sense of teaching mission at a fundamental bedrock level.” By the end of 2018, 925 instructors had been trained to offer Inside-Out programming in 45 US states and 12 countries, and about half of these instructors had taught Inside-Out classes.</w:t>
      </w:r>
    </w:p>
    <w:p w14:paraId="57AE2B71" w14:textId="77777777" w:rsidR="00806B7B" w:rsidRPr="00BD3C31" w:rsidRDefault="00806B7B" w:rsidP="005860DE">
      <w:pPr>
        <w:pStyle w:val="BodyTextMain"/>
        <w:rPr>
          <w:lang w:val="en-GB"/>
        </w:rPr>
      </w:pPr>
    </w:p>
    <w:p w14:paraId="05E85E0E" w14:textId="6EA464AC" w:rsidR="007E7199" w:rsidRPr="00BD3C31" w:rsidRDefault="007E7199" w:rsidP="005860DE">
      <w:pPr>
        <w:pStyle w:val="BodyTextMain"/>
        <w:rPr>
          <w:lang w:val="en-GB"/>
        </w:rPr>
      </w:pPr>
      <w:r w:rsidRPr="00BD3C31">
        <w:rPr>
          <w:lang w:val="en-GB"/>
        </w:rPr>
        <w:t>Part of the instructor training was focused on starting new Inside-Out courses, which meant creating university</w:t>
      </w:r>
      <w:r w:rsidR="00AC65D3" w:rsidRPr="00BD3C31">
        <w:rPr>
          <w:lang w:val="en-GB"/>
        </w:rPr>
        <w:t>–</w:t>
      </w:r>
      <w:r w:rsidRPr="00BD3C31">
        <w:rPr>
          <w:lang w:val="en-GB"/>
        </w:rPr>
        <w:t xml:space="preserve">prison partnerships. By the end of </w:t>
      </w:r>
      <w:r w:rsidR="00F66D64" w:rsidRPr="00BD3C31">
        <w:rPr>
          <w:lang w:val="en-GB"/>
        </w:rPr>
        <w:t>2</w:t>
      </w:r>
      <w:r w:rsidR="00F66D64">
        <w:rPr>
          <w:lang w:val="en-GB"/>
        </w:rPr>
        <w:t>01</w:t>
      </w:r>
      <w:r w:rsidR="00F66D64" w:rsidRPr="00BD3C31">
        <w:rPr>
          <w:lang w:val="en-GB"/>
        </w:rPr>
        <w:t>8</w:t>
      </w:r>
      <w:r w:rsidRPr="00BD3C31">
        <w:rPr>
          <w:lang w:val="en-GB"/>
        </w:rPr>
        <w:t xml:space="preserve">, </w:t>
      </w:r>
      <w:r w:rsidR="00F66D64">
        <w:rPr>
          <w:lang w:val="en-GB"/>
        </w:rPr>
        <w:t>more than</w:t>
      </w:r>
      <w:r w:rsidRPr="00BD3C31">
        <w:rPr>
          <w:lang w:val="en-GB"/>
        </w:rPr>
        <w:t xml:space="preserve"> 150 partnerships </w:t>
      </w:r>
      <w:r w:rsidR="00F66D64">
        <w:rPr>
          <w:lang w:val="en-GB"/>
        </w:rPr>
        <w:t xml:space="preserve">had been formed </w:t>
      </w:r>
      <w:r w:rsidRPr="00BD3C31">
        <w:rPr>
          <w:lang w:val="en-GB"/>
        </w:rPr>
        <w:t xml:space="preserve">between correctional facilities and educational institutions as diverse as Ohio State University and Stanford. One Inside-Out program in Mexico was made up of students who had worked in drug cartels, while another at the University of Sydney focused on incarcerated women. As the programs grew, Think Tanks sprang up organically, and by 2018, </w:t>
      </w:r>
      <w:r w:rsidR="0078755E" w:rsidRPr="00BD3C31">
        <w:rPr>
          <w:lang w:val="en-GB"/>
        </w:rPr>
        <w:t>t</w:t>
      </w:r>
      <w:r w:rsidRPr="00BD3C31">
        <w:rPr>
          <w:lang w:val="en-GB"/>
        </w:rPr>
        <w:t xml:space="preserve">he Inside-Out </w:t>
      </w:r>
      <w:proofErr w:type="spellStart"/>
      <w:r w:rsidRPr="00BD3C31">
        <w:rPr>
          <w:lang w:val="en-GB"/>
        </w:rPr>
        <w:t>Center</w:t>
      </w:r>
      <w:proofErr w:type="spellEnd"/>
      <w:r w:rsidRPr="00BD3C31">
        <w:rPr>
          <w:lang w:val="en-GB"/>
        </w:rPr>
        <w:t xml:space="preserve"> was coordinating communication between more than 30 of them. In all, 35,000 inside and outside students had completed coursework in many disciplines such as criminal justice, law, ethics, sociology, literature, </w:t>
      </w:r>
      <w:r w:rsidR="00F66D64">
        <w:rPr>
          <w:lang w:val="en-GB"/>
        </w:rPr>
        <w:t xml:space="preserve">and </w:t>
      </w:r>
      <w:r w:rsidRPr="00BD3C31">
        <w:rPr>
          <w:lang w:val="en-GB"/>
        </w:rPr>
        <w:t>even yoga</w:t>
      </w:r>
      <w:r w:rsidR="0078755E" w:rsidRPr="00BD3C31">
        <w:rPr>
          <w:lang w:val="en-GB"/>
        </w:rPr>
        <w:t>.</w:t>
      </w:r>
      <w:r w:rsidRPr="00BD3C31">
        <w:rPr>
          <w:lang w:val="en-GB"/>
        </w:rPr>
        <w:t xml:space="preserve"> </w:t>
      </w:r>
    </w:p>
    <w:p w14:paraId="3E6CE513" w14:textId="0633922C" w:rsidR="007E7199" w:rsidRPr="00BD3C31" w:rsidRDefault="007E7199" w:rsidP="005860DE">
      <w:pPr>
        <w:pStyle w:val="BodyTextMain"/>
        <w:rPr>
          <w:lang w:val="en-GB"/>
        </w:rPr>
      </w:pPr>
    </w:p>
    <w:p w14:paraId="037B5B62" w14:textId="77777777" w:rsidR="007E7199" w:rsidRPr="00BD3C31" w:rsidRDefault="007E7199" w:rsidP="005860DE">
      <w:pPr>
        <w:pStyle w:val="BodyTextMain"/>
        <w:rPr>
          <w:lang w:val="en-GB"/>
        </w:rPr>
      </w:pPr>
    </w:p>
    <w:p w14:paraId="729CE743" w14:textId="77777777" w:rsidR="007E7199" w:rsidRPr="00BD3C31" w:rsidRDefault="007E7199" w:rsidP="003B12E3">
      <w:pPr>
        <w:pStyle w:val="Casehead1"/>
        <w:keepNext/>
        <w:rPr>
          <w:lang w:val="en-GB"/>
        </w:rPr>
      </w:pPr>
      <w:r w:rsidRPr="00BD3C31">
        <w:rPr>
          <w:lang w:val="en-GB"/>
        </w:rPr>
        <w:lastRenderedPageBreak/>
        <w:t>The Inside-Out Center</w:t>
      </w:r>
    </w:p>
    <w:p w14:paraId="3973F179" w14:textId="77777777" w:rsidR="007E7199" w:rsidRPr="00BD3C31" w:rsidRDefault="007E7199" w:rsidP="003B12E3">
      <w:pPr>
        <w:pStyle w:val="BodyTextMain"/>
        <w:keepNext/>
        <w:rPr>
          <w:lang w:val="en-GB"/>
        </w:rPr>
      </w:pPr>
    </w:p>
    <w:p w14:paraId="0860DB9F" w14:textId="4F0219F3" w:rsidR="007E7199" w:rsidRPr="00BD3C31" w:rsidRDefault="007E7199" w:rsidP="003B12E3">
      <w:pPr>
        <w:pStyle w:val="BodyTextMain"/>
        <w:keepNext/>
        <w:rPr>
          <w:lang w:val="en-GB"/>
        </w:rPr>
      </w:pPr>
      <w:r w:rsidRPr="00BD3C31">
        <w:rPr>
          <w:lang w:val="en-GB"/>
        </w:rPr>
        <w:t xml:space="preserve">As Inside-Out courses spread into new communities, </w:t>
      </w:r>
      <w:r w:rsidR="0078755E" w:rsidRPr="00BD3C31">
        <w:rPr>
          <w:lang w:val="en-GB"/>
        </w:rPr>
        <w:t>t</w:t>
      </w:r>
      <w:r w:rsidRPr="00BD3C31">
        <w:rPr>
          <w:lang w:val="en-GB"/>
        </w:rPr>
        <w:t xml:space="preserve">he Inside-Out </w:t>
      </w:r>
      <w:proofErr w:type="spellStart"/>
      <w:r w:rsidRPr="00BD3C31">
        <w:rPr>
          <w:lang w:val="en-GB"/>
        </w:rPr>
        <w:t>Center</w:t>
      </w:r>
      <w:proofErr w:type="spellEnd"/>
      <w:r w:rsidRPr="00BD3C31">
        <w:rPr>
          <w:lang w:val="en-GB"/>
        </w:rPr>
        <w:t xml:space="preserve"> expanded to serve as the formal hub of the international network. In addition to coordinating faculty training and overseeing the network of Think Tanks, the </w:t>
      </w:r>
      <w:r w:rsidR="00195BCF">
        <w:rPr>
          <w:lang w:val="en-GB"/>
        </w:rPr>
        <w:t xml:space="preserve">Inside-Out </w:t>
      </w:r>
      <w:proofErr w:type="spellStart"/>
      <w:r w:rsidR="00195BCF">
        <w:rPr>
          <w:lang w:val="en-GB"/>
        </w:rPr>
        <w:t>Center</w:t>
      </w:r>
      <w:proofErr w:type="spellEnd"/>
      <w:r w:rsidRPr="00BD3C31">
        <w:rPr>
          <w:lang w:val="en-GB"/>
        </w:rPr>
        <w:t xml:space="preserve"> handled media coverage, maintained the website, tried to connect with alumni, and promoted the organization’s vision and values</w:t>
      </w:r>
      <w:r w:rsidR="002F3AA2" w:rsidRPr="00BD3C31">
        <w:rPr>
          <w:lang w:val="en-GB"/>
        </w:rPr>
        <w:t xml:space="preserve"> (see Exhibit 1)</w:t>
      </w:r>
      <w:r w:rsidRPr="00BD3C31">
        <w:rPr>
          <w:lang w:val="en-GB"/>
        </w:rPr>
        <w:t xml:space="preserve">. Including </w:t>
      </w:r>
      <w:proofErr w:type="spellStart"/>
      <w:r w:rsidRPr="00BD3C31">
        <w:rPr>
          <w:lang w:val="en-GB"/>
        </w:rPr>
        <w:t>Pompa</w:t>
      </w:r>
      <w:proofErr w:type="spellEnd"/>
      <w:r w:rsidRPr="00BD3C31">
        <w:rPr>
          <w:lang w:val="en-GB"/>
        </w:rPr>
        <w:t xml:space="preserve">, the </w:t>
      </w:r>
      <w:r w:rsidR="00195BCF">
        <w:rPr>
          <w:lang w:val="en-GB"/>
        </w:rPr>
        <w:t xml:space="preserve">Inside-Out </w:t>
      </w:r>
      <w:proofErr w:type="spellStart"/>
      <w:r w:rsidR="00195BCF">
        <w:rPr>
          <w:lang w:val="en-GB"/>
        </w:rPr>
        <w:t>Center</w:t>
      </w:r>
      <w:proofErr w:type="spellEnd"/>
      <w:r w:rsidRPr="00BD3C31">
        <w:rPr>
          <w:lang w:val="en-GB"/>
        </w:rPr>
        <w:t xml:space="preserve"> employed </w:t>
      </w:r>
      <w:r w:rsidR="0033367E" w:rsidRPr="00BD3C31">
        <w:rPr>
          <w:lang w:val="en-GB"/>
        </w:rPr>
        <w:t>two</w:t>
      </w:r>
      <w:r w:rsidRPr="00BD3C31">
        <w:rPr>
          <w:lang w:val="en-GB"/>
        </w:rPr>
        <w:t xml:space="preserve"> full-time and </w:t>
      </w:r>
      <w:r w:rsidR="0033367E" w:rsidRPr="00BD3C31">
        <w:rPr>
          <w:lang w:val="en-GB"/>
        </w:rPr>
        <w:t>five</w:t>
      </w:r>
      <w:r w:rsidRPr="00BD3C31">
        <w:rPr>
          <w:lang w:val="en-GB"/>
        </w:rPr>
        <w:t xml:space="preserve"> part-time staff. The </w:t>
      </w:r>
      <w:r w:rsidR="00195BCF">
        <w:rPr>
          <w:lang w:val="en-GB"/>
        </w:rPr>
        <w:t xml:space="preserve">Inside-Out </w:t>
      </w:r>
      <w:proofErr w:type="spellStart"/>
      <w:r w:rsidR="00195BCF">
        <w:rPr>
          <w:lang w:val="en-GB"/>
        </w:rPr>
        <w:t>Center</w:t>
      </w:r>
      <w:proofErr w:type="spellEnd"/>
      <w:r w:rsidRPr="00BD3C31">
        <w:rPr>
          <w:lang w:val="en-GB"/>
        </w:rPr>
        <w:t xml:space="preserve"> did not have a board, </w:t>
      </w:r>
      <w:r w:rsidR="00B51C38" w:rsidRPr="00BD3C31">
        <w:rPr>
          <w:lang w:val="en-GB"/>
        </w:rPr>
        <w:t xml:space="preserve">but </w:t>
      </w:r>
      <w:r w:rsidRPr="00BD3C31">
        <w:rPr>
          <w:lang w:val="en-GB"/>
        </w:rPr>
        <w:t>rel</w:t>
      </w:r>
      <w:r w:rsidR="00B51C38" w:rsidRPr="00BD3C31">
        <w:rPr>
          <w:lang w:val="en-GB"/>
        </w:rPr>
        <w:t>ied</w:t>
      </w:r>
      <w:r w:rsidRPr="00BD3C31">
        <w:rPr>
          <w:lang w:val="en-GB"/>
        </w:rPr>
        <w:t xml:space="preserve"> instead on three committees of Inside-Out instructors and staff to lead key initiatives</w:t>
      </w:r>
      <w:r w:rsidR="0033367E" w:rsidRPr="00BD3C31">
        <w:rPr>
          <w:lang w:val="en-GB"/>
        </w:rPr>
        <w:t>.</w:t>
      </w:r>
      <w:r w:rsidRPr="00BD3C31">
        <w:rPr>
          <w:lang w:val="en-GB"/>
        </w:rPr>
        <w:t xml:space="preserve"> The Executive Committee assisted with major decisions, especially at critical decision-making points or as</w:t>
      </w:r>
      <w:r w:rsidR="0078755E" w:rsidRPr="00BD3C31">
        <w:rPr>
          <w:lang w:val="en-GB"/>
        </w:rPr>
        <w:t xml:space="preserve"> new</w:t>
      </w:r>
      <w:r w:rsidRPr="00BD3C31">
        <w:rPr>
          <w:lang w:val="en-GB"/>
        </w:rPr>
        <w:t xml:space="preserve"> issues arose. The Network Committee offered direction in building out the teacher trainings and provid</w:t>
      </w:r>
      <w:r w:rsidR="0078755E" w:rsidRPr="00BD3C31">
        <w:rPr>
          <w:lang w:val="en-GB"/>
        </w:rPr>
        <w:t>ed</w:t>
      </w:r>
      <w:r w:rsidRPr="00BD3C31">
        <w:rPr>
          <w:lang w:val="en-GB"/>
        </w:rPr>
        <w:t xml:space="preserve"> ongoing support to the faculty network. The Evaluation and Research Committee assisted groups or individuals who were interested in evaluating the program </w:t>
      </w:r>
      <w:r w:rsidR="00912534" w:rsidRPr="00BD3C31">
        <w:rPr>
          <w:lang w:val="en-GB"/>
        </w:rPr>
        <w:t>and</w:t>
      </w:r>
      <w:r w:rsidR="0078755E" w:rsidRPr="00BD3C31">
        <w:rPr>
          <w:lang w:val="en-GB"/>
        </w:rPr>
        <w:t xml:space="preserve"> also</w:t>
      </w:r>
      <w:r w:rsidRPr="00BD3C31">
        <w:rPr>
          <w:lang w:val="en-GB"/>
        </w:rPr>
        <w:t xml:space="preserve"> </w:t>
      </w:r>
      <w:r w:rsidR="00912534" w:rsidRPr="00BD3C31">
        <w:rPr>
          <w:lang w:val="en-GB"/>
        </w:rPr>
        <w:t>oversaw</w:t>
      </w:r>
      <w:r w:rsidRPr="00BD3C31">
        <w:rPr>
          <w:lang w:val="en-GB"/>
        </w:rPr>
        <w:t xml:space="preserve"> </w:t>
      </w:r>
      <w:r w:rsidR="0078755E" w:rsidRPr="00BD3C31">
        <w:rPr>
          <w:lang w:val="en-GB"/>
        </w:rPr>
        <w:t xml:space="preserve">the </w:t>
      </w:r>
      <w:r w:rsidRPr="00BD3C31">
        <w:rPr>
          <w:lang w:val="en-GB"/>
        </w:rPr>
        <w:t xml:space="preserve">ethical considerations </w:t>
      </w:r>
      <w:r w:rsidR="0078755E" w:rsidRPr="00BD3C31">
        <w:rPr>
          <w:lang w:val="en-GB"/>
        </w:rPr>
        <w:t xml:space="preserve">that could be </w:t>
      </w:r>
      <w:r w:rsidRPr="00BD3C31">
        <w:rPr>
          <w:lang w:val="en-GB"/>
        </w:rPr>
        <w:t>raised by research and evaluation</w:t>
      </w:r>
      <w:r w:rsidR="0078755E" w:rsidRPr="00BD3C31">
        <w:rPr>
          <w:lang w:val="en-GB"/>
        </w:rPr>
        <w:t xml:space="preserve"> efforts</w:t>
      </w:r>
      <w:r w:rsidRPr="00BD3C31">
        <w:rPr>
          <w:lang w:val="en-GB"/>
        </w:rPr>
        <w:t xml:space="preserve">. </w:t>
      </w:r>
    </w:p>
    <w:p w14:paraId="18A89D3A" w14:textId="77777777" w:rsidR="007E7199" w:rsidRPr="00BD3C31" w:rsidRDefault="007E7199" w:rsidP="005860DE">
      <w:pPr>
        <w:pStyle w:val="BodyTextMain"/>
        <w:rPr>
          <w:lang w:val="en-GB"/>
        </w:rPr>
      </w:pPr>
    </w:p>
    <w:p w14:paraId="06D613FE" w14:textId="501BFCEC" w:rsidR="007E7199" w:rsidRPr="00BD3C31" w:rsidRDefault="007E7199" w:rsidP="005860DE">
      <w:pPr>
        <w:pStyle w:val="BodyTextMain"/>
        <w:rPr>
          <w:lang w:val="en-GB"/>
        </w:rPr>
      </w:pPr>
      <w:r w:rsidRPr="00BD3C31">
        <w:rPr>
          <w:lang w:val="en-GB"/>
        </w:rPr>
        <w:t xml:space="preserve">The Think Tanks continued to play a pivotal role in the leadership of </w:t>
      </w:r>
      <w:r w:rsidR="00F66D64">
        <w:rPr>
          <w:lang w:val="en-GB"/>
        </w:rPr>
        <w:t>t</w:t>
      </w:r>
      <w:r w:rsidRPr="00BD3C31">
        <w:rPr>
          <w:lang w:val="en-GB"/>
        </w:rPr>
        <w:t xml:space="preserve">he Inside-Out </w:t>
      </w:r>
      <w:r w:rsidR="00912534" w:rsidRPr="00BD3C31">
        <w:rPr>
          <w:lang w:val="en-GB"/>
        </w:rPr>
        <w:t>N</w:t>
      </w:r>
      <w:r w:rsidRPr="00BD3C31">
        <w:rPr>
          <w:lang w:val="en-GB"/>
        </w:rPr>
        <w:t>etwork. Think Tank members helped plan and conduct training sessions</w:t>
      </w:r>
      <w:r w:rsidR="002E34F1">
        <w:rPr>
          <w:lang w:val="en-GB"/>
        </w:rPr>
        <w:t>;</w:t>
      </w:r>
      <w:r w:rsidRPr="00BD3C31">
        <w:rPr>
          <w:lang w:val="en-GB"/>
        </w:rPr>
        <w:t xml:space="preserve"> developed independent projects such as re-entry programs for people who were being released</w:t>
      </w:r>
      <w:r w:rsidR="002E34F1">
        <w:rPr>
          <w:lang w:val="en-GB"/>
        </w:rPr>
        <w:t>;</w:t>
      </w:r>
      <w:r w:rsidRPr="00BD3C31">
        <w:rPr>
          <w:lang w:val="en-GB"/>
        </w:rPr>
        <w:t xml:space="preserve"> and led community workshops on racial education, justice, and civic participation. Indeed, as civic dialog</w:t>
      </w:r>
      <w:r w:rsidR="00912534" w:rsidRPr="00BD3C31">
        <w:rPr>
          <w:lang w:val="en-GB"/>
        </w:rPr>
        <w:t>ue</w:t>
      </w:r>
      <w:r w:rsidRPr="00BD3C31">
        <w:rPr>
          <w:lang w:val="en-GB"/>
        </w:rPr>
        <w:t xml:space="preserve"> became increasingly polarized, Think Tanks began to explore ways to promote dialog</w:t>
      </w:r>
      <w:r w:rsidR="0033367E" w:rsidRPr="00BD3C31">
        <w:rPr>
          <w:lang w:val="en-GB"/>
        </w:rPr>
        <w:t>ue</w:t>
      </w:r>
      <w:r w:rsidRPr="00BD3C31">
        <w:rPr>
          <w:lang w:val="en-GB"/>
        </w:rPr>
        <w:t xml:space="preserve"> across all kinds of social fault lines. Finally, Think Tanks provided continuity and coherence. Because so many of its members were serving life</w:t>
      </w:r>
      <w:r w:rsidR="00912534" w:rsidRPr="00BD3C31">
        <w:rPr>
          <w:lang w:val="en-GB"/>
        </w:rPr>
        <w:t xml:space="preserve"> sentences</w:t>
      </w:r>
      <w:r w:rsidRPr="00BD3C31">
        <w:rPr>
          <w:lang w:val="en-GB"/>
        </w:rPr>
        <w:t xml:space="preserve">, the </w:t>
      </w:r>
      <w:proofErr w:type="spellStart"/>
      <w:r w:rsidRPr="00BD3C31">
        <w:rPr>
          <w:lang w:val="en-GB"/>
        </w:rPr>
        <w:t>Graterford</w:t>
      </w:r>
      <w:proofErr w:type="spellEnd"/>
      <w:r w:rsidRPr="00BD3C31">
        <w:rPr>
          <w:lang w:val="en-GB"/>
        </w:rPr>
        <w:t xml:space="preserve"> Think Tank, in particular, provided an unusually stable source of guidance, thought-leadership</w:t>
      </w:r>
      <w:r w:rsidR="0033367E" w:rsidRPr="00BD3C31">
        <w:rPr>
          <w:lang w:val="en-GB"/>
        </w:rPr>
        <w:t>,</w:t>
      </w:r>
      <w:r w:rsidRPr="00BD3C31">
        <w:rPr>
          <w:lang w:val="en-GB"/>
        </w:rPr>
        <w:t xml:space="preserve"> and cultural continuity for the </w:t>
      </w:r>
      <w:r w:rsidR="00F66D64" w:rsidRPr="00BD3C31">
        <w:rPr>
          <w:lang w:val="en-GB"/>
        </w:rPr>
        <w:t xml:space="preserve">Inside-Out </w:t>
      </w:r>
      <w:r w:rsidR="00912534" w:rsidRPr="00BD3C31">
        <w:rPr>
          <w:lang w:val="en-GB"/>
        </w:rPr>
        <w:t>N</w:t>
      </w:r>
      <w:r w:rsidRPr="00BD3C31">
        <w:rPr>
          <w:lang w:val="en-GB"/>
        </w:rPr>
        <w:t xml:space="preserve">etwork. “The Think Tanks were generated out of a bonded feeling and deep connection,” said Tyrone </w:t>
      </w:r>
      <w:proofErr w:type="spellStart"/>
      <w:r w:rsidRPr="00BD3C31">
        <w:rPr>
          <w:lang w:val="en-GB"/>
        </w:rPr>
        <w:t>Werts</w:t>
      </w:r>
      <w:proofErr w:type="spellEnd"/>
      <w:r w:rsidRPr="00BD3C31">
        <w:rPr>
          <w:lang w:val="en-GB"/>
        </w:rPr>
        <w:t xml:space="preserve">, an Inside-Out veteran who had served 37 years behind bars before joining </w:t>
      </w:r>
      <w:proofErr w:type="spellStart"/>
      <w:r w:rsidRPr="00BD3C31">
        <w:rPr>
          <w:lang w:val="en-GB"/>
        </w:rPr>
        <w:t>Pompa</w:t>
      </w:r>
      <w:proofErr w:type="spellEnd"/>
      <w:r w:rsidRPr="00BD3C31">
        <w:rPr>
          <w:lang w:val="en-GB"/>
        </w:rPr>
        <w:t xml:space="preserve"> as the </w:t>
      </w:r>
      <w:r w:rsidR="002E34F1">
        <w:rPr>
          <w:lang w:val="en-GB"/>
        </w:rPr>
        <w:t>i</w:t>
      </w:r>
      <w:r w:rsidRPr="00BD3C31">
        <w:rPr>
          <w:lang w:val="en-GB"/>
        </w:rPr>
        <w:t xml:space="preserve">nternational Think Tank </w:t>
      </w:r>
      <w:r w:rsidR="00F66D64">
        <w:rPr>
          <w:lang w:val="en-GB"/>
        </w:rPr>
        <w:t>c</w:t>
      </w:r>
      <w:r w:rsidRPr="00BD3C31">
        <w:rPr>
          <w:lang w:val="en-GB"/>
        </w:rPr>
        <w:t>oordinator. Think Tank participants spoke movingly of the importance of the Think Tank</w:t>
      </w:r>
      <w:r w:rsidR="002E34F1">
        <w:rPr>
          <w:lang w:val="en-GB"/>
        </w:rPr>
        <w:t>’</w:t>
      </w:r>
      <w:r w:rsidRPr="00BD3C31">
        <w:rPr>
          <w:lang w:val="en-GB"/>
        </w:rPr>
        <w:t>s work and took satisfaction in affecting the outside world by learning with and helping to educate outside students, instructors</w:t>
      </w:r>
      <w:r w:rsidR="0033367E" w:rsidRPr="00BD3C31">
        <w:rPr>
          <w:lang w:val="en-GB"/>
        </w:rPr>
        <w:t>,</w:t>
      </w:r>
      <w:r w:rsidRPr="00BD3C31">
        <w:rPr>
          <w:lang w:val="en-GB"/>
        </w:rPr>
        <w:t xml:space="preserve"> and community members.</w:t>
      </w:r>
    </w:p>
    <w:p w14:paraId="4FE7FB40" w14:textId="77777777" w:rsidR="007E7199" w:rsidRPr="00BD3C31" w:rsidRDefault="007E7199" w:rsidP="005860DE">
      <w:pPr>
        <w:pStyle w:val="BodyTextMain"/>
        <w:rPr>
          <w:lang w:val="en-GB"/>
        </w:rPr>
      </w:pPr>
    </w:p>
    <w:p w14:paraId="5DC9B7B6" w14:textId="10FCF0EC" w:rsidR="007E7199" w:rsidRPr="00BD3C31" w:rsidRDefault="007E7199" w:rsidP="005860DE">
      <w:pPr>
        <w:pStyle w:val="BodyTextMain"/>
        <w:rPr>
          <w:lang w:val="en-GB"/>
        </w:rPr>
      </w:pPr>
      <w:r w:rsidRPr="00BD3C31">
        <w:rPr>
          <w:lang w:val="en-GB"/>
        </w:rPr>
        <w:t xml:space="preserve">The Inside-Out </w:t>
      </w:r>
      <w:r w:rsidR="00912534" w:rsidRPr="00BD3C31">
        <w:rPr>
          <w:lang w:val="en-GB"/>
        </w:rPr>
        <w:t>N</w:t>
      </w:r>
      <w:r w:rsidRPr="00BD3C31">
        <w:rPr>
          <w:lang w:val="en-GB"/>
        </w:rPr>
        <w:t>etwork was highly decentralized, and all of the funding for specific courses came from participating institutions. Tuition dollars from the outside students funded the instructors’ salaries</w:t>
      </w:r>
      <w:r w:rsidR="0033367E" w:rsidRPr="00BD3C31">
        <w:rPr>
          <w:lang w:val="en-GB"/>
        </w:rPr>
        <w:t>,</w:t>
      </w:r>
      <w:r w:rsidRPr="00BD3C31">
        <w:rPr>
          <w:lang w:val="en-GB"/>
        </w:rPr>
        <w:t xml:space="preserve"> while partnering correctional facilities provided inside students with classroom space and correctional officers. The Inside-Out </w:t>
      </w:r>
      <w:proofErr w:type="spellStart"/>
      <w:r w:rsidRPr="00BD3C31">
        <w:rPr>
          <w:lang w:val="en-GB"/>
        </w:rPr>
        <w:t>Center</w:t>
      </w:r>
      <w:proofErr w:type="spellEnd"/>
      <w:r w:rsidRPr="00BD3C31">
        <w:rPr>
          <w:lang w:val="en-GB"/>
        </w:rPr>
        <w:t xml:space="preserve"> itself was funded primarily through foundation grants, donations from individuals, and earned revenue from the faculty training</w:t>
      </w:r>
      <w:r w:rsidR="0033367E" w:rsidRPr="00BD3C31">
        <w:rPr>
          <w:lang w:val="en-GB"/>
        </w:rPr>
        <w:t xml:space="preserve"> sessions</w:t>
      </w:r>
      <w:r w:rsidRPr="00BD3C31">
        <w:rPr>
          <w:lang w:val="en-GB"/>
        </w:rPr>
        <w:t>. Private funding required long hours of work to obtain and was unpredictable. For example</w:t>
      </w:r>
      <w:r w:rsidR="00F66D64">
        <w:rPr>
          <w:lang w:val="en-GB"/>
        </w:rPr>
        <w:t>,</w:t>
      </w:r>
      <w:r w:rsidRPr="00BD3C31">
        <w:rPr>
          <w:lang w:val="en-GB"/>
        </w:rPr>
        <w:t xml:space="preserve"> in 2015, The Inside-Out </w:t>
      </w:r>
      <w:proofErr w:type="spellStart"/>
      <w:r w:rsidRPr="00BD3C31">
        <w:rPr>
          <w:lang w:val="en-GB"/>
        </w:rPr>
        <w:t>Center</w:t>
      </w:r>
      <w:proofErr w:type="spellEnd"/>
      <w:r w:rsidRPr="00BD3C31">
        <w:rPr>
          <w:lang w:val="en-GB"/>
        </w:rPr>
        <w:t xml:space="preserve"> applied to renew a $300,000 grant through the Ford Foundation but was awarded </w:t>
      </w:r>
      <w:r w:rsidR="00F66D64">
        <w:rPr>
          <w:lang w:val="en-GB"/>
        </w:rPr>
        <w:t xml:space="preserve">only </w:t>
      </w:r>
      <w:r w:rsidRPr="00BD3C31">
        <w:rPr>
          <w:lang w:val="en-GB"/>
        </w:rPr>
        <w:t xml:space="preserve">$100,000, in part because the foundation </w:t>
      </w:r>
      <w:r w:rsidR="00F66D64">
        <w:rPr>
          <w:lang w:val="en-GB"/>
        </w:rPr>
        <w:t xml:space="preserve">had </w:t>
      </w:r>
      <w:r w:rsidRPr="00BD3C31">
        <w:rPr>
          <w:lang w:val="en-GB"/>
        </w:rPr>
        <w:t>changed its remit</w:t>
      </w:r>
      <w:r w:rsidRPr="00BD3C31">
        <w:rPr>
          <w:rStyle w:val="EndnoteReference"/>
          <w:lang w:val="en-GB"/>
        </w:rPr>
        <w:endnoteReference w:id="9"/>
      </w:r>
      <w:r w:rsidRPr="00BD3C31">
        <w:rPr>
          <w:lang w:val="en-GB"/>
        </w:rPr>
        <w:t xml:space="preserve"> </w:t>
      </w:r>
      <w:r w:rsidR="00912534" w:rsidRPr="00BD3C31">
        <w:rPr>
          <w:lang w:val="en-GB"/>
        </w:rPr>
        <w:t>(s</w:t>
      </w:r>
      <w:r w:rsidRPr="00BD3C31">
        <w:rPr>
          <w:lang w:val="en-GB"/>
        </w:rPr>
        <w:t xml:space="preserve">ee Exhibit </w:t>
      </w:r>
      <w:r w:rsidR="00FE53BE" w:rsidRPr="00BD3C31">
        <w:rPr>
          <w:lang w:val="en-GB"/>
        </w:rPr>
        <w:t>2</w:t>
      </w:r>
      <w:r w:rsidRPr="00BD3C31">
        <w:rPr>
          <w:lang w:val="en-GB"/>
        </w:rPr>
        <w:t>)</w:t>
      </w:r>
      <w:r w:rsidR="00F66D64">
        <w:rPr>
          <w:lang w:val="en-GB"/>
        </w:rPr>
        <w:t>.</w:t>
      </w:r>
      <w:r w:rsidRPr="00BD3C31">
        <w:rPr>
          <w:lang w:val="en-GB"/>
        </w:rPr>
        <w:t xml:space="preserve"> </w:t>
      </w:r>
    </w:p>
    <w:p w14:paraId="1E99A30D" w14:textId="404A66E3" w:rsidR="007E7199" w:rsidRPr="00BD3C31" w:rsidRDefault="007E7199" w:rsidP="005860DE">
      <w:pPr>
        <w:pStyle w:val="BodyTextMain"/>
        <w:rPr>
          <w:lang w:val="en-GB"/>
        </w:rPr>
      </w:pPr>
    </w:p>
    <w:p w14:paraId="46936DE6" w14:textId="77777777" w:rsidR="007E7199" w:rsidRPr="00BD3C31" w:rsidRDefault="007E7199" w:rsidP="005860DE">
      <w:pPr>
        <w:pStyle w:val="BodyTextMain"/>
        <w:rPr>
          <w:lang w:val="en-GB"/>
        </w:rPr>
      </w:pPr>
    </w:p>
    <w:p w14:paraId="0710ECB6" w14:textId="19F0D120" w:rsidR="007E7199" w:rsidRPr="00BD3C31" w:rsidRDefault="007E7199" w:rsidP="008E11E7">
      <w:pPr>
        <w:pStyle w:val="Casehead1"/>
        <w:keepNext/>
        <w:rPr>
          <w:lang w:val="en-GB"/>
        </w:rPr>
      </w:pPr>
      <w:r w:rsidRPr="00BD3C31">
        <w:rPr>
          <w:lang w:val="en-GB"/>
        </w:rPr>
        <w:t>Higher Education in Prisons</w:t>
      </w:r>
    </w:p>
    <w:p w14:paraId="3C19221A" w14:textId="77777777" w:rsidR="007E7199" w:rsidRPr="00BD3C31" w:rsidRDefault="007E7199" w:rsidP="008E11E7">
      <w:pPr>
        <w:pStyle w:val="BodyTextMain"/>
        <w:keepNext/>
        <w:rPr>
          <w:lang w:val="en-GB"/>
        </w:rPr>
      </w:pPr>
    </w:p>
    <w:p w14:paraId="2F55C46E" w14:textId="48E27B3C" w:rsidR="007E7199" w:rsidRPr="00BD3C31" w:rsidRDefault="007E7199" w:rsidP="008E11E7">
      <w:pPr>
        <w:pStyle w:val="BodyTextMain"/>
        <w:keepNext/>
        <w:rPr>
          <w:lang w:val="en-GB"/>
        </w:rPr>
      </w:pPr>
      <w:r w:rsidRPr="00BD3C31">
        <w:rPr>
          <w:lang w:val="en-GB"/>
        </w:rPr>
        <w:t>As of 2016, 70</w:t>
      </w:r>
      <w:r w:rsidR="0033367E" w:rsidRPr="00BD3C31">
        <w:rPr>
          <w:lang w:val="en-GB"/>
        </w:rPr>
        <w:t xml:space="preserve"> per cent</w:t>
      </w:r>
      <w:r w:rsidRPr="00BD3C31">
        <w:rPr>
          <w:lang w:val="en-GB"/>
        </w:rPr>
        <w:t xml:space="preserve"> of all US high</w:t>
      </w:r>
      <w:r w:rsidR="00587144">
        <w:rPr>
          <w:lang w:val="en-GB"/>
        </w:rPr>
        <w:t>-</w:t>
      </w:r>
      <w:r w:rsidRPr="00BD3C31">
        <w:rPr>
          <w:lang w:val="en-GB"/>
        </w:rPr>
        <w:t>school graduates were enrolling in (although not necessarily finishing) colleges and universities, and from 2013 through 2018, the higher education industry grew slowly but steadily at 1.8</w:t>
      </w:r>
      <w:r w:rsidR="0033367E" w:rsidRPr="00BD3C31">
        <w:rPr>
          <w:lang w:val="en-GB"/>
        </w:rPr>
        <w:t xml:space="preserve"> per cent</w:t>
      </w:r>
      <w:r w:rsidRPr="00BD3C31">
        <w:rPr>
          <w:lang w:val="en-GB"/>
        </w:rPr>
        <w:t xml:space="preserve"> annually to become a $497.3 billion portion of the </w:t>
      </w:r>
      <w:r w:rsidR="0033367E" w:rsidRPr="00BD3C31">
        <w:rPr>
          <w:lang w:val="en-GB"/>
        </w:rPr>
        <w:t>$</w:t>
      </w:r>
      <w:r w:rsidRPr="00BD3C31">
        <w:rPr>
          <w:lang w:val="en-GB"/>
        </w:rPr>
        <w:t>1.5 trillion education industry.</w:t>
      </w:r>
      <w:r w:rsidRPr="00BD3C31">
        <w:rPr>
          <w:rStyle w:val="EndnoteReference"/>
          <w:lang w:val="en-GB"/>
        </w:rPr>
        <w:endnoteReference w:id="10"/>
      </w:r>
      <w:r w:rsidRPr="00BD3C31">
        <w:rPr>
          <w:lang w:val="en-GB"/>
        </w:rPr>
        <w:t xml:space="preserve"> Despite that growth, university administrators were increasingly concerned with projected declines in the numbers of high</w:t>
      </w:r>
      <w:r w:rsidR="0033367E" w:rsidRPr="00BD3C31">
        <w:rPr>
          <w:lang w:val="en-GB"/>
        </w:rPr>
        <w:t>-</w:t>
      </w:r>
      <w:r w:rsidRPr="00BD3C31">
        <w:rPr>
          <w:lang w:val="en-GB"/>
        </w:rPr>
        <w:t>school graduates, rapidly increasing internal costs, and growing public criticism about the high cost of college tuition.</w:t>
      </w:r>
      <w:r w:rsidRPr="00BD3C31">
        <w:rPr>
          <w:vertAlign w:val="superscript"/>
          <w:lang w:val="en-GB"/>
        </w:rPr>
        <w:endnoteReference w:id="11"/>
      </w:r>
      <w:r w:rsidRPr="00BD3C31">
        <w:rPr>
          <w:lang w:val="en-GB"/>
        </w:rPr>
        <w:t xml:space="preserve"> To remain competitive and engage potential new students, universities worked to differentiate their offerings. Online education, volunteer programs, travel abroad experiences, and community engagement programs </w:t>
      </w:r>
      <w:r w:rsidR="00587144">
        <w:rPr>
          <w:lang w:val="en-GB"/>
        </w:rPr>
        <w:t>such as</w:t>
      </w:r>
      <w:r w:rsidR="00587144" w:rsidRPr="00BD3C31">
        <w:rPr>
          <w:lang w:val="en-GB"/>
        </w:rPr>
        <w:t xml:space="preserve"> </w:t>
      </w:r>
      <w:r w:rsidRPr="00BD3C31">
        <w:rPr>
          <w:lang w:val="en-GB"/>
        </w:rPr>
        <w:t>Inside-Out were among the strategies universities employed to help their programs stand out.</w:t>
      </w:r>
      <w:r w:rsidRPr="00BD3C31">
        <w:rPr>
          <w:rStyle w:val="EndnoteReference"/>
          <w:lang w:val="en-GB"/>
        </w:rPr>
        <w:endnoteReference w:id="12"/>
      </w:r>
      <w:r w:rsidRPr="00BD3C31">
        <w:rPr>
          <w:lang w:val="en-GB"/>
        </w:rPr>
        <w:t xml:space="preserve"> </w:t>
      </w:r>
    </w:p>
    <w:p w14:paraId="3801A4C8" w14:textId="77777777" w:rsidR="007E7199" w:rsidRPr="00BD3C31" w:rsidRDefault="007E7199" w:rsidP="005860DE">
      <w:pPr>
        <w:pStyle w:val="BodyTextMain"/>
        <w:rPr>
          <w:lang w:val="en-GB"/>
        </w:rPr>
      </w:pPr>
    </w:p>
    <w:p w14:paraId="085D804A" w14:textId="4F8203C7" w:rsidR="007E7199" w:rsidRPr="00BD3C31" w:rsidRDefault="007E7199" w:rsidP="005860DE">
      <w:pPr>
        <w:pStyle w:val="BodyTextMain"/>
        <w:rPr>
          <w:lang w:val="en-GB"/>
        </w:rPr>
      </w:pPr>
      <w:r w:rsidRPr="00BD3C31">
        <w:rPr>
          <w:lang w:val="en-GB"/>
        </w:rPr>
        <w:lastRenderedPageBreak/>
        <w:t>Prison education was a particularly relevant learning opportunity for students in 2018. The Black Lives Matter movement was raising awareness of racial discrimination in the U</w:t>
      </w:r>
      <w:r w:rsidR="00587144">
        <w:rPr>
          <w:lang w:val="en-GB"/>
        </w:rPr>
        <w:t xml:space="preserve">nited </w:t>
      </w:r>
      <w:r w:rsidRPr="00BD3C31">
        <w:rPr>
          <w:lang w:val="en-GB"/>
        </w:rPr>
        <w:t>S</w:t>
      </w:r>
      <w:r w:rsidR="00587144">
        <w:rPr>
          <w:lang w:val="en-GB"/>
        </w:rPr>
        <w:t>tates</w:t>
      </w:r>
      <w:r w:rsidRPr="00BD3C31">
        <w:rPr>
          <w:lang w:val="en-GB"/>
        </w:rPr>
        <w:t>, including the disparity in incarceration rates based on race: African Americans were five times more likely than Caucasians to be incarcerated</w:t>
      </w:r>
      <w:r w:rsidRPr="00BD3C31">
        <w:rPr>
          <w:rStyle w:val="EndnoteReference"/>
          <w:lang w:val="en-GB"/>
        </w:rPr>
        <w:endnoteReference w:id="13"/>
      </w:r>
      <w:r w:rsidRPr="00BD3C31">
        <w:rPr>
          <w:lang w:val="en-GB"/>
        </w:rPr>
        <w:t xml:space="preserve"> and made up 40</w:t>
      </w:r>
      <w:r w:rsidR="0033367E" w:rsidRPr="00BD3C31">
        <w:rPr>
          <w:lang w:val="en-GB"/>
        </w:rPr>
        <w:t xml:space="preserve"> p</w:t>
      </w:r>
      <w:r w:rsidR="00AF785B" w:rsidRPr="00BD3C31">
        <w:rPr>
          <w:lang w:val="en-GB"/>
        </w:rPr>
        <w:t>e</w:t>
      </w:r>
      <w:r w:rsidR="0033367E" w:rsidRPr="00BD3C31">
        <w:rPr>
          <w:lang w:val="en-GB"/>
        </w:rPr>
        <w:t>r cent</w:t>
      </w:r>
      <w:r w:rsidRPr="00BD3C31">
        <w:rPr>
          <w:lang w:val="en-GB"/>
        </w:rPr>
        <w:t xml:space="preserve"> of all people incarcerated in the U</w:t>
      </w:r>
      <w:r w:rsidR="00587144">
        <w:rPr>
          <w:lang w:val="en-GB"/>
        </w:rPr>
        <w:t xml:space="preserve">nited </w:t>
      </w:r>
      <w:r w:rsidRPr="00BD3C31">
        <w:rPr>
          <w:lang w:val="en-GB"/>
        </w:rPr>
        <w:t>S</w:t>
      </w:r>
      <w:r w:rsidR="00587144">
        <w:rPr>
          <w:lang w:val="en-GB"/>
        </w:rPr>
        <w:t>tates</w:t>
      </w:r>
      <w:r w:rsidRPr="00BD3C31">
        <w:rPr>
          <w:lang w:val="en-GB"/>
        </w:rPr>
        <w:t xml:space="preserve"> despite </w:t>
      </w:r>
      <w:r w:rsidR="00587144">
        <w:rPr>
          <w:lang w:val="en-GB"/>
        </w:rPr>
        <w:t>represent</w:t>
      </w:r>
      <w:r w:rsidR="00587144" w:rsidRPr="00BD3C31">
        <w:rPr>
          <w:lang w:val="en-GB"/>
        </w:rPr>
        <w:t xml:space="preserve">ing </w:t>
      </w:r>
      <w:r w:rsidRPr="00BD3C31">
        <w:rPr>
          <w:lang w:val="en-GB"/>
        </w:rPr>
        <w:t>only 13</w:t>
      </w:r>
      <w:r w:rsidR="0033367E" w:rsidRPr="00BD3C31">
        <w:rPr>
          <w:lang w:val="en-GB"/>
        </w:rPr>
        <w:t xml:space="preserve"> per </w:t>
      </w:r>
      <w:r w:rsidR="00935A1D" w:rsidRPr="00BD3C31">
        <w:rPr>
          <w:lang w:val="en-GB"/>
        </w:rPr>
        <w:t>c</w:t>
      </w:r>
      <w:r w:rsidR="0033367E" w:rsidRPr="00BD3C31">
        <w:rPr>
          <w:lang w:val="en-GB"/>
        </w:rPr>
        <w:t>ent</w:t>
      </w:r>
      <w:r w:rsidRPr="00BD3C31">
        <w:rPr>
          <w:lang w:val="en-GB"/>
        </w:rPr>
        <w:t xml:space="preserve"> of the population.</w:t>
      </w:r>
      <w:r w:rsidRPr="00BD3C31">
        <w:rPr>
          <w:rStyle w:val="EndnoteReference"/>
          <w:lang w:val="en-GB"/>
        </w:rPr>
        <w:endnoteReference w:id="14"/>
      </w:r>
      <w:r w:rsidRPr="00BD3C31">
        <w:rPr>
          <w:lang w:val="en-GB"/>
        </w:rPr>
        <w:t xml:space="preserve"> The divisive 2016 presidential election </w:t>
      </w:r>
      <w:r w:rsidR="00587144">
        <w:rPr>
          <w:lang w:val="en-GB"/>
        </w:rPr>
        <w:t xml:space="preserve">had </w:t>
      </w:r>
      <w:r w:rsidRPr="00BD3C31">
        <w:rPr>
          <w:lang w:val="en-GB"/>
        </w:rPr>
        <w:t xml:space="preserve">also </w:t>
      </w:r>
      <w:r w:rsidR="00587144" w:rsidRPr="00BD3C31">
        <w:rPr>
          <w:lang w:val="en-GB"/>
        </w:rPr>
        <w:t>dr</w:t>
      </w:r>
      <w:r w:rsidR="00587144">
        <w:rPr>
          <w:lang w:val="en-GB"/>
        </w:rPr>
        <w:t>a</w:t>
      </w:r>
      <w:r w:rsidR="00587144" w:rsidRPr="00BD3C31">
        <w:rPr>
          <w:lang w:val="en-GB"/>
        </w:rPr>
        <w:t>w</w:t>
      </w:r>
      <w:r w:rsidR="00587144">
        <w:rPr>
          <w:lang w:val="en-GB"/>
        </w:rPr>
        <w:t>n</w:t>
      </w:r>
      <w:r w:rsidR="00587144" w:rsidRPr="00BD3C31">
        <w:rPr>
          <w:lang w:val="en-GB"/>
        </w:rPr>
        <w:t xml:space="preserve"> </w:t>
      </w:r>
      <w:r w:rsidRPr="00BD3C31">
        <w:rPr>
          <w:lang w:val="en-GB"/>
        </w:rPr>
        <w:t xml:space="preserve">attention to the lack of political dialogue </w:t>
      </w:r>
      <w:r w:rsidR="00544437" w:rsidRPr="00BD3C31">
        <w:rPr>
          <w:lang w:val="en-GB"/>
        </w:rPr>
        <w:t>about</w:t>
      </w:r>
      <w:r w:rsidRPr="00BD3C31">
        <w:rPr>
          <w:lang w:val="en-GB"/>
        </w:rPr>
        <w:t xml:space="preserve"> </w:t>
      </w:r>
      <w:r w:rsidR="0033367E" w:rsidRPr="00BD3C31">
        <w:rPr>
          <w:lang w:val="en-GB"/>
        </w:rPr>
        <w:t xml:space="preserve">these </w:t>
      </w:r>
      <w:r w:rsidRPr="00BD3C31">
        <w:rPr>
          <w:lang w:val="en-GB"/>
        </w:rPr>
        <w:t xml:space="preserve">differences </w:t>
      </w:r>
      <w:r w:rsidR="00544437" w:rsidRPr="00BD3C31">
        <w:rPr>
          <w:lang w:val="en-GB"/>
        </w:rPr>
        <w:t>across</w:t>
      </w:r>
      <w:r w:rsidRPr="00BD3C31">
        <w:rPr>
          <w:lang w:val="en-GB"/>
        </w:rPr>
        <w:t xml:space="preserve"> the </w:t>
      </w:r>
      <w:r w:rsidR="00935A1D" w:rsidRPr="00BD3C31">
        <w:rPr>
          <w:lang w:val="en-GB"/>
        </w:rPr>
        <w:t>country</w:t>
      </w:r>
      <w:r w:rsidR="00544437" w:rsidRPr="00BD3C31">
        <w:rPr>
          <w:lang w:val="en-GB"/>
        </w:rPr>
        <w:t>,</w:t>
      </w:r>
      <w:r w:rsidRPr="00BD3C31">
        <w:rPr>
          <w:lang w:val="en-GB"/>
        </w:rPr>
        <w:t xml:space="preserve"> and </w:t>
      </w:r>
      <w:r w:rsidR="00544437" w:rsidRPr="00BD3C31">
        <w:rPr>
          <w:lang w:val="en-GB"/>
        </w:rPr>
        <w:t xml:space="preserve">pointed to </w:t>
      </w:r>
      <w:r w:rsidRPr="00BD3C31">
        <w:rPr>
          <w:lang w:val="en-GB"/>
        </w:rPr>
        <w:t xml:space="preserve">the need for civil discourse between people </w:t>
      </w:r>
      <w:r w:rsidR="00FC08B2">
        <w:rPr>
          <w:lang w:val="en-GB"/>
        </w:rPr>
        <w:t>holding</w:t>
      </w:r>
      <w:r w:rsidR="00FC08B2" w:rsidRPr="00BD3C31">
        <w:rPr>
          <w:lang w:val="en-GB"/>
        </w:rPr>
        <w:t xml:space="preserve"> </w:t>
      </w:r>
      <w:r w:rsidRPr="00BD3C31">
        <w:rPr>
          <w:lang w:val="en-GB"/>
        </w:rPr>
        <w:t xml:space="preserve">differing views. </w:t>
      </w:r>
    </w:p>
    <w:p w14:paraId="4796E050" w14:textId="77777777" w:rsidR="007E7199" w:rsidRPr="00AB21C1" w:rsidRDefault="007E7199" w:rsidP="005860DE">
      <w:pPr>
        <w:pStyle w:val="BodyTextMain"/>
        <w:rPr>
          <w:sz w:val="20"/>
          <w:szCs w:val="20"/>
          <w:lang w:val="en-GB"/>
        </w:rPr>
      </w:pPr>
    </w:p>
    <w:p w14:paraId="060F3F93" w14:textId="177E5AFD" w:rsidR="007E7199" w:rsidRPr="00195BCF" w:rsidRDefault="007E7199" w:rsidP="005860DE">
      <w:pPr>
        <w:pStyle w:val="BodyTextMain"/>
        <w:rPr>
          <w:spacing w:val="-2"/>
          <w:lang w:val="en-GB"/>
        </w:rPr>
      </w:pPr>
      <w:r w:rsidRPr="00195BCF">
        <w:rPr>
          <w:spacing w:val="-2"/>
          <w:lang w:val="en-GB"/>
        </w:rPr>
        <w:t>Indeed, from a smattering of local university programs started in the 1970s (such as Villanova University’s, launched in 1972),</w:t>
      </w:r>
      <w:r w:rsidRPr="00195BCF">
        <w:rPr>
          <w:rStyle w:val="EndnoteReference"/>
          <w:spacing w:val="-2"/>
          <w:lang w:val="en-GB"/>
        </w:rPr>
        <w:endnoteReference w:id="15"/>
      </w:r>
      <w:r w:rsidRPr="00195BCF">
        <w:rPr>
          <w:spacing w:val="-2"/>
          <w:lang w:val="en-GB"/>
        </w:rPr>
        <w:t xml:space="preserve"> prison education had grown into an estimated $62 billion industry.</w:t>
      </w:r>
      <w:r w:rsidRPr="00195BCF">
        <w:rPr>
          <w:rStyle w:val="EndnoteReference"/>
          <w:spacing w:val="-2"/>
          <w:lang w:val="en-GB"/>
        </w:rPr>
        <w:endnoteReference w:id="16"/>
      </w:r>
      <w:r w:rsidRPr="00195BCF">
        <w:rPr>
          <w:spacing w:val="-2"/>
          <w:lang w:val="en-GB"/>
        </w:rPr>
        <w:t xml:space="preserve"> While Inside-Out was unique in its approach, it competed with several other innovative programs. The</w:t>
      </w:r>
      <w:r w:rsidRPr="00195BCF">
        <w:rPr>
          <w:i/>
          <w:spacing w:val="-2"/>
          <w:lang w:val="en-GB"/>
        </w:rPr>
        <w:t xml:space="preserve"> </w:t>
      </w:r>
      <w:r w:rsidRPr="00195BCF">
        <w:rPr>
          <w:spacing w:val="-2"/>
          <w:lang w:val="en-GB"/>
        </w:rPr>
        <w:t>Harvard Organization for Prison Education and Reform</w:t>
      </w:r>
      <w:r w:rsidRPr="00195BCF">
        <w:rPr>
          <w:i/>
          <w:spacing w:val="-2"/>
          <w:lang w:val="en-GB"/>
        </w:rPr>
        <w:t xml:space="preserve"> </w:t>
      </w:r>
      <w:r w:rsidRPr="00195BCF">
        <w:rPr>
          <w:spacing w:val="-2"/>
          <w:lang w:val="en-GB"/>
        </w:rPr>
        <w:t>and</w:t>
      </w:r>
      <w:r w:rsidRPr="00195BCF">
        <w:rPr>
          <w:i/>
          <w:spacing w:val="-2"/>
          <w:lang w:val="en-GB"/>
        </w:rPr>
        <w:t xml:space="preserve"> </w:t>
      </w:r>
      <w:r w:rsidRPr="00195BCF">
        <w:rPr>
          <w:spacing w:val="-2"/>
          <w:lang w:val="en-GB"/>
        </w:rPr>
        <w:t>the</w:t>
      </w:r>
      <w:r w:rsidRPr="00195BCF">
        <w:rPr>
          <w:i/>
          <w:spacing w:val="-2"/>
          <w:lang w:val="en-GB"/>
        </w:rPr>
        <w:t xml:space="preserve"> </w:t>
      </w:r>
      <w:r w:rsidRPr="00195BCF">
        <w:rPr>
          <w:spacing w:val="-2"/>
          <w:lang w:val="en-GB"/>
        </w:rPr>
        <w:t>Petey Greene Program sent trained volunteers to tutor incarcerated individuals with the dual goals of offering prison education and advocating for structural reforms. The Bard Prison Initiative</w:t>
      </w:r>
      <w:r w:rsidRPr="00195BCF">
        <w:rPr>
          <w:i/>
          <w:spacing w:val="-2"/>
          <w:lang w:val="en-GB"/>
        </w:rPr>
        <w:t xml:space="preserve"> </w:t>
      </w:r>
      <w:r w:rsidRPr="00195BCF">
        <w:rPr>
          <w:spacing w:val="-2"/>
          <w:lang w:val="en-GB"/>
        </w:rPr>
        <w:t xml:space="preserve">offered college courses and degrees to people incarcerated in six prisons in New York State and boasted a </w:t>
      </w:r>
      <w:r w:rsidR="00587144" w:rsidRPr="00195BCF">
        <w:rPr>
          <w:spacing w:val="-2"/>
          <w:lang w:val="en-GB"/>
        </w:rPr>
        <w:t xml:space="preserve">2 </w:t>
      </w:r>
      <w:r w:rsidR="003326F2" w:rsidRPr="00195BCF">
        <w:rPr>
          <w:spacing w:val="-2"/>
          <w:lang w:val="en-GB"/>
        </w:rPr>
        <w:t>per</w:t>
      </w:r>
      <w:r w:rsidR="00587144" w:rsidRPr="00195BCF">
        <w:rPr>
          <w:spacing w:val="-2"/>
          <w:lang w:val="en-GB"/>
        </w:rPr>
        <w:t xml:space="preserve"> </w:t>
      </w:r>
      <w:r w:rsidR="00AF77F3" w:rsidRPr="00195BCF">
        <w:rPr>
          <w:spacing w:val="-2"/>
          <w:lang w:val="en-GB"/>
        </w:rPr>
        <w:t>cent</w:t>
      </w:r>
      <w:r w:rsidRPr="00195BCF">
        <w:rPr>
          <w:spacing w:val="-2"/>
          <w:lang w:val="en-GB"/>
        </w:rPr>
        <w:t xml:space="preserve"> recidivism rate among graduates.</w:t>
      </w:r>
      <w:r w:rsidRPr="00195BCF">
        <w:rPr>
          <w:rStyle w:val="EndnoteReference"/>
          <w:spacing w:val="-2"/>
          <w:lang w:val="en-GB"/>
        </w:rPr>
        <w:endnoteReference w:id="17"/>
      </w:r>
      <w:r w:rsidRPr="00195BCF">
        <w:rPr>
          <w:spacing w:val="-2"/>
          <w:lang w:val="en-GB"/>
        </w:rPr>
        <w:t xml:space="preserve"> In 2015, prison education efforts received a boost when government-backed Pell grants </w:t>
      </w:r>
      <w:r w:rsidR="00EC5222" w:rsidRPr="00195BCF">
        <w:rPr>
          <w:spacing w:val="-2"/>
          <w:lang w:val="en-GB"/>
        </w:rPr>
        <w:t xml:space="preserve">were made </w:t>
      </w:r>
      <w:r w:rsidRPr="00195BCF">
        <w:rPr>
          <w:spacing w:val="-2"/>
          <w:lang w:val="en-GB"/>
        </w:rPr>
        <w:t>available, in a limited way, to help fund education for people in prison</w:t>
      </w:r>
      <w:r w:rsidR="00AF77F3" w:rsidRPr="00195BCF">
        <w:rPr>
          <w:rFonts w:eastAsia="Calibri"/>
          <w:spacing w:val="-2"/>
          <w:lang w:val="en-GB"/>
        </w:rPr>
        <w:t>—</w:t>
      </w:r>
      <w:r w:rsidRPr="00195BCF">
        <w:rPr>
          <w:spacing w:val="-2"/>
          <w:lang w:val="en-GB"/>
        </w:rPr>
        <w:t xml:space="preserve">although by 2018, the </w:t>
      </w:r>
      <w:r w:rsidR="00EC5222" w:rsidRPr="00195BCF">
        <w:rPr>
          <w:spacing w:val="-2"/>
          <w:lang w:val="en-GB"/>
        </w:rPr>
        <w:t>new a</w:t>
      </w:r>
      <w:r w:rsidRPr="00195BCF">
        <w:rPr>
          <w:spacing w:val="-2"/>
          <w:lang w:val="en-GB"/>
        </w:rPr>
        <w:t xml:space="preserve">dministration had indicated that </w:t>
      </w:r>
      <w:r w:rsidR="00AF77F3" w:rsidRPr="00195BCF">
        <w:rPr>
          <w:spacing w:val="-2"/>
          <w:lang w:val="en-GB"/>
        </w:rPr>
        <w:t>it</w:t>
      </w:r>
      <w:r w:rsidRPr="00195BCF">
        <w:rPr>
          <w:spacing w:val="-2"/>
          <w:lang w:val="en-GB"/>
        </w:rPr>
        <w:t xml:space="preserve"> w</w:t>
      </w:r>
      <w:r w:rsidR="00AF77F3" w:rsidRPr="00195BCF">
        <w:rPr>
          <w:spacing w:val="-2"/>
          <w:lang w:val="en-GB"/>
        </w:rPr>
        <w:t>as</w:t>
      </w:r>
      <w:r w:rsidRPr="00195BCF">
        <w:rPr>
          <w:spacing w:val="-2"/>
          <w:lang w:val="en-GB"/>
        </w:rPr>
        <w:t xml:space="preserve"> unlikely to renew the grants.</w:t>
      </w:r>
      <w:r w:rsidRPr="00195BCF">
        <w:rPr>
          <w:rStyle w:val="EndnoteReference"/>
          <w:spacing w:val="-2"/>
          <w:lang w:val="en-GB"/>
        </w:rPr>
        <w:endnoteReference w:id="18"/>
      </w:r>
      <w:r w:rsidRPr="00195BCF">
        <w:rPr>
          <w:spacing w:val="-2"/>
          <w:lang w:val="en-GB"/>
        </w:rPr>
        <w:t xml:space="preserve"> </w:t>
      </w:r>
    </w:p>
    <w:p w14:paraId="3600D5E1" w14:textId="6754679E" w:rsidR="007E7199" w:rsidRPr="00AB21C1" w:rsidRDefault="007E7199" w:rsidP="005860DE">
      <w:pPr>
        <w:pStyle w:val="BodyTextMain"/>
        <w:rPr>
          <w:sz w:val="20"/>
          <w:szCs w:val="20"/>
          <w:lang w:val="en-GB"/>
        </w:rPr>
      </w:pPr>
    </w:p>
    <w:p w14:paraId="12068FB8" w14:textId="368BE837" w:rsidR="007E7199" w:rsidRPr="00BD3C31" w:rsidRDefault="007E7199" w:rsidP="005860DE">
      <w:pPr>
        <w:pStyle w:val="BodyTextMain"/>
        <w:rPr>
          <w:lang w:val="en-GB"/>
        </w:rPr>
      </w:pPr>
      <w:r w:rsidRPr="00BD3C31">
        <w:rPr>
          <w:lang w:val="en-GB"/>
        </w:rPr>
        <w:t>In recent years, technology-based prison educational solutions had also become available. Code 7370 was a non-profit computer programming class in San Quentin, California</w:t>
      </w:r>
      <w:r w:rsidR="00AF77F3" w:rsidRPr="00BD3C31">
        <w:rPr>
          <w:lang w:val="en-GB"/>
        </w:rPr>
        <w:t>,</w:t>
      </w:r>
      <w:r w:rsidRPr="00BD3C31">
        <w:rPr>
          <w:lang w:val="en-GB"/>
        </w:rPr>
        <w:t xml:space="preserve"> that sought to reduce recidivism by helping people in prison prepare for jobs in technology and business following their release. Because students had limited access to technology, they completed assignments without </w:t>
      </w:r>
      <w:r w:rsidR="00AF77F3" w:rsidRPr="00BD3C31">
        <w:rPr>
          <w:lang w:val="en-GB"/>
        </w:rPr>
        <w:t>I</w:t>
      </w:r>
      <w:r w:rsidRPr="00BD3C31">
        <w:rPr>
          <w:lang w:val="en-GB"/>
        </w:rPr>
        <w:t xml:space="preserve">nternet </w:t>
      </w:r>
      <w:r w:rsidR="00AF77F3" w:rsidRPr="00BD3C31">
        <w:rPr>
          <w:lang w:val="en-GB"/>
        </w:rPr>
        <w:t xml:space="preserve">access by </w:t>
      </w:r>
      <w:r w:rsidRPr="00BD3C31">
        <w:rPr>
          <w:lang w:val="en-GB"/>
        </w:rPr>
        <w:t>using special desktop</w:t>
      </w:r>
      <w:r w:rsidR="00F01CEA" w:rsidRPr="00BD3C31">
        <w:rPr>
          <w:lang w:val="en-GB"/>
        </w:rPr>
        <w:t xml:space="preserve"> computers</w:t>
      </w:r>
      <w:r w:rsidRPr="00BD3C31">
        <w:rPr>
          <w:lang w:val="en-GB"/>
        </w:rPr>
        <w:t xml:space="preserve"> with double-monitor configurations that </w:t>
      </w:r>
      <w:r w:rsidR="00AF77F3" w:rsidRPr="00BD3C31">
        <w:rPr>
          <w:lang w:val="en-GB"/>
        </w:rPr>
        <w:t>allowed them to</w:t>
      </w:r>
      <w:r w:rsidRPr="00BD3C31">
        <w:rPr>
          <w:lang w:val="en-GB"/>
        </w:rPr>
        <w:t xml:space="preserve"> receive instruction from remote teachers through an administrator’s </w:t>
      </w:r>
      <w:r w:rsidR="00F01CEA" w:rsidRPr="00BD3C31">
        <w:rPr>
          <w:lang w:val="en-GB"/>
        </w:rPr>
        <w:t>computer</w:t>
      </w:r>
      <w:r w:rsidRPr="00BD3C31">
        <w:rPr>
          <w:lang w:val="en-GB"/>
        </w:rPr>
        <w:t>.</w:t>
      </w:r>
      <w:r w:rsidRPr="00BD3C31">
        <w:rPr>
          <w:rStyle w:val="EndnoteReference"/>
          <w:lang w:val="en-GB"/>
        </w:rPr>
        <w:endnoteReference w:id="19"/>
      </w:r>
      <w:r w:rsidRPr="00BD3C31">
        <w:rPr>
          <w:lang w:val="en-GB"/>
        </w:rPr>
        <w:t xml:space="preserve"> American Prison Data Systems,</w:t>
      </w:r>
      <w:r w:rsidR="00D95DA6" w:rsidRPr="00BD3C31">
        <w:rPr>
          <w:lang w:val="en-GB"/>
        </w:rPr>
        <w:t xml:space="preserve"> </w:t>
      </w:r>
      <w:proofErr w:type="spellStart"/>
      <w:r w:rsidR="00D95DA6" w:rsidRPr="00BD3C31">
        <w:rPr>
          <w:lang w:val="en-GB"/>
        </w:rPr>
        <w:t>Innertainment</w:t>
      </w:r>
      <w:proofErr w:type="spellEnd"/>
      <w:r w:rsidR="00D95DA6" w:rsidRPr="00BD3C31">
        <w:rPr>
          <w:lang w:val="en-GB"/>
        </w:rPr>
        <w:t xml:space="preserve"> Delivery Systems</w:t>
      </w:r>
      <w:r w:rsidR="00F01CEA" w:rsidRPr="00BD3C31">
        <w:rPr>
          <w:lang w:val="en-GB"/>
        </w:rPr>
        <w:t>,</w:t>
      </w:r>
      <w:r w:rsidRPr="00BD3C31">
        <w:rPr>
          <w:i/>
          <w:lang w:val="en-GB"/>
        </w:rPr>
        <w:t xml:space="preserve"> </w:t>
      </w:r>
      <w:r w:rsidRPr="00BD3C31">
        <w:rPr>
          <w:lang w:val="en-GB"/>
        </w:rPr>
        <w:t xml:space="preserve">and </w:t>
      </w:r>
      <w:proofErr w:type="spellStart"/>
      <w:r w:rsidRPr="00BD3C31">
        <w:rPr>
          <w:lang w:val="en-GB"/>
        </w:rPr>
        <w:t>Edovo</w:t>
      </w:r>
      <w:proofErr w:type="spellEnd"/>
      <w:r w:rsidR="00F01CEA" w:rsidRPr="00BD3C31">
        <w:rPr>
          <w:lang w:val="en-GB"/>
        </w:rPr>
        <w:t xml:space="preserve"> (Education Over Obstacles)</w:t>
      </w:r>
      <w:r w:rsidRPr="00BD3C31">
        <w:rPr>
          <w:lang w:val="en-GB"/>
        </w:rPr>
        <w:t xml:space="preserve"> made customized, tamper-proof tablets equipped with educational materials </w:t>
      </w:r>
      <w:r w:rsidR="00F01CEA" w:rsidRPr="00BD3C31">
        <w:rPr>
          <w:lang w:val="en-GB"/>
        </w:rPr>
        <w:t xml:space="preserve">available </w:t>
      </w:r>
      <w:r w:rsidRPr="00BD3C31">
        <w:rPr>
          <w:lang w:val="en-GB"/>
        </w:rPr>
        <w:t>to people in prison for about $2 per hour.</w:t>
      </w:r>
      <w:r w:rsidRPr="00BD3C31">
        <w:rPr>
          <w:rStyle w:val="EndnoteReference"/>
          <w:lang w:val="en-GB"/>
        </w:rPr>
        <w:endnoteReference w:id="20"/>
      </w:r>
      <w:r w:rsidRPr="00BD3C31">
        <w:rPr>
          <w:lang w:val="en-GB"/>
        </w:rPr>
        <w:t xml:space="preserve"> </w:t>
      </w:r>
      <w:proofErr w:type="spellStart"/>
      <w:r w:rsidRPr="00BD3C31">
        <w:rPr>
          <w:lang w:val="en-GB"/>
        </w:rPr>
        <w:t>JPay</w:t>
      </w:r>
      <w:proofErr w:type="spellEnd"/>
      <w:r w:rsidRPr="00BD3C31">
        <w:rPr>
          <w:lang w:val="en-GB"/>
        </w:rPr>
        <w:t xml:space="preserve">, another competitor, provided in-prison video educational </w:t>
      </w:r>
      <w:r w:rsidR="00F01CEA" w:rsidRPr="00BD3C31">
        <w:rPr>
          <w:lang w:val="en-GB"/>
        </w:rPr>
        <w:t xml:space="preserve">and </w:t>
      </w:r>
      <w:r w:rsidRPr="00BD3C31">
        <w:rPr>
          <w:lang w:val="en-GB"/>
        </w:rPr>
        <w:t>gaming</w:t>
      </w:r>
      <w:r w:rsidR="00F01CEA" w:rsidRPr="00BD3C31">
        <w:rPr>
          <w:lang w:val="en-GB"/>
        </w:rPr>
        <w:t xml:space="preserve"> content</w:t>
      </w:r>
      <w:r w:rsidRPr="00BD3C31">
        <w:rPr>
          <w:lang w:val="en-GB"/>
        </w:rPr>
        <w:t xml:space="preserve">, and </w:t>
      </w:r>
      <w:r w:rsidR="003326F2" w:rsidRPr="00BD3C31">
        <w:rPr>
          <w:lang w:val="en-GB"/>
        </w:rPr>
        <w:t xml:space="preserve">an </w:t>
      </w:r>
      <w:r w:rsidRPr="00BD3C31">
        <w:rPr>
          <w:lang w:val="en-GB"/>
        </w:rPr>
        <w:t xml:space="preserve">e-messaging </w:t>
      </w:r>
      <w:r w:rsidR="00F01CEA" w:rsidRPr="00BD3C31">
        <w:rPr>
          <w:lang w:val="en-GB"/>
        </w:rPr>
        <w:t xml:space="preserve">service </w:t>
      </w:r>
      <w:r w:rsidRPr="00BD3C31">
        <w:rPr>
          <w:lang w:val="en-GB"/>
        </w:rPr>
        <w:t>to help people in prison connect to families “to empower those individuals with access to educational tools and assist in their overall rehabilitation process.”</w:t>
      </w:r>
      <w:r w:rsidRPr="00BD3C31">
        <w:rPr>
          <w:rStyle w:val="EndnoteReference"/>
          <w:lang w:val="en-GB"/>
        </w:rPr>
        <w:endnoteReference w:id="21"/>
      </w:r>
      <w:r w:rsidRPr="00BD3C31">
        <w:rPr>
          <w:lang w:val="en-GB"/>
        </w:rPr>
        <w:t xml:space="preserve"> </w:t>
      </w:r>
      <w:proofErr w:type="spellStart"/>
      <w:r w:rsidRPr="00BD3C31">
        <w:rPr>
          <w:lang w:val="en-GB"/>
        </w:rPr>
        <w:t>JPay</w:t>
      </w:r>
      <w:proofErr w:type="spellEnd"/>
      <w:r w:rsidRPr="00BD3C31">
        <w:rPr>
          <w:lang w:val="en-GB"/>
        </w:rPr>
        <w:t xml:space="preserve"> offered jails and prisons approximately $0.05 for every message between people in prison and their families, a lucrative extra revenue source for participating facilities.</w:t>
      </w:r>
    </w:p>
    <w:p w14:paraId="20C44ADB" w14:textId="5C409126" w:rsidR="007E7199" w:rsidRPr="00AB21C1" w:rsidRDefault="007E7199" w:rsidP="00F66BCC">
      <w:pPr>
        <w:pStyle w:val="BodyTextMain"/>
        <w:rPr>
          <w:sz w:val="20"/>
          <w:szCs w:val="20"/>
          <w:lang w:val="en-GB"/>
        </w:rPr>
      </w:pPr>
    </w:p>
    <w:p w14:paraId="340D55CB" w14:textId="16E766FD" w:rsidR="00E2767C" w:rsidRPr="00AB21C1" w:rsidRDefault="00E2767C" w:rsidP="00F66BCC">
      <w:pPr>
        <w:pStyle w:val="BodyTextMain"/>
        <w:rPr>
          <w:sz w:val="20"/>
          <w:szCs w:val="20"/>
          <w:lang w:val="en-GB"/>
        </w:rPr>
      </w:pPr>
    </w:p>
    <w:p w14:paraId="25787233" w14:textId="77777777" w:rsidR="007E7199" w:rsidRPr="00BD3C31" w:rsidRDefault="007E7199" w:rsidP="005860DE">
      <w:pPr>
        <w:pStyle w:val="Casehead1"/>
        <w:rPr>
          <w:lang w:val="en-GB"/>
        </w:rPr>
      </w:pPr>
      <w:r w:rsidRPr="00BD3C31">
        <w:rPr>
          <w:lang w:val="en-GB"/>
        </w:rPr>
        <w:t>Education’s Effect on People in Prison</w:t>
      </w:r>
    </w:p>
    <w:p w14:paraId="55B145B1" w14:textId="77777777" w:rsidR="007E7199" w:rsidRPr="00AB21C1" w:rsidRDefault="007E7199" w:rsidP="005860DE">
      <w:pPr>
        <w:pStyle w:val="BodyTextMain"/>
        <w:rPr>
          <w:sz w:val="20"/>
          <w:szCs w:val="20"/>
          <w:lang w:val="en-GB"/>
        </w:rPr>
      </w:pPr>
    </w:p>
    <w:p w14:paraId="18C1E2AD" w14:textId="11CDE827" w:rsidR="007E7199" w:rsidRPr="00537939" w:rsidRDefault="007E7199" w:rsidP="005860DE">
      <w:pPr>
        <w:pStyle w:val="BodyTextMain"/>
        <w:rPr>
          <w:spacing w:val="-2"/>
          <w:lang w:val="en-GB"/>
        </w:rPr>
      </w:pPr>
      <w:r w:rsidRPr="00537939">
        <w:rPr>
          <w:spacing w:val="-2"/>
          <w:lang w:val="en-GB"/>
        </w:rPr>
        <w:t xml:space="preserve">Education played a complex role within prisons. Prisons around the country faced numerous issues, including overcrowding, understaffing, high turnover rates among officers, and low funding for employee training and operations. Poor conditions had the potential to increase tensions between prison staff and those incarcerated </w:t>
      </w:r>
      <w:r w:rsidR="00F74331" w:rsidRPr="00537939">
        <w:rPr>
          <w:spacing w:val="-2"/>
          <w:lang w:val="en-GB"/>
        </w:rPr>
        <w:t xml:space="preserve">which </w:t>
      </w:r>
      <w:r w:rsidR="008C58DF" w:rsidRPr="00537939">
        <w:rPr>
          <w:spacing w:val="-2"/>
          <w:lang w:val="en-GB"/>
        </w:rPr>
        <w:t>could</w:t>
      </w:r>
      <w:r w:rsidRPr="00537939">
        <w:rPr>
          <w:spacing w:val="-2"/>
          <w:lang w:val="en-GB"/>
        </w:rPr>
        <w:t xml:space="preserve"> contribute to violence.</w:t>
      </w:r>
      <w:r w:rsidRPr="00537939">
        <w:rPr>
          <w:rStyle w:val="EndnoteReference"/>
          <w:spacing w:val="-2"/>
          <w:lang w:val="en-GB"/>
        </w:rPr>
        <w:endnoteReference w:id="22"/>
      </w:r>
      <w:r w:rsidRPr="00537939">
        <w:rPr>
          <w:spacing w:val="-2"/>
          <w:lang w:val="en-GB"/>
        </w:rPr>
        <w:t xml:space="preserve"> One review of incidents in Maryland prisons documented $860,000 of medical care </w:t>
      </w:r>
      <w:r w:rsidR="001C0CDD" w:rsidRPr="00537939">
        <w:rPr>
          <w:spacing w:val="-2"/>
          <w:lang w:val="en-GB"/>
        </w:rPr>
        <w:t xml:space="preserve">required </w:t>
      </w:r>
      <w:r w:rsidRPr="00537939">
        <w:rPr>
          <w:spacing w:val="-2"/>
          <w:lang w:val="en-GB"/>
        </w:rPr>
        <w:t>as a result of 257 assaults, not including the costs associated with five deaths (two officers and three incarcerated individuals), lost work time for officers injured</w:t>
      </w:r>
      <w:r w:rsidR="008C58DF" w:rsidRPr="00537939">
        <w:rPr>
          <w:spacing w:val="-2"/>
          <w:lang w:val="en-GB"/>
        </w:rPr>
        <w:t>,</w:t>
      </w:r>
      <w:r w:rsidRPr="00537939">
        <w:rPr>
          <w:spacing w:val="-2"/>
          <w:lang w:val="en-GB"/>
        </w:rPr>
        <w:t xml:space="preserve"> </w:t>
      </w:r>
      <w:r w:rsidR="00601D5E" w:rsidRPr="00537939">
        <w:rPr>
          <w:spacing w:val="-2"/>
          <w:lang w:val="en-GB"/>
        </w:rPr>
        <w:t xml:space="preserve">and </w:t>
      </w:r>
      <w:r w:rsidRPr="00537939">
        <w:rPr>
          <w:spacing w:val="-2"/>
          <w:lang w:val="en-GB"/>
        </w:rPr>
        <w:t>extra legal costs.</w:t>
      </w:r>
      <w:r w:rsidRPr="00537939">
        <w:rPr>
          <w:rStyle w:val="EndnoteReference"/>
          <w:spacing w:val="-2"/>
          <w:lang w:val="en-GB"/>
        </w:rPr>
        <w:endnoteReference w:id="23"/>
      </w:r>
      <w:r w:rsidRPr="00537939">
        <w:rPr>
          <w:spacing w:val="-2"/>
          <w:lang w:val="en-GB"/>
        </w:rPr>
        <w:t xml:space="preserve"> These realities made attractive any program that could decrease violent incidents in prisons.</w:t>
      </w:r>
    </w:p>
    <w:p w14:paraId="42100611" w14:textId="77777777" w:rsidR="001C0CDD" w:rsidRPr="00AB21C1" w:rsidRDefault="001C0CDD" w:rsidP="005860DE">
      <w:pPr>
        <w:pStyle w:val="BodyTextMain"/>
        <w:rPr>
          <w:sz w:val="20"/>
          <w:szCs w:val="20"/>
          <w:lang w:val="en-GB"/>
        </w:rPr>
      </w:pPr>
    </w:p>
    <w:p w14:paraId="6121B9A6" w14:textId="764403D8" w:rsidR="007E7199" w:rsidRPr="00BD3C31" w:rsidRDefault="007E7199" w:rsidP="005860DE">
      <w:pPr>
        <w:pStyle w:val="BodyTextMain"/>
        <w:rPr>
          <w:lang w:val="en-GB"/>
        </w:rPr>
      </w:pPr>
      <w:r w:rsidRPr="00BD3C31">
        <w:rPr>
          <w:lang w:val="en-GB"/>
        </w:rPr>
        <w:t xml:space="preserve">Prisons </w:t>
      </w:r>
      <w:r w:rsidR="003326F2" w:rsidRPr="00BD3C31">
        <w:rPr>
          <w:lang w:val="en-GB"/>
        </w:rPr>
        <w:t xml:space="preserve">also </w:t>
      </w:r>
      <w:r w:rsidRPr="00BD3C31">
        <w:rPr>
          <w:lang w:val="en-GB"/>
        </w:rPr>
        <w:t xml:space="preserve">struggled with budget shortfalls. Indeed, many prisons had begun to bill prisoners for essentials </w:t>
      </w:r>
      <w:r w:rsidR="0059616B">
        <w:rPr>
          <w:lang w:val="en-GB"/>
        </w:rPr>
        <w:t>such as</w:t>
      </w:r>
      <w:r w:rsidR="0059616B" w:rsidRPr="00BD3C31">
        <w:rPr>
          <w:lang w:val="en-GB"/>
        </w:rPr>
        <w:t xml:space="preserve"> </w:t>
      </w:r>
      <w:r w:rsidRPr="00BD3C31">
        <w:rPr>
          <w:lang w:val="en-GB"/>
        </w:rPr>
        <w:t>meals, toilet paper, clothing, and dental care, a practice commonly referred to as “pay-for-stay.” “Why should the people of Elko County pay for somebody else</w:t>
      </w:r>
      <w:r w:rsidR="0059616B">
        <w:rPr>
          <w:lang w:val="en-GB"/>
        </w:rPr>
        <w:t>’</w:t>
      </w:r>
      <w:r w:rsidRPr="00BD3C31">
        <w:rPr>
          <w:lang w:val="en-GB"/>
        </w:rPr>
        <w:t>s meals in jail?</w:t>
      </w:r>
      <w:r w:rsidR="0059616B">
        <w:rPr>
          <w:lang w:val="en-GB"/>
        </w:rPr>
        <w:t>”</w:t>
      </w:r>
      <w:r w:rsidRPr="00BD3C31">
        <w:rPr>
          <w:lang w:val="en-GB"/>
        </w:rPr>
        <w:t xml:space="preserve"> </w:t>
      </w:r>
      <w:r w:rsidR="00601D5E">
        <w:rPr>
          <w:lang w:val="en-GB"/>
        </w:rPr>
        <w:t>asked</w:t>
      </w:r>
      <w:r w:rsidR="00601D5E" w:rsidRPr="00BD3C31">
        <w:rPr>
          <w:lang w:val="en-GB"/>
        </w:rPr>
        <w:t xml:space="preserve"> </w:t>
      </w:r>
      <w:r w:rsidRPr="00BD3C31">
        <w:rPr>
          <w:lang w:val="en-GB"/>
        </w:rPr>
        <w:t xml:space="preserve">one commissioner in Elko County, Nevada, where a pay-for-stay program </w:t>
      </w:r>
      <w:r w:rsidR="0059616B">
        <w:rPr>
          <w:lang w:val="en-GB"/>
        </w:rPr>
        <w:t>had been</w:t>
      </w:r>
      <w:r w:rsidR="0059616B" w:rsidRPr="00BD3C31">
        <w:rPr>
          <w:lang w:val="en-GB"/>
        </w:rPr>
        <w:t xml:space="preserve"> </w:t>
      </w:r>
      <w:r w:rsidRPr="00BD3C31">
        <w:rPr>
          <w:lang w:val="en-GB"/>
        </w:rPr>
        <w:t>implemented.</w:t>
      </w:r>
      <w:r w:rsidRPr="00BD3C31">
        <w:rPr>
          <w:rStyle w:val="EndnoteReference"/>
          <w:lang w:val="en-GB"/>
        </w:rPr>
        <w:endnoteReference w:id="24"/>
      </w:r>
      <w:r w:rsidRPr="00BD3C31">
        <w:rPr>
          <w:lang w:val="en-GB"/>
        </w:rPr>
        <w:t xml:space="preserve"> Others saw these programs as part of the punishment. “If they are violating the law,” said one sheriff in Iowa, “</w:t>
      </w:r>
      <w:r w:rsidR="008C58DF" w:rsidRPr="00BD3C31">
        <w:rPr>
          <w:lang w:val="en-GB"/>
        </w:rPr>
        <w:t>t</w:t>
      </w:r>
      <w:r w:rsidRPr="00BD3C31">
        <w:rPr>
          <w:lang w:val="en-GB"/>
        </w:rPr>
        <w:t>hen they should be the ones to pay for it.” Officials in Riverside County, California</w:t>
      </w:r>
      <w:r w:rsidR="0059616B">
        <w:rPr>
          <w:lang w:val="en-GB"/>
        </w:rPr>
        <w:t>,</w:t>
      </w:r>
      <w:r w:rsidRPr="00BD3C31">
        <w:rPr>
          <w:lang w:val="en-GB"/>
        </w:rPr>
        <w:t xml:space="preserve"> voted to approve a plan to charge people in prison for their stay and reimburse the county for food, clothing</w:t>
      </w:r>
      <w:r w:rsidR="008C58DF" w:rsidRPr="00BD3C31">
        <w:rPr>
          <w:lang w:val="en-GB"/>
        </w:rPr>
        <w:t>,</w:t>
      </w:r>
      <w:r w:rsidRPr="00BD3C31">
        <w:rPr>
          <w:lang w:val="en-GB"/>
        </w:rPr>
        <w:t xml:space="preserve"> and health care, stating</w:t>
      </w:r>
      <w:r w:rsidR="0059616B">
        <w:rPr>
          <w:lang w:val="en-GB"/>
        </w:rPr>
        <w:t>,</w:t>
      </w:r>
      <w:r w:rsidRPr="00BD3C31">
        <w:rPr>
          <w:lang w:val="en-GB"/>
        </w:rPr>
        <w:t xml:space="preserve"> “You do the crime, you will serve the time, and now you will also pay the dime.”</w:t>
      </w:r>
      <w:r w:rsidRPr="00BD3C31">
        <w:rPr>
          <w:rStyle w:val="EndnoteReference"/>
          <w:lang w:val="en-GB"/>
        </w:rPr>
        <w:endnoteReference w:id="25"/>
      </w:r>
      <w:r w:rsidR="00BD3C31" w:rsidRPr="00BD3C31">
        <w:rPr>
          <w:lang w:val="en-GB"/>
        </w:rPr>
        <w:t xml:space="preserve"> </w:t>
      </w:r>
    </w:p>
    <w:p w14:paraId="65DBF4FC" w14:textId="2D3B061C" w:rsidR="007E7199" w:rsidRPr="00BD3C31" w:rsidRDefault="007E7199" w:rsidP="005860DE">
      <w:pPr>
        <w:pStyle w:val="BodyTextMain"/>
        <w:rPr>
          <w:lang w:val="en-GB"/>
        </w:rPr>
      </w:pPr>
      <w:r w:rsidRPr="00BD3C31">
        <w:rPr>
          <w:lang w:val="en-GB"/>
        </w:rPr>
        <w:lastRenderedPageBreak/>
        <w:t xml:space="preserve">National studies had demonstrated that prison education </w:t>
      </w:r>
      <w:r w:rsidR="0059616B">
        <w:rPr>
          <w:lang w:val="en-GB"/>
        </w:rPr>
        <w:t>led to</w:t>
      </w:r>
      <w:r w:rsidR="0059616B" w:rsidRPr="00BD3C31">
        <w:rPr>
          <w:lang w:val="en-GB"/>
        </w:rPr>
        <w:t xml:space="preserve"> </w:t>
      </w:r>
      <w:r w:rsidRPr="00BD3C31">
        <w:rPr>
          <w:lang w:val="en-GB"/>
        </w:rPr>
        <w:t xml:space="preserve">multiple positive outcomes for incarcerated individuals and </w:t>
      </w:r>
      <w:r w:rsidR="008C58DF" w:rsidRPr="00BD3C31">
        <w:rPr>
          <w:lang w:val="en-GB"/>
        </w:rPr>
        <w:t xml:space="preserve">for </w:t>
      </w:r>
      <w:r w:rsidRPr="00BD3C31">
        <w:rPr>
          <w:lang w:val="en-GB"/>
        </w:rPr>
        <w:t xml:space="preserve">society at large. Completing college courses while in prison improved self-esteem and social competence, both during incarceration and following release. It also reduced </w:t>
      </w:r>
      <w:r w:rsidR="00935DC4" w:rsidRPr="00BD3C31">
        <w:rPr>
          <w:lang w:val="en-GB"/>
        </w:rPr>
        <w:t xml:space="preserve">the </w:t>
      </w:r>
      <w:r w:rsidRPr="00BD3C31">
        <w:rPr>
          <w:lang w:val="en-GB"/>
        </w:rPr>
        <w:t>experience of violence while inside prison (by about 9</w:t>
      </w:r>
      <w:r w:rsidR="008C58DF" w:rsidRPr="00BD3C31">
        <w:rPr>
          <w:lang w:val="en-GB"/>
        </w:rPr>
        <w:t xml:space="preserve"> per cent</w:t>
      </w:r>
      <w:r w:rsidRPr="00BD3C31">
        <w:rPr>
          <w:lang w:val="en-GB"/>
        </w:rPr>
        <w:t>, according to one study).</w:t>
      </w:r>
      <w:r w:rsidRPr="00BD3C31">
        <w:rPr>
          <w:rStyle w:val="EndnoteReference"/>
          <w:lang w:val="en-GB"/>
        </w:rPr>
        <w:endnoteReference w:id="26"/>
      </w:r>
      <w:r w:rsidRPr="00BD3C31">
        <w:rPr>
          <w:lang w:val="en-GB"/>
        </w:rPr>
        <w:t xml:space="preserve"> Further, a careful assessment of 58 studies suggested that any exposure to education while in prison (whether </w:t>
      </w:r>
      <w:r w:rsidR="0059616B">
        <w:rPr>
          <w:lang w:val="en-GB"/>
        </w:rPr>
        <w:t xml:space="preserve">at the </w:t>
      </w:r>
      <w:r w:rsidRPr="00BD3C31">
        <w:rPr>
          <w:lang w:val="en-GB"/>
        </w:rPr>
        <w:t xml:space="preserve">high-school or college level, </w:t>
      </w:r>
      <w:r w:rsidR="008903ED">
        <w:rPr>
          <w:lang w:val="en-GB"/>
        </w:rPr>
        <w:t xml:space="preserve">and </w:t>
      </w:r>
      <w:r w:rsidRPr="00BD3C31">
        <w:rPr>
          <w:lang w:val="en-GB"/>
        </w:rPr>
        <w:t>whether or not completed) resulted in a three-year recidivism rate of between 30.1</w:t>
      </w:r>
      <w:r w:rsidR="008C58DF" w:rsidRPr="00BD3C31">
        <w:rPr>
          <w:lang w:val="en-GB"/>
        </w:rPr>
        <w:t xml:space="preserve"> per cent</w:t>
      </w:r>
      <w:r w:rsidRPr="00BD3C31">
        <w:rPr>
          <w:lang w:val="en-GB"/>
        </w:rPr>
        <w:t xml:space="preserve"> </w:t>
      </w:r>
      <w:r w:rsidR="0059616B">
        <w:rPr>
          <w:lang w:val="en-GB"/>
        </w:rPr>
        <w:t>and</w:t>
      </w:r>
      <w:r w:rsidR="0059616B" w:rsidRPr="00BD3C31">
        <w:rPr>
          <w:lang w:val="en-GB"/>
        </w:rPr>
        <w:t xml:space="preserve"> </w:t>
      </w:r>
      <w:r w:rsidRPr="00BD3C31">
        <w:rPr>
          <w:lang w:val="en-GB"/>
        </w:rPr>
        <w:t>38.6</w:t>
      </w:r>
      <w:r w:rsidR="008C58DF" w:rsidRPr="00BD3C31">
        <w:rPr>
          <w:lang w:val="en-GB"/>
        </w:rPr>
        <w:t xml:space="preserve"> per cent</w:t>
      </w:r>
      <w:r w:rsidRPr="00BD3C31">
        <w:rPr>
          <w:lang w:val="en-GB"/>
        </w:rPr>
        <w:t xml:space="preserve">, compared </w:t>
      </w:r>
      <w:r w:rsidR="0059616B">
        <w:rPr>
          <w:lang w:val="en-GB"/>
        </w:rPr>
        <w:t>with</w:t>
      </w:r>
      <w:r w:rsidR="0059616B" w:rsidRPr="00BD3C31">
        <w:rPr>
          <w:lang w:val="en-GB"/>
        </w:rPr>
        <w:t xml:space="preserve"> </w:t>
      </w:r>
      <w:r w:rsidRPr="00BD3C31">
        <w:rPr>
          <w:lang w:val="en-GB"/>
        </w:rPr>
        <w:t>between 43.3</w:t>
      </w:r>
      <w:r w:rsidR="008C58DF" w:rsidRPr="00BD3C31">
        <w:rPr>
          <w:lang w:val="en-GB"/>
        </w:rPr>
        <w:t xml:space="preserve"> per cent</w:t>
      </w:r>
      <w:r w:rsidRPr="00BD3C31">
        <w:rPr>
          <w:lang w:val="en-GB"/>
        </w:rPr>
        <w:t xml:space="preserve"> </w:t>
      </w:r>
      <w:r w:rsidR="0059616B">
        <w:rPr>
          <w:lang w:val="en-GB"/>
        </w:rPr>
        <w:t>and</w:t>
      </w:r>
      <w:r w:rsidR="0059616B" w:rsidRPr="00BD3C31">
        <w:rPr>
          <w:lang w:val="en-GB"/>
        </w:rPr>
        <w:t xml:space="preserve"> </w:t>
      </w:r>
      <w:r w:rsidRPr="00BD3C31">
        <w:rPr>
          <w:lang w:val="en-GB"/>
        </w:rPr>
        <w:t>51.8</w:t>
      </w:r>
      <w:r w:rsidR="008C58DF" w:rsidRPr="00BD3C31">
        <w:rPr>
          <w:lang w:val="en-GB"/>
        </w:rPr>
        <w:t xml:space="preserve"> per cent</w:t>
      </w:r>
      <w:r w:rsidRPr="00BD3C31">
        <w:rPr>
          <w:lang w:val="en-GB"/>
        </w:rPr>
        <w:t xml:space="preserve"> for those receiving no education while in prison.</w:t>
      </w:r>
      <w:r w:rsidRPr="00BD3C31">
        <w:rPr>
          <w:rStyle w:val="EndnoteReference"/>
          <w:lang w:val="en-GB"/>
        </w:rPr>
        <w:endnoteReference w:id="27"/>
      </w:r>
      <w:r w:rsidRPr="00BD3C31">
        <w:rPr>
          <w:lang w:val="en-GB"/>
        </w:rPr>
        <w:t xml:space="preserve"> Estimates of the cost to society of crimes committed varied widely</w:t>
      </w:r>
      <w:r w:rsidR="0059616B">
        <w:rPr>
          <w:lang w:val="en-GB"/>
        </w:rPr>
        <w:t>,</w:t>
      </w:r>
      <w:r w:rsidRPr="00BD3C31">
        <w:rPr>
          <w:lang w:val="en-GB"/>
        </w:rPr>
        <w:t xml:space="preserve"> from $2</w:t>
      </w:r>
      <w:r w:rsidR="008C58DF" w:rsidRPr="00BD3C31">
        <w:rPr>
          <w:lang w:val="en-GB"/>
        </w:rPr>
        <w:t>,</w:t>
      </w:r>
      <w:r w:rsidRPr="00BD3C31">
        <w:rPr>
          <w:lang w:val="en-GB"/>
        </w:rPr>
        <w:t xml:space="preserve">100 per incident for </w:t>
      </w:r>
      <w:r w:rsidR="00935DC4" w:rsidRPr="00BD3C31">
        <w:rPr>
          <w:lang w:val="en-GB"/>
        </w:rPr>
        <w:t>theft</w:t>
      </w:r>
      <w:r w:rsidRPr="00BD3C31">
        <w:rPr>
          <w:lang w:val="en-GB"/>
        </w:rPr>
        <w:t xml:space="preserve"> to $87,000 for assault to $8,650,000 for murder.</w:t>
      </w:r>
      <w:r w:rsidRPr="00BD3C31">
        <w:rPr>
          <w:rStyle w:val="EndnoteReference"/>
          <w:lang w:val="en-GB"/>
        </w:rPr>
        <w:endnoteReference w:id="28"/>
      </w:r>
      <w:r w:rsidRPr="00BD3C31">
        <w:rPr>
          <w:lang w:val="en-GB"/>
        </w:rPr>
        <w:t xml:space="preserve"> Other estimates suggested that, over a full career, men with bachelor</w:t>
      </w:r>
      <w:r w:rsidR="008C58DF" w:rsidRPr="00BD3C31">
        <w:rPr>
          <w:lang w:val="en-GB"/>
        </w:rPr>
        <w:t>’s</w:t>
      </w:r>
      <w:r w:rsidRPr="00BD3C31">
        <w:rPr>
          <w:lang w:val="en-GB"/>
        </w:rPr>
        <w:t xml:space="preserve"> degrees averaged $660,000 more in median lifetime earnings than did high</w:t>
      </w:r>
      <w:r w:rsidR="008C58DF" w:rsidRPr="00BD3C31">
        <w:rPr>
          <w:lang w:val="en-GB"/>
        </w:rPr>
        <w:t>-</w:t>
      </w:r>
      <w:r w:rsidRPr="00BD3C31">
        <w:rPr>
          <w:lang w:val="en-GB"/>
        </w:rPr>
        <w:t xml:space="preserve">school graduates, and </w:t>
      </w:r>
      <w:r w:rsidR="008C58DF" w:rsidRPr="00BD3C31">
        <w:rPr>
          <w:lang w:val="en-GB"/>
        </w:rPr>
        <w:t xml:space="preserve">for </w:t>
      </w:r>
      <w:r w:rsidRPr="00BD3C31">
        <w:rPr>
          <w:lang w:val="en-GB"/>
        </w:rPr>
        <w:t xml:space="preserve">women, </w:t>
      </w:r>
      <w:r w:rsidR="008C58DF" w:rsidRPr="00BD3C31">
        <w:rPr>
          <w:lang w:val="en-GB"/>
        </w:rPr>
        <w:t xml:space="preserve">it was </w:t>
      </w:r>
      <w:r w:rsidRPr="00BD3C31">
        <w:rPr>
          <w:lang w:val="en-GB"/>
        </w:rPr>
        <w:t>$450,000 more. For both men and women with some college education, the differential was $170,000.</w:t>
      </w:r>
      <w:r w:rsidRPr="00BD3C31">
        <w:rPr>
          <w:rStyle w:val="EndnoteReference"/>
          <w:lang w:val="en-GB"/>
        </w:rPr>
        <w:endnoteReference w:id="29"/>
      </w:r>
      <w:r w:rsidR="00BD3C31" w:rsidRPr="00BD3C31">
        <w:rPr>
          <w:lang w:val="en-GB"/>
        </w:rPr>
        <w:t xml:space="preserve"> </w:t>
      </w:r>
    </w:p>
    <w:p w14:paraId="42526607" w14:textId="098BE859" w:rsidR="007E7199" w:rsidRPr="00BD3C31" w:rsidRDefault="007E7199" w:rsidP="005860DE">
      <w:pPr>
        <w:pStyle w:val="BodyTextMain"/>
        <w:rPr>
          <w:lang w:val="en-GB"/>
        </w:rPr>
      </w:pPr>
    </w:p>
    <w:p w14:paraId="575D4572" w14:textId="77777777" w:rsidR="007E7199" w:rsidRPr="00BD3C31" w:rsidRDefault="007E7199" w:rsidP="005860DE">
      <w:pPr>
        <w:pStyle w:val="BodyTextMain"/>
        <w:rPr>
          <w:lang w:val="en-GB"/>
        </w:rPr>
      </w:pPr>
    </w:p>
    <w:p w14:paraId="6E20E565" w14:textId="562E9FCC" w:rsidR="007E7199" w:rsidRPr="00BD3C31" w:rsidRDefault="007E7199" w:rsidP="005860DE">
      <w:pPr>
        <w:pStyle w:val="Casehead1"/>
        <w:rPr>
          <w:lang w:val="en-GB"/>
        </w:rPr>
      </w:pPr>
      <w:r w:rsidRPr="00BD3C31">
        <w:rPr>
          <w:lang w:val="en-GB"/>
        </w:rPr>
        <w:t>Funding Challenges</w:t>
      </w:r>
    </w:p>
    <w:p w14:paraId="7EA804AB" w14:textId="77777777" w:rsidR="007E7199" w:rsidRPr="00BD3C31" w:rsidRDefault="007E7199" w:rsidP="005860DE">
      <w:pPr>
        <w:pStyle w:val="BodyTextMain"/>
        <w:rPr>
          <w:lang w:val="en-GB"/>
        </w:rPr>
      </w:pPr>
    </w:p>
    <w:p w14:paraId="7F0D3F23" w14:textId="1B5C28F6" w:rsidR="007E7199" w:rsidRPr="00BD3C31" w:rsidRDefault="007E7199" w:rsidP="005860DE">
      <w:pPr>
        <w:pStyle w:val="BodyTextMain"/>
        <w:rPr>
          <w:lang w:val="en-GB"/>
        </w:rPr>
      </w:pPr>
      <w:r w:rsidRPr="00BD3C31">
        <w:rPr>
          <w:lang w:val="en-GB"/>
        </w:rPr>
        <w:t xml:space="preserve">Despite the steady growth of </w:t>
      </w:r>
      <w:r w:rsidR="008903ED">
        <w:rPr>
          <w:lang w:val="en-GB"/>
        </w:rPr>
        <w:t xml:space="preserve">the Inside-Out </w:t>
      </w:r>
      <w:r w:rsidR="005C6492" w:rsidRPr="008903ED">
        <w:rPr>
          <w:lang w:val="en-GB"/>
        </w:rPr>
        <w:t>N</w:t>
      </w:r>
      <w:r w:rsidRPr="008903ED">
        <w:rPr>
          <w:lang w:val="en-GB"/>
        </w:rPr>
        <w:t>etwork</w:t>
      </w:r>
      <w:r w:rsidRPr="00BD3C31">
        <w:rPr>
          <w:lang w:val="en-GB"/>
        </w:rPr>
        <w:t xml:space="preserve"> and the passion of the students and instructors involved, </w:t>
      </w:r>
      <w:proofErr w:type="spellStart"/>
      <w:r w:rsidRPr="00BD3C31">
        <w:rPr>
          <w:lang w:val="en-GB"/>
        </w:rPr>
        <w:t>Pompa</w:t>
      </w:r>
      <w:proofErr w:type="spellEnd"/>
      <w:r w:rsidRPr="00BD3C31">
        <w:rPr>
          <w:lang w:val="en-GB"/>
        </w:rPr>
        <w:t xml:space="preserve"> worried about </w:t>
      </w:r>
      <w:r w:rsidR="00990429">
        <w:rPr>
          <w:lang w:val="en-GB"/>
        </w:rPr>
        <w:t>t</w:t>
      </w:r>
      <w:r w:rsidRPr="00BD3C31">
        <w:rPr>
          <w:lang w:val="en-GB"/>
        </w:rPr>
        <w:t xml:space="preserve">he Inside-Out </w:t>
      </w:r>
      <w:proofErr w:type="spellStart"/>
      <w:r w:rsidRPr="00BD3C31">
        <w:rPr>
          <w:lang w:val="en-GB"/>
        </w:rPr>
        <w:t>Center’s</w:t>
      </w:r>
      <w:proofErr w:type="spellEnd"/>
      <w:r w:rsidRPr="00BD3C31">
        <w:rPr>
          <w:lang w:val="en-GB"/>
        </w:rPr>
        <w:t xml:space="preserve"> sustainability. As costs rose, universities worried about class size, and Inside-</w:t>
      </w:r>
      <w:r w:rsidR="00990429">
        <w:rPr>
          <w:lang w:val="en-GB"/>
        </w:rPr>
        <w:t>O</w:t>
      </w:r>
      <w:r w:rsidRPr="00BD3C31">
        <w:rPr>
          <w:lang w:val="en-GB"/>
        </w:rPr>
        <w:t>ut classes typically had no more than 15 paying (outside) students to cover the cost of faculty time</w:t>
      </w:r>
      <w:r w:rsidR="003D181D" w:rsidRPr="00BD3C31">
        <w:rPr>
          <w:rFonts w:ascii="Arial" w:eastAsia="Calibri" w:hAnsi="Arial" w:cs="Arial"/>
          <w:lang w:val="en-GB"/>
        </w:rPr>
        <w:t>—</w:t>
      </w:r>
      <w:r w:rsidRPr="00BD3C31">
        <w:rPr>
          <w:lang w:val="en-GB"/>
        </w:rPr>
        <w:t>from $10,000 to more than $25,000 per course.</w:t>
      </w:r>
      <w:r w:rsidRPr="00BD3C31">
        <w:rPr>
          <w:rStyle w:val="EndnoteReference"/>
          <w:lang w:val="en-GB"/>
        </w:rPr>
        <w:endnoteReference w:id="30"/>
      </w:r>
      <w:r w:rsidRPr="00BD3C31">
        <w:rPr>
          <w:lang w:val="en-GB"/>
        </w:rPr>
        <w:t xml:space="preserve"> Prison wardens had more education offerings, including technology platforms, from which to choose. With the politicization of all discussion</w:t>
      </w:r>
      <w:r w:rsidR="009252A6">
        <w:rPr>
          <w:lang w:val="en-GB"/>
        </w:rPr>
        <w:t>s</w:t>
      </w:r>
      <w:r w:rsidRPr="00BD3C31">
        <w:rPr>
          <w:lang w:val="en-GB"/>
        </w:rPr>
        <w:t xml:space="preserve"> concerning prisons and race, there was an increased need to engage in public relations on behalf of </w:t>
      </w:r>
      <w:r w:rsidR="00B210CB" w:rsidRPr="00BD3C31">
        <w:rPr>
          <w:lang w:val="en-GB"/>
        </w:rPr>
        <w:t>t</w:t>
      </w:r>
      <w:r w:rsidRPr="00BD3C31">
        <w:rPr>
          <w:lang w:val="en-GB"/>
        </w:rPr>
        <w:t xml:space="preserve">he Inside-Out </w:t>
      </w:r>
      <w:proofErr w:type="spellStart"/>
      <w:r w:rsidRPr="00BD3C31">
        <w:rPr>
          <w:lang w:val="en-GB"/>
        </w:rPr>
        <w:t>Center’s</w:t>
      </w:r>
      <w:proofErr w:type="spellEnd"/>
      <w:r w:rsidRPr="00BD3C31">
        <w:rPr>
          <w:lang w:val="en-GB"/>
        </w:rPr>
        <w:t xml:space="preserve"> dialog</w:t>
      </w:r>
      <w:r w:rsidR="005C6492" w:rsidRPr="00BD3C31">
        <w:rPr>
          <w:lang w:val="en-GB"/>
        </w:rPr>
        <w:t>ue</w:t>
      </w:r>
      <w:r w:rsidRPr="00BD3C31">
        <w:rPr>
          <w:lang w:val="en-GB"/>
        </w:rPr>
        <w:t xml:space="preserve">-based approach. </w:t>
      </w:r>
      <w:r w:rsidR="009252A6">
        <w:rPr>
          <w:lang w:val="en-GB"/>
        </w:rPr>
        <w:t>E</w:t>
      </w:r>
      <w:r w:rsidRPr="00BD3C31">
        <w:rPr>
          <w:lang w:val="en-GB"/>
        </w:rPr>
        <w:t xml:space="preserve">ven Inside-Out’s growth </w:t>
      </w:r>
      <w:r w:rsidR="009252A6">
        <w:rPr>
          <w:lang w:val="en-GB"/>
        </w:rPr>
        <w:t xml:space="preserve">had </w:t>
      </w:r>
      <w:r w:rsidRPr="00BD3C31">
        <w:rPr>
          <w:lang w:val="en-GB"/>
        </w:rPr>
        <w:t xml:space="preserve">created challenges, </w:t>
      </w:r>
      <w:r w:rsidR="008903ED">
        <w:rPr>
          <w:lang w:val="en-GB"/>
        </w:rPr>
        <w:t xml:space="preserve">as the </w:t>
      </w:r>
      <w:r w:rsidR="008903ED" w:rsidRPr="00BD3C31">
        <w:rPr>
          <w:lang w:val="en-GB"/>
        </w:rPr>
        <w:t>already busy staff, computers systems, and travel budgets</w:t>
      </w:r>
      <w:r w:rsidR="008903ED">
        <w:rPr>
          <w:lang w:val="en-GB"/>
        </w:rPr>
        <w:t xml:space="preserve"> were stretched almost to the breaking point</w:t>
      </w:r>
      <w:r w:rsidR="008903ED" w:rsidRPr="00BD3C31">
        <w:rPr>
          <w:lang w:val="en-GB"/>
        </w:rPr>
        <w:t xml:space="preserve"> </w:t>
      </w:r>
      <w:r w:rsidRPr="00BD3C31">
        <w:rPr>
          <w:lang w:val="en-GB"/>
        </w:rPr>
        <w:t xml:space="preserve">as </w:t>
      </w:r>
      <w:r w:rsidR="008903ED">
        <w:rPr>
          <w:lang w:val="en-GB"/>
        </w:rPr>
        <w:t xml:space="preserve">they struggled to accommodate </w:t>
      </w:r>
      <w:r w:rsidRPr="00BD3C31">
        <w:rPr>
          <w:lang w:val="en-GB"/>
        </w:rPr>
        <w:t>the increases in instructors to be trained, partners to be managed, Think Tanks to be coordinated</w:t>
      </w:r>
      <w:r w:rsidR="00B210CB" w:rsidRPr="00BD3C31">
        <w:rPr>
          <w:lang w:val="en-GB"/>
        </w:rPr>
        <w:t>,</w:t>
      </w:r>
      <w:r w:rsidRPr="00BD3C31">
        <w:rPr>
          <w:lang w:val="en-GB"/>
        </w:rPr>
        <w:t xml:space="preserve"> and alumni to be engaged. </w:t>
      </w:r>
    </w:p>
    <w:p w14:paraId="40947255" w14:textId="77777777" w:rsidR="007E7199" w:rsidRPr="00BD3C31" w:rsidRDefault="007E7199" w:rsidP="005860DE">
      <w:pPr>
        <w:pStyle w:val="BodyTextMain"/>
        <w:rPr>
          <w:lang w:val="en-GB"/>
        </w:rPr>
      </w:pPr>
    </w:p>
    <w:p w14:paraId="49A89416" w14:textId="7CEC7DA9" w:rsidR="00EF789D" w:rsidRPr="00F9111B" w:rsidRDefault="007E7199" w:rsidP="005860DE">
      <w:pPr>
        <w:pStyle w:val="BodyTextMain"/>
        <w:rPr>
          <w:spacing w:val="-2"/>
          <w:lang w:val="en-GB"/>
        </w:rPr>
      </w:pPr>
      <w:r w:rsidRPr="00F9111B">
        <w:rPr>
          <w:spacing w:val="-2"/>
          <w:lang w:val="en-GB"/>
        </w:rPr>
        <w:t xml:space="preserve">Worst of all, funding was becoming ever more fickle. The partnership with Temple University had provided core support over the years, including access to office space and partial funding of </w:t>
      </w:r>
      <w:proofErr w:type="spellStart"/>
      <w:r w:rsidRPr="00F9111B">
        <w:rPr>
          <w:spacing w:val="-2"/>
          <w:lang w:val="en-GB"/>
        </w:rPr>
        <w:t>Pompa’s</w:t>
      </w:r>
      <w:proofErr w:type="spellEnd"/>
      <w:r w:rsidRPr="00F9111B">
        <w:rPr>
          <w:spacing w:val="-2"/>
          <w:lang w:val="en-GB"/>
        </w:rPr>
        <w:t xml:space="preserve"> salary, but the level of support varied with leadership changes and budgetary constraints, and centr</w:t>
      </w:r>
      <w:r w:rsidR="00DB4555" w:rsidRPr="00F9111B">
        <w:rPr>
          <w:spacing w:val="-2"/>
          <w:lang w:val="en-GB"/>
        </w:rPr>
        <w:t>e</w:t>
      </w:r>
      <w:r w:rsidRPr="00F9111B">
        <w:rPr>
          <w:spacing w:val="-2"/>
          <w:lang w:val="en-GB"/>
        </w:rPr>
        <w:t xml:space="preserve">s, including Inside-Out, </w:t>
      </w:r>
      <w:r w:rsidR="009252A6" w:rsidRPr="00F9111B">
        <w:rPr>
          <w:spacing w:val="-2"/>
          <w:lang w:val="en-GB"/>
        </w:rPr>
        <w:t xml:space="preserve">were being increasingly pressured </w:t>
      </w:r>
      <w:r w:rsidRPr="00F9111B">
        <w:rPr>
          <w:spacing w:val="-2"/>
          <w:lang w:val="en-GB"/>
        </w:rPr>
        <w:t xml:space="preserve">to </w:t>
      </w:r>
      <w:r w:rsidR="009252A6" w:rsidRPr="00F9111B">
        <w:rPr>
          <w:spacing w:val="-2"/>
          <w:lang w:val="en-GB"/>
        </w:rPr>
        <w:t>generate</w:t>
      </w:r>
      <w:r w:rsidRPr="00F9111B">
        <w:rPr>
          <w:spacing w:val="-2"/>
          <w:lang w:val="en-GB"/>
        </w:rPr>
        <w:t xml:space="preserve"> additional funds. Grants and donations were becoming harder to obtain and renew, putting more pressure on earned income from training programs to cover expenses. Over the years, </w:t>
      </w:r>
      <w:r w:rsidR="00B210CB" w:rsidRPr="00F9111B">
        <w:rPr>
          <w:spacing w:val="-2"/>
          <w:lang w:val="en-GB"/>
        </w:rPr>
        <w:t>t</w:t>
      </w:r>
      <w:r w:rsidRPr="00F9111B">
        <w:rPr>
          <w:spacing w:val="-2"/>
          <w:lang w:val="en-GB"/>
        </w:rPr>
        <w:t xml:space="preserve">he Inside-Out </w:t>
      </w:r>
      <w:proofErr w:type="spellStart"/>
      <w:r w:rsidRPr="00F9111B">
        <w:rPr>
          <w:spacing w:val="-2"/>
          <w:lang w:val="en-GB"/>
        </w:rPr>
        <w:t>Center</w:t>
      </w:r>
      <w:proofErr w:type="spellEnd"/>
      <w:r w:rsidRPr="00F9111B">
        <w:rPr>
          <w:spacing w:val="-2"/>
          <w:lang w:val="en-GB"/>
        </w:rPr>
        <w:t xml:space="preserve"> had secured a few large grants, but each lasted for </w:t>
      </w:r>
      <w:r w:rsidR="00B056E1" w:rsidRPr="00F9111B">
        <w:rPr>
          <w:spacing w:val="-2"/>
          <w:lang w:val="en-GB"/>
        </w:rPr>
        <w:t xml:space="preserve">only </w:t>
      </w:r>
      <w:r w:rsidRPr="00F9111B">
        <w:rPr>
          <w:spacing w:val="-2"/>
          <w:lang w:val="en-GB"/>
        </w:rPr>
        <w:t xml:space="preserve">a limited time, often because </w:t>
      </w:r>
      <w:r w:rsidR="009252A6" w:rsidRPr="00F9111B">
        <w:rPr>
          <w:spacing w:val="-2"/>
          <w:lang w:val="en-GB"/>
        </w:rPr>
        <w:t xml:space="preserve">the </w:t>
      </w:r>
      <w:r w:rsidRPr="00F9111B">
        <w:rPr>
          <w:spacing w:val="-2"/>
          <w:lang w:val="en-GB"/>
        </w:rPr>
        <w:t>foundation priorities changed. Complicating matters, foundations (and even individual donors) increasingly asked for rigorous, often quantitative, measures of impact. In a 2017 survey, 98</w:t>
      </w:r>
      <w:r w:rsidR="00B210CB" w:rsidRPr="00F9111B">
        <w:rPr>
          <w:spacing w:val="-2"/>
          <w:lang w:val="en-GB"/>
        </w:rPr>
        <w:t xml:space="preserve"> per cent</w:t>
      </w:r>
      <w:r w:rsidRPr="00F9111B">
        <w:rPr>
          <w:spacing w:val="-2"/>
          <w:lang w:val="en-GB"/>
        </w:rPr>
        <w:t xml:space="preserve"> of funders said that impact was among their top three considerations when awarding grants, while 88</w:t>
      </w:r>
      <w:r w:rsidR="00B210CB" w:rsidRPr="00F9111B">
        <w:rPr>
          <w:spacing w:val="-2"/>
          <w:lang w:val="en-GB"/>
        </w:rPr>
        <w:t xml:space="preserve"> per </w:t>
      </w:r>
      <w:r w:rsidR="00DB4555" w:rsidRPr="00F9111B">
        <w:rPr>
          <w:spacing w:val="-2"/>
          <w:lang w:val="en-GB"/>
        </w:rPr>
        <w:t>c</w:t>
      </w:r>
      <w:r w:rsidR="00B210CB" w:rsidRPr="00F9111B">
        <w:rPr>
          <w:spacing w:val="-2"/>
          <w:lang w:val="en-GB"/>
        </w:rPr>
        <w:t>ent</w:t>
      </w:r>
      <w:r w:rsidRPr="00F9111B">
        <w:rPr>
          <w:spacing w:val="-2"/>
          <w:lang w:val="en-GB"/>
        </w:rPr>
        <w:t xml:space="preserve"> of respondents said they prioritized program outcomes in their review of non</w:t>
      </w:r>
      <w:r w:rsidR="009252A6" w:rsidRPr="00F9111B">
        <w:rPr>
          <w:spacing w:val="-2"/>
          <w:lang w:val="en-GB"/>
        </w:rPr>
        <w:t>-</w:t>
      </w:r>
      <w:r w:rsidRPr="00F9111B">
        <w:rPr>
          <w:spacing w:val="-2"/>
          <w:lang w:val="en-GB"/>
        </w:rPr>
        <w:t>profit reports.</w:t>
      </w:r>
      <w:r w:rsidRPr="00F9111B">
        <w:rPr>
          <w:rStyle w:val="EndnoteReference"/>
          <w:spacing w:val="-2"/>
          <w:lang w:val="en-GB"/>
        </w:rPr>
        <w:endnoteReference w:id="31"/>
      </w:r>
      <w:r w:rsidRPr="00F9111B">
        <w:rPr>
          <w:spacing w:val="-2"/>
          <w:lang w:val="en-GB"/>
        </w:rPr>
        <w:t xml:space="preserve"> </w:t>
      </w:r>
    </w:p>
    <w:p w14:paraId="74B3B4FC" w14:textId="77777777" w:rsidR="00EF789D" w:rsidRPr="00BD3C31" w:rsidRDefault="00EF789D" w:rsidP="005860DE">
      <w:pPr>
        <w:pStyle w:val="BodyTextMain"/>
        <w:rPr>
          <w:lang w:val="en-GB"/>
        </w:rPr>
      </w:pPr>
    </w:p>
    <w:p w14:paraId="3A3C0DD6" w14:textId="42EDDA39" w:rsidR="007E7199" w:rsidRDefault="007E7199" w:rsidP="005860DE">
      <w:pPr>
        <w:pStyle w:val="BodyTextMain"/>
        <w:rPr>
          <w:lang w:val="en-GB"/>
        </w:rPr>
      </w:pPr>
      <w:r w:rsidRPr="00BD3C31">
        <w:rPr>
          <w:lang w:val="en-GB"/>
        </w:rPr>
        <w:t xml:space="preserve">Finally, </w:t>
      </w:r>
      <w:r w:rsidR="00B210CB" w:rsidRPr="00BD3C31">
        <w:rPr>
          <w:lang w:val="en-GB"/>
        </w:rPr>
        <w:t>t</w:t>
      </w:r>
      <w:r w:rsidRPr="00BD3C31">
        <w:rPr>
          <w:lang w:val="en-GB"/>
        </w:rPr>
        <w:t xml:space="preserve">he Inside-Out </w:t>
      </w:r>
      <w:proofErr w:type="spellStart"/>
      <w:r w:rsidRPr="00BD3C31">
        <w:rPr>
          <w:lang w:val="en-GB"/>
        </w:rPr>
        <w:t>Center</w:t>
      </w:r>
      <w:proofErr w:type="spellEnd"/>
      <w:r w:rsidRPr="00BD3C31">
        <w:rPr>
          <w:lang w:val="en-GB"/>
        </w:rPr>
        <w:t xml:space="preserve"> struggled to secure the resources and staff required to track down and engage its alumni bas</w:t>
      </w:r>
      <w:r w:rsidR="00B210CB" w:rsidRPr="00BD3C31">
        <w:rPr>
          <w:lang w:val="en-GB"/>
        </w:rPr>
        <w:t>e</w:t>
      </w:r>
      <w:r w:rsidR="00B210CB" w:rsidRPr="00BD3C31">
        <w:rPr>
          <w:rFonts w:eastAsia="Calibri"/>
          <w:lang w:val="en-GB"/>
        </w:rPr>
        <w:t>—</w:t>
      </w:r>
      <w:r w:rsidRPr="00BD3C31">
        <w:rPr>
          <w:lang w:val="en-GB"/>
        </w:rPr>
        <w:t>a task made all the more difficult by the realities that the alumni were young and/or incarcerated</w:t>
      </w:r>
      <w:r w:rsidR="00B210CB" w:rsidRPr="00BD3C31">
        <w:rPr>
          <w:lang w:val="en-GB"/>
        </w:rPr>
        <w:t>,</w:t>
      </w:r>
      <w:r w:rsidRPr="00BD3C31">
        <w:rPr>
          <w:lang w:val="en-GB"/>
        </w:rPr>
        <w:t xml:space="preserve"> and that they identified with local Inside-Out programs rather than with the international </w:t>
      </w:r>
      <w:r w:rsidR="008903ED">
        <w:rPr>
          <w:lang w:val="en-GB"/>
        </w:rPr>
        <w:t xml:space="preserve">Inside-Out </w:t>
      </w:r>
      <w:r w:rsidR="00DB4555" w:rsidRPr="00BD3C31">
        <w:rPr>
          <w:lang w:val="en-GB"/>
        </w:rPr>
        <w:t>N</w:t>
      </w:r>
      <w:r w:rsidRPr="00BD3C31">
        <w:rPr>
          <w:lang w:val="en-GB"/>
        </w:rPr>
        <w:t>etwork.</w:t>
      </w:r>
    </w:p>
    <w:p w14:paraId="39D9846A" w14:textId="68B9A9D3" w:rsidR="00AB21C1" w:rsidRDefault="00AB21C1" w:rsidP="005860DE">
      <w:pPr>
        <w:pStyle w:val="BodyTextMain"/>
        <w:rPr>
          <w:lang w:val="en-GB"/>
        </w:rPr>
      </w:pPr>
    </w:p>
    <w:p w14:paraId="35B50342" w14:textId="77777777" w:rsidR="00AB21C1" w:rsidRPr="00BD3C31" w:rsidRDefault="00AB21C1" w:rsidP="005860DE">
      <w:pPr>
        <w:pStyle w:val="BodyTextMain"/>
        <w:rPr>
          <w:lang w:val="en-GB"/>
        </w:rPr>
      </w:pPr>
    </w:p>
    <w:p w14:paraId="67B6B28E" w14:textId="77777777" w:rsidR="007E7199" w:rsidRPr="00BD3C31" w:rsidRDefault="007E7199" w:rsidP="00F66BCC">
      <w:pPr>
        <w:pStyle w:val="Casehead1"/>
        <w:keepNext/>
        <w:rPr>
          <w:lang w:val="en-GB"/>
        </w:rPr>
      </w:pPr>
      <w:r w:rsidRPr="00BD3C31">
        <w:rPr>
          <w:lang w:val="en-GB"/>
        </w:rPr>
        <w:t>Measuring Inside-Out’s Impact</w:t>
      </w:r>
    </w:p>
    <w:p w14:paraId="3170A24E" w14:textId="77777777" w:rsidR="007E7199" w:rsidRPr="00AB21C1" w:rsidRDefault="007E7199" w:rsidP="00F66BCC">
      <w:pPr>
        <w:pStyle w:val="BodyTextMain"/>
        <w:keepNext/>
        <w:rPr>
          <w:lang w:val="en-GB"/>
        </w:rPr>
      </w:pPr>
    </w:p>
    <w:p w14:paraId="66ECF0BD" w14:textId="647A43CA" w:rsidR="005860DE" w:rsidRPr="00AB21C1" w:rsidRDefault="007E7199" w:rsidP="00F66BCC">
      <w:pPr>
        <w:pStyle w:val="BodyTextMain"/>
        <w:keepNext/>
        <w:rPr>
          <w:spacing w:val="-2"/>
          <w:lang w:val="en-GB"/>
        </w:rPr>
      </w:pPr>
      <w:r w:rsidRPr="00AB21C1">
        <w:rPr>
          <w:spacing w:val="-2"/>
          <w:lang w:val="en-GB"/>
        </w:rPr>
        <w:t>Measuring the impact on inside students was a delicate proposition. The Inside-Out program prided itself on treating people in prison as people, in contrast to the correctional system</w:t>
      </w:r>
      <w:r w:rsidR="00F31C8C" w:rsidRPr="00AB21C1">
        <w:rPr>
          <w:spacing w:val="-2"/>
          <w:lang w:val="en-GB"/>
        </w:rPr>
        <w:t>,</w:t>
      </w:r>
      <w:r w:rsidRPr="00AB21C1">
        <w:rPr>
          <w:spacing w:val="-2"/>
          <w:lang w:val="en-GB"/>
        </w:rPr>
        <w:t xml:space="preserve"> which literally referred to incarcerated individuals by their inmate numbers. Historically, people in prison had been used in studies without their consent, which reinforced the need for </w:t>
      </w:r>
      <w:r w:rsidR="00AB72F9" w:rsidRPr="00AB21C1">
        <w:rPr>
          <w:spacing w:val="-2"/>
          <w:lang w:val="en-GB"/>
        </w:rPr>
        <w:t>t</w:t>
      </w:r>
      <w:r w:rsidRPr="00AB21C1">
        <w:rPr>
          <w:spacing w:val="-2"/>
          <w:lang w:val="en-GB"/>
        </w:rPr>
        <w:t xml:space="preserve">he Inside-Out </w:t>
      </w:r>
      <w:proofErr w:type="spellStart"/>
      <w:r w:rsidRPr="00AB21C1">
        <w:rPr>
          <w:spacing w:val="-2"/>
          <w:lang w:val="en-GB"/>
        </w:rPr>
        <w:t>Center</w:t>
      </w:r>
      <w:proofErr w:type="spellEnd"/>
      <w:r w:rsidRPr="00AB21C1">
        <w:rPr>
          <w:spacing w:val="-2"/>
          <w:lang w:val="en-GB"/>
        </w:rPr>
        <w:t xml:space="preserve"> to be clear about its methods and </w:t>
      </w:r>
      <w:r w:rsidRPr="00AB21C1">
        <w:rPr>
          <w:spacing w:val="-2"/>
          <w:lang w:val="en-GB"/>
        </w:rPr>
        <w:lastRenderedPageBreak/>
        <w:t xml:space="preserve">goals if </w:t>
      </w:r>
      <w:r w:rsidR="009252A6" w:rsidRPr="00AB21C1">
        <w:rPr>
          <w:spacing w:val="-2"/>
          <w:lang w:val="en-GB"/>
        </w:rPr>
        <w:t xml:space="preserve">it </w:t>
      </w:r>
      <w:r w:rsidRPr="00AB21C1">
        <w:rPr>
          <w:spacing w:val="-2"/>
          <w:lang w:val="en-GB"/>
        </w:rPr>
        <w:t>did choose to begin collecting data. Federal regulations and university practices seriously restricted the study of “vulnerable populations,” including people in prison.</w:t>
      </w:r>
      <w:r w:rsidRPr="00AB21C1">
        <w:rPr>
          <w:rStyle w:val="EndnoteReference"/>
          <w:spacing w:val="-2"/>
          <w:lang w:val="en-GB"/>
        </w:rPr>
        <w:endnoteReference w:id="32"/>
      </w:r>
      <w:r w:rsidRPr="00AB21C1">
        <w:rPr>
          <w:spacing w:val="-2"/>
          <w:lang w:val="en-GB"/>
        </w:rPr>
        <w:t xml:space="preserve"> </w:t>
      </w:r>
      <w:r w:rsidR="005860DE" w:rsidRPr="00AB21C1">
        <w:rPr>
          <w:spacing w:val="-2"/>
          <w:lang w:val="en-GB"/>
        </w:rPr>
        <w:t xml:space="preserve">The </w:t>
      </w:r>
      <w:r w:rsidR="00F9111B" w:rsidRPr="00AB21C1">
        <w:rPr>
          <w:spacing w:val="-2"/>
          <w:lang w:val="en-GB"/>
        </w:rPr>
        <w:t xml:space="preserve">Inside-Out </w:t>
      </w:r>
      <w:proofErr w:type="spellStart"/>
      <w:r w:rsidR="00F9111B" w:rsidRPr="00AB21C1">
        <w:rPr>
          <w:spacing w:val="-2"/>
          <w:lang w:val="en-GB"/>
        </w:rPr>
        <w:t>Center</w:t>
      </w:r>
      <w:proofErr w:type="spellEnd"/>
      <w:r w:rsidR="005860DE" w:rsidRPr="00AB21C1">
        <w:rPr>
          <w:spacing w:val="-2"/>
          <w:lang w:val="en-GB"/>
        </w:rPr>
        <w:t xml:space="preserve"> also shied away from measuring recidivism, citing the intense pressure people faced upon their release. “I’m not under the illusion that this is a silver bullet,” </w:t>
      </w:r>
      <w:proofErr w:type="spellStart"/>
      <w:r w:rsidR="005860DE" w:rsidRPr="00AB21C1">
        <w:rPr>
          <w:spacing w:val="-2"/>
          <w:lang w:val="en-GB"/>
        </w:rPr>
        <w:t>Pompa</w:t>
      </w:r>
      <w:proofErr w:type="spellEnd"/>
      <w:r w:rsidR="005860DE" w:rsidRPr="00AB21C1">
        <w:rPr>
          <w:spacing w:val="-2"/>
          <w:lang w:val="en-GB"/>
        </w:rPr>
        <w:t xml:space="preserve"> said. “When somebody gets out of prison, there are so many variables hitting them. There is no way that a 15-week class is able to stand up against those variables.”</w:t>
      </w:r>
    </w:p>
    <w:p w14:paraId="7EEEF4EF" w14:textId="77777777" w:rsidR="005860DE" w:rsidRPr="00AB21C1" w:rsidRDefault="005860DE" w:rsidP="00AB21C1">
      <w:pPr>
        <w:pStyle w:val="BodyTextMain"/>
      </w:pPr>
    </w:p>
    <w:p w14:paraId="2ADC65DE" w14:textId="60FA9571" w:rsidR="005860DE" w:rsidRPr="00BD3C31" w:rsidRDefault="005860DE" w:rsidP="005860DE">
      <w:pPr>
        <w:pStyle w:val="BodyTextMain"/>
        <w:rPr>
          <w:lang w:val="en-GB"/>
        </w:rPr>
      </w:pPr>
      <w:r w:rsidRPr="00BD3C31">
        <w:rPr>
          <w:lang w:val="en-GB"/>
        </w:rPr>
        <w:t>Measuring the impact on outside students was similarly challenging</w:t>
      </w:r>
      <w:r w:rsidR="009252A6">
        <w:rPr>
          <w:lang w:val="en-GB"/>
        </w:rPr>
        <w:t>,</w:t>
      </w:r>
      <w:r w:rsidRPr="00BD3C31">
        <w:rPr>
          <w:lang w:val="en-GB"/>
        </w:rPr>
        <w:t xml:space="preserve"> </w:t>
      </w:r>
      <w:r w:rsidR="009252A6">
        <w:rPr>
          <w:lang w:val="en-GB"/>
        </w:rPr>
        <w:t>as the</w:t>
      </w:r>
      <w:r w:rsidRPr="00BD3C31">
        <w:rPr>
          <w:lang w:val="en-GB"/>
        </w:rPr>
        <w:t xml:space="preserve"> Inside-Out courses were </w:t>
      </w:r>
      <w:r w:rsidR="00AB72F9" w:rsidRPr="00BD3C31">
        <w:rPr>
          <w:lang w:val="en-GB"/>
        </w:rPr>
        <w:t>b</w:t>
      </w:r>
      <w:r w:rsidRPr="00BD3C31">
        <w:rPr>
          <w:lang w:val="en-GB"/>
        </w:rPr>
        <w:t xml:space="preserve">ut one part of the college experience. And measuring the impact of the </w:t>
      </w:r>
      <w:r w:rsidR="00B056E1">
        <w:rPr>
          <w:lang w:val="en-GB"/>
        </w:rPr>
        <w:t>Inside-Out N</w:t>
      </w:r>
      <w:r w:rsidRPr="00BD3C31">
        <w:rPr>
          <w:lang w:val="en-GB"/>
        </w:rPr>
        <w:t xml:space="preserve">etwork was harder still, with </w:t>
      </w:r>
      <w:r w:rsidR="00B056E1">
        <w:rPr>
          <w:lang w:val="en-GB"/>
        </w:rPr>
        <w:t>its</w:t>
      </w:r>
      <w:r w:rsidR="00B056E1" w:rsidRPr="00BD3C31">
        <w:rPr>
          <w:lang w:val="en-GB"/>
        </w:rPr>
        <w:t xml:space="preserve"> </w:t>
      </w:r>
      <w:r w:rsidRPr="00BD3C31">
        <w:rPr>
          <w:lang w:val="en-GB"/>
        </w:rPr>
        <w:t>alumni dispersed across a dozen countries and multiple prison systems.</w:t>
      </w:r>
    </w:p>
    <w:p w14:paraId="6D032984" w14:textId="77777777" w:rsidR="00AB72F9" w:rsidRPr="00AB21C1" w:rsidRDefault="00AB72F9" w:rsidP="00AB21C1">
      <w:pPr>
        <w:pStyle w:val="BodyTextMain"/>
      </w:pPr>
    </w:p>
    <w:p w14:paraId="643CBC01" w14:textId="52438098" w:rsidR="005860DE" w:rsidRPr="00BD3C31" w:rsidRDefault="005860DE" w:rsidP="005860DE">
      <w:pPr>
        <w:pStyle w:val="BodyTextMain"/>
        <w:rPr>
          <w:lang w:val="en-GB"/>
        </w:rPr>
      </w:pPr>
      <w:r w:rsidRPr="00BD3C31">
        <w:rPr>
          <w:lang w:val="en-GB"/>
        </w:rPr>
        <w:t>Reflecting these realities, many staff and Think Tank members argued passionately that the power of Inside-Out was in the transformation of individual participants,</w:t>
      </w:r>
      <w:r w:rsidR="005152A1" w:rsidRPr="00BD3C31">
        <w:rPr>
          <w:lang w:val="en-GB"/>
        </w:rPr>
        <w:t xml:space="preserve"> both</w:t>
      </w:r>
      <w:r w:rsidRPr="00BD3C31">
        <w:rPr>
          <w:lang w:val="en-GB"/>
        </w:rPr>
        <w:t xml:space="preserve"> inside and outside, and so was best captured in storie</w:t>
      </w:r>
      <w:r w:rsidR="00AB72F9" w:rsidRPr="00BD3C31">
        <w:rPr>
          <w:lang w:val="en-GB"/>
        </w:rPr>
        <w:t>s</w:t>
      </w:r>
      <w:r w:rsidRPr="00BD3C31">
        <w:rPr>
          <w:lang w:val="en-GB"/>
        </w:rPr>
        <w:t xml:space="preserve">, not numbers. Further, some suggested that trying to capture the experience in numbers might detract from Inside-Out’s mission and culture. </w:t>
      </w:r>
    </w:p>
    <w:p w14:paraId="51D3B6D9" w14:textId="77777777" w:rsidR="005860DE" w:rsidRPr="00AB21C1" w:rsidRDefault="005860DE" w:rsidP="00AB21C1">
      <w:pPr>
        <w:pStyle w:val="BodyTextMain"/>
      </w:pPr>
    </w:p>
    <w:p w14:paraId="090561B6" w14:textId="282CD282" w:rsidR="005860DE" w:rsidRPr="00F9111B" w:rsidRDefault="005860DE" w:rsidP="005860DE">
      <w:pPr>
        <w:pStyle w:val="BodyTextMain"/>
        <w:rPr>
          <w:spacing w:val="-2"/>
          <w:lang w:val="en-GB"/>
        </w:rPr>
      </w:pPr>
      <w:r w:rsidRPr="00F9111B">
        <w:rPr>
          <w:spacing w:val="-2"/>
          <w:lang w:val="en-GB"/>
        </w:rPr>
        <w:t>When reporting program results, Inside-Out had long focused on stories. Students completing surveys at the end of each course regularly reported that the course had changed their lives, affected their majors and career choices, and impacted their perspectives on criminal justice and themselves. Informally, several correctional institutions and Think Tanks had reported improved behavio</w:t>
      </w:r>
      <w:r w:rsidR="005152A1" w:rsidRPr="00F9111B">
        <w:rPr>
          <w:spacing w:val="-2"/>
          <w:lang w:val="en-GB"/>
        </w:rPr>
        <w:t>u</w:t>
      </w:r>
      <w:r w:rsidRPr="00F9111B">
        <w:rPr>
          <w:spacing w:val="-2"/>
          <w:lang w:val="en-GB"/>
        </w:rPr>
        <w:t xml:space="preserve">r and increased leadership internally following Inside-Out courses, but there were no systematic records. Further, while these stories were inspiring, they captured </w:t>
      </w:r>
      <w:r w:rsidR="009252A6" w:rsidRPr="00F9111B">
        <w:rPr>
          <w:spacing w:val="-2"/>
          <w:lang w:val="en-GB"/>
        </w:rPr>
        <w:t xml:space="preserve">only </w:t>
      </w:r>
      <w:r w:rsidRPr="00F9111B">
        <w:rPr>
          <w:spacing w:val="-2"/>
          <w:lang w:val="en-GB"/>
        </w:rPr>
        <w:t>short-term impact</w:t>
      </w:r>
      <w:r w:rsidR="005152A1" w:rsidRPr="00F9111B">
        <w:rPr>
          <w:spacing w:val="-2"/>
          <w:lang w:val="en-GB"/>
        </w:rPr>
        <w:t>s</w:t>
      </w:r>
      <w:r w:rsidRPr="00F9111B">
        <w:rPr>
          <w:spacing w:val="-2"/>
          <w:lang w:val="en-GB"/>
        </w:rPr>
        <w:t xml:space="preserve">. Several times, </w:t>
      </w:r>
      <w:proofErr w:type="spellStart"/>
      <w:r w:rsidRPr="00F9111B">
        <w:rPr>
          <w:spacing w:val="-2"/>
          <w:lang w:val="en-GB"/>
        </w:rPr>
        <w:t>Pompa</w:t>
      </w:r>
      <w:proofErr w:type="spellEnd"/>
      <w:r w:rsidRPr="00F9111B">
        <w:rPr>
          <w:spacing w:val="-2"/>
          <w:lang w:val="en-GB"/>
        </w:rPr>
        <w:t xml:space="preserve"> and her team had attempted to follow up with instructors to </w:t>
      </w:r>
      <w:r w:rsidR="009F73D6" w:rsidRPr="00F9111B">
        <w:rPr>
          <w:spacing w:val="-2"/>
          <w:lang w:val="en-GB"/>
        </w:rPr>
        <w:t>learn</w:t>
      </w:r>
      <w:r w:rsidRPr="00F9111B">
        <w:rPr>
          <w:spacing w:val="-2"/>
          <w:lang w:val="en-GB"/>
        </w:rPr>
        <w:t xml:space="preserve"> what impacts they had noticed related to their classes. “We really wanted to put a finger on the lasting impact,” </w:t>
      </w:r>
      <w:r w:rsidR="009252A6" w:rsidRPr="00F9111B">
        <w:rPr>
          <w:spacing w:val="-2"/>
          <w:lang w:val="en-GB"/>
        </w:rPr>
        <w:t xml:space="preserve">Krueger </w:t>
      </w:r>
      <w:r w:rsidRPr="00F9111B">
        <w:rPr>
          <w:spacing w:val="-2"/>
          <w:lang w:val="en-GB"/>
        </w:rPr>
        <w:t>said, “to see what [the experience] means five years from now.” Unfortunately, these attempts to collect impact data were limited due to lack of resources and staff time.</w:t>
      </w:r>
    </w:p>
    <w:p w14:paraId="58A580AA" w14:textId="77777777" w:rsidR="005860DE" w:rsidRPr="00AB21C1" w:rsidRDefault="005860DE" w:rsidP="00AB21C1">
      <w:pPr>
        <w:pStyle w:val="BodyTextMain"/>
      </w:pPr>
    </w:p>
    <w:p w14:paraId="2E823373" w14:textId="110A31A6" w:rsidR="005860DE" w:rsidRPr="00F9111B" w:rsidRDefault="005860DE" w:rsidP="005860DE">
      <w:pPr>
        <w:pStyle w:val="BodyTextMain"/>
        <w:rPr>
          <w:spacing w:val="-2"/>
          <w:lang w:val="en-GB"/>
        </w:rPr>
      </w:pPr>
      <w:r w:rsidRPr="00F9111B">
        <w:rPr>
          <w:spacing w:val="-2"/>
          <w:lang w:val="en-GB"/>
        </w:rPr>
        <w:t>Finally, questions of ownership and impact emerged from the question</w:t>
      </w:r>
      <w:r w:rsidR="00F31C8C" w:rsidRPr="00F9111B">
        <w:rPr>
          <w:spacing w:val="-2"/>
          <w:lang w:val="en-GB"/>
        </w:rPr>
        <w:t>s</w:t>
      </w:r>
      <w:r w:rsidRPr="00F9111B">
        <w:rPr>
          <w:spacing w:val="-2"/>
          <w:lang w:val="en-GB"/>
        </w:rPr>
        <w:t xml:space="preserve"> about measurement. Who were the numbers for</w:t>
      </w:r>
      <w:r w:rsidR="009252A6" w:rsidRPr="00F9111B">
        <w:rPr>
          <w:spacing w:val="-2"/>
          <w:lang w:val="en-GB"/>
        </w:rPr>
        <w:t>,</w:t>
      </w:r>
      <w:r w:rsidRPr="00F9111B">
        <w:rPr>
          <w:spacing w:val="-2"/>
          <w:lang w:val="en-GB"/>
        </w:rPr>
        <w:t xml:space="preserve"> and how could Inside-Out maintain control over</w:t>
      </w:r>
      <w:r w:rsidR="005152A1" w:rsidRPr="00F9111B">
        <w:rPr>
          <w:spacing w:val="-2"/>
          <w:lang w:val="en-GB"/>
        </w:rPr>
        <w:t xml:space="preserve">, </w:t>
      </w:r>
      <w:r w:rsidRPr="00F9111B">
        <w:rPr>
          <w:spacing w:val="-2"/>
          <w:lang w:val="en-GB"/>
        </w:rPr>
        <w:t>access to</w:t>
      </w:r>
      <w:r w:rsidR="005152A1" w:rsidRPr="00F9111B">
        <w:rPr>
          <w:spacing w:val="-2"/>
          <w:lang w:val="en-GB"/>
        </w:rPr>
        <w:t>, and</w:t>
      </w:r>
      <w:r w:rsidRPr="00F9111B">
        <w:rPr>
          <w:spacing w:val="-2"/>
          <w:lang w:val="en-GB"/>
        </w:rPr>
        <w:t xml:space="preserve"> the use and interpretation of the measures? Would funders interpret the measures the same way th</w:t>
      </w:r>
      <w:bookmarkStart w:id="2" w:name="_GoBack"/>
      <w:bookmarkEnd w:id="2"/>
      <w:r w:rsidRPr="00F9111B">
        <w:rPr>
          <w:spacing w:val="-2"/>
          <w:lang w:val="en-GB"/>
        </w:rPr>
        <w:t>at Inside-Out did? Would prison officials or governments or competitor programs gain access to the measures? In the highly controlled world of prisons, a world in which even small events or missteps could be amplified, Inside-Out had been extremely careful to preserve its standards and control its story. Would an attempt to quantify impact in any way distort or distract from the Inside-Out experience</w:t>
      </w:r>
      <w:r w:rsidR="005152A1" w:rsidRPr="00F9111B">
        <w:rPr>
          <w:spacing w:val="-2"/>
          <w:lang w:val="en-GB"/>
        </w:rPr>
        <w:t>s</w:t>
      </w:r>
      <w:r w:rsidRPr="00F9111B">
        <w:rPr>
          <w:spacing w:val="-2"/>
          <w:lang w:val="en-GB"/>
        </w:rPr>
        <w:t xml:space="preserve"> and effect</w:t>
      </w:r>
      <w:r w:rsidR="005152A1" w:rsidRPr="00F9111B">
        <w:rPr>
          <w:spacing w:val="-2"/>
          <w:lang w:val="en-GB"/>
        </w:rPr>
        <w:t>s</w:t>
      </w:r>
      <w:r w:rsidRPr="00F9111B">
        <w:rPr>
          <w:spacing w:val="-2"/>
          <w:lang w:val="en-GB"/>
        </w:rPr>
        <w:t xml:space="preserve"> that the measurement was meant to convey?</w:t>
      </w:r>
    </w:p>
    <w:p w14:paraId="4CCEDFA8" w14:textId="5D22EDBD" w:rsidR="00EF789D" w:rsidRPr="00AB21C1" w:rsidRDefault="00EF789D" w:rsidP="00AB21C1">
      <w:pPr>
        <w:pStyle w:val="BodyTextMain"/>
      </w:pPr>
    </w:p>
    <w:p w14:paraId="200760B3" w14:textId="77777777" w:rsidR="00EF789D" w:rsidRPr="00AB21C1" w:rsidRDefault="00EF789D" w:rsidP="00AB21C1">
      <w:pPr>
        <w:pStyle w:val="BodyTextMain"/>
      </w:pPr>
    </w:p>
    <w:p w14:paraId="183A42D0" w14:textId="3EA3E10C" w:rsidR="005860DE" w:rsidRPr="00BD3C31" w:rsidRDefault="005860DE" w:rsidP="00EF789D">
      <w:pPr>
        <w:pStyle w:val="Casehead1"/>
        <w:rPr>
          <w:lang w:val="en-GB"/>
        </w:rPr>
      </w:pPr>
      <w:r w:rsidRPr="00BD3C31">
        <w:rPr>
          <w:lang w:val="en-GB"/>
        </w:rPr>
        <w:t>Next Steps</w:t>
      </w:r>
    </w:p>
    <w:p w14:paraId="6E688203" w14:textId="77777777" w:rsidR="005860DE" w:rsidRPr="00AB21C1" w:rsidRDefault="005860DE" w:rsidP="00AB21C1">
      <w:pPr>
        <w:pStyle w:val="BodyTextMain"/>
      </w:pPr>
    </w:p>
    <w:p w14:paraId="7ADC8F6A" w14:textId="76DDEBD2" w:rsidR="009B2D7F" w:rsidRPr="00BD3C31" w:rsidRDefault="005860DE" w:rsidP="00F66BCC">
      <w:pPr>
        <w:pStyle w:val="BodyTextMain"/>
        <w:rPr>
          <w:lang w:val="en-GB"/>
        </w:rPr>
      </w:pPr>
      <w:r w:rsidRPr="00BD3C31">
        <w:rPr>
          <w:lang w:val="en-GB"/>
        </w:rPr>
        <w:t xml:space="preserve">As </w:t>
      </w:r>
      <w:proofErr w:type="spellStart"/>
      <w:r w:rsidRPr="00BD3C31">
        <w:rPr>
          <w:lang w:val="en-GB"/>
        </w:rPr>
        <w:t>Pompa</w:t>
      </w:r>
      <w:proofErr w:type="spellEnd"/>
      <w:r w:rsidRPr="00BD3C31">
        <w:rPr>
          <w:lang w:val="en-GB"/>
        </w:rPr>
        <w:t xml:space="preserve"> prepared for 2019, with 10 training sessions scheduled in several countries, a number of new Think Tanks emerging, and efforts to connect with alumni expanding, she knew something </w:t>
      </w:r>
      <w:r w:rsidR="00FE4A70">
        <w:rPr>
          <w:lang w:val="en-GB"/>
        </w:rPr>
        <w:t>needed</w:t>
      </w:r>
      <w:r w:rsidR="00FE4A70" w:rsidRPr="00BD3C31">
        <w:rPr>
          <w:lang w:val="en-GB"/>
        </w:rPr>
        <w:t xml:space="preserve"> </w:t>
      </w:r>
      <w:r w:rsidRPr="00BD3C31">
        <w:rPr>
          <w:lang w:val="en-GB"/>
        </w:rPr>
        <w:t xml:space="preserve">to change. The </w:t>
      </w:r>
      <w:r w:rsidR="005E56C8">
        <w:rPr>
          <w:lang w:val="en-GB"/>
        </w:rPr>
        <w:t>p</w:t>
      </w:r>
      <w:r w:rsidR="005E56C8" w:rsidRPr="00BD3C31">
        <w:rPr>
          <w:lang w:val="en-GB"/>
        </w:rPr>
        <w:t xml:space="preserve">ast </w:t>
      </w:r>
      <w:r w:rsidRPr="00BD3C31">
        <w:rPr>
          <w:lang w:val="en-GB"/>
        </w:rPr>
        <w:t>21 years had proven that Inside-Out worked</w:t>
      </w:r>
      <w:r w:rsidR="005E56C8">
        <w:rPr>
          <w:lang w:val="en-GB"/>
        </w:rPr>
        <w:t>—</w:t>
      </w:r>
      <w:r w:rsidRPr="00BD3C31">
        <w:rPr>
          <w:lang w:val="en-GB"/>
        </w:rPr>
        <w:t xml:space="preserve">that students, prisons, and communities benefited from Inside-Out’s unique approach to learning. Yet </w:t>
      </w:r>
      <w:proofErr w:type="spellStart"/>
      <w:r w:rsidRPr="00BD3C31">
        <w:rPr>
          <w:lang w:val="en-GB"/>
        </w:rPr>
        <w:t>Pompa</w:t>
      </w:r>
      <w:proofErr w:type="spellEnd"/>
      <w:r w:rsidRPr="00BD3C31">
        <w:rPr>
          <w:lang w:val="en-GB"/>
        </w:rPr>
        <w:t xml:space="preserve"> also knew that </w:t>
      </w:r>
      <w:r w:rsidR="00B210CB" w:rsidRPr="00BD3C31">
        <w:rPr>
          <w:lang w:val="en-GB"/>
        </w:rPr>
        <w:t>t</w:t>
      </w:r>
      <w:r w:rsidRPr="00BD3C31">
        <w:rPr>
          <w:lang w:val="en-GB"/>
        </w:rPr>
        <w:t xml:space="preserve">he Inside-Out </w:t>
      </w:r>
      <w:proofErr w:type="spellStart"/>
      <w:r w:rsidRPr="00BD3C31">
        <w:rPr>
          <w:lang w:val="en-GB"/>
        </w:rPr>
        <w:t>Center</w:t>
      </w:r>
      <w:proofErr w:type="spellEnd"/>
      <w:r w:rsidRPr="00BD3C31">
        <w:rPr>
          <w:lang w:val="en-GB"/>
        </w:rPr>
        <w:t xml:space="preserve"> desperately needed to secure a steady stream of funding to support </w:t>
      </w:r>
      <w:r w:rsidR="00B210CB" w:rsidRPr="00BD3C31">
        <w:rPr>
          <w:lang w:val="en-GB"/>
        </w:rPr>
        <w:t>t</w:t>
      </w:r>
      <w:r w:rsidRPr="00BD3C31">
        <w:rPr>
          <w:lang w:val="en-GB"/>
        </w:rPr>
        <w:t xml:space="preserve">he Inside-Out </w:t>
      </w:r>
      <w:r w:rsidR="00B210CB" w:rsidRPr="00BD3C31">
        <w:rPr>
          <w:lang w:val="en-GB"/>
        </w:rPr>
        <w:t>N</w:t>
      </w:r>
      <w:r w:rsidRPr="00BD3C31">
        <w:rPr>
          <w:lang w:val="en-GB"/>
        </w:rPr>
        <w:t xml:space="preserve">etwork in an increasingly competitive prison education and funding context. Both to raise Inside-Out’s profile and to secure additional resources, </w:t>
      </w:r>
      <w:r w:rsidR="00B210CB" w:rsidRPr="00BD3C31">
        <w:rPr>
          <w:lang w:val="en-GB"/>
        </w:rPr>
        <w:t>t</w:t>
      </w:r>
      <w:r w:rsidRPr="00BD3C31">
        <w:rPr>
          <w:lang w:val="en-GB"/>
        </w:rPr>
        <w:t xml:space="preserve">he Inside-Out </w:t>
      </w:r>
      <w:proofErr w:type="spellStart"/>
      <w:r w:rsidRPr="00BD3C31">
        <w:rPr>
          <w:lang w:val="en-GB"/>
        </w:rPr>
        <w:t>Center</w:t>
      </w:r>
      <w:proofErr w:type="spellEnd"/>
      <w:r w:rsidRPr="00BD3C31">
        <w:rPr>
          <w:lang w:val="en-GB"/>
        </w:rPr>
        <w:t xml:space="preserve"> </w:t>
      </w:r>
      <w:r w:rsidR="005E56C8">
        <w:rPr>
          <w:lang w:val="en-GB"/>
        </w:rPr>
        <w:t>needed</w:t>
      </w:r>
      <w:r w:rsidR="005E56C8" w:rsidRPr="00BD3C31">
        <w:rPr>
          <w:lang w:val="en-GB"/>
        </w:rPr>
        <w:t xml:space="preserve"> </w:t>
      </w:r>
      <w:r w:rsidRPr="00BD3C31">
        <w:rPr>
          <w:lang w:val="en-GB"/>
        </w:rPr>
        <w:t>to find a cost-effective,</w:t>
      </w:r>
      <w:r w:rsidR="00F66BCC">
        <w:rPr>
          <w:lang w:val="en-GB"/>
        </w:rPr>
        <w:t xml:space="preserve"> and</w:t>
      </w:r>
      <w:r w:rsidRPr="00BD3C31">
        <w:rPr>
          <w:lang w:val="en-GB"/>
        </w:rPr>
        <w:t xml:space="preserve"> culturally appropriate way to measure and communicate its impact to its many stakeholders. The question was</w:t>
      </w:r>
      <w:r w:rsidR="005E56C8">
        <w:rPr>
          <w:lang w:val="en-GB"/>
        </w:rPr>
        <w:t>—h</w:t>
      </w:r>
      <w:r w:rsidRPr="00BD3C31">
        <w:rPr>
          <w:lang w:val="en-GB"/>
        </w:rPr>
        <w:t>ow</w:t>
      </w:r>
      <w:r w:rsidR="002F3AA2" w:rsidRPr="00BD3C31">
        <w:rPr>
          <w:lang w:val="en-GB"/>
        </w:rPr>
        <w:t>?</w:t>
      </w:r>
      <w:r w:rsidR="009B2D7F" w:rsidRPr="00BD3C31">
        <w:rPr>
          <w:lang w:val="en-GB"/>
        </w:rPr>
        <w:br w:type="page"/>
      </w:r>
    </w:p>
    <w:p w14:paraId="4C872A32" w14:textId="4A8EA875" w:rsidR="009B2D7F" w:rsidRPr="00BD3C31" w:rsidRDefault="009B2D7F" w:rsidP="009B2D7F">
      <w:pPr>
        <w:pStyle w:val="ExhibitHeading"/>
        <w:rPr>
          <w:lang w:val="en-GB"/>
        </w:rPr>
      </w:pPr>
      <w:r w:rsidRPr="00BD3C31">
        <w:rPr>
          <w:lang w:val="en-GB"/>
        </w:rPr>
        <w:lastRenderedPageBreak/>
        <w:t xml:space="preserve">Exhibit 1: Inside-out Mission </w:t>
      </w:r>
      <w:r w:rsidR="00B210CB" w:rsidRPr="00BD3C31">
        <w:rPr>
          <w:lang w:val="en-GB"/>
        </w:rPr>
        <w:t>and</w:t>
      </w:r>
      <w:r w:rsidRPr="00BD3C31">
        <w:rPr>
          <w:lang w:val="en-GB"/>
        </w:rPr>
        <w:t xml:space="preserve"> Vision</w:t>
      </w:r>
      <w:r w:rsidR="00B210CB" w:rsidRPr="00BD3C31">
        <w:rPr>
          <w:lang w:val="en-GB"/>
        </w:rPr>
        <w:t xml:space="preserve"> statements</w:t>
      </w:r>
    </w:p>
    <w:p w14:paraId="786A8D0A" w14:textId="77777777" w:rsidR="009B2D7F" w:rsidRPr="00BD3C31" w:rsidRDefault="009B2D7F" w:rsidP="009B2D7F">
      <w:pPr>
        <w:pStyle w:val="ExhibitText"/>
        <w:rPr>
          <w:lang w:val="en-GB"/>
        </w:rPr>
      </w:pPr>
    </w:p>
    <w:p w14:paraId="2AB1A069" w14:textId="77777777" w:rsidR="009B2D7F" w:rsidRPr="00BD3C31" w:rsidRDefault="009B2D7F" w:rsidP="009B2D7F">
      <w:pPr>
        <w:pStyle w:val="ExhibitText"/>
        <w:rPr>
          <w:b/>
          <w:lang w:val="en-GB"/>
        </w:rPr>
      </w:pPr>
      <w:r w:rsidRPr="00BD3C31">
        <w:rPr>
          <w:b/>
          <w:lang w:val="en-GB"/>
        </w:rPr>
        <w:t>The Inside-Out Prison Exchange Program</w:t>
      </w:r>
    </w:p>
    <w:p w14:paraId="6C2E1784" w14:textId="77777777" w:rsidR="009B2D7F" w:rsidRPr="00BD3C31" w:rsidRDefault="009B2D7F" w:rsidP="009B2D7F">
      <w:pPr>
        <w:pStyle w:val="ExhibitText"/>
        <w:rPr>
          <w:lang w:val="en-GB"/>
        </w:rPr>
      </w:pPr>
    </w:p>
    <w:p w14:paraId="7B63A5A5" w14:textId="22A69851" w:rsidR="009B2D7F" w:rsidRPr="00BD3C31" w:rsidRDefault="009B2D7F" w:rsidP="009B2D7F">
      <w:pPr>
        <w:pStyle w:val="ExhibitText"/>
        <w:rPr>
          <w:lang w:val="en-GB"/>
        </w:rPr>
      </w:pPr>
      <w:r w:rsidRPr="00BD3C31">
        <w:rPr>
          <w:lang w:val="en-GB"/>
        </w:rPr>
        <w:t>Social Change through Transformative Education</w:t>
      </w:r>
    </w:p>
    <w:p w14:paraId="1F874F92" w14:textId="77777777" w:rsidR="009B2D7F" w:rsidRPr="00BD3C31" w:rsidRDefault="009B2D7F" w:rsidP="009B2D7F">
      <w:pPr>
        <w:pStyle w:val="ExhibitText"/>
        <w:rPr>
          <w:lang w:val="en-GB"/>
        </w:rPr>
      </w:pPr>
    </w:p>
    <w:p w14:paraId="25045D52" w14:textId="77777777" w:rsidR="009B2D7F" w:rsidRPr="00BD3C31" w:rsidRDefault="009B2D7F" w:rsidP="009B2D7F">
      <w:pPr>
        <w:pStyle w:val="ExhibitText"/>
        <w:rPr>
          <w:b/>
          <w:lang w:val="en-GB"/>
        </w:rPr>
      </w:pPr>
      <w:r w:rsidRPr="00BD3C31">
        <w:rPr>
          <w:b/>
          <w:lang w:val="en-GB"/>
        </w:rPr>
        <w:t>Mission Statement</w:t>
      </w:r>
    </w:p>
    <w:p w14:paraId="6A6EE8FA" w14:textId="77777777" w:rsidR="009B2D7F" w:rsidRPr="00BD3C31" w:rsidRDefault="009B2D7F" w:rsidP="009B2D7F">
      <w:pPr>
        <w:pStyle w:val="ExhibitText"/>
        <w:rPr>
          <w:lang w:val="en-GB"/>
        </w:rPr>
      </w:pPr>
    </w:p>
    <w:p w14:paraId="337CDEFE" w14:textId="071FCFAE" w:rsidR="009B2D7F" w:rsidRPr="00BD3C31" w:rsidRDefault="009B2D7F" w:rsidP="009B2D7F">
      <w:pPr>
        <w:pStyle w:val="ExhibitText"/>
        <w:rPr>
          <w:lang w:val="en-GB"/>
        </w:rPr>
      </w:pPr>
      <w:r w:rsidRPr="00BD3C31">
        <w:rPr>
          <w:lang w:val="en-GB"/>
        </w:rPr>
        <w:t>Education in which we are able to encounter each other, especially across profound social barriers, is transformative and allows problems to be approached in new and different ways. Inside-Out’s mission is to create opportunities for people inside and outside of prison to have transformative learning experiences that emphasize collaboration and dialogue and that invite them to take leadership in addressing crime, justice, and other issues of social concern.</w:t>
      </w:r>
    </w:p>
    <w:p w14:paraId="588385B2" w14:textId="77777777" w:rsidR="009B2D7F" w:rsidRPr="00BD3C31" w:rsidRDefault="009B2D7F" w:rsidP="009B2D7F">
      <w:pPr>
        <w:pStyle w:val="ExhibitText"/>
        <w:rPr>
          <w:lang w:val="en-GB"/>
        </w:rPr>
      </w:pPr>
    </w:p>
    <w:p w14:paraId="4CEB0792" w14:textId="77777777" w:rsidR="005E56C8" w:rsidRDefault="005E56C8" w:rsidP="009B2D7F">
      <w:pPr>
        <w:pStyle w:val="ExhibitText"/>
        <w:rPr>
          <w:b/>
          <w:lang w:val="en-GB"/>
        </w:rPr>
      </w:pPr>
    </w:p>
    <w:p w14:paraId="48ACEC2F" w14:textId="5B0AEB20" w:rsidR="009B2D7F" w:rsidRPr="00BD3C31" w:rsidRDefault="009B2D7F" w:rsidP="009B2D7F">
      <w:pPr>
        <w:pStyle w:val="ExhibitText"/>
        <w:rPr>
          <w:b/>
          <w:lang w:val="en-GB"/>
        </w:rPr>
      </w:pPr>
      <w:r w:rsidRPr="00BD3C31">
        <w:rPr>
          <w:b/>
          <w:lang w:val="en-GB"/>
        </w:rPr>
        <w:t>Vision Statement</w:t>
      </w:r>
    </w:p>
    <w:p w14:paraId="6FB5DD7F" w14:textId="77777777" w:rsidR="009B2D7F" w:rsidRPr="00BD3C31" w:rsidRDefault="009B2D7F" w:rsidP="009B2D7F">
      <w:pPr>
        <w:pStyle w:val="ExhibitText"/>
        <w:rPr>
          <w:lang w:val="en-GB"/>
        </w:rPr>
      </w:pPr>
    </w:p>
    <w:p w14:paraId="2CED9DD8" w14:textId="17DC0B9A" w:rsidR="009B2D7F" w:rsidRPr="00BD3C31" w:rsidRDefault="009B2D7F" w:rsidP="009B2D7F">
      <w:pPr>
        <w:pStyle w:val="ExhibitText"/>
        <w:rPr>
          <w:lang w:val="en-GB"/>
        </w:rPr>
      </w:pPr>
      <w:r w:rsidRPr="00BD3C31">
        <w:rPr>
          <w:lang w:val="en-GB"/>
        </w:rPr>
        <w:t xml:space="preserve">We believe that, by studying together and working on issues of crime, justice, and related social concerns, those of us inside and outside of prison can </w:t>
      </w:r>
      <w:proofErr w:type="spellStart"/>
      <w:r w:rsidRPr="00BD3C31">
        <w:rPr>
          <w:lang w:val="en-GB"/>
        </w:rPr>
        <w:t>catalyze</w:t>
      </w:r>
      <w:proofErr w:type="spellEnd"/>
      <w:r w:rsidRPr="00BD3C31">
        <w:rPr>
          <w:lang w:val="en-GB"/>
        </w:rPr>
        <w:t xml:space="preserve"> the kinds of changes that will make our communities more inclusive, just, humane, and socially sustainable.</w:t>
      </w:r>
    </w:p>
    <w:p w14:paraId="32CD27FC" w14:textId="77777777" w:rsidR="009B2D7F" w:rsidRPr="00BD3C31" w:rsidRDefault="009B2D7F" w:rsidP="009B2D7F">
      <w:pPr>
        <w:pStyle w:val="ExhibitText"/>
        <w:rPr>
          <w:lang w:val="en-GB"/>
        </w:rPr>
      </w:pPr>
    </w:p>
    <w:p w14:paraId="0383B116" w14:textId="77FABD2B" w:rsidR="009B2D7F" w:rsidRPr="00BD3C31" w:rsidRDefault="009B2D7F" w:rsidP="009B2D7F">
      <w:pPr>
        <w:pStyle w:val="Footnote"/>
        <w:rPr>
          <w:lang w:val="en-GB"/>
        </w:rPr>
      </w:pPr>
      <w:r w:rsidRPr="00BD3C31">
        <w:rPr>
          <w:lang w:val="en-GB"/>
        </w:rPr>
        <w:t xml:space="preserve">Source: Company </w:t>
      </w:r>
      <w:r w:rsidR="00B210CB" w:rsidRPr="00BD3C31">
        <w:rPr>
          <w:lang w:val="en-GB"/>
        </w:rPr>
        <w:t>d</w:t>
      </w:r>
      <w:r w:rsidRPr="00BD3C31">
        <w:rPr>
          <w:lang w:val="en-GB"/>
        </w:rPr>
        <w:t xml:space="preserve">ocuments; </w:t>
      </w:r>
      <w:r w:rsidR="005E56C8">
        <w:rPr>
          <w:lang w:val="en-GB"/>
        </w:rPr>
        <w:t xml:space="preserve">The </w:t>
      </w:r>
      <w:r w:rsidR="00B210CB" w:rsidRPr="00BD3C31">
        <w:rPr>
          <w:lang w:val="en-GB"/>
        </w:rPr>
        <w:t>Inside-Out</w:t>
      </w:r>
      <w:r w:rsidR="005E56C8">
        <w:rPr>
          <w:lang w:val="en-GB"/>
        </w:rPr>
        <w:t xml:space="preserve"> </w:t>
      </w:r>
      <w:proofErr w:type="spellStart"/>
      <w:r w:rsidR="005E56C8">
        <w:rPr>
          <w:lang w:val="en-GB"/>
        </w:rPr>
        <w:t>Center</w:t>
      </w:r>
      <w:proofErr w:type="spellEnd"/>
      <w:r w:rsidR="00B210CB" w:rsidRPr="00BD3C31">
        <w:rPr>
          <w:lang w:val="en-GB"/>
        </w:rPr>
        <w:t xml:space="preserve">, </w:t>
      </w:r>
      <w:r w:rsidR="005E56C8">
        <w:rPr>
          <w:lang w:val="en-GB"/>
        </w:rPr>
        <w:t>“Mission</w:t>
      </w:r>
      <w:r w:rsidR="005E56C8" w:rsidRPr="00BD3C31">
        <w:rPr>
          <w:lang w:val="en-GB"/>
        </w:rPr>
        <w:t>,</w:t>
      </w:r>
      <w:r w:rsidR="005E56C8">
        <w:rPr>
          <w:lang w:val="en-GB"/>
        </w:rPr>
        <w:t>”</w:t>
      </w:r>
      <w:r w:rsidR="005E56C8" w:rsidRPr="00BD3C31">
        <w:rPr>
          <w:lang w:val="en-GB"/>
        </w:rPr>
        <w:t xml:space="preserve"> accessed December 29, 2018</w:t>
      </w:r>
      <w:r w:rsidR="005E56C8">
        <w:rPr>
          <w:lang w:val="en-GB"/>
        </w:rPr>
        <w:t xml:space="preserve">, </w:t>
      </w:r>
      <w:r w:rsidRPr="00BD3C31">
        <w:rPr>
          <w:lang w:val="en-GB"/>
        </w:rPr>
        <w:t>www.insideoutcenter.org/mission-inside-out.html</w:t>
      </w:r>
      <w:r w:rsidR="00B210CB" w:rsidRPr="00BD3C31">
        <w:rPr>
          <w:lang w:val="en-GB"/>
        </w:rPr>
        <w:t>.</w:t>
      </w:r>
    </w:p>
    <w:p w14:paraId="6E2D57DB" w14:textId="5E3D4433" w:rsidR="009B2D7F" w:rsidRPr="00BD3C31" w:rsidRDefault="009B2D7F" w:rsidP="009B2D7F">
      <w:pPr>
        <w:pStyle w:val="ExhibitText"/>
        <w:rPr>
          <w:lang w:val="en-GB"/>
        </w:rPr>
      </w:pPr>
    </w:p>
    <w:p w14:paraId="6F6E38F5" w14:textId="77777777" w:rsidR="009B2D7F" w:rsidRPr="00BD3C31" w:rsidRDefault="009B2D7F" w:rsidP="009B2D7F">
      <w:pPr>
        <w:pStyle w:val="ExhibitText"/>
        <w:rPr>
          <w:lang w:val="en-GB"/>
        </w:rPr>
      </w:pPr>
    </w:p>
    <w:p w14:paraId="5C90559B" w14:textId="4235CD37" w:rsidR="009B2D7F" w:rsidRPr="00BD3C31" w:rsidRDefault="009B2D7F" w:rsidP="009B2D7F">
      <w:pPr>
        <w:pStyle w:val="ExhibitHeading"/>
        <w:rPr>
          <w:lang w:val="en-GB"/>
        </w:rPr>
      </w:pPr>
      <w:r w:rsidRPr="00BD3C31">
        <w:rPr>
          <w:lang w:val="en-GB"/>
        </w:rPr>
        <w:t>EXHIBIT 2: THE INSIDE-OUT CENTER FINANCIALS</w:t>
      </w:r>
      <w:r w:rsidR="005E56C8">
        <w:rPr>
          <w:lang w:val="en-GB"/>
        </w:rPr>
        <w:t>, 2015/16–2018/19</w:t>
      </w:r>
    </w:p>
    <w:p w14:paraId="28310EA0" w14:textId="77777777" w:rsidR="009B2D7F" w:rsidRPr="00BD3C31" w:rsidRDefault="009B2D7F" w:rsidP="009B2D7F">
      <w:pPr>
        <w:pStyle w:val="ExhibitText"/>
        <w:rPr>
          <w:lang w:val="en-GB"/>
        </w:rPr>
      </w:pPr>
    </w:p>
    <w:tbl>
      <w:tblPr>
        <w:tblStyle w:val="TableGrid"/>
        <w:tblW w:w="7981" w:type="dxa"/>
        <w:jc w:val="center"/>
        <w:tblLayout w:type="fixed"/>
        <w:tblLook w:val="04A0" w:firstRow="1" w:lastRow="0" w:firstColumn="1" w:lastColumn="0" w:noHBand="0" w:noVBand="1"/>
      </w:tblPr>
      <w:tblGrid>
        <w:gridCol w:w="3273"/>
        <w:gridCol w:w="1176"/>
        <w:gridCol w:w="1176"/>
        <w:gridCol w:w="1176"/>
        <w:gridCol w:w="1180"/>
      </w:tblGrid>
      <w:tr w:rsidR="009B2D7F" w:rsidRPr="00BD3C31" w14:paraId="16543A5C" w14:textId="77777777" w:rsidTr="009B2D7F">
        <w:trPr>
          <w:trHeight w:val="242"/>
          <w:jc w:val="center"/>
        </w:trPr>
        <w:tc>
          <w:tcPr>
            <w:tcW w:w="7981" w:type="dxa"/>
            <w:gridSpan w:val="5"/>
            <w:noWrap/>
            <w:hideMark/>
          </w:tcPr>
          <w:p w14:paraId="2420B88A" w14:textId="64722168" w:rsidR="009B2D7F" w:rsidRPr="00BD3C31" w:rsidRDefault="009B2D7F" w:rsidP="009B2D7F">
            <w:pPr>
              <w:pStyle w:val="ExhibitText"/>
              <w:jc w:val="center"/>
              <w:rPr>
                <w:lang w:val="en-GB"/>
              </w:rPr>
            </w:pPr>
            <w:r w:rsidRPr="00BD3C31">
              <w:rPr>
                <w:lang w:val="en-GB"/>
              </w:rPr>
              <w:t xml:space="preserve">The Inside-Out </w:t>
            </w:r>
            <w:proofErr w:type="spellStart"/>
            <w:r w:rsidRPr="00BD3C31">
              <w:rPr>
                <w:lang w:val="en-GB"/>
              </w:rPr>
              <w:t>Center</w:t>
            </w:r>
            <w:proofErr w:type="spellEnd"/>
            <w:r w:rsidRPr="00BD3C31">
              <w:rPr>
                <w:lang w:val="en-GB"/>
              </w:rPr>
              <w:t xml:space="preserve"> Cash Flows (</w:t>
            </w:r>
            <w:r w:rsidR="005E56C8" w:rsidRPr="00BD3C31">
              <w:rPr>
                <w:lang w:val="en-GB"/>
              </w:rPr>
              <w:t>US</w:t>
            </w:r>
            <w:r w:rsidR="005E56C8">
              <w:rPr>
                <w:lang w:val="en-GB"/>
              </w:rPr>
              <w:t>$</w:t>
            </w:r>
            <w:r w:rsidRPr="00BD3C31">
              <w:rPr>
                <w:lang w:val="en-GB"/>
              </w:rPr>
              <w:t>, 000s)</w:t>
            </w:r>
          </w:p>
        </w:tc>
      </w:tr>
      <w:tr w:rsidR="009B2D7F" w:rsidRPr="00BD3C31" w14:paraId="55B9C9E5" w14:textId="77777777" w:rsidTr="009B2D7F">
        <w:trPr>
          <w:trHeight w:val="228"/>
          <w:jc w:val="center"/>
        </w:trPr>
        <w:tc>
          <w:tcPr>
            <w:tcW w:w="3273" w:type="dxa"/>
            <w:noWrap/>
            <w:hideMark/>
          </w:tcPr>
          <w:p w14:paraId="384FA60D" w14:textId="77777777" w:rsidR="009B2D7F" w:rsidRPr="00BD3C31" w:rsidRDefault="009B2D7F" w:rsidP="009B2D7F">
            <w:pPr>
              <w:pStyle w:val="ExhibitText"/>
              <w:rPr>
                <w:lang w:val="en-GB"/>
              </w:rPr>
            </w:pPr>
          </w:p>
        </w:tc>
        <w:tc>
          <w:tcPr>
            <w:tcW w:w="1176" w:type="dxa"/>
            <w:noWrap/>
            <w:hideMark/>
          </w:tcPr>
          <w:p w14:paraId="62A21743" w14:textId="30DEAFF1" w:rsidR="009B2D7F" w:rsidRPr="00BD3C31" w:rsidRDefault="009B2D7F" w:rsidP="009B2D7F">
            <w:pPr>
              <w:pStyle w:val="ExhibitText"/>
              <w:rPr>
                <w:b/>
                <w:lang w:val="en-GB"/>
              </w:rPr>
            </w:pPr>
            <w:r w:rsidRPr="00BD3C31">
              <w:rPr>
                <w:b/>
                <w:lang w:val="en-GB"/>
              </w:rPr>
              <w:t>FY15</w:t>
            </w:r>
            <w:r w:rsidR="00DD1CBD" w:rsidRPr="00BD3C31">
              <w:rPr>
                <w:lang w:val="en-GB"/>
              </w:rPr>
              <w:t>–</w:t>
            </w:r>
            <w:r w:rsidRPr="00BD3C31">
              <w:rPr>
                <w:b/>
                <w:lang w:val="en-GB"/>
              </w:rPr>
              <w:t>16</w:t>
            </w:r>
          </w:p>
        </w:tc>
        <w:tc>
          <w:tcPr>
            <w:tcW w:w="1176" w:type="dxa"/>
            <w:noWrap/>
            <w:hideMark/>
          </w:tcPr>
          <w:p w14:paraId="7F635DAC" w14:textId="2F19D58C" w:rsidR="009B2D7F" w:rsidRPr="00BD3C31" w:rsidRDefault="009B2D7F" w:rsidP="009B2D7F">
            <w:pPr>
              <w:pStyle w:val="ExhibitText"/>
              <w:rPr>
                <w:b/>
                <w:lang w:val="en-GB"/>
              </w:rPr>
            </w:pPr>
            <w:r w:rsidRPr="00BD3C31">
              <w:rPr>
                <w:b/>
                <w:lang w:val="en-GB"/>
              </w:rPr>
              <w:t>FY16</w:t>
            </w:r>
            <w:r w:rsidR="00DD1CBD" w:rsidRPr="00BD3C31">
              <w:rPr>
                <w:lang w:val="en-GB"/>
              </w:rPr>
              <w:t>–</w:t>
            </w:r>
            <w:r w:rsidRPr="00BD3C31">
              <w:rPr>
                <w:b/>
                <w:lang w:val="en-GB"/>
              </w:rPr>
              <w:t>17</w:t>
            </w:r>
          </w:p>
        </w:tc>
        <w:tc>
          <w:tcPr>
            <w:tcW w:w="1176" w:type="dxa"/>
            <w:noWrap/>
            <w:hideMark/>
          </w:tcPr>
          <w:p w14:paraId="220D84C0" w14:textId="209D3F4E" w:rsidR="009B2D7F" w:rsidRPr="00BD3C31" w:rsidRDefault="009B2D7F" w:rsidP="009B2D7F">
            <w:pPr>
              <w:pStyle w:val="ExhibitText"/>
              <w:rPr>
                <w:b/>
                <w:lang w:val="en-GB"/>
              </w:rPr>
            </w:pPr>
            <w:r w:rsidRPr="00BD3C31">
              <w:rPr>
                <w:b/>
                <w:lang w:val="en-GB"/>
              </w:rPr>
              <w:t>FY17</w:t>
            </w:r>
            <w:r w:rsidR="00DD1CBD" w:rsidRPr="00BD3C31">
              <w:rPr>
                <w:lang w:val="en-GB"/>
              </w:rPr>
              <w:t>–</w:t>
            </w:r>
            <w:r w:rsidRPr="00BD3C31">
              <w:rPr>
                <w:b/>
                <w:lang w:val="en-GB"/>
              </w:rPr>
              <w:t>18</w:t>
            </w:r>
          </w:p>
        </w:tc>
        <w:tc>
          <w:tcPr>
            <w:tcW w:w="1180" w:type="dxa"/>
            <w:noWrap/>
            <w:hideMark/>
          </w:tcPr>
          <w:p w14:paraId="7BAA7790" w14:textId="13861285" w:rsidR="009B2D7F" w:rsidRPr="00BD3C31" w:rsidRDefault="009B2D7F" w:rsidP="009B2D7F">
            <w:pPr>
              <w:pStyle w:val="ExhibitText"/>
              <w:rPr>
                <w:b/>
                <w:lang w:val="en-GB"/>
              </w:rPr>
            </w:pPr>
            <w:r w:rsidRPr="00BD3C31">
              <w:rPr>
                <w:b/>
                <w:lang w:val="en-GB"/>
              </w:rPr>
              <w:t>FY18</w:t>
            </w:r>
            <w:r w:rsidR="00DD1CBD" w:rsidRPr="00BD3C31">
              <w:rPr>
                <w:lang w:val="en-GB"/>
              </w:rPr>
              <w:t>–</w:t>
            </w:r>
            <w:r w:rsidRPr="00BD3C31">
              <w:rPr>
                <w:b/>
                <w:lang w:val="en-GB"/>
              </w:rPr>
              <w:t>19</w:t>
            </w:r>
          </w:p>
        </w:tc>
      </w:tr>
      <w:tr w:rsidR="009B2D7F" w:rsidRPr="00BD3C31" w14:paraId="625C8A50" w14:textId="77777777" w:rsidTr="009B2D7F">
        <w:trPr>
          <w:trHeight w:val="228"/>
          <w:jc w:val="center"/>
        </w:trPr>
        <w:tc>
          <w:tcPr>
            <w:tcW w:w="3273" w:type="dxa"/>
            <w:noWrap/>
            <w:hideMark/>
          </w:tcPr>
          <w:p w14:paraId="53833653" w14:textId="01FABD3A" w:rsidR="009B2D7F" w:rsidRPr="00BD3C31" w:rsidRDefault="009B2D7F" w:rsidP="009B2D7F">
            <w:pPr>
              <w:pStyle w:val="ExhibitText"/>
              <w:rPr>
                <w:lang w:val="en-GB"/>
              </w:rPr>
            </w:pPr>
            <w:r w:rsidRPr="00BD3C31">
              <w:rPr>
                <w:lang w:val="en-GB"/>
              </w:rPr>
              <w:t xml:space="preserve">Cash </w:t>
            </w:r>
            <w:r w:rsidR="00B210CB" w:rsidRPr="00BD3C31">
              <w:rPr>
                <w:lang w:val="en-GB"/>
              </w:rPr>
              <w:t>i</w:t>
            </w:r>
            <w:r w:rsidRPr="00BD3C31">
              <w:rPr>
                <w:lang w:val="en-GB"/>
              </w:rPr>
              <w:t>nflows</w:t>
            </w:r>
          </w:p>
        </w:tc>
        <w:tc>
          <w:tcPr>
            <w:tcW w:w="1176" w:type="dxa"/>
            <w:noWrap/>
            <w:hideMark/>
          </w:tcPr>
          <w:p w14:paraId="6BC7E9B6" w14:textId="77777777" w:rsidR="009B2D7F" w:rsidRPr="00BD3C31" w:rsidRDefault="009B2D7F" w:rsidP="009B2D7F">
            <w:pPr>
              <w:pStyle w:val="ExhibitText"/>
              <w:rPr>
                <w:lang w:val="en-GB"/>
              </w:rPr>
            </w:pPr>
          </w:p>
        </w:tc>
        <w:tc>
          <w:tcPr>
            <w:tcW w:w="1176" w:type="dxa"/>
            <w:noWrap/>
            <w:hideMark/>
          </w:tcPr>
          <w:p w14:paraId="6F5DE9F8" w14:textId="77777777" w:rsidR="009B2D7F" w:rsidRPr="00BD3C31" w:rsidRDefault="009B2D7F" w:rsidP="009B2D7F">
            <w:pPr>
              <w:pStyle w:val="ExhibitText"/>
              <w:rPr>
                <w:lang w:val="en-GB"/>
              </w:rPr>
            </w:pPr>
          </w:p>
        </w:tc>
        <w:tc>
          <w:tcPr>
            <w:tcW w:w="1176" w:type="dxa"/>
            <w:noWrap/>
            <w:hideMark/>
          </w:tcPr>
          <w:p w14:paraId="00E5BCDE" w14:textId="77777777" w:rsidR="009B2D7F" w:rsidRPr="00BD3C31" w:rsidRDefault="009B2D7F" w:rsidP="009B2D7F">
            <w:pPr>
              <w:pStyle w:val="ExhibitText"/>
              <w:rPr>
                <w:lang w:val="en-GB"/>
              </w:rPr>
            </w:pPr>
          </w:p>
        </w:tc>
        <w:tc>
          <w:tcPr>
            <w:tcW w:w="1180" w:type="dxa"/>
            <w:noWrap/>
            <w:hideMark/>
          </w:tcPr>
          <w:p w14:paraId="088B482D" w14:textId="77777777" w:rsidR="009B2D7F" w:rsidRPr="00BD3C31" w:rsidRDefault="009B2D7F" w:rsidP="009B2D7F">
            <w:pPr>
              <w:pStyle w:val="ExhibitText"/>
              <w:rPr>
                <w:lang w:val="en-GB"/>
              </w:rPr>
            </w:pPr>
            <w:r w:rsidRPr="00BD3C31">
              <w:rPr>
                <w:lang w:val="en-GB"/>
              </w:rPr>
              <w:t>(projected)</w:t>
            </w:r>
          </w:p>
        </w:tc>
      </w:tr>
      <w:tr w:rsidR="009B2D7F" w:rsidRPr="00BD3C31" w14:paraId="7952A7B3" w14:textId="77777777" w:rsidTr="009B2D7F">
        <w:trPr>
          <w:trHeight w:val="215"/>
          <w:jc w:val="center"/>
        </w:trPr>
        <w:tc>
          <w:tcPr>
            <w:tcW w:w="3273" w:type="dxa"/>
            <w:hideMark/>
          </w:tcPr>
          <w:p w14:paraId="13330B99" w14:textId="6EBAEE92" w:rsidR="009B2D7F" w:rsidRPr="00BD3C31" w:rsidRDefault="009B2D7F" w:rsidP="009B2D7F">
            <w:pPr>
              <w:pStyle w:val="ExhibitText"/>
              <w:rPr>
                <w:lang w:val="en-GB"/>
              </w:rPr>
            </w:pPr>
            <w:r w:rsidRPr="00BD3C31">
              <w:rPr>
                <w:lang w:val="en-GB"/>
              </w:rPr>
              <w:t>Carryover (from previous years*)</w:t>
            </w:r>
          </w:p>
        </w:tc>
        <w:tc>
          <w:tcPr>
            <w:tcW w:w="1176" w:type="dxa"/>
            <w:noWrap/>
            <w:hideMark/>
          </w:tcPr>
          <w:p w14:paraId="2850B75D" w14:textId="77777777" w:rsidR="009B2D7F" w:rsidRPr="00BD3C31" w:rsidRDefault="009B2D7F" w:rsidP="001A4E64">
            <w:pPr>
              <w:pStyle w:val="ExhibitText"/>
              <w:jc w:val="right"/>
              <w:rPr>
                <w:lang w:val="en-GB"/>
              </w:rPr>
            </w:pPr>
            <w:r w:rsidRPr="00BD3C31">
              <w:rPr>
                <w:lang w:val="en-GB"/>
              </w:rPr>
              <w:t>90</w:t>
            </w:r>
          </w:p>
        </w:tc>
        <w:tc>
          <w:tcPr>
            <w:tcW w:w="1176" w:type="dxa"/>
            <w:noWrap/>
            <w:hideMark/>
          </w:tcPr>
          <w:p w14:paraId="3B9728E7" w14:textId="77777777" w:rsidR="009B2D7F" w:rsidRPr="00BD3C31" w:rsidRDefault="009B2D7F" w:rsidP="001A4E64">
            <w:pPr>
              <w:pStyle w:val="ExhibitText"/>
              <w:jc w:val="right"/>
              <w:rPr>
                <w:lang w:val="en-GB"/>
              </w:rPr>
            </w:pPr>
            <w:r w:rsidRPr="00BD3C31">
              <w:rPr>
                <w:lang w:val="en-GB"/>
              </w:rPr>
              <w:t>428</w:t>
            </w:r>
          </w:p>
        </w:tc>
        <w:tc>
          <w:tcPr>
            <w:tcW w:w="1176" w:type="dxa"/>
            <w:noWrap/>
            <w:hideMark/>
          </w:tcPr>
          <w:p w14:paraId="3108EFA6" w14:textId="77777777" w:rsidR="009B2D7F" w:rsidRPr="00BD3C31" w:rsidRDefault="009B2D7F" w:rsidP="001A4E64">
            <w:pPr>
              <w:pStyle w:val="ExhibitText"/>
              <w:jc w:val="right"/>
              <w:rPr>
                <w:lang w:val="en-GB"/>
              </w:rPr>
            </w:pPr>
            <w:r w:rsidRPr="00BD3C31">
              <w:rPr>
                <w:lang w:val="en-GB"/>
              </w:rPr>
              <w:t>333</w:t>
            </w:r>
          </w:p>
        </w:tc>
        <w:tc>
          <w:tcPr>
            <w:tcW w:w="1180" w:type="dxa"/>
            <w:noWrap/>
            <w:hideMark/>
          </w:tcPr>
          <w:p w14:paraId="3EDE82F4" w14:textId="77777777" w:rsidR="009B2D7F" w:rsidRPr="00BD3C31" w:rsidRDefault="009B2D7F" w:rsidP="001A4E64">
            <w:pPr>
              <w:pStyle w:val="ExhibitText"/>
              <w:jc w:val="right"/>
              <w:rPr>
                <w:lang w:val="en-GB"/>
              </w:rPr>
            </w:pPr>
            <w:r w:rsidRPr="00BD3C31">
              <w:rPr>
                <w:lang w:val="en-GB"/>
              </w:rPr>
              <w:t>179</w:t>
            </w:r>
          </w:p>
        </w:tc>
      </w:tr>
      <w:tr w:rsidR="009B2D7F" w:rsidRPr="00BD3C31" w14:paraId="58D97678" w14:textId="77777777" w:rsidTr="009B2D7F">
        <w:trPr>
          <w:trHeight w:val="228"/>
          <w:jc w:val="center"/>
        </w:trPr>
        <w:tc>
          <w:tcPr>
            <w:tcW w:w="3273" w:type="dxa"/>
            <w:noWrap/>
            <w:hideMark/>
          </w:tcPr>
          <w:p w14:paraId="72F86ECB" w14:textId="77777777" w:rsidR="009B2D7F" w:rsidRPr="00BD3C31" w:rsidRDefault="009B2D7F" w:rsidP="009B2D7F">
            <w:pPr>
              <w:pStyle w:val="ExhibitText"/>
              <w:rPr>
                <w:lang w:val="en-GB"/>
              </w:rPr>
            </w:pPr>
            <w:r w:rsidRPr="00BD3C31">
              <w:rPr>
                <w:lang w:val="en-GB"/>
              </w:rPr>
              <w:t>Trainings</w:t>
            </w:r>
          </w:p>
        </w:tc>
        <w:tc>
          <w:tcPr>
            <w:tcW w:w="1176" w:type="dxa"/>
            <w:noWrap/>
            <w:hideMark/>
          </w:tcPr>
          <w:p w14:paraId="3FBF49D2" w14:textId="77777777" w:rsidR="009B2D7F" w:rsidRPr="00BD3C31" w:rsidRDefault="009B2D7F" w:rsidP="001A4E64">
            <w:pPr>
              <w:pStyle w:val="ExhibitText"/>
              <w:jc w:val="right"/>
              <w:rPr>
                <w:lang w:val="en-GB"/>
              </w:rPr>
            </w:pPr>
            <w:r w:rsidRPr="00BD3C31">
              <w:rPr>
                <w:lang w:val="en-GB"/>
              </w:rPr>
              <w:t>185</w:t>
            </w:r>
          </w:p>
        </w:tc>
        <w:tc>
          <w:tcPr>
            <w:tcW w:w="1176" w:type="dxa"/>
            <w:noWrap/>
            <w:hideMark/>
          </w:tcPr>
          <w:p w14:paraId="287FE2AB" w14:textId="77777777" w:rsidR="009B2D7F" w:rsidRPr="00BD3C31" w:rsidRDefault="009B2D7F" w:rsidP="001A4E64">
            <w:pPr>
              <w:pStyle w:val="ExhibitText"/>
              <w:jc w:val="right"/>
              <w:rPr>
                <w:lang w:val="en-GB"/>
              </w:rPr>
            </w:pPr>
            <w:r w:rsidRPr="00BD3C31">
              <w:rPr>
                <w:lang w:val="en-GB"/>
              </w:rPr>
              <w:t>251</w:t>
            </w:r>
          </w:p>
        </w:tc>
        <w:tc>
          <w:tcPr>
            <w:tcW w:w="1176" w:type="dxa"/>
            <w:noWrap/>
            <w:hideMark/>
          </w:tcPr>
          <w:p w14:paraId="4D278ABE" w14:textId="77777777" w:rsidR="009B2D7F" w:rsidRPr="00BD3C31" w:rsidRDefault="009B2D7F" w:rsidP="001A4E64">
            <w:pPr>
              <w:pStyle w:val="ExhibitText"/>
              <w:jc w:val="right"/>
              <w:rPr>
                <w:lang w:val="en-GB"/>
              </w:rPr>
            </w:pPr>
            <w:r w:rsidRPr="00BD3C31">
              <w:rPr>
                <w:lang w:val="en-GB"/>
              </w:rPr>
              <w:t>255</w:t>
            </w:r>
          </w:p>
        </w:tc>
        <w:tc>
          <w:tcPr>
            <w:tcW w:w="1180" w:type="dxa"/>
            <w:noWrap/>
            <w:hideMark/>
          </w:tcPr>
          <w:p w14:paraId="010285F3" w14:textId="77777777" w:rsidR="009B2D7F" w:rsidRPr="00BD3C31" w:rsidRDefault="009B2D7F" w:rsidP="001A4E64">
            <w:pPr>
              <w:pStyle w:val="ExhibitText"/>
              <w:jc w:val="right"/>
              <w:rPr>
                <w:lang w:val="en-GB"/>
              </w:rPr>
            </w:pPr>
            <w:r w:rsidRPr="00BD3C31">
              <w:rPr>
                <w:lang w:val="en-GB"/>
              </w:rPr>
              <w:t>323</w:t>
            </w:r>
          </w:p>
        </w:tc>
      </w:tr>
      <w:tr w:rsidR="009B2D7F" w:rsidRPr="00BD3C31" w14:paraId="54CAB075" w14:textId="77777777" w:rsidTr="009B2D7F">
        <w:trPr>
          <w:trHeight w:val="228"/>
          <w:jc w:val="center"/>
        </w:trPr>
        <w:tc>
          <w:tcPr>
            <w:tcW w:w="3273" w:type="dxa"/>
            <w:noWrap/>
            <w:hideMark/>
          </w:tcPr>
          <w:p w14:paraId="29A2C678" w14:textId="77777777" w:rsidR="009B2D7F" w:rsidRPr="00BD3C31" w:rsidRDefault="009B2D7F" w:rsidP="009B2D7F">
            <w:pPr>
              <w:pStyle w:val="ExhibitText"/>
              <w:rPr>
                <w:lang w:val="en-GB"/>
              </w:rPr>
            </w:pPr>
            <w:r w:rsidRPr="00BD3C31">
              <w:rPr>
                <w:lang w:val="en-GB"/>
              </w:rPr>
              <w:t>Grants</w:t>
            </w:r>
          </w:p>
        </w:tc>
        <w:tc>
          <w:tcPr>
            <w:tcW w:w="1176" w:type="dxa"/>
            <w:noWrap/>
            <w:hideMark/>
          </w:tcPr>
          <w:p w14:paraId="64A4A59C" w14:textId="77777777" w:rsidR="009B2D7F" w:rsidRPr="00BD3C31" w:rsidRDefault="009B2D7F" w:rsidP="001A4E64">
            <w:pPr>
              <w:pStyle w:val="ExhibitText"/>
              <w:jc w:val="right"/>
              <w:rPr>
                <w:lang w:val="en-GB"/>
              </w:rPr>
            </w:pPr>
            <w:r w:rsidRPr="00BD3C31">
              <w:rPr>
                <w:lang w:val="en-GB"/>
              </w:rPr>
              <w:t>125</w:t>
            </w:r>
          </w:p>
        </w:tc>
        <w:tc>
          <w:tcPr>
            <w:tcW w:w="1176" w:type="dxa"/>
            <w:noWrap/>
            <w:hideMark/>
          </w:tcPr>
          <w:p w14:paraId="1B723E78" w14:textId="77777777" w:rsidR="009B2D7F" w:rsidRPr="00BD3C31" w:rsidRDefault="009B2D7F" w:rsidP="001A4E64">
            <w:pPr>
              <w:pStyle w:val="ExhibitText"/>
              <w:jc w:val="right"/>
              <w:rPr>
                <w:lang w:val="en-GB"/>
              </w:rPr>
            </w:pPr>
            <w:r w:rsidRPr="00BD3C31">
              <w:rPr>
                <w:lang w:val="en-GB"/>
              </w:rPr>
              <w:t>185</w:t>
            </w:r>
          </w:p>
        </w:tc>
        <w:tc>
          <w:tcPr>
            <w:tcW w:w="1176" w:type="dxa"/>
            <w:noWrap/>
            <w:hideMark/>
          </w:tcPr>
          <w:p w14:paraId="08D3518C" w14:textId="77777777" w:rsidR="009B2D7F" w:rsidRPr="00BD3C31" w:rsidRDefault="009B2D7F" w:rsidP="001A4E64">
            <w:pPr>
              <w:pStyle w:val="ExhibitText"/>
              <w:jc w:val="right"/>
              <w:rPr>
                <w:lang w:val="en-GB"/>
              </w:rPr>
            </w:pPr>
            <w:r w:rsidRPr="00BD3C31">
              <w:rPr>
                <w:lang w:val="en-GB"/>
              </w:rPr>
              <w:t>59</w:t>
            </w:r>
          </w:p>
        </w:tc>
        <w:tc>
          <w:tcPr>
            <w:tcW w:w="1180" w:type="dxa"/>
            <w:noWrap/>
            <w:hideMark/>
          </w:tcPr>
          <w:p w14:paraId="2DEC1412" w14:textId="77777777" w:rsidR="009B2D7F" w:rsidRPr="00BD3C31" w:rsidRDefault="009B2D7F" w:rsidP="001A4E64">
            <w:pPr>
              <w:pStyle w:val="ExhibitText"/>
              <w:jc w:val="right"/>
              <w:rPr>
                <w:lang w:val="en-GB"/>
              </w:rPr>
            </w:pPr>
            <w:r w:rsidRPr="00BD3C31">
              <w:rPr>
                <w:lang w:val="en-GB"/>
              </w:rPr>
              <w:t>60</w:t>
            </w:r>
          </w:p>
        </w:tc>
      </w:tr>
      <w:tr w:rsidR="009B2D7F" w:rsidRPr="00BD3C31" w14:paraId="7FD18C55" w14:textId="77777777" w:rsidTr="009B2D7F">
        <w:trPr>
          <w:trHeight w:val="228"/>
          <w:jc w:val="center"/>
        </w:trPr>
        <w:tc>
          <w:tcPr>
            <w:tcW w:w="3273" w:type="dxa"/>
            <w:noWrap/>
            <w:hideMark/>
          </w:tcPr>
          <w:p w14:paraId="7EE06200" w14:textId="77777777" w:rsidR="009B2D7F" w:rsidRPr="00BD3C31" w:rsidRDefault="009B2D7F" w:rsidP="009B2D7F">
            <w:pPr>
              <w:pStyle w:val="ExhibitText"/>
              <w:rPr>
                <w:lang w:val="en-GB"/>
              </w:rPr>
            </w:pPr>
            <w:r w:rsidRPr="00BD3C31">
              <w:rPr>
                <w:lang w:val="en-GB"/>
              </w:rPr>
              <w:t>Gifts</w:t>
            </w:r>
          </w:p>
        </w:tc>
        <w:tc>
          <w:tcPr>
            <w:tcW w:w="1176" w:type="dxa"/>
            <w:noWrap/>
            <w:hideMark/>
          </w:tcPr>
          <w:p w14:paraId="011C909E" w14:textId="77777777" w:rsidR="009B2D7F" w:rsidRPr="00BD3C31" w:rsidRDefault="009B2D7F" w:rsidP="001A4E64">
            <w:pPr>
              <w:pStyle w:val="ExhibitText"/>
              <w:jc w:val="right"/>
              <w:rPr>
                <w:lang w:val="en-GB"/>
              </w:rPr>
            </w:pPr>
            <w:r w:rsidRPr="00BD3C31">
              <w:rPr>
                <w:lang w:val="en-GB"/>
              </w:rPr>
              <w:t>427</w:t>
            </w:r>
          </w:p>
        </w:tc>
        <w:tc>
          <w:tcPr>
            <w:tcW w:w="1176" w:type="dxa"/>
            <w:noWrap/>
            <w:hideMark/>
          </w:tcPr>
          <w:p w14:paraId="3FE49F31" w14:textId="77777777" w:rsidR="009B2D7F" w:rsidRPr="00BD3C31" w:rsidRDefault="009B2D7F" w:rsidP="001A4E64">
            <w:pPr>
              <w:pStyle w:val="ExhibitText"/>
              <w:jc w:val="right"/>
              <w:rPr>
                <w:lang w:val="en-GB"/>
              </w:rPr>
            </w:pPr>
            <w:r w:rsidRPr="00BD3C31">
              <w:rPr>
                <w:lang w:val="en-GB"/>
              </w:rPr>
              <w:t>70</w:t>
            </w:r>
          </w:p>
        </w:tc>
        <w:tc>
          <w:tcPr>
            <w:tcW w:w="1176" w:type="dxa"/>
            <w:noWrap/>
            <w:hideMark/>
          </w:tcPr>
          <w:p w14:paraId="40BBF192" w14:textId="77777777" w:rsidR="009B2D7F" w:rsidRPr="00BD3C31" w:rsidRDefault="009B2D7F" w:rsidP="001A4E64">
            <w:pPr>
              <w:pStyle w:val="ExhibitText"/>
              <w:jc w:val="right"/>
              <w:rPr>
                <w:lang w:val="en-GB"/>
              </w:rPr>
            </w:pPr>
            <w:r w:rsidRPr="00BD3C31">
              <w:rPr>
                <w:lang w:val="en-GB"/>
              </w:rPr>
              <w:t>40</w:t>
            </w:r>
          </w:p>
        </w:tc>
        <w:tc>
          <w:tcPr>
            <w:tcW w:w="1180" w:type="dxa"/>
            <w:noWrap/>
            <w:hideMark/>
          </w:tcPr>
          <w:p w14:paraId="052F3A05" w14:textId="77777777" w:rsidR="009B2D7F" w:rsidRPr="00BD3C31" w:rsidRDefault="009B2D7F" w:rsidP="001A4E64">
            <w:pPr>
              <w:pStyle w:val="ExhibitText"/>
              <w:jc w:val="right"/>
              <w:rPr>
                <w:lang w:val="en-GB"/>
              </w:rPr>
            </w:pPr>
            <w:r w:rsidRPr="00BD3C31">
              <w:rPr>
                <w:lang w:val="en-GB"/>
              </w:rPr>
              <w:t>37</w:t>
            </w:r>
          </w:p>
        </w:tc>
      </w:tr>
      <w:tr w:rsidR="009B2D7F" w:rsidRPr="00BD3C31" w14:paraId="192B8B17" w14:textId="77777777" w:rsidTr="009B2D7F">
        <w:trPr>
          <w:trHeight w:val="228"/>
          <w:jc w:val="center"/>
        </w:trPr>
        <w:tc>
          <w:tcPr>
            <w:tcW w:w="3273" w:type="dxa"/>
            <w:noWrap/>
            <w:hideMark/>
          </w:tcPr>
          <w:p w14:paraId="250193C3" w14:textId="77777777" w:rsidR="009B2D7F" w:rsidRPr="00BD3C31" w:rsidRDefault="009B2D7F" w:rsidP="009B2D7F">
            <w:pPr>
              <w:pStyle w:val="ExhibitText"/>
              <w:rPr>
                <w:b/>
                <w:lang w:val="en-GB"/>
              </w:rPr>
            </w:pPr>
            <w:r w:rsidRPr="00BD3C31">
              <w:rPr>
                <w:b/>
                <w:lang w:val="en-GB"/>
              </w:rPr>
              <w:t>Subtotal</w:t>
            </w:r>
          </w:p>
        </w:tc>
        <w:tc>
          <w:tcPr>
            <w:tcW w:w="1176" w:type="dxa"/>
            <w:noWrap/>
            <w:hideMark/>
          </w:tcPr>
          <w:p w14:paraId="488E757C" w14:textId="77777777" w:rsidR="009B2D7F" w:rsidRPr="00BD3C31" w:rsidRDefault="009B2D7F" w:rsidP="001A4E64">
            <w:pPr>
              <w:pStyle w:val="ExhibitText"/>
              <w:jc w:val="right"/>
              <w:rPr>
                <w:b/>
                <w:lang w:val="en-GB"/>
              </w:rPr>
            </w:pPr>
            <w:r w:rsidRPr="00BD3C31">
              <w:rPr>
                <w:b/>
                <w:lang w:val="en-GB"/>
              </w:rPr>
              <w:t>827</w:t>
            </w:r>
          </w:p>
        </w:tc>
        <w:tc>
          <w:tcPr>
            <w:tcW w:w="1176" w:type="dxa"/>
            <w:noWrap/>
            <w:hideMark/>
          </w:tcPr>
          <w:p w14:paraId="1C3DE121" w14:textId="77777777" w:rsidR="009B2D7F" w:rsidRPr="00BD3C31" w:rsidRDefault="009B2D7F" w:rsidP="001A4E64">
            <w:pPr>
              <w:pStyle w:val="ExhibitText"/>
              <w:jc w:val="right"/>
              <w:rPr>
                <w:b/>
                <w:lang w:val="en-GB"/>
              </w:rPr>
            </w:pPr>
            <w:r w:rsidRPr="00BD3C31">
              <w:rPr>
                <w:b/>
                <w:lang w:val="en-GB"/>
              </w:rPr>
              <w:t>934</w:t>
            </w:r>
          </w:p>
        </w:tc>
        <w:tc>
          <w:tcPr>
            <w:tcW w:w="1176" w:type="dxa"/>
            <w:noWrap/>
            <w:hideMark/>
          </w:tcPr>
          <w:p w14:paraId="0CF2629E" w14:textId="77777777" w:rsidR="009B2D7F" w:rsidRPr="00BD3C31" w:rsidRDefault="009B2D7F" w:rsidP="001A4E64">
            <w:pPr>
              <w:pStyle w:val="ExhibitText"/>
              <w:jc w:val="right"/>
              <w:rPr>
                <w:b/>
                <w:lang w:val="en-GB"/>
              </w:rPr>
            </w:pPr>
            <w:r w:rsidRPr="00BD3C31">
              <w:rPr>
                <w:b/>
                <w:lang w:val="en-GB"/>
              </w:rPr>
              <w:t>687</w:t>
            </w:r>
          </w:p>
        </w:tc>
        <w:tc>
          <w:tcPr>
            <w:tcW w:w="1180" w:type="dxa"/>
            <w:noWrap/>
            <w:hideMark/>
          </w:tcPr>
          <w:p w14:paraId="49BE00A5" w14:textId="77777777" w:rsidR="009B2D7F" w:rsidRPr="00BD3C31" w:rsidRDefault="009B2D7F" w:rsidP="001A4E64">
            <w:pPr>
              <w:pStyle w:val="ExhibitText"/>
              <w:jc w:val="right"/>
              <w:rPr>
                <w:b/>
                <w:lang w:val="en-GB"/>
              </w:rPr>
            </w:pPr>
            <w:r w:rsidRPr="00BD3C31">
              <w:rPr>
                <w:b/>
                <w:lang w:val="en-GB"/>
              </w:rPr>
              <w:t>599</w:t>
            </w:r>
          </w:p>
        </w:tc>
      </w:tr>
      <w:tr w:rsidR="009B2D7F" w:rsidRPr="00BD3C31" w14:paraId="072D7894" w14:textId="77777777" w:rsidTr="009B2D7F">
        <w:trPr>
          <w:trHeight w:val="228"/>
          <w:jc w:val="center"/>
        </w:trPr>
        <w:tc>
          <w:tcPr>
            <w:tcW w:w="3273" w:type="dxa"/>
            <w:noWrap/>
            <w:hideMark/>
          </w:tcPr>
          <w:p w14:paraId="4603A9BB" w14:textId="60FE4122" w:rsidR="009B2D7F" w:rsidRPr="00BD3C31" w:rsidRDefault="009B2D7F" w:rsidP="009B2D7F">
            <w:pPr>
              <w:pStyle w:val="ExhibitText"/>
              <w:rPr>
                <w:lang w:val="en-GB"/>
              </w:rPr>
            </w:pPr>
            <w:r w:rsidRPr="00BD3C31">
              <w:rPr>
                <w:lang w:val="en-GB"/>
              </w:rPr>
              <w:t xml:space="preserve">Cash </w:t>
            </w:r>
            <w:r w:rsidR="00B210CB" w:rsidRPr="00BD3C31">
              <w:rPr>
                <w:lang w:val="en-GB"/>
              </w:rPr>
              <w:t>o</w:t>
            </w:r>
            <w:r w:rsidRPr="00BD3C31">
              <w:rPr>
                <w:lang w:val="en-GB"/>
              </w:rPr>
              <w:t>utflows</w:t>
            </w:r>
          </w:p>
        </w:tc>
        <w:tc>
          <w:tcPr>
            <w:tcW w:w="1176" w:type="dxa"/>
            <w:noWrap/>
            <w:hideMark/>
          </w:tcPr>
          <w:p w14:paraId="159354A9" w14:textId="77777777" w:rsidR="009B2D7F" w:rsidRPr="00BD3C31" w:rsidRDefault="009B2D7F" w:rsidP="009B2D7F">
            <w:pPr>
              <w:pStyle w:val="ExhibitText"/>
              <w:rPr>
                <w:lang w:val="en-GB"/>
              </w:rPr>
            </w:pPr>
          </w:p>
        </w:tc>
        <w:tc>
          <w:tcPr>
            <w:tcW w:w="1176" w:type="dxa"/>
            <w:noWrap/>
            <w:hideMark/>
          </w:tcPr>
          <w:p w14:paraId="5023962F" w14:textId="77777777" w:rsidR="009B2D7F" w:rsidRPr="00BD3C31" w:rsidRDefault="009B2D7F" w:rsidP="009B2D7F">
            <w:pPr>
              <w:pStyle w:val="ExhibitText"/>
              <w:rPr>
                <w:lang w:val="en-GB"/>
              </w:rPr>
            </w:pPr>
          </w:p>
        </w:tc>
        <w:tc>
          <w:tcPr>
            <w:tcW w:w="1176" w:type="dxa"/>
            <w:noWrap/>
            <w:hideMark/>
          </w:tcPr>
          <w:p w14:paraId="00456B29" w14:textId="77777777" w:rsidR="009B2D7F" w:rsidRPr="00BD3C31" w:rsidRDefault="009B2D7F" w:rsidP="009B2D7F">
            <w:pPr>
              <w:pStyle w:val="ExhibitText"/>
              <w:rPr>
                <w:lang w:val="en-GB"/>
              </w:rPr>
            </w:pPr>
          </w:p>
        </w:tc>
        <w:tc>
          <w:tcPr>
            <w:tcW w:w="1180" w:type="dxa"/>
            <w:noWrap/>
            <w:hideMark/>
          </w:tcPr>
          <w:p w14:paraId="022CAE75" w14:textId="77777777" w:rsidR="009B2D7F" w:rsidRPr="00BD3C31" w:rsidRDefault="009B2D7F" w:rsidP="009B2D7F">
            <w:pPr>
              <w:pStyle w:val="ExhibitText"/>
              <w:rPr>
                <w:lang w:val="en-GB"/>
              </w:rPr>
            </w:pPr>
          </w:p>
        </w:tc>
      </w:tr>
      <w:tr w:rsidR="009B2D7F" w:rsidRPr="00BD3C31" w14:paraId="2CF1D9F8" w14:textId="77777777" w:rsidTr="009B2D7F">
        <w:trPr>
          <w:trHeight w:val="228"/>
          <w:jc w:val="center"/>
        </w:trPr>
        <w:tc>
          <w:tcPr>
            <w:tcW w:w="3273" w:type="dxa"/>
            <w:noWrap/>
            <w:hideMark/>
          </w:tcPr>
          <w:p w14:paraId="76777ED9" w14:textId="77777777" w:rsidR="009B2D7F" w:rsidRPr="00BD3C31" w:rsidRDefault="009B2D7F" w:rsidP="009B2D7F">
            <w:pPr>
              <w:pStyle w:val="ExhibitText"/>
              <w:rPr>
                <w:lang w:val="en-GB"/>
              </w:rPr>
            </w:pPr>
            <w:r w:rsidRPr="00BD3C31">
              <w:rPr>
                <w:lang w:val="en-GB"/>
              </w:rPr>
              <w:t>Staff</w:t>
            </w:r>
          </w:p>
        </w:tc>
        <w:tc>
          <w:tcPr>
            <w:tcW w:w="1176" w:type="dxa"/>
            <w:noWrap/>
            <w:hideMark/>
          </w:tcPr>
          <w:p w14:paraId="614A3484" w14:textId="77777777" w:rsidR="009B2D7F" w:rsidRPr="00BD3C31" w:rsidRDefault="009B2D7F" w:rsidP="001A4E64">
            <w:pPr>
              <w:pStyle w:val="ExhibitText"/>
              <w:jc w:val="right"/>
              <w:rPr>
                <w:lang w:val="en-GB"/>
              </w:rPr>
            </w:pPr>
            <w:r w:rsidRPr="00BD3C31">
              <w:rPr>
                <w:lang w:val="en-GB"/>
              </w:rPr>
              <w:t>150</w:t>
            </w:r>
          </w:p>
        </w:tc>
        <w:tc>
          <w:tcPr>
            <w:tcW w:w="1176" w:type="dxa"/>
            <w:noWrap/>
            <w:hideMark/>
          </w:tcPr>
          <w:p w14:paraId="76CDA0EA" w14:textId="77777777" w:rsidR="009B2D7F" w:rsidRPr="00BD3C31" w:rsidRDefault="009B2D7F" w:rsidP="001A4E64">
            <w:pPr>
              <w:pStyle w:val="ExhibitText"/>
              <w:jc w:val="right"/>
              <w:rPr>
                <w:lang w:val="en-GB"/>
              </w:rPr>
            </w:pPr>
            <w:r w:rsidRPr="00BD3C31">
              <w:rPr>
                <w:lang w:val="en-GB"/>
              </w:rPr>
              <w:t>357</w:t>
            </w:r>
          </w:p>
        </w:tc>
        <w:tc>
          <w:tcPr>
            <w:tcW w:w="1176" w:type="dxa"/>
            <w:noWrap/>
            <w:hideMark/>
          </w:tcPr>
          <w:p w14:paraId="49A31F9A" w14:textId="77777777" w:rsidR="009B2D7F" w:rsidRPr="00BD3C31" w:rsidRDefault="009B2D7F" w:rsidP="001A4E64">
            <w:pPr>
              <w:pStyle w:val="ExhibitText"/>
              <w:jc w:val="right"/>
              <w:rPr>
                <w:lang w:val="en-GB"/>
              </w:rPr>
            </w:pPr>
            <w:r w:rsidRPr="00BD3C31">
              <w:rPr>
                <w:lang w:val="en-GB"/>
              </w:rPr>
              <w:t>432</w:t>
            </w:r>
          </w:p>
        </w:tc>
        <w:tc>
          <w:tcPr>
            <w:tcW w:w="1180" w:type="dxa"/>
            <w:noWrap/>
            <w:hideMark/>
          </w:tcPr>
          <w:p w14:paraId="120034AF" w14:textId="77777777" w:rsidR="009B2D7F" w:rsidRPr="00BD3C31" w:rsidRDefault="009B2D7F" w:rsidP="001A4E64">
            <w:pPr>
              <w:pStyle w:val="ExhibitText"/>
              <w:jc w:val="right"/>
              <w:rPr>
                <w:lang w:val="en-GB"/>
              </w:rPr>
            </w:pPr>
            <w:r w:rsidRPr="00BD3C31">
              <w:rPr>
                <w:lang w:val="en-GB"/>
              </w:rPr>
              <w:t>294</w:t>
            </w:r>
          </w:p>
        </w:tc>
      </w:tr>
      <w:tr w:rsidR="009B2D7F" w:rsidRPr="00BD3C31" w14:paraId="37B154E5" w14:textId="77777777" w:rsidTr="009B2D7F">
        <w:trPr>
          <w:trHeight w:val="228"/>
          <w:jc w:val="center"/>
        </w:trPr>
        <w:tc>
          <w:tcPr>
            <w:tcW w:w="3273" w:type="dxa"/>
            <w:noWrap/>
            <w:hideMark/>
          </w:tcPr>
          <w:p w14:paraId="5543C201" w14:textId="77777777" w:rsidR="009B2D7F" w:rsidRPr="00BD3C31" w:rsidRDefault="009B2D7F" w:rsidP="009B2D7F">
            <w:pPr>
              <w:pStyle w:val="ExhibitText"/>
              <w:rPr>
                <w:lang w:val="en-GB"/>
              </w:rPr>
            </w:pPr>
            <w:r w:rsidRPr="00BD3C31">
              <w:rPr>
                <w:lang w:val="en-GB"/>
              </w:rPr>
              <w:t>Trainings</w:t>
            </w:r>
          </w:p>
        </w:tc>
        <w:tc>
          <w:tcPr>
            <w:tcW w:w="1176" w:type="dxa"/>
            <w:noWrap/>
            <w:hideMark/>
          </w:tcPr>
          <w:p w14:paraId="23768212" w14:textId="77777777" w:rsidR="009B2D7F" w:rsidRPr="00BD3C31" w:rsidRDefault="009B2D7F" w:rsidP="001A4E64">
            <w:pPr>
              <w:pStyle w:val="ExhibitText"/>
              <w:jc w:val="right"/>
              <w:rPr>
                <w:lang w:val="en-GB"/>
              </w:rPr>
            </w:pPr>
            <w:r w:rsidRPr="00BD3C31">
              <w:rPr>
                <w:lang w:val="en-GB"/>
              </w:rPr>
              <w:t>79</w:t>
            </w:r>
          </w:p>
        </w:tc>
        <w:tc>
          <w:tcPr>
            <w:tcW w:w="1176" w:type="dxa"/>
            <w:noWrap/>
            <w:hideMark/>
          </w:tcPr>
          <w:p w14:paraId="1468C0FC" w14:textId="77777777" w:rsidR="009B2D7F" w:rsidRPr="00BD3C31" w:rsidRDefault="009B2D7F" w:rsidP="001A4E64">
            <w:pPr>
              <w:pStyle w:val="ExhibitText"/>
              <w:jc w:val="right"/>
              <w:rPr>
                <w:lang w:val="en-GB"/>
              </w:rPr>
            </w:pPr>
            <w:r w:rsidRPr="00BD3C31">
              <w:rPr>
                <w:lang w:val="en-GB"/>
              </w:rPr>
              <w:t>90</w:t>
            </w:r>
          </w:p>
        </w:tc>
        <w:tc>
          <w:tcPr>
            <w:tcW w:w="1176" w:type="dxa"/>
            <w:noWrap/>
            <w:hideMark/>
          </w:tcPr>
          <w:p w14:paraId="11C0523A" w14:textId="77777777" w:rsidR="009B2D7F" w:rsidRPr="00BD3C31" w:rsidRDefault="009B2D7F" w:rsidP="001A4E64">
            <w:pPr>
              <w:pStyle w:val="ExhibitText"/>
              <w:jc w:val="right"/>
              <w:rPr>
                <w:lang w:val="en-GB"/>
              </w:rPr>
            </w:pPr>
            <w:r w:rsidRPr="00BD3C31">
              <w:rPr>
                <w:lang w:val="en-GB"/>
              </w:rPr>
              <w:t>95</w:t>
            </w:r>
          </w:p>
        </w:tc>
        <w:tc>
          <w:tcPr>
            <w:tcW w:w="1180" w:type="dxa"/>
            <w:noWrap/>
            <w:hideMark/>
          </w:tcPr>
          <w:p w14:paraId="1A1F23E9" w14:textId="77777777" w:rsidR="009B2D7F" w:rsidRPr="00BD3C31" w:rsidRDefault="009B2D7F" w:rsidP="001A4E64">
            <w:pPr>
              <w:pStyle w:val="ExhibitText"/>
              <w:jc w:val="right"/>
              <w:rPr>
                <w:lang w:val="en-GB"/>
              </w:rPr>
            </w:pPr>
            <w:r w:rsidRPr="00BD3C31">
              <w:rPr>
                <w:lang w:val="en-GB"/>
              </w:rPr>
              <w:t>106</w:t>
            </w:r>
          </w:p>
        </w:tc>
      </w:tr>
      <w:tr w:rsidR="009B2D7F" w:rsidRPr="00BD3C31" w14:paraId="2D2A47E3" w14:textId="77777777" w:rsidTr="009B2D7F">
        <w:trPr>
          <w:trHeight w:val="228"/>
          <w:jc w:val="center"/>
        </w:trPr>
        <w:tc>
          <w:tcPr>
            <w:tcW w:w="3273" w:type="dxa"/>
            <w:noWrap/>
            <w:hideMark/>
          </w:tcPr>
          <w:p w14:paraId="2912B853" w14:textId="77777777" w:rsidR="009B2D7F" w:rsidRPr="00BD3C31" w:rsidRDefault="009B2D7F" w:rsidP="009B2D7F">
            <w:pPr>
              <w:pStyle w:val="ExhibitText"/>
              <w:rPr>
                <w:lang w:val="en-GB"/>
              </w:rPr>
            </w:pPr>
            <w:r w:rsidRPr="00BD3C31">
              <w:rPr>
                <w:lang w:val="en-GB"/>
              </w:rPr>
              <w:t>Office</w:t>
            </w:r>
          </w:p>
        </w:tc>
        <w:tc>
          <w:tcPr>
            <w:tcW w:w="1176" w:type="dxa"/>
            <w:noWrap/>
            <w:hideMark/>
          </w:tcPr>
          <w:p w14:paraId="4E36078B" w14:textId="77777777" w:rsidR="009B2D7F" w:rsidRPr="00BD3C31" w:rsidRDefault="009B2D7F" w:rsidP="001A4E64">
            <w:pPr>
              <w:pStyle w:val="ExhibitText"/>
              <w:jc w:val="right"/>
              <w:rPr>
                <w:lang w:val="en-GB"/>
              </w:rPr>
            </w:pPr>
            <w:r w:rsidRPr="00BD3C31">
              <w:rPr>
                <w:lang w:val="en-GB"/>
              </w:rPr>
              <w:t>23</w:t>
            </w:r>
          </w:p>
        </w:tc>
        <w:tc>
          <w:tcPr>
            <w:tcW w:w="1176" w:type="dxa"/>
            <w:noWrap/>
            <w:hideMark/>
          </w:tcPr>
          <w:p w14:paraId="09CC2C9A" w14:textId="77777777" w:rsidR="009B2D7F" w:rsidRPr="00BD3C31" w:rsidRDefault="009B2D7F" w:rsidP="001A4E64">
            <w:pPr>
              <w:pStyle w:val="ExhibitText"/>
              <w:jc w:val="right"/>
              <w:rPr>
                <w:lang w:val="en-GB"/>
              </w:rPr>
            </w:pPr>
            <w:r w:rsidRPr="00BD3C31">
              <w:rPr>
                <w:lang w:val="en-GB"/>
              </w:rPr>
              <w:t>43</w:t>
            </w:r>
          </w:p>
        </w:tc>
        <w:tc>
          <w:tcPr>
            <w:tcW w:w="1176" w:type="dxa"/>
            <w:noWrap/>
            <w:hideMark/>
          </w:tcPr>
          <w:p w14:paraId="78D7BFE5" w14:textId="77777777" w:rsidR="009B2D7F" w:rsidRPr="00BD3C31" w:rsidRDefault="009B2D7F" w:rsidP="001A4E64">
            <w:pPr>
              <w:pStyle w:val="ExhibitText"/>
              <w:jc w:val="right"/>
              <w:rPr>
                <w:lang w:val="en-GB"/>
              </w:rPr>
            </w:pPr>
            <w:r w:rsidRPr="00BD3C31">
              <w:rPr>
                <w:lang w:val="en-GB"/>
              </w:rPr>
              <w:t>30</w:t>
            </w:r>
          </w:p>
        </w:tc>
        <w:tc>
          <w:tcPr>
            <w:tcW w:w="1180" w:type="dxa"/>
            <w:noWrap/>
            <w:hideMark/>
          </w:tcPr>
          <w:p w14:paraId="07E9BDFD" w14:textId="77777777" w:rsidR="009B2D7F" w:rsidRPr="00BD3C31" w:rsidRDefault="009B2D7F" w:rsidP="001A4E64">
            <w:pPr>
              <w:pStyle w:val="ExhibitText"/>
              <w:jc w:val="right"/>
              <w:rPr>
                <w:lang w:val="en-GB"/>
              </w:rPr>
            </w:pPr>
            <w:r w:rsidRPr="00BD3C31">
              <w:rPr>
                <w:lang w:val="en-GB"/>
              </w:rPr>
              <w:t>33</w:t>
            </w:r>
          </w:p>
        </w:tc>
      </w:tr>
      <w:tr w:rsidR="009B2D7F" w:rsidRPr="00BD3C31" w14:paraId="01325B02" w14:textId="77777777" w:rsidTr="009B2D7F">
        <w:trPr>
          <w:trHeight w:val="228"/>
          <w:jc w:val="center"/>
        </w:trPr>
        <w:tc>
          <w:tcPr>
            <w:tcW w:w="3273" w:type="dxa"/>
            <w:noWrap/>
            <w:hideMark/>
          </w:tcPr>
          <w:p w14:paraId="4A14930D" w14:textId="77777777" w:rsidR="009B2D7F" w:rsidRPr="00BD3C31" w:rsidRDefault="009B2D7F" w:rsidP="009B2D7F">
            <w:pPr>
              <w:pStyle w:val="ExhibitText"/>
              <w:rPr>
                <w:lang w:val="en-GB"/>
              </w:rPr>
            </w:pPr>
            <w:r w:rsidRPr="00BD3C31">
              <w:rPr>
                <w:lang w:val="en-GB"/>
              </w:rPr>
              <w:t>Indirect</w:t>
            </w:r>
          </w:p>
        </w:tc>
        <w:tc>
          <w:tcPr>
            <w:tcW w:w="1176" w:type="dxa"/>
            <w:noWrap/>
            <w:hideMark/>
          </w:tcPr>
          <w:p w14:paraId="125A2D6C" w14:textId="77777777" w:rsidR="009B2D7F" w:rsidRPr="00BD3C31" w:rsidRDefault="009B2D7F" w:rsidP="001A4E64">
            <w:pPr>
              <w:pStyle w:val="ExhibitText"/>
              <w:jc w:val="right"/>
              <w:rPr>
                <w:lang w:val="en-GB"/>
              </w:rPr>
            </w:pPr>
            <w:r w:rsidRPr="00BD3C31">
              <w:rPr>
                <w:lang w:val="en-GB"/>
              </w:rPr>
              <w:t>10</w:t>
            </w:r>
          </w:p>
        </w:tc>
        <w:tc>
          <w:tcPr>
            <w:tcW w:w="1176" w:type="dxa"/>
            <w:noWrap/>
            <w:hideMark/>
          </w:tcPr>
          <w:p w14:paraId="288D3797" w14:textId="77777777" w:rsidR="009B2D7F" w:rsidRPr="00BD3C31" w:rsidRDefault="009B2D7F" w:rsidP="001A4E64">
            <w:pPr>
              <w:pStyle w:val="ExhibitText"/>
              <w:jc w:val="right"/>
              <w:rPr>
                <w:lang w:val="en-GB"/>
              </w:rPr>
            </w:pPr>
            <w:r w:rsidRPr="00BD3C31">
              <w:rPr>
                <w:lang w:val="en-GB"/>
              </w:rPr>
              <w:t>18</w:t>
            </w:r>
          </w:p>
        </w:tc>
        <w:tc>
          <w:tcPr>
            <w:tcW w:w="1176" w:type="dxa"/>
            <w:noWrap/>
            <w:hideMark/>
          </w:tcPr>
          <w:p w14:paraId="4C9A6DE7" w14:textId="77777777" w:rsidR="009B2D7F" w:rsidRPr="00BD3C31" w:rsidRDefault="009B2D7F" w:rsidP="001A4E64">
            <w:pPr>
              <w:pStyle w:val="ExhibitText"/>
              <w:jc w:val="right"/>
              <w:rPr>
                <w:lang w:val="en-GB"/>
              </w:rPr>
            </w:pPr>
            <w:r w:rsidRPr="00BD3C31">
              <w:rPr>
                <w:lang w:val="en-GB"/>
              </w:rPr>
              <w:t>9</w:t>
            </w:r>
          </w:p>
        </w:tc>
        <w:tc>
          <w:tcPr>
            <w:tcW w:w="1180" w:type="dxa"/>
            <w:noWrap/>
            <w:hideMark/>
          </w:tcPr>
          <w:p w14:paraId="5B770CC9" w14:textId="77777777" w:rsidR="009B2D7F" w:rsidRPr="00BD3C31" w:rsidRDefault="009B2D7F" w:rsidP="001A4E64">
            <w:pPr>
              <w:pStyle w:val="ExhibitText"/>
              <w:jc w:val="right"/>
              <w:rPr>
                <w:lang w:val="en-GB"/>
              </w:rPr>
            </w:pPr>
            <w:r w:rsidRPr="00BD3C31">
              <w:rPr>
                <w:lang w:val="en-GB"/>
              </w:rPr>
              <w:t>12</w:t>
            </w:r>
          </w:p>
        </w:tc>
      </w:tr>
      <w:tr w:rsidR="009B2D7F" w:rsidRPr="00BD3C31" w14:paraId="7627D177" w14:textId="77777777" w:rsidTr="009B2D7F">
        <w:trPr>
          <w:trHeight w:val="228"/>
          <w:jc w:val="center"/>
        </w:trPr>
        <w:tc>
          <w:tcPr>
            <w:tcW w:w="3273" w:type="dxa"/>
            <w:noWrap/>
            <w:hideMark/>
          </w:tcPr>
          <w:p w14:paraId="03DA02FE" w14:textId="77777777" w:rsidR="009B2D7F" w:rsidRPr="00BD3C31" w:rsidRDefault="009B2D7F" w:rsidP="009B2D7F">
            <w:pPr>
              <w:pStyle w:val="ExhibitText"/>
              <w:rPr>
                <w:b/>
                <w:lang w:val="en-GB"/>
              </w:rPr>
            </w:pPr>
            <w:r w:rsidRPr="00BD3C31">
              <w:rPr>
                <w:b/>
                <w:lang w:val="en-GB"/>
              </w:rPr>
              <w:t>Subtotal</w:t>
            </w:r>
          </w:p>
        </w:tc>
        <w:tc>
          <w:tcPr>
            <w:tcW w:w="1176" w:type="dxa"/>
            <w:noWrap/>
            <w:hideMark/>
          </w:tcPr>
          <w:p w14:paraId="5DB184A4" w14:textId="77777777" w:rsidR="009B2D7F" w:rsidRPr="00BD3C31" w:rsidRDefault="009B2D7F" w:rsidP="001A4E64">
            <w:pPr>
              <w:pStyle w:val="ExhibitText"/>
              <w:jc w:val="right"/>
              <w:rPr>
                <w:b/>
                <w:lang w:val="en-GB"/>
              </w:rPr>
            </w:pPr>
            <w:r w:rsidRPr="00BD3C31">
              <w:rPr>
                <w:b/>
                <w:lang w:val="en-GB"/>
              </w:rPr>
              <w:t>262</w:t>
            </w:r>
          </w:p>
        </w:tc>
        <w:tc>
          <w:tcPr>
            <w:tcW w:w="1176" w:type="dxa"/>
            <w:noWrap/>
            <w:hideMark/>
          </w:tcPr>
          <w:p w14:paraId="7E3A8004" w14:textId="77777777" w:rsidR="009B2D7F" w:rsidRPr="00BD3C31" w:rsidRDefault="009B2D7F" w:rsidP="001A4E64">
            <w:pPr>
              <w:pStyle w:val="ExhibitText"/>
              <w:jc w:val="right"/>
              <w:rPr>
                <w:b/>
                <w:lang w:val="en-GB"/>
              </w:rPr>
            </w:pPr>
            <w:r w:rsidRPr="00BD3C31">
              <w:rPr>
                <w:b/>
                <w:lang w:val="en-GB"/>
              </w:rPr>
              <w:t>508</w:t>
            </w:r>
          </w:p>
        </w:tc>
        <w:tc>
          <w:tcPr>
            <w:tcW w:w="1176" w:type="dxa"/>
            <w:noWrap/>
            <w:hideMark/>
          </w:tcPr>
          <w:p w14:paraId="254E24BF" w14:textId="77777777" w:rsidR="009B2D7F" w:rsidRPr="00BD3C31" w:rsidRDefault="009B2D7F" w:rsidP="001A4E64">
            <w:pPr>
              <w:pStyle w:val="ExhibitText"/>
              <w:jc w:val="right"/>
              <w:rPr>
                <w:b/>
                <w:lang w:val="en-GB"/>
              </w:rPr>
            </w:pPr>
            <w:r w:rsidRPr="00BD3C31">
              <w:rPr>
                <w:b/>
                <w:lang w:val="en-GB"/>
              </w:rPr>
              <w:t>566</w:t>
            </w:r>
          </w:p>
        </w:tc>
        <w:tc>
          <w:tcPr>
            <w:tcW w:w="1180" w:type="dxa"/>
            <w:noWrap/>
            <w:hideMark/>
          </w:tcPr>
          <w:p w14:paraId="41E480A3" w14:textId="77777777" w:rsidR="009B2D7F" w:rsidRPr="00BD3C31" w:rsidRDefault="009B2D7F" w:rsidP="001A4E64">
            <w:pPr>
              <w:pStyle w:val="ExhibitText"/>
              <w:jc w:val="right"/>
              <w:rPr>
                <w:b/>
                <w:lang w:val="en-GB"/>
              </w:rPr>
            </w:pPr>
            <w:r w:rsidRPr="00BD3C31">
              <w:rPr>
                <w:b/>
                <w:lang w:val="en-GB"/>
              </w:rPr>
              <w:t>445</w:t>
            </w:r>
          </w:p>
        </w:tc>
      </w:tr>
      <w:tr w:rsidR="009B2D7F" w:rsidRPr="00BD3C31" w14:paraId="5DB76EF4" w14:textId="77777777" w:rsidTr="009B2D7F">
        <w:trPr>
          <w:trHeight w:val="228"/>
          <w:jc w:val="center"/>
        </w:trPr>
        <w:tc>
          <w:tcPr>
            <w:tcW w:w="3273" w:type="dxa"/>
            <w:noWrap/>
            <w:hideMark/>
          </w:tcPr>
          <w:p w14:paraId="272AD225" w14:textId="121AC9D5" w:rsidR="009B2D7F" w:rsidRPr="00BD3C31" w:rsidRDefault="009B2D7F" w:rsidP="009B2D7F">
            <w:pPr>
              <w:pStyle w:val="ExhibitText"/>
              <w:rPr>
                <w:b/>
                <w:lang w:val="en-GB"/>
              </w:rPr>
            </w:pPr>
            <w:r w:rsidRPr="00BD3C31">
              <w:rPr>
                <w:b/>
                <w:lang w:val="en-GB"/>
              </w:rPr>
              <w:t xml:space="preserve">Inflows less </w:t>
            </w:r>
            <w:r w:rsidR="00B210CB" w:rsidRPr="00BD3C31">
              <w:rPr>
                <w:b/>
                <w:lang w:val="en-GB"/>
              </w:rPr>
              <w:t>o</w:t>
            </w:r>
            <w:r w:rsidRPr="00BD3C31">
              <w:rPr>
                <w:b/>
                <w:lang w:val="en-GB"/>
              </w:rPr>
              <w:t>utflows</w:t>
            </w:r>
          </w:p>
        </w:tc>
        <w:tc>
          <w:tcPr>
            <w:tcW w:w="1176" w:type="dxa"/>
            <w:noWrap/>
            <w:hideMark/>
          </w:tcPr>
          <w:p w14:paraId="30CC8D44" w14:textId="77777777" w:rsidR="009B2D7F" w:rsidRPr="00BD3C31" w:rsidRDefault="009B2D7F" w:rsidP="001A4E64">
            <w:pPr>
              <w:pStyle w:val="ExhibitText"/>
              <w:jc w:val="right"/>
              <w:rPr>
                <w:b/>
                <w:lang w:val="en-GB"/>
              </w:rPr>
            </w:pPr>
            <w:r w:rsidRPr="00BD3C31">
              <w:rPr>
                <w:b/>
                <w:lang w:val="en-GB"/>
              </w:rPr>
              <w:t>565</w:t>
            </w:r>
          </w:p>
        </w:tc>
        <w:tc>
          <w:tcPr>
            <w:tcW w:w="1176" w:type="dxa"/>
            <w:noWrap/>
            <w:hideMark/>
          </w:tcPr>
          <w:p w14:paraId="3254298B" w14:textId="77777777" w:rsidR="009B2D7F" w:rsidRPr="00BD3C31" w:rsidRDefault="009B2D7F" w:rsidP="001A4E64">
            <w:pPr>
              <w:pStyle w:val="ExhibitText"/>
              <w:jc w:val="right"/>
              <w:rPr>
                <w:b/>
                <w:lang w:val="en-GB"/>
              </w:rPr>
            </w:pPr>
            <w:r w:rsidRPr="00BD3C31">
              <w:rPr>
                <w:b/>
                <w:lang w:val="en-GB"/>
              </w:rPr>
              <w:t>426</w:t>
            </w:r>
          </w:p>
        </w:tc>
        <w:tc>
          <w:tcPr>
            <w:tcW w:w="1176" w:type="dxa"/>
            <w:noWrap/>
            <w:hideMark/>
          </w:tcPr>
          <w:p w14:paraId="61CA8A0B" w14:textId="77777777" w:rsidR="009B2D7F" w:rsidRPr="00BD3C31" w:rsidRDefault="009B2D7F" w:rsidP="001A4E64">
            <w:pPr>
              <w:pStyle w:val="ExhibitText"/>
              <w:jc w:val="right"/>
              <w:rPr>
                <w:b/>
                <w:lang w:val="en-GB"/>
              </w:rPr>
            </w:pPr>
            <w:r w:rsidRPr="00BD3C31">
              <w:rPr>
                <w:b/>
                <w:lang w:val="en-GB"/>
              </w:rPr>
              <w:t>121</w:t>
            </w:r>
          </w:p>
        </w:tc>
        <w:tc>
          <w:tcPr>
            <w:tcW w:w="1180" w:type="dxa"/>
            <w:noWrap/>
            <w:hideMark/>
          </w:tcPr>
          <w:p w14:paraId="321EABF4" w14:textId="77777777" w:rsidR="009B2D7F" w:rsidRPr="00BD3C31" w:rsidRDefault="009B2D7F" w:rsidP="001A4E64">
            <w:pPr>
              <w:pStyle w:val="ExhibitText"/>
              <w:jc w:val="right"/>
              <w:rPr>
                <w:b/>
                <w:lang w:val="en-GB"/>
              </w:rPr>
            </w:pPr>
            <w:r w:rsidRPr="00BD3C31">
              <w:rPr>
                <w:b/>
                <w:lang w:val="en-GB"/>
              </w:rPr>
              <w:t>154</w:t>
            </w:r>
          </w:p>
        </w:tc>
      </w:tr>
    </w:tbl>
    <w:p w14:paraId="7B6BCDA8" w14:textId="47AD6E2E" w:rsidR="009B2D7F" w:rsidRPr="00BD3C31" w:rsidRDefault="009B2D7F" w:rsidP="009B2D7F">
      <w:pPr>
        <w:pStyle w:val="ExhibitText"/>
        <w:rPr>
          <w:lang w:val="en-GB"/>
        </w:rPr>
      </w:pPr>
    </w:p>
    <w:p w14:paraId="24E4218F" w14:textId="7692E0F8" w:rsidR="009B2D7F" w:rsidRPr="00BD3C31" w:rsidRDefault="009B2D7F" w:rsidP="009B2D7F">
      <w:pPr>
        <w:pStyle w:val="Footnote"/>
        <w:rPr>
          <w:rFonts w:ascii="Calibri" w:hAnsi="Calibri" w:cs="Calibri"/>
          <w:i/>
          <w:iCs/>
          <w:color w:val="000000"/>
          <w:sz w:val="18"/>
          <w:szCs w:val="18"/>
          <w:lang w:val="en-GB"/>
        </w:rPr>
      </w:pPr>
      <w:r w:rsidRPr="00BD3C31">
        <w:rPr>
          <w:lang w:val="en-GB"/>
        </w:rPr>
        <w:t>Note: *The carryover varies from the previous year</w:t>
      </w:r>
      <w:r w:rsidR="005E56C8">
        <w:rPr>
          <w:lang w:val="en-GB"/>
        </w:rPr>
        <w:t>’</w:t>
      </w:r>
      <w:r w:rsidRPr="00BD3C31">
        <w:rPr>
          <w:lang w:val="en-GB"/>
        </w:rPr>
        <w:t xml:space="preserve">s </w:t>
      </w:r>
      <w:r w:rsidR="005E56C8">
        <w:rPr>
          <w:lang w:val="en-GB"/>
        </w:rPr>
        <w:t>“</w:t>
      </w:r>
      <w:r w:rsidRPr="00BD3C31">
        <w:rPr>
          <w:lang w:val="en-GB"/>
        </w:rPr>
        <w:t>Inflows-less-</w:t>
      </w:r>
      <w:r w:rsidR="00B210CB" w:rsidRPr="00BD3C31">
        <w:rPr>
          <w:lang w:val="en-GB"/>
        </w:rPr>
        <w:t>o</w:t>
      </w:r>
      <w:r w:rsidRPr="00BD3C31">
        <w:rPr>
          <w:lang w:val="en-GB"/>
        </w:rPr>
        <w:t>utflows</w:t>
      </w:r>
      <w:r w:rsidR="005E56C8">
        <w:rPr>
          <w:lang w:val="en-GB"/>
        </w:rPr>
        <w:t>”</w:t>
      </w:r>
      <w:r w:rsidRPr="00BD3C31">
        <w:rPr>
          <w:lang w:val="en-GB"/>
        </w:rPr>
        <w:t xml:space="preserve"> because of the university</w:t>
      </w:r>
      <w:r w:rsidR="005E56C8">
        <w:rPr>
          <w:lang w:val="en-GB"/>
        </w:rPr>
        <w:t>’</w:t>
      </w:r>
      <w:r w:rsidRPr="00BD3C31">
        <w:rPr>
          <w:lang w:val="en-GB"/>
        </w:rPr>
        <w:t>s allocation of overheads, carry</w:t>
      </w:r>
      <w:r w:rsidR="00B210CB" w:rsidRPr="00BD3C31">
        <w:rPr>
          <w:lang w:val="en-GB"/>
        </w:rPr>
        <w:t>-</w:t>
      </w:r>
      <w:r w:rsidRPr="00BD3C31">
        <w:rPr>
          <w:lang w:val="en-GB"/>
        </w:rPr>
        <w:t>over rules</w:t>
      </w:r>
      <w:r w:rsidR="00B210CB" w:rsidRPr="00BD3C31">
        <w:rPr>
          <w:lang w:val="en-GB"/>
        </w:rPr>
        <w:t>,</w:t>
      </w:r>
      <w:r w:rsidRPr="00BD3C31">
        <w:rPr>
          <w:lang w:val="en-GB"/>
        </w:rPr>
        <w:t xml:space="preserve"> and cash recognition policies</w:t>
      </w:r>
      <w:r w:rsidRPr="00BD3C31">
        <w:rPr>
          <w:rFonts w:ascii="Calibri" w:hAnsi="Calibri" w:cs="Calibri"/>
          <w:iCs/>
          <w:color w:val="000000"/>
          <w:sz w:val="18"/>
          <w:szCs w:val="18"/>
          <w:lang w:val="en-GB"/>
        </w:rPr>
        <w:t>.</w:t>
      </w:r>
    </w:p>
    <w:p w14:paraId="2A3C2755" w14:textId="64638310" w:rsidR="009B2D7F" w:rsidRPr="00BD3C31" w:rsidRDefault="009B2D7F" w:rsidP="009B2D7F">
      <w:pPr>
        <w:pStyle w:val="Footnote"/>
        <w:rPr>
          <w:lang w:val="en-GB"/>
        </w:rPr>
      </w:pPr>
      <w:r w:rsidRPr="00BD3C31">
        <w:rPr>
          <w:lang w:val="en-GB"/>
        </w:rPr>
        <w:t xml:space="preserve">Source: Calculated from </w:t>
      </w:r>
      <w:r w:rsidR="00B210CB" w:rsidRPr="00BD3C31">
        <w:rPr>
          <w:lang w:val="en-GB"/>
        </w:rPr>
        <w:t>c</w:t>
      </w:r>
      <w:r w:rsidRPr="00BD3C31">
        <w:rPr>
          <w:lang w:val="en-GB"/>
        </w:rPr>
        <w:t xml:space="preserve">ompany </w:t>
      </w:r>
      <w:r w:rsidR="00B210CB" w:rsidRPr="00BD3C31">
        <w:rPr>
          <w:lang w:val="en-GB"/>
        </w:rPr>
        <w:t>d</w:t>
      </w:r>
      <w:r w:rsidRPr="00BD3C31">
        <w:rPr>
          <w:lang w:val="en-GB"/>
        </w:rPr>
        <w:t>ocuments</w:t>
      </w:r>
      <w:r w:rsidR="005D76E4" w:rsidRPr="00BD3C31">
        <w:rPr>
          <w:lang w:val="en-GB"/>
        </w:rPr>
        <w:t>.</w:t>
      </w:r>
    </w:p>
    <w:p w14:paraId="60BDAB50" w14:textId="0D0B0665" w:rsidR="009B2D7F" w:rsidRPr="00BD3C31" w:rsidRDefault="009B2D7F">
      <w:pPr>
        <w:spacing w:after="200" w:line="276" w:lineRule="auto"/>
        <w:rPr>
          <w:rFonts w:ascii="Calibri" w:hAnsi="Calibri" w:cs="Calibri"/>
          <w:sz w:val="22"/>
          <w:szCs w:val="22"/>
          <w:lang w:val="en-GB"/>
        </w:rPr>
      </w:pPr>
      <w:r w:rsidRPr="00BD3C31">
        <w:rPr>
          <w:rFonts w:ascii="Calibri" w:hAnsi="Calibri" w:cs="Calibri"/>
          <w:sz w:val="22"/>
          <w:szCs w:val="22"/>
          <w:lang w:val="en-GB"/>
        </w:rPr>
        <w:br w:type="page"/>
      </w:r>
    </w:p>
    <w:p w14:paraId="593E6F07" w14:textId="2034EA2F" w:rsidR="005860DE" w:rsidRPr="00BD3C31" w:rsidRDefault="009B2D7F" w:rsidP="009B2D7F">
      <w:pPr>
        <w:pStyle w:val="Casehead1"/>
        <w:rPr>
          <w:lang w:val="en-GB"/>
        </w:rPr>
      </w:pPr>
      <w:r w:rsidRPr="00BD3C31">
        <w:rPr>
          <w:lang w:val="en-GB"/>
        </w:rPr>
        <w:lastRenderedPageBreak/>
        <w:t>Endnotes</w:t>
      </w:r>
    </w:p>
    <w:sectPr w:rsidR="005860DE" w:rsidRPr="00BD3C31"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308D4" w14:textId="77777777" w:rsidR="00A92BB3" w:rsidRDefault="00A92BB3" w:rsidP="00D75295">
      <w:r>
        <w:separator/>
      </w:r>
    </w:p>
  </w:endnote>
  <w:endnote w:type="continuationSeparator" w:id="0">
    <w:p w14:paraId="626BE584" w14:textId="77777777" w:rsidR="00A92BB3" w:rsidRDefault="00A92BB3" w:rsidP="00D75295">
      <w:r>
        <w:continuationSeparator/>
      </w:r>
    </w:p>
  </w:endnote>
  <w:endnote w:id="1">
    <w:p w14:paraId="4536B34B" w14:textId="1CB13AE0" w:rsidR="0059616B" w:rsidRPr="00F66BCC" w:rsidRDefault="0059616B" w:rsidP="005860DE">
      <w:pPr>
        <w:pStyle w:val="Footnote"/>
        <w:rPr>
          <w:sz w:val="16"/>
        </w:rPr>
      </w:pPr>
      <w:r w:rsidRPr="00F66BCC">
        <w:rPr>
          <w:rStyle w:val="EndnoteReference"/>
          <w:sz w:val="16"/>
        </w:rPr>
        <w:endnoteRef/>
      </w:r>
      <w:r w:rsidRPr="00F66BCC">
        <w:rPr>
          <w:sz w:val="16"/>
        </w:rPr>
        <w:t xml:space="preserve"> “One Brick at a Time: Lori </w:t>
      </w:r>
      <w:proofErr w:type="spellStart"/>
      <w:r w:rsidRPr="00F66BCC">
        <w:rPr>
          <w:sz w:val="16"/>
        </w:rPr>
        <w:t>Pompa</w:t>
      </w:r>
      <w:proofErr w:type="spellEnd"/>
      <w:r w:rsidRPr="00F66BCC">
        <w:rPr>
          <w:sz w:val="16"/>
        </w:rPr>
        <w:t xml:space="preserve"> at </w:t>
      </w:r>
      <w:proofErr w:type="spellStart"/>
      <w:r w:rsidRPr="00F66BCC">
        <w:rPr>
          <w:sz w:val="16"/>
        </w:rPr>
        <w:t>TEDxArcadiaUniversity</w:t>
      </w:r>
      <w:proofErr w:type="spellEnd"/>
      <w:r w:rsidRPr="00F66BCC">
        <w:rPr>
          <w:sz w:val="16"/>
        </w:rPr>
        <w:t>,” YouTube video, 31:11, posted by TEDx Talks, July 3, 2012, accessed November 13, 2018, www.youtube.com/watch?v=ZweuS1dGl2I</w:t>
      </w:r>
      <w:r w:rsidRPr="00F66BCC">
        <w:rPr>
          <w:rStyle w:val="Hyperlink"/>
          <w:color w:val="auto"/>
          <w:sz w:val="16"/>
          <w:u w:val="none"/>
        </w:rPr>
        <w:t>.</w:t>
      </w:r>
    </w:p>
  </w:endnote>
  <w:endnote w:id="2">
    <w:p w14:paraId="5E8925A7" w14:textId="7A7A480D" w:rsidR="0059616B" w:rsidRPr="00F66BCC" w:rsidRDefault="0059616B" w:rsidP="005860DE">
      <w:pPr>
        <w:pStyle w:val="Footnote"/>
        <w:rPr>
          <w:sz w:val="16"/>
        </w:rPr>
      </w:pPr>
      <w:r w:rsidRPr="00F66BCC">
        <w:rPr>
          <w:rStyle w:val="EndnoteReference"/>
          <w:sz w:val="16"/>
        </w:rPr>
        <w:endnoteRef/>
      </w:r>
      <w:r w:rsidRPr="00F66BCC">
        <w:rPr>
          <w:sz w:val="16"/>
        </w:rPr>
        <w:t xml:space="preserve"> “(2009) TV Feature: Inside Looking Out,” YouTube video, 10:07, posted by University of Oregon’s Robert D. Clark Honors College, March 4, 2016, accessed November 13, 2018, www.youtube.com/watch?v=vFvJOWAJciM</w:t>
      </w:r>
      <w:r w:rsidRPr="00F66BCC">
        <w:rPr>
          <w:rStyle w:val="Hyperlink"/>
          <w:color w:val="auto"/>
          <w:sz w:val="16"/>
          <w:u w:val="none"/>
        </w:rPr>
        <w:t>.</w:t>
      </w:r>
      <w:r w:rsidRPr="00F66BCC">
        <w:rPr>
          <w:sz w:val="16"/>
        </w:rPr>
        <w:t xml:space="preserve"> </w:t>
      </w:r>
    </w:p>
  </w:endnote>
  <w:endnote w:id="3">
    <w:p w14:paraId="4E76569A" w14:textId="1D0CC2DF" w:rsidR="0059616B" w:rsidRPr="00F66BCC" w:rsidRDefault="0059616B" w:rsidP="005860DE">
      <w:pPr>
        <w:pStyle w:val="Footnote"/>
        <w:rPr>
          <w:sz w:val="16"/>
        </w:rPr>
      </w:pPr>
      <w:r w:rsidRPr="00F66BCC">
        <w:rPr>
          <w:rStyle w:val="EndnoteReference"/>
          <w:sz w:val="16"/>
        </w:rPr>
        <w:endnoteRef/>
      </w:r>
      <w:r w:rsidRPr="00F66BCC">
        <w:rPr>
          <w:sz w:val="16"/>
        </w:rPr>
        <w:t xml:space="preserve"> “One Brick at a Time,” op. cit. </w:t>
      </w:r>
    </w:p>
  </w:endnote>
  <w:endnote w:id="4">
    <w:p w14:paraId="2CE5311B" w14:textId="39FFDD18" w:rsidR="0059616B" w:rsidRPr="00F66BCC" w:rsidRDefault="0059616B" w:rsidP="005860DE">
      <w:pPr>
        <w:pStyle w:val="Footnote"/>
        <w:rPr>
          <w:sz w:val="16"/>
        </w:rPr>
      </w:pPr>
      <w:r w:rsidRPr="00F66BCC">
        <w:rPr>
          <w:rStyle w:val="EndnoteReference"/>
          <w:sz w:val="16"/>
        </w:rPr>
        <w:endnoteRef/>
      </w:r>
      <w:r w:rsidRPr="00F66BCC">
        <w:rPr>
          <w:sz w:val="16"/>
          <w:vertAlign w:val="superscript"/>
        </w:rPr>
        <w:t xml:space="preserve"> </w:t>
      </w:r>
      <w:r w:rsidRPr="00F66BCC">
        <w:rPr>
          <w:sz w:val="16"/>
        </w:rPr>
        <w:t>Ibid.</w:t>
      </w:r>
      <w:r w:rsidRPr="00F66BCC">
        <w:rPr>
          <w:sz w:val="16"/>
          <w:vertAlign w:val="superscript"/>
        </w:rPr>
        <w:t xml:space="preserve"> </w:t>
      </w:r>
    </w:p>
  </w:endnote>
  <w:endnote w:id="5">
    <w:p w14:paraId="6F99A682" w14:textId="46675E9B" w:rsidR="0059616B" w:rsidRPr="00F66BCC" w:rsidRDefault="0059616B" w:rsidP="005860DE">
      <w:pPr>
        <w:pStyle w:val="Footnote"/>
        <w:rPr>
          <w:sz w:val="16"/>
        </w:rPr>
      </w:pPr>
      <w:r w:rsidRPr="00F66BCC">
        <w:rPr>
          <w:rStyle w:val="EndnoteReference"/>
          <w:sz w:val="16"/>
        </w:rPr>
        <w:endnoteRef/>
      </w:r>
      <w:r w:rsidRPr="00F66BCC">
        <w:rPr>
          <w:sz w:val="16"/>
        </w:rPr>
        <w:t xml:space="preserve"> Ibid.</w:t>
      </w:r>
    </w:p>
  </w:endnote>
  <w:endnote w:id="6">
    <w:p w14:paraId="7495B0ED" w14:textId="251D1CBF" w:rsidR="0059616B" w:rsidRPr="00F66BCC" w:rsidRDefault="0059616B" w:rsidP="005860DE">
      <w:pPr>
        <w:pStyle w:val="Footnote"/>
        <w:rPr>
          <w:sz w:val="16"/>
        </w:rPr>
      </w:pPr>
      <w:r w:rsidRPr="00F66BCC">
        <w:rPr>
          <w:rStyle w:val="EndnoteReference"/>
          <w:sz w:val="16"/>
        </w:rPr>
        <w:endnoteRef/>
      </w:r>
      <w:r w:rsidRPr="00F66BCC">
        <w:rPr>
          <w:sz w:val="16"/>
        </w:rPr>
        <w:t xml:space="preserve"> In July 2018, those incarcerated inside </w:t>
      </w:r>
      <w:proofErr w:type="spellStart"/>
      <w:r w:rsidRPr="00F66BCC">
        <w:rPr>
          <w:sz w:val="16"/>
        </w:rPr>
        <w:t>Graterford</w:t>
      </w:r>
      <w:proofErr w:type="spellEnd"/>
      <w:r w:rsidRPr="00F66BCC">
        <w:rPr>
          <w:sz w:val="16"/>
        </w:rPr>
        <w:t xml:space="preserve"> Prison moved to a new building on the same grounds called SCI Phoenix. “SCI Phoenix,” Pennsylvania Government, Department of Corrections, accessed January 2019, www.cor.pa.gov/Facilities/StatePrisons/Pages/Phoenix.aspx.</w:t>
      </w:r>
    </w:p>
  </w:endnote>
  <w:endnote w:id="7">
    <w:p w14:paraId="2DB15CEC" w14:textId="70173EFD" w:rsidR="0059616B" w:rsidRPr="00F66BCC" w:rsidRDefault="0059616B" w:rsidP="005860DE">
      <w:pPr>
        <w:pStyle w:val="Footnote"/>
        <w:rPr>
          <w:sz w:val="16"/>
        </w:rPr>
      </w:pPr>
      <w:r w:rsidRPr="00F66BCC">
        <w:rPr>
          <w:rStyle w:val="EndnoteReference"/>
          <w:sz w:val="16"/>
        </w:rPr>
        <w:endnoteRef/>
      </w:r>
      <w:r w:rsidRPr="00F66BCC">
        <w:rPr>
          <w:sz w:val="16"/>
        </w:rPr>
        <w:t xml:space="preserve"> “One Brick at a Time,” op. cit.</w:t>
      </w:r>
    </w:p>
  </w:endnote>
  <w:endnote w:id="8">
    <w:p w14:paraId="2AC60F57" w14:textId="1277826C" w:rsidR="0059616B" w:rsidRPr="00F66BCC" w:rsidRDefault="0059616B" w:rsidP="008E68F4">
      <w:pPr>
        <w:pStyle w:val="Footnote"/>
        <w:rPr>
          <w:sz w:val="16"/>
          <w:lang w:val="en-CA"/>
        </w:rPr>
      </w:pPr>
      <w:r w:rsidRPr="00F66BCC">
        <w:rPr>
          <w:rStyle w:val="EndnoteReference"/>
          <w:sz w:val="16"/>
        </w:rPr>
        <w:endnoteRef/>
      </w:r>
      <w:r w:rsidRPr="00F66BCC">
        <w:rPr>
          <w:sz w:val="16"/>
        </w:rPr>
        <w:t xml:space="preserve"> All currency amounts are in US$.</w:t>
      </w:r>
    </w:p>
  </w:endnote>
  <w:endnote w:id="9">
    <w:p w14:paraId="0846A813" w14:textId="3FD50D60" w:rsidR="0059616B" w:rsidRPr="00F66BCC" w:rsidRDefault="0059616B" w:rsidP="005860DE">
      <w:pPr>
        <w:pStyle w:val="Footnote"/>
        <w:rPr>
          <w:sz w:val="16"/>
        </w:rPr>
      </w:pPr>
      <w:r w:rsidRPr="00F66BCC">
        <w:rPr>
          <w:rStyle w:val="EndnoteReference"/>
          <w:sz w:val="16"/>
        </w:rPr>
        <w:endnoteRef/>
      </w:r>
      <w:r w:rsidRPr="00F66BCC">
        <w:rPr>
          <w:sz w:val="16"/>
          <w:vertAlign w:val="superscript"/>
        </w:rPr>
        <w:t xml:space="preserve"> </w:t>
      </w:r>
      <w:r w:rsidRPr="00F66BCC">
        <w:rPr>
          <w:sz w:val="16"/>
        </w:rPr>
        <w:t xml:space="preserve">Fox Management Consulting, </w:t>
      </w:r>
      <w:r w:rsidRPr="00F66BCC">
        <w:rPr>
          <w:i/>
          <w:sz w:val="16"/>
        </w:rPr>
        <w:t>Inside-Out Center Final Report</w:t>
      </w:r>
      <w:r w:rsidRPr="00F66BCC">
        <w:rPr>
          <w:sz w:val="16"/>
        </w:rPr>
        <w:t>, 6, December 14, 2015, accessed October 9, 2018, from company files.</w:t>
      </w:r>
    </w:p>
  </w:endnote>
  <w:endnote w:id="10">
    <w:p w14:paraId="19AA8851" w14:textId="7A45C7F3" w:rsidR="0059616B" w:rsidRPr="00F66BCC" w:rsidRDefault="0059616B" w:rsidP="005860DE">
      <w:pPr>
        <w:pStyle w:val="Footnote"/>
        <w:rPr>
          <w:sz w:val="16"/>
        </w:rPr>
      </w:pPr>
      <w:r w:rsidRPr="00F66BCC">
        <w:rPr>
          <w:rStyle w:val="EndnoteReference"/>
          <w:sz w:val="16"/>
        </w:rPr>
        <w:endnoteRef/>
      </w:r>
      <w:r w:rsidRPr="00F66BCC">
        <w:rPr>
          <w:sz w:val="16"/>
        </w:rPr>
        <w:t xml:space="preserve"> Heidi Diehl, </w:t>
      </w:r>
      <w:r w:rsidRPr="00F66BCC">
        <w:rPr>
          <w:i/>
          <w:sz w:val="16"/>
        </w:rPr>
        <w:t>Colleges and Universities in the US</w:t>
      </w:r>
      <w:r w:rsidRPr="00F66BCC">
        <w:rPr>
          <w:sz w:val="16"/>
        </w:rPr>
        <w:t xml:space="preserve">, IBISWorld Industry Report 61131a, December 2018; Claire O’Connor, </w:t>
      </w:r>
      <w:r w:rsidRPr="00F66BCC">
        <w:rPr>
          <w:i/>
          <w:sz w:val="16"/>
        </w:rPr>
        <w:t>Educational Services in the US</w:t>
      </w:r>
      <w:r w:rsidRPr="00F66BCC">
        <w:rPr>
          <w:sz w:val="16"/>
        </w:rPr>
        <w:t xml:space="preserve">, IBISWorld Industry Report 61, June 2018. </w:t>
      </w:r>
    </w:p>
  </w:endnote>
  <w:endnote w:id="11">
    <w:p w14:paraId="3E3C53BB" w14:textId="2852D03C" w:rsidR="0059616B" w:rsidRPr="00F66BCC" w:rsidRDefault="0059616B" w:rsidP="005860DE">
      <w:pPr>
        <w:pStyle w:val="Footnote"/>
        <w:rPr>
          <w:sz w:val="16"/>
        </w:rPr>
      </w:pPr>
      <w:r w:rsidRPr="00F66BCC">
        <w:rPr>
          <w:rStyle w:val="EndnoteReference"/>
          <w:sz w:val="16"/>
        </w:rPr>
        <w:endnoteRef/>
      </w:r>
      <w:r w:rsidRPr="00F66BCC">
        <w:rPr>
          <w:sz w:val="16"/>
        </w:rPr>
        <w:t xml:space="preserve"> Bob Hildreth, “U.S. Colleges Are Facing a Demographic and Existential Crisis,” </w:t>
      </w:r>
      <w:r w:rsidRPr="00F66BCC">
        <w:rPr>
          <w:i/>
          <w:sz w:val="16"/>
        </w:rPr>
        <w:t>Huffington Post</w:t>
      </w:r>
      <w:r w:rsidRPr="00F66BCC">
        <w:rPr>
          <w:sz w:val="16"/>
        </w:rPr>
        <w:t>, June 26, 2017, accessed October</w:t>
      </w:r>
      <w:r w:rsidR="00F66BCC" w:rsidRPr="00F66BCC">
        <w:rPr>
          <w:sz w:val="16"/>
        </w:rPr>
        <w:t> </w:t>
      </w:r>
      <w:r w:rsidRPr="00F66BCC">
        <w:rPr>
          <w:sz w:val="16"/>
        </w:rPr>
        <w:t>9,</w:t>
      </w:r>
      <w:r w:rsidR="00F66BCC" w:rsidRPr="00F66BCC">
        <w:rPr>
          <w:sz w:val="16"/>
        </w:rPr>
        <w:t> </w:t>
      </w:r>
      <w:r w:rsidRPr="00F66BCC">
        <w:rPr>
          <w:sz w:val="16"/>
        </w:rPr>
        <w:t>2018</w:t>
      </w:r>
      <w:r w:rsidR="00F66BCC" w:rsidRPr="00F66BCC">
        <w:rPr>
          <w:sz w:val="16"/>
        </w:rPr>
        <w:t> www.huffingtonpost.com/entry/us-colleges-are-facing-a-demographic-and-existential_ us_ 59511619e 4b0 326c0a8d09e9</w:t>
      </w:r>
      <w:r w:rsidRPr="00F66BCC">
        <w:rPr>
          <w:rStyle w:val="Hyperlink"/>
          <w:color w:val="auto"/>
          <w:sz w:val="16"/>
          <w:u w:val="none"/>
        </w:rPr>
        <w:t>.</w:t>
      </w:r>
      <w:r w:rsidRPr="00F66BCC">
        <w:rPr>
          <w:sz w:val="16"/>
        </w:rPr>
        <w:t xml:space="preserve"> </w:t>
      </w:r>
    </w:p>
  </w:endnote>
  <w:endnote w:id="12">
    <w:p w14:paraId="2B6511A4" w14:textId="7C628D01" w:rsidR="0059616B" w:rsidRPr="00F66BCC" w:rsidRDefault="0059616B" w:rsidP="005860DE">
      <w:pPr>
        <w:pStyle w:val="Footnote"/>
        <w:rPr>
          <w:sz w:val="16"/>
        </w:rPr>
      </w:pPr>
      <w:r w:rsidRPr="00F66BCC">
        <w:rPr>
          <w:rStyle w:val="EndnoteReference"/>
          <w:sz w:val="16"/>
        </w:rPr>
        <w:endnoteRef/>
      </w:r>
      <w:r w:rsidRPr="00F66BCC">
        <w:rPr>
          <w:sz w:val="16"/>
        </w:rPr>
        <w:t xml:space="preserve"> Deloitte, “2018 Higher Education Industry Outlook,” 2017, accessed October 9, 2018, </w:t>
      </w:r>
      <w:hyperlink r:id="rId1" w:history="1">
        <w:r w:rsidRPr="00F66BCC">
          <w:rPr>
            <w:rStyle w:val="Hyperlink"/>
            <w:color w:val="auto"/>
            <w:sz w:val="16"/>
            <w:u w:val="none"/>
          </w:rPr>
          <w:t>www2.deloitte.com/us/en/pages/public-sector/articles/higher-education-industry-outlook.html</w:t>
        </w:r>
      </w:hyperlink>
      <w:r w:rsidRPr="00F66BCC">
        <w:rPr>
          <w:rStyle w:val="Hyperlink"/>
          <w:color w:val="auto"/>
          <w:sz w:val="16"/>
          <w:u w:val="none"/>
        </w:rPr>
        <w:t>.</w:t>
      </w:r>
      <w:r w:rsidRPr="00F66BCC">
        <w:rPr>
          <w:sz w:val="16"/>
        </w:rPr>
        <w:t xml:space="preserve"> </w:t>
      </w:r>
    </w:p>
  </w:endnote>
  <w:endnote w:id="13">
    <w:p w14:paraId="5F6278D9" w14:textId="2FEFBCD1" w:rsidR="0059616B" w:rsidRPr="00F66BCC" w:rsidRDefault="0059616B" w:rsidP="005860DE">
      <w:pPr>
        <w:pStyle w:val="Footnote"/>
        <w:rPr>
          <w:sz w:val="16"/>
        </w:rPr>
      </w:pPr>
      <w:r w:rsidRPr="00F66BCC">
        <w:rPr>
          <w:rStyle w:val="EndnoteReference"/>
          <w:sz w:val="16"/>
        </w:rPr>
        <w:endnoteRef/>
      </w:r>
      <w:r w:rsidRPr="00F66BCC">
        <w:rPr>
          <w:sz w:val="16"/>
        </w:rPr>
        <w:t xml:space="preserve"> NAACP, “Criminal Justice Fact Sheet: Incarceration Trends in America,” accessed October 9, 2018, www.naacp.org/criminal-justice-fact-sheet/.</w:t>
      </w:r>
    </w:p>
  </w:endnote>
  <w:endnote w:id="14">
    <w:p w14:paraId="5FC3067B" w14:textId="3C8F8A10" w:rsidR="0059616B" w:rsidRPr="00F66BCC" w:rsidRDefault="0059616B" w:rsidP="005860DE">
      <w:pPr>
        <w:pStyle w:val="Footnote"/>
        <w:rPr>
          <w:sz w:val="16"/>
        </w:rPr>
      </w:pPr>
      <w:r w:rsidRPr="00F66BCC">
        <w:rPr>
          <w:rStyle w:val="EndnoteReference"/>
          <w:sz w:val="16"/>
        </w:rPr>
        <w:endnoteRef/>
      </w:r>
      <w:r w:rsidRPr="00F66BCC">
        <w:rPr>
          <w:sz w:val="16"/>
        </w:rPr>
        <w:t xml:space="preserve"> Leah </w:t>
      </w:r>
      <w:proofErr w:type="spellStart"/>
      <w:r w:rsidRPr="00F66BCC">
        <w:rPr>
          <w:sz w:val="16"/>
        </w:rPr>
        <w:t>Sakala</w:t>
      </w:r>
      <w:proofErr w:type="spellEnd"/>
      <w:r w:rsidRPr="00F66BCC">
        <w:rPr>
          <w:sz w:val="16"/>
        </w:rPr>
        <w:t>, “Breaking Down Mass Incarceration in the 2010 Census: State-by-State Incarceration Rates by Race/Ethnicity,” May 28, 2014, accessed October 9, 2018, www.prisonpolicy.org/reports/rates.html.</w:t>
      </w:r>
    </w:p>
  </w:endnote>
  <w:endnote w:id="15">
    <w:p w14:paraId="57DC7ADE" w14:textId="08E35A1B" w:rsidR="0059616B" w:rsidRPr="00F66BCC" w:rsidRDefault="0059616B" w:rsidP="005860DE">
      <w:pPr>
        <w:pStyle w:val="Footnote"/>
        <w:rPr>
          <w:sz w:val="16"/>
        </w:rPr>
      </w:pPr>
      <w:r w:rsidRPr="00F66BCC">
        <w:rPr>
          <w:rStyle w:val="EndnoteReference"/>
          <w:sz w:val="16"/>
        </w:rPr>
        <w:endnoteRef/>
      </w:r>
      <w:r w:rsidRPr="00F66BCC">
        <w:rPr>
          <w:sz w:val="16"/>
        </w:rPr>
        <w:t xml:space="preserve"> Prison Studies Project, “Villanova University Undergraduate Degree Program at SCI </w:t>
      </w:r>
      <w:proofErr w:type="spellStart"/>
      <w:r w:rsidRPr="00F66BCC">
        <w:rPr>
          <w:sz w:val="16"/>
        </w:rPr>
        <w:t>Graterford</w:t>
      </w:r>
      <w:proofErr w:type="spellEnd"/>
      <w:r w:rsidRPr="00F66BCC">
        <w:rPr>
          <w:sz w:val="16"/>
        </w:rPr>
        <w:t xml:space="preserve">,” accessed November 13, 2018, </w:t>
      </w:r>
      <w:hyperlink r:id="rId2" w:history="1">
        <w:r w:rsidRPr="00F66BCC">
          <w:rPr>
            <w:rStyle w:val="Hyperlink"/>
            <w:color w:val="auto"/>
            <w:sz w:val="16"/>
            <w:u w:val="none"/>
          </w:rPr>
          <w:t>http://prisonstudiesproject.org/2017/07/villanova-undergraduate-degree-program-at-sci-graterford/</w:t>
        </w:r>
      </w:hyperlink>
      <w:r w:rsidRPr="00F66BCC">
        <w:rPr>
          <w:sz w:val="16"/>
        </w:rPr>
        <w:t xml:space="preserve">. </w:t>
      </w:r>
    </w:p>
  </w:endnote>
  <w:endnote w:id="16">
    <w:p w14:paraId="40627CDA" w14:textId="72C7C86A" w:rsidR="0059616B" w:rsidRPr="00F66BCC" w:rsidRDefault="0059616B" w:rsidP="005860DE">
      <w:pPr>
        <w:pStyle w:val="Footnote"/>
        <w:rPr>
          <w:sz w:val="16"/>
        </w:rPr>
      </w:pPr>
      <w:r w:rsidRPr="00F66BCC">
        <w:rPr>
          <w:rStyle w:val="EndnoteReference"/>
          <w:sz w:val="16"/>
        </w:rPr>
        <w:endnoteRef/>
      </w:r>
      <w:r w:rsidRPr="00F66BCC">
        <w:rPr>
          <w:sz w:val="16"/>
        </w:rPr>
        <w:t xml:space="preserve"> Gaby Galvin, “Underfunded, Overcrowded State Prisons Struggle with Reform,” </w:t>
      </w:r>
      <w:r w:rsidRPr="00F66BCC">
        <w:rPr>
          <w:i/>
          <w:sz w:val="16"/>
        </w:rPr>
        <w:t>US News &amp; World Report</w:t>
      </w:r>
      <w:r w:rsidRPr="00F66BCC">
        <w:rPr>
          <w:sz w:val="16"/>
        </w:rPr>
        <w:t xml:space="preserve">, July 26, 2017, accessed October 9, 2018, www.usnews.com/news/best-states/articles/2017-07-26/understaffed-and-overcrowded-state-prisons-crippled-by-budget-constraints-bad-leadership. </w:t>
      </w:r>
    </w:p>
  </w:endnote>
  <w:endnote w:id="17">
    <w:p w14:paraId="1D5C87BF" w14:textId="2AADF5FC" w:rsidR="0059616B" w:rsidRPr="00F66BCC" w:rsidRDefault="0059616B" w:rsidP="005860DE">
      <w:pPr>
        <w:pStyle w:val="Footnote"/>
        <w:rPr>
          <w:b/>
          <w:sz w:val="16"/>
        </w:rPr>
      </w:pPr>
      <w:r w:rsidRPr="00F66BCC">
        <w:rPr>
          <w:rStyle w:val="EndnoteReference"/>
          <w:sz w:val="16"/>
        </w:rPr>
        <w:endnoteRef/>
      </w:r>
      <w:r w:rsidRPr="00F66BCC">
        <w:rPr>
          <w:sz w:val="16"/>
        </w:rPr>
        <w:t xml:space="preserve"> Tim Goral, “Bard College Teaches Prisoners,” University</w:t>
      </w:r>
      <w:r w:rsidR="00FC08B2" w:rsidRPr="00F66BCC">
        <w:rPr>
          <w:sz w:val="16"/>
        </w:rPr>
        <w:t xml:space="preserve"> </w:t>
      </w:r>
      <w:r w:rsidRPr="00F66BCC">
        <w:rPr>
          <w:sz w:val="16"/>
        </w:rPr>
        <w:t xml:space="preserve">Business, May 19, 2017, accessed October 9, 2018, </w:t>
      </w:r>
      <w:r w:rsidR="00FC08B2" w:rsidRPr="00F66BCC">
        <w:rPr>
          <w:sz w:val="16"/>
        </w:rPr>
        <w:t>https://universitybusiness.com/bard-college-teaches-prisoners/</w:t>
      </w:r>
      <w:r w:rsidRPr="00F66BCC">
        <w:rPr>
          <w:rStyle w:val="Hyperlink"/>
          <w:color w:val="auto"/>
          <w:sz w:val="16"/>
          <w:u w:val="none"/>
        </w:rPr>
        <w:t>.</w:t>
      </w:r>
      <w:r w:rsidRPr="00F66BCC">
        <w:rPr>
          <w:sz w:val="16"/>
        </w:rPr>
        <w:t xml:space="preserve"> </w:t>
      </w:r>
    </w:p>
  </w:endnote>
  <w:endnote w:id="18">
    <w:p w14:paraId="01D067FB" w14:textId="6A656969" w:rsidR="0059616B" w:rsidRPr="00F66BCC" w:rsidRDefault="0059616B" w:rsidP="005860DE">
      <w:pPr>
        <w:pStyle w:val="Footnote"/>
        <w:rPr>
          <w:sz w:val="16"/>
        </w:rPr>
      </w:pPr>
      <w:r w:rsidRPr="00F66BCC">
        <w:rPr>
          <w:rStyle w:val="EndnoteReference"/>
          <w:sz w:val="16"/>
        </w:rPr>
        <w:endnoteRef/>
      </w:r>
      <w:r w:rsidRPr="00F66BCC">
        <w:rPr>
          <w:sz w:val="16"/>
        </w:rPr>
        <w:t xml:space="preserve"> Nicole Lewis, “The Uncertain Fate of College in Prison,” The</w:t>
      </w:r>
      <w:r w:rsidR="00FC08B2" w:rsidRPr="00F66BCC">
        <w:rPr>
          <w:sz w:val="16"/>
        </w:rPr>
        <w:t xml:space="preserve"> </w:t>
      </w:r>
      <w:r w:rsidRPr="00F66BCC">
        <w:rPr>
          <w:sz w:val="16"/>
        </w:rPr>
        <w:t>Marshall</w:t>
      </w:r>
      <w:r w:rsidR="00FC08B2" w:rsidRPr="00F66BCC">
        <w:rPr>
          <w:sz w:val="16"/>
        </w:rPr>
        <w:t xml:space="preserve"> </w:t>
      </w:r>
      <w:r w:rsidRPr="00F66BCC">
        <w:rPr>
          <w:sz w:val="16"/>
        </w:rPr>
        <w:t>Project, March 28, 2018, accessed October 9, 2018, www.themarshallproject.org/2018/03/28/the-uncertain-fate-of-college-in-prison</w:t>
      </w:r>
      <w:r w:rsidRPr="00F66BCC">
        <w:rPr>
          <w:rStyle w:val="Hyperlink"/>
          <w:color w:val="auto"/>
          <w:sz w:val="16"/>
          <w:u w:val="none"/>
        </w:rPr>
        <w:t>.</w:t>
      </w:r>
      <w:r w:rsidRPr="00F66BCC">
        <w:rPr>
          <w:sz w:val="16"/>
        </w:rPr>
        <w:t xml:space="preserve"> </w:t>
      </w:r>
    </w:p>
  </w:endnote>
  <w:endnote w:id="19">
    <w:p w14:paraId="3331C780" w14:textId="25B57059" w:rsidR="0059616B" w:rsidRPr="00F66BCC" w:rsidRDefault="0059616B" w:rsidP="005860DE">
      <w:pPr>
        <w:pStyle w:val="Footnote"/>
        <w:rPr>
          <w:sz w:val="16"/>
        </w:rPr>
      </w:pPr>
      <w:r w:rsidRPr="00F66BCC">
        <w:rPr>
          <w:rStyle w:val="EndnoteReference"/>
          <w:sz w:val="16"/>
        </w:rPr>
        <w:endnoteRef/>
      </w:r>
      <w:r w:rsidRPr="00F66BCC">
        <w:rPr>
          <w:sz w:val="16"/>
        </w:rPr>
        <w:t xml:space="preserve"> Kevin </w:t>
      </w:r>
      <w:proofErr w:type="spellStart"/>
      <w:r w:rsidRPr="00F66BCC">
        <w:rPr>
          <w:sz w:val="16"/>
        </w:rPr>
        <w:t>Roose</w:t>
      </w:r>
      <w:proofErr w:type="spellEnd"/>
      <w:r w:rsidRPr="00F66BCC">
        <w:rPr>
          <w:sz w:val="16"/>
        </w:rPr>
        <w:t xml:space="preserve"> and </w:t>
      </w:r>
      <w:proofErr w:type="spellStart"/>
      <w:r w:rsidRPr="00F66BCC">
        <w:rPr>
          <w:sz w:val="16"/>
        </w:rPr>
        <w:t>Pendarvis</w:t>
      </w:r>
      <w:proofErr w:type="spellEnd"/>
      <w:r w:rsidRPr="00F66BCC">
        <w:rPr>
          <w:sz w:val="16"/>
        </w:rPr>
        <w:t xml:space="preserve"> </w:t>
      </w:r>
      <w:proofErr w:type="spellStart"/>
      <w:r w:rsidRPr="00F66BCC">
        <w:rPr>
          <w:sz w:val="16"/>
        </w:rPr>
        <w:t>Harshaw</w:t>
      </w:r>
      <w:proofErr w:type="spellEnd"/>
      <w:r w:rsidRPr="00F66BCC">
        <w:rPr>
          <w:sz w:val="16"/>
        </w:rPr>
        <w:t xml:space="preserve">, “After Years behind Bars, Can Prisoners Re-enter a Digital </w:t>
      </w:r>
      <w:proofErr w:type="gramStart"/>
      <w:r w:rsidRPr="00F66BCC">
        <w:rPr>
          <w:sz w:val="16"/>
        </w:rPr>
        <w:t>Society?,</w:t>
      </w:r>
      <w:proofErr w:type="gramEnd"/>
      <w:r w:rsidRPr="00F66BCC">
        <w:rPr>
          <w:sz w:val="16"/>
        </w:rPr>
        <w:t>” Splinter</w:t>
      </w:r>
      <w:r w:rsidR="00601D5E" w:rsidRPr="00F66BCC">
        <w:rPr>
          <w:sz w:val="16"/>
        </w:rPr>
        <w:t xml:space="preserve"> </w:t>
      </w:r>
      <w:r w:rsidRPr="00F66BCC">
        <w:rPr>
          <w:sz w:val="16"/>
        </w:rPr>
        <w:t>News, February 4, 2015, accessed October 9, 2018, https://splinternews.com/after-years-behind-bars-can-prisoners-re-enter-a-digit-1793845085</w:t>
      </w:r>
      <w:r w:rsidRPr="00F66BCC">
        <w:rPr>
          <w:rStyle w:val="Hyperlink"/>
          <w:color w:val="auto"/>
          <w:sz w:val="16"/>
          <w:u w:val="none"/>
        </w:rPr>
        <w:t>.</w:t>
      </w:r>
    </w:p>
  </w:endnote>
  <w:endnote w:id="20">
    <w:p w14:paraId="17BF3FA3" w14:textId="5DDD13FE" w:rsidR="0059616B" w:rsidRPr="00F66BCC" w:rsidRDefault="0059616B" w:rsidP="005860DE">
      <w:pPr>
        <w:pStyle w:val="Footnote"/>
        <w:rPr>
          <w:sz w:val="16"/>
        </w:rPr>
      </w:pPr>
      <w:r w:rsidRPr="00F66BCC">
        <w:rPr>
          <w:rStyle w:val="EndnoteReference"/>
          <w:sz w:val="16"/>
        </w:rPr>
        <w:endnoteRef/>
      </w:r>
      <w:r w:rsidRPr="00F66BCC">
        <w:rPr>
          <w:sz w:val="16"/>
        </w:rPr>
        <w:t xml:space="preserve"> Christopher Zoukis, “Technology Boosts Prison Education,” Prison</w:t>
      </w:r>
      <w:r w:rsidR="00601D5E" w:rsidRPr="00F66BCC">
        <w:rPr>
          <w:sz w:val="16"/>
        </w:rPr>
        <w:t xml:space="preserve"> </w:t>
      </w:r>
      <w:r w:rsidRPr="00F66BCC">
        <w:rPr>
          <w:sz w:val="16"/>
        </w:rPr>
        <w:t xml:space="preserve">Education, September 28, 2016, accessed October 9, 2018, https://prisoneducation.com/prison-education-news/technology-boosts-prison-education/; </w:t>
      </w:r>
      <w:proofErr w:type="spellStart"/>
      <w:r w:rsidRPr="00F66BCC">
        <w:rPr>
          <w:sz w:val="16"/>
        </w:rPr>
        <w:t>Edovo</w:t>
      </w:r>
      <w:proofErr w:type="spellEnd"/>
      <w:r w:rsidRPr="00F66BCC">
        <w:rPr>
          <w:sz w:val="16"/>
        </w:rPr>
        <w:t xml:space="preserve">, </w:t>
      </w:r>
      <w:r w:rsidR="00601D5E" w:rsidRPr="00F66BCC">
        <w:rPr>
          <w:sz w:val="16"/>
        </w:rPr>
        <w:t xml:space="preserve">“The Solution,” </w:t>
      </w:r>
      <w:r w:rsidRPr="00F66BCC">
        <w:rPr>
          <w:sz w:val="16"/>
        </w:rPr>
        <w:t>accessed October 9, 2018, www.edovo.com.</w:t>
      </w:r>
    </w:p>
  </w:endnote>
  <w:endnote w:id="21">
    <w:p w14:paraId="1EF91B4C" w14:textId="1C1E296E" w:rsidR="0059616B" w:rsidRPr="00F66BCC" w:rsidRDefault="0059616B" w:rsidP="005860DE">
      <w:pPr>
        <w:pStyle w:val="Footnote"/>
        <w:rPr>
          <w:sz w:val="16"/>
        </w:rPr>
      </w:pPr>
      <w:r w:rsidRPr="00F66BCC">
        <w:rPr>
          <w:rStyle w:val="EndnoteReference"/>
          <w:sz w:val="16"/>
        </w:rPr>
        <w:endnoteRef/>
      </w:r>
      <w:r w:rsidRPr="00F66BCC">
        <w:rPr>
          <w:sz w:val="16"/>
        </w:rPr>
        <w:t xml:space="preserve"> Victoria Law, “Captive Audience: How Companies Make Millions Charging Prisoners to Send an Email,” Wired, August 3, 2018, accessed October 9, 2018, www.wired.com/story/jpay-securus-prison-email-charging-millions/.</w:t>
      </w:r>
    </w:p>
  </w:endnote>
  <w:endnote w:id="22">
    <w:p w14:paraId="5598E63C" w14:textId="10AC65CF" w:rsidR="0059616B" w:rsidRPr="00F66BCC" w:rsidRDefault="0059616B" w:rsidP="005860DE">
      <w:pPr>
        <w:pStyle w:val="Footnote"/>
        <w:rPr>
          <w:sz w:val="16"/>
        </w:rPr>
      </w:pPr>
      <w:r w:rsidRPr="00F66BCC">
        <w:rPr>
          <w:rStyle w:val="EndnoteReference"/>
          <w:sz w:val="16"/>
        </w:rPr>
        <w:endnoteRef/>
      </w:r>
      <w:r w:rsidRPr="00F66BCC">
        <w:rPr>
          <w:sz w:val="16"/>
        </w:rPr>
        <w:t xml:space="preserve"> Galvin, op. cit. </w:t>
      </w:r>
    </w:p>
  </w:endnote>
  <w:endnote w:id="23">
    <w:p w14:paraId="65C56B67" w14:textId="7734F38C" w:rsidR="0059616B" w:rsidRPr="00F66BCC" w:rsidRDefault="0059616B" w:rsidP="005860DE">
      <w:pPr>
        <w:pStyle w:val="Footnote"/>
        <w:rPr>
          <w:sz w:val="16"/>
        </w:rPr>
      </w:pPr>
      <w:r w:rsidRPr="00F66BCC">
        <w:rPr>
          <w:rStyle w:val="EndnoteReference"/>
          <w:sz w:val="16"/>
        </w:rPr>
        <w:endnoteRef/>
      </w:r>
      <w:r w:rsidRPr="00F66BCC">
        <w:rPr>
          <w:sz w:val="16"/>
        </w:rPr>
        <w:t xml:space="preserve"> Greg Garland and Annie </w:t>
      </w:r>
      <w:proofErr w:type="spellStart"/>
      <w:r w:rsidRPr="00F66BCC">
        <w:rPr>
          <w:sz w:val="16"/>
        </w:rPr>
        <w:t>Linskey</w:t>
      </w:r>
      <w:proofErr w:type="spellEnd"/>
      <w:r w:rsidRPr="00F66BCC">
        <w:rPr>
          <w:sz w:val="16"/>
        </w:rPr>
        <w:t xml:space="preserve">, “The Price of Violence—Hospital Care for Inmates Assaulted in Maryland Prisons Is Expected to Cost More Than $1 Million This Year,” </w:t>
      </w:r>
      <w:r w:rsidRPr="00F66BCC">
        <w:rPr>
          <w:i/>
          <w:sz w:val="16"/>
        </w:rPr>
        <w:t>Baltimore Sun</w:t>
      </w:r>
      <w:r w:rsidRPr="00F66BCC">
        <w:rPr>
          <w:sz w:val="16"/>
        </w:rPr>
        <w:t>, September 21, 2006: 1A.</w:t>
      </w:r>
    </w:p>
  </w:endnote>
  <w:endnote w:id="24">
    <w:p w14:paraId="61B645ED" w14:textId="4AFB3F4E" w:rsidR="0059616B" w:rsidRPr="00F66BCC" w:rsidRDefault="0059616B" w:rsidP="005860DE">
      <w:pPr>
        <w:pStyle w:val="Footnote"/>
        <w:rPr>
          <w:sz w:val="16"/>
        </w:rPr>
      </w:pPr>
      <w:r w:rsidRPr="00F66BCC">
        <w:rPr>
          <w:rStyle w:val="EndnoteReference"/>
          <w:sz w:val="16"/>
        </w:rPr>
        <w:endnoteRef/>
      </w:r>
      <w:r w:rsidRPr="00F66BCC">
        <w:rPr>
          <w:sz w:val="16"/>
        </w:rPr>
        <w:t xml:space="preserve"> Scott Sonner, “Elko County to Charge Inmates for Meals; ACLU Upset,” </w:t>
      </w:r>
      <w:r w:rsidRPr="00F66BCC">
        <w:rPr>
          <w:i/>
          <w:sz w:val="16"/>
        </w:rPr>
        <w:t>Las Vegas Sun</w:t>
      </w:r>
      <w:r w:rsidRPr="00F66BCC">
        <w:rPr>
          <w:sz w:val="16"/>
        </w:rPr>
        <w:t>, February 7, 2014, accessed October 9, 2018, https://lasvegassun.com/news/2014/feb/07/elko-county-charges-inmates-meals-aclu-upset/.</w:t>
      </w:r>
    </w:p>
  </w:endnote>
  <w:endnote w:id="25">
    <w:p w14:paraId="28A58A70" w14:textId="020ECF6F" w:rsidR="0059616B" w:rsidRPr="00F66BCC" w:rsidRDefault="0059616B" w:rsidP="005860DE">
      <w:pPr>
        <w:pStyle w:val="Footnote"/>
        <w:rPr>
          <w:sz w:val="16"/>
        </w:rPr>
      </w:pPr>
      <w:r w:rsidRPr="00F66BCC">
        <w:rPr>
          <w:rStyle w:val="EndnoteReference"/>
          <w:sz w:val="16"/>
        </w:rPr>
        <w:endnoteRef/>
      </w:r>
      <w:r w:rsidRPr="00F66BCC">
        <w:rPr>
          <w:sz w:val="16"/>
        </w:rPr>
        <w:t xml:space="preserve"> Lauren-Brooke “L.B.” Eisen, “Paying for Your Time: How Charging Inmates Fees behind Bars May Violate the Excessive Fines Clause,” BrennanCenter.org, July 31, 2014, accessed October 9, 2018, </w:t>
      </w:r>
      <w:r w:rsidRPr="00F66BCC">
        <w:rPr>
          <w:rStyle w:val="Hyperlink"/>
          <w:color w:val="auto"/>
          <w:sz w:val="16"/>
          <w:u w:val="none"/>
        </w:rPr>
        <w:t>www.brennancenter.org/analysis/paying-your-time-how-charging-inmates-fees-behind-bars-may-violate-excessive-fines-clause#co_footnoteReference_F20404910944_ID0E4F.</w:t>
      </w:r>
    </w:p>
  </w:endnote>
  <w:endnote w:id="26">
    <w:p w14:paraId="71BCAF65" w14:textId="589D0F13" w:rsidR="0059616B" w:rsidRPr="00F66BCC" w:rsidRDefault="0059616B" w:rsidP="005860DE">
      <w:pPr>
        <w:pStyle w:val="Footnote"/>
        <w:rPr>
          <w:sz w:val="16"/>
        </w:rPr>
      </w:pPr>
      <w:r w:rsidRPr="00F66BCC">
        <w:rPr>
          <w:rStyle w:val="EndnoteReference"/>
          <w:sz w:val="16"/>
        </w:rPr>
        <w:endnoteRef/>
      </w:r>
      <w:r w:rsidRPr="00F66BCC">
        <w:rPr>
          <w:sz w:val="16"/>
        </w:rPr>
        <w:t xml:space="preserve"> Amanda </w:t>
      </w:r>
      <w:proofErr w:type="spellStart"/>
      <w:r w:rsidRPr="00F66BCC">
        <w:rPr>
          <w:sz w:val="16"/>
        </w:rPr>
        <w:t>Pompoco</w:t>
      </w:r>
      <w:proofErr w:type="spellEnd"/>
      <w:r w:rsidRPr="00F66BCC">
        <w:rPr>
          <w:sz w:val="16"/>
        </w:rPr>
        <w:t xml:space="preserve">, John </w:t>
      </w:r>
      <w:proofErr w:type="spellStart"/>
      <w:r w:rsidRPr="00F66BCC">
        <w:rPr>
          <w:sz w:val="16"/>
        </w:rPr>
        <w:t>Wooldrege</w:t>
      </w:r>
      <w:proofErr w:type="spellEnd"/>
      <w:r w:rsidRPr="00F66BCC">
        <w:rPr>
          <w:sz w:val="16"/>
        </w:rPr>
        <w:t xml:space="preserve">, Melissa Lugo, Carrie Sullivan, and Edward J. </w:t>
      </w:r>
      <w:proofErr w:type="spellStart"/>
      <w:r w:rsidRPr="00F66BCC">
        <w:rPr>
          <w:sz w:val="16"/>
        </w:rPr>
        <w:t>Latessa</w:t>
      </w:r>
      <w:proofErr w:type="spellEnd"/>
      <w:r w:rsidRPr="00F66BCC">
        <w:rPr>
          <w:sz w:val="16"/>
        </w:rPr>
        <w:t xml:space="preserve">, “Reducing Inmate Misconduct and Prison Returns with Facility Education Programs,” </w:t>
      </w:r>
      <w:r w:rsidRPr="00F66BCC">
        <w:rPr>
          <w:i/>
          <w:sz w:val="16"/>
        </w:rPr>
        <w:t>Criminology and Public Policy</w:t>
      </w:r>
      <w:r w:rsidRPr="00F66BCC">
        <w:rPr>
          <w:sz w:val="16"/>
        </w:rPr>
        <w:t xml:space="preserve"> 16, no. 2 (May 2017): 515–547.</w:t>
      </w:r>
    </w:p>
  </w:endnote>
  <w:endnote w:id="27">
    <w:p w14:paraId="6EA1A52F" w14:textId="6C8B1309" w:rsidR="0059616B" w:rsidRPr="00F66BCC" w:rsidRDefault="0059616B" w:rsidP="005860DE">
      <w:pPr>
        <w:pStyle w:val="Footnote"/>
        <w:rPr>
          <w:sz w:val="16"/>
        </w:rPr>
      </w:pPr>
      <w:r w:rsidRPr="00F66BCC">
        <w:rPr>
          <w:rStyle w:val="EndnoteReference"/>
          <w:sz w:val="16"/>
        </w:rPr>
        <w:endnoteRef/>
      </w:r>
      <w:r w:rsidRPr="00F66BCC">
        <w:rPr>
          <w:sz w:val="16"/>
        </w:rPr>
        <w:t xml:space="preserve"> Lois M. Davis, Robert Bozick, Jennifer L. Steele, Jessica Saunders, and Jeremy N. V. Miles, </w:t>
      </w:r>
      <w:r w:rsidRPr="00F66BCC">
        <w:rPr>
          <w:i/>
          <w:sz w:val="16"/>
        </w:rPr>
        <w:t>Evaluating the Effectiveness of Correctional Education: A Meta-Analysis of Programs That Provide Education to Incarcerated Adults</w:t>
      </w:r>
      <w:r w:rsidRPr="00F66BCC">
        <w:rPr>
          <w:sz w:val="16"/>
        </w:rPr>
        <w:t xml:space="preserve"> (Santa Monica, CA: RAND Corporation, 2013), </w:t>
      </w:r>
      <w:r w:rsidRPr="00F66BCC">
        <w:rPr>
          <w:rStyle w:val="Hyperlink"/>
          <w:color w:val="auto"/>
          <w:sz w:val="16"/>
          <w:u w:val="none"/>
        </w:rPr>
        <w:t>www.rand.org/pubs/research_reports/RR266.html</w:t>
      </w:r>
      <w:r w:rsidRPr="00F66BCC">
        <w:rPr>
          <w:sz w:val="16"/>
        </w:rPr>
        <w:t xml:space="preserve">. </w:t>
      </w:r>
    </w:p>
  </w:endnote>
  <w:endnote w:id="28">
    <w:p w14:paraId="4A4AE0B4" w14:textId="0E8AA7A4" w:rsidR="0059616B" w:rsidRPr="00F66BCC" w:rsidRDefault="0059616B" w:rsidP="005860DE">
      <w:pPr>
        <w:pStyle w:val="Footnote"/>
        <w:rPr>
          <w:sz w:val="16"/>
        </w:rPr>
      </w:pPr>
      <w:r w:rsidRPr="00F66BCC">
        <w:rPr>
          <w:rStyle w:val="EndnoteReference"/>
          <w:sz w:val="16"/>
        </w:rPr>
        <w:endnoteRef/>
      </w:r>
      <w:r w:rsidRPr="00F66BCC">
        <w:rPr>
          <w:sz w:val="16"/>
        </w:rPr>
        <w:t xml:space="preserve"> RAND Corporation, “Cost of Crime Calculator,” October 2018, accessed November 13, 2018, </w:t>
      </w:r>
      <w:r w:rsidRPr="00F66BCC">
        <w:rPr>
          <w:rStyle w:val="Hyperlink"/>
          <w:color w:val="auto"/>
          <w:sz w:val="16"/>
          <w:u w:val="none"/>
        </w:rPr>
        <w:t>www.rand.org/jie/justice-policy/centers/quality-policing/cost-of-crime.html</w:t>
      </w:r>
      <w:r w:rsidRPr="00F66BCC">
        <w:rPr>
          <w:sz w:val="16"/>
        </w:rPr>
        <w:t>.</w:t>
      </w:r>
    </w:p>
  </w:endnote>
  <w:endnote w:id="29">
    <w:p w14:paraId="359B3122" w14:textId="1D03968F" w:rsidR="0059616B" w:rsidRPr="00F66BCC" w:rsidRDefault="0059616B" w:rsidP="005860DE">
      <w:pPr>
        <w:pStyle w:val="Footnote"/>
        <w:rPr>
          <w:sz w:val="16"/>
        </w:rPr>
      </w:pPr>
      <w:r w:rsidRPr="00F66BCC">
        <w:rPr>
          <w:rStyle w:val="EndnoteReference"/>
          <w:sz w:val="16"/>
        </w:rPr>
        <w:endnoteRef/>
      </w:r>
      <w:r w:rsidRPr="00F66BCC">
        <w:rPr>
          <w:sz w:val="16"/>
        </w:rPr>
        <w:t xml:space="preserve"> Christopher R. </w:t>
      </w:r>
      <w:proofErr w:type="spellStart"/>
      <w:r w:rsidRPr="00F66BCC">
        <w:rPr>
          <w:sz w:val="16"/>
        </w:rPr>
        <w:t>Tamborini</w:t>
      </w:r>
      <w:proofErr w:type="spellEnd"/>
      <w:r w:rsidRPr="00F66BCC">
        <w:rPr>
          <w:sz w:val="16"/>
        </w:rPr>
        <w:t xml:space="preserve">, </w:t>
      </w:r>
      <w:proofErr w:type="spellStart"/>
      <w:r w:rsidRPr="00F66BCC">
        <w:rPr>
          <w:sz w:val="16"/>
        </w:rPr>
        <w:t>ChangHwan</w:t>
      </w:r>
      <w:proofErr w:type="spellEnd"/>
      <w:r w:rsidRPr="00F66BCC">
        <w:rPr>
          <w:sz w:val="16"/>
        </w:rPr>
        <w:t xml:space="preserve"> Kim, and Arthur Sakamoto, “Education and Lifetime Earnings in the United States,” </w:t>
      </w:r>
      <w:r w:rsidRPr="00F66BCC">
        <w:rPr>
          <w:i/>
          <w:sz w:val="16"/>
        </w:rPr>
        <w:t>Demography</w:t>
      </w:r>
      <w:r w:rsidRPr="00F66BCC">
        <w:rPr>
          <w:sz w:val="16"/>
        </w:rPr>
        <w:t xml:space="preserve"> 52 (2015): 1383–1407.</w:t>
      </w:r>
    </w:p>
  </w:endnote>
  <w:endnote w:id="30">
    <w:p w14:paraId="1DB8B3BB" w14:textId="2B31AE7D" w:rsidR="0059616B" w:rsidRPr="00F66BCC" w:rsidRDefault="0059616B" w:rsidP="005860DE">
      <w:pPr>
        <w:pStyle w:val="Footnote"/>
        <w:rPr>
          <w:sz w:val="16"/>
        </w:rPr>
      </w:pPr>
      <w:r w:rsidRPr="00F66BCC">
        <w:rPr>
          <w:rStyle w:val="EndnoteReference"/>
          <w:sz w:val="16"/>
        </w:rPr>
        <w:endnoteRef/>
      </w:r>
      <w:r w:rsidRPr="00F66BCC">
        <w:rPr>
          <w:sz w:val="16"/>
        </w:rPr>
        <w:t xml:space="preserve"> Faculty time for each course was expensive. While universities calculated the costs differently, one method </w:t>
      </w:r>
      <w:r w:rsidR="009252A6" w:rsidRPr="00F66BCC">
        <w:rPr>
          <w:sz w:val="16"/>
        </w:rPr>
        <w:t>was</w:t>
      </w:r>
      <w:r w:rsidRPr="00F66BCC">
        <w:rPr>
          <w:sz w:val="16"/>
        </w:rPr>
        <w:t xml:space="preserve"> to charge to each course one</w:t>
      </w:r>
      <w:r w:rsidR="009252A6" w:rsidRPr="00F66BCC">
        <w:rPr>
          <w:sz w:val="16"/>
        </w:rPr>
        <w:t>-</w:t>
      </w:r>
      <w:r w:rsidRPr="00F66BCC">
        <w:rPr>
          <w:sz w:val="16"/>
        </w:rPr>
        <w:t>fifth of a faculty member’s fully loaded salary (and to estimate a fully loaded salary as being 35</w:t>
      </w:r>
      <w:r w:rsidR="009252A6" w:rsidRPr="00F66BCC">
        <w:rPr>
          <w:sz w:val="16"/>
        </w:rPr>
        <w:t xml:space="preserve"> per cent</w:t>
      </w:r>
      <w:r w:rsidRPr="00F66BCC">
        <w:rPr>
          <w:sz w:val="16"/>
        </w:rPr>
        <w:t xml:space="preserve"> more than the stated salary). Source: Author calculation.</w:t>
      </w:r>
    </w:p>
  </w:endnote>
  <w:endnote w:id="31">
    <w:p w14:paraId="51D3C042" w14:textId="0A757327" w:rsidR="0059616B" w:rsidRPr="00F66BCC" w:rsidRDefault="0059616B" w:rsidP="005860DE">
      <w:pPr>
        <w:pStyle w:val="Footnote"/>
        <w:rPr>
          <w:sz w:val="16"/>
        </w:rPr>
      </w:pPr>
      <w:r w:rsidRPr="00F66BCC">
        <w:rPr>
          <w:rStyle w:val="EndnoteReference"/>
          <w:sz w:val="16"/>
        </w:rPr>
        <w:endnoteRef/>
      </w:r>
      <w:r w:rsidRPr="00F66BCC">
        <w:rPr>
          <w:sz w:val="16"/>
        </w:rPr>
        <w:t xml:space="preserve"> Social Solutions, “What Funders Are Looking </w:t>
      </w:r>
      <w:r w:rsidR="009252A6" w:rsidRPr="00F66BCC">
        <w:rPr>
          <w:sz w:val="16"/>
        </w:rPr>
        <w:t>f</w:t>
      </w:r>
      <w:r w:rsidRPr="00F66BCC">
        <w:rPr>
          <w:sz w:val="16"/>
        </w:rPr>
        <w:t>or in 2017,” SocialSolutions.com, accessed October 9, 2018</w:t>
      </w:r>
      <w:r w:rsidR="009252A6" w:rsidRPr="00F66BCC">
        <w:rPr>
          <w:sz w:val="16"/>
        </w:rPr>
        <w:t>,</w:t>
      </w:r>
      <w:r w:rsidRPr="00F66BCC">
        <w:rPr>
          <w:sz w:val="16"/>
        </w:rPr>
        <w:t xml:space="preserve"> www.socialsolutions.com/blog/nonprofit-funders-reporting-data-2017/</w:t>
      </w:r>
      <w:r w:rsidRPr="00F66BCC">
        <w:rPr>
          <w:rStyle w:val="Hyperlink"/>
          <w:color w:val="auto"/>
          <w:sz w:val="16"/>
          <w:u w:val="none"/>
        </w:rPr>
        <w:t xml:space="preserve">. </w:t>
      </w:r>
    </w:p>
  </w:endnote>
  <w:endnote w:id="32">
    <w:p w14:paraId="43838E13" w14:textId="58EFC5E3" w:rsidR="0059616B" w:rsidRPr="005860DE" w:rsidRDefault="0059616B" w:rsidP="005860DE">
      <w:pPr>
        <w:pStyle w:val="Footnote"/>
      </w:pPr>
      <w:r w:rsidRPr="00F66BCC">
        <w:rPr>
          <w:rStyle w:val="EndnoteReference"/>
          <w:sz w:val="16"/>
        </w:rPr>
        <w:endnoteRef/>
      </w:r>
      <w:r w:rsidRPr="00F66BCC">
        <w:rPr>
          <w:sz w:val="16"/>
        </w:rPr>
        <w:t xml:space="preserve"> National Institutes of Health, “Research Involving Vulnerable Populations</w:t>
      </w:r>
      <w:r w:rsidR="009252A6" w:rsidRPr="00F66BCC">
        <w:rPr>
          <w:sz w:val="16"/>
        </w:rPr>
        <w:t>,</w:t>
      </w:r>
      <w:r w:rsidRPr="00F66BCC">
        <w:rPr>
          <w:sz w:val="16"/>
        </w:rPr>
        <w:t>” June 29, 2018, accessed October 9, 2018</w:t>
      </w:r>
      <w:r w:rsidR="009252A6" w:rsidRPr="00F66BCC">
        <w:rPr>
          <w:sz w:val="16"/>
        </w:rPr>
        <w:t>,</w:t>
      </w:r>
      <w:r w:rsidRPr="00F66BCC">
        <w:rPr>
          <w:sz w:val="16"/>
        </w:rPr>
        <w:t xml:space="preserve"> https://humansubjects.nih.gov/prisoners</w:t>
      </w:r>
      <w:r w:rsidRPr="00F66BCC">
        <w:rPr>
          <w:rStyle w:val="Hyperlink"/>
          <w:color w:val="auto"/>
          <w:sz w:val="16"/>
          <w:u w:val="none"/>
        </w:rPr>
        <w:t>.</w:t>
      </w:r>
      <w:r w:rsidRPr="00F66BCC">
        <w:rPr>
          <w:sz w:val="16"/>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1F4C0" w14:textId="77777777" w:rsidR="00A92BB3" w:rsidRDefault="00A92BB3" w:rsidP="00D75295">
      <w:r>
        <w:separator/>
      </w:r>
    </w:p>
  </w:footnote>
  <w:footnote w:type="continuationSeparator" w:id="0">
    <w:p w14:paraId="1A3CF307" w14:textId="77777777" w:rsidR="00A92BB3" w:rsidRDefault="00A92BB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1F2D2FF" w:rsidR="0059616B" w:rsidRPr="00C92CC4" w:rsidRDefault="0059616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66BCC">
      <w:rPr>
        <w:rFonts w:ascii="Arial" w:hAnsi="Arial"/>
        <w:b/>
        <w:noProof/>
      </w:rPr>
      <w:t>9</w:t>
    </w:r>
    <w:r>
      <w:rPr>
        <w:rFonts w:ascii="Arial" w:hAnsi="Arial"/>
        <w:b/>
      </w:rPr>
      <w:fldChar w:fldCharType="end"/>
    </w:r>
    <w:r>
      <w:rPr>
        <w:rFonts w:ascii="Arial" w:hAnsi="Arial"/>
        <w:b/>
      </w:rPr>
      <w:tab/>
    </w:r>
    <w:r w:rsidR="009B1E85">
      <w:rPr>
        <w:rFonts w:ascii="Arial" w:hAnsi="Arial"/>
        <w:b/>
      </w:rPr>
      <w:t>9B19M084</w:t>
    </w:r>
  </w:p>
  <w:p w14:paraId="2B53C0A0" w14:textId="77777777" w:rsidR="0059616B" w:rsidRDefault="0059616B" w:rsidP="00D13667">
    <w:pPr>
      <w:pStyle w:val="Header"/>
      <w:tabs>
        <w:tab w:val="clear" w:pos="4680"/>
      </w:tabs>
      <w:rPr>
        <w:sz w:val="18"/>
        <w:szCs w:val="18"/>
      </w:rPr>
    </w:pPr>
  </w:p>
  <w:p w14:paraId="47119730" w14:textId="77777777" w:rsidR="0059616B" w:rsidRPr="00C92CC4" w:rsidRDefault="0059616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76364"/>
    <w:rsid w:val="0008102D"/>
    <w:rsid w:val="00086B26"/>
    <w:rsid w:val="00094C0E"/>
    <w:rsid w:val="000A146D"/>
    <w:rsid w:val="000A69F8"/>
    <w:rsid w:val="000C32FD"/>
    <w:rsid w:val="000D2A2F"/>
    <w:rsid w:val="000D3BFC"/>
    <w:rsid w:val="000D7091"/>
    <w:rsid w:val="000E301F"/>
    <w:rsid w:val="000F0C22"/>
    <w:rsid w:val="000F6B09"/>
    <w:rsid w:val="000F6FDC"/>
    <w:rsid w:val="0010127D"/>
    <w:rsid w:val="00104567"/>
    <w:rsid w:val="00104916"/>
    <w:rsid w:val="00104AA7"/>
    <w:rsid w:val="0010715E"/>
    <w:rsid w:val="00112DD2"/>
    <w:rsid w:val="0012732D"/>
    <w:rsid w:val="00143F25"/>
    <w:rsid w:val="00152682"/>
    <w:rsid w:val="00154FC9"/>
    <w:rsid w:val="00177899"/>
    <w:rsid w:val="001901C0"/>
    <w:rsid w:val="0019241A"/>
    <w:rsid w:val="00192A18"/>
    <w:rsid w:val="00195BCF"/>
    <w:rsid w:val="001A22D1"/>
    <w:rsid w:val="001A4E64"/>
    <w:rsid w:val="001A752D"/>
    <w:rsid w:val="001A757E"/>
    <w:rsid w:val="001B5032"/>
    <w:rsid w:val="001C0CDD"/>
    <w:rsid w:val="001C2359"/>
    <w:rsid w:val="001C7777"/>
    <w:rsid w:val="001D344B"/>
    <w:rsid w:val="001E364F"/>
    <w:rsid w:val="001F4222"/>
    <w:rsid w:val="00203AA1"/>
    <w:rsid w:val="00213E98"/>
    <w:rsid w:val="00223256"/>
    <w:rsid w:val="00230150"/>
    <w:rsid w:val="0023081A"/>
    <w:rsid w:val="00233111"/>
    <w:rsid w:val="00265FA8"/>
    <w:rsid w:val="002964F9"/>
    <w:rsid w:val="002B39EF"/>
    <w:rsid w:val="002B40FF"/>
    <w:rsid w:val="002C4E29"/>
    <w:rsid w:val="002E34F1"/>
    <w:rsid w:val="002F3AA2"/>
    <w:rsid w:val="002F460C"/>
    <w:rsid w:val="002F48D6"/>
    <w:rsid w:val="002F58C3"/>
    <w:rsid w:val="00312DFC"/>
    <w:rsid w:val="00317391"/>
    <w:rsid w:val="00326216"/>
    <w:rsid w:val="003326F2"/>
    <w:rsid w:val="0033367E"/>
    <w:rsid w:val="003336DA"/>
    <w:rsid w:val="00336580"/>
    <w:rsid w:val="00343F6B"/>
    <w:rsid w:val="00354899"/>
    <w:rsid w:val="00355FD6"/>
    <w:rsid w:val="00364A5C"/>
    <w:rsid w:val="00373FB1"/>
    <w:rsid w:val="00376A8D"/>
    <w:rsid w:val="00396C76"/>
    <w:rsid w:val="003A5BC4"/>
    <w:rsid w:val="003A7137"/>
    <w:rsid w:val="003B12E3"/>
    <w:rsid w:val="003B30D8"/>
    <w:rsid w:val="003B7EF2"/>
    <w:rsid w:val="003C3FA4"/>
    <w:rsid w:val="003C7048"/>
    <w:rsid w:val="003D0BA1"/>
    <w:rsid w:val="003D181D"/>
    <w:rsid w:val="003F2B0C"/>
    <w:rsid w:val="004105B2"/>
    <w:rsid w:val="0041145A"/>
    <w:rsid w:val="00412900"/>
    <w:rsid w:val="004221E4"/>
    <w:rsid w:val="004273F8"/>
    <w:rsid w:val="004355A3"/>
    <w:rsid w:val="00446546"/>
    <w:rsid w:val="004472EE"/>
    <w:rsid w:val="00451355"/>
    <w:rsid w:val="00452769"/>
    <w:rsid w:val="00454FA7"/>
    <w:rsid w:val="00465348"/>
    <w:rsid w:val="00490DC1"/>
    <w:rsid w:val="004979A5"/>
    <w:rsid w:val="004A25E0"/>
    <w:rsid w:val="004B1775"/>
    <w:rsid w:val="004B1CCB"/>
    <w:rsid w:val="004B632F"/>
    <w:rsid w:val="004D27D2"/>
    <w:rsid w:val="004D3FB1"/>
    <w:rsid w:val="004D6F21"/>
    <w:rsid w:val="004D73A5"/>
    <w:rsid w:val="005152A1"/>
    <w:rsid w:val="005160F1"/>
    <w:rsid w:val="00524F2F"/>
    <w:rsid w:val="00527E5C"/>
    <w:rsid w:val="00532CF5"/>
    <w:rsid w:val="00535E72"/>
    <w:rsid w:val="00537939"/>
    <w:rsid w:val="00544437"/>
    <w:rsid w:val="005528CB"/>
    <w:rsid w:val="00566771"/>
    <w:rsid w:val="00577C38"/>
    <w:rsid w:val="00581E2E"/>
    <w:rsid w:val="00584F15"/>
    <w:rsid w:val="005860DE"/>
    <w:rsid w:val="00587144"/>
    <w:rsid w:val="0059514B"/>
    <w:rsid w:val="0059616B"/>
    <w:rsid w:val="005A1B0F"/>
    <w:rsid w:val="005B4CE6"/>
    <w:rsid w:val="005B5EFE"/>
    <w:rsid w:val="005C6492"/>
    <w:rsid w:val="005D76E4"/>
    <w:rsid w:val="005E56C8"/>
    <w:rsid w:val="00601D5E"/>
    <w:rsid w:val="00612044"/>
    <w:rsid w:val="006163F7"/>
    <w:rsid w:val="006173BA"/>
    <w:rsid w:val="00627C63"/>
    <w:rsid w:val="0063350B"/>
    <w:rsid w:val="00652606"/>
    <w:rsid w:val="006806BA"/>
    <w:rsid w:val="006946EE"/>
    <w:rsid w:val="00694955"/>
    <w:rsid w:val="006A3790"/>
    <w:rsid w:val="006A58A9"/>
    <w:rsid w:val="006A606D"/>
    <w:rsid w:val="006C0371"/>
    <w:rsid w:val="006C08B6"/>
    <w:rsid w:val="006C0B1A"/>
    <w:rsid w:val="006C6065"/>
    <w:rsid w:val="006C7F9F"/>
    <w:rsid w:val="006D5736"/>
    <w:rsid w:val="006E2F6D"/>
    <w:rsid w:val="006E58F6"/>
    <w:rsid w:val="006E77E1"/>
    <w:rsid w:val="006F131D"/>
    <w:rsid w:val="006F1644"/>
    <w:rsid w:val="00711642"/>
    <w:rsid w:val="00720A32"/>
    <w:rsid w:val="007507C6"/>
    <w:rsid w:val="00751E0B"/>
    <w:rsid w:val="00752BCD"/>
    <w:rsid w:val="00766DA1"/>
    <w:rsid w:val="00775051"/>
    <w:rsid w:val="00780070"/>
    <w:rsid w:val="00780D94"/>
    <w:rsid w:val="007866A6"/>
    <w:rsid w:val="0078755E"/>
    <w:rsid w:val="007A130D"/>
    <w:rsid w:val="007B1D76"/>
    <w:rsid w:val="007D1A2D"/>
    <w:rsid w:val="007D32E6"/>
    <w:rsid w:val="007D4102"/>
    <w:rsid w:val="007E21EF"/>
    <w:rsid w:val="007E54A7"/>
    <w:rsid w:val="007E7199"/>
    <w:rsid w:val="007F43B7"/>
    <w:rsid w:val="00806B7B"/>
    <w:rsid w:val="00821FFC"/>
    <w:rsid w:val="008271CA"/>
    <w:rsid w:val="008467D5"/>
    <w:rsid w:val="00864A4F"/>
    <w:rsid w:val="008903ED"/>
    <w:rsid w:val="008A4DC4"/>
    <w:rsid w:val="008B438C"/>
    <w:rsid w:val="008C58DF"/>
    <w:rsid w:val="008D06CA"/>
    <w:rsid w:val="008D3A46"/>
    <w:rsid w:val="008E11E7"/>
    <w:rsid w:val="008E4105"/>
    <w:rsid w:val="008E68F4"/>
    <w:rsid w:val="008E79D9"/>
    <w:rsid w:val="008F2385"/>
    <w:rsid w:val="008F449A"/>
    <w:rsid w:val="009067A4"/>
    <w:rsid w:val="00912534"/>
    <w:rsid w:val="00921F1E"/>
    <w:rsid w:val="00924134"/>
    <w:rsid w:val="009252A6"/>
    <w:rsid w:val="00930885"/>
    <w:rsid w:val="00933D68"/>
    <w:rsid w:val="009340DB"/>
    <w:rsid w:val="00934366"/>
    <w:rsid w:val="00935A1D"/>
    <w:rsid w:val="00935DC4"/>
    <w:rsid w:val="0094618C"/>
    <w:rsid w:val="0095684B"/>
    <w:rsid w:val="0095771A"/>
    <w:rsid w:val="00972498"/>
    <w:rsid w:val="0097481F"/>
    <w:rsid w:val="00974CC6"/>
    <w:rsid w:val="00976AD4"/>
    <w:rsid w:val="00990429"/>
    <w:rsid w:val="00995547"/>
    <w:rsid w:val="009A312F"/>
    <w:rsid w:val="009A5348"/>
    <w:rsid w:val="009B0AB7"/>
    <w:rsid w:val="009B1E85"/>
    <w:rsid w:val="009B2D7F"/>
    <w:rsid w:val="009B749B"/>
    <w:rsid w:val="009C0A94"/>
    <w:rsid w:val="009C43BC"/>
    <w:rsid w:val="009C51FE"/>
    <w:rsid w:val="009C76D5"/>
    <w:rsid w:val="009E0CB3"/>
    <w:rsid w:val="009E3337"/>
    <w:rsid w:val="009F6A67"/>
    <w:rsid w:val="009F73D6"/>
    <w:rsid w:val="009F7AA4"/>
    <w:rsid w:val="00A10AD7"/>
    <w:rsid w:val="00A323B0"/>
    <w:rsid w:val="00A33CC7"/>
    <w:rsid w:val="00A36545"/>
    <w:rsid w:val="00A559DB"/>
    <w:rsid w:val="00A569EA"/>
    <w:rsid w:val="00A676A0"/>
    <w:rsid w:val="00A702D7"/>
    <w:rsid w:val="00A7118C"/>
    <w:rsid w:val="00A92BB3"/>
    <w:rsid w:val="00A942AF"/>
    <w:rsid w:val="00AB21C1"/>
    <w:rsid w:val="00AB72F9"/>
    <w:rsid w:val="00AC65D3"/>
    <w:rsid w:val="00AD084E"/>
    <w:rsid w:val="00AD43CD"/>
    <w:rsid w:val="00AE5218"/>
    <w:rsid w:val="00AF35FC"/>
    <w:rsid w:val="00AF5556"/>
    <w:rsid w:val="00AF77F3"/>
    <w:rsid w:val="00AF785B"/>
    <w:rsid w:val="00B03639"/>
    <w:rsid w:val="00B03F56"/>
    <w:rsid w:val="00B056E1"/>
    <w:rsid w:val="00B0652A"/>
    <w:rsid w:val="00B210CB"/>
    <w:rsid w:val="00B243A4"/>
    <w:rsid w:val="00B40937"/>
    <w:rsid w:val="00B423EF"/>
    <w:rsid w:val="00B453DE"/>
    <w:rsid w:val="00B51C38"/>
    <w:rsid w:val="00B55605"/>
    <w:rsid w:val="00B62497"/>
    <w:rsid w:val="00B72449"/>
    <w:rsid w:val="00B72597"/>
    <w:rsid w:val="00B74500"/>
    <w:rsid w:val="00B7542E"/>
    <w:rsid w:val="00B87DC0"/>
    <w:rsid w:val="00B901F9"/>
    <w:rsid w:val="00BA47CA"/>
    <w:rsid w:val="00BC4D98"/>
    <w:rsid w:val="00BD3C31"/>
    <w:rsid w:val="00BD6EFB"/>
    <w:rsid w:val="00BE3A05"/>
    <w:rsid w:val="00BE3DF5"/>
    <w:rsid w:val="00BF5EAB"/>
    <w:rsid w:val="00C02410"/>
    <w:rsid w:val="00C1584D"/>
    <w:rsid w:val="00C15BE2"/>
    <w:rsid w:val="00C23DDD"/>
    <w:rsid w:val="00C3447F"/>
    <w:rsid w:val="00C44714"/>
    <w:rsid w:val="00C67102"/>
    <w:rsid w:val="00C81491"/>
    <w:rsid w:val="00C81676"/>
    <w:rsid w:val="00C839E4"/>
    <w:rsid w:val="00C85C5D"/>
    <w:rsid w:val="00C92CC4"/>
    <w:rsid w:val="00CA0AFB"/>
    <w:rsid w:val="00CA2CE1"/>
    <w:rsid w:val="00CA3976"/>
    <w:rsid w:val="00CA50E3"/>
    <w:rsid w:val="00CA757B"/>
    <w:rsid w:val="00CC0DF0"/>
    <w:rsid w:val="00CC1787"/>
    <w:rsid w:val="00CC182C"/>
    <w:rsid w:val="00CC26F9"/>
    <w:rsid w:val="00CD0824"/>
    <w:rsid w:val="00CD2908"/>
    <w:rsid w:val="00CF15A6"/>
    <w:rsid w:val="00D03A82"/>
    <w:rsid w:val="00D13667"/>
    <w:rsid w:val="00D15344"/>
    <w:rsid w:val="00D23F57"/>
    <w:rsid w:val="00D31BEC"/>
    <w:rsid w:val="00D406DC"/>
    <w:rsid w:val="00D53A88"/>
    <w:rsid w:val="00D63150"/>
    <w:rsid w:val="00D636BA"/>
    <w:rsid w:val="00D64A32"/>
    <w:rsid w:val="00D64EFC"/>
    <w:rsid w:val="00D70D44"/>
    <w:rsid w:val="00D75295"/>
    <w:rsid w:val="00D76CE9"/>
    <w:rsid w:val="00D95422"/>
    <w:rsid w:val="00D95DA6"/>
    <w:rsid w:val="00D97F12"/>
    <w:rsid w:val="00DA6095"/>
    <w:rsid w:val="00DB42E7"/>
    <w:rsid w:val="00DB4555"/>
    <w:rsid w:val="00DC09D8"/>
    <w:rsid w:val="00DD1CBD"/>
    <w:rsid w:val="00DE01A6"/>
    <w:rsid w:val="00DE7A98"/>
    <w:rsid w:val="00DF32C2"/>
    <w:rsid w:val="00E0419E"/>
    <w:rsid w:val="00E2767C"/>
    <w:rsid w:val="00E35BC8"/>
    <w:rsid w:val="00E471A7"/>
    <w:rsid w:val="00E635CF"/>
    <w:rsid w:val="00E7115A"/>
    <w:rsid w:val="00E86A07"/>
    <w:rsid w:val="00E90500"/>
    <w:rsid w:val="00EB1E3B"/>
    <w:rsid w:val="00EB5816"/>
    <w:rsid w:val="00EC5222"/>
    <w:rsid w:val="00EC6E0A"/>
    <w:rsid w:val="00ED4E18"/>
    <w:rsid w:val="00ED7922"/>
    <w:rsid w:val="00EE02C4"/>
    <w:rsid w:val="00EE1F37"/>
    <w:rsid w:val="00EF34EC"/>
    <w:rsid w:val="00EF789D"/>
    <w:rsid w:val="00F0159C"/>
    <w:rsid w:val="00F01CEA"/>
    <w:rsid w:val="00F105B7"/>
    <w:rsid w:val="00F13220"/>
    <w:rsid w:val="00F17A21"/>
    <w:rsid w:val="00F31C8C"/>
    <w:rsid w:val="00F36FC2"/>
    <w:rsid w:val="00F37B27"/>
    <w:rsid w:val="00F46556"/>
    <w:rsid w:val="00F50E91"/>
    <w:rsid w:val="00F56799"/>
    <w:rsid w:val="00F57D29"/>
    <w:rsid w:val="00F60786"/>
    <w:rsid w:val="00F66BCC"/>
    <w:rsid w:val="00F66D64"/>
    <w:rsid w:val="00F734D3"/>
    <w:rsid w:val="00F74331"/>
    <w:rsid w:val="00F754F6"/>
    <w:rsid w:val="00F802A0"/>
    <w:rsid w:val="00F9111B"/>
    <w:rsid w:val="00F91BC7"/>
    <w:rsid w:val="00F96050"/>
    <w:rsid w:val="00F96201"/>
    <w:rsid w:val="00FA0C92"/>
    <w:rsid w:val="00FA1BBC"/>
    <w:rsid w:val="00FC08B2"/>
    <w:rsid w:val="00FD0B18"/>
    <w:rsid w:val="00FD2FAD"/>
    <w:rsid w:val="00FE4A70"/>
    <w:rsid w:val="00FE53BE"/>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6A3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prisonstudiesproject.org/2017/07/villanova-undergraduate-degree-program-at-sci-graterford/" TargetMode="External"/><Relationship Id="rId1" Type="http://schemas.openxmlformats.org/officeDocument/2006/relationships/hyperlink" Target="https://www2.deloitte.com/us/en/pages/public-sector/articles/higher-education-industry-outl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25939-8953-4275-9AE8-78E199F8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Herron, Kathryn</cp:lastModifiedBy>
  <cp:revision>3</cp:revision>
  <cp:lastPrinted>2015-03-04T20:34:00Z</cp:lastPrinted>
  <dcterms:created xsi:type="dcterms:W3CDTF">2021-10-22T14:57:00Z</dcterms:created>
  <dcterms:modified xsi:type="dcterms:W3CDTF">2021-10-22T15:01:00Z</dcterms:modified>
</cp:coreProperties>
</file>