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65DD8" w14:textId="6D3A49EF" w:rsidR="00035BE1" w:rsidRPr="003D77FD" w:rsidRDefault="00F44B50" w:rsidP="00C02410">
      <w:pPr>
        <w:pBdr>
          <w:bottom w:val="single" w:sz="18" w:space="1" w:color="auto"/>
        </w:pBdr>
        <w:tabs>
          <w:tab w:val="left" w:pos="-1440"/>
          <w:tab w:val="left" w:pos="-720"/>
          <w:tab w:val="left" w:pos="1"/>
        </w:tabs>
        <w:jc w:val="both"/>
        <w:rPr>
          <w:rFonts w:ascii="Arial" w:hAnsi="Arial"/>
          <w:b/>
          <w:noProof/>
          <w:sz w:val="24"/>
          <w:lang w:val="en-CA" w:eastAsia="en-CA"/>
        </w:rPr>
      </w:pPr>
      <w:r w:rsidRPr="00F44B50">
        <w:rPr>
          <w:rFonts w:ascii="Arial" w:hAnsi="Arial"/>
          <w:b/>
          <w:noProof/>
          <w:sz w:val="24"/>
          <w:lang w:val="en-CA" w:eastAsia="en-CA"/>
        </w:rPr>
        <w:drawing>
          <wp:inline distT="0" distB="0" distL="0" distR="0" wp14:anchorId="41393B6E" wp14:editId="4BA9D49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59B6AA8" w:rsidR="00C02410" w:rsidRPr="003D77FD" w:rsidRDefault="002A5C89" w:rsidP="00C02410">
      <w:pPr>
        <w:pStyle w:val="ProductNumber"/>
        <w:rPr>
          <w:lang w:val="en-CA"/>
        </w:rPr>
      </w:pPr>
      <w:r w:rsidRPr="003D77FD">
        <w:rPr>
          <w:lang w:val="en-CA"/>
        </w:rPr>
        <w:t>9B19M</w:t>
      </w:r>
      <w:r w:rsidR="00F44B50">
        <w:rPr>
          <w:lang w:val="en-CA"/>
        </w:rPr>
        <w:t>089</w:t>
      </w:r>
    </w:p>
    <w:p w14:paraId="4E057522" w14:textId="7A113CB1" w:rsidR="00D75295" w:rsidRPr="003D77FD" w:rsidRDefault="00D75295" w:rsidP="00D75295">
      <w:pPr>
        <w:jc w:val="right"/>
        <w:rPr>
          <w:rFonts w:ascii="Arial" w:hAnsi="Arial"/>
          <w:b/>
          <w:lang w:val="en-CA"/>
        </w:rPr>
      </w:pPr>
    </w:p>
    <w:p w14:paraId="02524312" w14:textId="77777777" w:rsidR="001901C0" w:rsidRPr="003D77FD" w:rsidRDefault="001901C0" w:rsidP="00D75295">
      <w:pPr>
        <w:jc w:val="right"/>
        <w:rPr>
          <w:rFonts w:ascii="Arial" w:hAnsi="Arial"/>
          <w:b/>
          <w:lang w:val="en-CA"/>
        </w:rPr>
      </w:pPr>
    </w:p>
    <w:p w14:paraId="2F03D26A" w14:textId="511837D0" w:rsidR="00013360" w:rsidRPr="003D77FD" w:rsidRDefault="00421641" w:rsidP="00013360">
      <w:pPr>
        <w:pStyle w:val="CaseTitle"/>
        <w:spacing w:after="0" w:line="240" w:lineRule="auto"/>
        <w:rPr>
          <w:sz w:val="20"/>
          <w:szCs w:val="20"/>
          <w:lang w:val="en-CA"/>
        </w:rPr>
      </w:pPr>
      <w:bookmarkStart w:id="0" w:name="_GoBack"/>
      <w:r w:rsidRPr="003D77FD">
        <w:rPr>
          <w:lang w:val="en-CA"/>
        </w:rPr>
        <w:t>INTELLITIX</w:t>
      </w:r>
      <w:bookmarkEnd w:id="0"/>
      <w:r w:rsidR="00473622" w:rsidRPr="003D77FD">
        <w:rPr>
          <w:lang w:val="en-CA"/>
        </w:rPr>
        <w:t>: TURNING UP THE VOLUME</w:t>
      </w:r>
    </w:p>
    <w:p w14:paraId="40ABF6FD" w14:textId="77777777" w:rsidR="00CA3976" w:rsidRPr="003D77FD" w:rsidRDefault="00CA3976" w:rsidP="00013360">
      <w:pPr>
        <w:pStyle w:val="CaseTitle"/>
        <w:spacing w:after="0" w:line="240" w:lineRule="auto"/>
        <w:rPr>
          <w:sz w:val="20"/>
          <w:szCs w:val="20"/>
          <w:lang w:val="en-CA"/>
        </w:rPr>
      </w:pPr>
    </w:p>
    <w:p w14:paraId="202F1085" w14:textId="77777777" w:rsidR="00013360" w:rsidRPr="003D77FD" w:rsidRDefault="00013360" w:rsidP="00013360">
      <w:pPr>
        <w:pStyle w:val="CaseTitle"/>
        <w:spacing w:after="0" w:line="240" w:lineRule="auto"/>
        <w:rPr>
          <w:sz w:val="20"/>
          <w:szCs w:val="20"/>
          <w:lang w:val="en-CA"/>
        </w:rPr>
      </w:pPr>
    </w:p>
    <w:p w14:paraId="58B0C73F" w14:textId="321D72C3" w:rsidR="00086B26" w:rsidRPr="003D77FD" w:rsidRDefault="00421641" w:rsidP="00086B26">
      <w:pPr>
        <w:pStyle w:val="StyleCopyrightStatementAfter0ptBottomSinglesolidline1"/>
        <w:rPr>
          <w:lang w:val="en-CA"/>
        </w:rPr>
      </w:pPr>
      <w:r w:rsidRPr="003D77FD">
        <w:rPr>
          <w:lang w:val="en-CA"/>
        </w:rPr>
        <w:t xml:space="preserve">Mano Majumdar </w:t>
      </w:r>
      <w:r w:rsidR="00086B26" w:rsidRPr="003D77FD">
        <w:rPr>
          <w:lang w:val="en-CA"/>
        </w:rPr>
        <w:t xml:space="preserve">wrote this case </w:t>
      </w:r>
      <w:r w:rsidRPr="003D77FD">
        <w:rPr>
          <w:lang w:val="en-CA"/>
        </w:rPr>
        <w:t xml:space="preserve">under the supervision of Julie Gosse </w:t>
      </w:r>
      <w:r w:rsidR="00086B26" w:rsidRPr="003D77FD">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44053A0" w:rsidR="00086B26" w:rsidRDefault="00086B26" w:rsidP="00086B26">
      <w:pPr>
        <w:pStyle w:val="StyleCopyrightStatementAfter0ptBottomSinglesolidline1"/>
        <w:rPr>
          <w:lang w:val="en-CA"/>
        </w:rPr>
      </w:pPr>
    </w:p>
    <w:p w14:paraId="7150FF4B" w14:textId="77777777" w:rsidR="00F44B50" w:rsidRDefault="00F44B50" w:rsidP="00F44B5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88D4498" w14:textId="77777777" w:rsidR="00F44B50" w:rsidRDefault="00F44B50" w:rsidP="00F44B50">
      <w:pPr>
        <w:pStyle w:val="StyleStyleCopyrightStatementAfter0ptBottomSinglesolid"/>
        <w:rPr>
          <w:rFonts w:cs="Arial"/>
          <w:color w:val="FFFFFF" w:themeColor="background1"/>
          <w:szCs w:val="16"/>
        </w:rPr>
      </w:pPr>
    </w:p>
    <w:p w14:paraId="3922E14F" w14:textId="5B9628D0" w:rsidR="00751E0B" w:rsidRPr="00F44B50" w:rsidRDefault="00F44B50"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3D77FD">
        <w:rPr>
          <w:rFonts w:cs="Arial"/>
          <w:iCs w:val="0"/>
          <w:color w:val="auto"/>
          <w:szCs w:val="16"/>
          <w:lang w:val="en-CA"/>
        </w:rPr>
        <w:tab/>
      </w:r>
      <w:r w:rsidR="00421641" w:rsidRPr="003D77FD">
        <w:rPr>
          <w:rFonts w:cs="Arial"/>
          <w:iCs w:val="0"/>
          <w:color w:val="auto"/>
          <w:szCs w:val="16"/>
          <w:lang w:val="en-CA"/>
        </w:rPr>
        <w:t>Version: 2019-0</w:t>
      </w:r>
      <w:r w:rsidR="003D77FD" w:rsidRPr="003D77FD">
        <w:rPr>
          <w:rFonts w:cs="Arial"/>
          <w:iCs w:val="0"/>
          <w:color w:val="auto"/>
          <w:szCs w:val="16"/>
          <w:lang w:val="en-CA"/>
        </w:rPr>
        <w:t>8</w:t>
      </w:r>
      <w:r w:rsidR="00A323B0" w:rsidRPr="003D77FD">
        <w:rPr>
          <w:rFonts w:cs="Arial"/>
          <w:iCs w:val="0"/>
          <w:color w:val="auto"/>
          <w:szCs w:val="16"/>
          <w:lang w:val="en-CA"/>
        </w:rPr>
        <w:t>-</w:t>
      </w:r>
      <w:r w:rsidR="00035BE1">
        <w:rPr>
          <w:rFonts w:cs="Arial"/>
          <w:iCs w:val="0"/>
          <w:color w:val="auto"/>
          <w:szCs w:val="16"/>
          <w:lang w:val="en-CA"/>
        </w:rPr>
        <w:t>2</w:t>
      </w:r>
      <w:r>
        <w:rPr>
          <w:rFonts w:cs="Arial"/>
          <w:iCs w:val="0"/>
          <w:color w:val="auto"/>
          <w:szCs w:val="16"/>
          <w:lang w:val="en-CA"/>
        </w:rPr>
        <w:t>6</w:t>
      </w:r>
    </w:p>
    <w:p w14:paraId="0A2A54E4" w14:textId="70605F19" w:rsidR="00751E0B" w:rsidRPr="003D77FD" w:rsidRDefault="00751E0B" w:rsidP="00751E0B">
      <w:pPr>
        <w:pStyle w:val="StyleCopyrightStatementAfter0ptBottomSinglesolidline1"/>
        <w:rPr>
          <w:rFonts w:ascii="Times New Roman" w:hAnsi="Times New Roman"/>
          <w:sz w:val="20"/>
          <w:lang w:val="en-CA"/>
        </w:rPr>
      </w:pPr>
    </w:p>
    <w:p w14:paraId="3C2D4057" w14:textId="77777777" w:rsidR="00421641" w:rsidRPr="003D77FD" w:rsidRDefault="00421641" w:rsidP="00751E0B">
      <w:pPr>
        <w:pStyle w:val="StyleCopyrightStatementAfter0ptBottomSinglesolidline1"/>
        <w:rPr>
          <w:rFonts w:ascii="Times New Roman" w:hAnsi="Times New Roman"/>
          <w:sz w:val="20"/>
          <w:lang w:val="en-CA"/>
        </w:rPr>
      </w:pPr>
    </w:p>
    <w:p w14:paraId="29CD659C" w14:textId="754C3026" w:rsidR="00421641" w:rsidRPr="003D77FD" w:rsidRDefault="00DF0411" w:rsidP="00421641">
      <w:pPr>
        <w:pStyle w:val="BodyTextMain"/>
        <w:rPr>
          <w:lang w:val="en-CA"/>
        </w:rPr>
      </w:pPr>
      <w:r w:rsidRPr="003D77FD">
        <w:rPr>
          <w:lang w:val="en-CA"/>
        </w:rPr>
        <w:t>E</w:t>
      </w:r>
      <w:r w:rsidR="00421641" w:rsidRPr="003D77FD">
        <w:rPr>
          <w:lang w:val="en-CA"/>
        </w:rPr>
        <w:t xml:space="preserve">ric Janssen, </w:t>
      </w:r>
      <w:r w:rsidR="006E1C16" w:rsidRPr="003D77FD">
        <w:rPr>
          <w:lang w:val="en-CA"/>
        </w:rPr>
        <w:t>chief revenue officer</w:t>
      </w:r>
      <w:r w:rsidR="00421641" w:rsidRPr="003D77FD">
        <w:rPr>
          <w:lang w:val="en-CA"/>
        </w:rPr>
        <w:t xml:space="preserve"> at Intellitix, reviewed the last three years </w:t>
      </w:r>
      <w:r w:rsidR="00431C49" w:rsidRPr="003D77FD">
        <w:rPr>
          <w:lang w:val="en-CA"/>
        </w:rPr>
        <w:t xml:space="preserve">of operations </w:t>
      </w:r>
      <w:r w:rsidR="00421641" w:rsidRPr="003D77FD">
        <w:rPr>
          <w:lang w:val="en-CA"/>
        </w:rPr>
        <w:t xml:space="preserve">in preparation for a meeting with the company’s founder and </w:t>
      </w:r>
      <w:r w:rsidR="006E1C16" w:rsidRPr="003D77FD">
        <w:rPr>
          <w:lang w:val="en-CA"/>
        </w:rPr>
        <w:t>chief executive officer</w:t>
      </w:r>
      <w:r w:rsidR="00421641" w:rsidRPr="003D77FD">
        <w:rPr>
          <w:lang w:val="en-CA"/>
        </w:rPr>
        <w:t>, Serge Grimaux. Toronto-based Intellitix had started as a company supplying paperless ticketing for live music events. It had since added social media integration and contactless payments to enhance the attendee experience.</w:t>
      </w:r>
    </w:p>
    <w:p w14:paraId="47BFD27C" w14:textId="77777777" w:rsidR="00421641" w:rsidRPr="003D77FD" w:rsidRDefault="00421641" w:rsidP="00421641">
      <w:pPr>
        <w:pStyle w:val="BodyTextMain"/>
        <w:rPr>
          <w:lang w:val="en-CA"/>
        </w:rPr>
      </w:pPr>
    </w:p>
    <w:p w14:paraId="24FABD75" w14:textId="30041AE8" w:rsidR="00421641" w:rsidRPr="003D77FD" w:rsidRDefault="00431C49" w:rsidP="00421641">
      <w:pPr>
        <w:pStyle w:val="BodyTextMain"/>
        <w:rPr>
          <w:lang w:val="en-CA"/>
        </w:rPr>
      </w:pPr>
      <w:r w:rsidRPr="003D77FD">
        <w:rPr>
          <w:lang w:val="en-CA"/>
        </w:rPr>
        <w:t xml:space="preserve">It was now January 2016, and </w:t>
      </w:r>
      <w:r w:rsidR="00421641" w:rsidRPr="003D77FD">
        <w:rPr>
          <w:lang w:val="en-CA"/>
        </w:rPr>
        <w:t>Janssen was considering several alternatives for the future of the business: pursuing fixed venues such as amusement parks and campuses; expanding to other live entertainment events such as food festivals and conferences; or expanding the business to new geographies. Janssen knew growth was important for Intellitix</w:t>
      </w:r>
      <w:r w:rsidR="00CD08CE" w:rsidRPr="003D77FD">
        <w:rPr>
          <w:lang w:val="en-CA"/>
        </w:rPr>
        <w:t xml:space="preserve"> and that it was </w:t>
      </w:r>
      <w:r w:rsidR="00421641" w:rsidRPr="003D77FD">
        <w:rPr>
          <w:lang w:val="en-CA"/>
        </w:rPr>
        <w:t xml:space="preserve">his primary mandate, but he also wondered if reaching out of </w:t>
      </w:r>
      <w:r w:rsidR="000B17D0" w:rsidRPr="003D77FD">
        <w:rPr>
          <w:lang w:val="en-CA"/>
        </w:rPr>
        <w:t>its</w:t>
      </w:r>
      <w:r w:rsidR="00421641" w:rsidRPr="003D77FD">
        <w:rPr>
          <w:lang w:val="en-CA"/>
        </w:rPr>
        <w:t xml:space="preserve"> core market was wise or even necessary, especially when the market was far from saturated and Intellitix had a strong, reputable brand.</w:t>
      </w:r>
    </w:p>
    <w:p w14:paraId="4243063F" w14:textId="77777777" w:rsidR="00421641" w:rsidRPr="003D77FD" w:rsidRDefault="00421641" w:rsidP="00421641">
      <w:pPr>
        <w:pStyle w:val="BodyTextMain"/>
        <w:rPr>
          <w:lang w:val="en-CA"/>
        </w:rPr>
      </w:pPr>
    </w:p>
    <w:p w14:paraId="20538970" w14:textId="77777777" w:rsidR="00421641" w:rsidRPr="003D77FD" w:rsidRDefault="00421641" w:rsidP="00421641">
      <w:pPr>
        <w:pStyle w:val="BodyTextMain"/>
        <w:rPr>
          <w:lang w:val="en-CA"/>
        </w:rPr>
      </w:pPr>
    </w:p>
    <w:p w14:paraId="3FCC4C67" w14:textId="77777777" w:rsidR="00421641" w:rsidRPr="003D77FD" w:rsidRDefault="00421641" w:rsidP="00421641">
      <w:pPr>
        <w:pStyle w:val="Casehead1"/>
        <w:rPr>
          <w:lang w:val="en-CA"/>
        </w:rPr>
      </w:pPr>
      <w:r w:rsidRPr="003D77FD">
        <w:rPr>
          <w:lang w:val="en-CA"/>
        </w:rPr>
        <w:t>THE LIVE MUSIC INDUSTRY: North America AND BEYOND</w:t>
      </w:r>
    </w:p>
    <w:p w14:paraId="1B9BE689" w14:textId="77777777" w:rsidR="00421641" w:rsidRPr="003D77FD" w:rsidRDefault="00421641" w:rsidP="00421641">
      <w:pPr>
        <w:pStyle w:val="BodyTextMain"/>
        <w:rPr>
          <w:lang w:val="en-CA"/>
        </w:rPr>
      </w:pPr>
    </w:p>
    <w:p w14:paraId="46E7C473" w14:textId="17BC5911" w:rsidR="00421641" w:rsidRPr="003D77FD" w:rsidRDefault="00421641" w:rsidP="00421641">
      <w:pPr>
        <w:pStyle w:val="BodyTextMain"/>
        <w:rPr>
          <w:spacing w:val="-2"/>
          <w:kern w:val="22"/>
          <w:lang w:val="en-CA"/>
        </w:rPr>
      </w:pPr>
      <w:r w:rsidRPr="003D77FD">
        <w:rPr>
          <w:spacing w:val="-2"/>
          <w:kern w:val="22"/>
          <w:lang w:val="en-CA"/>
        </w:rPr>
        <w:t>The live music industry included indoor and outdoor performances by artists</w:t>
      </w:r>
      <w:r w:rsidR="00CD08CE" w:rsidRPr="003D77FD">
        <w:rPr>
          <w:spacing w:val="-2"/>
          <w:kern w:val="22"/>
          <w:lang w:val="en-CA"/>
        </w:rPr>
        <w:t>—</w:t>
      </w:r>
      <w:r w:rsidRPr="003D77FD">
        <w:rPr>
          <w:spacing w:val="-2"/>
          <w:kern w:val="22"/>
          <w:lang w:val="en-CA"/>
        </w:rPr>
        <w:t>with managers, promoters, agents, music venues, and music festivals as other major stakeholders.</w:t>
      </w:r>
      <w:r w:rsidR="004B221A" w:rsidRPr="003D77FD">
        <w:rPr>
          <w:spacing w:val="-2"/>
          <w:kern w:val="22"/>
          <w:lang w:val="en-CA"/>
        </w:rPr>
        <w:t xml:space="preserve"> </w:t>
      </w:r>
      <w:r w:rsidRPr="003D77FD">
        <w:rPr>
          <w:spacing w:val="-2"/>
          <w:kern w:val="22"/>
          <w:lang w:val="en-CA"/>
        </w:rPr>
        <w:t xml:space="preserve">The music industry was one of the most concentrated in Canada, with Ontario representing over 80 per cent of both recording industry expenditure and live music </w:t>
      </w:r>
      <w:r w:rsidRPr="003D77FD">
        <w:rPr>
          <w:spacing w:val="-2"/>
          <w:kern w:val="22"/>
          <w:lang w:val="en-CA"/>
        </w:rPr>
        <w:lastRenderedPageBreak/>
        <w:t>revenue nationwide. Remarkably, the music industry represented a larger share of employment in Toronto than it did in Austin, Texas</w:t>
      </w:r>
      <w:r w:rsidR="0094604E" w:rsidRPr="003D77FD">
        <w:rPr>
          <w:spacing w:val="-2"/>
          <w:kern w:val="22"/>
          <w:lang w:val="en-CA"/>
        </w:rPr>
        <w:t>—</w:t>
      </w:r>
      <w:r w:rsidRPr="003D77FD">
        <w:rPr>
          <w:spacing w:val="-2"/>
          <w:kern w:val="22"/>
          <w:lang w:val="en-CA"/>
        </w:rPr>
        <w:t>one of North America’s most iconic music markets.</w:t>
      </w:r>
      <w:r w:rsidRPr="003D77FD">
        <w:rPr>
          <w:rStyle w:val="FootnoteReference"/>
          <w:spacing w:val="-2"/>
          <w:kern w:val="22"/>
          <w:lang w:val="en-CA"/>
        </w:rPr>
        <w:footnoteReference w:id="1"/>
      </w:r>
    </w:p>
    <w:p w14:paraId="44684FD6" w14:textId="77777777" w:rsidR="00421641" w:rsidRPr="003D77FD" w:rsidRDefault="00421641" w:rsidP="00421641">
      <w:pPr>
        <w:pStyle w:val="BodyTextMain"/>
        <w:rPr>
          <w:lang w:val="en-CA"/>
        </w:rPr>
      </w:pPr>
    </w:p>
    <w:p w14:paraId="70CB9955" w14:textId="18388849" w:rsidR="00421641" w:rsidRPr="003D77FD" w:rsidRDefault="00421641" w:rsidP="00421641">
      <w:pPr>
        <w:pStyle w:val="BodyTextMain"/>
        <w:rPr>
          <w:color w:val="FF0000"/>
          <w:lang w:val="en-CA"/>
        </w:rPr>
      </w:pPr>
      <w:r w:rsidRPr="003D77FD">
        <w:rPr>
          <w:lang w:val="en-CA"/>
        </w:rPr>
        <w:t xml:space="preserve">There were 1,240 companies active in the live music industry in Ontario in 2013, supporting 10,500 </w:t>
      </w:r>
      <w:r w:rsidR="004A44CE" w:rsidRPr="003D77FD">
        <w:rPr>
          <w:lang w:val="en-CA"/>
        </w:rPr>
        <w:t>full-time equivalent</w:t>
      </w:r>
      <w:r w:rsidRPr="003D77FD">
        <w:rPr>
          <w:rStyle w:val="FootnoteReference"/>
          <w:lang w:val="en-CA"/>
        </w:rPr>
        <w:footnoteReference w:id="2"/>
      </w:r>
      <w:r w:rsidRPr="003D77FD">
        <w:rPr>
          <w:lang w:val="en-CA"/>
        </w:rPr>
        <w:t xml:space="preserve"> jobs and generating </w:t>
      </w:r>
      <w:r w:rsidR="004A44CE" w:rsidRPr="003D77FD">
        <w:rPr>
          <w:lang w:val="en-CA"/>
        </w:rPr>
        <w:t>CA</w:t>
      </w:r>
      <w:r w:rsidRPr="003D77FD">
        <w:rPr>
          <w:lang w:val="en-CA"/>
        </w:rPr>
        <w:t>$1.2 billion</w:t>
      </w:r>
      <w:r w:rsidR="004A44CE" w:rsidRPr="003D77FD">
        <w:rPr>
          <w:rStyle w:val="FootnoteReference"/>
          <w:lang w:val="en-CA"/>
        </w:rPr>
        <w:footnoteReference w:id="3"/>
      </w:r>
      <w:r w:rsidRPr="003D77FD">
        <w:rPr>
          <w:lang w:val="en-CA"/>
        </w:rPr>
        <w:t xml:space="preserve"> in economic activity. Half of the impact on employment as well as </w:t>
      </w:r>
      <w:r w:rsidR="00CD08CE" w:rsidRPr="003D77FD">
        <w:rPr>
          <w:lang w:val="en-CA"/>
        </w:rPr>
        <w:t xml:space="preserve">the </w:t>
      </w:r>
      <w:r w:rsidRPr="003D77FD">
        <w:rPr>
          <w:lang w:val="en-CA"/>
        </w:rPr>
        <w:t xml:space="preserve">economic activity came from the direct operations of the live music industry, and the rest was attributed to </w:t>
      </w:r>
      <w:r w:rsidR="00CD08CE" w:rsidRPr="003D77FD">
        <w:rPr>
          <w:lang w:val="en-CA"/>
        </w:rPr>
        <w:t xml:space="preserve">the industry’s </w:t>
      </w:r>
      <w:r w:rsidRPr="003D77FD">
        <w:rPr>
          <w:lang w:val="en-CA"/>
        </w:rPr>
        <w:t>effect on tourism.</w:t>
      </w:r>
      <w:r w:rsidRPr="003D77FD">
        <w:rPr>
          <w:rStyle w:val="FootnoteReference"/>
          <w:lang w:val="en-CA"/>
        </w:rPr>
        <w:footnoteReference w:id="4"/>
      </w:r>
    </w:p>
    <w:p w14:paraId="4DC654DA" w14:textId="77777777" w:rsidR="00421641" w:rsidRPr="003D77FD" w:rsidRDefault="00421641" w:rsidP="00421641">
      <w:pPr>
        <w:pStyle w:val="BodyTextMain"/>
        <w:rPr>
          <w:lang w:val="en-CA"/>
        </w:rPr>
      </w:pPr>
    </w:p>
    <w:p w14:paraId="4CB21C84" w14:textId="312D0020" w:rsidR="00421641" w:rsidRPr="003D77FD" w:rsidRDefault="00421641" w:rsidP="00421641">
      <w:pPr>
        <w:pStyle w:val="BodyTextMain"/>
        <w:rPr>
          <w:iCs/>
          <w:lang w:val="en-CA"/>
        </w:rPr>
      </w:pPr>
      <w:r w:rsidRPr="003D77FD">
        <w:rPr>
          <w:iCs/>
          <w:lang w:val="en-CA"/>
        </w:rPr>
        <w:t>There were 558 live music festivals held in Ontario in 2013, with 15.7 million tickets sold to 13.7 million unique visitors. Of these, 38 per cent were large festivals, defined as having ten thousand or more attendees. The major expenses of a festival were programming</w:t>
      </w:r>
      <w:r w:rsidRPr="003D77FD">
        <w:rPr>
          <w:iCs/>
          <w:vertAlign w:val="superscript"/>
          <w:lang w:val="en-CA"/>
        </w:rPr>
        <w:footnoteReference w:id="5"/>
      </w:r>
      <w:r w:rsidRPr="003D77FD">
        <w:rPr>
          <w:iCs/>
          <w:lang w:val="en-CA"/>
        </w:rPr>
        <w:t xml:space="preserve"> and labour, which accounted for 56 per cent of all costs. In contrast, ticketing amounted to only 1 per cent of expenditure. Over 70 per cent of tickets sold by venues, festivals, and promoters were sold locally.</w:t>
      </w:r>
    </w:p>
    <w:p w14:paraId="67FCCE51" w14:textId="77777777" w:rsidR="00421641" w:rsidRPr="003D77FD" w:rsidRDefault="00421641" w:rsidP="00421641">
      <w:pPr>
        <w:pStyle w:val="BodyTextMain"/>
        <w:rPr>
          <w:iCs/>
          <w:lang w:val="en-CA"/>
        </w:rPr>
      </w:pPr>
    </w:p>
    <w:p w14:paraId="6883D583" w14:textId="61919BAF" w:rsidR="00421641" w:rsidRPr="003D77FD" w:rsidRDefault="00421641" w:rsidP="00421641">
      <w:pPr>
        <w:pStyle w:val="BodyTextMain"/>
        <w:rPr>
          <w:iCs/>
          <w:lang w:val="en-CA"/>
        </w:rPr>
      </w:pPr>
      <w:r w:rsidRPr="003D77FD">
        <w:rPr>
          <w:iCs/>
          <w:lang w:val="en-CA"/>
        </w:rPr>
        <w:t xml:space="preserve">A major challenge facing the industry was matching capacity to demand. While artists and managers bemoaned the paucity of adequate venues outside the Greater Toronto Area (GTA), more venues were required in the GTA itself to meet peak demand in the summer. There was also noticeable daily volatility in demand. Almost half of all venues were less than 50 per cent full during the average weekday, with over a third less than 25 per cent full. Music festivals relied heavily on food and beverage sales to complement the contribution from ticket sales. The fixed costs of each event were significant, and so any incremental revenue from such supplementary sources had a disproportionate effect on the </w:t>
      </w:r>
      <w:r w:rsidR="00490920" w:rsidRPr="003D77FD">
        <w:rPr>
          <w:iCs/>
          <w:lang w:val="en-CA"/>
        </w:rPr>
        <w:t>bottom line</w:t>
      </w:r>
      <w:r w:rsidRPr="003D77FD">
        <w:rPr>
          <w:iCs/>
          <w:lang w:val="en-CA"/>
        </w:rPr>
        <w:t>.</w:t>
      </w:r>
    </w:p>
    <w:p w14:paraId="24A2E57F" w14:textId="77777777" w:rsidR="00421641" w:rsidRPr="003D77FD" w:rsidRDefault="00421641" w:rsidP="00421641">
      <w:pPr>
        <w:pStyle w:val="BodyTextMain"/>
        <w:rPr>
          <w:iCs/>
          <w:lang w:val="en-CA"/>
        </w:rPr>
      </w:pPr>
    </w:p>
    <w:p w14:paraId="184B09FD" w14:textId="0A06D2F4" w:rsidR="00421641" w:rsidRPr="003D77FD" w:rsidRDefault="00421641" w:rsidP="00421641">
      <w:pPr>
        <w:pStyle w:val="BodyTextMain"/>
        <w:rPr>
          <w:iCs/>
          <w:lang w:val="en-CA"/>
        </w:rPr>
      </w:pPr>
      <w:r w:rsidRPr="003D77FD">
        <w:rPr>
          <w:iCs/>
          <w:lang w:val="en-CA"/>
        </w:rPr>
        <w:t xml:space="preserve">Globally, live performances were the source of nearly 13 per cent of all music revenues, growing at the rate of 3 per cent a year. Live music revenue in the United States, one of the most lucrative and best-understood markets, was projected to exceed </w:t>
      </w:r>
      <w:r w:rsidR="00490920" w:rsidRPr="003D77FD">
        <w:rPr>
          <w:iCs/>
          <w:lang w:val="en-CA"/>
        </w:rPr>
        <w:t>US$</w:t>
      </w:r>
      <w:r w:rsidRPr="003D77FD">
        <w:rPr>
          <w:iCs/>
          <w:lang w:val="en-CA"/>
        </w:rPr>
        <w:t>10 billion for the first time in 2018. Live performances remained an important source of revenue, especially for the best-known artists. In 2016, concert tours accounted for 88 per cent of the earnings of Beyoncé Knowles-Carter, the highest paid musician in the United States that year. American consumers allocated 49 per cent of all their music spending to live music (concerts, festivals, and performances)</w:t>
      </w:r>
      <w:r w:rsidR="00490920" w:rsidRPr="003D77FD">
        <w:rPr>
          <w:iCs/>
          <w:lang w:val="en-CA"/>
        </w:rPr>
        <w:t>,</w:t>
      </w:r>
      <w:r w:rsidRPr="003D77FD">
        <w:rPr>
          <w:iCs/>
          <w:lang w:val="en-CA"/>
        </w:rPr>
        <w:t xml:space="preserve"> with the rest allocated to the purchase of recorded music.</w:t>
      </w:r>
    </w:p>
    <w:p w14:paraId="11CAE204" w14:textId="77777777" w:rsidR="00421641" w:rsidRPr="003D77FD" w:rsidRDefault="00421641" w:rsidP="00421641">
      <w:pPr>
        <w:pStyle w:val="BodyTextMain"/>
        <w:rPr>
          <w:iCs/>
          <w:lang w:val="en-CA"/>
        </w:rPr>
      </w:pPr>
    </w:p>
    <w:p w14:paraId="2F4D6249" w14:textId="613D7489" w:rsidR="00421641" w:rsidRPr="003D77FD" w:rsidRDefault="00421641" w:rsidP="00421641">
      <w:pPr>
        <w:pStyle w:val="BodyTextMain"/>
        <w:rPr>
          <w:iCs/>
          <w:lang w:val="en-CA"/>
        </w:rPr>
      </w:pPr>
      <w:r w:rsidRPr="003D77FD">
        <w:rPr>
          <w:iCs/>
          <w:lang w:val="en-CA"/>
        </w:rPr>
        <w:t xml:space="preserve">The scale of music festivals reflected their central role in the industry. The Coachella Valley Music </w:t>
      </w:r>
      <w:r w:rsidR="00C75AFF" w:rsidRPr="003D77FD">
        <w:rPr>
          <w:iCs/>
          <w:lang w:val="en-CA"/>
        </w:rPr>
        <w:t xml:space="preserve">and </w:t>
      </w:r>
      <w:r w:rsidRPr="003D77FD">
        <w:rPr>
          <w:iCs/>
          <w:lang w:val="en-CA"/>
        </w:rPr>
        <w:t>Arts Festival</w:t>
      </w:r>
      <w:r w:rsidR="004F0055" w:rsidRPr="003D77FD">
        <w:rPr>
          <w:iCs/>
          <w:lang w:val="en-CA"/>
        </w:rPr>
        <w:t xml:space="preserve"> (Coachella)</w:t>
      </w:r>
      <w:r w:rsidRPr="003D77FD">
        <w:rPr>
          <w:iCs/>
          <w:lang w:val="en-CA"/>
        </w:rPr>
        <w:t xml:space="preserve">, the largest </w:t>
      </w:r>
      <w:r w:rsidR="00433967" w:rsidRPr="003D77FD">
        <w:rPr>
          <w:iCs/>
          <w:lang w:val="en-CA"/>
        </w:rPr>
        <w:t xml:space="preserve">music festival </w:t>
      </w:r>
      <w:r w:rsidRPr="003D77FD">
        <w:rPr>
          <w:iCs/>
          <w:lang w:val="en-CA"/>
        </w:rPr>
        <w:t xml:space="preserve">in the world, earned </w:t>
      </w:r>
      <w:r w:rsidR="00C75AFF" w:rsidRPr="003D77FD">
        <w:rPr>
          <w:iCs/>
          <w:lang w:val="en-CA"/>
        </w:rPr>
        <w:t>US$</w:t>
      </w:r>
      <w:r w:rsidRPr="003D77FD">
        <w:rPr>
          <w:iCs/>
          <w:lang w:val="en-CA"/>
        </w:rPr>
        <w:t>115 million in revenues from 250,000 tickets and hosted close to 100,000 visitors on each day of the festival.</w:t>
      </w:r>
      <w:r w:rsidRPr="003D77FD">
        <w:rPr>
          <w:rStyle w:val="FootnoteReference"/>
          <w:iCs/>
          <w:lang w:val="en-CA"/>
        </w:rPr>
        <w:footnoteReference w:id="6"/>
      </w:r>
    </w:p>
    <w:p w14:paraId="46C05227" w14:textId="77777777" w:rsidR="00421641" w:rsidRPr="003D77FD" w:rsidRDefault="00421641" w:rsidP="00421641">
      <w:pPr>
        <w:pStyle w:val="BodyTextMain"/>
        <w:rPr>
          <w:lang w:val="en-CA"/>
        </w:rPr>
      </w:pPr>
    </w:p>
    <w:p w14:paraId="5B1C6E85" w14:textId="77777777" w:rsidR="00421641" w:rsidRPr="003D77FD" w:rsidRDefault="00421641" w:rsidP="00421641">
      <w:pPr>
        <w:pStyle w:val="BodyTextMain"/>
        <w:rPr>
          <w:lang w:val="en-CA"/>
        </w:rPr>
      </w:pPr>
    </w:p>
    <w:p w14:paraId="6CC8C1AD" w14:textId="77777777" w:rsidR="00421641" w:rsidRPr="003D77FD" w:rsidRDefault="00421641" w:rsidP="00421641">
      <w:pPr>
        <w:pStyle w:val="Casehead1"/>
        <w:rPr>
          <w:lang w:val="en-CA"/>
        </w:rPr>
      </w:pPr>
      <w:r w:rsidRPr="003D77FD">
        <w:rPr>
          <w:lang w:val="en-CA"/>
        </w:rPr>
        <w:t>Intellitix</w:t>
      </w:r>
    </w:p>
    <w:p w14:paraId="6CBAF01F" w14:textId="77777777" w:rsidR="00421641" w:rsidRPr="003D77FD" w:rsidRDefault="00421641" w:rsidP="00421641">
      <w:pPr>
        <w:pStyle w:val="BodyTextMain"/>
        <w:rPr>
          <w:iCs/>
          <w:lang w:val="en-CA"/>
        </w:rPr>
      </w:pPr>
    </w:p>
    <w:p w14:paraId="5A9AD337" w14:textId="77777777" w:rsidR="00421641" w:rsidRPr="003D77FD" w:rsidRDefault="00421641" w:rsidP="00421641">
      <w:pPr>
        <w:pStyle w:val="Casehead2"/>
        <w:rPr>
          <w:lang w:val="en-CA"/>
        </w:rPr>
      </w:pPr>
      <w:r w:rsidRPr="003D77FD">
        <w:rPr>
          <w:lang w:val="en-CA"/>
        </w:rPr>
        <w:t>Background and Culture</w:t>
      </w:r>
    </w:p>
    <w:p w14:paraId="00A5CBDC" w14:textId="77777777" w:rsidR="00421641" w:rsidRPr="003D77FD" w:rsidRDefault="00421641" w:rsidP="00421641">
      <w:pPr>
        <w:pStyle w:val="BodyTextMain"/>
        <w:rPr>
          <w:iCs/>
          <w:lang w:val="en-CA"/>
        </w:rPr>
      </w:pPr>
    </w:p>
    <w:p w14:paraId="738A7975" w14:textId="4803067B" w:rsidR="00421641" w:rsidRPr="003D77FD" w:rsidRDefault="00421641" w:rsidP="00421641">
      <w:pPr>
        <w:pStyle w:val="BodyTextMain"/>
        <w:rPr>
          <w:iCs/>
          <w:lang w:val="en-CA"/>
        </w:rPr>
      </w:pPr>
      <w:r w:rsidRPr="003D77FD">
        <w:rPr>
          <w:iCs/>
          <w:lang w:val="en-CA"/>
        </w:rPr>
        <w:t xml:space="preserve">Serge Grimaux was an experienced event promoter and serial entrepreneur who had founded two companies before starting Intellitix in 2011. </w:t>
      </w:r>
      <w:r w:rsidR="005760EA" w:rsidRPr="003D77FD">
        <w:rPr>
          <w:iCs/>
          <w:lang w:val="en-CA"/>
        </w:rPr>
        <w:t xml:space="preserve">In 1992, </w:t>
      </w:r>
      <w:r w:rsidRPr="003D77FD">
        <w:rPr>
          <w:iCs/>
          <w:lang w:val="en-CA"/>
        </w:rPr>
        <w:t xml:space="preserve">Ticketpro, </w:t>
      </w:r>
      <w:r w:rsidR="005760EA" w:rsidRPr="003D77FD">
        <w:rPr>
          <w:iCs/>
          <w:lang w:val="en-CA"/>
        </w:rPr>
        <w:t>one of his previous companies, based in the Czech Republic</w:t>
      </w:r>
      <w:r w:rsidRPr="003D77FD">
        <w:rPr>
          <w:iCs/>
          <w:lang w:val="en-CA"/>
        </w:rPr>
        <w:t xml:space="preserve">, introduced the first </w:t>
      </w:r>
      <w:r w:rsidR="005760EA" w:rsidRPr="003D77FD">
        <w:rPr>
          <w:iCs/>
          <w:lang w:val="en-CA"/>
        </w:rPr>
        <w:t xml:space="preserve">computerized </w:t>
      </w:r>
      <w:r w:rsidRPr="003D77FD">
        <w:rPr>
          <w:iCs/>
          <w:lang w:val="en-CA"/>
        </w:rPr>
        <w:t xml:space="preserve">ticketing network in </w:t>
      </w:r>
      <w:r w:rsidR="00CF23D3" w:rsidRPr="003D77FD">
        <w:rPr>
          <w:iCs/>
          <w:lang w:val="en-CA"/>
        </w:rPr>
        <w:t>C</w:t>
      </w:r>
      <w:r w:rsidR="005760EA" w:rsidRPr="003D77FD">
        <w:rPr>
          <w:iCs/>
          <w:lang w:val="en-CA"/>
        </w:rPr>
        <w:t xml:space="preserve">entral and </w:t>
      </w:r>
      <w:r w:rsidR="00CF23D3" w:rsidRPr="003D77FD">
        <w:rPr>
          <w:iCs/>
          <w:lang w:val="en-CA"/>
        </w:rPr>
        <w:t>E</w:t>
      </w:r>
      <w:r w:rsidR="005760EA" w:rsidRPr="003D77FD">
        <w:rPr>
          <w:iCs/>
          <w:lang w:val="en-CA"/>
        </w:rPr>
        <w:t>astern</w:t>
      </w:r>
      <w:r w:rsidRPr="003D77FD">
        <w:rPr>
          <w:iCs/>
          <w:lang w:val="en-CA"/>
        </w:rPr>
        <w:t xml:space="preserve"> Europe. This company </w:t>
      </w:r>
      <w:r w:rsidR="00433967" w:rsidRPr="003D77FD">
        <w:rPr>
          <w:iCs/>
          <w:lang w:val="en-CA"/>
        </w:rPr>
        <w:t>was</w:t>
      </w:r>
      <w:r w:rsidRPr="003D77FD">
        <w:rPr>
          <w:iCs/>
          <w:lang w:val="en-CA"/>
        </w:rPr>
        <w:t xml:space="preserve"> sold to </w:t>
      </w:r>
      <w:r w:rsidR="002A7FD1" w:rsidRPr="003D77FD">
        <w:rPr>
          <w:iCs/>
          <w:lang w:val="en-CA"/>
        </w:rPr>
        <w:t>Live Nation Entertainment Inc.</w:t>
      </w:r>
      <w:r w:rsidRPr="003D77FD">
        <w:rPr>
          <w:iCs/>
          <w:lang w:val="en-CA"/>
        </w:rPr>
        <w:t xml:space="preserve">, one of the largest online </w:t>
      </w:r>
      <w:r w:rsidR="002A7FD1" w:rsidRPr="003D77FD">
        <w:rPr>
          <w:iCs/>
          <w:lang w:val="en-CA"/>
        </w:rPr>
        <w:t>resellers</w:t>
      </w:r>
      <w:r w:rsidRPr="003D77FD">
        <w:rPr>
          <w:iCs/>
          <w:lang w:val="en-CA"/>
        </w:rPr>
        <w:t xml:space="preserve"> of concert tickets in North America. Grimaux’s nearly </w:t>
      </w:r>
      <w:r w:rsidR="008E4AF0" w:rsidRPr="003D77FD">
        <w:rPr>
          <w:iCs/>
          <w:lang w:val="en-CA"/>
        </w:rPr>
        <w:t>40</w:t>
      </w:r>
      <w:r w:rsidRPr="003D77FD">
        <w:rPr>
          <w:iCs/>
          <w:lang w:val="en-CA"/>
        </w:rPr>
        <w:t xml:space="preserve"> years of experience, intimate knowledge of the music industry, and familiarity with the process of delivering a successful event made him a unique asset to Intellitix.</w:t>
      </w:r>
    </w:p>
    <w:p w14:paraId="226262BC" w14:textId="77777777" w:rsidR="00421641" w:rsidRPr="003D77FD" w:rsidRDefault="00421641" w:rsidP="00421641">
      <w:pPr>
        <w:pStyle w:val="BodyTextMain"/>
        <w:rPr>
          <w:iCs/>
          <w:lang w:val="en-CA"/>
        </w:rPr>
      </w:pPr>
    </w:p>
    <w:p w14:paraId="33729499" w14:textId="6128844A" w:rsidR="00421641" w:rsidRPr="003D77FD" w:rsidRDefault="00421641" w:rsidP="00421641">
      <w:pPr>
        <w:pStyle w:val="BodyTextMain"/>
        <w:rPr>
          <w:iCs/>
          <w:lang w:val="en-CA"/>
        </w:rPr>
      </w:pPr>
      <w:r w:rsidRPr="003D77FD">
        <w:rPr>
          <w:iCs/>
          <w:lang w:val="en-CA"/>
        </w:rPr>
        <w:t xml:space="preserve">Eric Janssen was a graduate of the </w:t>
      </w:r>
      <w:r w:rsidR="002A7FD1" w:rsidRPr="003D77FD">
        <w:rPr>
          <w:iCs/>
          <w:lang w:val="en-CA"/>
        </w:rPr>
        <w:t>honours business administration</w:t>
      </w:r>
      <w:r w:rsidRPr="003D77FD">
        <w:rPr>
          <w:iCs/>
          <w:lang w:val="en-CA"/>
        </w:rPr>
        <w:t xml:space="preserve"> program at Ivey Business School in London, Canada. His experience leading sales and business development at Canadian software start-ups Mobiroo and Wrapp had made him a strong candidate for a similar role at Intellitix. Grimaux brought </w:t>
      </w:r>
      <w:r w:rsidR="00433967" w:rsidRPr="003D77FD">
        <w:rPr>
          <w:iCs/>
          <w:lang w:val="en-CA"/>
        </w:rPr>
        <w:t xml:space="preserve">Janssen </w:t>
      </w:r>
      <w:r w:rsidRPr="003D77FD">
        <w:rPr>
          <w:iCs/>
          <w:lang w:val="en-CA"/>
        </w:rPr>
        <w:t>into Intellitix as an equity partner in 2014</w:t>
      </w:r>
      <w:r w:rsidR="00433967" w:rsidRPr="003D77FD">
        <w:rPr>
          <w:iCs/>
          <w:lang w:val="en-CA"/>
        </w:rPr>
        <w:t>,</w:t>
      </w:r>
      <w:r w:rsidRPr="003D77FD">
        <w:rPr>
          <w:iCs/>
          <w:lang w:val="en-CA"/>
        </w:rPr>
        <w:t xml:space="preserve"> with the mandate to manage and increase revenues.</w:t>
      </w:r>
    </w:p>
    <w:p w14:paraId="4DBB844D" w14:textId="77777777" w:rsidR="00421641" w:rsidRPr="003D77FD" w:rsidRDefault="00421641" w:rsidP="00421641">
      <w:pPr>
        <w:pStyle w:val="BodyTextMain"/>
        <w:rPr>
          <w:iCs/>
          <w:lang w:val="en-CA"/>
        </w:rPr>
      </w:pPr>
    </w:p>
    <w:p w14:paraId="2DCF6C32" w14:textId="1F64144A" w:rsidR="00421641" w:rsidRPr="003D77FD" w:rsidRDefault="00421641" w:rsidP="00421641">
      <w:pPr>
        <w:pStyle w:val="BodyTextMain"/>
        <w:rPr>
          <w:iCs/>
          <w:lang w:val="en-CA"/>
        </w:rPr>
      </w:pPr>
      <w:r w:rsidRPr="003D77FD">
        <w:rPr>
          <w:iCs/>
          <w:lang w:val="en-CA"/>
        </w:rPr>
        <w:t>A substantial proportion of Intellitix employees were recruited from the live music industry and could</w:t>
      </w:r>
      <w:r w:rsidR="00C57532" w:rsidRPr="003D77FD">
        <w:rPr>
          <w:iCs/>
          <w:lang w:val="en-CA"/>
        </w:rPr>
        <w:t xml:space="preserve"> easily</w:t>
      </w:r>
      <w:r w:rsidRPr="003D77FD">
        <w:rPr>
          <w:iCs/>
          <w:lang w:val="en-CA"/>
        </w:rPr>
        <w:t xml:space="preserve"> relate to their customers’ pain points. These employees perceived Intellitix as a </w:t>
      </w:r>
      <w:r w:rsidR="00433967" w:rsidRPr="003D77FD">
        <w:rPr>
          <w:iCs/>
          <w:lang w:val="en-CA"/>
        </w:rPr>
        <w:t>“</w:t>
      </w:r>
      <w:r w:rsidRPr="003D77FD">
        <w:rPr>
          <w:iCs/>
          <w:lang w:val="en-CA"/>
        </w:rPr>
        <w:t>music company</w:t>
      </w:r>
      <w:r w:rsidR="00433967" w:rsidRPr="003D77FD">
        <w:rPr>
          <w:iCs/>
          <w:lang w:val="en-CA"/>
        </w:rPr>
        <w:t>”</w:t>
      </w:r>
      <w:r w:rsidRPr="003D77FD">
        <w:rPr>
          <w:iCs/>
          <w:lang w:val="en-CA"/>
        </w:rPr>
        <w:t xml:space="preserve"> for both personal and historic reasons. Grimaux took a broader view and described Intellitix as an </w:t>
      </w:r>
      <w:r w:rsidR="00B1625E" w:rsidRPr="003D77FD">
        <w:rPr>
          <w:iCs/>
          <w:lang w:val="en-CA"/>
        </w:rPr>
        <w:t>“</w:t>
      </w:r>
      <w:r w:rsidRPr="003D77FD">
        <w:rPr>
          <w:iCs/>
          <w:lang w:val="en-CA"/>
        </w:rPr>
        <w:t>innovation company</w:t>
      </w:r>
      <w:r w:rsidR="00B1625E" w:rsidRPr="003D77FD">
        <w:rPr>
          <w:iCs/>
          <w:lang w:val="en-CA"/>
        </w:rPr>
        <w:t>”</w:t>
      </w:r>
      <w:r w:rsidRPr="003D77FD">
        <w:rPr>
          <w:iCs/>
          <w:lang w:val="en-CA"/>
        </w:rPr>
        <w:t xml:space="preserve"> and</w:t>
      </w:r>
      <w:r w:rsidR="00C71C57" w:rsidRPr="003D77FD">
        <w:rPr>
          <w:iCs/>
          <w:lang w:val="en-CA"/>
        </w:rPr>
        <w:t xml:space="preserve"> as</w:t>
      </w:r>
      <w:r w:rsidRPr="003D77FD">
        <w:rPr>
          <w:iCs/>
          <w:lang w:val="en-CA"/>
        </w:rPr>
        <w:t xml:space="preserve"> </w:t>
      </w:r>
      <w:r w:rsidR="00B1625E" w:rsidRPr="003D77FD">
        <w:rPr>
          <w:iCs/>
          <w:lang w:val="en-CA"/>
        </w:rPr>
        <w:t>“</w:t>
      </w:r>
      <w:r w:rsidRPr="003D77FD">
        <w:rPr>
          <w:iCs/>
          <w:lang w:val="en-CA"/>
        </w:rPr>
        <w:t>the bridge between the digital community and the real-life community</w:t>
      </w:r>
      <w:r w:rsidR="00B1625E" w:rsidRPr="003D77FD">
        <w:rPr>
          <w:iCs/>
          <w:lang w:val="en-CA"/>
        </w:rPr>
        <w:t>.”</w:t>
      </w:r>
    </w:p>
    <w:p w14:paraId="20759173" w14:textId="77777777" w:rsidR="00421641" w:rsidRPr="003D77FD" w:rsidRDefault="00421641" w:rsidP="00421641">
      <w:pPr>
        <w:pStyle w:val="Casehead2"/>
        <w:rPr>
          <w:lang w:val="en-CA"/>
        </w:rPr>
      </w:pPr>
      <w:r w:rsidRPr="003D77FD">
        <w:rPr>
          <w:lang w:val="en-CA"/>
        </w:rPr>
        <w:t>Product</w:t>
      </w:r>
    </w:p>
    <w:p w14:paraId="5959A9D0" w14:textId="77777777" w:rsidR="00421641" w:rsidRPr="003D77FD" w:rsidRDefault="00421641" w:rsidP="00421641">
      <w:pPr>
        <w:pStyle w:val="BodyTextMain"/>
        <w:rPr>
          <w:iCs/>
          <w:lang w:val="en-CA"/>
        </w:rPr>
      </w:pPr>
    </w:p>
    <w:p w14:paraId="5FD483E0" w14:textId="037FDA86" w:rsidR="00421641" w:rsidRPr="003D77FD" w:rsidRDefault="00421641" w:rsidP="00421641">
      <w:pPr>
        <w:pStyle w:val="BodyTextMain"/>
        <w:rPr>
          <w:iCs/>
          <w:lang w:val="en-CA"/>
        </w:rPr>
      </w:pPr>
      <w:r w:rsidRPr="003D77FD">
        <w:rPr>
          <w:iCs/>
          <w:lang w:val="en-CA"/>
        </w:rPr>
        <w:t xml:space="preserve">The core of Intellitix’s business was a software platform that supported entry management, cashless payments, and </w:t>
      </w:r>
      <w:r w:rsidR="00B1625E" w:rsidRPr="003D77FD">
        <w:rPr>
          <w:iCs/>
          <w:lang w:val="en-CA"/>
        </w:rPr>
        <w:t xml:space="preserve">customized </w:t>
      </w:r>
      <w:r w:rsidRPr="003D77FD">
        <w:rPr>
          <w:iCs/>
          <w:lang w:val="en-CA"/>
        </w:rPr>
        <w:t xml:space="preserve">user experiences for events. This software ran on a cloth wristband containing </w:t>
      </w:r>
      <w:r w:rsidR="00B1625E" w:rsidRPr="003D77FD">
        <w:rPr>
          <w:iCs/>
          <w:lang w:val="en-CA"/>
        </w:rPr>
        <w:t>a</w:t>
      </w:r>
      <w:r w:rsidRPr="003D77FD">
        <w:rPr>
          <w:iCs/>
          <w:lang w:val="en-CA"/>
        </w:rPr>
        <w:t xml:space="preserve"> </w:t>
      </w:r>
      <w:r w:rsidR="00B1625E" w:rsidRPr="003D77FD">
        <w:rPr>
          <w:iCs/>
          <w:lang w:val="en-CA"/>
        </w:rPr>
        <w:t>radio-frequency identification (</w:t>
      </w:r>
      <w:r w:rsidRPr="003D77FD">
        <w:rPr>
          <w:iCs/>
          <w:lang w:val="en-CA"/>
        </w:rPr>
        <w:t>RFID</w:t>
      </w:r>
      <w:r w:rsidR="00B1625E" w:rsidRPr="003D77FD">
        <w:rPr>
          <w:iCs/>
          <w:lang w:val="en-CA"/>
        </w:rPr>
        <w:t>)</w:t>
      </w:r>
      <w:r w:rsidRPr="003D77FD">
        <w:rPr>
          <w:iCs/>
          <w:lang w:val="en-CA"/>
        </w:rPr>
        <w:t xml:space="preserve"> chip,</w:t>
      </w:r>
      <w:r w:rsidR="00837B28" w:rsidRPr="003D77FD">
        <w:rPr>
          <w:iCs/>
          <w:vertAlign w:val="superscript"/>
          <w:lang w:val="en-CA"/>
        </w:rPr>
        <w:footnoteReference w:id="7"/>
      </w:r>
      <w:r w:rsidRPr="003D77FD">
        <w:rPr>
          <w:iCs/>
          <w:lang w:val="en-CA"/>
        </w:rPr>
        <w:t xml:space="preserve"> sourced from a manufacturing partner. The chip acted as a passport, giving attendees access to select performances or services.</w:t>
      </w:r>
    </w:p>
    <w:p w14:paraId="76D4171E" w14:textId="77777777" w:rsidR="00421641" w:rsidRPr="003D77FD" w:rsidRDefault="00421641" w:rsidP="00421641">
      <w:pPr>
        <w:pStyle w:val="BodyTextMain"/>
        <w:rPr>
          <w:iCs/>
          <w:lang w:val="en-CA"/>
        </w:rPr>
      </w:pPr>
    </w:p>
    <w:p w14:paraId="4187C592" w14:textId="0893E50E" w:rsidR="00421641" w:rsidRPr="003D77FD" w:rsidRDefault="00421641" w:rsidP="00421641">
      <w:pPr>
        <w:pStyle w:val="BodyTextMain"/>
        <w:rPr>
          <w:iCs/>
          <w:lang w:val="en-CA"/>
        </w:rPr>
      </w:pPr>
      <w:r w:rsidRPr="003D77FD">
        <w:rPr>
          <w:iCs/>
          <w:lang w:val="en-CA"/>
        </w:rPr>
        <w:t xml:space="preserve">The inspiration for the product </w:t>
      </w:r>
      <w:r w:rsidR="007E70A4" w:rsidRPr="003D77FD">
        <w:rPr>
          <w:iCs/>
          <w:lang w:val="en-CA"/>
        </w:rPr>
        <w:t>came</w:t>
      </w:r>
      <w:r w:rsidRPr="003D77FD">
        <w:rPr>
          <w:iCs/>
          <w:lang w:val="en-CA"/>
        </w:rPr>
        <w:t xml:space="preserve"> from </w:t>
      </w:r>
      <w:r w:rsidR="00B1625E" w:rsidRPr="003D77FD">
        <w:rPr>
          <w:iCs/>
          <w:lang w:val="en-CA"/>
        </w:rPr>
        <w:t>Grimaux’s experience</w:t>
      </w:r>
      <w:r w:rsidRPr="003D77FD">
        <w:rPr>
          <w:iCs/>
          <w:lang w:val="en-CA"/>
        </w:rPr>
        <w:t xml:space="preserve"> in 2009 as an exhibitor at the Festival </w:t>
      </w:r>
      <w:r w:rsidR="00B1625E" w:rsidRPr="003D77FD">
        <w:rPr>
          <w:iCs/>
          <w:lang w:val="en-CA"/>
        </w:rPr>
        <w:t>d’été</w:t>
      </w:r>
      <w:r w:rsidRPr="003D77FD">
        <w:rPr>
          <w:iCs/>
          <w:lang w:val="en-CA"/>
        </w:rPr>
        <w:t xml:space="preserve"> du </w:t>
      </w:r>
      <w:r w:rsidR="00B1625E" w:rsidRPr="003D77FD">
        <w:rPr>
          <w:iCs/>
          <w:lang w:val="en-CA"/>
        </w:rPr>
        <w:t>Québec</w:t>
      </w:r>
      <w:r w:rsidRPr="003D77FD">
        <w:rPr>
          <w:iCs/>
          <w:lang w:val="en-CA"/>
        </w:rPr>
        <w:t xml:space="preserve">. </w:t>
      </w:r>
      <w:r w:rsidR="00B1625E" w:rsidRPr="003D77FD">
        <w:rPr>
          <w:iCs/>
          <w:lang w:val="en-CA"/>
        </w:rPr>
        <w:t xml:space="preserve">The </w:t>
      </w:r>
      <w:r w:rsidRPr="003D77FD">
        <w:rPr>
          <w:iCs/>
          <w:lang w:val="en-CA"/>
        </w:rPr>
        <w:t xml:space="preserve">event </w:t>
      </w:r>
      <w:r w:rsidR="00B1625E" w:rsidRPr="003D77FD">
        <w:rPr>
          <w:iCs/>
          <w:lang w:val="en-CA"/>
        </w:rPr>
        <w:t xml:space="preserve">had </w:t>
      </w:r>
      <w:r w:rsidRPr="003D77FD">
        <w:rPr>
          <w:iCs/>
          <w:lang w:val="en-CA"/>
        </w:rPr>
        <w:t>utilized paper wristbands of eleven different colours to discern the various rights of admission among its attendees</w:t>
      </w:r>
      <w:r w:rsidR="00B1625E" w:rsidRPr="003D77FD">
        <w:rPr>
          <w:iCs/>
          <w:lang w:val="en-CA"/>
        </w:rPr>
        <w:t>—</w:t>
      </w:r>
      <w:r w:rsidRPr="003D77FD">
        <w:rPr>
          <w:iCs/>
          <w:lang w:val="en-CA"/>
        </w:rPr>
        <w:t xml:space="preserve">a system that broke down rapidly when it had to provide timely access to over a hundred thousand people for a performance held in the dark. Grimaux </w:t>
      </w:r>
      <w:r w:rsidR="00A57DF0" w:rsidRPr="003D77FD">
        <w:rPr>
          <w:iCs/>
          <w:lang w:val="en-CA"/>
        </w:rPr>
        <w:t xml:space="preserve">had </w:t>
      </w:r>
      <w:r w:rsidR="00B1625E" w:rsidRPr="003D77FD">
        <w:rPr>
          <w:iCs/>
          <w:lang w:val="en-CA"/>
        </w:rPr>
        <w:t xml:space="preserve">realized </w:t>
      </w:r>
      <w:r w:rsidRPr="003D77FD">
        <w:rPr>
          <w:iCs/>
          <w:lang w:val="en-CA"/>
        </w:rPr>
        <w:t>that RFID was the ideal solution to this problem.</w:t>
      </w:r>
    </w:p>
    <w:p w14:paraId="10B34CA1" w14:textId="77777777" w:rsidR="00421641" w:rsidRPr="003D77FD" w:rsidRDefault="00421641" w:rsidP="00421641">
      <w:pPr>
        <w:pStyle w:val="BodyTextMain"/>
        <w:rPr>
          <w:iCs/>
          <w:lang w:val="en-CA"/>
        </w:rPr>
      </w:pPr>
    </w:p>
    <w:p w14:paraId="498F871E" w14:textId="371C69C9" w:rsidR="00421641" w:rsidRPr="003D77FD" w:rsidRDefault="00421641" w:rsidP="00421641">
      <w:pPr>
        <w:pStyle w:val="BodyTextMain"/>
        <w:rPr>
          <w:iCs/>
          <w:lang w:val="en-CA"/>
        </w:rPr>
      </w:pPr>
      <w:r w:rsidRPr="003D77FD">
        <w:rPr>
          <w:iCs/>
          <w:lang w:val="en-CA"/>
        </w:rPr>
        <w:t>Another problem faced by events was the practice of attendees sharing wristbands with each other</w:t>
      </w:r>
      <w:r w:rsidR="00BB3465" w:rsidRPr="003D77FD">
        <w:rPr>
          <w:iCs/>
          <w:lang w:val="en-CA"/>
        </w:rPr>
        <w:t>—</w:t>
      </w:r>
      <w:r w:rsidRPr="003D77FD">
        <w:rPr>
          <w:iCs/>
          <w:lang w:val="en-CA"/>
        </w:rPr>
        <w:t xml:space="preserve">a phenomenon known as a </w:t>
      </w:r>
      <w:r w:rsidR="00B1625E" w:rsidRPr="003D77FD">
        <w:rPr>
          <w:iCs/>
          <w:lang w:val="en-CA"/>
        </w:rPr>
        <w:t>“passback</w:t>
      </w:r>
      <w:r w:rsidRPr="003D77FD">
        <w:rPr>
          <w:iCs/>
          <w:lang w:val="en-CA"/>
        </w:rPr>
        <w:t>.</w:t>
      </w:r>
      <w:r w:rsidR="00B1625E" w:rsidRPr="003D77FD">
        <w:rPr>
          <w:iCs/>
          <w:lang w:val="en-CA"/>
        </w:rPr>
        <w:t>”</w:t>
      </w:r>
      <w:r w:rsidRPr="003D77FD">
        <w:rPr>
          <w:iCs/>
          <w:lang w:val="en-CA"/>
        </w:rPr>
        <w:t xml:space="preserve"> Grimaux had estimated that </w:t>
      </w:r>
      <w:r w:rsidR="00B1625E" w:rsidRPr="003D77FD">
        <w:rPr>
          <w:iCs/>
          <w:lang w:val="en-CA"/>
        </w:rPr>
        <w:t>passbacks</w:t>
      </w:r>
      <w:r w:rsidRPr="003D77FD">
        <w:rPr>
          <w:iCs/>
          <w:lang w:val="en-CA"/>
        </w:rPr>
        <w:t xml:space="preserve"> lost events between </w:t>
      </w:r>
      <w:r w:rsidR="00A36163" w:rsidRPr="003D77FD">
        <w:rPr>
          <w:iCs/>
          <w:lang w:val="en-CA"/>
        </w:rPr>
        <w:t>2</w:t>
      </w:r>
      <w:r w:rsidRPr="003D77FD">
        <w:rPr>
          <w:iCs/>
          <w:lang w:val="en-CA"/>
        </w:rPr>
        <w:t xml:space="preserve"> and 5 per cent of sales and that deploying more personnel to monitor lines was neither cost-efficient nor effective. The Intellitix solution eliminated </w:t>
      </w:r>
      <w:r w:rsidR="00A36163" w:rsidRPr="003D77FD">
        <w:rPr>
          <w:iCs/>
          <w:lang w:val="en-CA"/>
        </w:rPr>
        <w:t>passbacks</w:t>
      </w:r>
      <w:r w:rsidRPr="003D77FD">
        <w:rPr>
          <w:iCs/>
          <w:lang w:val="en-CA"/>
        </w:rPr>
        <w:t xml:space="preserve">, providing an immediate payback. The Intellitix system also eliminated shrinkage </w:t>
      </w:r>
      <w:r w:rsidRPr="003D77FD">
        <w:rPr>
          <w:iCs/>
          <w:lang w:val="en-CA"/>
        </w:rPr>
        <w:lastRenderedPageBreak/>
        <w:t>from counterfeit tickets, radically reduced queueing time, and generated real-time location data on attendees. The typical Intellitix engagement was a ticketed event with 10,000 or more attendees over multiple days</w:t>
      </w:r>
      <w:r w:rsidR="00A57DF0" w:rsidRPr="003D77FD">
        <w:rPr>
          <w:iCs/>
          <w:lang w:val="en-CA"/>
        </w:rPr>
        <w:t>—</w:t>
      </w:r>
      <w:r w:rsidRPr="003D77FD">
        <w:rPr>
          <w:iCs/>
          <w:lang w:val="en-CA"/>
        </w:rPr>
        <w:t xml:space="preserve">so this added up to a significant dollar value. Grimaux believed that this financial benefit </w:t>
      </w:r>
      <w:r w:rsidR="00A57DF0" w:rsidRPr="003D77FD">
        <w:rPr>
          <w:iCs/>
          <w:lang w:val="en-CA"/>
        </w:rPr>
        <w:t xml:space="preserve">had </w:t>
      </w:r>
      <w:r w:rsidRPr="003D77FD">
        <w:rPr>
          <w:iCs/>
          <w:lang w:val="en-CA"/>
        </w:rPr>
        <w:t>made Intellitix such a compelling product and led to its enthusiastic adoption.</w:t>
      </w:r>
    </w:p>
    <w:p w14:paraId="223F6071" w14:textId="77777777" w:rsidR="00421641" w:rsidRPr="003D77FD" w:rsidRDefault="00421641" w:rsidP="00421641">
      <w:pPr>
        <w:pStyle w:val="BodyTextMain"/>
        <w:rPr>
          <w:iCs/>
          <w:lang w:val="en-CA"/>
        </w:rPr>
      </w:pPr>
    </w:p>
    <w:p w14:paraId="7463A105" w14:textId="6FE638AB" w:rsidR="00421641" w:rsidRPr="003D77FD" w:rsidRDefault="00421641" w:rsidP="00421641">
      <w:pPr>
        <w:pStyle w:val="BodyTextMain"/>
        <w:rPr>
          <w:iCs/>
          <w:lang w:val="en-CA"/>
        </w:rPr>
      </w:pPr>
      <w:r w:rsidRPr="003D77FD">
        <w:rPr>
          <w:iCs/>
          <w:lang w:val="en-CA"/>
        </w:rPr>
        <w:t xml:space="preserve">The Intellitix wristband </w:t>
      </w:r>
      <w:r w:rsidR="00F76B7E" w:rsidRPr="003D77FD">
        <w:rPr>
          <w:iCs/>
          <w:lang w:val="en-CA"/>
        </w:rPr>
        <w:t xml:space="preserve">was </w:t>
      </w:r>
      <w:r w:rsidRPr="003D77FD">
        <w:rPr>
          <w:iCs/>
          <w:lang w:val="en-CA"/>
        </w:rPr>
        <w:t xml:space="preserve">also integrated with </w:t>
      </w:r>
      <w:r w:rsidR="00BB3465" w:rsidRPr="003D77FD">
        <w:rPr>
          <w:iCs/>
          <w:lang w:val="en-CA"/>
        </w:rPr>
        <w:t>is</w:t>
      </w:r>
      <w:r w:rsidRPr="003D77FD">
        <w:rPr>
          <w:iCs/>
          <w:lang w:val="en-CA"/>
        </w:rPr>
        <w:t xml:space="preserve"> proprietary contactless payment solution</w:t>
      </w:r>
      <w:r w:rsidR="00F76B7E" w:rsidRPr="003D77FD">
        <w:rPr>
          <w:iCs/>
          <w:lang w:val="en-CA"/>
        </w:rPr>
        <w:t>,</w:t>
      </w:r>
      <w:r w:rsidRPr="003D77FD">
        <w:rPr>
          <w:iCs/>
          <w:lang w:val="en-CA"/>
        </w:rPr>
        <w:t xml:space="preserve"> </w:t>
      </w:r>
      <w:r w:rsidR="00F76B7E" w:rsidRPr="003D77FD">
        <w:rPr>
          <w:iCs/>
          <w:lang w:val="en-CA"/>
        </w:rPr>
        <w:t xml:space="preserve">meaning </w:t>
      </w:r>
      <w:r w:rsidR="003D17D1" w:rsidRPr="003D77FD">
        <w:rPr>
          <w:iCs/>
          <w:lang w:val="en-CA"/>
        </w:rPr>
        <w:t xml:space="preserve">that </w:t>
      </w:r>
      <w:r w:rsidRPr="003D77FD">
        <w:rPr>
          <w:iCs/>
          <w:lang w:val="en-CA"/>
        </w:rPr>
        <w:t xml:space="preserve">attendees no longer had to carry cash or cards at events, </w:t>
      </w:r>
      <w:r w:rsidR="00F76B7E" w:rsidRPr="003D77FD">
        <w:rPr>
          <w:iCs/>
          <w:lang w:val="en-CA"/>
        </w:rPr>
        <w:t xml:space="preserve">which deterred </w:t>
      </w:r>
      <w:r w:rsidRPr="003D77FD">
        <w:rPr>
          <w:iCs/>
          <w:lang w:val="en-CA"/>
        </w:rPr>
        <w:t xml:space="preserve">crime and </w:t>
      </w:r>
      <w:r w:rsidR="00F76B7E" w:rsidRPr="003D77FD">
        <w:rPr>
          <w:iCs/>
          <w:lang w:val="en-CA"/>
        </w:rPr>
        <w:t xml:space="preserve">encouraged </w:t>
      </w:r>
      <w:r w:rsidRPr="003D77FD">
        <w:rPr>
          <w:iCs/>
          <w:lang w:val="en-CA"/>
        </w:rPr>
        <w:t xml:space="preserve">sales of products ranging from alcohol to souvenir shirts. Janssen considered this aspect of the service a key motivator for events, noting that on-site sales rose between 30 and 100 per cent at </w:t>
      </w:r>
      <w:r w:rsidR="008D6D58" w:rsidRPr="003D77FD">
        <w:rPr>
          <w:iCs/>
          <w:lang w:val="en-CA"/>
        </w:rPr>
        <w:t>events</w:t>
      </w:r>
      <w:r w:rsidRPr="003D77FD">
        <w:rPr>
          <w:iCs/>
          <w:lang w:val="en-CA"/>
        </w:rPr>
        <w:t xml:space="preserve"> where this payment solution </w:t>
      </w:r>
      <w:r w:rsidR="008D6D58" w:rsidRPr="003D77FD">
        <w:rPr>
          <w:iCs/>
          <w:lang w:val="en-CA"/>
        </w:rPr>
        <w:t>had been</w:t>
      </w:r>
      <w:r w:rsidRPr="003D77FD">
        <w:rPr>
          <w:iCs/>
          <w:lang w:val="en-CA"/>
        </w:rPr>
        <w:t xml:space="preserve"> implemented.</w:t>
      </w:r>
      <w:r w:rsidR="004B221A" w:rsidRPr="003D77FD">
        <w:rPr>
          <w:iCs/>
          <w:lang w:val="en-CA"/>
        </w:rPr>
        <w:t xml:space="preserve"> </w:t>
      </w:r>
      <w:r w:rsidR="008D6D58" w:rsidRPr="003D77FD">
        <w:rPr>
          <w:iCs/>
          <w:lang w:val="en-CA"/>
        </w:rPr>
        <w:t>On-site food</w:t>
      </w:r>
      <w:r w:rsidRPr="003D77FD">
        <w:rPr>
          <w:iCs/>
          <w:lang w:val="en-CA"/>
        </w:rPr>
        <w:t xml:space="preserve"> and beverage prices were typically marked up aggressively and therefore </w:t>
      </w:r>
      <w:r w:rsidR="00BB3465" w:rsidRPr="003D77FD">
        <w:rPr>
          <w:iCs/>
          <w:lang w:val="en-CA"/>
        </w:rPr>
        <w:t xml:space="preserve">were quite </w:t>
      </w:r>
      <w:r w:rsidRPr="003D77FD">
        <w:rPr>
          <w:iCs/>
          <w:lang w:val="en-CA"/>
        </w:rPr>
        <w:t>lucrative.</w:t>
      </w:r>
    </w:p>
    <w:p w14:paraId="2D253215" w14:textId="77777777" w:rsidR="00421641" w:rsidRPr="003D77FD" w:rsidRDefault="00421641" w:rsidP="00421641">
      <w:pPr>
        <w:pStyle w:val="BodyTextMain"/>
        <w:rPr>
          <w:iCs/>
          <w:lang w:val="en-CA"/>
        </w:rPr>
      </w:pPr>
    </w:p>
    <w:p w14:paraId="06FF0D73" w14:textId="42ADF228" w:rsidR="00421641" w:rsidRPr="003D77FD" w:rsidRDefault="00421641" w:rsidP="00421641">
      <w:pPr>
        <w:pStyle w:val="BodyTextMain"/>
        <w:rPr>
          <w:iCs/>
          <w:spacing w:val="-4"/>
          <w:kern w:val="22"/>
          <w:lang w:val="en-CA"/>
        </w:rPr>
      </w:pPr>
      <w:r w:rsidRPr="003D77FD">
        <w:rPr>
          <w:iCs/>
          <w:spacing w:val="-4"/>
          <w:kern w:val="22"/>
          <w:lang w:val="en-CA"/>
        </w:rPr>
        <w:t xml:space="preserve">Integration with social media added another layer of utility to the wristband. For example, linking the wristband to a social media profile could give a patron access to a playlist of bands that had performed at a festival. At </w:t>
      </w:r>
      <w:r w:rsidR="002B3ED2" w:rsidRPr="003D77FD">
        <w:rPr>
          <w:iCs/>
          <w:spacing w:val="-4"/>
          <w:kern w:val="22"/>
          <w:lang w:val="en-CA"/>
        </w:rPr>
        <w:t xml:space="preserve">each performance area at </w:t>
      </w:r>
      <w:r w:rsidR="00CC0BCA" w:rsidRPr="003D77FD">
        <w:rPr>
          <w:iCs/>
          <w:spacing w:val="-4"/>
          <w:kern w:val="22"/>
          <w:lang w:val="en-CA"/>
        </w:rPr>
        <w:t xml:space="preserve">the </w:t>
      </w:r>
      <w:bookmarkStart w:id="1" w:name="_Hlk12869592"/>
      <w:r w:rsidRPr="003D77FD">
        <w:rPr>
          <w:iCs/>
          <w:spacing w:val="-4"/>
          <w:kern w:val="22"/>
          <w:lang w:val="en-CA"/>
        </w:rPr>
        <w:t>Bonnaroo</w:t>
      </w:r>
      <w:r w:rsidR="002B3ED2" w:rsidRPr="003D77FD">
        <w:rPr>
          <w:iCs/>
          <w:spacing w:val="-4"/>
          <w:kern w:val="22"/>
          <w:lang w:val="en-CA"/>
        </w:rPr>
        <w:t xml:space="preserve"> Music and Arts Festival</w:t>
      </w:r>
      <w:bookmarkEnd w:id="1"/>
      <w:r w:rsidR="004F0055" w:rsidRPr="003D77FD">
        <w:rPr>
          <w:iCs/>
          <w:spacing w:val="-4"/>
          <w:kern w:val="22"/>
          <w:lang w:val="en-CA"/>
        </w:rPr>
        <w:t xml:space="preserve"> (Bonnaroo)</w:t>
      </w:r>
      <w:r w:rsidRPr="003D77FD">
        <w:rPr>
          <w:iCs/>
          <w:spacing w:val="-4"/>
          <w:kern w:val="22"/>
          <w:lang w:val="en-CA"/>
        </w:rPr>
        <w:t>, Intellitix had set up booths where attendees could tap their wristbands to take a photo and automatically post it to their Facebook account.</w:t>
      </w:r>
    </w:p>
    <w:p w14:paraId="01B3A2A3" w14:textId="77777777" w:rsidR="00421641" w:rsidRPr="003D77FD" w:rsidRDefault="00421641" w:rsidP="00421641">
      <w:pPr>
        <w:pStyle w:val="BodyTextMain"/>
        <w:rPr>
          <w:iCs/>
          <w:sz w:val="18"/>
          <w:szCs w:val="18"/>
          <w:lang w:val="en-CA"/>
        </w:rPr>
      </w:pPr>
    </w:p>
    <w:p w14:paraId="637300FC" w14:textId="77777777" w:rsidR="00421641" w:rsidRPr="003D77FD" w:rsidRDefault="00421641" w:rsidP="00421641">
      <w:pPr>
        <w:pStyle w:val="BodyTextMain"/>
        <w:rPr>
          <w:iCs/>
          <w:sz w:val="18"/>
          <w:szCs w:val="18"/>
          <w:lang w:val="en-CA"/>
        </w:rPr>
      </w:pPr>
    </w:p>
    <w:p w14:paraId="4DF99F1C" w14:textId="77777777" w:rsidR="00421641" w:rsidRPr="003D77FD" w:rsidRDefault="00421641" w:rsidP="00421641">
      <w:pPr>
        <w:pStyle w:val="Casehead1"/>
        <w:rPr>
          <w:lang w:val="en-CA"/>
        </w:rPr>
      </w:pPr>
      <w:r w:rsidRPr="003D77FD">
        <w:rPr>
          <w:lang w:val="en-CA"/>
        </w:rPr>
        <w:t>Customers</w:t>
      </w:r>
    </w:p>
    <w:p w14:paraId="7C59E4A9" w14:textId="77777777" w:rsidR="00421641" w:rsidRPr="003D77FD" w:rsidRDefault="00421641" w:rsidP="00421641">
      <w:pPr>
        <w:pStyle w:val="BodyTextMain"/>
        <w:rPr>
          <w:iCs/>
          <w:sz w:val="18"/>
          <w:szCs w:val="18"/>
          <w:lang w:val="en-CA"/>
        </w:rPr>
      </w:pPr>
    </w:p>
    <w:p w14:paraId="1FA63264" w14:textId="262FBA34" w:rsidR="00421641" w:rsidRPr="003D77FD" w:rsidRDefault="00421641" w:rsidP="00421641">
      <w:pPr>
        <w:pStyle w:val="BodyTextMain"/>
        <w:rPr>
          <w:iCs/>
          <w:lang w:val="en-CA"/>
        </w:rPr>
      </w:pPr>
      <w:r w:rsidRPr="003D77FD">
        <w:rPr>
          <w:iCs/>
          <w:lang w:val="en-CA"/>
        </w:rPr>
        <w:t>Some of Intellitix’s earliest customers were also some of its best-known and most lucrative. These included Coachella, held annually outside Palm Springs, California; Bonnaroo, a four-day music festival in Manchester, Tennessee; and Tomorrowland, an electronic dance music festival held in Boom, Belgium. Intellitix had offices in Montreal, Quebec; Chatham, Ontario; and Budapest, Hungary</w:t>
      </w:r>
      <w:r w:rsidR="00BE5C39" w:rsidRPr="003D77FD">
        <w:rPr>
          <w:iCs/>
          <w:lang w:val="en-CA"/>
        </w:rPr>
        <w:t>,</w:t>
      </w:r>
      <w:r w:rsidRPr="003D77FD">
        <w:rPr>
          <w:iCs/>
          <w:lang w:val="en-CA"/>
        </w:rPr>
        <w:t xml:space="preserve"> and would hire local representatives as necessary to support its international customer base.</w:t>
      </w:r>
    </w:p>
    <w:p w14:paraId="45E7D7B5" w14:textId="77777777" w:rsidR="00421641" w:rsidRPr="003D77FD" w:rsidRDefault="00421641" w:rsidP="00421641">
      <w:pPr>
        <w:pStyle w:val="BodyTextMain"/>
        <w:rPr>
          <w:iCs/>
          <w:sz w:val="18"/>
          <w:szCs w:val="18"/>
          <w:lang w:val="en-CA"/>
        </w:rPr>
      </w:pPr>
    </w:p>
    <w:p w14:paraId="6A4B0920" w14:textId="77777777" w:rsidR="00421641" w:rsidRPr="003D77FD" w:rsidRDefault="00421641" w:rsidP="00421641">
      <w:pPr>
        <w:pStyle w:val="BodyTextMain"/>
        <w:rPr>
          <w:iCs/>
          <w:sz w:val="18"/>
          <w:szCs w:val="18"/>
          <w:lang w:val="en-CA"/>
        </w:rPr>
      </w:pPr>
    </w:p>
    <w:p w14:paraId="5BAA10AD" w14:textId="77777777" w:rsidR="00421641" w:rsidRPr="003D77FD" w:rsidRDefault="00421641" w:rsidP="002A5C89">
      <w:pPr>
        <w:pStyle w:val="Casehead1"/>
        <w:rPr>
          <w:lang w:val="en-CA"/>
        </w:rPr>
      </w:pPr>
      <w:r w:rsidRPr="003D77FD">
        <w:rPr>
          <w:lang w:val="en-CA"/>
        </w:rPr>
        <w:t>TRADE CHAIN</w:t>
      </w:r>
    </w:p>
    <w:p w14:paraId="264EA6F3" w14:textId="77777777" w:rsidR="00421641" w:rsidRPr="003D77FD" w:rsidRDefault="00421641" w:rsidP="002A5C89">
      <w:pPr>
        <w:pStyle w:val="BodyTextMain"/>
        <w:rPr>
          <w:caps/>
          <w:sz w:val="18"/>
          <w:szCs w:val="18"/>
          <w:lang w:val="en-CA"/>
        </w:rPr>
      </w:pPr>
    </w:p>
    <w:p w14:paraId="3267738C" w14:textId="001114AD" w:rsidR="00421641" w:rsidRPr="003D77FD" w:rsidRDefault="00421641" w:rsidP="002A5C89">
      <w:pPr>
        <w:pStyle w:val="BodyTextMain"/>
        <w:rPr>
          <w:spacing w:val="-4"/>
          <w:kern w:val="22"/>
          <w:lang w:val="en-CA"/>
        </w:rPr>
      </w:pPr>
      <w:r w:rsidRPr="003D77FD">
        <w:rPr>
          <w:spacing w:val="-4"/>
          <w:kern w:val="22"/>
          <w:lang w:val="en-CA"/>
        </w:rPr>
        <w:t>Music festivals and other entertainment events were increasingly incorporated, particularly to limit legal liability for their investors. Intellitix directly sold its products to the events, internally known as customers</w:t>
      </w:r>
      <w:r w:rsidR="00BE5C39" w:rsidRPr="003D77FD">
        <w:rPr>
          <w:spacing w:val="-4"/>
          <w:kern w:val="22"/>
          <w:lang w:val="en-CA"/>
        </w:rPr>
        <w:t>.</w:t>
      </w:r>
      <w:r w:rsidRPr="003D77FD">
        <w:rPr>
          <w:spacing w:val="-4"/>
          <w:kern w:val="22"/>
          <w:lang w:val="en-CA"/>
        </w:rPr>
        <w:t xml:space="preserve"> The people who attended these events were variously called</w:t>
      </w:r>
      <w:r w:rsidR="003D17D1" w:rsidRPr="003D77FD">
        <w:rPr>
          <w:spacing w:val="-4"/>
          <w:kern w:val="22"/>
          <w:lang w:val="en-CA"/>
        </w:rPr>
        <w:t xml:space="preserve"> </w:t>
      </w:r>
      <w:r w:rsidRPr="003D77FD">
        <w:rPr>
          <w:spacing w:val="-4"/>
          <w:kern w:val="22"/>
          <w:lang w:val="en-CA"/>
        </w:rPr>
        <w:t>participants</w:t>
      </w:r>
      <w:r w:rsidR="00BE5C39" w:rsidRPr="003D77FD">
        <w:rPr>
          <w:spacing w:val="-4"/>
          <w:kern w:val="22"/>
          <w:lang w:val="en-CA"/>
        </w:rPr>
        <w:t>,</w:t>
      </w:r>
      <w:r w:rsidRPr="003D77FD">
        <w:rPr>
          <w:spacing w:val="-4"/>
          <w:kern w:val="22"/>
          <w:lang w:val="en-CA"/>
        </w:rPr>
        <w:t xml:space="preserve"> consumers</w:t>
      </w:r>
      <w:r w:rsidR="00BE5C39" w:rsidRPr="003D77FD">
        <w:rPr>
          <w:spacing w:val="-4"/>
          <w:kern w:val="22"/>
          <w:lang w:val="en-CA"/>
        </w:rPr>
        <w:t>,</w:t>
      </w:r>
      <w:r w:rsidRPr="003D77FD">
        <w:rPr>
          <w:spacing w:val="-4"/>
          <w:kern w:val="22"/>
          <w:lang w:val="en-CA"/>
        </w:rPr>
        <w:t xml:space="preserve"> attendees</w:t>
      </w:r>
      <w:r w:rsidR="00BE5C39" w:rsidRPr="003D77FD">
        <w:rPr>
          <w:spacing w:val="-4"/>
          <w:kern w:val="22"/>
          <w:lang w:val="en-CA"/>
        </w:rPr>
        <w:t>,</w:t>
      </w:r>
      <w:r w:rsidRPr="003D77FD">
        <w:rPr>
          <w:spacing w:val="-4"/>
          <w:kern w:val="22"/>
          <w:lang w:val="en-CA"/>
        </w:rPr>
        <w:t xml:space="preserve"> guests</w:t>
      </w:r>
      <w:r w:rsidR="00BE5C39" w:rsidRPr="003D77FD">
        <w:rPr>
          <w:spacing w:val="-4"/>
          <w:kern w:val="22"/>
          <w:lang w:val="en-CA"/>
        </w:rPr>
        <w:t>,</w:t>
      </w:r>
      <w:r w:rsidRPr="003D77FD">
        <w:rPr>
          <w:spacing w:val="-4"/>
          <w:kern w:val="22"/>
          <w:lang w:val="en-CA"/>
        </w:rPr>
        <w:t xml:space="preserve"> or patrons</w:t>
      </w:r>
      <w:r w:rsidR="00BE5C39" w:rsidRPr="003D77FD">
        <w:rPr>
          <w:spacing w:val="-4"/>
          <w:kern w:val="22"/>
          <w:lang w:val="en-CA"/>
        </w:rPr>
        <w:t>.</w:t>
      </w:r>
    </w:p>
    <w:p w14:paraId="5174B375" w14:textId="77777777" w:rsidR="00421641" w:rsidRPr="003D77FD" w:rsidRDefault="00421641" w:rsidP="00421641">
      <w:pPr>
        <w:pStyle w:val="Casehead1"/>
        <w:rPr>
          <w:lang w:val="en-CA"/>
        </w:rPr>
      </w:pPr>
      <w:r w:rsidRPr="003D77FD">
        <w:rPr>
          <w:lang w:val="en-CA"/>
        </w:rPr>
        <w:t>Competitors</w:t>
      </w:r>
    </w:p>
    <w:p w14:paraId="05156CA5" w14:textId="77777777" w:rsidR="00421641" w:rsidRPr="003D77FD" w:rsidRDefault="00421641" w:rsidP="00421641">
      <w:pPr>
        <w:pStyle w:val="BodyTextMain"/>
        <w:rPr>
          <w:lang w:val="en-CA"/>
        </w:rPr>
      </w:pPr>
    </w:p>
    <w:p w14:paraId="21F5A0F4" w14:textId="2A52E3E0" w:rsidR="00421641" w:rsidRPr="003D77FD" w:rsidRDefault="00421641" w:rsidP="00421641">
      <w:pPr>
        <w:pStyle w:val="Casehead2"/>
        <w:rPr>
          <w:lang w:val="en-CA"/>
        </w:rPr>
      </w:pPr>
      <w:r w:rsidRPr="003D77FD">
        <w:rPr>
          <w:lang w:val="en-CA"/>
        </w:rPr>
        <w:t>Connect&amp;GO</w:t>
      </w:r>
    </w:p>
    <w:p w14:paraId="672C6E28" w14:textId="77777777" w:rsidR="00421641" w:rsidRPr="003D77FD" w:rsidRDefault="00421641" w:rsidP="00421641">
      <w:pPr>
        <w:pStyle w:val="BodyTextMain"/>
        <w:rPr>
          <w:lang w:val="en-CA"/>
        </w:rPr>
      </w:pPr>
    </w:p>
    <w:p w14:paraId="2E8AD33E" w14:textId="072984BB" w:rsidR="00421641" w:rsidRPr="003D77FD" w:rsidRDefault="00421641" w:rsidP="00421641">
      <w:pPr>
        <w:pStyle w:val="BodyTextMain"/>
        <w:rPr>
          <w:lang w:val="en-CA"/>
        </w:rPr>
      </w:pPr>
      <w:r w:rsidRPr="003D77FD">
        <w:rPr>
          <w:lang w:val="en-CA"/>
        </w:rPr>
        <w:t xml:space="preserve">Montreal-based Connect&amp;GO </w:t>
      </w:r>
      <w:r w:rsidR="00DF4C51" w:rsidRPr="003D77FD">
        <w:rPr>
          <w:lang w:val="en-CA"/>
        </w:rPr>
        <w:t xml:space="preserve">(C&amp;GO) </w:t>
      </w:r>
      <w:r w:rsidRPr="003D77FD">
        <w:rPr>
          <w:lang w:val="en-CA"/>
        </w:rPr>
        <w:t>had significant product overlap with Intellitix. It offered contactless access and payments, augmented experiences for guests, and data collection and analysis for events. Unlike Intellitix, its platform could be accessed using a variety of wearable devices, including not only wristbands but also cards, key chains, and stickers.</w:t>
      </w:r>
    </w:p>
    <w:p w14:paraId="1ED6BBC8" w14:textId="77777777" w:rsidR="00421641" w:rsidRPr="003D77FD" w:rsidRDefault="00421641" w:rsidP="00421641">
      <w:pPr>
        <w:pStyle w:val="BodyTextMain"/>
        <w:rPr>
          <w:lang w:val="en-CA"/>
        </w:rPr>
      </w:pPr>
    </w:p>
    <w:p w14:paraId="2EEE9B5C" w14:textId="6E18F9BF" w:rsidR="00421641" w:rsidRPr="003D77FD" w:rsidRDefault="00421641" w:rsidP="00421641">
      <w:pPr>
        <w:pStyle w:val="BodyTextMain"/>
        <w:rPr>
          <w:spacing w:val="-2"/>
          <w:kern w:val="22"/>
          <w:lang w:val="en-CA"/>
        </w:rPr>
      </w:pPr>
      <w:r w:rsidRPr="003D77FD">
        <w:rPr>
          <w:spacing w:val="-2"/>
          <w:kern w:val="22"/>
          <w:lang w:val="en-CA"/>
        </w:rPr>
        <w:lastRenderedPageBreak/>
        <w:t xml:space="preserve">C&amp;GO was also noted for creating novel ways to integrate RFID into guest experiences and for its diverse network of industry partners, including </w:t>
      </w:r>
      <w:r w:rsidR="000C609B" w:rsidRPr="003D77FD">
        <w:rPr>
          <w:spacing w:val="-2"/>
          <w:kern w:val="22"/>
          <w:lang w:val="en-CA"/>
        </w:rPr>
        <w:t>HBO</w:t>
      </w:r>
      <w:r w:rsidRPr="003D77FD">
        <w:rPr>
          <w:spacing w:val="-2"/>
          <w:kern w:val="22"/>
          <w:lang w:val="en-CA"/>
        </w:rPr>
        <w:t>, the Toronto Maple Leafs, Honda</w:t>
      </w:r>
      <w:r w:rsidR="002B1F86" w:rsidRPr="003D77FD">
        <w:rPr>
          <w:spacing w:val="-2"/>
          <w:kern w:val="22"/>
          <w:lang w:val="en-CA"/>
        </w:rPr>
        <w:t xml:space="preserve"> Motor Company Ltd.</w:t>
      </w:r>
      <w:r w:rsidRPr="003D77FD">
        <w:rPr>
          <w:spacing w:val="-2"/>
          <w:kern w:val="22"/>
          <w:lang w:val="en-CA"/>
        </w:rPr>
        <w:t>, Rogers Telecom</w:t>
      </w:r>
      <w:r w:rsidR="002B1F86" w:rsidRPr="003D77FD">
        <w:rPr>
          <w:spacing w:val="-2"/>
          <w:kern w:val="22"/>
          <w:lang w:val="en-CA"/>
        </w:rPr>
        <w:t xml:space="preserve"> Inc.</w:t>
      </w:r>
      <w:r w:rsidRPr="003D77FD">
        <w:rPr>
          <w:spacing w:val="-2"/>
          <w:kern w:val="22"/>
          <w:lang w:val="en-CA"/>
        </w:rPr>
        <w:t>, and PepsiCo</w:t>
      </w:r>
      <w:r w:rsidR="002B1F86" w:rsidRPr="003D77FD">
        <w:rPr>
          <w:spacing w:val="-2"/>
          <w:kern w:val="22"/>
          <w:lang w:val="en-CA"/>
        </w:rPr>
        <w:t xml:space="preserve"> Inc</w:t>
      </w:r>
      <w:r w:rsidRPr="003D77FD">
        <w:rPr>
          <w:spacing w:val="-2"/>
          <w:kern w:val="22"/>
          <w:lang w:val="en-CA"/>
        </w:rPr>
        <w:t xml:space="preserve">. One example that typified both aspects was Delirius, an interactive game for guests at the 2015 Just </w:t>
      </w:r>
      <w:r w:rsidR="00CF23D3" w:rsidRPr="003D77FD">
        <w:rPr>
          <w:spacing w:val="-2"/>
          <w:kern w:val="22"/>
          <w:lang w:val="en-CA"/>
        </w:rPr>
        <w:t>f</w:t>
      </w:r>
      <w:r w:rsidRPr="003D77FD">
        <w:rPr>
          <w:spacing w:val="-2"/>
          <w:kern w:val="22"/>
          <w:lang w:val="en-CA"/>
        </w:rPr>
        <w:t xml:space="preserve">or Laughs </w:t>
      </w:r>
      <w:r w:rsidR="002B1F86" w:rsidRPr="003D77FD">
        <w:rPr>
          <w:spacing w:val="-2"/>
          <w:kern w:val="22"/>
          <w:lang w:val="en-CA"/>
        </w:rPr>
        <w:t>Festival in Montreal</w:t>
      </w:r>
      <w:r w:rsidRPr="003D77FD">
        <w:rPr>
          <w:spacing w:val="-2"/>
          <w:kern w:val="22"/>
          <w:lang w:val="en-CA"/>
        </w:rPr>
        <w:t>. The game could be played over the entire sixteen-day open-air festival and offered contest prizes, keeping consumers incented and invested.</w:t>
      </w:r>
      <w:r w:rsidR="00C57532" w:rsidRPr="003D77FD">
        <w:rPr>
          <w:spacing w:val="-2"/>
          <w:kern w:val="22"/>
          <w:lang w:val="en-CA"/>
        </w:rPr>
        <w:t xml:space="preserve"> Guests were able to link the wristband to a credit card and access discounted prices. The program </w:t>
      </w:r>
      <w:r w:rsidRPr="003D77FD">
        <w:rPr>
          <w:spacing w:val="-2"/>
          <w:kern w:val="22"/>
          <w:lang w:val="en-CA"/>
        </w:rPr>
        <w:t>was created in partnership with Tangerine, a financial services company, and over 350,000 wristbands were distributed for the occasion.</w:t>
      </w:r>
    </w:p>
    <w:p w14:paraId="12CAD8A3" w14:textId="77777777" w:rsidR="00421641" w:rsidRPr="003D77FD" w:rsidRDefault="00421641" w:rsidP="00421641">
      <w:pPr>
        <w:pStyle w:val="BodyTextMain"/>
        <w:rPr>
          <w:lang w:val="en-CA"/>
        </w:rPr>
      </w:pPr>
    </w:p>
    <w:p w14:paraId="0AE5B23F" w14:textId="550BBD62" w:rsidR="00421641" w:rsidRPr="003D77FD" w:rsidRDefault="00421641" w:rsidP="00421641">
      <w:pPr>
        <w:pStyle w:val="BodyTextMain"/>
        <w:rPr>
          <w:lang w:val="en-CA"/>
        </w:rPr>
      </w:pPr>
      <w:r w:rsidRPr="003D77FD">
        <w:rPr>
          <w:lang w:val="en-CA"/>
        </w:rPr>
        <w:t xml:space="preserve">C&amp;GO’s other prominent clients included C2 Montréal, an annual business conference, and the Osheaga Music and Arts Festival. Market rumour had it that C&amp;GO was also being considered for future editions of the </w:t>
      </w:r>
      <w:r w:rsidR="00E15466" w:rsidRPr="003D77FD">
        <w:rPr>
          <w:lang w:val="en-CA"/>
        </w:rPr>
        <w:t xml:space="preserve">Montreal </w:t>
      </w:r>
      <w:r w:rsidRPr="003D77FD">
        <w:rPr>
          <w:lang w:val="en-CA"/>
        </w:rPr>
        <w:t xml:space="preserve">Grand Prix, which would further cement its reputation as the service provider of choice for </w:t>
      </w:r>
      <w:r w:rsidR="00C14BF9" w:rsidRPr="003D77FD">
        <w:rPr>
          <w:lang w:val="en-CA"/>
        </w:rPr>
        <w:t xml:space="preserve">notable </w:t>
      </w:r>
      <w:r w:rsidRPr="003D77FD">
        <w:rPr>
          <w:lang w:val="en-CA"/>
        </w:rPr>
        <w:t>mass attendance events.</w:t>
      </w:r>
    </w:p>
    <w:p w14:paraId="28F3C3E0" w14:textId="77777777" w:rsidR="00421641" w:rsidRPr="003D77FD" w:rsidRDefault="00421641" w:rsidP="00421641">
      <w:pPr>
        <w:pStyle w:val="BodyTextMain"/>
        <w:rPr>
          <w:lang w:val="en-CA"/>
        </w:rPr>
      </w:pPr>
    </w:p>
    <w:p w14:paraId="2AAE2990" w14:textId="77777777" w:rsidR="00421641" w:rsidRPr="003D77FD" w:rsidRDefault="00421641" w:rsidP="00421641">
      <w:pPr>
        <w:pStyle w:val="BodyTextMain"/>
        <w:rPr>
          <w:lang w:val="en-CA"/>
        </w:rPr>
      </w:pPr>
    </w:p>
    <w:p w14:paraId="39D50782" w14:textId="004E728B" w:rsidR="005430E9" w:rsidRPr="003D77FD" w:rsidRDefault="005430E9" w:rsidP="00421641">
      <w:pPr>
        <w:pStyle w:val="Casehead2"/>
        <w:rPr>
          <w:lang w:val="en-CA"/>
        </w:rPr>
      </w:pPr>
      <w:r w:rsidRPr="003D77FD">
        <w:rPr>
          <w:lang w:val="en-CA"/>
        </w:rPr>
        <w:t xml:space="preserve">Token Mobile Solutions Inc. </w:t>
      </w:r>
    </w:p>
    <w:p w14:paraId="41140F08" w14:textId="77777777" w:rsidR="00421641" w:rsidRPr="003D77FD" w:rsidRDefault="00421641" w:rsidP="00421641">
      <w:pPr>
        <w:pStyle w:val="BodyTextMain"/>
        <w:rPr>
          <w:lang w:val="en-CA"/>
        </w:rPr>
      </w:pPr>
    </w:p>
    <w:p w14:paraId="39916BF7" w14:textId="5C8CEE26" w:rsidR="00421641" w:rsidRPr="003D77FD" w:rsidRDefault="00421641" w:rsidP="00421641">
      <w:pPr>
        <w:pStyle w:val="BodyTextMain"/>
        <w:rPr>
          <w:lang w:val="en-CA"/>
        </w:rPr>
      </w:pPr>
      <w:r w:rsidRPr="003D77FD">
        <w:rPr>
          <w:lang w:val="en-CA"/>
        </w:rPr>
        <w:t xml:space="preserve">In contrast to Intellitix and Connect&amp;GO, Token Mobile </w:t>
      </w:r>
      <w:r w:rsidR="00BF560F" w:rsidRPr="003D77FD">
        <w:rPr>
          <w:lang w:val="en-CA"/>
        </w:rPr>
        <w:t xml:space="preserve">Solutions Inc. (Token) </w:t>
      </w:r>
      <w:r w:rsidRPr="003D77FD">
        <w:rPr>
          <w:lang w:val="en-CA"/>
        </w:rPr>
        <w:t xml:space="preserve">considered RFID a needlessly expensive technology and instead stored its virtual tickets directly on customers’ phones. This naturally appealed to more financially constrained ventures such as smaller music and food festivals. Toronto-based Token was active mainly in </w:t>
      </w:r>
      <w:r w:rsidR="00803D63" w:rsidRPr="003D77FD">
        <w:rPr>
          <w:lang w:val="en-CA"/>
        </w:rPr>
        <w:t xml:space="preserve">southern </w:t>
      </w:r>
      <w:r w:rsidRPr="003D77FD">
        <w:rPr>
          <w:lang w:val="en-CA"/>
        </w:rPr>
        <w:t xml:space="preserve">Ontario and counted the Toronto Craft Beer Festival and </w:t>
      </w:r>
      <w:r w:rsidR="00803D63" w:rsidRPr="003D77FD">
        <w:rPr>
          <w:lang w:val="en-CA"/>
        </w:rPr>
        <w:t xml:space="preserve">the Downtown </w:t>
      </w:r>
      <w:r w:rsidRPr="003D77FD">
        <w:rPr>
          <w:lang w:val="en-CA"/>
        </w:rPr>
        <w:t xml:space="preserve">Kitchener Ribfest </w:t>
      </w:r>
      <w:r w:rsidR="00803D63" w:rsidRPr="003D77FD">
        <w:rPr>
          <w:lang w:val="en-CA"/>
        </w:rPr>
        <w:t xml:space="preserve">and Craft Beer Show </w:t>
      </w:r>
      <w:r w:rsidRPr="003D77FD">
        <w:rPr>
          <w:lang w:val="en-CA"/>
        </w:rPr>
        <w:t>among its customers.</w:t>
      </w:r>
    </w:p>
    <w:p w14:paraId="1AE7B634" w14:textId="77777777" w:rsidR="00421641" w:rsidRPr="003D77FD" w:rsidRDefault="00421641" w:rsidP="00421641">
      <w:pPr>
        <w:pStyle w:val="BodyTextMain"/>
        <w:rPr>
          <w:lang w:val="en-CA"/>
        </w:rPr>
      </w:pPr>
    </w:p>
    <w:p w14:paraId="4645A9B4" w14:textId="38276A4B" w:rsidR="00421641" w:rsidRPr="003D77FD" w:rsidRDefault="00421641" w:rsidP="00421641">
      <w:pPr>
        <w:pStyle w:val="BodyTextMain"/>
        <w:rPr>
          <w:lang w:val="en-CA"/>
        </w:rPr>
      </w:pPr>
      <w:r w:rsidRPr="003D77FD">
        <w:rPr>
          <w:lang w:val="en-CA"/>
        </w:rPr>
        <w:t xml:space="preserve">In addition to access and payments, Token offered events the ability to view real-time event statistics on a back-end application </w:t>
      </w:r>
      <w:r w:rsidR="00121A53" w:rsidRPr="003D77FD">
        <w:rPr>
          <w:lang w:val="en-CA"/>
        </w:rPr>
        <w:t xml:space="preserve">(app) </w:t>
      </w:r>
      <w:r w:rsidRPr="003D77FD">
        <w:rPr>
          <w:lang w:val="en-CA"/>
        </w:rPr>
        <w:t>called Gat</w:t>
      </w:r>
      <w:r w:rsidR="00803D63" w:rsidRPr="003D77FD">
        <w:rPr>
          <w:lang w:val="en-CA"/>
        </w:rPr>
        <w:t>e</w:t>
      </w:r>
      <w:r w:rsidR="00BE5B52" w:rsidRPr="003D77FD">
        <w:rPr>
          <w:lang w:val="en-CA"/>
        </w:rPr>
        <w:t>.</w:t>
      </w:r>
      <w:r w:rsidRPr="003D77FD">
        <w:rPr>
          <w:lang w:val="en-CA"/>
        </w:rPr>
        <w:t xml:space="preserve"> The company sent employees on-site to support event staff and promised to set up new vendors rapidly, going so far as to supply tablets pre-loaded with Gate.</w:t>
      </w:r>
    </w:p>
    <w:p w14:paraId="798C3CCC" w14:textId="77777777" w:rsidR="00421641" w:rsidRPr="003D77FD" w:rsidRDefault="00421641" w:rsidP="00421641">
      <w:pPr>
        <w:pStyle w:val="BodyTextMain"/>
        <w:rPr>
          <w:lang w:val="en-CA"/>
        </w:rPr>
      </w:pPr>
    </w:p>
    <w:p w14:paraId="14055938" w14:textId="3E53A26C" w:rsidR="00421641" w:rsidRPr="003D77FD" w:rsidRDefault="00421641" w:rsidP="00421641">
      <w:pPr>
        <w:pStyle w:val="BodyTextMain"/>
        <w:rPr>
          <w:spacing w:val="-2"/>
          <w:kern w:val="22"/>
          <w:lang w:val="en-CA"/>
        </w:rPr>
      </w:pPr>
      <w:r w:rsidRPr="003D77FD">
        <w:rPr>
          <w:spacing w:val="-2"/>
          <w:kern w:val="22"/>
          <w:lang w:val="en-CA"/>
        </w:rPr>
        <w:t xml:space="preserve">Unlike Intellitix or C&amp;GO, Token’s app required patrons to purchase </w:t>
      </w:r>
      <w:r w:rsidR="00121A53" w:rsidRPr="003D77FD">
        <w:rPr>
          <w:spacing w:val="-2"/>
          <w:kern w:val="22"/>
          <w:lang w:val="en-CA"/>
        </w:rPr>
        <w:t>“</w:t>
      </w:r>
      <w:r w:rsidRPr="003D77FD">
        <w:rPr>
          <w:spacing w:val="-2"/>
          <w:kern w:val="22"/>
          <w:lang w:val="en-CA"/>
        </w:rPr>
        <w:t>tokens</w:t>
      </w:r>
      <w:r w:rsidR="00121A53" w:rsidRPr="003D77FD">
        <w:rPr>
          <w:spacing w:val="-2"/>
          <w:kern w:val="22"/>
          <w:lang w:val="en-CA"/>
        </w:rPr>
        <w:t>,”</w:t>
      </w:r>
      <w:r w:rsidRPr="003D77FD">
        <w:rPr>
          <w:spacing w:val="-2"/>
          <w:kern w:val="22"/>
          <w:lang w:val="en-CA"/>
        </w:rPr>
        <w:t xml:space="preserve"> which could then be spent at an event. Unused tokens could be refunded automatically or on request, or patrons could donate them to a charity of their choice. Token charged a 6.95 per cent transaction fee on purchases, and all refunds were free.</w:t>
      </w:r>
    </w:p>
    <w:p w14:paraId="2C3C7D9B" w14:textId="77777777" w:rsidR="00421641" w:rsidRPr="003D77FD" w:rsidRDefault="00421641" w:rsidP="00421641">
      <w:pPr>
        <w:pStyle w:val="BodyTextMain"/>
        <w:rPr>
          <w:lang w:val="en-CA"/>
        </w:rPr>
      </w:pPr>
    </w:p>
    <w:p w14:paraId="27AB68FE" w14:textId="77777777" w:rsidR="00421641" w:rsidRPr="003D77FD" w:rsidRDefault="00421641" w:rsidP="00421641">
      <w:pPr>
        <w:pStyle w:val="BodyTextMain"/>
        <w:rPr>
          <w:lang w:val="en-CA"/>
        </w:rPr>
      </w:pPr>
    </w:p>
    <w:p w14:paraId="75E7AF43" w14:textId="77777777" w:rsidR="00421641" w:rsidRPr="003D77FD" w:rsidRDefault="00421641" w:rsidP="00421641">
      <w:pPr>
        <w:pStyle w:val="Casehead1"/>
        <w:keepNext/>
        <w:rPr>
          <w:sz w:val="22"/>
          <w:szCs w:val="22"/>
          <w:lang w:val="en-CA"/>
        </w:rPr>
      </w:pPr>
      <w:r w:rsidRPr="003D77FD">
        <w:rPr>
          <w:lang w:val="en-CA"/>
        </w:rPr>
        <w:t>Alternatives</w:t>
      </w:r>
    </w:p>
    <w:p w14:paraId="543B991F" w14:textId="77777777" w:rsidR="00421641" w:rsidRPr="003D77FD" w:rsidRDefault="00421641" w:rsidP="00421641">
      <w:pPr>
        <w:pStyle w:val="BodyTextMain"/>
        <w:keepNext/>
        <w:rPr>
          <w:iCs/>
          <w:lang w:val="en-CA"/>
        </w:rPr>
      </w:pPr>
    </w:p>
    <w:p w14:paraId="0D6E16CD" w14:textId="77777777" w:rsidR="00421641" w:rsidRPr="003D77FD" w:rsidRDefault="00421641" w:rsidP="00421641">
      <w:pPr>
        <w:pStyle w:val="Casehead2"/>
        <w:keepNext/>
        <w:rPr>
          <w:lang w:val="en-CA"/>
        </w:rPr>
      </w:pPr>
      <w:r w:rsidRPr="003D77FD">
        <w:rPr>
          <w:lang w:val="en-CA"/>
        </w:rPr>
        <w:t>Option 1: Status Quo</w:t>
      </w:r>
    </w:p>
    <w:p w14:paraId="536D7676" w14:textId="77777777" w:rsidR="00421641" w:rsidRPr="003D77FD" w:rsidRDefault="00421641" w:rsidP="00421641">
      <w:pPr>
        <w:pStyle w:val="BodyTextMain"/>
        <w:rPr>
          <w:iCs/>
          <w:lang w:val="en-CA"/>
        </w:rPr>
      </w:pPr>
    </w:p>
    <w:p w14:paraId="29666B5A" w14:textId="2A4D94BA" w:rsidR="00421641" w:rsidRPr="00E32655" w:rsidRDefault="00421641" w:rsidP="00421641">
      <w:pPr>
        <w:pStyle w:val="BodyTextMain"/>
        <w:rPr>
          <w:iCs/>
          <w:spacing w:val="-2"/>
          <w:kern w:val="22"/>
          <w:lang w:val="en-CA"/>
        </w:rPr>
      </w:pPr>
      <w:r w:rsidRPr="00E32655">
        <w:rPr>
          <w:iCs/>
          <w:spacing w:val="-2"/>
          <w:kern w:val="22"/>
          <w:lang w:val="en-CA"/>
        </w:rPr>
        <w:t xml:space="preserve">Janssen started by establishing a baseline for the company as it stood. He believed </w:t>
      </w:r>
      <w:r w:rsidR="00121A53" w:rsidRPr="00E32655">
        <w:rPr>
          <w:iCs/>
          <w:spacing w:val="-2"/>
          <w:kern w:val="22"/>
          <w:lang w:val="en-CA"/>
        </w:rPr>
        <w:t xml:space="preserve">that </w:t>
      </w:r>
      <w:r w:rsidRPr="00E32655">
        <w:rPr>
          <w:iCs/>
          <w:spacing w:val="-2"/>
          <w:kern w:val="22"/>
          <w:lang w:val="en-CA"/>
        </w:rPr>
        <w:t>the company would increase revenues by 50 per cent yearly</w:t>
      </w:r>
      <w:r w:rsidRPr="00E32655">
        <w:rPr>
          <w:rStyle w:val="FootnoteReference"/>
          <w:iCs/>
          <w:spacing w:val="-2"/>
          <w:kern w:val="22"/>
          <w:lang w:val="en-CA"/>
        </w:rPr>
        <w:footnoteReference w:id="8"/>
      </w:r>
      <w:r w:rsidR="00CA1F8F" w:rsidRPr="00E32655">
        <w:rPr>
          <w:iCs/>
          <w:spacing w:val="-2"/>
          <w:kern w:val="22"/>
          <w:lang w:val="en-CA"/>
        </w:rPr>
        <w:t xml:space="preserve"> (see Exhibit 1).</w:t>
      </w:r>
      <w:r w:rsidRPr="00E32655">
        <w:rPr>
          <w:iCs/>
          <w:spacing w:val="-2"/>
          <w:kern w:val="22"/>
          <w:lang w:val="en-CA"/>
        </w:rPr>
        <w:t xml:space="preserve"> Intellitix had almost no competition in its early years, but its success had drawn at least two new competitors into the market since. So far</w:t>
      </w:r>
      <w:r w:rsidR="00121A53" w:rsidRPr="00E32655">
        <w:rPr>
          <w:iCs/>
          <w:spacing w:val="-2"/>
          <w:kern w:val="22"/>
          <w:lang w:val="en-CA"/>
        </w:rPr>
        <w:t>,</w:t>
      </w:r>
      <w:r w:rsidRPr="00E32655">
        <w:rPr>
          <w:iCs/>
          <w:spacing w:val="-2"/>
          <w:kern w:val="22"/>
          <w:lang w:val="en-CA"/>
        </w:rPr>
        <w:t xml:space="preserve"> Intellitix had spent a relatively small share of revenue on advertising, but Janssen believed that protecting their market share would require tripling this </w:t>
      </w:r>
      <w:r w:rsidRPr="00E32655">
        <w:rPr>
          <w:iCs/>
          <w:spacing w:val="-2"/>
          <w:kern w:val="22"/>
          <w:lang w:val="en-CA"/>
        </w:rPr>
        <w:lastRenderedPageBreak/>
        <w:t xml:space="preserve">amount for </w:t>
      </w:r>
      <w:r w:rsidR="00C57532" w:rsidRPr="00E32655">
        <w:rPr>
          <w:iCs/>
          <w:spacing w:val="-2"/>
          <w:kern w:val="22"/>
          <w:lang w:val="en-CA"/>
        </w:rPr>
        <w:t>2014</w:t>
      </w:r>
      <w:r w:rsidR="006C57FC" w:rsidRPr="00E32655">
        <w:rPr>
          <w:iCs/>
          <w:spacing w:val="-2"/>
          <w:kern w:val="22"/>
          <w:lang w:val="en-CA"/>
        </w:rPr>
        <w:t xml:space="preserve"> (see Exhibit 2)</w:t>
      </w:r>
      <w:r w:rsidRPr="00E32655">
        <w:rPr>
          <w:iCs/>
          <w:spacing w:val="-2"/>
          <w:kern w:val="22"/>
          <w:lang w:val="en-CA"/>
        </w:rPr>
        <w:t>. Thankfully, the lease on their current office spaces was finally ending. The company had grown into its present combination of leases with the same landlord over time, and next year it would finally be moving into a consolidated office that cost 15 per cent less than the current lease</w:t>
      </w:r>
      <w:r w:rsidR="006C57FC" w:rsidRPr="00E32655">
        <w:rPr>
          <w:iCs/>
          <w:spacing w:val="-2"/>
          <w:kern w:val="22"/>
          <w:lang w:val="en-CA"/>
        </w:rPr>
        <w:t xml:space="preserve"> (see Exhibit 3)</w:t>
      </w:r>
      <w:r w:rsidRPr="00E32655">
        <w:rPr>
          <w:iCs/>
          <w:spacing w:val="-2"/>
          <w:kern w:val="22"/>
          <w:lang w:val="en-CA"/>
        </w:rPr>
        <w:t>. The two partners were excited to move to this new space, but it would not be ready until July. All other expenses would likely remain proportional to sales</w:t>
      </w:r>
      <w:r w:rsidR="006C57FC" w:rsidRPr="00E32655">
        <w:rPr>
          <w:iCs/>
          <w:spacing w:val="-2"/>
          <w:kern w:val="22"/>
          <w:lang w:val="en-CA"/>
        </w:rPr>
        <w:t xml:space="preserve"> (see Exhibit 4)</w:t>
      </w:r>
      <w:r w:rsidRPr="00E32655">
        <w:rPr>
          <w:iCs/>
          <w:spacing w:val="-2"/>
          <w:kern w:val="22"/>
          <w:lang w:val="en-CA"/>
        </w:rPr>
        <w:t>.</w:t>
      </w:r>
    </w:p>
    <w:p w14:paraId="59313768" w14:textId="77777777" w:rsidR="00421641" w:rsidRPr="003D77FD" w:rsidRDefault="00421641" w:rsidP="00421641">
      <w:pPr>
        <w:pStyle w:val="BodyTextMain"/>
        <w:rPr>
          <w:lang w:val="en-CA"/>
        </w:rPr>
      </w:pPr>
    </w:p>
    <w:p w14:paraId="50277735" w14:textId="77777777" w:rsidR="00421641" w:rsidRPr="003D77FD" w:rsidRDefault="00421641" w:rsidP="00421641">
      <w:pPr>
        <w:pStyle w:val="BodyTextMain"/>
        <w:rPr>
          <w:lang w:val="en-CA"/>
        </w:rPr>
      </w:pPr>
    </w:p>
    <w:p w14:paraId="151511B6" w14:textId="77777777" w:rsidR="00421641" w:rsidRPr="003D77FD" w:rsidRDefault="00421641" w:rsidP="00421641">
      <w:pPr>
        <w:pStyle w:val="Casehead2"/>
        <w:rPr>
          <w:lang w:val="en-CA"/>
        </w:rPr>
      </w:pPr>
      <w:r w:rsidRPr="003D77FD">
        <w:rPr>
          <w:lang w:val="en-CA"/>
        </w:rPr>
        <w:t>Option 2: Fixed Venues</w:t>
      </w:r>
    </w:p>
    <w:p w14:paraId="64552458" w14:textId="77777777" w:rsidR="00421641" w:rsidRPr="003D77FD" w:rsidRDefault="00421641" w:rsidP="00421641">
      <w:pPr>
        <w:pStyle w:val="BodyTextMain"/>
        <w:rPr>
          <w:iCs/>
          <w:lang w:val="en-CA"/>
        </w:rPr>
      </w:pPr>
    </w:p>
    <w:p w14:paraId="31602AC6" w14:textId="649E7549" w:rsidR="00421641" w:rsidRPr="003D77FD" w:rsidRDefault="00421641" w:rsidP="00421641">
      <w:pPr>
        <w:pStyle w:val="BodyTextMain"/>
        <w:rPr>
          <w:iCs/>
          <w:lang w:val="en-CA"/>
        </w:rPr>
      </w:pPr>
      <w:r w:rsidRPr="003D77FD">
        <w:rPr>
          <w:iCs/>
          <w:lang w:val="en-CA"/>
        </w:rPr>
        <w:t>Expanding the business into fixed venues was another option. These included attractions such as amusement parks, museums, and zoos; temporary populations such as campsites and cruise ships; and permanent communities such as campuses and offices. Any clearly defined space that needed to control access, track participants, or accept payments was a potential customer.</w:t>
      </w:r>
    </w:p>
    <w:p w14:paraId="5155A97F" w14:textId="77777777" w:rsidR="00421641" w:rsidRPr="003D77FD" w:rsidRDefault="00421641" w:rsidP="00421641">
      <w:pPr>
        <w:pStyle w:val="BodyTextMain"/>
        <w:rPr>
          <w:iCs/>
          <w:lang w:val="en-CA"/>
        </w:rPr>
      </w:pPr>
    </w:p>
    <w:p w14:paraId="5E54567C" w14:textId="6E224106" w:rsidR="00421641" w:rsidRPr="003D77FD" w:rsidRDefault="00421641" w:rsidP="00421641">
      <w:pPr>
        <w:pStyle w:val="BodyTextMain"/>
        <w:rPr>
          <w:iCs/>
          <w:lang w:val="en-CA"/>
        </w:rPr>
      </w:pPr>
      <w:r w:rsidRPr="003D77FD">
        <w:rPr>
          <w:iCs/>
          <w:lang w:val="en-CA"/>
        </w:rPr>
        <w:t xml:space="preserve">Pursuing fixed venues would require some new investments on Intellitix’s part. At present, all the equipment needed was transported to the event site in large production trailers. This included servers, scanners, networking equipment, and kiosks for loading more money onto the wristbands. Much of this equipment had to be retrofitted to be safe for transport and for use in the chaotic environment of </w:t>
      </w:r>
      <w:r w:rsidR="00532313" w:rsidRPr="003D77FD">
        <w:rPr>
          <w:iCs/>
          <w:lang w:val="en-CA"/>
        </w:rPr>
        <w:t xml:space="preserve">an outdoor </w:t>
      </w:r>
      <w:r w:rsidRPr="003D77FD">
        <w:rPr>
          <w:iCs/>
          <w:lang w:val="en-CA"/>
        </w:rPr>
        <w:t>music festival. Another challenge of festivals was the sheer number of personal devices attempting to access the Internet simultaneously, causing slower and dropped connections. Intellitix considered uninterrupted and rapid access to its servers crucial to its success, and so it operated a closed-loop network</w:t>
      </w:r>
      <w:r w:rsidR="00F44D30" w:rsidRPr="003D77FD">
        <w:rPr>
          <w:iCs/>
          <w:lang w:val="en-CA"/>
        </w:rPr>
        <w:t>,</w:t>
      </w:r>
      <w:r w:rsidRPr="003D77FD">
        <w:rPr>
          <w:iCs/>
          <w:lang w:val="en-CA"/>
        </w:rPr>
        <w:t xml:space="preserve"> with local servers running independently of the public network.</w:t>
      </w:r>
    </w:p>
    <w:p w14:paraId="6486BBB8" w14:textId="77777777" w:rsidR="00421641" w:rsidRPr="003D77FD" w:rsidRDefault="00421641" w:rsidP="00421641">
      <w:pPr>
        <w:pStyle w:val="BodyTextMain"/>
        <w:rPr>
          <w:iCs/>
          <w:sz w:val="18"/>
          <w:szCs w:val="18"/>
          <w:lang w:val="en-CA"/>
        </w:rPr>
      </w:pPr>
    </w:p>
    <w:p w14:paraId="1FDC7888" w14:textId="33256437" w:rsidR="00421641" w:rsidRPr="003D77FD" w:rsidRDefault="00421641" w:rsidP="00421641">
      <w:pPr>
        <w:pStyle w:val="BodyTextMain"/>
        <w:rPr>
          <w:iCs/>
          <w:lang w:val="en-CA"/>
        </w:rPr>
      </w:pPr>
      <w:r w:rsidRPr="003D77FD">
        <w:rPr>
          <w:iCs/>
          <w:lang w:val="en-CA"/>
        </w:rPr>
        <w:t xml:space="preserve">In contrast, an office inside a fixed venue would eliminate most of this complexity and many points of failure. Janssen estimated that the research and development costs to modify the Intellitix system to a permanent installation with almost no maintenance needs would be </w:t>
      </w:r>
      <w:r w:rsidR="00F44D30" w:rsidRPr="003D77FD">
        <w:rPr>
          <w:iCs/>
          <w:lang w:val="en-CA"/>
        </w:rPr>
        <w:t xml:space="preserve">about </w:t>
      </w:r>
      <w:r w:rsidRPr="003D77FD">
        <w:rPr>
          <w:iCs/>
          <w:lang w:val="en-CA"/>
        </w:rPr>
        <w:t>$1,500,000.</w:t>
      </w:r>
    </w:p>
    <w:p w14:paraId="6808C874" w14:textId="77777777" w:rsidR="00421641" w:rsidRPr="003D77FD" w:rsidRDefault="00421641" w:rsidP="00421641">
      <w:pPr>
        <w:pStyle w:val="BodyTextMain"/>
        <w:rPr>
          <w:iCs/>
          <w:sz w:val="18"/>
          <w:szCs w:val="18"/>
          <w:lang w:val="en-CA"/>
        </w:rPr>
      </w:pPr>
    </w:p>
    <w:p w14:paraId="33FEFC2F" w14:textId="3C824E26" w:rsidR="00421641" w:rsidRPr="003D77FD" w:rsidRDefault="00421641" w:rsidP="00421641">
      <w:pPr>
        <w:pStyle w:val="BodyTextMain"/>
        <w:rPr>
          <w:iCs/>
          <w:lang w:val="en-CA"/>
        </w:rPr>
      </w:pPr>
      <w:r w:rsidRPr="003D77FD">
        <w:rPr>
          <w:iCs/>
          <w:lang w:val="en-CA"/>
        </w:rPr>
        <w:t xml:space="preserve">Janssen knew that year-round customers would also demand dedicated year-round support and troubleshooting, which was a new capability Intellitix would need </w:t>
      </w:r>
      <w:r w:rsidR="000C6055" w:rsidRPr="003D77FD">
        <w:rPr>
          <w:iCs/>
          <w:lang w:val="en-CA"/>
        </w:rPr>
        <w:t>to</w:t>
      </w:r>
      <w:r w:rsidRPr="003D77FD">
        <w:rPr>
          <w:iCs/>
          <w:lang w:val="en-CA"/>
        </w:rPr>
        <w:t xml:space="preserve"> develop. He knew of more than one enterprise software business that had acquired customers at a rapid pace and then lost them just as quickly by failing to plan for adequate post-sales support. He was determined to avoid that fate for Intellitix.</w:t>
      </w:r>
    </w:p>
    <w:p w14:paraId="581D5C15" w14:textId="77777777" w:rsidR="00421641" w:rsidRPr="003D77FD" w:rsidRDefault="00421641" w:rsidP="00421641">
      <w:pPr>
        <w:pStyle w:val="BodyTextMain"/>
        <w:rPr>
          <w:iCs/>
          <w:sz w:val="18"/>
          <w:szCs w:val="18"/>
          <w:lang w:val="en-CA"/>
        </w:rPr>
      </w:pPr>
    </w:p>
    <w:p w14:paraId="796276A1" w14:textId="09BE8E77" w:rsidR="00421641" w:rsidRPr="003D77FD" w:rsidRDefault="00421641" w:rsidP="00421641">
      <w:pPr>
        <w:pStyle w:val="BodyTextMain"/>
        <w:rPr>
          <w:iCs/>
          <w:lang w:val="en-CA"/>
        </w:rPr>
      </w:pPr>
      <w:r w:rsidRPr="003D77FD">
        <w:rPr>
          <w:iCs/>
          <w:lang w:val="en-CA"/>
        </w:rPr>
        <w:t xml:space="preserve">Market research indicated </w:t>
      </w:r>
      <w:r w:rsidR="005C0007" w:rsidRPr="003D77FD">
        <w:rPr>
          <w:iCs/>
          <w:lang w:val="en-CA"/>
        </w:rPr>
        <w:t xml:space="preserve">that </w:t>
      </w:r>
      <w:r w:rsidRPr="003D77FD">
        <w:rPr>
          <w:iCs/>
          <w:lang w:val="en-CA"/>
        </w:rPr>
        <w:t xml:space="preserve">customers would need close support for the first year, which could be provided by a technician paid an annual salary of $70,000 including benefits. The goal in the first year was to help the client understand the system and learn to operate it independently. From the second year </w:t>
      </w:r>
      <w:r w:rsidR="00E95A36" w:rsidRPr="003D77FD">
        <w:rPr>
          <w:iCs/>
          <w:lang w:val="en-CA"/>
        </w:rPr>
        <w:t>onwards</w:t>
      </w:r>
      <w:r w:rsidRPr="003D77FD">
        <w:rPr>
          <w:iCs/>
          <w:lang w:val="en-CA"/>
        </w:rPr>
        <w:t xml:space="preserve">, the customer could be weaned off </w:t>
      </w:r>
      <w:r w:rsidR="001235AD" w:rsidRPr="003D77FD">
        <w:rPr>
          <w:iCs/>
          <w:lang w:val="en-CA"/>
        </w:rPr>
        <w:t>tier-one</w:t>
      </w:r>
      <w:r w:rsidRPr="003D77FD">
        <w:rPr>
          <w:iCs/>
          <w:lang w:val="en-CA"/>
        </w:rPr>
        <w:t xml:space="preserve"> support and be transitioned into </w:t>
      </w:r>
      <w:r w:rsidR="001235AD" w:rsidRPr="003D77FD">
        <w:rPr>
          <w:iCs/>
          <w:lang w:val="en-CA"/>
        </w:rPr>
        <w:t>tier-two</w:t>
      </w:r>
      <w:r w:rsidRPr="003D77FD">
        <w:rPr>
          <w:iCs/>
          <w:lang w:val="en-CA"/>
        </w:rPr>
        <w:t xml:space="preserve"> support</w:t>
      </w:r>
      <w:r w:rsidR="001235AD" w:rsidRPr="003D77FD">
        <w:rPr>
          <w:iCs/>
          <w:lang w:val="en-CA"/>
        </w:rPr>
        <w:t xml:space="preserve">, </w:t>
      </w:r>
      <w:r w:rsidRPr="003D77FD">
        <w:rPr>
          <w:iCs/>
          <w:lang w:val="en-CA"/>
        </w:rPr>
        <w:t xml:space="preserve">which was offered from a remote location and was less intensive. One </w:t>
      </w:r>
      <w:r w:rsidR="001235AD" w:rsidRPr="003D77FD">
        <w:rPr>
          <w:iCs/>
          <w:lang w:val="en-CA"/>
        </w:rPr>
        <w:t>tier-two</w:t>
      </w:r>
      <w:r w:rsidRPr="003D77FD">
        <w:rPr>
          <w:iCs/>
          <w:lang w:val="en-CA"/>
        </w:rPr>
        <w:t xml:space="preserve"> technician could then support as many as ten customers.</w:t>
      </w:r>
    </w:p>
    <w:p w14:paraId="516DF8FF" w14:textId="77777777" w:rsidR="00421641" w:rsidRPr="003D77FD" w:rsidRDefault="00421641" w:rsidP="00421641">
      <w:pPr>
        <w:pStyle w:val="BodyTextMain"/>
        <w:rPr>
          <w:iCs/>
          <w:sz w:val="18"/>
          <w:szCs w:val="18"/>
          <w:lang w:val="en-CA"/>
        </w:rPr>
      </w:pPr>
    </w:p>
    <w:p w14:paraId="02F627E1" w14:textId="77777777" w:rsidR="00421641" w:rsidRPr="003D77FD" w:rsidRDefault="00421641" w:rsidP="00421641">
      <w:pPr>
        <w:pStyle w:val="BodyTextMain"/>
        <w:rPr>
          <w:iCs/>
          <w:lang w:val="en-CA"/>
        </w:rPr>
      </w:pPr>
      <w:r w:rsidRPr="003D77FD">
        <w:rPr>
          <w:iCs/>
          <w:lang w:val="en-CA"/>
        </w:rPr>
        <w:t>Fixed venues were also interested in five-year contract periods. By contrast, festivals typically required annual contract renegotiations, a costly procedure that added to the volatility of Intellitix’s finances.</w:t>
      </w:r>
    </w:p>
    <w:p w14:paraId="3864A307" w14:textId="53399EEB" w:rsidR="00421641" w:rsidRPr="003D77FD" w:rsidRDefault="00421641" w:rsidP="00421641">
      <w:pPr>
        <w:pStyle w:val="BodyTextMain"/>
        <w:rPr>
          <w:iCs/>
          <w:sz w:val="18"/>
          <w:szCs w:val="18"/>
          <w:lang w:val="en-CA"/>
        </w:rPr>
      </w:pPr>
    </w:p>
    <w:p w14:paraId="07CF178B" w14:textId="6E6C1E1B" w:rsidR="00421641" w:rsidRPr="003D77FD" w:rsidRDefault="00421641" w:rsidP="00421641">
      <w:pPr>
        <w:pStyle w:val="BodyTextMain"/>
        <w:rPr>
          <w:iCs/>
          <w:lang w:val="en-CA"/>
        </w:rPr>
      </w:pPr>
      <w:r w:rsidRPr="003D77FD">
        <w:rPr>
          <w:iCs/>
          <w:lang w:val="en-CA"/>
        </w:rPr>
        <w:lastRenderedPageBreak/>
        <w:t>So far, four fixed venues had expressed interest in the Intellitix platform</w:t>
      </w:r>
      <w:r w:rsidR="005C0007" w:rsidRPr="003D77FD">
        <w:rPr>
          <w:iCs/>
          <w:lang w:val="en-CA"/>
        </w:rPr>
        <w:t>,</w:t>
      </w:r>
      <w:r w:rsidRPr="003D77FD">
        <w:rPr>
          <w:iCs/>
          <w:lang w:val="en-CA"/>
        </w:rPr>
        <w:t xml:space="preserve"> and Janssen wanted to ensure this option was financially feasible under this scenario. Janssen estimated that Intellitix could charge $250,000 in annual licensing fees and a one-time fee of $500,000 for initial hardware and installation. The one-time fee had no </w:t>
      </w:r>
      <w:r w:rsidR="005C0007" w:rsidRPr="003D77FD">
        <w:rPr>
          <w:iCs/>
          <w:lang w:val="en-CA"/>
        </w:rPr>
        <w:t>markup</w:t>
      </w:r>
      <w:r w:rsidRPr="003D77FD">
        <w:rPr>
          <w:iCs/>
          <w:lang w:val="en-CA"/>
        </w:rPr>
        <w:t xml:space="preserve"> built in.</w:t>
      </w:r>
    </w:p>
    <w:p w14:paraId="2EC6EB5D" w14:textId="77777777" w:rsidR="00421641" w:rsidRPr="003D77FD" w:rsidRDefault="00421641" w:rsidP="00421641">
      <w:pPr>
        <w:pStyle w:val="BodyTextMain"/>
        <w:rPr>
          <w:iCs/>
          <w:sz w:val="18"/>
          <w:szCs w:val="18"/>
          <w:lang w:val="en-CA"/>
        </w:rPr>
      </w:pPr>
    </w:p>
    <w:p w14:paraId="20402DA6" w14:textId="7D4F75C3" w:rsidR="00421641" w:rsidRPr="003D77FD" w:rsidRDefault="00421641" w:rsidP="00421641">
      <w:pPr>
        <w:pStyle w:val="BodyTextMain"/>
        <w:rPr>
          <w:iCs/>
          <w:lang w:val="en-CA"/>
        </w:rPr>
      </w:pPr>
      <w:r w:rsidRPr="003D77FD">
        <w:rPr>
          <w:iCs/>
          <w:lang w:val="en-CA"/>
        </w:rPr>
        <w:t xml:space="preserve">The relative ease of serving fixed venues had not gone unnoticed by competitors, and </w:t>
      </w:r>
      <w:r w:rsidR="0071652E" w:rsidRPr="003D77FD">
        <w:rPr>
          <w:iCs/>
          <w:lang w:val="en-CA"/>
        </w:rPr>
        <w:t>this space</w:t>
      </w:r>
      <w:r w:rsidR="00330B6F" w:rsidRPr="003D77FD">
        <w:rPr>
          <w:iCs/>
          <w:lang w:val="en-CA"/>
        </w:rPr>
        <w:t xml:space="preserve"> </w:t>
      </w:r>
      <w:r w:rsidRPr="003D77FD">
        <w:rPr>
          <w:iCs/>
          <w:lang w:val="en-CA"/>
        </w:rPr>
        <w:t xml:space="preserve">was already dominated by established players with niche-specific knowledge. Janssen worried that </w:t>
      </w:r>
      <w:r w:rsidR="00801746" w:rsidRPr="003D77FD">
        <w:rPr>
          <w:iCs/>
          <w:lang w:val="en-CA"/>
        </w:rPr>
        <w:t xml:space="preserve">Intellitix’s </w:t>
      </w:r>
      <w:r w:rsidRPr="003D77FD">
        <w:rPr>
          <w:iCs/>
          <w:lang w:val="en-CA"/>
        </w:rPr>
        <w:t xml:space="preserve">four potential </w:t>
      </w:r>
      <w:r w:rsidR="00801746" w:rsidRPr="003D77FD">
        <w:rPr>
          <w:iCs/>
          <w:lang w:val="en-CA"/>
        </w:rPr>
        <w:t xml:space="preserve">fixed-venue </w:t>
      </w:r>
      <w:r w:rsidRPr="003D77FD">
        <w:rPr>
          <w:iCs/>
          <w:lang w:val="en-CA"/>
        </w:rPr>
        <w:t>customers could easily be reduced to one by the time Intellitix had its system ready to deploy</w:t>
      </w:r>
      <w:r w:rsidR="00801746" w:rsidRPr="003D77FD">
        <w:rPr>
          <w:iCs/>
          <w:lang w:val="en-CA"/>
        </w:rPr>
        <w:t xml:space="preserve">, turning the </w:t>
      </w:r>
      <w:r w:rsidRPr="003D77FD">
        <w:rPr>
          <w:iCs/>
          <w:lang w:val="en-CA"/>
        </w:rPr>
        <w:t xml:space="preserve">promise of millions </w:t>
      </w:r>
      <w:r w:rsidR="00A96957" w:rsidRPr="003D77FD">
        <w:rPr>
          <w:iCs/>
          <w:lang w:val="en-CA"/>
        </w:rPr>
        <w:t xml:space="preserve">of dollars </w:t>
      </w:r>
      <w:r w:rsidRPr="003D77FD">
        <w:rPr>
          <w:iCs/>
          <w:lang w:val="en-CA"/>
        </w:rPr>
        <w:t>in earnings into a costly misadventure.</w:t>
      </w:r>
    </w:p>
    <w:p w14:paraId="7004044F" w14:textId="77777777" w:rsidR="00421641" w:rsidRPr="003D77FD" w:rsidRDefault="00421641" w:rsidP="003D77FD">
      <w:pPr>
        <w:rPr>
          <w:rFonts w:ascii="Arial" w:hAnsi="Arial" w:cs="Arial"/>
          <w:b/>
          <w:lang w:val="en-CA"/>
        </w:rPr>
      </w:pPr>
      <w:r w:rsidRPr="003D77FD">
        <w:rPr>
          <w:rFonts w:ascii="Arial" w:hAnsi="Arial" w:cs="Arial"/>
          <w:b/>
          <w:lang w:val="en-CA"/>
        </w:rPr>
        <w:t>Option 3: Similar Industries</w:t>
      </w:r>
    </w:p>
    <w:p w14:paraId="6B88498F" w14:textId="77777777" w:rsidR="00594452" w:rsidRPr="00E32655" w:rsidRDefault="00594452" w:rsidP="00421641">
      <w:pPr>
        <w:pStyle w:val="BodyTextMain"/>
        <w:rPr>
          <w:iCs/>
          <w:sz w:val="18"/>
          <w:szCs w:val="18"/>
          <w:lang w:val="en-CA"/>
        </w:rPr>
      </w:pPr>
    </w:p>
    <w:p w14:paraId="6526370B" w14:textId="4DA6864B" w:rsidR="00421641" w:rsidRPr="003D77FD" w:rsidRDefault="00421641" w:rsidP="00421641">
      <w:pPr>
        <w:pStyle w:val="BodyTextMain"/>
        <w:rPr>
          <w:iCs/>
          <w:lang w:val="en-CA"/>
        </w:rPr>
      </w:pPr>
      <w:r w:rsidRPr="003D77FD">
        <w:rPr>
          <w:iCs/>
          <w:lang w:val="en-CA"/>
        </w:rPr>
        <w:t xml:space="preserve">Janssen wondered if there was a compromise </w:t>
      </w:r>
      <w:r w:rsidR="00A96957" w:rsidRPr="003D77FD">
        <w:rPr>
          <w:iCs/>
          <w:lang w:val="en-CA"/>
        </w:rPr>
        <w:t xml:space="preserve">to be found </w:t>
      </w:r>
      <w:r w:rsidRPr="003D77FD">
        <w:rPr>
          <w:iCs/>
          <w:lang w:val="en-CA"/>
        </w:rPr>
        <w:t>halfway between continuing the status quo</w:t>
      </w:r>
      <w:r w:rsidR="00A96957" w:rsidRPr="003D77FD">
        <w:rPr>
          <w:iCs/>
          <w:lang w:val="en-CA"/>
        </w:rPr>
        <w:t>, on the one hand,</w:t>
      </w:r>
      <w:r w:rsidRPr="003D77FD">
        <w:rPr>
          <w:iCs/>
          <w:lang w:val="en-CA"/>
        </w:rPr>
        <w:t xml:space="preserve"> and jumping to an entirely new category of clients</w:t>
      </w:r>
      <w:r w:rsidR="00A96957" w:rsidRPr="003D77FD">
        <w:rPr>
          <w:iCs/>
          <w:lang w:val="en-CA"/>
        </w:rPr>
        <w:t>, on the other</w:t>
      </w:r>
      <w:r w:rsidRPr="003D77FD">
        <w:rPr>
          <w:iCs/>
          <w:lang w:val="en-CA"/>
        </w:rPr>
        <w:t>. Live music was not the only industry attracting large crowds. Food festivals, conferences, and sporting events, including the emerging industry of e-sports, were also close analogues.</w:t>
      </w:r>
    </w:p>
    <w:p w14:paraId="061A9404" w14:textId="77777777" w:rsidR="00421641" w:rsidRPr="00E32655" w:rsidRDefault="00421641" w:rsidP="00421641">
      <w:pPr>
        <w:pStyle w:val="BodyTextMain"/>
        <w:rPr>
          <w:iCs/>
          <w:sz w:val="18"/>
          <w:szCs w:val="18"/>
          <w:lang w:val="en-CA"/>
        </w:rPr>
      </w:pPr>
    </w:p>
    <w:p w14:paraId="44AD09F6" w14:textId="6C65C401" w:rsidR="00421641" w:rsidRPr="00E32655" w:rsidRDefault="00421641" w:rsidP="00421641">
      <w:pPr>
        <w:pStyle w:val="BodyTextMain"/>
        <w:rPr>
          <w:iCs/>
          <w:spacing w:val="-6"/>
          <w:kern w:val="22"/>
          <w:lang w:val="en-CA"/>
        </w:rPr>
      </w:pPr>
      <w:r w:rsidRPr="00E32655">
        <w:rPr>
          <w:iCs/>
          <w:spacing w:val="-6"/>
          <w:kern w:val="22"/>
          <w:lang w:val="en-CA"/>
        </w:rPr>
        <w:t xml:space="preserve">The main advantage of pursuing other industries was that it required no new investment in machinery or dedicated support. </w:t>
      </w:r>
      <w:r w:rsidR="00C93CC9" w:rsidRPr="00E32655">
        <w:rPr>
          <w:iCs/>
          <w:spacing w:val="-6"/>
          <w:kern w:val="22"/>
          <w:lang w:val="en-CA"/>
        </w:rPr>
        <w:t xml:space="preserve">With </w:t>
      </w:r>
      <w:r w:rsidR="00594452" w:rsidRPr="00E32655">
        <w:rPr>
          <w:iCs/>
          <w:spacing w:val="-6"/>
          <w:kern w:val="22"/>
          <w:lang w:val="en-CA"/>
        </w:rPr>
        <w:t xml:space="preserve">a </w:t>
      </w:r>
      <w:r w:rsidR="00C93CC9" w:rsidRPr="00E32655">
        <w:rPr>
          <w:iCs/>
          <w:spacing w:val="-6"/>
          <w:kern w:val="22"/>
          <w:lang w:val="en-CA"/>
        </w:rPr>
        <w:t xml:space="preserve">few modifications, </w:t>
      </w:r>
      <w:r w:rsidRPr="00E32655">
        <w:rPr>
          <w:iCs/>
          <w:spacing w:val="-6"/>
          <w:kern w:val="22"/>
          <w:lang w:val="en-CA"/>
        </w:rPr>
        <w:t>Intellitix could extend its existing operations to address these markets.</w:t>
      </w:r>
    </w:p>
    <w:p w14:paraId="3D63F829" w14:textId="77777777" w:rsidR="00421641" w:rsidRPr="00E32655" w:rsidRDefault="00421641" w:rsidP="00421641">
      <w:pPr>
        <w:pStyle w:val="BodyTextMain"/>
        <w:rPr>
          <w:iCs/>
          <w:sz w:val="18"/>
          <w:szCs w:val="18"/>
          <w:lang w:val="en-CA"/>
        </w:rPr>
      </w:pPr>
    </w:p>
    <w:p w14:paraId="3F3415E9" w14:textId="18135F42" w:rsidR="00421641" w:rsidRPr="003D77FD" w:rsidRDefault="00421641" w:rsidP="00421641">
      <w:pPr>
        <w:pStyle w:val="BodyTextMain"/>
        <w:rPr>
          <w:iCs/>
          <w:spacing w:val="-2"/>
          <w:kern w:val="22"/>
          <w:lang w:val="en-CA"/>
        </w:rPr>
      </w:pPr>
      <w:r w:rsidRPr="003D77FD">
        <w:rPr>
          <w:iCs/>
          <w:spacing w:val="-2"/>
          <w:kern w:val="22"/>
          <w:lang w:val="en-CA"/>
        </w:rPr>
        <w:t xml:space="preserve">The key challenge of this route was that it had taken years to build the reputation and relationships Intellitix had in the music industry, aided by Grimaux’s personal network from his previous career. If it decided to pursue this option, Intellitix would need to qualify new customers, educate them about the product, and build a presence anew in each industry. Janssen was confident </w:t>
      </w:r>
      <w:r w:rsidR="00A70221" w:rsidRPr="003D77FD">
        <w:rPr>
          <w:iCs/>
          <w:spacing w:val="-2"/>
          <w:kern w:val="22"/>
          <w:lang w:val="en-CA"/>
        </w:rPr>
        <w:t xml:space="preserve">that </w:t>
      </w:r>
      <w:r w:rsidRPr="003D77FD">
        <w:rPr>
          <w:iCs/>
          <w:spacing w:val="-2"/>
          <w:kern w:val="22"/>
          <w:lang w:val="en-CA"/>
        </w:rPr>
        <w:t>the existing sales and marketing team had the capacity to do this, but he would need to allocate additional funds for an aggressive outreach campaign.</w:t>
      </w:r>
    </w:p>
    <w:p w14:paraId="4C395D64" w14:textId="77777777" w:rsidR="00421641" w:rsidRPr="00E32655" w:rsidRDefault="00421641" w:rsidP="00421641">
      <w:pPr>
        <w:pStyle w:val="BodyTextMain"/>
        <w:rPr>
          <w:iCs/>
          <w:sz w:val="18"/>
          <w:szCs w:val="18"/>
          <w:lang w:val="en-CA"/>
        </w:rPr>
      </w:pPr>
    </w:p>
    <w:p w14:paraId="4FC0A5AF" w14:textId="65221E2E" w:rsidR="00421641" w:rsidRPr="003D77FD" w:rsidRDefault="00421641" w:rsidP="00421641">
      <w:pPr>
        <w:pStyle w:val="BodyTextMain"/>
        <w:rPr>
          <w:iCs/>
          <w:lang w:val="en-CA"/>
        </w:rPr>
      </w:pPr>
      <w:r w:rsidRPr="003D77FD">
        <w:rPr>
          <w:iCs/>
          <w:lang w:val="en-CA"/>
        </w:rPr>
        <w:t>The initial campaign, marketing materials, website, and training would require an estimated investment of $250,000. Each new customer could be expected to create an additional $75,000</w:t>
      </w:r>
      <w:r w:rsidR="00A70221" w:rsidRPr="003D77FD">
        <w:rPr>
          <w:iCs/>
          <w:lang w:val="en-CA"/>
        </w:rPr>
        <w:t>–</w:t>
      </w:r>
      <w:r w:rsidRPr="003D77FD">
        <w:rPr>
          <w:iCs/>
          <w:lang w:val="en-CA"/>
        </w:rPr>
        <w:t>$87,000 in revenue and $20,000</w:t>
      </w:r>
      <w:r w:rsidR="00A70221" w:rsidRPr="003D77FD">
        <w:rPr>
          <w:iCs/>
          <w:lang w:val="en-CA"/>
        </w:rPr>
        <w:t>–</w:t>
      </w:r>
      <w:r w:rsidRPr="003D77FD">
        <w:rPr>
          <w:iCs/>
          <w:lang w:val="en-CA"/>
        </w:rPr>
        <w:t>$23,000 in expenses.</w:t>
      </w:r>
    </w:p>
    <w:p w14:paraId="2CA11B0B" w14:textId="77777777" w:rsidR="00421641" w:rsidRPr="00E32655" w:rsidRDefault="00421641" w:rsidP="00421641">
      <w:pPr>
        <w:pStyle w:val="BodyTextMain"/>
        <w:rPr>
          <w:iCs/>
          <w:sz w:val="18"/>
          <w:szCs w:val="18"/>
          <w:lang w:val="en-CA"/>
        </w:rPr>
      </w:pPr>
    </w:p>
    <w:p w14:paraId="3B974120" w14:textId="77777777" w:rsidR="00421641" w:rsidRPr="00E32655" w:rsidRDefault="00421641" w:rsidP="00421641">
      <w:pPr>
        <w:pStyle w:val="BodyTextMain"/>
        <w:rPr>
          <w:iCs/>
          <w:sz w:val="18"/>
          <w:szCs w:val="18"/>
          <w:lang w:val="en-CA"/>
        </w:rPr>
      </w:pPr>
    </w:p>
    <w:p w14:paraId="34AA3115" w14:textId="77777777" w:rsidR="00421641" w:rsidRPr="003D77FD" w:rsidRDefault="00421641" w:rsidP="00421641">
      <w:pPr>
        <w:pStyle w:val="Casehead2"/>
        <w:rPr>
          <w:lang w:val="en-CA"/>
        </w:rPr>
      </w:pPr>
      <w:r w:rsidRPr="003D77FD">
        <w:rPr>
          <w:lang w:val="en-CA"/>
        </w:rPr>
        <w:t>Option 4: New Geographies</w:t>
      </w:r>
    </w:p>
    <w:p w14:paraId="0029BEE9" w14:textId="77777777" w:rsidR="00421641" w:rsidRPr="00E32655" w:rsidRDefault="00421641" w:rsidP="00421641">
      <w:pPr>
        <w:pStyle w:val="BodyTextMain"/>
        <w:rPr>
          <w:iCs/>
          <w:sz w:val="18"/>
          <w:szCs w:val="18"/>
          <w:lang w:val="en-CA"/>
        </w:rPr>
      </w:pPr>
    </w:p>
    <w:p w14:paraId="5C8DA0AC" w14:textId="171D5878" w:rsidR="00421641" w:rsidRPr="003D77FD" w:rsidRDefault="00421641" w:rsidP="00421641">
      <w:pPr>
        <w:pStyle w:val="BodyTextMain"/>
        <w:rPr>
          <w:iCs/>
          <w:lang w:val="en-CA"/>
        </w:rPr>
      </w:pPr>
      <w:r w:rsidRPr="003D77FD">
        <w:rPr>
          <w:iCs/>
          <w:lang w:val="en-CA"/>
        </w:rPr>
        <w:t xml:space="preserve">Most music festivals were held during the summer, and as a result, </w:t>
      </w:r>
      <w:r w:rsidR="00A70221" w:rsidRPr="003D77FD">
        <w:rPr>
          <w:iCs/>
          <w:lang w:val="en-CA"/>
        </w:rPr>
        <w:t xml:space="preserve">80 </w:t>
      </w:r>
      <w:r w:rsidR="0071652E" w:rsidRPr="003D77FD">
        <w:rPr>
          <w:iCs/>
          <w:lang w:val="en-CA"/>
        </w:rPr>
        <w:t xml:space="preserve">per cent </w:t>
      </w:r>
      <w:r w:rsidRPr="003D77FD">
        <w:rPr>
          <w:iCs/>
          <w:lang w:val="en-CA"/>
        </w:rPr>
        <w:t xml:space="preserve">of Intellitix’s revenues were generated during the second and third quarters of the calendar year (April to September). Janssen was interested in boosting revenue during the </w:t>
      </w:r>
      <w:r w:rsidR="00A70221" w:rsidRPr="003D77FD">
        <w:rPr>
          <w:iCs/>
          <w:lang w:val="en-CA"/>
        </w:rPr>
        <w:t>“</w:t>
      </w:r>
      <w:r w:rsidRPr="003D77FD">
        <w:rPr>
          <w:iCs/>
          <w:lang w:val="en-CA"/>
        </w:rPr>
        <w:t>shoulder seasons</w:t>
      </w:r>
      <w:r w:rsidR="00A70221" w:rsidRPr="003D77FD">
        <w:rPr>
          <w:iCs/>
          <w:lang w:val="en-CA"/>
        </w:rPr>
        <w:t>”</w:t>
      </w:r>
      <w:r w:rsidRPr="003D77FD">
        <w:rPr>
          <w:iCs/>
          <w:lang w:val="en-CA"/>
        </w:rPr>
        <w:t xml:space="preserve"> in the first and fourth quarters, when Intellitix continued burning $500,000 per month in fixed costs without generating sufficient revenue to cover it. This was also a drag on employee morale</w:t>
      </w:r>
      <w:r w:rsidR="00A70221" w:rsidRPr="003D77FD">
        <w:rPr>
          <w:iCs/>
          <w:lang w:val="en-CA"/>
        </w:rPr>
        <w:t>—</w:t>
      </w:r>
      <w:r w:rsidRPr="003D77FD">
        <w:rPr>
          <w:iCs/>
          <w:lang w:val="en-CA"/>
        </w:rPr>
        <w:t xml:space="preserve">a sharp contrast from the </w:t>
      </w:r>
      <w:r w:rsidR="00A70221" w:rsidRPr="003D77FD">
        <w:rPr>
          <w:iCs/>
          <w:lang w:val="en-CA"/>
        </w:rPr>
        <w:t xml:space="preserve">ambience </w:t>
      </w:r>
      <w:r w:rsidRPr="003D77FD">
        <w:rPr>
          <w:iCs/>
          <w:lang w:val="en-CA"/>
        </w:rPr>
        <w:t xml:space="preserve">of excitement and sense of mission that normally prevailed at Intellitix. Intellitix’s core markets were in Canada, the United States, and </w:t>
      </w:r>
      <w:r w:rsidR="00A70221" w:rsidRPr="003D77FD">
        <w:rPr>
          <w:iCs/>
          <w:lang w:val="en-CA"/>
        </w:rPr>
        <w:t xml:space="preserve">western </w:t>
      </w:r>
      <w:r w:rsidRPr="003D77FD">
        <w:rPr>
          <w:iCs/>
          <w:lang w:val="en-CA"/>
        </w:rPr>
        <w:t xml:space="preserve">and </w:t>
      </w:r>
      <w:r w:rsidR="00A70221" w:rsidRPr="003D77FD">
        <w:rPr>
          <w:iCs/>
          <w:lang w:val="en-CA"/>
        </w:rPr>
        <w:t xml:space="preserve">central </w:t>
      </w:r>
      <w:r w:rsidRPr="003D77FD">
        <w:rPr>
          <w:iCs/>
          <w:lang w:val="en-CA"/>
        </w:rPr>
        <w:t>Europe.</w:t>
      </w:r>
      <w:r w:rsidR="004B221A" w:rsidRPr="003D77FD">
        <w:rPr>
          <w:iCs/>
          <w:lang w:val="en-CA"/>
        </w:rPr>
        <w:t xml:space="preserve"> </w:t>
      </w:r>
      <w:r w:rsidRPr="003D77FD">
        <w:rPr>
          <w:iCs/>
          <w:lang w:val="en-CA"/>
        </w:rPr>
        <w:t xml:space="preserve">The shoulder season in the northern hemisphere was </w:t>
      </w:r>
      <w:r w:rsidR="00A70221" w:rsidRPr="003D77FD">
        <w:rPr>
          <w:iCs/>
          <w:lang w:val="en-CA"/>
        </w:rPr>
        <w:t xml:space="preserve">during the southern hemisphere’s </w:t>
      </w:r>
      <w:r w:rsidRPr="003D77FD">
        <w:rPr>
          <w:iCs/>
          <w:lang w:val="en-CA"/>
        </w:rPr>
        <w:t>summer, and Australia and Brazil</w:t>
      </w:r>
      <w:r w:rsidR="0022743A" w:rsidRPr="003D77FD">
        <w:rPr>
          <w:iCs/>
          <w:lang w:val="en-CA"/>
        </w:rPr>
        <w:t>,</w:t>
      </w:r>
      <w:r w:rsidRPr="003D77FD">
        <w:rPr>
          <w:iCs/>
          <w:lang w:val="en-CA"/>
        </w:rPr>
        <w:t xml:space="preserve"> with their blend of purchasing power and popularity as tourist destinations</w:t>
      </w:r>
      <w:r w:rsidR="0022743A" w:rsidRPr="003D77FD">
        <w:rPr>
          <w:iCs/>
          <w:lang w:val="en-CA"/>
        </w:rPr>
        <w:t>, stood out as attractive markets</w:t>
      </w:r>
      <w:r w:rsidRPr="003D77FD">
        <w:rPr>
          <w:iCs/>
          <w:lang w:val="en-CA"/>
        </w:rPr>
        <w:t>.</w:t>
      </w:r>
    </w:p>
    <w:p w14:paraId="4059D0E2" w14:textId="77777777" w:rsidR="00421641" w:rsidRPr="00E32655" w:rsidRDefault="00421641" w:rsidP="00421641">
      <w:pPr>
        <w:pStyle w:val="BodyTextMain"/>
        <w:rPr>
          <w:iCs/>
          <w:sz w:val="18"/>
          <w:szCs w:val="18"/>
          <w:lang w:val="en-CA"/>
        </w:rPr>
      </w:pPr>
    </w:p>
    <w:p w14:paraId="50AF53A1" w14:textId="57A34E74" w:rsidR="00421641" w:rsidRPr="003D77FD" w:rsidRDefault="00421641" w:rsidP="00421641">
      <w:pPr>
        <w:pStyle w:val="BodyTextMain"/>
        <w:rPr>
          <w:iCs/>
          <w:lang w:val="en-CA"/>
        </w:rPr>
      </w:pPr>
      <w:r w:rsidRPr="003D77FD">
        <w:rPr>
          <w:iCs/>
          <w:lang w:val="en-CA"/>
        </w:rPr>
        <w:lastRenderedPageBreak/>
        <w:t xml:space="preserve">Intellitix’s first foray into one of these markets had been in Brazil, where it had started with an all-Canadian team with the intention to validate the market before making any serious investments. </w:t>
      </w:r>
      <w:r w:rsidR="007B520B" w:rsidRPr="003D77FD">
        <w:rPr>
          <w:iCs/>
          <w:lang w:val="en-CA"/>
        </w:rPr>
        <w:t xml:space="preserve">Intellitix’s </w:t>
      </w:r>
      <w:r w:rsidRPr="003D77FD">
        <w:rPr>
          <w:iCs/>
          <w:lang w:val="en-CA"/>
        </w:rPr>
        <w:t xml:space="preserve">lack of name recognition and the perception of Intellitix as a foreign company with no local ties </w:t>
      </w:r>
      <w:r w:rsidR="005B49EF" w:rsidRPr="003D77FD">
        <w:rPr>
          <w:iCs/>
          <w:lang w:val="en-CA"/>
        </w:rPr>
        <w:t>posed several challenges</w:t>
      </w:r>
      <w:r w:rsidRPr="003D77FD">
        <w:rPr>
          <w:iCs/>
          <w:lang w:val="en-CA"/>
        </w:rPr>
        <w:t xml:space="preserve">. Practical difficulties such as language barriers and regulatory nuances had convinced Janssen to seek out a local partner for future projects. The most likely candidate was a São </w:t>
      </w:r>
      <w:r w:rsidR="005B49EF" w:rsidRPr="003D77FD">
        <w:rPr>
          <w:iCs/>
          <w:lang w:val="en-CA"/>
        </w:rPr>
        <w:t>Paulo–based</w:t>
      </w:r>
      <w:r w:rsidRPr="003D77FD">
        <w:rPr>
          <w:iCs/>
          <w:lang w:val="en-CA"/>
        </w:rPr>
        <w:t xml:space="preserve"> event management company that wanted a controlling interest in a joint venture in return for a </w:t>
      </w:r>
      <w:r w:rsidR="005B49EF" w:rsidRPr="003D77FD">
        <w:rPr>
          <w:iCs/>
          <w:lang w:val="en-CA"/>
        </w:rPr>
        <w:t>licence</w:t>
      </w:r>
      <w:r w:rsidRPr="003D77FD">
        <w:rPr>
          <w:iCs/>
          <w:lang w:val="en-CA"/>
        </w:rPr>
        <w:t xml:space="preserve"> on Intellitix systems. Intellitix would receive a share of </w:t>
      </w:r>
      <w:r w:rsidR="005B49EF" w:rsidRPr="003D77FD">
        <w:rPr>
          <w:iCs/>
          <w:lang w:val="en-CA"/>
        </w:rPr>
        <w:t xml:space="preserve">the </w:t>
      </w:r>
      <w:r w:rsidRPr="003D77FD">
        <w:rPr>
          <w:iCs/>
          <w:lang w:val="en-CA"/>
        </w:rPr>
        <w:t xml:space="preserve">earnings but would not be able to reflect the entire revenue earned by the joint venture on its own books. Janssen knew that this was a structure Intellitix could easily deploy, but </w:t>
      </w:r>
      <w:r w:rsidR="005B49EF" w:rsidRPr="003D77FD">
        <w:rPr>
          <w:iCs/>
          <w:lang w:val="en-CA"/>
        </w:rPr>
        <w:t xml:space="preserve">he </w:t>
      </w:r>
      <w:r w:rsidRPr="003D77FD">
        <w:rPr>
          <w:iCs/>
          <w:lang w:val="en-CA"/>
        </w:rPr>
        <w:t xml:space="preserve">also wondered if it might </w:t>
      </w:r>
      <w:r w:rsidR="005B49EF" w:rsidRPr="003D77FD">
        <w:rPr>
          <w:iCs/>
          <w:lang w:val="en-CA"/>
        </w:rPr>
        <w:t xml:space="preserve">affect </w:t>
      </w:r>
      <w:r w:rsidRPr="003D77FD">
        <w:rPr>
          <w:iCs/>
          <w:lang w:val="en-CA"/>
        </w:rPr>
        <w:t>the company’s valuation for future investors.</w:t>
      </w:r>
    </w:p>
    <w:p w14:paraId="7128260C" w14:textId="77777777" w:rsidR="00421641" w:rsidRPr="00E32655" w:rsidRDefault="00421641" w:rsidP="00421641">
      <w:pPr>
        <w:pStyle w:val="BodyTextMain"/>
        <w:rPr>
          <w:iCs/>
          <w:sz w:val="18"/>
          <w:szCs w:val="18"/>
          <w:lang w:val="en-CA"/>
        </w:rPr>
      </w:pPr>
    </w:p>
    <w:p w14:paraId="2C487D0B" w14:textId="77777777" w:rsidR="00421641" w:rsidRPr="00E32655" w:rsidRDefault="00421641" w:rsidP="00421641">
      <w:pPr>
        <w:pStyle w:val="BodyTextMain"/>
        <w:rPr>
          <w:iCs/>
          <w:sz w:val="18"/>
          <w:szCs w:val="18"/>
          <w:lang w:val="en-CA"/>
        </w:rPr>
      </w:pPr>
    </w:p>
    <w:p w14:paraId="73F1CB03" w14:textId="77777777" w:rsidR="00421641" w:rsidRPr="003D77FD" w:rsidRDefault="00421641" w:rsidP="00421641">
      <w:pPr>
        <w:pStyle w:val="Casehead2"/>
        <w:rPr>
          <w:lang w:val="en-CA"/>
        </w:rPr>
      </w:pPr>
      <w:r w:rsidRPr="003D77FD">
        <w:rPr>
          <w:lang w:val="en-CA"/>
        </w:rPr>
        <w:t>Option 5: Valuation and Exit</w:t>
      </w:r>
    </w:p>
    <w:p w14:paraId="1E061EE3" w14:textId="77777777" w:rsidR="00421641" w:rsidRPr="00E32655" w:rsidRDefault="00421641" w:rsidP="00421641">
      <w:pPr>
        <w:pStyle w:val="BodyTextMain"/>
        <w:rPr>
          <w:iCs/>
          <w:sz w:val="18"/>
          <w:szCs w:val="18"/>
          <w:lang w:val="en-CA"/>
        </w:rPr>
      </w:pPr>
    </w:p>
    <w:p w14:paraId="6BDBBA69" w14:textId="6DEEB098" w:rsidR="00421641" w:rsidRPr="003D77FD" w:rsidRDefault="00421641" w:rsidP="00421641">
      <w:pPr>
        <w:pStyle w:val="BodyTextMain"/>
        <w:rPr>
          <w:iCs/>
          <w:lang w:val="en-CA"/>
        </w:rPr>
      </w:pPr>
      <w:r w:rsidRPr="003D77FD">
        <w:rPr>
          <w:iCs/>
          <w:lang w:val="en-CA"/>
        </w:rPr>
        <w:t xml:space="preserve">Intellitix had not only managed to survive beyond the difficult first three years but had </w:t>
      </w:r>
      <w:r w:rsidR="00EA40FA" w:rsidRPr="003D77FD">
        <w:rPr>
          <w:iCs/>
          <w:lang w:val="en-CA"/>
        </w:rPr>
        <w:t xml:space="preserve">also </w:t>
      </w:r>
      <w:r w:rsidRPr="003D77FD">
        <w:rPr>
          <w:iCs/>
          <w:lang w:val="en-CA"/>
        </w:rPr>
        <w:t xml:space="preserve">generated positive income from day one and increased its revenues consistently. While both Janssen and Grimaux enjoyed the creative challenge of growing the company, they also </w:t>
      </w:r>
      <w:r w:rsidR="008B0569" w:rsidRPr="003D77FD">
        <w:rPr>
          <w:iCs/>
          <w:lang w:val="en-CA"/>
        </w:rPr>
        <w:t xml:space="preserve">thought </w:t>
      </w:r>
      <w:r w:rsidR="0071652E" w:rsidRPr="003D77FD">
        <w:rPr>
          <w:iCs/>
          <w:lang w:val="en-CA"/>
        </w:rPr>
        <w:t xml:space="preserve">that </w:t>
      </w:r>
      <w:r w:rsidR="008B0569" w:rsidRPr="003D77FD">
        <w:rPr>
          <w:iCs/>
          <w:lang w:val="en-CA"/>
        </w:rPr>
        <w:t>it might</w:t>
      </w:r>
      <w:r w:rsidRPr="003D77FD">
        <w:rPr>
          <w:iCs/>
          <w:lang w:val="en-CA"/>
        </w:rPr>
        <w:t xml:space="preserve"> be wise to sell the business while the momentum was strong and competition still far from mature. Grimaux’s experience as a serial entrepreneur and Janssen’s business development experience meant that neither of them would have any difficulty finding their next project.</w:t>
      </w:r>
    </w:p>
    <w:p w14:paraId="6532AAB2" w14:textId="318C1ECF" w:rsidR="00421641" w:rsidRPr="003D77FD" w:rsidRDefault="00421641" w:rsidP="00421641">
      <w:pPr>
        <w:pStyle w:val="BodyTextMain"/>
        <w:rPr>
          <w:iCs/>
          <w:lang w:val="en-CA"/>
        </w:rPr>
      </w:pPr>
      <w:r w:rsidRPr="003D77FD">
        <w:rPr>
          <w:iCs/>
          <w:lang w:val="en-CA"/>
        </w:rPr>
        <w:t xml:space="preserve">Valuations in the information technology sector, especially for companies like Intellitix that generated so much of their income from intellectual property, were tricky to achieve. Typically, hardware companies commanded a multiple of </w:t>
      </w:r>
      <w:r w:rsidR="008B0569" w:rsidRPr="003D77FD">
        <w:rPr>
          <w:iCs/>
          <w:lang w:val="en-CA"/>
        </w:rPr>
        <w:t>two to four times</w:t>
      </w:r>
      <w:r w:rsidRPr="003D77FD">
        <w:rPr>
          <w:iCs/>
          <w:lang w:val="en-CA"/>
        </w:rPr>
        <w:t xml:space="preserve"> revenue, while software-as-a-service companies could go for </w:t>
      </w:r>
      <w:r w:rsidR="008B0569" w:rsidRPr="003D77FD">
        <w:rPr>
          <w:iCs/>
          <w:lang w:val="en-CA"/>
        </w:rPr>
        <w:t>five to seven times revenue</w:t>
      </w:r>
      <w:r w:rsidRPr="003D77FD">
        <w:rPr>
          <w:iCs/>
          <w:lang w:val="en-CA"/>
        </w:rPr>
        <w:t xml:space="preserve">. In contrast, companies in the data space could see a multiple of </w:t>
      </w:r>
      <w:r w:rsidR="008B0569" w:rsidRPr="003D77FD">
        <w:rPr>
          <w:iCs/>
          <w:lang w:val="en-CA"/>
        </w:rPr>
        <w:t>10 times</w:t>
      </w:r>
      <w:r w:rsidRPr="003D77FD">
        <w:rPr>
          <w:iCs/>
          <w:lang w:val="en-CA"/>
        </w:rPr>
        <w:t xml:space="preserve"> or more. Intellitix had started highlighting the data aspects of its business for this reason.</w:t>
      </w:r>
    </w:p>
    <w:p w14:paraId="63CB6619" w14:textId="77777777" w:rsidR="00421641" w:rsidRPr="003D77FD" w:rsidRDefault="00421641" w:rsidP="00421641">
      <w:pPr>
        <w:pStyle w:val="BodyTextMain"/>
        <w:rPr>
          <w:iCs/>
          <w:lang w:val="en-CA"/>
        </w:rPr>
      </w:pPr>
    </w:p>
    <w:p w14:paraId="0D18BB74" w14:textId="77777777" w:rsidR="00421641" w:rsidRPr="003D77FD" w:rsidRDefault="00421641" w:rsidP="00421641">
      <w:pPr>
        <w:pStyle w:val="BodyTextMain"/>
        <w:rPr>
          <w:iCs/>
          <w:lang w:val="en-CA"/>
        </w:rPr>
      </w:pPr>
    </w:p>
    <w:p w14:paraId="08DC19FA" w14:textId="77777777" w:rsidR="00421641" w:rsidRPr="003D77FD" w:rsidRDefault="00421641" w:rsidP="00421641">
      <w:pPr>
        <w:pStyle w:val="Casehead1"/>
        <w:rPr>
          <w:lang w:val="en-CA"/>
        </w:rPr>
      </w:pPr>
      <w:r w:rsidRPr="003D77FD">
        <w:rPr>
          <w:lang w:val="en-CA"/>
        </w:rPr>
        <w:t>Conclusion</w:t>
      </w:r>
    </w:p>
    <w:p w14:paraId="7EDD2E35" w14:textId="77777777" w:rsidR="00421641" w:rsidRPr="003D77FD" w:rsidRDefault="00421641" w:rsidP="00421641">
      <w:pPr>
        <w:pStyle w:val="BodyTextMain"/>
        <w:rPr>
          <w:iCs/>
          <w:lang w:val="en-CA"/>
        </w:rPr>
      </w:pPr>
    </w:p>
    <w:p w14:paraId="0642B5C5" w14:textId="5BD7C20B" w:rsidR="00421641" w:rsidRPr="003D77FD" w:rsidRDefault="00421641" w:rsidP="00421641">
      <w:pPr>
        <w:pStyle w:val="BodyTextMain"/>
        <w:rPr>
          <w:iCs/>
          <w:lang w:val="en-CA"/>
        </w:rPr>
      </w:pPr>
      <w:r w:rsidRPr="003D77FD">
        <w:rPr>
          <w:iCs/>
          <w:lang w:val="en-CA"/>
        </w:rPr>
        <w:t xml:space="preserve">Janssen pondered his responsibility to the many stakeholders whose outcomes were tied to the success of this venture. Grimaux as well as employees, investors, and customers would be affected by </w:t>
      </w:r>
      <w:r w:rsidR="003A2AC5" w:rsidRPr="003D77FD">
        <w:rPr>
          <w:iCs/>
          <w:lang w:val="en-CA"/>
        </w:rPr>
        <w:t xml:space="preserve">Janssen’s </w:t>
      </w:r>
      <w:r w:rsidRPr="003D77FD">
        <w:rPr>
          <w:iCs/>
          <w:lang w:val="en-CA"/>
        </w:rPr>
        <w:t xml:space="preserve">recommendation, and every alternative had both pros and cons. Janssen’s first job after graduation had been as a </w:t>
      </w:r>
      <w:r w:rsidR="003A2AC5" w:rsidRPr="003D77FD">
        <w:rPr>
          <w:iCs/>
          <w:lang w:val="en-CA"/>
        </w:rPr>
        <w:t xml:space="preserve">lecturer </w:t>
      </w:r>
      <w:r w:rsidRPr="003D77FD">
        <w:rPr>
          <w:iCs/>
          <w:lang w:val="en-CA"/>
        </w:rPr>
        <w:t xml:space="preserve">at his alma mater, teaching a business course. A case competition </w:t>
      </w:r>
      <w:r w:rsidR="003A2AC5" w:rsidRPr="003D77FD">
        <w:rPr>
          <w:iCs/>
          <w:lang w:val="en-CA"/>
        </w:rPr>
        <w:t xml:space="preserve">organized </w:t>
      </w:r>
      <w:r w:rsidRPr="003D77FD">
        <w:rPr>
          <w:iCs/>
          <w:lang w:val="en-CA"/>
        </w:rPr>
        <w:t xml:space="preserve">as part of that course </w:t>
      </w:r>
      <w:r w:rsidR="00A56E71" w:rsidRPr="003D77FD">
        <w:rPr>
          <w:iCs/>
          <w:lang w:val="en-CA"/>
        </w:rPr>
        <w:t xml:space="preserve">had </w:t>
      </w:r>
      <w:r w:rsidRPr="003D77FD">
        <w:rPr>
          <w:iCs/>
          <w:lang w:val="en-CA"/>
        </w:rPr>
        <w:t xml:space="preserve">asked students to make a complex business decision, and now he wished </w:t>
      </w:r>
      <w:r w:rsidR="003A2AC5" w:rsidRPr="003D77FD">
        <w:rPr>
          <w:iCs/>
          <w:lang w:val="en-CA"/>
        </w:rPr>
        <w:t xml:space="preserve">that </w:t>
      </w:r>
      <w:r w:rsidRPr="003D77FD">
        <w:rPr>
          <w:iCs/>
          <w:lang w:val="en-CA"/>
        </w:rPr>
        <w:t xml:space="preserve">he could turn his situation into that competition and see what the students </w:t>
      </w:r>
      <w:r w:rsidR="00A56E71" w:rsidRPr="003D77FD">
        <w:rPr>
          <w:iCs/>
          <w:lang w:val="en-CA"/>
        </w:rPr>
        <w:t>would make of it</w:t>
      </w:r>
      <w:r w:rsidRPr="003D77FD">
        <w:rPr>
          <w:iCs/>
          <w:lang w:val="en-CA"/>
        </w:rPr>
        <w:t>.</w:t>
      </w:r>
    </w:p>
    <w:p w14:paraId="2C183161" w14:textId="0BFB35C6" w:rsidR="00421641" w:rsidRPr="003D77FD" w:rsidRDefault="00421641">
      <w:pPr>
        <w:spacing w:after="200" w:line="276" w:lineRule="auto"/>
        <w:rPr>
          <w:rFonts w:ascii="Arial" w:hAnsi="Arial" w:cs="Arial"/>
          <w:b/>
          <w:caps/>
          <w:lang w:val="en-CA"/>
        </w:rPr>
      </w:pPr>
      <w:r w:rsidRPr="003D77FD">
        <w:rPr>
          <w:lang w:val="en-CA"/>
        </w:rPr>
        <w:br w:type="page"/>
      </w:r>
    </w:p>
    <w:p w14:paraId="39EF54EE" w14:textId="784CE45E" w:rsidR="00421641" w:rsidRPr="003D77FD" w:rsidRDefault="00421641" w:rsidP="00421641">
      <w:pPr>
        <w:jc w:val="center"/>
        <w:rPr>
          <w:rFonts w:ascii="Arial" w:hAnsi="Arial" w:cs="Arial"/>
          <w:b/>
          <w:caps/>
          <w:lang w:val="en-CA"/>
        </w:rPr>
      </w:pPr>
      <w:r w:rsidRPr="003D77FD">
        <w:rPr>
          <w:rFonts w:ascii="Arial" w:hAnsi="Arial" w:cs="Arial"/>
          <w:b/>
          <w:caps/>
          <w:lang w:val="en-CA"/>
        </w:rPr>
        <w:lastRenderedPageBreak/>
        <w:t>Exhibit 1: Intellitix Statement of Earnings (YEARS ENDING DECEMBER 31)</w:t>
      </w:r>
    </w:p>
    <w:p w14:paraId="2D9A0C7F" w14:textId="77777777" w:rsidR="00421641" w:rsidRPr="003D77FD" w:rsidRDefault="00421641" w:rsidP="00421641">
      <w:pPr>
        <w:pStyle w:val="ExhibitText"/>
        <w:rPr>
          <w:lang w:val="en-CA"/>
        </w:rPr>
      </w:pPr>
    </w:p>
    <w:tbl>
      <w:tblPr>
        <w:tblStyle w:val="TableGrid"/>
        <w:tblW w:w="0" w:type="auto"/>
        <w:jc w:val="center"/>
        <w:tblLook w:val="04A0" w:firstRow="1" w:lastRow="0" w:firstColumn="1" w:lastColumn="0" w:noHBand="0" w:noVBand="1"/>
      </w:tblPr>
      <w:tblGrid>
        <w:gridCol w:w="2875"/>
        <w:gridCol w:w="1620"/>
        <w:gridCol w:w="1620"/>
      </w:tblGrid>
      <w:tr w:rsidR="00421641" w:rsidRPr="003D77FD" w14:paraId="2FBB2D3A" w14:textId="77777777" w:rsidTr="00C22AF2">
        <w:trPr>
          <w:trHeight w:val="56"/>
          <w:jc w:val="center"/>
        </w:trPr>
        <w:tc>
          <w:tcPr>
            <w:tcW w:w="2875" w:type="dxa"/>
          </w:tcPr>
          <w:p w14:paraId="09DE3C68" w14:textId="77777777" w:rsidR="00421641" w:rsidRPr="003D77FD" w:rsidRDefault="00421641" w:rsidP="00421641">
            <w:pPr>
              <w:jc w:val="both"/>
              <w:rPr>
                <w:sz w:val="18"/>
                <w:szCs w:val="18"/>
                <w:lang w:val="en-CA"/>
              </w:rPr>
            </w:pPr>
          </w:p>
        </w:tc>
        <w:tc>
          <w:tcPr>
            <w:tcW w:w="1620" w:type="dxa"/>
          </w:tcPr>
          <w:p w14:paraId="2DC01436" w14:textId="77777777" w:rsidR="00421641" w:rsidRPr="003D77FD" w:rsidRDefault="00421641" w:rsidP="00421641">
            <w:pPr>
              <w:tabs>
                <w:tab w:val="left" w:pos="372"/>
                <w:tab w:val="right" w:pos="2082"/>
              </w:tabs>
              <w:jc w:val="center"/>
              <w:rPr>
                <w:rFonts w:ascii="Arial" w:hAnsi="Arial" w:cs="Arial"/>
                <w:b/>
                <w:sz w:val="18"/>
                <w:szCs w:val="18"/>
                <w:lang w:val="en-CA"/>
              </w:rPr>
            </w:pPr>
            <w:r w:rsidRPr="003D77FD">
              <w:rPr>
                <w:rFonts w:ascii="Arial" w:hAnsi="Arial" w:cs="Arial"/>
                <w:b/>
                <w:sz w:val="18"/>
                <w:szCs w:val="18"/>
                <w:lang w:val="en-CA"/>
              </w:rPr>
              <w:t>2015</w:t>
            </w:r>
          </w:p>
        </w:tc>
        <w:tc>
          <w:tcPr>
            <w:tcW w:w="1620" w:type="dxa"/>
          </w:tcPr>
          <w:p w14:paraId="3CD41876" w14:textId="77777777" w:rsidR="00421641" w:rsidRPr="003D77FD" w:rsidRDefault="00421641" w:rsidP="00421641">
            <w:pPr>
              <w:tabs>
                <w:tab w:val="left" w:pos="426"/>
                <w:tab w:val="right" w:pos="2136"/>
              </w:tabs>
              <w:jc w:val="center"/>
              <w:rPr>
                <w:rFonts w:ascii="Arial" w:hAnsi="Arial" w:cs="Arial"/>
                <w:b/>
                <w:sz w:val="18"/>
                <w:szCs w:val="18"/>
                <w:lang w:val="en-CA"/>
              </w:rPr>
            </w:pPr>
            <w:r w:rsidRPr="003D77FD">
              <w:rPr>
                <w:rFonts w:ascii="Arial" w:hAnsi="Arial" w:cs="Arial"/>
                <w:b/>
                <w:sz w:val="18"/>
                <w:szCs w:val="18"/>
                <w:lang w:val="en-CA"/>
              </w:rPr>
              <w:t>2014</w:t>
            </w:r>
          </w:p>
        </w:tc>
      </w:tr>
      <w:tr w:rsidR="00421641" w:rsidRPr="003D77FD" w14:paraId="1D023988" w14:textId="77777777" w:rsidTr="0005664D">
        <w:trPr>
          <w:jc w:val="center"/>
        </w:trPr>
        <w:tc>
          <w:tcPr>
            <w:tcW w:w="2875" w:type="dxa"/>
          </w:tcPr>
          <w:p w14:paraId="3AC2D30D"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Revenue</w:t>
            </w:r>
          </w:p>
        </w:tc>
        <w:tc>
          <w:tcPr>
            <w:tcW w:w="1620" w:type="dxa"/>
            <w:vAlign w:val="center"/>
          </w:tcPr>
          <w:p w14:paraId="5F27706A" w14:textId="1BE54F5D" w:rsidR="00421641" w:rsidRPr="003D77FD" w:rsidRDefault="00421641" w:rsidP="0005664D">
            <w:pPr>
              <w:tabs>
                <w:tab w:val="left" w:pos="372"/>
                <w:tab w:val="left" w:pos="444"/>
                <w:tab w:val="right" w:pos="2082"/>
              </w:tabs>
              <w:jc w:val="right"/>
              <w:rPr>
                <w:rFonts w:ascii="Arial" w:hAnsi="Arial" w:cs="Arial"/>
                <w:sz w:val="18"/>
                <w:szCs w:val="18"/>
                <w:lang w:val="en-CA"/>
              </w:rPr>
            </w:pPr>
            <w:r w:rsidRPr="003D77FD">
              <w:rPr>
                <w:rFonts w:ascii="Arial" w:hAnsi="Arial" w:cs="Arial"/>
                <w:sz w:val="18"/>
                <w:szCs w:val="18"/>
                <w:lang w:val="en-CA"/>
              </w:rPr>
              <w:t>$6,193,190</w:t>
            </w:r>
          </w:p>
        </w:tc>
        <w:tc>
          <w:tcPr>
            <w:tcW w:w="1620" w:type="dxa"/>
            <w:vAlign w:val="center"/>
          </w:tcPr>
          <w:p w14:paraId="0710726B" w14:textId="210D1A23"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$4,075,680</w:t>
            </w:r>
          </w:p>
        </w:tc>
      </w:tr>
      <w:tr w:rsidR="00421641" w:rsidRPr="003D77FD" w14:paraId="1CFDAAB2" w14:textId="77777777" w:rsidTr="0005664D">
        <w:trPr>
          <w:jc w:val="center"/>
        </w:trPr>
        <w:tc>
          <w:tcPr>
            <w:tcW w:w="2875" w:type="dxa"/>
          </w:tcPr>
          <w:p w14:paraId="7965D4E5"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Cost of sales</w:t>
            </w:r>
          </w:p>
        </w:tc>
        <w:tc>
          <w:tcPr>
            <w:tcW w:w="1620" w:type="dxa"/>
            <w:vAlign w:val="center"/>
          </w:tcPr>
          <w:p w14:paraId="52A541C3" w14:textId="59B2C167" w:rsidR="00421641" w:rsidRPr="003D77FD" w:rsidRDefault="00421641" w:rsidP="0005664D">
            <w:pPr>
              <w:tabs>
                <w:tab w:val="left" w:pos="372"/>
                <w:tab w:val="right" w:pos="2082"/>
              </w:tabs>
              <w:jc w:val="right"/>
              <w:rPr>
                <w:rFonts w:ascii="Arial" w:hAnsi="Arial" w:cs="Arial"/>
                <w:sz w:val="18"/>
                <w:szCs w:val="18"/>
                <w:u w:val="single"/>
                <w:lang w:val="en-CA"/>
              </w:rPr>
            </w:pPr>
            <w:r w:rsidRPr="003D77FD">
              <w:rPr>
                <w:rFonts w:ascii="Arial" w:hAnsi="Arial" w:cs="Arial"/>
                <w:sz w:val="18"/>
                <w:szCs w:val="18"/>
                <w:u w:val="single"/>
                <w:lang w:val="en-CA"/>
              </w:rPr>
              <w:t>2,975,579</w:t>
            </w:r>
          </w:p>
        </w:tc>
        <w:tc>
          <w:tcPr>
            <w:tcW w:w="1620" w:type="dxa"/>
            <w:vAlign w:val="center"/>
          </w:tcPr>
          <w:p w14:paraId="28D8B753" w14:textId="58B34507" w:rsidR="00421641" w:rsidRPr="003D77FD" w:rsidRDefault="00421641" w:rsidP="0005664D">
            <w:pPr>
              <w:tabs>
                <w:tab w:val="left" w:pos="426"/>
                <w:tab w:val="right" w:pos="2136"/>
              </w:tabs>
              <w:jc w:val="right"/>
              <w:rPr>
                <w:rFonts w:ascii="Arial" w:hAnsi="Arial" w:cs="Arial"/>
                <w:sz w:val="18"/>
                <w:szCs w:val="18"/>
                <w:u w:val="single"/>
                <w:lang w:val="en-CA"/>
              </w:rPr>
            </w:pPr>
            <w:r w:rsidRPr="003D77FD">
              <w:rPr>
                <w:rFonts w:ascii="Arial" w:hAnsi="Arial" w:cs="Arial"/>
                <w:sz w:val="18"/>
                <w:szCs w:val="18"/>
                <w:u w:val="single"/>
                <w:lang w:val="en-CA"/>
              </w:rPr>
              <w:t>2,116,391</w:t>
            </w:r>
          </w:p>
        </w:tc>
      </w:tr>
      <w:tr w:rsidR="00421641" w:rsidRPr="003D77FD" w14:paraId="3DFD098C" w14:textId="77777777" w:rsidTr="0005664D">
        <w:trPr>
          <w:jc w:val="center"/>
        </w:trPr>
        <w:tc>
          <w:tcPr>
            <w:tcW w:w="2875" w:type="dxa"/>
          </w:tcPr>
          <w:p w14:paraId="4A8A2357"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Gross profit</w:t>
            </w:r>
          </w:p>
        </w:tc>
        <w:tc>
          <w:tcPr>
            <w:tcW w:w="1620" w:type="dxa"/>
            <w:vAlign w:val="center"/>
          </w:tcPr>
          <w:p w14:paraId="307A8EAF" w14:textId="77777777" w:rsidR="00421641" w:rsidRPr="003D77FD" w:rsidRDefault="00421641" w:rsidP="0005664D">
            <w:pPr>
              <w:tabs>
                <w:tab w:val="left" w:pos="372"/>
                <w:tab w:val="right" w:pos="2082"/>
              </w:tabs>
              <w:jc w:val="right"/>
              <w:rPr>
                <w:rFonts w:ascii="Arial" w:hAnsi="Arial" w:cs="Arial"/>
                <w:sz w:val="18"/>
                <w:szCs w:val="18"/>
                <w:lang w:val="en-CA"/>
              </w:rPr>
            </w:pPr>
          </w:p>
        </w:tc>
        <w:tc>
          <w:tcPr>
            <w:tcW w:w="1620" w:type="dxa"/>
            <w:vAlign w:val="center"/>
          </w:tcPr>
          <w:p w14:paraId="68C08D63" w14:textId="77777777" w:rsidR="00421641" w:rsidRPr="003D77FD" w:rsidRDefault="00421641" w:rsidP="0005664D">
            <w:pPr>
              <w:tabs>
                <w:tab w:val="left" w:pos="426"/>
                <w:tab w:val="right" w:pos="2136"/>
              </w:tabs>
              <w:jc w:val="right"/>
              <w:rPr>
                <w:rFonts w:ascii="Arial" w:hAnsi="Arial" w:cs="Arial"/>
                <w:sz w:val="18"/>
                <w:szCs w:val="18"/>
                <w:lang w:val="en-CA"/>
              </w:rPr>
            </w:pPr>
          </w:p>
        </w:tc>
      </w:tr>
      <w:tr w:rsidR="00421641" w:rsidRPr="003D77FD" w14:paraId="46B943B4" w14:textId="77777777" w:rsidTr="0005664D">
        <w:trPr>
          <w:jc w:val="center"/>
        </w:trPr>
        <w:tc>
          <w:tcPr>
            <w:tcW w:w="2875" w:type="dxa"/>
          </w:tcPr>
          <w:p w14:paraId="1C0AF9D5"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Operating expenses</w:t>
            </w:r>
          </w:p>
        </w:tc>
        <w:tc>
          <w:tcPr>
            <w:tcW w:w="1620" w:type="dxa"/>
            <w:vAlign w:val="center"/>
          </w:tcPr>
          <w:p w14:paraId="6C1F27DC" w14:textId="77777777" w:rsidR="00421641" w:rsidRPr="003D77FD" w:rsidRDefault="00421641" w:rsidP="0005664D">
            <w:pPr>
              <w:tabs>
                <w:tab w:val="left" w:pos="372"/>
                <w:tab w:val="right" w:pos="2082"/>
              </w:tabs>
              <w:jc w:val="right"/>
              <w:rPr>
                <w:rFonts w:ascii="Arial" w:hAnsi="Arial" w:cs="Arial"/>
                <w:sz w:val="18"/>
                <w:szCs w:val="18"/>
                <w:lang w:val="en-CA"/>
              </w:rPr>
            </w:pPr>
          </w:p>
        </w:tc>
        <w:tc>
          <w:tcPr>
            <w:tcW w:w="1620" w:type="dxa"/>
            <w:vAlign w:val="center"/>
          </w:tcPr>
          <w:p w14:paraId="024907B4" w14:textId="77777777" w:rsidR="00421641" w:rsidRPr="003D77FD" w:rsidRDefault="00421641" w:rsidP="0005664D">
            <w:pPr>
              <w:tabs>
                <w:tab w:val="left" w:pos="426"/>
                <w:tab w:val="right" w:pos="2136"/>
              </w:tabs>
              <w:jc w:val="right"/>
              <w:rPr>
                <w:rFonts w:ascii="Arial" w:hAnsi="Arial" w:cs="Arial"/>
                <w:sz w:val="18"/>
                <w:szCs w:val="18"/>
                <w:lang w:val="en-CA"/>
              </w:rPr>
            </w:pPr>
          </w:p>
        </w:tc>
      </w:tr>
      <w:tr w:rsidR="00421641" w:rsidRPr="003D77FD" w14:paraId="737B25AC" w14:textId="77777777" w:rsidTr="0005664D">
        <w:trPr>
          <w:jc w:val="center"/>
        </w:trPr>
        <w:tc>
          <w:tcPr>
            <w:tcW w:w="2875" w:type="dxa"/>
          </w:tcPr>
          <w:p w14:paraId="4C673CE4" w14:textId="548A9279"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Salaries and benefits</w:t>
            </w:r>
          </w:p>
        </w:tc>
        <w:tc>
          <w:tcPr>
            <w:tcW w:w="1620" w:type="dxa"/>
            <w:vAlign w:val="center"/>
          </w:tcPr>
          <w:p w14:paraId="2F97C1E8" w14:textId="54BCC2F3"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1,055,800</w:t>
            </w:r>
          </w:p>
        </w:tc>
        <w:tc>
          <w:tcPr>
            <w:tcW w:w="1620" w:type="dxa"/>
            <w:vAlign w:val="center"/>
          </w:tcPr>
          <w:p w14:paraId="6BF6BB45" w14:textId="28D445D1" w:rsidR="00421641" w:rsidRPr="003D77FD" w:rsidRDefault="00035BE1" w:rsidP="0005664D">
            <w:pPr>
              <w:tabs>
                <w:tab w:val="left" w:pos="426"/>
                <w:tab w:val="right" w:pos="2136"/>
              </w:tabs>
              <w:jc w:val="right"/>
              <w:rPr>
                <w:rFonts w:ascii="Arial" w:hAnsi="Arial" w:cs="Arial"/>
                <w:sz w:val="18"/>
                <w:szCs w:val="18"/>
                <w:lang w:val="en-CA"/>
              </w:rPr>
            </w:pPr>
            <w:r>
              <w:rPr>
                <w:rFonts w:ascii="Arial" w:hAnsi="Arial" w:cs="Arial"/>
                <w:sz w:val="18"/>
                <w:szCs w:val="18"/>
                <w:lang w:val="en-CA"/>
              </w:rPr>
              <w:t>529,838</w:t>
            </w:r>
          </w:p>
        </w:tc>
      </w:tr>
      <w:tr w:rsidR="00421641" w:rsidRPr="003D77FD" w14:paraId="0F56E469" w14:textId="77777777" w:rsidTr="0005664D">
        <w:trPr>
          <w:jc w:val="center"/>
        </w:trPr>
        <w:tc>
          <w:tcPr>
            <w:tcW w:w="2875" w:type="dxa"/>
          </w:tcPr>
          <w:p w14:paraId="56612EFE" w14:textId="3D1E5BF4"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Travel, meals</w:t>
            </w:r>
            <w:r w:rsidR="002A6182" w:rsidRPr="003D77FD">
              <w:rPr>
                <w:rFonts w:ascii="Arial" w:hAnsi="Arial" w:cs="Arial"/>
                <w:sz w:val="18"/>
                <w:szCs w:val="18"/>
                <w:lang w:val="en-CA"/>
              </w:rPr>
              <w:t>,</w:t>
            </w:r>
            <w:r w:rsidRPr="003D77FD">
              <w:rPr>
                <w:rFonts w:ascii="Arial" w:hAnsi="Arial" w:cs="Arial"/>
                <w:sz w:val="18"/>
                <w:szCs w:val="18"/>
                <w:lang w:val="en-CA"/>
              </w:rPr>
              <w:t xml:space="preserve"> and lodging</w:t>
            </w:r>
          </w:p>
        </w:tc>
        <w:tc>
          <w:tcPr>
            <w:tcW w:w="1620" w:type="dxa"/>
            <w:vAlign w:val="center"/>
          </w:tcPr>
          <w:p w14:paraId="6954BBAF" w14:textId="0ADF5A39"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700,205</w:t>
            </w:r>
          </w:p>
        </w:tc>
        <w:tc>
          <w:tcPr>
            <w:tcW w:w="1620" w:type="dxa"/>
            <w:vAlign w:val="center"/>
          </w:tcPr>
          <w:p w14:paraId="72B11A9D" w14:textId="6480C428"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307,560</w:t>
            </w:r>
          </w:p>
        </w:tc>
      </w:tr>
      <w:tr w:rsidR="00421641" w:rsidRPr="003D77FD" w14:paraId="735FC431" w14:textId="77777777" w:rsidTr="0005664D">
        <w:trPr>
          <w:jc w:val="center"/>
        </w:trPr>
        <w:tc>
          <w:tcPr>
            <w:tcW w:w="2875" w:type="dxa"/>
          </w:tcPr>
          <w:p w14:paraId="13854EDD" w14:textId="33276FE8"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Marketing and promotions</w:t>
            </w:r>
          </w:p>
        </w:tc>
        <w:tc>
          <w:tcPr>
            <w:tcW w:w="1620" w:type="dxa"/>
            <w:vAlign w:val="center"/>
          </w:tcPr>
          <w:p w14:paraId="7C2F2908" w14:textId="34E4EC65"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165,750</w:t>
            </w:r>
          </w:p>
        </w:tc>
        <w:tc>
          <w:tcPr>
            <w:tcW w:w="1620" w:type="dxa"/>
            <w:vAlign w:val="center"/>
          </w:tcPr>
          <w:p w14:paraId="38461350" w14:textId="67051288"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122,270</w:t>
            </w:r>
          </w:p>
        </w:tc>
      </w:tr>
      <w:tr w:rsidR="00421641" w:rsidRPr="003D77FD" w14:paraId="3899C837" w14:textId="77777777" w:rsidTr="0005664D">
        <w:trPr>
          <w:jc w:val="center"/>
        </w:trPr>
        <w:tc>
          <w:tcPr>
            <w:tcW w:w="2875" w:type="dxa"/>
          </w:tcPr>
          <w:p w14:paraId="3BF68DBA" w14:textId="1461052D"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Rent expense</w:t>
            </w:r>
          </w:p>
        </w:tc>
        <w:tc>
          <w:tcPr>
            <w:tcW w:w="1620" w:type="dxa"/>
            <w:vAlign w:val="center"/>
          </w:tcPr>
          <w:p w14:paraId="7CA7F135" w14:textId="425074B4"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372,590</w:t>
            </w:r>
          </w:p>
        </w:tc>
        <w:tc>
          <w:tcPr>
            <w:tcW w:w="1620" w:type="dxa"/>
            <w:vAlign w:val="center"/>
          </w:tcPr>
          <w:p w14:paraId="51DD79E3" w14:textId="2B2F0047"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153,025</w:t>
            </w:r>
          </w:p>
        </w:tc>
      </w:tr>
      <w:tr w:rsidR="00421641" w:rsidRPr="003D77FD" w14:paraId="45B490A3" w14:textId="77777777" w:rsidTr="0005664D">
        <w:trPr>
          <w:jc w:val="center"/>
        </w:trPr>
        <w:tc>
          <w:tcPr>
            <w:tcW w:w="2875" w:type="dxa"/>
          </w:tcPr>
          <w:p w14:paraId="7EA2BC25" w14:textId="2E51786B"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Equipment expense</w:t>
            </w:r>
          </w:p>
        </w:tc>
        <w:tc>
          <w:tcPr>
            <w:tcW w:w="1620" w:type="dxa"/>
            <w:vAlign w:val="center"/>
          </w:tcPr>
          <w:p w14:paraId="4418D34C" w14:textId="0FD2DF27"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61,932</w:t>
            </w:r>
          </w:p>
        </w:tc>
        <w:tc>
          <w:tcPr>
            <w:tcW w:w="1620" w:type="dxa"/>
            <w:vAlign w:val="center"/>
          </w:tcPr>
          <w:p w14:paraId="076EEE31" w14:textId="63D52F55"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40,757</w:t>
            </w:r>
          </w:p>
        </w:tc>
      </w:tr>
      <w:tr w:rsidR="00421641" w:rsidRPr="003D77FD" w14:paraId="6BE1E161" w14:textId="77777777" w:rsidTr="0005664D">
        <w:trPr>
          <w:jc w:val="center"/>
        </w:trPr>
        <w:tc>
          <w:tcPr>
            <w:tcW w:w="2875" w:type="dxa"/>
          </w:tcPr>
          <w:p w14:paraId="3B1D97F4" w14:textId="12B258FD"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 xml:space="preserve">Office </w:t>
            </w:r>
            <w:r w:rsidR="006878CC" w:rsidRPr="003D77FD">
              <w:rPr>
                <w:rFonts w:ascii="Arial" w:hAnsi="Arial" w:cs="Arial"/>
                <w:sz w:val="18"/>
                <w:szCs w:val="18"/>
                <w:lang w:val="en-CA"/>
              </w:rPr>
              <w:t>expense</w:t>
            </w:r>
          </w:p>
        </w:tc>
        <w:tc>
          <w:tcPr>
            <w:tcW w:w="1620" w:type="dxa"/>
            <w:vAlign w:val="center"/>
          </w:tcPr>
          <w:p w14:paraId="795B4434" w14:textId="05777255"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46,050</w:t>
            </w:r>
          </w:p>
        </w:tc>
        <w:tc>
          <w:tcPr>
            <w:tcW w:w="1620" w:type="dxa"/>
            <w:vAlign w:val="center"/>
          </w:tcPr>
          <w:p w14:paraId="3D54738E" w14:textId="4732E628"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26,052</w:t>
            </w:r>
          </w:p>
        </w:tc>
      </w:tr>
      <w:tr w:rsidR="00421641" w:rsidRPr="003D77FD" w14:paraId="2557D601" w14:textId="77777777" w:rsidTr="0005664D">
        <w:trPr>
          <w:jc w:val="center"/>
        </w:trPr>
        <w:tc>
          <w:tcPr>
            <w:tcW w:w="2875" w:type="dxa"/>
          </w:tcPr>
          <w:p w14:paraId="53903B6D" w14:textId="5C04F33B"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Other</w:t>
            </w:r>
          </w:p>
        </w:tc>
        <w:tc>
          <w:tcPr>
            <w:tcW w:w="1620" w:type="dxa"/>
            <w:vAlign w:val="center"/>
          </w:tcPr>
          <w:p w14:paraId="5F44A1BB" w14:textId="6C3407BB" w:rsidR="00421641" w:rsidRPr="003D77FD" w:rsidRDefault="00421641" w:rsidP="0005664D">
            <w:pPr>
              <w:tabs>
                <w:tab w:val="left" w:pos="372"/>
                <w:tab w:val="right" w:pos="2082"/>
              </w:tabs>
              <w:jc w:val="right"/>
              <w:rPr>
                <w:rFonts w:ascii="Arial" w:hAnsi="Arial" w:cs="Arial"/>
                <w:sz w:val="18"/>
                <w:szCs w:val="18"/>
                <w:u w:val="single"/>
                <w:lang w:val="en-CA"/>
              </w:rPr>
            </w:pPr>
            <w:r w:rsidRPr="003D77FD">
              <w:rPr>
                <w:rFonts w:ascii="Arial" w:hAnsi="Arial" w:cs="Arial"/>
                <w:sz w:val="18"/>
                <w:szCs w:val="18"/>
                <w:u w:val="single"/>
                <w:lang w:val="en-CA"/>
              </w:rPr>
              <w:t>61,395</w:t>
            </w:r>
          </w:p>
        </w:tc>
        <w:tc>
          <w:tcPr>
            <w:tcW w:w="1620" w:type="dxa"/>
            <w:vAlign w:val="center"/>
          </w:tcPr>
          <w:p w14:paraId="66FD7AAB" w14:textId="69A33CC2" w:rsidR="00421641" w:rsidRPr="003D77FD" w:rsidRDefault="00421641" w:rsidP="0005664D">
            <w:pPr>
              <w:tabs>
                <w:tab w:val="left" w:pos="426"/>
                <w:tab w:val="right" w:pos="2136"/>
              </w:tabs>
              <w:jc w:val="right"/>
              <w:rPr>
                <w:rFonts w:ascii="Arial" w:hAnsi="Arial" w:cs="Arial"/>
                <w:sz w:val="18"/>
                <w:szCs w:val="18"/>
                <w:u w:val="single"/>
                <w:lang w:val="en-CA"/>
              </w:rPr>
            </w:pPr>
            <w:r w:rsidRPr="003D77FD">
              <w:rPr>
                <w:rFonts w:ascii="Arial" w:hAnsi="Arial" w:cs="Arial"/>
                <w:sz w:val="18"/>
                <w:szCs w:val="18"/>
                <w:u w:val="single"/>
                <w:lang w:val="en-CA"/>
              </w:rPr>
              <w:t>35,650</w:t>
            </w:r>
          </w:p>
        </w:tc>
      </w:tr>
      <w:tr w:rsidR="00421641" w:rsidRPr="003D77FD" w14:paraId="720287FA" w14:textId="77777777" w:rsidTr="0005664D">
        <w:trPr>
          <w:jc w:val="center"/>
        </w:trPr>
        <w:tc>
          <w:tcPr>
            <w:tcW w:w="2875" w:type="dxa"/>
          </w:tcPr>
          <w:p w14:paraId="35B99CB6"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Total operating expenses</w:t>
            </w:r>
          </w:p>
        </w:tc>
        <w:tc>
          <w:tcPr>
            <w:tcW w:w="1620" w:type="dxa"/>
            <w:vAlign w:val="center"/>
          </w:tcPr>
          <w:p w14:paraId="2CBDBC5F" w14:textId="728731E6"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$2,4</w:t>
            </w:r>
            <w:r w:rsidR="00035BE1">
              <w:rPr>
                <w:rFonts w:ascii="Arial" w:hAnsi="Arial" w:cs="Arial"/>
                <w:sz w:val="18"/>
                <w:szCs w:val="18"/>
                <w:lang w:val="en-CA"/>
              </w:rPr>
              <w:t>6</w:t>
            </w:r>
            <w:r w:rsidRPr="003D77FD">
              <w:rPr>
                <w:rFonts w:ascii="Arial" w:hAnsi="Arial" w:cs="Arial"/>
                <w:sz w:val="18"/>
                <w:szCs w:val="18"/>
                <w:lang w:val="en-CA"/>
              </w:rPr>
              <w:t>3,722</w:t>
            </w:r>
          </w:p>
        </w:tc>
        <w:tc>
          <w:tcPr>
            <w:tcW w:w="1620" w:type="dxa"/>
            <w:vAlign w:val="center"/>
          </w:tcPr>
          <w:p w14:paraId="05F06294" w14:textId="47922FA1"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$1,215,15</w:t>
            </w:r>
            <w:r w:rsidR="00035BE1">
              <w:rPr>
                <w:rFonts w:ascii="Arial" w:hAnsi="Arial" w:cs="Arial"/>
                <w:sz w:val="18"/>
                <w:szCs w:val="18"/>
                <w:lang w:val="en-CA"/>
              </w:rPr>
              <w:t>2</w:t>
            </w:r>
          </w:p>
        </w:tc>
      </w:tr>
      <w:tr w:rsidR="00421641" w:rsidRPr="003D77FD" w14:paraId="41D53033" w14:textId="77777777" w:rsidTr="0005664D">
        <w:trPr>
          <w:jc w:val="center"/>
        </w:trPr>
        <w:tc>
          <w:tcPr>
            <w:tcW w:w="2875" w:type="dxa"/>
          </w:tcPr>
          <w:p w14:paraId="5236037F"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Amortization</w:t>
            </w:r>
          </w:p>
        </w:tc>
        <w:tc>
          <w:tcPr>
            <w:tcW w:w="1620" w:type="dxa"/>
            <w:vAlign w:val="center"/>
          </w:tcPr>
          <w:p w14:paraId="7D310B8E" w14:textId="2FA84B3A"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845,535</w:t>
            </w:r>
          </w:p>
        </w:tc>
        <w:tc>
          <w:tcPr>
            <w:tcW w:w="1620" w:type="dxa"/>
            <w:vAlign w:val="center"/>
          </w:tcPr>
          <w:p w14:paraId="5D95406B" w14:textId="7525BD13"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730,555</w:t>
            </w:r>
          </w:p>
        </w:tc>
      </w:tr>
      <w:tr w:rsidR="00421641" w:rsidRPr="003D77FD" w14:paraId="66F6BC7E" w14:textId="77777777" w:rsidTr="0005664D">
        <w:trPr>
          <w:jc w:val="center"/>
        </w:trPr>
        <w:tc>
          <w:tcPr>
            <w:tcW w:w="2875" w:type="dxa"/>
          </w:tcPr>
          <w:p w14:paraId="0AC5CAA9"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Operating income</w:t>
            </w:r>
          </w:p>
        </w:tc>
        <w:tc>
          <w:tcPr>
            <w:tcW w:w="1620" w:type="dxa"/>
            <w:vAlign w:val="center"/>
          </w:tcPr>
          <w:p w14:paraId="60FC67D2" w14:textId="4E39FCB1" w:rsidR="00421641" w:rsidRPr="003D77FD" w:rsidRDefault="00421641" w:rsidP="0005664D">
            <w:pPr>
              <w:tabs>
                <w:tab w:val="left" w:pos="372"/>
                <w:tab w:val="right" w:pos="2172"/>
              </w:tabs>
              <w:jc w:val="right"/>
              <w:rPr>
                <w:rFonts w:ascii="Arial" w:hAnsi="Arial" w:cs="Arial"/>
                <w:sz w:val="18"/>
                <w:szCs w:val="18"/>
                <w:lang w:val="en-CA"/>
              </w:rPr>
            </w:pPr>
            <w:r w:rsidRPr="003D77FD">
              <w:rPr>
                <w:rFonts w:ascii="Arial" w:hAnsi="Arial" w:cs="Arial"/>
                <w:sz w:val="18"/>
                <w:szCs w:val="18"/>
                <w:lang w:val="en-CA"/>
              </w:rPr>
              <w:t>(</w:t>
            </w:r>
            <w:r w:rsidR="00035BE1">
              <w:rPr>
                <w:rFonts w:ascii="Arial" w:hAnsi="Arial" w:cs="Arial"/>
                <w:sz w:val="18"/>
                <w:szCs w:val="18"/>
                <w:lang w:val="en-CA"/>
              </w:rPr>
              <w:t>91</w:t>
            </w:r>
            <w:r w:rsidRPr="003D77FD">
              <w:rPr>
                <w:rFonts w:ascii="Arial" w:hAnsi="Arial" w:cs="Arial"/>
                <w:sz w:val="18"/>
                <w:szCs w:val="18"/>
                <w:lang w:val="en-CA"/>
              </w:rPr>
              <w:t>,646)</w:t>
            </w:r>
          </w:p>
        </w:tc>
        <w:tc>
          <w:tcPr>
            <w:tcW w:w="1620" w:type="dxa"/>
            <w:vAlign w:val="center"/>
          </w:tcPr>
          <w:p w14:paraId="4E27C67E" w14:textId="219FFDE6" w:rsidR="00421641" w:rsidRPr="003D77FD" w:rsidRDefault="00421641" w:rsidP="0005664D">
            <w:pPr>
              <w:tabs>
                <w:tab w:val="left" w:pos="426"/>
                <w:tab w:val="right" w:pos="2136"/>
              </w:tabs>
              <w:jc w:val="right"/>
              <w:rPr>
                <w:rFonts w:ascii="Arial" w:hAnsi="Arial" w:cs="Arial"/>
                <w:sz w:val="18"/>
                <w:szCs w:val="18"/>
                <w:lang w:val="en-CA"/>
              </w:rPr>
            </w:pPr>
            <w:r w:rsidRPr="003D77FD">
              <w:rPr>
                <w:rFonts w:ascii="Arial" w:hAnsi="Arial" w:cs="Arial"/>
                <w:sz w:val="18"/>
                <w:szCs w:val="18"/>
                <w:lang w:val="en-CA"/>
              </w:rPr>
              <w:t>13,58</w:t>
            </w:r>
            <w:r w:rsidR="00035BE1">
              <w:rPr>
                <w:rFonts w:ascii="Arial" w:hAnsi="Arial" w:cs="Arial"/>
                <w:sz w:val="18"/>
                <w:szCs w:val="18"/>
                <w:lang w:val="en-CA"/>
              </w:rPr>
              <w:t>2</w:t>
            </w:r>
          </w:p>
        </w:tc>
      </w:tr>
      <w:tr w:rsidR="00421641" w:rsidRPr="003D77FD" w14:paraId="479B6D6B" w14:textId="77777777" w:rsidTr="0005664D">
        <w:trPr>
          <w:jc w:val="center"/>
        </w:trPr>
        <w:tc>
          <w:tcPr>
            <w:tcW w:w="2875" w:type="dxa"/>
          </w:tcPr>
          <w:p w14:paraId="3EA623DA"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Interest expense</w:t>
            </w:r>
          </w:p>
        </w:tc>
        <w:tc>
          <w:tcPr>
            <w:tcW w:w="1620" w:type="dxa"/>
            <w:vAlign w:val="center"/>
          </w:tcPr>
          <w:p w14:paraId="06BA2F60" w14:textId="78557CE6" w:rsidR="00421641" w:rsidRPr="003D77FD" w:rsidRDefault="00421641" w:rsidP="0005664D">
            <w:pPr>
              <w:tabs>
                <w:tab w:val="left" w:pos="372"/>
                <w:tab w:val="right" w:pos="2082"/>
              </w:tabs>
              <w:jc w:val="right"/>
              <w:rPr>
                <w:rFonts w:ascii="Arial" w:hAnsi="Arial" w:cs="Arial"/>
                <w:sz w:val="18"/>
                <w:szCs w:val="18"/>
                <w:u w:val="single"/>
                <w:lang w:val="en-CA"/>
              </w:rPr>
            </w:pPr>
            <w:r w:rsidRPr="003D77FD">
              <w:rPr>
                <w:rFonts w:ascii="Arial" w:hAnsi="Arial" w:cs="Arial"/>
                <w:sz w:val="18"/>
                <w:szCs w:val="18"/>
                <w:u w:val="single"/>
                <w:lang w:val="en-CA"/>
              </w:rPr>
              <w:t>95,005</w:t>
            </w:r>
          </w:p>
        </w:tc>
        <w:tc>
          <w:tcPr>
            <w:tcW w:w="1620" w:type="dxa"/>
            <w:vAlign w:val="center"/>
          </w:tcPr>
          <w:p w14:paraId="2FB82CCC" w14:textId="45AB033A" w:rsidR="00421641" w:rsidRPr="003D77FD" w:rsidRDefault="00421641" w:rsidP="0005664D">
            <w:pPr>
              <w:tabs>
                <w:tab w:val="left" w:pos="426"/>
                <w:tab w:val="right" w:pos="2136"/>
              </w:tabs>
              <w:jc w:val="right"/>
              <w:rPr>
                <w:rFonts w:ascii="Arial" w:hAnsi="Arial" w:cs="Arial"/>
                <w:sz w:val="18"/>
                <w:szCs w:val="18"/>
                <w:u w:val="single"/>
                <w:lang w:val="en-CA"/>
              </w:rPr>
            </w:pPr>
            <w:r w:rsidRPr="003D77FD">
              <w:rPr>
                <w:rFonts w:ascii="Arial" w:hAnsi="Arial" w:cs="Arial"/>
                <w:sz w:val="18"/>
                <w:szCs w:val="18"/>
                <w:u w:val="single"/>
                <w:lang w:val="en-CA"/>
              </w:rPr>
              <w:t>75,125</w:t>
            </w:r>
          </w:p>
        </w:tc>
      </w:tr>
      <w:tr w:rsidR="00421641" w:rsidRPr="003D77FD" w14:paraId="1974B37E" w14:textId="77777777" w:rsidTr="0005664D">
        <w:trPr>
          <w:jc w:val="center"/>
        </w:trPr>
        <w:tc>
          <w:tcPr>
            <w:tcW w:w="2875" w:type="dxa"/>
          </w:tcPr>
          <w:p w14:paraId="47E4B924"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Net earnings before taxes</w:t>
            </w:r>
          </w:p>
        </w:tc>
        <w:tc>
          <w:tcPr>
            <w:tcW w:w="1620" w:type="dxa"/>
            <w:vAlign w:val="center"/>
          </w:tcPr>
          <w:p w14:paraId="2C9F6A41" w14:textId="11DC341A" w:rsidR="00421641" w:rsidRPr="003D77FD" w:rsidRDefault="00421641" w:rsidP="0005664D">
            <w:pPr>
              <w:tabs>
                <w:tab w:val="left" w:pos="372"/>
                <w:tab w:val="right" w:pos="2172"/>
              </w:tabs>
              <w:jc w:val="right"/>
              <w:rPr>
                <w:rFonts w:ascii="Arial" w:hAnsi="Arial" w:cs="Arial"/>
                <w:sz w:val="18"/>
                <w:szCs w:val="18"/>
                <w:u w:val="single"/>
                <w:lang w:val="en-CA"/>
              </w:rPr>
            </w:pPr>
            <w:r w:rsidRPr="003D77FD">
              <w:rPr>
                <w:rFonts w:ascii="Arial" w:hAnsi="Arial" w:cs="Arial"/>
                <w:sz w:val="18"/>
                <w:szCs w:val="18"/>
                <w:u w:val="single"/>
                <w:lang w:val="en-CA"/>
              </w:rPr>
              <w:t>(</w:t>
            </w:r>
            <w:r w:rsidR="00035BE1">
              <w:rPr>
                <w:rFonts w:ascii="Arial" w:hAnsi="Arial" w:cs="Arial"/>
                <w:sz w:val="18"/>
                <w:szCs w:val="18"/>
                <w:u w:val="single"/>
                <w:lang w:val="en-CA"/>
              </w:rPr>
              <w:t>186</w:t>
            </w:r>
            <w:r w:rsidRPr="003D77FD">
              <w:rPr>
                <w:rFonts w:ascii="Arial" w:hAnsi="Arial" w:cs="Arial"/>
                <w:sz w:val="18"/>
                <w:szCs w:val="18"/>
                <w:u w:val="single"/>
                <w:lang w:val="en-CA"/>
              </w:rPr>
              <w:t>,651)</w:t>
            </w:r>
          </w:p>
        </w:tc>
        <w:tc>
          <w:tcPr>
            <w:tcW w:w="1620" w:type="dxa"/>
            <w:vAlign w:val="center"/>
          </w:tcPr>
          <w:p w14:paraId="7ABC00B9" w14:textId="47C7913A" w:rsidR="00421641" w:rsidRPr="003D77FD" w:rsidRDefault="00421641" w:rsidP="0005664D">
            <w:pPr>
              <w:tabs>
                <w:tab w:val="left" w:pos="426"/>
                <w:tab w:val="right" w:pos="2226"/>
              </w:tabs>
              <w:jc w:val="right"/>
              <w:rPr>
                <w:rFonts w:ascii="Arial" w:hAnsi="Arial" w:cs="Arial"/>
                <w:sz w:val="18"/>
                <w:szCs w:val="18"/>
                <w:lang w:val="en-CA"/>
              </w:rPr>
            </w:pPr>
            <w:r w:rsidRPr="003D77FD">
              <w:rPr>
                <w:rFonts w:ascii="Arial" w:hAnsi="Arial" w:cs="Arial"/>
                <w:sz w:val="18"/>
                <w:szCs w:val="18"/>
                <w:lang w:val="en-CA"/>
              </w:rPr>
              <w:t>(61,54</w:t>
            </w:r>
            <w:r w:rsidR="00035BE1">
              <w:rPr>
                <w:rFonts w:ascii="Arial" w:hAnsi="Arial" w:cs="Arial"/>
                <w:sz w:val="18"/>
                <w:szCs w:val="18"/>
                <w:lang w:val="en-CA"/>
              </w:rPr>
              <w:t>3</w:t>
            </w:r>
            <w:r w:rsidRPr="003D77FD">
              <w:rPr>
                <w:rFonts w:ascii="Arial" w:hAnsi="Arial" w:cs="Arial"/>
                <w:sz w:val="18"/>
                <w:szCs w:val="18"/>
                <w:lang w:val="en-CA"/>
              </w:rPr>
              <w:t>)</w:t>
            </w:r>
          </w:p>
        </w:tc>
      </w:tr>
      <w:tr w:rsidR="00421641" w:rsidRPr="003D77FD" w14:paraId="0D367646" w14:textId="77777777" w:rsidTr="0005664D">
        <w:trPr>
          <w:jc w:val="center"/>
        </w:trPr>
        <w:tc>
          <w:tcPr>
            <w:tcW w:w="2875" w:type="dxa"/>
          </w:tcPr>
          <w:p w14:paraId="2D16AD09"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Taxes*</w:t>
            </w:r>
          </w:p>
        </w:tc>
        <w:tc>
          <w:tcPr>
            <w:tcW w:w="1620" w:type="dxa"/>
            <w:vAlign w:val="center"/>
          </w:tcPr>
          <w:p w14:paraId="59F8F7F4" w14:textId="41CA5470" w:rsidR="00421641" w:rsidRPr="003D77FD" w:rsidRDefault="00421641" w:rsidP="0005664D">
            <w:pPr>
              <w:tabs>
                <w:tab w:val="left" w:pos="372"/>
                <w:tab w:val="right" w:pos="2082"/>
              </w:tabs>
              <w:jc w:val="right"/>
              <w:rPr>
                <w:rFonts w:ascii="Arial" w:hAnsi="Arial" w:cs="Arial"/>
                <w:sz w:val="18"/>
                <w:szCs w:val="18"/>
                <w:u w:val="single"/>
                <w:lang w:val="en-CA"/>
              </w:rPr>
            </w:pPr>
            <w:r w:rsidRPr="003D77FD">
              <w:rPr>
                <w:rFonts w:ascii="Arial" w:hAnsi="Arial" w:cs="Arial"/>
                <w:sz w:val="18"/>
                <w:szCs w:val="18"/>
                <w:u w:val="single"/>
                <w:lang w:val="en-CA"/>
              </w:rPr>
              <w:t>–</w:t>
            </w:r>
          </w:p>
        </w:tc>
        <w:tc>
          <w:tcPr>
            <w:tcW w:w="1620" w:type="dxa"/>
            <w:vAlign w:val="center"/>
          </w:tcPr>
          <w:p w14:paraId="3F4D22A2" w14:textId="4BBD236C" w:rsidR="00421641" w:rsidRPr="003D77FD" w:rsidRDefault="00421641" w:rsidP="0005664D">
            <w:pPr>
              <w:tabs>
                <w:tab w:val="left" w:pos="426"/>
                <w:tab w:val="right" w:pos="2136"/>
              </w:tabs>
              <w:jc w:val="right"/>
              <w:rPr>
                <w:rFonts w:ascii="Arial" w:hAnsi="Arial" w:cs="Arial"/>
                <w:sz w:val="18"/>
                <w:szCs w:val="18"/>
                <w:u w:val="single"/>
                <w:lang w:val="en-CA"/>
              </w:rPr>
            </w:pPr>
            <w:r w:rsidRPr="003D77FD">
              <w:rPr>
                <w:rFonts w:ascii="Arial" w:hAnsi="Arial" w:cs="Arial"/>
                <w:sz w:val="18"/>
                <w:szCs w:val="18"/>
                <w:u w:val="single"/>
                <w:lang w:val="en-CA"/>
              </w:rPr>
              <w:t>–</w:t>
            </w:r>
          </w:p>
        </w:tc>
      </w:tr>
      <w:tr w:rsidR="00421641" w:rsidRPr="003D77FD" w14:paraId="334403BB" w14:textId="77777777" w:rsidTr="0005664D">
        <w:trPr>
          <w:jc w:val="center"/>
        </w:trPr>
        <w:tc>
          <w:tcPr>
            <w:tcW w:w="2875" w:type="dxa"/>
          </w:tcPr>
          <w:p w14:paraId="1D2F062D"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Net earnings after taxes</w:t>
            </w:r>
          </w:p>
        </w:tc>
        <w:tc>
          <w:tcPr>
            <w:tcW w:w="1620" w:type="dxa"/>
            <w:vAlign w:val="center"/>
          </w:tcPr>
          <w:p w14:paraId="300CA31F" w14:textId="4E1B385C" w:rsidR="00421641" w:rsidRPr="003D77FD" w:rsidRDefault="00421641" w:rsidP="0005664D">
            <w:pPr>
              <w:tabs>
                <w:tab w:val="left" w:pos="372"/>
                <w:tab w:val="right" w:pos="2172"/>
              </w:tabs>
              <w:jc w:val="right"/>
              <w:rPr>
                <w:rFonts w:ascii="Arial" w:hAnsi="Arial" w:cs="Arial"/>
                <w:sz w:val="18"/>
                <w:szCs w:val="18"/>
                <w:u w:val="double"/>
                <w:lang w:val="en-CA"/>
              </w:rPr>
            </w:pPr>
            <w:r w:rsidRPr="003D77FD">
              <w:rPr>
                <w:rFonts w:ascii="Arial" w:hAnsi="Arial" w:cs="Arial"/>
                <w:sz w:val="18"/>
                <w:szCs w:val="18"/>
                <w:u w:val="double"/>
                <w:lang w:val="en-CA"/>
              </w:rPr>
              <w:t>$(</w:t>
            </w:r>
            <w:r w:rsidR="00035BE1">
              <w:rPr>
                <w:rFonts w:ascii="Arial" w:hAnsi="Arial" w:cs="Arial"/>
                <w:sz w:val="18"/>
                <w:szCs w:val="18"/>
                <w:u w:val="double"/>
                <w:lang w:val="en-CA"/>
              </w:rPr>
              <w:t>186</w:t>
            </w:r>
            <w:r w:rsidRPr="003D77FD">
              <w:rPr>
                <w:rFonts w:ascii="Arial" w:hAnsi="Arial" w:cs="Arial"/>
                <w:sz w:val="18"/>
                <w:szCs w:val="18"/>
                <w:u w:val="double"/>
                <w:lang w:val="en-CA"/>
              </w:rPr>
              <w:t>,651)</w:t>
            </w:r>
          </w:p>
        </w:tc>
        <w:tc>
          <w:tcPr>
            <w:tcW w:w="1620" w:type="dxa"/>
            <w:vAlign w:val="center"/>
          </w:tcPr>
          <w:p w14:paraId="6FDAADA2" w14:textId="054DF68B" w:rsidR="00421641" w:rsidRPr="003D77FD" w:rsidRDefault="00421641" w:rsidP="0005664D">
            <w:pPr>
              <w:tabs>
                <w:tab w:val="left" w:pos="426"/>
                <w:tab w:val="right" w:pos="2226"/>
              </w:tabs>
              <w:jc w:val="right"/>
              <w:rPr>
                <w:rFonts w:ascii="Arial" w:hAnsi="Arial" w:cs="Arial"/>
                <w:sz w:val="18"/>
                <w:szCs w:val="18"/>
                <w:u w:val="double"/>
                <w:lang w:val="en-CA"/>
              </w:rPr>
            </w:pPr>
            <w:r w:rsidRPr="003D77FD">
              <w:rPr>
                <w:rFonts w:ascii="Arial" w:hAnsi="Arial" w:cs="Arial"/>
                <w:sz w:val="18"/>
                <w:szCs w:val="18"/>
                <w:u w:val="double"/>
                <w:lang w:val="en-CA"/>
              </w:rPr>
              <w:t>$(61,54</w:t>
            </w:r>
            <w:r w:rsidR="00035BE1">
              <w:rPr>
                <w:rFonts w:ascii="Arial" w:hAnsi="Arial" w:cs="Arial"/>
                <w:sz w:val="18"/>
                <w:szCs w:val="18"/>
                <w:u w:val="double"/>
                <w:lang w:val="en-CA"/>
              </w:rPr>
              <w:t>3</w:t>
            </w:r>
            <w:r w:rsidRPr="003D77FD">
              <w:rPr>
                <w:rFonts w:ascii="Arial" w:hAnsi="Arial" w:cs="Arial"/>
                <w:sz w:val="18"/>
                <w:szCs w:val="18"/>
                <w:u w:val="double"/>
                <w:lang w:val="en-CA"/>
              </w:rPr>
              <w:t>)</w:t>
            </w:r>
          </w:p>
        </w:tc>
      </w:tr>
    </w:tbl>
    <w:p w14:paraId="534FFBB8" w14:textId="77777777" w:rsidR="00421641" w:rsidRPr="003D77FD" w:rsidRDefault="00421641" w:rsidP="00421641">
      <w:pPr>
        <w:pStyle w:val="ExhibitText"/>
        <w:rPr>
          <w:lang w:val="en-CA"/>
        </w:rPr>
      </w:pPr>
    </w:p>
    <w:p w14:paraId="3E789311" w14:textId="20D0EC44" w:rsidR="00421641" w:rsidRPr="003D77FD" w:rsidRDefault="00421641" w:rsidP="00421641">
      <w:pPr>
        <w:jc w:val="both"/>
        <w:rPr>
          <w:rFonts w:ascii="Arial" w:hAnsi="Arial" w:cs="Arial"/>
          <w:sz w:val="17"/>
          <w:szCs w:val="17"/>
          <w:lang w:val="en-CA"/>
        </w:rPr>
      </w:pPr>
      <w:r w:rsidRPr="003D77FD">
        <w:rPr>
          <w:rFonts w:ascii="Arial" w:hAnsi="Arial" w:cs="Arial"/>
          <w:sz w:val="17"/>
          <w:szCs w:val="17"/>
          <w:lang w:val="en-CA"/>
        </w:rPr>
        <w:t>Note:</w:t>
      </w:r>
      <w:r w:rsidR="006878CC" w:rsidRPr="003D77FD">
        <w:rPr>
          <w:rFonts w:ascii="Arial" w:hAnsi="Arial" w:cs="Arial"/>
          <w:sz w:val="17"/>
          <w:szCs w:val="17"/>
          <w:lang w:val="en-CA"/>
        </w:rPr>
        <w:t xml:space="preserve"> </w:t>
      </w:r>
      <w:r w:rsidRPr="003D77FD">
        <w:rPr>
          <w:rFonts w:ascii="Arial" w:hAnsi="Arial" w:cs="Arial"/>
          <w:sz w:val="17"/>
          <w:szCs w:val="17"/>
          <w:lang w:val="en-CA"/>
        </w:rPr>
        <w:t xml:space="preserve">*Under Canadian law, losses in one year could be used to offset taxes on positive income in future years, a feature known as a </w:t>
      </w:r>
      <w:r w:rsidR="00AF7ED5" w:rsidRPr="003D77FD">
        <w:rPr>
          <w:rFonts w:ascii="Arial" w:hAnsi="Arial" w:cs="Arial"/>
          <w:sz w:val="17"/>
          <w:szCs w:val="17"/>
          <w:lang w:val="en-CA"/>
        </w:rPr>
        <w:t xml:space="preserve">tax loss </w:t>
      </w:r>
      <w:r w:rsidR="004E39CB" w:rsidRPr="003D77FD">
        <w:rPr>
          <w:rFonts w:ascii="Arial" w:hAnsi="Arial" w:cs="Arial"/>
          <w:sz w:val="17"/>
          <w:szCs w:val="17"/>
          <w:lang w:val="en-CA"/>
        </w:rPr>
        <w:t>carry</w:t>
      </w:r>
      <w:r w:rsidR="00AF7ED5" w:rsidRPr="003D77FD">
        <w:rPr>
          <w:rFonts w:ascii="Arial" w:hAnsi="Arial" w:cs="Arial"/>
          <w:sz w:val="17"/>
          <w:szCs w:val="17"/>
          <w:lang w:val="en-CA"/>
        </w:rPr>
        <w:t>-forward</w:t>
      </w:r>
      <w:r w:rsidRPr="003D77FD">
        <w:rPr>
          <w:rFonts w:ascii="Arial" w:hAnsi="Arial" w:cs="Arial"/>
          <w:sz w:val="17"/>
          <w:szCs w:val="17"/>
          <w:lang w:val="en-CA"/>
        </w:rPr>
        <w:t xml:space="preserve">. At the end of 2015, Intellitix had sufficient credits to make the next $1,400,605 in net earnings </w:t>
      </w:r>
      <w:r w:rsidR="006878CC" w:rsidRPr="003D77FD">
        <w:rPr>
          <w:rFonts w:ascii="Arial" w:hAnsi="Arial" w:cs="Arial"/>
          <w:sz w:val="17"/>
          <w:szCs w:val="17"/>
          <w:lang w:val="en-CA"/>
        </w:rPr>
        <w:t>tax-free</w:t>
      </w:r>
      <w:r w:rsidRPr="003D77FD">
        <w:rPr>
          <w:rFonts w:ascii="Arial" w:hAnsi="Arial" w:cs="Arial"/>
          <w:sz w:val="17"/>
          <w:szCs w:val="17"/>
          <w:lang w:val="en-CA"/>
        </w:rPr>
        <w:t>.</w:t>
      </w:r>
    </w:p>
    <w:p w14:paraId="32AEC91F" w14:textId="77777777" w:rsidR="00421641" w:rsidRPr="003D77FD" w:rsidRDefault="00421641" w:rsidP="00421641">
      <w:pPr>
        <w:jc w:val="both"/>
        <w:rPr>
          <w:rFonts w:ascii="Arial" w:hAnsi="Arial" w:cs="Arial"/>
          <w:sz w:val="17"/>
          <w:szCs w:val="17"/>
          <w:lang w:val="en-CA"/>
        </w:rPr>
      </w:pPr>
      <w:r w:rsidRPr="003D77FD">
        <w:rPr>
          <w:rFonts w:ascii="Arial" w:hAnsi="Arial" w:cs="Arial"/>
          <w:sz w:val="17"/>
          <w:szCs w:val="17"/>
          <w:lang w:val="en-CA"/>
        </w:rPr>
        <w:t>Source: Company documents.</w:t>
      </w:r>
    </w:p>
    <w:p w14:paraId="76666AD9" w14:textId="10D52A0D" w:rsidR="00421641" w:rsidRPr="003D77FD" w:rsidRDefault="00421641" w:rsidP="00421641">
      <w:pPr>
        <w:jc w:val="both"/>
        <w:rPr>
          <w:rFonts w:ascii="Arial" w:hAnsi="Arial" w:cs="Arial"/>
          <w:lang w:val="en-CA"/>
        </w:rPr>
      </w:pPr>
    </w:p>
    <w:p w14:paraId="5CBAE99F" w14:textId="77777777" w:rsidR="00C22AF2" w:rsidRPr="003D77FD" w:rsidRDefault="00C22AF2" w:rsidP="00421641">
      <w:pPr>
        <w:jc w:val="both"/>
        <w:rPr>
          <w:rFonts w:ascii="Arial" w:hAnsi="Arial" w:cs="Arial"/>
          <w:lang w:val="en-CA"/>
        </w:rPr>
      </w:pPr>
    </w:p>
    <w:p w14:paraId="7F5D6BA5" w14:textId="0A0ACEC7" w:rsidR="00421641" w:rsidRPr="003D77FD" w:rsidRDefault="00421641" w:rsidP="00421641">
      <w:pPr>
        <w:jc w:val="center"/>
        <w:rPr>
          <w:rFonts w:ascii="Arial" w:hAnsi="Arial" w:cs="Arial"/>
          <w:b/>
          <w:caps/>
          <w:lang w:val="en-CA"/>
        </w:rPr>
      </w:pPr>
      <w:r w:rsidRPr="003D77FD">
        <w:rPr>
          <w:rFonts w:ascii="Arial" w:hAnsi="Arial" w:cs="Arial"/>
          <w:b/>
          <w:caps/>
          <w:lang w:val="en-CA"/>
        </w:rPr>
        <w:t>Exhibit 2: Intellitix STATEMENT OF RETAINED EARNINGS (AS OF DECEMBER 31)</w:t>
      </w:r>
    </w:p>
    <w:p w14:paraId="3DF78477" w14:textId="77777777" w:rsidR="00421641" w:rsidRPr="003D77FD" w:rsidRDefault="00421641" w:rsidP="00421641">
      <w:pPr>
        <w:jc w:val="center"/>
        <w:rPr>
          <w:rFonts w:ascii="Arial" w:hAnsi="Arial" w:cs="Arial"/>
          <w:b/>
          <w:caps/>
          <w:lang w:val="en-CA"/>
        </w:rPr>
      </w:pPr>
    </w:p>
    <w:tbl>
      <w:tblPr>
        <w:tblStyle w:val="TableGrid"/>
        <w:tblW w:w="0" w:type="auto"/>
        <w:jc w:val="center"/>
        <w:tblLook w:val="04A0" w:firstRow="1" w:lastRow="0" w:firstColumn="1" w:lastColumn="0" w:noHBand="0" w:noVBand="1"/>
      </w:tblPr>
      <w:tblGrid>
        <w:gridCol w:w="2695"/>
        <w:gridCol w:w="1440"/>
        <w:gridCol w:w="1440"/>
      </w:tblGrid>
      <w:tr w:rsidR="00421641" w:rsidRPr="003D77FD" w14:paraId="631A5743" w14:textId="77777777" w:rsidTr="00421641">
        <w:trPr>
          <w:jc w:val="center"/>
        </w:trPr>
        <w:tc>
          <w:tcPr>
            <w:tcW w:w="2695" w:type="dxa"/>
          </w:tcPr>
          <w:p w14:paraId="5BA195E1" w14:textId="77777777" w:rsidR="00421641" w:rsidRPr="003D77FD" w:rsidRDefault="00421641" w:rsidP="00421641">
            <w:pPr>
              <w:jc w:val="both"/>
              <w:rPr>
                <w:sz w:val="18"/>
                <w:szCs w:val="18"/>
                <w:lang w:val="en-CA"/>
              </w:rPr>
            </w:pPr>
          </w:p>
        </w:tc>
        <w:tc>
          <w:tcPr>
            <w:tcW w:w="1440" w:type="dxa"/>
          </w:tcPr>
          <w:p w14:paraId="60FFD1F8" w14:textId="77777777" w:rsidR="00421641" w:rsidRPr="003D77FD" w:rsidRDefault="00421641" w:rsidP="00421641">
            <w:pPr>
              <w:tabs>
                <w:tab w:val="left" w:pos="372"/>
                <w:tab w:val="right" w:pos="2082"/>
              </w:tabs>
              <w:jc w:val="center"/>
              <w:rPr>
                <w:rFonts w:ascii="Arial" w:hAnsi="Arial" w:cs="Arial"/>
                <w:b/>
                <w:sz w:val="18"/>
                <w:szCs w:val="18"/>
                <w:lang w:val="en-CA"/>
              </w:rPr>
            </w:pPr>
            <w:r w:rsidRPr="003D77FD">
              <w:rPr>
                <w:rFonts w:ascii="Arial" w:hAnsi="Arial" w:cs="Arial"/>
                <w:b/>
                <w:sz w:val="18"/>
                <w:szCs w:val="18"/>
                <w:lang w:val="en-CA"/>
              </w:rPr>
              <w:t>2015</w:t>
            </w:r>
          </w:p>
        </w:tc>
        <w:tc>
          <w:tcPr>
            <w:tcW w:w="1440" w:type="dxa"/>
          </w:tcPr>
          <w:p w14:paraId="51271340" w14:textId="77777777" w:rsidR="00421641" w:rsidRPr="003D77FD" w:rsidRDefault="00421641" w:rsidP="00421641">
            <w:pPr>
              <w:tabs>
                <w:tab w:val="left" w:pos="336"/>
                <w:tab w:val="right" w:pos="1992"/>
              </w:tabs>
              <w:jc w:val="center"/>
              <w:rPr>
                <w:rFonts w:ascii="Arial" w:hAnsi="Arial" w:cs="Arial"/>
                <w:b/>
                <w:sz w:val="18"/>
                <w:szCs w:val="18"/>
                <w:lang w:val="en-CA"/>
              </w:rPr>
            </w:pPr>
            <w:r w:rsidRPr="003D77FD">
              <w:rPr>
                <w:rFonts w:ascii="Arial" w:hAnsi="Arial" w:cs="Arial"/>
                <w:b/>
                <w:sz w:val="18"/>
                <w:szCs w:val="18"/>
                <w:lang w:val="en-CA"/>
              </w:rPr>
              <w:t>2014</w:t>
            </w:r>
          </w:p>
        </w:tc>
      </w:tr>
      <w:tr w:rsidR="00421641" w:rsidRPr="003D77FD" w14:paraId="0FBE396B" w14:textId="77777777" w:rsidTr="0005664D">
        <w:trPr>
          <w:jc w:val="center"/>
        </w:trPr>
        <w:tc>
          <w:tcPr>
            <w:tcW w:w="2695" w:type="dxa"/>
          </w:tcPr>
          <w:p w14:paraId="04929D74"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Starting retained earnings</w:t>
            </w:r>
          </w:p>
        </w:tc>
        <w:tc>
          <w:tcPr>
            <w:tcW w:w="1440" w:type="dxa"/>
            <w:vAlign w:val="center"/>
          </w:tcPr>
          <w:p w14:paraId="07AF2524" w14:textId="4D988330"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$946,026</w:t>
            </w:r>
          </w:p>
        </w:tc>
        <w:tc>
          <w:tcPr>
            <w:tcW w:w="1440" w:type="dxa"/>
            <w:vAlign w:val="center"/>
          </w:tcPr>
          <w:p w14:paraId="653079D1" w14:textId="4770A802" w:rsidR="00421641" w:rsidRPr="003D77FD" w:rsidRDefault="00421641" w:rsidP="0005664D">
            <w:pPr>
              <w:tabs>
                <w:tab w:val="left" w:pos="336"/>
                <w:tab w:val="right" w:pos="1992"/>
              </w:tabs>
              <w:jc w:val="right"/>
              <w:rPr>
                <w:rFonts w:ascii="Arial" w:hAnsi="Arial" w:cs="Arial"/>
                <w:sz w:val="18"/>
                <w:szCs w:val="18"/>
                <w:lang w:val="en-CA"/>
              </w:rPr>
            </w:pPr>
            <w:r w:rsidRPr="003D77FD">
              <w:rPr>
                <w:rFonts w:ascii="Arial" w:hAnsi="Arial" w:cs="Arial"/>
                <w:sz w:val="18"/>
                <w:szCs w:val="18"/>
                <w:lang w:val="en-CA"/>
              </w:rPr>
              <w:t>$1,007,570</w:t>
            </w:r>
          </w:p>
        </w:tc>
      </w:tr>
      <w:tr w:rsidR="00421641" w:rsidRPr="003D77FD" w14:paraId="58F0B31D" w14:textId="77777777" w:rsidTr="0005664D">
        <w:trPr>
          <w:jc w:val="center"/>
        </w:trPr>
        <w:tc>
          <w:tcPr>
            <w:tcW w:w="2695" w:type="dxa"/>
          </w:tcPr>
          <w:p w14:paraId="0FAD8654" w14:textId="7005F06C"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 xml:space="preserve">Plus </w:t>
            </w:r>
            <w:r w:rsidR="00B20639" w:rsidRPr="003D77FD">
              <w:rPr>
                <w:rFonts w:ascii="Arial" w:hAnsi="Arial" w:cs="Arial"/>
                <w:sz w:val="18"/>
                <w:szCs w:val="18"/>
                <w:lang w:val="en-CA"/>
              </w:rPr>
              <w:t>net</w:t>
            </w:r>
            <w:r w:rsidRPr="003D77FD">
              <w:rPr>
                <w:rFonts w:ascii="Arial" w:hAnsi="Arial" w:cs="Arial"/>
                <w:sz w:val="18"/>
                <w:szCs w:val="18"/>
                <w:lang w:val="en-CA"/>
              </w:rPr>
              <w:t xml:space="preserve"> earnings</w:t>
            </w:r>
          </w:p>
        </w:tc>
        <w:tc>
          <w:tcPr>
            <w:tcW w:w="1440" w:type="dxa"/>
            <w:vAlign w:val="center"/>
          </w:tcPr>
          <w:p w14:paraId="0F0710CC" w14:textId="08F4BA85" w:rsidR="00421641" w:rsidRPr="003D77FD" w:rsidRDefault="00421641" w:rsidP="0005664D">
            <w:pPr>
              <w:tabs>
                <w:tab w:val="left" w:pos="372"/>
                <w:tab w:val="right" w:pos="2172"/>
              </w:tabs>
              <w:jc w:val="right"/>
              <w:rPr>
                <w:rFonts w:ascii="Arial" w:hAnsi="Arial" w:cs="Arial"/>
                <w:sz w:val="18"/>
                <w:szCs w:val="18"/>
                <w:lang w:val="en-CA"/>
              </w:rPr>
            </w:pPr>
            <w:r w:rsidRPr="003D77FD">
              <w:rPr>
                <w:rFonts w:ascii="Arial" w:hAnsi="Arial" w:cs="Arial"/>
                <w:sz w:val="18"/>
                <w:szCs w:val="18"/>
                <w:lang w:val="en-CA"/>
              </w:rPr>
              <w:t>(216,651)</w:t>
            </w:r>
          </w:p>
        </w:tc>
        <w:tc>
          <w:tcPr>
            <w:tcW w:w="1440" w:type="dxa"/>
            <w:vAlign w:val="center"/>
          </w:tcPr>
          <w:p w14:paraId="1D1C1224" w14:textId="32EF5E7A" w:rsidR="00421641" w:rsidRPr="003D77FD" w:rsidRDefault="00421641" w:rsidP="0005664D">
            <w:pPr>
              <w:tabs>
                <w:tab w:val="left" w:pos="336"/>
                <w:tab w:val="right" w:pos="2046"/>
              </w:tabs>
              <w:jc w:val="right"/>
              <w:rPr>
                <w:rFonts w:ascii="Arial" w:hAnsi="Arial" w:cs="Arial"/>
                <w:sz w:val="18"/>
                <w:szCs w:val="18"/>
                <w:lang w:val="en-CA"/>
              </w:rPr>
            </w:pPr>
            <w:r w:rsidRPr="003D77FD">
              <w:rPr>
                <w:rFonts w:ascii="Arial" w:hAnsi="Arial" w:cs="Arial"/>
                <w:sz w:val="18"/>
                <w:szCs w:val="18"/>
                <w:lang w:val="en-CA"/>
              </w:rPr>
              <w:t>(61,544)</w:t>
            </w:r>
          </w:p>
        </w:tc>
      </w:tr>
      <w:tr w:rsidR="00421641" w:rsidRPr="003D77FD" w14:paraId="2FCA132D" w14:textId="77777777" w:rsidTr="0005664D">
        <w:trPr>
          <w:jc w:val="center"/>
        </w:trPr>
        <w:tc>
          <w:tcPr>
            <w:tcW w:w="2695" w:type="dxa"/>
          </w:tcPr>
          <w:p w14:paraId="251436AE" w14:textId="2FC91621"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 xml:space="preserve">Minus </w:t>
            </w:r>
            <w:r w:rsidR="00B20639" w:rsidRPr="003D77FD">
              <w:rPr>
                <w:rFonts w:ascii="Arial" w:hAnsi="Arial" w:cs="Arial"/>
                <w:sz w:val="18"/>
                <w:szCs w:val="18"/>
                <w:lang w:val="en-CA"/>
              </w:rPr>
              <w:t>distributions</w:t>
            </w:r>
          </w:p>
        </w:tc>
        <w:tc>
          <w:tcPr>
            <w:tcW w:w="1440" w:type="dxa"/>
            <w:vAlign w:val="center"/>
          </w:tcPr>
          <w:p w14:paraId="13826E35" w14:textId="74F7D457"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w:t>
            </w:r>
          </w:p>
        </w:tc>
        <w:tc>
          <w:tcPr>
            <w:tcW w:w="1440" w:type="dxa"/>
            <w:vAlign w:val="center"/>
          </w:tcPr>
          <w:p w14:paraId="0DCA9530" w14:textId="2E02314B" w:rsidR="00421641" w:rsidRPr="003D77FD" w:rsidRDefault="00421641" w:rsidP="0005664D">
            <w:pPr>
              <w:tabs>
                <w:tab w:val="left" w:pos="336"/>
                <w:tab w:val="right" w:pos="1992"/>
              </w:tabs>
              <w:jc w:val="right"/>
              <w:rPr>
                <w:rFonts w:ascii="Arial" w:hAnsi="Arial" w:cs="Arial"/>
                <w:sz w:val="18"/>
                <w:szCs w:val="18"/>
                <w:lang w:val="en-CA"/>
              </w:rPr>
            </w:pPr>
            <w:r w:rsidRPr="003D77FD">
              <w:rPr>
                <w:rFonts w:ascii="Arial" w:hAnsi="Arial" w:cs="Arial"/>
                <w:sz w:val="18"/>
                <w:szCs w:val="18"/>
                <w:lang w:val="en-CA"/>
              </w:rPr>
              <w:t>–</w:t>
            </w:r>
          </w:p>
        </w:tc>
      </w:tr>
      <w:tr w:rsidR="00421641" w:rsidRPr="003D77FD" w14:paraId="241EF0CB" w14:textId="77777777" w:rsidTr="0005664D">
        <w:trPr>
          <w:jc w:val="center"/>
        </w:trPr>
        <w:tc>
          <w:tcPr>
            <w:tcW w:w="2695" w:type="dxa"/>
          </w:tcPr>
          <w:p w14:paraId="764E7CC9" w14:textId="5062B020"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 xml:space="preserve">Ending </w:t>
            </w:r>
            <w:r w:rsidR="00B20639" w:rsidRPr="003D77FD">
              <w:rPr>
                <w:rFonts w:ascii="Arial" w:hAnsi="Arial" w:cs="Arial"/>
                <w:sz w:val="18"/>
                <w:szCs w:val="18"/>
                <w:lang w:val="en-CA"/>
              </w:rPr>
              <w:t xml:space="preserve">retained </w:t>
            </w:r>
            <w:r w:rsidRPr="003D77FD">
              <w:rPr>
                <w:rFonts w:ascii="Arial" w:hAnsi="Arial" w:cs="Arial"/>
                <w:sz w:val="18"/>
                <w:szCs w:val="18"/>
                <w:lang w:val="en-CA"/>
              </w:rPr>
              <w:t>earnings</w:t>
            </w:r>
          </w:p>
        </w:tc>
        <w:tc>
          <w:tcPr>
            <w:tcW w:w="1440" w:type="dxa"/>
            <w:vAlign w:val="center"/>
          </w:tcPr>
          <w:p w14:paraId="3C162A40" w14:textId="426ADC26" w:rsidR="00421641" w:rsidRPr="003D77FD" w:rsidRDefault="00421641" w:rsidP="0005664D">
            <w:pPr>
              <w:tabs>
                <w:tab w:val="left" w:pos="372"/>
                <w:tab w:val="right" w:pos="2082"/>
              </w:tabs>
              <w:jc w:val="right"/>
              <w:rPr>
                <w:rFonts w:ascii="Arial" w:hAnsi="Arial" w:cs="Arial"/>
                <w:sz w:val="18"/>
                <w:szCs w:val="18"/>
                <w:lang w:val="en-CA"/>
              </w:rPr>
            </w:pPr>
            <w:r w:rsidRPr="003D77FD">
              <w:rPr>
                <w:rFonts w:ascii="Arial" w:hAnsi="Arial" w:cs="Arial"/>
                <w:sz w:val="18"/>
                <w:szCs w:val="18"/>
                <w:lang w:val="en-CA"/>
              </w:rPr>
              <w:t>$729,375</w:t>
            </w:r>
          </w:p>
        </w:tc>
        <w:tc>
          <w:tcPr>
            <w:tcW w:w="1440" w:type="dxa"/>
            <w:vAlign w:val="center"/>
          </w:tcPr>
          <w:p w14:paraId="395F9D36" w14:textId="1AF7F329" w:rsidR="00421641" w:rsidRPr="003D77FD" w:rsidRDefault="00421641" w:rsidP="00035BE1">
            <w:pPr>
              <w:tabs>
                <w:tab w:val="left" w:pos="336"/>
                <w:tab w:val="right" w:pos="1992"/>
              </w:tabs>
              <w:jc w:val="right"/>
              <w:rPr>
                <w:rFonts w:ascii="Arial" w:hAnsi="Arial" w:cs="Arial"/>
                <w:sz w:val="18"/>
                <w:szCs w:val="18"/>
                <w:lang w:val="en-CA"/>
              </w:rPr>
            </w:pPr>
            <w:r w:rsidRPr="003D77FD">
              <w:rPr>
                <w:rFonts w:ascii="Arial" w:hAnsi="Arial" w:cs="Arial"/>
                <w:sz w:val="18"/>
                <w:szCs w:val="18"/>
                <w:lang w:val="en-CA"/>
              </w:rPr>
              <w:t>$946,02</w:t>
            </w:r>
            <w:r w:rsidR="00035BE1">
              <w:rPr>
                <w:rFonts w:ascii="Arial" w:hAnsi="Arial" w:cs="Arial"/>
                <w:sz w:val="18"/>
                <w:szCs w:val="18"/>
                <w:lang w:val="en-CA"/>
              </w:rPr>
              <w:t>6</w:t>
            </w:r>
          </w:p>
        </w:tc>
      </w:tr>
    </w:tbl>
    <w:p w14:paraId="52085CDC" w14:textId="77777777" w:rsidR="00421641" w:rsidRPr="003D77FD" w:rsidRDefault="00421641" w:rsidP="00421641">
      <w:pPr>
        <w:jc w:val="center"/>
        <w:rPr>
          <w:rFonts w:ascii="Arial" w:hAnsi="Arial" w:cs="Arial"/>
          <w:b/>
          <w:caps/>
          <w:lang w:val="en-CA"/>
        </w:rPr>
      </w:pPr>
    </w:p>
    <w:p w14:paraId="25DF37D8" w14:textId="77777777" w:rsidR="00421641" w:rsidRPr="003D77FD" w:rsidRDefault="00421641" w:rsidP="00421641">
      <w:pPr>
        <w:jc w:val="both"/>
        <w:rPr>
          <w:rFonts w:ascii="Arial" w:hAnsi="Arial" w:cs="Arial"/>
          <w:sz w:val="17"/>
          <w:szCs w:val="17"/>
          <w:lang w:val="en-CA"/>
        </w:rPr>
      </w:pPr>
      <w:r w:rsidRPr="003D77FD">
        <w:rPr>
          <w:rFonts w:ascii="Arial" w:hAnsi="Arial" w:cs="Arial"/>
          <w:sz w:val="17"/>
          <w:szCs w:val="17"/>
          <w:lang w:val="en-CA"/>
        </w:rPr>
        <w:t>Source: Company documents.</w:t>
      </w:r>
    </w:p>
    <w:p w14:paraId="7F6E1DBA" w14:textId="77777777" w:rsidR="00421641" w:rsidRPr="003D77FD" w:rsidRDefault="00421641" w:rsidP="00421641">
      <w:pPr>
        <w:jc w:val="center"/>
        <w:rPr>
          <w:rFonts w:ascii="Arial" w:hAnsi="Arial" w:cs="Arial"/>
          <w:b/>
          <w:caps/>
          <w:lang w:val="en-CA"/>
        </w:rPr>
      </w:pPr>
    </w:p>
    <w:p w14:paraId="3E77549E" w14:textId="77777777" w:rsidR="00421641" w:rsidRPr="003D77FD" w:rsidRDefault="00421641" w:rsidP="00421641">
      <w:pPr>
        <w:spacing w:after="200" w:line="276" w:lineRule="auto"/>
        <w:rPr>
          <w:rFonts w:ascii="Arial" w:hAnsi="Arial" w:cs="Arial"/>
          <w:b/>
          <w:caps/>
          <w:lang w:val="en-CA"/>
        </w:rPr>
      </w:pPr>
      <w:r w:rsidRPr="003D77FD">
        <w:rPr>
          <w:lang w:val="en-CA"/>
        </w:rPr>
        <w:br w:type="page"/>
      </w:r>
    </w:p>
    <w:p w14:paraId="33B2797D" w14:textId="0BDE92E5" w:rsidR="00421641" w:rsidRPr="003D77FD" w:rsidRDefault="00421641" w:rsidP="00421641">
      <w:pPr>
        <w:jc w:val="center"/>
        <w:rPr>
          <w:rFonts w:ascii="Arial" w:hAnsi="Arial" w:cs="Arial"/>
          <w:b/>
          <w:caps/>
          <w:lang w:val="en-CA"/>
        </w:rPr>
      </w:pPr>
      <w:r w:rsidRPr="003D77FD">
        <w:rPr>
          <w:rFonts w:ascii="Arial" w:hAnsi="Arial" w:cs="Arial"/>
          <w:b/>
          <w:caps/>
          <w:lang w:val="en-CA"/>
        </w:rPr>
        <w:lastRenderedPageBreak/>
        <w:t>Exhibit 3: Intellitix BALANCE SHEET (AS OF DECEMBER 31)</w:t>
      </w:r>
    </w:p>
    <w:p w14:paraId="60EB84B5" w14:textId="77777777" w:rsidR="00421641" w:rsidRPr="003D77FD" w:rsidRDefault="00421641" w:rsidP="00C22AF2">
      <w:pPr>
        <w:pStyle w:val="ExhibitText"/>
        <w:rPr>
          <w:sz w:val="12"/>
          <w:szCs w:val="12"/>
          <w:lang w:val="en-CA"/>
        </w:rPr>
      </w:pPr>
    </w:p>
    <w:tbl>
      <w:tblPr>
        <w:tblStyle w:val="TableGrid"/>
        <w:tblW w:w="0" w:type="auto"/>
        <w:jc w:val="center"/>
        <w:tblLook w:val="04A0" w:firstRow="1" w:lastRow="0" w:firstColumn="1" w:lastColumn="0" w:noHBand="0" w:noVBand="1"/>
      </w:tblPr>
      <w:tblGrid>
        <w:gridCol w:w="3505"/>
        <w:gridCol w:w="1620"/>
        <w:gridCol w:w="1620"/>
      </w:tblGrid>
      <w:tr w:rsidR="00421641" w:rsidRPr="003D77FD" w14:paraId="7745D9E3" w14:textId="77777777" w:rsidTr="00C22AF2">
        <w:trPr>
          <w:trHeight w:val="56"/>
          <w:jc w:val="center"/>
        </w:trPr>
        <w:tc>
          <w:tcPr>
            <w:tcW w:w="3505" w:type="dxa"/>
          </w:tcPr>
          <w:p w14:paraId="464EEB7F" w14:textId="77777777" w:rsidR="00421641" w:rsidRPr="003D77FD" w:rsidRDefault="00421641" w:rsidP="00421641">
            <w:pPr>
              <w:jc w:val="both"/>
              <w:rPr>
                <w:sz w:val="18"/>
                <w:szCs w:val="18"/>
                <w:lang w:val="en-CA"/>
              </w:rPr>
            </w:pPr>
          </w:p>
        </w:tc>
        <w:tc>
          <w:tcPr>
            <w:tcW w:w="1620" w:type="dxa"/>
          </w:tcPr>
          <w:p w14:paraId="5CAD3583" w14:textId="77777777" w:rsidR="00421641" w:rsidRPr="003D77FD" w:rsidRDefault="00421641" w:rsidP="00421641">
            <w:pPr>
              <w:tabs>
                <w:tab w:val="left" w:pos="444"/>
                <w:tab w:val="right" w:pos="1974"/>
              </w:tabs>
              <w:jc w:val="center"/>
              <w:rPr>
                <w:rFonts w:ascii="Arial" w:hAnsi="Arial" w:cs="Arial"/>
                <w:b/>
                <w:sz w:val="18"/>
                <w:szCs w:val="18"/>
                <w:lang w:val="en-CA"/>
              </w:rPr>
            </w:pPr>
            <w:r w:rsidRPr="003D77FD">
              <w:rPr>
                <w:rFonts w:ascii="Arial" w:hAnsi="Arial" w:cs="Arial"/>
                <w:b/>
                <w:sz w:val="18"/>
                <w:szCs w:val="18"/>
                <w:lang w:val="en-CA"/>
              </w:rPr>
              <w:t>2015</w:t>
            </w:r>
          </w:p>
        </w:tc>
        <w:tc>
          <w:tcPr>
            <w:tcW w:w="1620" w:type="dxa"/>
          </w:tcPr>
          <w:p w14:paraId="7BEABC47" w14:textId="77777777" w:rsidR="00421641" w:rsidRPr="003D77FD" w:rsidRDefault="00421641" w:rsidP="00421641">
            <w:pPr>
              <w:tabs>
                <w:tab w:val="left" w:pos="408"/>
                <w:tab w:val="right" w:pos="2028"/>
              </w:tabs>
              <w:jc w:val="center"/>
              <w:rPr>
                <w:rFonts w:ascii="Arial" w:hAnsi="Arial" w:cs="Arial"/>
                <w:b/>
                <w:sz w:val="18"/>
                <w:szCs w:val="18"/>
                <w:lang w:val="en-CA"/>
              </w:rPr>
            </w:pPr>
            <w:r w:rsidRPr="003D77FD">
              <w:rPr>
                <w:rFonts w:ascii="Arial" w:hAnsi="Arial" w:cs="Arial"/>
                <w:b/>
                <w:sz w:val="18"/>
                <w:szCs w:val="18"/>
                <w:lang w:val="en-CA"/>
              </w:rPr>
              <w:t>2014</w:t>
            </w:r>
          </w:p>
        </w:tc>
      </w:tr>
      <w:tr w:rsidR="00421641" w:rsidRPr="003D77FD" w14:paraId="564B12EB" w14:textId="77777777" w:rsidTr="00C22AF2">
        <w:trPr>
          <w:trHeight w:val="56"/>
          <w:jc w:val="center"/>
        </w:trPr>
        <w:tc>
          <w:tcPr>
            <w:tcW w:w="3505" w:type="dxa"/>
          </w:tcPr>
          <w:p w14:paraId="4DC4E176"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ASSETS</w:t>
            </w:r>
          </w:p>
        </w:tc>
        <w:tc>
          <w:tcPr>
            <w:tcW w:w="1620" w:type="dxa"/>
          </w:tcPr>
          <w:p w14:paraId="150A396C" w14:textId="77777777" w:rsidR="00421641" w:rsidRPr="003D77FD" w:rsidRDefault="00421641" w:rsidP="00421641">
            <w:pPr>
              <w:tabs>
                <w:tab w:val="left" w:pos="444"/>
                <w:tab w:val="right" w:pos="1974"/>
              </w:tabs>
              <w:rPr>
                <w:sz w:val="18"/>
                <w:szCs w:val="18"/>
                <w:lang w:val="en-CA"/>
              </w:rPr>
            </w:pPr>
          </w:p>
        </w:tc>
        <w:tc>
          <w:tcPr>
            <w:tcW w:w="1620" w:type="dxa"/>
          </w:tcPr>
          <w:p w14:paraId="444997A3" w14:textId="77777777" w:rsidR="00421641" w:rsidRPr="003D77FD" w:rsidRDefault="00421641" w:rsidP="00421641">
            <w:pPr>
              <w:tabs>
                <w:tab w:val="left" w:pos="408"/>
                <w:tab w:val="right" w:pos="2028"/>
              </w:tabs>
              <w:rPr>
                <w:sz w:val="18"/>
                <w:szCs w:val="18"/>
                <w:lang w:val="en-CA"/>
              </w:rPr>
            </w:pPr>
          </w:p>
        </w:tc>
      </w:tr>
      <w:tr w:rsidR="00421641" w:rsidRPr="003D77FD" w14:paraId="2C34CD98" w14:textId="77777777" w:rsidTr="00AB6FAB">
        <w:trPr>
          <w:jc w:val="center"/>
        </w:trPr>
        <w:tc>
          <w:tcPr>
            <w:tcW w:w="3505" w:type="dxa"/>
          </w:tcPr>
          <w:p w14:paraId="19219EE2"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Current assets</w:t>
            </w:r>
          </w:p>
        </w:tc>
        <w:tc>
          <w:tcPr>
            <w:tcW w:w="1620" w:type="dxa"/>
          </w:tcPr>
          <w:p w14:paraId="39D911F4" w14:textId="77777777" w:rsidR="00421641" w:rsidRPr="003D77FD" w:rsidRDefault="00421641" w:rsidP="00421641">
            <w:pPr>
              <w:tabs>
                <w:tab w:val="left" w:pos="444"/>
                <w:tab w:val="right" w:pos="1974"/>
              </w:tabs>
              <w:rPr>
                <w:sz w:val="18"/>
                <w:szCs w:val="18"/>
                <w:lang w:val="en-CA"/>
              </w:rPr>
            </w:pPr>
          </w:p>
        </w:tc>
        <w:tc>
          <w:tcPr>
            <w:tcW w:w="1620" w:type="dxa"/>
          </w:tcPr>
          <w:p w14:paraId="57928CEA" w14:textId="77777777" w:rsidR="00421641" w:rsidRPr="003D77FD" w:rsidRDefault="00421641" w:rsidP="00421641">
            <w:pPr>
              <w:tabs>
                <w:tab w:val="left" w:pos="408"/>
                <w:tab w:val="right" w:pos="2028"/>
              </w:tabs>
              <w:rPr>
                <w:sz w:val="18"/>
                <w:szCs w:val="18"/>
                <w:lang w:val="en-CA"/>
              </w:rPr>
            </w:pPr>
          </w:p>
        </w:tc>
      </w:tr>
      <w:tr w:rsidR="00421641" w:rsidRPr="003D77FD" w14:paraId="6797B788" w14:textId="77777777" w:rsidTr="0005664D">
        <w:trPr>
          <w:jc w:val="center"/>
        </w:trPr>
        <w:tc>
          <w:tcPr>
            <w:tcW w:w="3505" w:type="dxa"/>
          </w:tcPr>
          <w:p w14:paraId="00BFF8DE" w14:textId="1B10A99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Cash</w:t>
            </w:r>
          </w:p>
        </w:tc>
        <w:tc>
          <w:tcPr>
            <w:tcW w:w="1620" w:type="dxa"/>
            <w:vAlign w:val="center"/>
          </w:tcPr>
          <w:p w14:paraId="5FBB1C69" w14:textId="30733BD4"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$506,715</w:t>
            </w:r>
          </w:p>
        </w:tc>
        <w:tc>
          <w:tcPr>
            <w:tcW w:w="1620" w:type="dxa"/>
            <w:vAlign w:val="center"/>
          </w:tcPr>
          <w:p w14:paraId="283DD817" w14:textId="376934F1"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$910,219</w:t>
            </w:r>
          </w:p>
        </w:tc>
      </w:tr>
      <w:tr w:rsidR="00421641" w:rsidRPr="003D77FD" w14:paraId="323D6C29" w14:textId="77777777" w:rsidTr="0005664D">
        <w:trPr>
          <w:jc w:val="center"/>
        </w:trPr>
        <w:tc>
          <w:tcPr>
            <w:tcW w:w="3505" w:type="dxa"/>
          </w:tcPr>
          <w:p w14:paraId="4268B9B1" w14:textId="09B87145"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Accounts receivable</w:t>
            </w:r>
          </w:p>
        </w:tc>
        <w:tc>
          <w:tcPr>
            <w:tcW w:w="1620" w:type="dxa"/>
            <w:vAlign w:val="center"/>
          </w:tcPr>
          <w:p w14:paraId="46A89A9C" w14:textId="4AF2EE61"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500,083</w:t>
            </w:r>
          </w:p>
        </w:tc>
        <w:tc>
          <w:tcPr>
            <w:tcW w:w="1620" w:type="dxa"/>
            <w:vAlign w:val="center"/>
          </w:tcPr>
          <w:p w14:paraId="4D402E4F" w14:textId="2BB32FEF"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250,075</w:t>
            </w:r>
          </w:p>
        </w:tc>
      </w:tr>
      <w:tr w:rsidR="00421641" w:rsidRPr="003D77FD" w14:paraId="5015A409" w14:textId="77777777" w:rsidTr="0005664D">
        <w:trPr>
          <w:jc w:val="center"/>
        </w:trPr>
        <w:tc>
          <w:tcPr>
            <w:tcW w:w="3505" w:type="dxa"/>
          </w:tcPr>
          <w:p w14:paraId="796B241A" w14:textId="715D6859"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Prepaid expenses</w:t>
            </w:r>
          </w:p>
        </w:tc>
        <w:tc>
          <w:tcPr>
            <w:tcW w:w="1620" w:type="dxa"/>
            <w:vAlign w:val="center"/>
          </w:tcPr>
          <w:p w14:paraId="1E54F707" w14:textId="42C1A19B"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103,960</w:t>
            </w:r>
          </w:p>
        </w:tc>
        <w:tc>
          <w:tcPr>
            <w:tcW w:w="1620" w:type="dxa"/>
            <w:vAlign w:val="center"/>
          </w:tcPr>
          <w:p w14:paraId="3C958B81" w14:textId="27058720"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61,499</w:t>
            </w:r>
          </w:p>
        </w:tc>
      </w:tr>
      <w:tr w:rsidR="00421641" w:rsidRPr="003D77FD" w14:paraId="545E040D" w14:textId="77777777" w:rsidTr="0005664D">
        <w:trPr>
          <w:jc w:val="center"/>
        </w:trPr>
        <w:tc>
          <w:tcPr>
            <w:tcW w:w="3505" w:type="dxa"/>
          </w:tcPr>
          <w:p w14:paraId="6942D4BE"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Total current assets</w:t>
            </w:r>
          </w:p>
        </w:tc>
        <w:tc>
          <w:tcPr>
            <w:tcW w:w="1620" w:type="dxa"/>
            <w:vAlign w:val="center"/>
          </w:tcPr>
          <w:p w14:paraId="43E8774E" w14:textId="1961B30A"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1,110,758</w:t>
            </w:r>
          </w:p>
        </w:tc>
        <w:tc>
          <w:tcPr>
            <w:tcW w:w="1620" w:type="dxa"/>
            <w:vAlign w:val="center"/>
          </w:tcPr>
          <w:p w14:paraId="4835D5F5" w14:textId="04345857"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1,221,793</w:t>
            </w:r>
          </w:p>
        </w:tc>
      </w:tr>
      <w:tr w:rsidR="00421641" w:rsidRPr="003D77FD" w14:paraId="7F0116B4" w14:textId="77777777" w:rsidTr="0005664D">
        <w:trPr>
          <w:jc w:val="center"/>
        </w:trPr>
        <w:tc>
          <w:tcPr>
            <w:tcW w:w="3505" w:type="dxa"/>
          </w:tcPr>
          <w:p w14:paraId="35CE3DB7"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Fixed assets</w:t>
            </w:r>
          </w:p>
        </w:tc>
        <w:tc>
          <w:tcPr>
            <w:tcW w:w="1620" w:type="dxa"/>
            <w:vAlign w:val="center"/>
          </w:tcPr>
          <w:p w14:paraId="44226AE6" w14:textId="77777777" w:rsidR="00421641" w:rsidRPr="003D77FD" w:rsidRDefault="00421641" w:rsidP="0005664D">
            <w:pPr>
              <w:tabs>
                <w:tab w:val="left" w:pos="444"/>
                <w:tab w:val="right" w:pos="1974"/>
              </w:tabs>
              <w:jc w:val="right"/>
              <w:rPr>
                <w:rFonts w:ascii="Arial" w:hAnsi="Arial" w:cs="Arial"/>
                <w:sz w:val="18"/>
                <w:szCs w:val="18"/>
                <w:lang w:val="en-CA"/>
              </w:rPr>
            </w:pPr>
          </w:p>
        </w:tc>
        <w:tc>
          <w:tcPr>
            <w:tcW w:w="1620" w:type="dxa"/>
            <w:vAlign w:val="center"/>
          </w:tcPr>
          <w:p w14:paraId="776BD617" w14:textId="77777777" w:rsidR="00421641" w:rsidRPr="003D77FD" w:rsidRDefault="00421641" w:rsidP="0005664D">
            <w:pPr>
              <w:tabs>
                <w:tab w:val="left" w:pos="408"/>
                <w:tab w:val="right" w:pos="2028"/>
              </w:tabs>
              <w:jc w:val="right"/>
              <w:rPr>
                <w:rFonts w:ascii="Arial" w:hAnsi="Arial" w:cs="Arial"/>
                <w:sz w:val="18"/>
                <w:szCs w:val="18"/>
                <w:lang w:val="en-CA"/>
              </w:rPr>
            </w:pPr>
          </w:p>
        </w:tc>
      </w:tr>
      <w:tr w:rsidR="00421641" w:rsidRPr="003D77FD" w14:paraId="12534871" w14:textId="77777777" w:rsidTr="0005664D">
        <w:trPr>
          <w:jc w:val="center"/>
        </w:trPr>
        <w:tc>
          <w:tcPr>
            <w:tcW w:w="3505" w:type="dxa"/>
          </w:tcPr>
          <w:p w14:paraId="67D0FC63" w14:textId="3524B844"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Computer and electronics</w:t>
            </w:r>
          </w:p>
        </w:tc>
        <w:tc>
          <w:tcPr>
            <w:tcW w:w="1620" w:type="dxa"/>
            <w:vAlign w:val="center"/>
          </w:tcPr>
          <w:p w14:paraId="576F4BB0" w14:textId="7D2F26B1"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580,865</w:t>
            </w:r>
          </w:p>
        </w:tc>
        <w:tc>
          <w:tcPr>
            <w:tcW w:w="1620" w:type="dxa"/>
            <w:vAlign w:val="center"/>
          </w:tcPr>
          <w:p w14:paraId="63B78417" w14:textId="2B292C32"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4,325</w:t>
            </w:r>
          </w:p>
        </w:tc>
      </w:tr>
      <w:tr w:rsidR="00421641" w:rsidRPr="003D77FD" w14:paraId="3D7C6042" w14:textId="77777777" w:rsidTr="0005664D">
        <w:trPr>
          <w:jc w:val="center"/>
        </w:trPr>
        <w:tc>
          <w:tcPr>
            <w:tcW w:w="3505" w:type="dxa"/>
          </w:tcPr>
          <w:p w14:paraId="200EC19D" w14:textId="2493853B"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Hardware</w:t>
            </w:r>
          </w:p>
        </w:tc>
        <w:tc>
          <w:tcPr>
            <w:tcW w:w="1620" w:type="dxa"/>
            <w:vAlign w:val="center"/>
          </w:tcPr>
          <w:p w14:paraId="71265E1A" w14:textId="2EFE554E"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1,066,945</w:t>
            </w:r>
          </w:p>
        </w:tc>
        <w:tc>
          <w:tcPr>
            <w:tcW w:w="1620" w:type="dxa"/>
            <w:vAlign w:val="center"/>
          </w:tcPr>
          <w:p w14:paraId="67F502E1" w14:textId="5BAD7FA8"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1,025,438</w:t>
            </w:r>
          </w:p>
        </w:tc>
      </w:tr>
      <w:tr w:rsidR="00421641" w:rsidRPr="003D77FD" w14:paraId="171EC05F" w14:textId="77777777" w:rsidTr="0005664D">
        <w:trPr>
          <w:jc w:val="center"/>
        </w:trPr>
        <w:tc>
          <w:tcPr>
            <w:tcW w:w="3505" w:type="dxa"/>
          </w:tcPr>
          <w:p w14:paraId="67859ABE" w14:textId="3335420B"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Furniture, crates</w:t>
            </w:r>
            <w:r w:rsidR="004D65B0" w:rsidRPr="003D77FD">
              <w:rPr>
                <w:rFonts w:ascii="Arial" w:hAnsi="Arial" w:cs="Arial"/>
                <w:sz w:val="18"/>
                <w:szCs w:val="18"/>
                <w:lang w:val="en-CA"/>
              </w:rPr>
              <w:t>,</w:t>
            </w:r>
            <w:r w:rsidRPr="003D77FD">
              <w:rPr>
                <w:rFonts w:ascii="Arial" w:hAnsi="Arial" w:cs="Arial"/>
                <w:sz w:val="18"/>
                <w:szCs w:val="18"/>
                <w:lang w:val="en-CA"/>
              </w:rPr>
              <w:t xml:space="preserve"> and cases</w:t>
            </w:r>
          </w:p>
        </w:tc>
        <w:tc>
          <w:tcPr>
            <w:tcW w:w="1620" w:type="dxa"/>
            <w:vAlign w:val="center"/>
          </w:tcPr>
          <w:p w14:paraId="0B8E51E7" w14:textId="2C30C20A"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135,858</w:t>
            </w:r>
          </w:p>
        </w:tc>
        <w:tc>
          <w:tcPr>
            <w:tcW w:w="1620" w:type="dxa"/>
            <w:vAlign w:val="center"/>
          </w:tcPr>
          <w:p w14:paraId="6DE8CD74" w14:textId="35166A36"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153,536</w:t>
            </w:r>
          </w:p>
        </w:tc>
      </w:tr>
      <w:tr w:rsidR="00421641" w:rsidRPr="003D77FD" w14:paraId="72E33CE7" w14:textId="77777777" w:rsidTr="0005664D">
        <w:trPr>
          <w:jc w:val="center"/>
        </w:trPr>
        <w:tc>
          <w:tcPr>
            <w:tcW w:w="3505" w:type="dxa"/>
          </w:tcPr>
          <w:p w14:paraId="11C6BF47" w14:textId="06E80D33"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Leasehold improvements</w:t>
            </w:r>
          </w:p>
        </w:tc>
        <w:tc>
          <w:tcPr>
            <w:tcW w:w="1620" w:type="dxa"/>
            <w:vAlign w:val="center"/>
          </w:tcPr>
          <w:p w14:paraId="10A4B434" w14:textId="09B03A0B"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26,614</w:t>
            </w:r>
          </w:p>
        </w:tc>
        <w:tc>
          <w:tcPr>
            <w:tcW w:w="1620" w:type="dxa"/>
            <w:vAlign w:val="center"/>
          </w:tcPr>
          <w:p w14:paraId="19A1E537" w14:textId="4E48C46D"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17,622</w:t>
            </w:r>
          </w:p>
        </w:tc>
      </w:tr>
      <w:tr w:rsidR="00421641" w:rsidRPr="003D77FD" w14:paraId="61CFE65D" w14:textId="77777777" w:rsidTr="0005664D">
        <w:trPr>
          <w:jc w:val="center"/>
        </w:trPr>
        <w:tc>
          <w:tcPr>
            <w:tcW w:w="3505" w:type="dxa"/>
          </w:tcPr>
          <w:p w14:paraId="12A46687"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Total fixed assets, net</w:t>
            </w:r>
          </w:p>
        </w:tc>
        <w:tc>
          <w:tcPr>
            <w:tcW w:w="1620" w:type="dxa"/>
            <w:vAlign w:val="center"/>
          </w:tcPr>
          <w:p w14:paraId="47FDFF37" w14:textId="3D0C5245"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1,810,282</w:t>
            </w:r>
          </w:p>
        </w:tc>
        <w:tc>
          <w:tcPr>
            <w:tcW w:w="1620" w:type="dxa"/>
            <w:vAlign w:val="center"/>
          </w:tcPr>
          <w:p w14:paraId="7634C754" w14:textId="6CBE9216"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1,200,921</w:t>
            </w:r>
          </w:p>
        </w:tc>
      </w:tr>
      <w:tr w:rsidR="00421641" w:rsidRPr="003D77FD" w14:paraId="101D1700" w14:textId="77777777" w:rsidTr="0005664D">
        <w:trPr>
          <w:jc w:val="center"/>
        </w:trPr>
        <w:tc>
          <w:tcPr>
            <w:tcW w:w="3505" w:type="dxa"/>
          </w:tcPr>
          <w:p w14:paraId="7FC55992"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Intangible assets</w:t>
            </w:r>
          </w:p>
        </w:tc>
        <w:tc>
          <w:tcPr>
            <w:tcW w:w="1620" w:type="dxa"/>
            <w:vAlign w:val="center"/>
          </w:tcPr>
          <w:p w14:paraId="510A236F" w14:textId="77777777" w:rsidR="00421641" w:rsidRPr="003D77FD" w:rsidRDefault="00421641" w:rsidP="0005664D">
            <w:pPr>
              <w:tabs>
                <w:tab w:val="left" w:pos="444"/>
                <w:tab w:val="right" w:pos="1974"/>
              </w:tabs>
              <w:jc w:val="right"/>
              <w:rPr>
                <w:rFonts w:ascii="Arial" w:hAnsi="Arial" w:cs="Arial"/>
                <w:sz w:val="18"/>
                <w:szCs w:val="18"/>
                <w:lang w:val="en-CA"/>
              </w:rPr>
            </w:pPr>
          </w:p>
        </w:tc>
        <w:tc>
          <w:tcPr>
            <w:tcW w:w="1620" w:type="dxa"/>
            <w:vAlign w:val="center"/>
          </w:tcPr>
          <w:p w14:paraId="0CFE3AA9" w14:textId="77777777" w:rsidR="00421641" w:rsidRPr="003D77FD" w:rsidRDefault="00421641" w:rsidP="0005664D">
            <w:pPr>
              <w:tabs>
                <w:tab w:val="left" w:pos="408"/>
                <w:tab w:val="right" w:pos="2028"/>
              </w:tabs>
              <w:jc w:val="right"/>
              <w:rPr>
                <w:rFonts w:ascii="Arial" w:hAnsi="Arial" w:cs="Arial"/>
                <w:sz w:val="18"/>
                <w:szCs w:val="18"/>
                <w:lang w:val="en-CA"/>
              </w:rPr>
            </w:pPr>
          </w:p>
        </w:tc>
      </w:tr>
      <w:tr w:rsidR="00421641" w:rsidRPr="003D77FD" w14:paraId="4AC24D88" w14:textId="77777777" w:rsidTr="0005664D">
        <w:trPr>
          <w:jc w:val="center"/>
        </w:trPr>
        <w:tc>
          <w:tcPr>
            <w:tcW w:w="3505" w:type="dxa"/>
          </w:tcPr>
          <w:p w14:paraId="470817EB"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Intellectual property</w:t>
            </w:r>
          </w:p>
        </w:tc>
        <w:tc>
          <w:tcPr>
            <w:tcW w:w="1620" w:type="dxa"/>
            <w:vAlign w:val="center"/>
          </w:tcPr>
          <w:p w14:paraId="1C8A5FB3" w14:textId="3D71B417"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220,917</w:t>
            </w:r>
          </w:p>
        </w:tc>
        <w:tc>
          <w:tcPr>
            <w:tcW w:w="1620" w:type="dxa"/>
            <w:vAlign w:val="center"/>
          </w:tcPr>
          <w:p w14:paraId="03861AE4" w14:textId="0F051153"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435,849</w:t>
            </w:r>
          </w:p>
        </w:tc>
      </w:tr>
      <w:tr w:rsidR="00421641" w:rsidRPr="003D77FD" w14:paraId="62C81FCC" w14:textId="77777777" w:rsidTr="0005664D">
        <w:trPr>
          <w:jc w:val="center"/>
        </w:trPr>
        <w:tc>
          <w:tcPr>
            <w:tcW w:w="3505" w:type="dxa"/>
          </w:tcPr>
          <w:p w14:paraId="1B2536CC"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Software</w:t>
            </w:r>
          </w:p>
        </w:tc>
        <w:tc>
          <w:tcPr>
            <w:tcW w:w="1620" w:type="dxa"/>
            <w:vAlign w:val="center"/>
          </w:tcPr>
          <w:p w14:paraId="7DB3E228" w14:textId="4B941135"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948,609</w:t>
            </w:r>
          </w:p>
        </w:tc>
        <w:tc>
          <w:tcPr>
            <w:tcW w:w="1620" w:type="dxa"/>
            <w:vAlign w:val="center"/>
          </w:tcPr>
          <w:p w14:paraId="78F8259E" w14:textId="2B0301CD"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521,587</w:t>
            </w:r>
          </w:p>
        </w:tc>
      </w:tr>
      <w:tr w:rsidR="00421641" w:rsidRPr="003D77FD" w14:paraId="479F0688" w14:textId="77777777" w:rsidTr="0005664D">
        <w:trPr>
          <w:jc w:val="center"/>
        </w:trPr>
        <w:tc>
          <w:tcPr>
            <w:tcW w:w="3505" w:type="dxa"/>
          </w:tcPr>
          <w:p w14:paraId="3278C9A0"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Total intangible assets</w:t>
            </w:r>
          </w:p>
        </w:tc>
        <w:tc>
          <w:tcPr>
            <w:tcW w:w="1620" w:type="dxa"/>
            <w:vAlign w:val="center"/>
          </w:tcPr>
          <w:p w14:paraId="5EDBC3E8" w14:textId="1461FD54"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1,169,526</w:t>
            </w:r>
          </w:p>
        </w:tc>
        <w:tc>
          <w:tcPr>
            <w:tcW w:w="1620" w:type="dxa"/>
            <w:vAlign w:val="center"/>
          </w:tcPr>
          <w:p w14:paraId="2FF791BF" w14:textId="40D5E0B3"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957,436</w:t>
            </w:r>
          </w:p>
        </w:tc>
      </w:tr>
      <w:tr w:rsidR="00421641" w:rsidRPr="003D77FD" w14:paraId="021FFCF8" w14:textId="77777777" w:rsidTr="0005664D">
        <w:trPr>
          <w:jc w:val="center"/>
        </w:trPr>
        <w:tc>
          <w:tcPr>
            <w:tcW w:w="3505" w:type="dxa"/>
          </w:tcPr>
          <w:p w14:paraId="3ACA6773" w14:textId="750BA80B"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 xml:space="preserve">Total </w:t>
            </w:r>
            <w:r w:rsidR="004D65B0" w:rsidRPr="003D77FD">
              <w:rPr>
                <w:rFonts w:ascii="Arial" w:hAnsi="Arial" w:cs="Arial"/>
                <w:b/>
                <w:sz w:val="18"/>
                <w:szCs w:val="18"/>
                <w:lang w:val="en-CA"/>
              </w:rPr>
              <w:t>assets</w:t>
            </w:r>
          </w:p>
        </w:tc>
        <w:tc>
          <w:tcPr>
            <w:tcW w:w="1620" w:type="dxa"/>
            <w:vAlign w:val="center"/>
          </w:tcPr>
          <w:p w14:paraId="01EF6AAB" w14:textId="6930E237" w:rsidR="00421641" w:rsidRPr="003D77FD" w:rsidRDefault="00421641" w:rsidP="0005664D">
            <w:pPr>
              <w:tabs>
                <w:tab w:val="left" w:pos="444"/>
                <w:tab w:val="right" w:pos="1974"/>
              </w:tabs>
              <w:jc w:val="right"/>
              <w:rPr>
                <w:rFonts w:ascii="Arial" w:hAnsi="Arial" w:cs="Arial"/>
                <w:b/>
                <w:sz w:val="18"/>
                <w:szCs w:val="18"/>
                <w:u w:val="double"/>
                <w:lang w:val="en-CA"/>
              </w:rPr>
            </w:pPr>
            <w:r w:rsidRPr="003D77FD">
              <w:rPr>
                <w:rFonts w:ascii="Arial" w:hAnsi="Arial" w:cs="Arial"/>
                <w:b/>
                <w:sz w:val="18"/>
                <w:szCs w:val="18"/>
                <w:u w:val="double"/>
                <w:lang w:val="en-CA"/>
              </w:rPr>
              <w:t>$4,090,566</w:t>
            </w:r>
          </w:p>
        </w:tc>
        <w:tc>
          <w:tcPr>
            <w:tcW w:w="1620" w:type="dxa"/>
            <w:vAlign w:val="center"/>
          </w:tcPr>
          <w:p w14:paraId="58DBC4F6" w14:textId="3A0303A4" w:rsidR="00421641" w:rsidRPr="003D77FD" w:rsidRDefault="00421641" w:rsidP="0005664D">
            <w:pPr>
              <w:tabs>
                <w:tab w:val="left" w:pos="408"/>
                <w:tab w:val="right" w:pos="2028"/>
              </w:tabs>
              <w:jc w:val="right"/>
              <w:rPr>
                <w:rFonts w:ascii="Arial" w:hAnsi="Arial" w:cs="Arial"/>
                <w:b/>
                <w:sz w:val="18"/>
                <w:szCs w:val="18"/>
                <w:u w:val="double"/>
                <w:lang w:val="en-CA"/>
              </w:rPr>
            </w:pPr>
            <w:r w:rsidRPr="003D77FD">
              <w:rPr>
                <w:rFonts w:ascii="Arial" w:hAnsi="Arial" w:cs="Arial"/>
                <w:b/>
                <w:sz w:val="18"/>
                <w:szCs w:val="18"/>
                <w:u w:val="double"/>
                <w:lang w:val="en-CA"/>
              </w:rPr>
              <w:t>$3,380,150</w:t>
            </w:r>
          </w:p>
        </w:tc>
      </w:tr>
      <w:tr w:rsidR="00421641" w:rsidRPr="003D77FD" w14:paraId="4803B0F7" w14:textId="77777777" w:rsidTr="00C22AF2">
        <w:trPr>
          <w:trHeight w:val="107"/>
          <w:jc w:val="center"/>
        </w:trPr>
        <w:tc>
          <w:tcPr>
            <w:tcW w:w="3505" w:type="dxa"/>
          </w:tcPr>
          <w:p w14:paraId="20387A48"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LIABILITIES</w:t>
            </w:r>
          </w:p>
        </w:tc>
        <w:tc>
          <w:tcPr>
            <w:tcW w:w="1620" w:type="dxa"/>
            <w:vAlign w:val="center"/>
          </w:tcPr>
          <w:p w14:paraId="31B7DAE0" w14:textId="77777777" w:rsidR="00421641" w:rsidRPr="003D77FD" w:rsidRDefault="00421641" w:rsidP="0005664D">
            <w:pPr>
              <w:tabs>
                <w:tab w:val="left" w:pos="444"/>
                <w:tab w:val="right" w:pos="1974"/>
              </w:tabs>
              <w:jc w:val="right"/>
              <w:rPr>
                <w:rFonts w:ascii="Arial" w:hAnsi="Arial" w:cs="Arial"/>
                <w:sz w:val="18"/>
                <w:szCs w:val="18"/>
                <w:lang w:val="en-CA"/>
              </w:rPr>
            </w:pPr>
          </w:p>
        </w:tc>
        <w:tc>
          <w:tcPr>
            <w:tcW w:w="1620" w:type="dxa"/>
            <w:vAlign w:val="center"/>
          </w:tcPr>
          <w:p w14:paraId="75548F20" w14:textId="77777777" w:rsidR="00421641" w:rsidRPr="003D77FD" w:rsidRDefault="00421641" w:rsidP="0005664D">
            <w:pPr>
              <w:tabs>
                <w:tab w:val="left" w:pos="408"/>
                <w:tab w:val="right" w:pos="2028"/>
              </w:tabs>
              <w:jc w:val="right"/>
              <w:rPr>
                <w:rFonts w:ascii="Arial" w:hAnsi="Arial" w:cs="Arial"/>
                <w:sz w:val="18"/>
                <w:szCs w:val="18"/>
                <w:lang w:val="en-CA"/>
              </w:rPr>
            </w:pPr>
          </w:p>
        </w:tc>
      </w:tr>
      <w:tr w:rsidR="00421641" w:rsidRPr="003D77FD" w14:paraId="4E0762FE" w14:textId="77777777" w:rsidTr="0005664D">
        <w:trPr>
          <w:jc w:val="center"/>
        </w:trPr>
        <w:tc>
          <w:tcPr>
            <w:tcW w:w="3505" w:type="dxa"/>
          </w:tcPr>
          <w:p w14:paraId="50A8D4C3"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Current liabilities</w:t>
            </w:r>
          </w:p>
        </w:tc>
        <w:tc>
          <w:tcPr>
            <w:tcW w:w="1620" w:type="dxa"/>
            <w:vAlign w:val="center"/>
          </w:tcPr>
          <w:p w14:paraId="77F71F4B" w14:textId="77777777" w:rsidR="00421641" w:rsidRPr="003D77FD" w:rsidRDefault="00421641" w:rsidP="0005664D">
            <w:pPr>
              <w:tabs>
                <w:tab w:val="left" w:pos="444"/>
                <w:tab w:val="right" w:pos="1974"/>
              </w:tabs>
              <w:jc w:val="right"/>
              <w:rPr>
                <w:rFonts w:ascii="Arial" w:hAnsi="Arial" w:cs="Arial"/>
                <w:sz w:val="18"/>
                <w:szCs w:val="18"/>
                <w:lang w:val="en-CA"/>
              </w:rPr>
            </w:pPr>
          </w:p>
        </w:tc>
        <w:tc>
          <w:tcPr>
            <w:tcW w:w="1620" w:type="dxa"/>
            <w:vAlign w:val="center"/>
          </w:tcPr>
          <w:p w14:paraId="5E787402" w14:textId="77777777" w:rsidR="00421641" w:rsidRPr="003D77FD" w:rsidRDefault="00421641" w:rsidP="0005664D">
            <w:pPr>
              <w:tabs>
                <w:tab w:val="left" w:pos="408"/>
                <w:tab w:val="right" w:pos="2028"/>
              </w:tabs>
              <w:jc w:val="right"/>
              <w:rPr>
                <w:rFonts w:ascii="Arial" w:hAnsi="Arial" w:cs="Arial"/>
                <w:sz w:val="18"/>
                <w:szCs w:val="18"/>
                <w:lang w:val="en-CA"/>
              </w:rPr>
            </w:pPr>
          </w:p>
        </w:tc>
      </w:tr>
      <w:tr w:rsidR="00421641" w:rsidRPr="003D77FD" w14:paraId="66BAC85E" w14:textId="77777777" w:rsidTr="0005664D">
        <w:trPr>
          <w:jc w:val="center"/>
        </w:trPr>
        <w:tc>
          <w:tcPr>
            <w:tcW w:w="3505" w:type="dxa"/>
          </w:tcPr>
          <w:p w14:paraId="0C6D8431" w14:textId="06F8D8E8"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Bank indebtedness</w:t>
            </w:r>
          </w:p>
        </w:tc>
        <w:tc>
          <w:tcPr>
            <w:tcW w:w="1620" w:type="dxa"/>
            <w:vAlign w:val="center"/>
          </w:tcPr>
          <w:p w14:paraId="6074FE13" w14:textId="4302B2C3"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$29,429</w:t>
            </w:r>
          </w:p>
        </w:tc>
        <w:tc>
          <w:tcPr>
            <w:tcW w:w="1620" w:type="dxa"/>
            <w:vAlign w:val="center"/>
          </w:tcPr>
          <w:p w14:paraId="03441A8A" w14:textId="61280A87"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$24</w:t>
            </w:r>
          </w:p>
        </w:tc>
      </w:tr>
      <w:tr w:rsidR="00421641" w:rsidRPr="003D77FD" w14:paraId="67B1A024" w14:textId="77777777" w:rsidTr="0005664D">
        <w:trPr>
          <w:jc w:val="center"/>
        </w:trPr>
        <w:tc>
          <w:tcPr>
            <w:tcW w:w="3505" w:type="dxa"/>
          </w:tcPr>
          <w:p w14:paraId="26A5ACBF" w14:textId="1714CE5A"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Accounts payable</w:t>
            </w:r>
          </w:p>
        </w:tc>
        <w:tc>
          <w:tcPr>
            <w:tcW w:w="1620" w:type="dxa"/>
            <w:vAlign w:val="center"/>
          </w:tcPr>
          <w:p w14:paraId="3CE0E9C3" w14:textId="1F61AA47"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695,069</w:t>
            </w:r>
          </w:p>
        </w:tc>
        <w:tc>
          <w:tcPr>
            <w:tcW w:w="1620" w:type="dxa"/>
            <w:vAlign w:val="center"/>
          </w:tcPr>
          <w:p w14:paraId="1B74B788" w14:textId="3CC05CA5"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407,168</w:t>
            </w:r>
          </w:p>
        </w:tc>
      </w:tr>
      <w:tr w:rsidR="00421641" w:rsidRPr="003D77FD" w14:paraId="74C54346" w14:textId="77777777" w:rsidTr="0005664D">
        <w:trPr>
          <w:jc w:val="center"/>
        </w:trPr>
        <w:tc>
          <w:tcPr>
            <w:tcW w:w="3505" w:type="dxa"/>
          </w:tcPr>
          <w:p w14:paraId="245966B6" w14:textId="2C282096"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Due to a shareholder</w:t>
            </w:r>
          </w:p>
        </w:tc>
        <w:tc>
          <w:tcPr>
            <w:tcW w:w="1620" w:type="dxa"/>
            <w:vAlign w:val="center"/>
          </w:tcPr>
          <w:p w14:paraId="14C62199" w14:textId="2941C18D"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118,628</w:t>
            </w:r>
          </w:p>
        </w:tc>
        <w:tc>
          <w:tcPr>
            <w:tcW w:w="1620" w:type="dxa"/>
            <w:vAlign w:val="center"/>
          </w:tcPr>
          <w:p w14:paraId="10039705" w14:textId="2F929F18"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301,402</w:t>
            </w:r>
          </w:p>
        </w:tc>
      </w:tr>
      <w:tr w:rsidR="00421641" w:rsidRPr="003D77FD" w14:paraId="6EB42593" w14:textId="77777777" w:rsidTr="0005664D">
        <w:trPr>
          <w:jc w:val="center"/>
        </w:trPr>
        <w:tc>
          <w:tcPr>
            <w:tcW w:w="3505" w:type="dxa"/>
          </w:tcPr>
          <w:p w14:paraId="4EB2D7EE"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Total current liabilities</w:t>
            </w:r>
          </w:p>
        </w:tc>
        <w:tc>
          <w:tcPr>
            <w:tcW w:w="1620" w:type="dxa"/>
            <w:vAlign w:val="center"/>
          </w:tcPr>
          <w:p w14:paraId="3E1296E9" w14:textId="159BF30C"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843,126</w:t>
            </w:r>
          </w:p>
        </w:tc>
        <w:tc>
          <w:tcPr>
            <w:tcW w:w="1620" w:type="dxa"/>
            <w:vAlign w:val="center"/>
          </w:tcPr>
          <w:p w14:paraId="6A342D20" w14:textId="61F37CCC"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708,594</w:t>
            </w:r>
          </w:p>
        </w:tc>
      </w:tr>
      <w:tr w:rsidR="00421641" w:rsidRPr="003D77FD" w14:paraId="23001578" w14:textId="77777777" w:rsidTr="0005664D">
        <w:trPr>
          <w:jc w:val="center"/>
        </w:trPr>
        <w:tc>
          <w:tcPr>
            <w:tcW w:w="3505" w:type="dxa"/>
          </w:tcPr>
          <w:p w14:paraId="10126966"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Long-term liabilities</w:t>
            </w:r>
          </w:p>
        </w:tc>
        <w:tc>
          <w:tcPr>
            <w:tcW w:w="1620" w:type="dxa"/>
            <w:vAlign w:val="center"/>
          </w:tcPr>
          <w:p w14:paraId="2D621E3C" w14:textId="77777777" w:rsidR="00421641" w:rsidRPr="003D77FD" w:rsidRDefault="00421641" w:rsidP="0005664D">
            <w:pPr>
              <w:tabs>
                <w:tab w:val="left" w:pos="444"/>
                <w:tab w:val="right" w:pos="1974"/>
              </w:tabs>
              <w:jc w:val="right"/>
              <w:rPr>
                <w:rFonts w:ascii="Arial" w:hAnsi="Arial" w:cs="Arial"/>
                <w:sz w:val="18"/>
                <w:szCs w:val="18"/>
                <w:lang w:val="en-CA"/>
              </w:rPr>
            </w:pPr>
          </w:p>
        </w:tc>
        <w:tc>
          <w:tcPr>
            <w:tcW w:w="1620" w:type="dxa"/>
            <w:vAlign w:val="center"/>
          </w:tcPr>
          <w:p w14:paraId="282EB5C5" w14:textId="77777777" w:rsidR="00421641" w:rsidRPr="003D77FD" w:rsidRDefault="00421641" w:rsidP="0005664D">
            <w:pPr>
              <w:tabs>
                <w:tab w:val="left" w:pos="408"/>
                <w:tab w:val="right" w:pos="2028"/>
              </w:tabs>
              <w:jc w:val="right"/>
              <w:rPr>
                <w:rFonts w:ascii="Arial" w:hAnsi="Arial" w:cs="Arial"/>
                <w:sz w:val="18"/>
                <w:szCs w:val="18"/>
                <w:lang w:val="en-CA"/>
              </w:rPr>
            </w:pPr>
          </w:p>
        </w:tc>
      </w:tr>
      <w:tr w:rsidR="00421641" w:rsidRPr="003D77FD" w14:paraId="79BDC7BA" w14:textId="77777777" w:rsidTr="0005664D">
        <w:trPr>
          <w:jc w:val="center"/>
        </w:trPr>
        <w:tc>
          <w:tcPr>
            <w:tcW w:w="3505" w:type="dxa"/>
          </w:tcPr>
          <w:p w14:paraId="55445A55" w14:textId="23429B03"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Long-term debt</w:t>
            </w:r>
          </w:p>
        </w:tc>
        <w:tc>
          <w:tcPr>
            <w:tcW w:w="1620" w:type="dxa"/>
            <w:vAlign w:val="center"/>
          </w:tcPr>
          <w:p w14:paraId="3A4A627E" w14:textId="41ECA48A"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1,995,065</w:t>
            </w:r>
          </w:p>
        </w:tc>
        <w:tc>
          <w:tcPr>
            <w:tcW w:w="1620" w:type="dxa"/>
            <w:vAlign w:val="center"/>
          </w:tcPr>
          <w:p w14:paraId="52B16007" w14:textId="2E34FCCB"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1,202,530</w:t>
            </w:r>
          </w:p>
        </w:tc>
      </w:tr>
      <w:tr w:rsidR="00421641" w:rsidRPr="003D77FD" w14:paraId="03A3E2DA" w14:textId="77777777" w:rsidTr="0005664D">
        <w:trPr>
          <w:jc w:val="center"/>
        </w:trPr>
        <w:tc>
          <w:tcPr>
            <w:tcW w:w="3505" w:type="dxa"/>
          </w:tcPr>
          <w:p w14:paraId="00A42CF3" w14:textId="4812A7B5"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Shareholder loan</w:t>
            </w:r>
          </w:p>
        </w:tc>
        <w:tc>
          <w:tcPr>
            <w:tcW w:w="1620" w:type="dxa"/>
            <w:vAlign w:val="center"/>
          </w:tcPr>
          <w:p w14:paraId="355D1BDA" w14:textId="3BD09C88"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523,000</w:t>
            </w:r>
          </w:p>
        </w:tc>
        <w:tc>
          <w:tcPr>
            <w:tcW w:w="1620" w:type="dxa"/>
            <w:vAlign w:val="center"/>
          </w:tcPr>
          <w:p w14:paraId="50024F2A" w14:textId="07BDDBCF"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523,000</w:t>
            </w:r>
          </w:p>
        </w:tc>
      </w:tr>
      <w:tr w:rsidR="00421641" w:rsidRPr="003D77FD" w14:paraId="6578ABA9" w14:textId="77777777" w:rsidTr="0005664D">
        <w:trPr>
          <w:jc w:val="center"/>
        </w:trPr>
        <w:tc>
          <w:tcPr>
            <w:tcW w:w="3505" w:type="dxa"/>
          </w:tcPr>
          <w:p w14:paraId="4142863C"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Total long-term liabilities</w:t>
            </w:r>
          </w:p>
        </w:tc>
        <w:tc>
          <w:tcPr>
            <w:tcW w:w="1620" w:type="dxa"/>
            <w:vAlign w:val="center"/>
          </w:tcPr>
          <w:p w14:paraId="302478C0" w14:textId="25853BB6" w:rsidR="00421641" w:rsidRPr="003D77FD" w:rsidRDefault="00421641" w:rsidP="0005664D">
            <w:pPr>
              <w:tabs>
                <w:tab w:val="left" w:pos="444"/>
                <w:tab w:val="right" w:pos="1974"/>
              </w:tabs>
              <w:jc w:val="right"/>
              <w:rPr>
                <w:rFonts w:ascii="Arial" w:hAnsi="Arial" w:cs="Arial"/>
                <w:sz w:val="18"/>
                <w:szCs w:val="18"/>
                <w:u w:val="single"/>
                <w:lang w:val="en-CA"/>
              </w:rPr>
            </w:pPr>
            <w:r w:rsidRPr="003D77FD">
              <w:rPr>
                <w:rFonts w:ascii="Arial" w:hAnsi="Arial" w:cs="Arial"/>
                <w:sz w:val="18"/>
                <w:szCs w:val="18"/>
                <w:u w:val="single"/>
                <w:lang w:val="en-CA"/>
              </w:rPr>
              <w:t>2,518,065</w:t>
            </w:r>
          </w:p>
        </w:tc>
        <w:tc>
          <w:tcPr>
            <w:tcW w:w="1620" w:type="dxa"/>
            <w:vAlign w:val="center"/>
          </w:tcPr>
          <w:p w14:paraId="02392623" w14:textId="200B547C" w:rsidR="00421641" w:rsidRPr="003D77FD" w:rsidRDefault="00421641" w:rsidP="0005664D">
            <w:pPr>
              <w:tabs>
                <w:tab w:val="left" w:pos="408"/>
                <w:tab w:val="right" w:pos="2028"/>
              </w:tabs>
              <w:jc w:val="right"/>
              <w:rPr>
                <w:rFonts w:ascii="Arial" w:hAnsi="Arial" w:cs="Arial"/>
                <w:sz w:val="18"/>
                <w:szCs w:val="18"/>
                <w:u w:val="single"/>
                <w:lang w:val="en-CA"/>
              </w:rPr>
            </w:pPr>
            <w:r w:rsidRPr="003D77FD">
              <w:rPr>
                <w:rFonts w:ascii="Arial" w:hAnsi="Arial" w:cs="Arial"/>
                <w:sz w:val="18"/>
                <w:szCs w:val="18"/>
                <w:u w:val="single"/>
                <w:lang w:val="en-CA"/>
              </w:rPr>
              <w:t>1,725,530</w:t>
            </w:r>
          </w:p>
        </w:tc>
      </w:tr>
      <w:tr w:rsidR="00421641" w:rsidRPr="003D77FD" w14:paraId="6A27671A" w14:textId="77777777" w:rsidTr="0005664D">
        <w:trPr>
          <w:jc w:val="center"/>
        </w:trPr>
        <w:tc>
          <w:tcPr>
            <w:tcW w:w="3505" w:type="dxa"/>
          </w:tcPr>
          <w:p w14:paraId="615E4CE9"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Total liabilities</w:t>
            </w:r>
          </w:p>
        </w:tc>
        <w:tc>
          <w:tcPr>
            <w:tcW w:w="1620" w:type="dxa"/>
            <w:vAlign w:val="center"/>
          </w:tcPr>
          <w:p w14:paraId="79B9614E" w14:textId="7676A917" w:rsidR="00421641" w:rsidRPr="003D77FD" w:rsidRDefault="00421641" w:rsidP="0005664D">
            <w:pPr>
              <w:tabs>
                <w:tab w:val="left" w:pos="444"/>
                <w:tab w:val="right" w:pos="1974"/>
              </w:tabs>
              <w:jc w:val="right"/>
              <w:rPr>
                <w:rFonts w:ascii="Arial" w:hAnsi="Arial" w:cs="Arial"/>
                <w:b/>
                <w:sz w:val="18"/>
                <w:szCs w:val="18"/>
                <w:u w:val="single"/>
                <w:lang w:val="en-CA"/>
              </w:rPr>
            </w:pPr>
            <w:r w:rsidRPr="003D77FD">
              <w:rPr>
                <w:rFonts w:ascii="Arial" w:hAnsi="Arial" w:cs="Arial"/>
                <w:b/>
                <w:sz w:val="18"/>
                <w:szCs w:val="18"/>
                <w:u w:val="single"/>
                <w:lang w:val="en-CA"/>
              </w:rPr>
              <w:t>3,361,191</w:t>
            </w:r>
          </w:p>
        </w:tc>
        <w:tc>
          <w:tcPr>
            <w:tcW w:w="1620" w:type="dxa"/>
            <w:vAlign w:val="center"/>
          </w:tcPr>
          <w:p w14:paraId="57D6E54C" w14:textId="5C73B934" w:rsidR="00421641" w:rsidRPr="003D77FD" w:rsidRDefault="00421641" w:rsidP="0005664D">
            <w:pPr>
              <w:tabs>
                <w:tab w:val="left" w:pos="408"/>
                <w:tab w:val="right" w:pos="2028"/>
              </w:tabs>
              <w:jc w:val="right"/>
              <w:rPr>
                <w:rFonts w:ascii="Arial" w:hAnsi="Arial" w:cs="Arial"/>
                <w:b/>
                <w:sz w:val="18"/>
                <w:szCs w:val="18"/>
                <w:u w:val="single"/>
                <w:lang w:val="en-CA"/>
              </w:rPr>
            </w:pPr>
            <w:r w:rsidRPr="003D77FD">
              <w:rPr>
                <w:rFonts w:ascii="Arial" w:hAnsi="Arial" w:cs="Arial"/>
                <w:b/>
                <w:sz w:val="18"/>
                <w:szCs w:val="18"/>
                <w:u w:val="single"/>
                <w:lang w:val="en-CA"/>
              </w:rPr>
              <w:t>2,434,124</w:t>
            </w:r>
          </w:p>
        </w:tc>
      </w:tr>
      <w:tr w:rsidR="00421641" w:rsidRPr="003D77FD" w14:paraId="6E434D6C" w14:textId="77777777" w:rsidTr="0005664D">
        <w:trPr>
          <w:jc w:val="center"/>
        </w:trPr>
        <w:tc>
          <w:tcPr>
            <w:tcW w:w="3505" w:type="dxa"/>
          </w:tcPr>
          <w:p w14:paraId="04AB5021"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EQUITY</w:t>
            </w:r>
          </w:p>
        </w:tc>
        <w:tc>
          <w:tcPr>
            <w:tcW w:w="1620" w:type="dxa"/>
            <w:vAlign w:val="center"/>
          </w:tcPr>
          <w:p w14:paraId="3B2DA2E2" w14:textId="77777777" w:rsidR="00421641" w:rsidRPr="003D77FD" w:rsidRDefault="00421641" w:rsidP="0005664D">
            <w:pPr>
              <w:tabs>
                <w:tab w:val="left" w:pos="444"/>
                <w:tab w:val="right" w:pos="1974"/>
              </w:tabs>
              <w:jc w:val="right"/>
              <w:rPr>
                <w:rFonts w:ascii="Arial" w:hAnsi="Arial" w:cs="Arial"/>
                <w:sz w:val="18"/>
                <w:szCs w:val="18"/>
                <w:lang w:val="en-CA"/>
              </w:rPr>
            </w:pPr>
          </w:p>
        </w:tc>
        <w:tc>
          <w:tcPr>
            <w:tcW w:w="1620" w:type="dxa"/>
            <w:vAlign w:val="center"/>
          </w:tcPr>
          <w:p w14:paraId="60CE87F9" w14:textId="77777777" w:rsidR="00421641" w:rsidRPr="003D77FD" w:rsidRDefault="00421641" w:rsidP="0005664D">
            <w:pPr>
              <w:tabs>
                <w:tab w:val="left" w:pos="408"/>
                <w:tab w:val="right" w:pos="2028"/>
              </w:tabs>
              <w:jc w:val="right"/>
              <w:rPr>
                <w:rFonts w:ascii="Arial" w:hAnsi="Arial" w:cs="Arial"/>
                <w:sz w:val="18"/>
                <w:szCs w:val="18"/>
                <w:lang w:val="en-CA"/>
              </w:rPr>
            </w:pPr>
          </w:p>
        </w:tc>
      </w:tr>
      <w:tr w:rsidR="00421641" w:rsidRPr="003D77FD" w14:paraId="75734AB5" w14:textId="77777777" w:rsidTr="0005664D">
        <w:trPr>
          <w:jc w:val="center"/>
        </w:trPr>
        <w:tc>
          <w:tcPr>
            <w:tcW w:w="3505" w:type="dxa"/>
          </w:tcPr>
          <w:p w14:paraId="26FE0CA4" w14:textId="58B11092"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Retained earnings</w:t>
            </w:r>
          </w:p>
        </w:tc>
        <w:tc>
          <w:tcPr>
            <w:tcW w:w="1620" w:type="dxa"/>
            <w:vAlign w:val="center"/>
          </w:tcPr>
          <w:p w14:paraId="7B37B256" w14:textId="707F311C"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729,375</w:t>
            </w:r>
          </w:p>
        </w:tc>
        <w:tc>
          <w:tcPr>
            <w:tcW w:w="1620" w:type="dxa"/>
            <w:vAlign w:val="center"/>
          </w:tcPr>
          <w:p w14:paraId="22C18761" w14:textId="773870B6"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946,026</w:t>
            </w:r>
          </w:p>
        </w:tc>
      </w:tr>
      <w:tr w:rsidR="00421641" w:rsidRPr="003D77FD" w14:paraId="455AF6CB" w14:textId="77777777" w:rsidTr="0005664D">
        <w:trPr>
          <w:jc w:val="center"/>
        </w:trPr>
        <w:tc>
          <w:tcPr>
            <w:tcW w:w="3505" w:type="dxa"/>
          </w:tcPr>
          <w:p w14:paraId="630603FA"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Total equity</w:t>
            </w:r>
          </w:p>
        </w:tc>
        <w:tc>
          <w:tcPr>
            <w:tcW w:w="1620" w:type="dxa"/>
            <w:vAlign w:val="center"/>
          </w:tcPr>
          <w:p w14:paraId="78D38255" w14:textId="4781A18D" w:rsidR="00421641" w:rsidRPr="003D77FD" w:rsidRDefault="00421641" w:rsidP="0005664D">
            <w:pPr>
              <w:tabs>
                <w:tab w:val="left" w:pos="444"/>
                <w:tab w:val="right" w:pos="1974"/>
              </w:tabs>
              <w:jc w:val="right"/>
              <w:rPr>
                <w:rFonts w:ascii="Arial" w:hAnsi="Arial" w:cs="Arial"/>
                <w:sz w:val="18"/>
                <w:szCs w:val="18"/>
                <w:lang w:val="en-CA"/>
              </w:rPr>
            </w:pPr>
            <w:r w:rsidRPr="003D77FD">
              <w:rPr>
                <w:rFonts w:ascii="Arial" w:hAnsi="Arial" w:cs="Arial"/>
                <w:sz w:val="18"/>
                <w:szCs w:val="18"/>
                <w:lang w:val="en-CA"/>
              </w:rPr>
              <w:t>729,375</w:t>
            </w:r>
          </w:p>
        </w:tc>
        <w:tc>
          <w:tcPr>
            <w:tcW w:w="1620" w:type="dxa"/>
            <w:vAlign w:val="center"/>
          </w:tcPr>
          <w:p w14:paraId="653BE206" w14:textId="693418BE" w:rsidR="00421641" w:rsidRPr="003D77FD" w:rsidRDefault="00421641" w:rsidP="0005664D">
            <w:pPr>
              <w:tabs>
                <w:tab w:val="left" w:pos="408"/>
                <w:tab w:val="right" w:pos="2028"/>
              </w:tabs>
              <w:jc w:val="right"/>
              <w:rPr>
                <w:rFonts w:ascii="Arial" w:hAnsi="Arial" w:cs="Arial"/>
                <w:sz w:val="18"/>
                <w:szCs w:val="18"/>
                <w:lang w:val="en-CA"/>
              </w:rPr>
            </w:pPr>
            <w:r w:rsidRPr="003D77FD">
              <w:rPr>
                <w:rFonts w:ascii="Arial" w:hAnsi="Arial" w:cs="Arial"/>
                <w:sz w:val="18"/>
                <w:szCs w:val="18"/>
                <w:lang w:val="en-CA"/>
              </w:rPr>
              <w:t>946,026</w:t>
            </w:r>
          </w:p>
        </w:tc>
      </w:tr>
      <w:tr w:rsidR="00421641" w:rsidRPr="003D77FD" w14:paraId="799B5D79" w14:textId="77777777" w:rsidTr="0005664D">
        <w:trPr>
          <w:jc w:val="center"/>
        </w:trPr>
        <w:tc>
          <w:tcPr>
            <w:tcW w:w="3505" w:type="dxa"/>
          </w:tcPr>
          <w:p w14:paraId="4DBA91D4" w14:textId="77777777" w:rsidR="00421641" w:rsidRPr="003D77FD" w:rsidRDefault="00421641" w:rsidP="00421641">
            <w:pPr>
              <w:jc w:val="both"/>
              <w:rPr>
                <w:rFonts w:ascii="Arial" w:hAnsi="Arial" w:cs="Arial"/>
                <w:b/>
                <w:sz w:val="18"/>
                <w:szCs w:val="18"/>
                <w:lang w:val="en-CA"/>
              </w:rPr>
            </w:pPr>
            <w:r w:rsidRPr="003D77FD">
              <w:rPr>
                <w:rFonts w:ascii="Arial" w:hAnsi="Arial" w:cs="Arial"/>
                <w:b/>
                <w:sz w:val="18"/>
                <w:szCs w:val="18"/>
                <w:lang w:val="en-CA"/>
              </w:rPr>
              <w:t>TOTAL LIABILITIES AND EQUITY</w:t>
            </w:r>
          </w:p>
        </w:tc>
        <w:tc>
          <w:tcPr>
            <w:tcW w:w="1620" w:type="dxa"/>
            <w:vAlign w:val="center"/>
          </w:tcPr>
          <w:p w14:paraId="097941D1" w14:textId="49697131" w:rsidR="00421641" w:rsidRPr="003D77FD" w:rsidRDefault="00421641" w:rsidP="0005664D">
            <w:pPr>
              <w:tabs>
                <w:tab w:val="left" w:pos="444"/>
                <w:tab w:val="right" w:pos="1974"/>
              </w:tabs>
              <w:jc w:val="right"/>
              <w:rPr>
                <w:rFonts w:ascii="Arial" w:hAnsi="Arial" w:cs="Arial"/>
                <w:b/>
                <w:sz w:val="18"/>
                <w:szCs w:val="18"/>
                <w:u w:val="double"/>
                <w:lang w:val="en-CA"/>
              </w:rPr>
            </w:pPr>
            <w:r w:rsidRPr="003D77FD">
              <w:rPr>
                <w:rFonts w:ascii="Arial" w:hAnsi="Arial" w:cs="Arial"/>
                <w:b/>
                <w:sz w:val="18"/>
                <w:szCs w:val="18"/>
                <w:u w:val="double"/>
                <w:lang w:val="en-CA"/>
              </w:rPr>
              <w:t>$4,090,566</w:t>
            </w:r>
          </w:p>
        </w:tc>
        <w:tc>
          <w:tcPr>
            <w:tcW w:w="1620" w:type="dxa"/>
            <w:vAlign w:val="center"/>
          </w:tcPr>
          <w:p w14:paraId="0BDEB390" w14:textId="6CBB1614" w:rsidR="00421641" w:rsidRPr="003D77FD" w:rsidRDefault="00421641" w:rsidP="0005664D">
            <w:pPr>
              <w:tabs>
                <w:tab w:val="left" w:pos="408"/>
                <w:tab w:val="right" w:pos="2028"/>
              </w:tabs>
              <w:jc w:val="right"/>
              <w:rPr>
                <w:rFonts w:ascii="Arial" w:hAnsi="Arial" w:cs="Arial"/>
                <w:b/>
                <w:sz w:val="18"/>
                <w:szCs w:val="18"/>
                <w:u w:val="double"/>
                <w:lang w:val="en-CA"/>
              </w:rPr>
            </w:pPr>
            <w:r w:rsidRPr="003D77FD">
              <w:rPr>
                <w:rFonts w:ascii="Arial" w:hAnsi="Arial" w:cs="Arial"/>
                <w:b/>
                <w:sz w:val="18"/>
                <w:szCs w:val="18"/>
                <w:u w:val="double"/>
                <w:lang w:val="en-CA"/>
              </w:rPr>
              <w:t>$3,380,150</w:t>
            </w:r>
          </w:p>
        </w:tc>
      </w:tr>
    </w:tbl>
    <w:p w14:paraId="4C301828" w14:textId="77777777" w:rsidR="00421641" w:rsidRPr="003D77FD" w:rsidRDefault="00421641" w:rsidP="00AB6FAB">
      <w:pPr>
        <w:pStyle w:val="ExhibitText"/>
        <w:rPr>
          <w:sz w:val="12"/>
          <w:szCs w:val="12"/>
          <w:lang w:val="en-CA"/>
        </w:rPr>
      </w:pPr>
    </w:p>
    <w:p w14:paraId="7711659C" w14:textId="121C3C50" w:rsidR="00421641" w:rsidRPr="003D77FD" w:rsidRDefault="00421641" w:rsidP="00AB6FAB">
      <w:pPr>
        <w:pStyle w:val="Footnote"/>
        <w:rPr>
          <w:lang w:val="en-CA"/>
        </w:rPr>
      </w:pPr>
      <w:r w:rsidRPr="003D77FD">
        <w:rPr>
          <w:lang w:val="en-CA"/>
        </w:rPr>
        <w:t>Source: Company documents.</w:t>
      </w:r>
    </w:p>
    <w:p w14:paraId="60427A97" w14:textId="553BF953" w:rsidR="00AB6FAB" w:rsidRPr="003D77FD" w:rsidRDefault="00AB6FAB" w:rsidP="00C22AF2">
      <w:pPr>
        <w:pStyle w:val="ExhibitText"/>
        <w:rPr>
          <w:sz w:val="12"/>
          <w:szCs w:val="12"/>
          <w:lang w:val="en-CA"/>
        </w:rPr>
      </w:pPr>
    </w:p>
    <w:p w14:paraId="78D8DAC9" w14:textId="4D8239E3" w:rsidR="00AB6FAB" w:rsidRPr="003D77FD" w:rsidRDefault="00AB6FAB" w:rsidP="00C22AF2">
      <w:pPr>
        <w:pStyle w:val="ExhibitText"/>
        <w:rPr>
          <w:sz w:val="12"/>
          <w:szCs w:val="12"/>
          <w:lang w:val="en-CA"/>
        </w:rPr>
      </w:pPr>
    </w:p>
    <w:p w14:paraId="7173FACB" w14:textId="77777777" w:rsidR="00421641" w:rsidRPr="003D77FD" w:rsidRDefault="00421641" w:rsidP="00421641">
      <w:pPr>
        <w:jc w:val="center"/>
        <w:rPr>
          <w:rFonts w:ascii="Arial" w:hAnsi="Arial" w:cs="Arial"/>
          <w:b/>
          <w:caps/>
          <w:lang w:val="en-CA"/>
        </w:rPr>
      </w:pPr>
      <w:r w:rsidRPr="003D77FD">
        <w:rPr>
          <w:rFonts w:ascii="Arial" w:hAnsi="Arial" w:cs="Arial"/>
          <w:b/>
          <w:caps/>
          <w:lang w:val="en-CA"/>
        </w:rPr>
        <w:t>Exhibit 4: Intellitix FINANCIAL RATIOS</w:t>
      </w:r>
    </w:p>
    <w:p w14:paraId="096937F5" w14:textId="77777777" w:rsidR="00421641" w:rsidRPr="003D77FD" w:rsidRDefault="00421641" w:rsidP="00421641">
      <w:pPr>
        <w:jc w:val="both"/>
        <w:rPr>
          <w:rFonts w:ascii="Arial" w:hAnsi="Arial" w:cs="Arial"/>
          <w:b/>
          <w:sz w:val="12"/>
          <w:szCs w:val="12"/>
          <w:lang w:val="en-CA"/>
        </w:rPr>
      </w:pPr>
    </w:p>
    <w:tbl>
      <w:tblPr>
        <w:tblStyle w:val="TableGrid"/>
        <w:tblW w:w="0" w:type="auto"/>
        <w:jc w:val="center"/>
        <w:tblLook w:val="04A0" w:firstRow="1" w:lastRow="0" w:firstColumn="1" w:lastColumn="0" w:noHBand="0" w:noVBand="1"/>
      </w:tblPr>
      <w:tblGrid>
        <w:gridCol w:w="2695"/>
        <w:gridCol w:w="1530"/>
        <w:gridCol w:w="1350"/>
      </w:tblGrid>
      <w:tr w:rsidR="00421641" w:rsidRPr="003D77FD" w14:paraId="1815A9D8" w14:textId="77777777" w:rsidTr="00C22AF2">
        <w:trPr>
          <w:trHeight w:val="56"/>
          <w:jc w:val="center"/>
        </w:trPr>
        <w:tc>
          <w:tcPr>
            <w:tcW w:w="2695" w:type="dxa"/>
          </w:tcPr>
          <w:p w14:paraId="24946F5F" w14:textId="77777777" w:rsidR="00421641" w:rsidRPr="003D77FD" w:rsidRDefault="00421641" w:rsidP="00421641">
            <w:pPr>
              <w:jc w:val="both"/>
              <w:rPr>
                <w:rFonts w:ascii="Arial" w:hAnsi="Arial" w:cs="Arial"/>
                <w:sz w:val="18"/>
                <w:szCs w:val="18"/>
                <w:lang w:val="en-CA"/>
              </w:rPr>
            </w:pPr>
          </w:p>
        </w:tc>
        <w:tc>
          <w:tcPr>
            <w:tcW w:w="1530" w:type="dxa"/>
          </w:tcPr>
          <w:p w14:paraId="6D816048" w14:textId="77777777" w:rsidR="00421641" w:rsidRPr="003D77FD" w:rsidRDefault="00421641" w:rsidP="00421641">
            <w:pPr>
              <w:jc w:val="center"/>
              <w:rPr>
                <w:rFonts w:ascii="Arial" w:hAnsi="Arial" w:cs="Arial"/>
                <w:b/>
                <w:sz w:val="18"/>
                <w:szCs w:val="18"/>
                <w:lang w:val="en-CA"/>
              </w:rPr>
            </w:pPr>
            <w:r w:rsidRPr="003D77FD">
              <w:rPr>
                <w:rFonts w:ascii="Arial" w:hAnsi="Arial" w:cs="Arial"/>
                <w:b/>
                <w:sz w:val="18"/>
                <w:szCs w:val="18"/>
                <w:lang w:val="en-CA"/>
              </w:rPr>
              <w:t>2015</w:t>
            </w:r>
          </w:p>
        </w:tc>
        <w:tc>
          <w:tcPr>
            <w:tcW w:w="1350" w:type="dxa"/>
          </w:tcPr>
          <w:p w14:paraId="1757A305" w14:textId="77777777" w:rsidR="00421641" w:rsidRPr="003D77FD" w:rsidRDefault="00421641" w:rsidP="00421641">
            <w:pPr>
              <w:jc w:val="center"/>
              <w:rPr>
                <w:rFonts w:ascii="Arial" w:hAnsi="Arial" w:cs="Arial"/>
                <w:b/>
                <w:sz w:val="18"/>
                <w:szCs w:val="18"/>
                <w:lang w:val="en-CA"/>
              </w:rPr>
            </w:pPr>
            <w:r w:rsidRPr="003D77FD">
              <w:rPr>
                <w:rFonts w:ascii="Arial" w:hAnsi="Arial" w:cs="Arial"/>
                <w:b/>
                <w:sz w:val="18"/>
                <w:szCs w:val="18"/>
                <w:lang w:val="en-CA"/>
              </w:rPr>
              <w:t>2014</w:t>
            </w:r>
          </w:p>
        </w:tc>
      </w:tr>
      <w:tr w:rsidR="00421641" w:rsidRPr="003D77FD" w14:paraId="50A376B7" w14:textId="77777777" w:rsidTr="00C22AF2">
        <w:trPr>
          <w:trHeight w:val="62"/>
          <w:jc w:val="center"/>
        </w:trPr>
        <w:tc>
          <w:tcPr>
            <w:tcW w:w="2695" w:type="dxa"/>
          </w:tcPr>
          <w:p w14:paraId="122191B2" w14:textId="77777777" w:rsidR="00421641" w:rsidRPr="003D77FD" w:rsidRDefault="00421641" w:rsidP="00421641">
            <w:pPr>
              <w:rPr>
                <w:rFonts w:ascii="Arial" w:hAnsi="Arial" w:cs="Arial"/>
                <w:b/>
                <w:caps/>
                <w:sz w:val="18"/>
                <w:szCs w:val="18"/>
                <w:lang w:val="en-CA"/>
              </w:rPr>
            </w:pPr>
            <w:r w:rsidRPr="003D77FD">
              <w:rPr>
                <w:rFonts w:ascii="Arial" w:hAnsi="Arial" w:cs="Arial"/>
                <w:b/>
                <w:caps/>
                <w:sz w:val="18"/>
                <w:szCs w:val="18"/>
                <w:lang w:val="en-CA"/>
              </w:rPr>
              <w:t>Liquidity</w:t>
            </w:r>
          </w:p>
        </w:tc>
        <w:tc>
          <w:tcPr>
            <w:tcW w:w="1530" w:type="dxa"/>
          </w:tcPr>
          <w:p w14:paraId="2CDF256B" w14:textId="77777777" w:rsidR="00421641" w:rsidRPr="003D77FD" w:rsidRDefault="00421641" w:rsidP="00421641">
            <w:pPr>
              <w:jc w:val="center"/>
              <w:rPr>
                <w:rFonts w:ascii="Arial" w:hAnsi="Arial" w:cs="Arial"/>
                <w:sz w:val="18"/>
                <w:szCs w:val="18"/>
                <w:lang w:val="en-CA"/>
              </w:rPr>
            </w:pPr>
          </w:p>
        </w:tc>
        <w:tc>
          <w:tcPr>
            <w:tcW w:w="1350" w:type="dxa"/>
          </w:tcPr>
          <w:p w14:paraId="07AB45DA" w14:textId="77777777" w:rsidR="00421641" w:rsidRPr="003D77FD" w:rsidRDefault="00421641" w:rsidP="00421641">
            <w:pPr>
              <w:jc w:val="center"/>
              <w:rPr>
                <w:rFonts w:ascii="Arial" w:hAnsi="Arial" w:cs="Arial"/>
                <w:sz w:val="18"/>
                <w:szCs w:val="18"/>
                <w:lang w:val="en-CA"/>
              </w:rPr>
            </w:pPr>
          </w:p>
        </w:tc>
      </w:tr>
      <w:tr w:rsidR="00421641" w:rsidRPr="003D77FD" w14:paraId="123FC2F5" w14:textId="77777777" w:rsidTr="00C22AF2">
        <w:trPr>
          <w:trHeight w:val="56"/>
          <w:jc w:val="center"/>
        </w:trPr>
        <w:tc>
          <w:tcPr>
            <w:tcW w:w="2695" w:type="dxa"/>
          </w:tcPr>
          <w:p w14:paraId="2A0E1F00" w14:textId="528CD3B6"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 xml:space="preserve">Current </w:t>
            </w:r>
            <w:r w:rsidR="00BE0B46" w:rsidRPr="003D77FD">
              <w:rPr>
                <w:rFonts w:ascii="Arial" w:hAnsi="Arial" w:cs="Arial"/>
                <w:sz w:val="18"/>
                <w:szCs w:val="18"/>
                <w:lang w:val="en-CA"/>
              </w:rPr>
              <w:t>ratio</w:t>
            </w:r>
          </w:p>
        </w:tc>
        <w:tc>
          <w:tcPr>
            <w:tcW w:w="1530" w:type="dxa"/>
          </w:tcPr>
          <w:p w14:paraId="7AC818A4"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1.32</w:t>
            </w:r>
          </w:p>
        </w:tc>
        <w:tc>
          <w:tcPr>
            <w:tcW w:w="1350" w:type="dxa"/>
          </w:tcPr>
          <w:p w14:paraId="69663D04"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1.72</w:t>
            </w:r>
          </w:p>
        </w:tc>
      </w:tr>
      <w:tr w:rsidR="00421641" w:rsidRPr="003D77FD" w14:paraId="31372F55" w14:textId="77777777" w:rsidTr="00AB6FAB">
        <w:trPr>
          <w:jc w:val="center"/>
        </w:trPr>
        <w:tc>
          <w:tcPr>
            <w:tcW w:w="2695" w:type="dxa"/>
          </w:tcPr>
          <w:p w14:paraId="3326F830" w14:textId="7FA2DE2E"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 xml:space="preserve">Acid </w:t>
            </w:r>
            <w:r w:rsidR="00BE0B46" w:rsidRPr="003D77FD">
              <w:rPr>
                <w:rFonts w:ascii="Arial" w:hAnsi="Arial" w:cs="Arial"/>
                <w:sz w:val="18"/>
                <w:szCs w:val="18"/>
                <w:lang w:val="en-CA"/>
              </w:rPr>
              <w:t>test ratio</w:t>
            </w:r>
          </w:p>
        </w:tc>
        <w:tc>
          <w:tcPr>
            <w:tcW w:w="1530" w:type="dxa"/>
          </w:tcPr>
          <w:p w14:paraId="790C1257"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1.19</w:t>
            </w:r>
          </w:p>
        </w:tc>
        <w:tc>
          <w:tcPr>
            <w:tcW w:w="1350" w:type="dxa"/>
          </w:tcPr>
          <w:p w14:paraId="5F2889B1"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1.64</w:t>
            </w:r>
          </w:p>
        </w:tc>
      </w:tr>
      <w:tr w:rsidR="00421641" w:rsidRPr="003D77FD" w14:paraId="2339E4C6" w14:textId="77777777" w:rsidTr="00AB6FAB">
        <w:trPr>
          <w:jc w:val="center"/>
        </w:trPr>
        <w:tc>
          <w:tcPr>
            <w:tcW w:w="2695" w:type="dxa"/>
          </w:tcPr>
          <w:p w14:paraId="457B52AF" w14:textId="77777777" w:rsidR="00421641" w:rsidRPr="003D77FD" w:rsidRDefault="00421641" w:rsidP="00421641">
            <w:pPr>
              <w:rPr>
                <w:rFonts w:ascii="Arial" w:hAnsi="Arial" w:cs="Arial"/>
                <w:b/>
                <w:caps/>
                <w:sz w:val="18"/>
                <w:szCs w:val="18"/>
                <w:lang w:val="en-CA"/>
              </w:rPr>
            </w:pPr>
            <w:r w:rsidRPr="003D77FD">
              <w:rPr>
                <w:rFonts w:ascii="Arial" w:hAnsi="Arial" w:cs="Arial"/>
                <w:b/>
                <w:caps/>
                <w:sz w:val="18"/>
                <w:szCs w:val="18"/>
                <w:lang w:val="en-CA"/>
              </w:rPr>
              <w:t>Efficiency</w:t>
            </w:r>
          </w:p>
        </w:tc>
        <w:tc>
          <w:tcPr>
            <w:tcW w:w="1530" w:type="dxa"/>
          </w:tcPr>
          <w:p w14:paraId="271FDDA4" w14:textId="77777777" w:rsidR="00421641" w:rsidRPr="003D77FD" w:rsidRDefault="00421641" w:rsidP="00421641">
            <w:pPr>
              <w:jc w:val="center"/>
              <w:rPr>
                <w:rFonts w:ascii="Arial" w:hAnsi="Arial" w:cs="Arial"/>
                <w:sz w:val="18"/>
                <w:szCs w:val="18"/>
                <w:lang w:val="en-CA"/>
              </w:rPr>
            </w:pPr>
          </w:p>
        </w:tc>
        <w:tc>
          <w:tcPr>
            <w:tcW w:w="1350" w:type="dxa"/>
          </w:tcPr>
          <w:p w14:paraId="0C869CCC" w14:textId="77777777" w:rsidR="00421641" w:rsidRPr="003D77FD" w:rsidRDefault="00421641" w:rsidP="00421641">
            <w:pPr>
              <w:jc w:val="center"/>
              <w:rPr>
                <w:rFonts w:ascii="Arial" w:hAnsi="Arial" w:cs="Arial"/>
                <w:sz w:val="18"/>
                <w:szCs w:val="18"/>
                <w:lang w:val="en-CA"/>
              </w:rPr>
            </w:pPr>
          </w:p>
        </w:tc>
      </w:tr>
      <w:tr w:rsidR="00421641" w:rsidRPr="003D77FD" w14:paraId="532BC7CD" w14:textId="77777777" w:rsidTr="00AB6FAB">
        <w:trPr>
          <w:jc w:val="center"/>
        </w:trPr>
        <w:tc>
          <w:tcPr>
            <w:tcW w:w="2695" w:type="dxa"/>
          </w:tcPr>
          <w:p w14:paraId="7F0A4F46"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Age of accounts receivable</w:t>
            </w:r>
          </w:p>
        </w:tc>
        <w:tc>
          <w:tcPr>
            <w:tcW w:w="1530" w:type="dxa"/>
          </w:tcPr>
          <w:p w14:paraId="49903E58"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29.5 days</w:t>
            </w:r>
          </w:p>
        </w:tc>
        <w:tc>
          <w:tcPr>
            <w:tcW w:w="1350" w:type="dxa"/>
          </w:tcPr>
          <w:p w14:paraId="3DB49102"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22.4 days</w:t>
            </w:r>
          </w:p>
        </w:tc>
      </w:tr>
      <w:tr w:rsidR="00421641" w:rsidRPr="003D77FD" w14:paraId="6B374A24" w14:textId="77777777" w:rsidTr="00AB6FAB">
        <w:trPr>
          <w:jc w:val="center"/>
        </w:trPr>
        <w:tc>
          <w:tcPr>
            <w:tcW w:w="2695" w:type="dxa"/>
          </w:tcPr>
          <w:p w14:paraId="519CE7A7"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Age of payables</w:t>
            </w:r>
          </w:p>
        </w:tc>
        <w:tc>
          <w:tcPr>
            <w:tcW w:w="1530" w:type="dxa"/>
          </w:tcPr>
          <w:p w14:paraId="0B6FC5E4"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83.5 days</w:t>
            </w:r>
          </w:p>
        </w:tc>
        <w:tc>
          <w:tcPr>
            <w:tcW w:w="1350" w:type="dxa"/>
          </w:tcPr>
          <w:p w14:paraId="5A077599"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49.6 days</w:t>
            </w:r>
          </w:p>
        </w:tc>
      </w:tr>
      <w:tr w:rsidR="00421641" w:rsidRPr="003D77FD" w14:paraId="50D3A63F" w14:textId="77777777" w:rsidTr="00AB6FAB">
        <w:trPr>
          <w:jc w:val="center"/>
        </w:trPr>
        <w:tc>
          <w:tcPr>
            <w:tcW w:w="2695" w:type="dxa"/>
          </w:tcPr>
          <w:p w14:paraId="432445EF"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Age of inventory</w:t>
            </w:r>
          </w:p>
        </w:tc>
        <w:tc>
          <w:tcPr>
            <w:tcW w:w="1530" w:type="dxa"/>
          </w:tcPr>
          <w:p w14:paraId="619BA93B" w14:textId="26328E96" w:rsidR="00421641" w:rsidRPr="003D77FD" w:rsidRDefault="00421641" w:rsidP="00421641">
            <w:pPr>
              <w:jc w:val="center"/>
              <w:rPr>
                <w:rFonts w:ascii="Arial" w:hAnsi="Arial" w:cs="Arial"/>
                <w:sz w:val="18"/>
                <w:szCs w:val="18"/>
                <w:lang w:val="en-CA"/>
              </w:rPr>
            </w:pPr>
          </w:p>
        </w:tc>
        <w:tc>
          <w:tcPr>
            <w:tcW w:w="1350" w:type="dxa"/>
          </w:tcPr>
          <w:p w14:paraId="2BB81A3F" w14:textId="7C94DE57" w:rsidR="00421641" w:rsidRPr="003D77FD" w:rsidRDefault="00421641" w:rsidP="00421641">
            <w:pPr>
              <w:jc w:val="center"/>
              <w:rPr>
                <w:rFonts w:ascii="Arial" w:hAnsi="Arial" w:cs="Arial"/>
                <w:sz w:val="18"/>
                <w:szCs w:val="18"/>
                <w:lang w:val="en-CA"/>
              </w:rPr>
            </w:pPr>
          </w:p>
        </w:tc>
      </w:tr>
      <w:tr w:rsidR="00421641" w:rsidRPr="003D77FD" w14:paraId="5CCAEDD5" w14:textId="77777777" w:rsidTr="00AB6FAB">
        <w:trPr>
          <w:jc w:val="center"/>
        </w:trPr>
        <w:tc>
          <w:tcPr>
            <w:tcW w:w="2695" w:type="dxa"/>
          </w:tcPr>
          <w:p w14:paraId="588FDD44" w14:textId="77777777" w:rsidR="00421641" w:rsidRPr="003D77FD" w:rsidRDefault="00421641" w:rsidP="00421641">
            <w:pPr>
              <w:rPr>
                <w:rFonts w:ascii="Arial" w:hAnsi="Arial" w:cs="Arial"/>
                <w:b/>
                <w:caps/>
                <w:sz w:val="18"/>
                <w:szCs w:val="18"/>
                <w:lang w:val="en-CA"/>
              </w:rPr>
            </w:pPr>
            <w:r w:rsidRPr="003D77FD">
              <w:rPr>
                <w:rFonts w:ascii="Arial" w:hAnsi="Arial" w:cs="Arial"/>
                <w:b/>
                <w:caps/>
                <w:sz w:val="18"/>
                <w:szCs w:val="18"/>
                <w:lang w:val="en-CA"/>
              </w:rPr>
              <w:t>Stability</w:t>
            </w:r>
          </w:p>
        </w:tc>
        <w:tc>
          <w:tcPr>
            <w:tcW w:w="1530" w:type="dxa"/>
          </w:tcPr>
          <w:p w14:paraId="22286839" w14:textId="77777777" w:rsidR="00421641" w:rsidRPr="003D77FD" w:rsidRDefault="00421641" w:rsidP="00421641">
            <w:pPr>
              <w:jc w:val="center"/>
              <w:rPr>
                <w:rFonts w:ascii="Arial" w:hAnsi="Arial" w:cs="Arial"/>
                <w:sz w:val="18"/>
                <w:szCs w:val="18"/>
                <w:lang w:val="en-CA"/>
              </w:rPr>
            </w:pPr>
          </w:p>
        </w:tc>
        <w:tc>
          <w:tcPr>
            <w:tcW w:w="1350" w:type="dxa"/>
          </w:tcPr>
          <w:p w14:paraId="0333297A" w14:textId="77777777" w:rsidR="00421641" w:rsidRPr="003D77FD" w:rsidRDefault="00421641" w:rsidP="00421641">
            <w:pPr>
              <w:jc w:val="center"/>
              <w:rPr>
                <w:rFonts w:ascii="Arial" w:hAnsi="Arial" w:cs="Arial"/>
                <w:sz w:val="18"/>
                <w:szCs w:val="18"/>
                <w:lang w:val="en-CA"/>
              </w:rPr>
            </w:pPr>
          </w:p>
        </w:tc>
      </w:tr>
      <w:tr w:rsidR="00421641" w:rsidRPr="003D77FD" w14:paraId="61B107A0" w14:textId="77777777" w:rsidTr="00AB6FAB">
        <w:trPr>
          <w:jc w:val="center"/>
        </w:trPr>
        <w:tc>
          <w:tcPr>
            <w:tcW w:w="2695" w:type="dxa"/>
          </w:tcPr>
          <w:p w14:paraId="7012ED47"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Net worth to total assets</w:t>
            </w:r>
          </w:p>
        </w:tc>
        <w:tc>
          <w:tcPr>
            <w:tcW w:w="1530" w:type="dxa"/>
          </w:tcPr>
          <w:p w14:paraId="2125B907"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17.8%</w:t>
            </w:r>
          </w:p>
        </w:tc>
        <w:tc>
          <w:tcPr>
            <w:tcW w:w="1350" w:type="dxa"/>
          </w:tcPr>
          <w:p w14:paraId="3F37FB50"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28.0%</w:t>
            </w:r>
          </w:p>
        </w:tc>
      </w:tr>
      <w:tr w:rsidR="00421641" w:rsidRPr="003D77FD" w14:paraId="0C0D6AC7" w14:textId="77777777" w:rsidTr="00AB6FAB">
        <w:trPr>
          <w:jc w:val="center"/>
        </w:trPr>
        <w:tc>
          <w:tcPr>
            <w:tcW w:w="2695" w:type="dxa"/>
          </w:tcPr>
          <w:p w14:paraId="5F7E5D9D"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Interest coverage</w:t>
            </w:r>
          </w:p>
        </w:tc>
        <w:tc>
          <w:tcPr>
            <w:tcW w:w="1530" w:type="dxa"/>
          </w:tcPr>
          <w:p w14:paraId="0DDA3DBC" w14:textId="7622A53D" w:rsidR="00421641" w:rsidRPr="003D77FD" w:rsidRDefault="00421641" w:rsidP="00421641">
            <w:pPr>
              <w:jc w:val="center"/>
              <w:rPr>
                <w:rFonts w:ascii="Arial" w:hAnsi="Arial" w:cs="Arial"/>
                <w:sz w:val="18"/>
                <w:szCs w:val="18"/>
                <w:lang w:val="en-CA"/>
              </w:rPr>
            </w:pPr>
          </w:p>
        </w:tc>
        <w:tc>
          <w:tcPr>
            <w:tcW w:w="1350" w:type="dxa"/>
          </w:tcPr>
          <w:p w14:paraId="087F05C7" w14:textId="2A2A1C42" w:rsidR="00421641" w:rsidRPr="003D77FD" w:rsidRDefault="00421641" w:rsidP="00421641">
            <w:pPr>
              <w:jc w:val="center"/>
              <w:rPr>
                <w:rFonts w:ascii="Arial" w:hAnsi="Arial" w:cs="Arial"/>
                <w:sz w:val="18"/>
                <w:szCs w:val="18"/>
                <w:lang w:val="en-CA"/>
              </w:rPr>
            </w:pPr>
          </w:p>
        </w:tc>
      </w:tr>
      <w:tr w:rsidR="00421641" w:rsidRPr="003D77FD" w14:paraId="204BA43B" w14:textId="77777777" w:rsidTr="00AB6FAB">
        <w:trPr>
          <w:jc w:val="center"/>
        </w:trPr>
        <w:tc>
          <w:tcPr>
            <w:tcW w:w="2695" w:type="dxa"/>
          </w:tcPr>
          <w:p w14:paraId="52FBBD67" w14:textId="77777777" w:rsidR="00421641" w:rsidRPr="003D77FD" w:rsidRDefault="00421641" w:rsidP="00421641">
            <w:pPr>
              <w:rPr>
                <w:rFonts w:ascii="Arial" w:hAnsi="Arial" w:cs="Arial"/>
                <w:b/>
                <w:caps/>
                <w:sz w:val="18"/>
                <w:szCs w:val="18"/>
                <w:lang w:val="en-CA"/>
              </w:rPr>
            </w:pPr>
            <w:r w:rsidRPr="003D77FD">
              <w:rPr>
                <w:rFonts w:ascii="Arial" w:hAnsi="Arial" w:cs="Arial"/>
                <w:b/>
                <w:caps/>
                <w:sz w:val="18"/>
                <w:szCs w:val="18"/>
                <w:lang w:val="en-CA"/>
              </w:rPr>
              <w:t>Growth</w:t>
            </w:r>
          </w:p>
        </w:tc>
        <w:tc>
          <w:tcPr>
            <w:tcW w:w="1530" w:type="dxa"/>
          </w:tcPr>
          <w:p w14:paraId="1E9DFACD" w14:textId="77777777" w:rsidR="00421641" w:rsidRPr="003D77FD" w:rsidRDefault="00421641" w:rsidP="00421641">
            <w:pPr>
              <w:jc w:val="center"/>
              <w:rPr>
                <w:rFonts w:ascii="Arial" w:hAnsi="Arial" w:cs="Arial"/>
                <w:sz w:val="18"/>
                <w:szCs w:val="18"/>
                <w:lang w:val="en-CA"/>
              </w:rPr>
            </w:pPr>
          </w:p>
        </w:tc>
        <w:tc>
          <w:tcPr>
            <w:tcW w:w="1350" w:type="dxa"/>
          </w:tcPr>
          <w:p w14:paraId="2DAB50E8" w14:textId="77777777" w:rsidR="00421641" w:rsidRPr="003D77FD" w:rsidRDefault="00421641" w:rsidP="00421641">
            <w:pPr>
              <w:jc w:val="center"/>
              <w:rPr>
                <w:rFonts w:ascii="Arial" w:hAnsi="Arial" w:cs="Arial"/>
                <w:sz w:val="18"/>
                <w:szCs w:val="18"/>
                <w:lang w:val="en-CA"/>
              </w:rPr>
            </w:pPr>
          </w:p>
        </w:tc>
      </w:tr>
      <w:tr w:rsidR="00421641" w:rsidRPr="003D77FD" w14:paraId="419CE24D" w14:textId="77777777" w:rsidTr="00AB6FAB">
        <w:trPr>
          <w:jc w:val="center"/>
        </w:trPr>
        <w:tc>
          <w:tcPr>
            <w:tcW w:w="2695" w:type="dxa"/>
          </w:tcPr>
          <w:p w14:paraId="10E83E02"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Sales</w:t>
            </w:r>
          </w:p>
        </w:tc>
        <w:tc>
          <w:tcPr>
            <w:tcW w:w="1530" w:type="dxa"/>
          </w:tcPr>
          <w:p w14:paraId="389F8CA6"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52%</w:t>
            </w:r>
          </w:p>
        </w:tc>
        <w:tc>
          <w:tcPr>
            <w:tcW w:w="1350" w:type="dxa"/>
          </w:tcPr>
          <w:p w14:paraId="5BE37F70"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48%</w:t>
            </w:r>
          </w:p>
        </w:tc>
      </w:tr>
      <w:tr w:rsidR="00421641" w:rsidRPr="003D77FD" w14:paraId="526DF09B" w14:textId="77777777" w:rsidTr="00AB6FAB">
        <w:trPr>
          <w:jc w:val="center"/>
        </w:trPr>
        <w:tc>
          <w:tcPr>
            <w:tcW w:w="2695" w:type="dxa"/>
          </w:tcPr>
          <w:p w14:paraId="3AA26C0E"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Net income</w:t>
            </w:r>
          </w:p>
        </w:tc>
        <w:tc>
          <w:tcPr>
            <w:tcW w:w="1530" w:type="dxa"/>
          </w:tcPr>
          <w:p w14:paraId="041824E3" w14:textId="2C8AD6A3" w:rsidR="00421641" w:rsidRPr="003D77FD" w:rsidRDefault="00421641" w:rsidP="00421641">
            <w:pPr>
              <w:jc w:val="center"/>
              <w:rPr>
                <w:rFonts w:ascii="Arial" w:hAnsi="Arial" w:cs="Arial"/>
                <w:sz w:val="18"/>
                <w:szCs w:val="18"/>
                <w:lang w:val="en-CA"/>
              </w:rPr>
            </w:pPr>
          </w:p>
        </w:tc>
        <w:tc>
          <w:tcPr>
            <w:tcW w:w="1350" w:type="dxa"/>
          </w:tcPr>
          <w:p w14:paraId="2D4BDD1A" w14:textId="6558E9B4" w:rsidR="00421641" w:rsidRPr="003D77FD" w:rsidRDefault="00421641" w:rsidP="00421641">
            <w:pPr>
              <w:jc w:val="center"/>
              <w:rPr>
                <w:rFonts w:ascii="Arial" w:hAnsi="Arial" w:cs="Arial"/>
                <w:sz w:val="18"/>
                <w:szCs w:val="18"/>
                <w:lang w:val="en-CA"/>
              </w:rPr>
            </w:pPr>
          </w:p>
        </w:tc>
      </w:tr>
      <w:tr w:rsidR="00421641" w:rsidRPr="003D77FD" w14:paraId="089498B2" w14:textId="77777777" w:rsidTr="00AB6FAB">
        <w:trPr>
          <w:jc w:val="center"/>
        </w:trPr>
        <w:tc>
          <w:tcPr>
            <w:tcW w:w="2695" w:type="dxa"/>
          </w:tcPr>
          <w:p w14:paraId="5EB4530F" w14:textId="77777777" w:rsidR="00421641" w:rsidRPr="003D77FD" w:rsidRDefault="00421641" w:rsidP="00421641">
            <w:pPr>
              <w:rPr>
                <w:rFonts w:ascii="Arial" w:hAnsi="Arial" w:cs="Arial"/>
                <w:sz w:val="18"/>
                <w:szCs w:val="18"/>
                <w:lang w:val="en-CA"/>
              </w:rPr>
            </w:pPr>
            <w:r w:rsidRPr="003D77FD">
              <w:rPr>
                <w:rFonts w:ascii="Arial" w:hAnsi="Arial" w:cs="Arial"/>
                <w:sz w:val="18"/>
                <w:szCs w:val="18"/>
                <w:lang w:val="en-CA"/>
              </w:rPr>
              <w:t>Total assets</w:t>
            </w:r>
          </w:p>
        </w:tc>
        <w:tc>
          <w:tcPr>
            <w:tcW w:w="1530" w:type="dxa"/>
          </w:tcPr>
          <w:p w14:paraId="46E33DBE"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21%</w:t>
            </w:r>
          </w:p>
        </w:tc>
        <w:tc>
          <w:tcPr>
            <w:tcW w:w="1350" w:type="dxa"/>
          </w:tcPr>
          <w:p w14:paraId="16C46CF4"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17%</w:t>
            </w:r>
          </w:p>
        </w:tc>
      </w:tr>
      <w:tr w:rsidR="00421641" w:rsidRPr="003D77FD" w14:paraId="41F0EA39" w14:textId="77777777" w:rsidTr="00AB6FAB">
        <w:trPr>
          <w:jc w:val="center"/>
        </w:trPr>
        <w:tc>
          <w:tcPr>
            <w:tcW w:w="2695" w:type="dxa"/>
          </w:tcPr>
          <w:p w14:paraId="47B2A627" w14:textId="77777777" w:rsidR="00421641" w:rsidRPr="003D77FD" w:rsidRDefault="00421641" w:rsidP="00421641">
            <w:pPr>
              <w:jc w:val="both"/>
              <w:rPr>
                <w:rFonts w:ascii="Arial" w:hAnsi="Arial" w:cs="Arial"/>
                <w:sz w:val="18"/>
                <w:szCs w:val="18"/>
                <w:lang w:val="en-CA"/>
              </w:rPr>
            </w:pPr>
            <w:r w:rsidRPr="003D77FD">
              <w:rPr>
                <w:rFonts w:ascii="Arial" w:hAnsi="Arial" w:cs="Arial"/>
                <w:sz w:val="18"/>
                <w:szCs w:val="18"/>
                <w:lang w:val="en-CA"/>
              </w:rPr>
              <w:t>Equity</w:t>
            </w:r>
          </w:p>
        </w:tc>
        <w:tc>
          <w:tcPr>
            <w:tcW w:w="1530" w:type="dxa"/>
          </w:tcPr>
          <w:p w14:paraId="2B9CF691"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(23%)</w:t>
            </w:r>
          </w:p>
        </w:tc>
        <w:tc>
          <w:tcPr>
            <w:tcW w:w="1350" w:type="dxa"/>
          </w:tcPr>
          <w:p w14:paraId="3FABEEB2" w14:textId="77777777" w:rsidR="00421641" w:rsidRPr="003D77FD" w:rsidRDefault="00421641" w:rsidP="00421641">
            <w:pPr>
              <w:jc w:val="center"/>
              <w:rPr>
                <w:rFonts w:ascii="Arial" w:hAnsi="Arial" w:cs="Arial"/>
                <w:sz w:val="18"/>
                <w:szCs w:val="18"/>
                <w:lang w:val="en-CA"/>
              </w:rPr>
            </w:pPr>
            <w:r w:rsidRPr="003D77FD">
              <w:rPr>
                <w:rFonts w:ascii="Arial" w:hAnsi="Arial" w:cs="Arial"/>
                <w:sz w:val="18"/>
                <w:szCs w:val="18"/>
                <w:lang w:val="en-CA"/>
              </w:rPr>
              <w:t>3%</w:t>
            </w:r>
          </w:p>
        </w:tc>
      </w:tr>
    </w:tbl>
    <w:p w14:paraId="52565217" w14:textId="77777777" w:rsidR="00421641" w:rsidRPr="003D77FD" w:rsidRDefault="00421641" w:rsidP="00AB6FAB">
      <w:pPr>
        <w:pStyle w:val="ExhibitText"/>
        <w:rPr>
          <w:sz w:val="12"/>
          <w:szCs w:val="12"/>
          <w:lang w:val="en-CA"/>
        </w:rPr>
      </w:pPr>
    </w:p>
    <w:p w14:paraId="3F4AAAD2" w14:textId="487DFB1A" w:rsidR="00B87DC0" w:rsidRPr="003D77FD" w:rsidRDefault="00421641" w:rsidP="00C22AF2">
      <w:pPr>
        <w:pStyle w:val="Footnote"/>
        <w:rPr>
          <w:lang w:val="en-CA"/>
        </w:rPr>
      </w:pPr>
      <w:r w:rsidRPr="003D77FD">
        <w:rPr>
          <w:lang w:val="en-CA"/>
        </w:rPr>
        <w:t>Source: Company documents.</w:t>
      </w:r>
    </w:p>
    <w:sectPr w:rsidR="00B87DC0" w:rsidRPr="003D77FD"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9F49C" w16cid:durableId="20C2F84C"/>
  <w16cid:commentId w16cid:paraId="7CB5689A" w16cid:durableId="20D1AB24"/>
  <w16cid:commentId w16cid:paraId="1A2F1AA8" w16cid:durableId="20C49A01"/>
  <w16cid:commentId w16cid:paraId="2830C1DD" w16cid:durableId="20D1A5D9"/>
  <w16cid:commentId w16cid:paraId="51FEC278" w16cid:durableId="20C2F8C6"/>
  <w16cid:commentId w16cid:paraId="0354FBE4" w16cid:durableId="20D1A53C"/>
  <w16cid:commentId w16cid:paraId="2E685186" w16cid:durableId="20C49E6E"/>
  <w16cid:commentId w16cid:paraId="406AAFFC" w16cid:durableId="20D1AA2C"/>
  <w16cid:commentId w16cid:paraId="4F273242" w16cid:durableId="20C3132A"/>
  <w16cid:commentId w16cid:paraId="63217888" w16cid:durableId="20D1A8A7"/>
  <w16cid:commentId w16cid:paraId="017AED09" w16cid:durableId="20C3546B"/>
  <w16cid:commentId w16cid:paraId="77FAD3EA" w16cid:durableId="20C35481"/>
  <w16cid:commentId w16cid:paraId="31A02069" w16cid:durableId="20C3558A"/>
  <w16cid:commentId w16cid:paraId="37EA338B" w16cid:durableId="20C35575"/>
  <w16cid:commentId w16cid:paraId="56CFB142" w16cid:durableId="20C35565"/>
  <w16cid:commentId w16cid:paraId="5251FAF7" w16cid:durableId="20C355A1"/>
  <w16cid:commentId w16cid:paraId="4A4BCD09" w16cid:durableId="20C3565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2A3B5" w14:textId="77777777" w:rsidR="00F97F7F" w:rsidRDefault="00F97F7F" w:rsidP="00D75295">
      <w:r>
        <w:separator/>
      </w:r>
    </w:p>
  </w:endnote>
  <w:endnote w:type="continuationSeparator" w:id="0">
    <w:p w14:paraId="6664E6F4" w14:textId="77777777" w:rsidR="00F97F7F" w:rsidRDefault="00F97F7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078D1" w14:textId="77777777" w:rsidR="00F97F7F" w:rsidRDefault="00F97F7F" w:rsidP="00D75295">
      <w:r>
        <w:separator/>
      </w:r>
    </w:p>
  </w:footnote>
  <w:footnote w:type="continuationSeparator" w:id="0">
    <w:p w14:paraId="3A152C46" w14:textId="77777777" w:rsidR="00F97F7F" w:rsidRDefault="00F97F7F" w:rsidP="00D75295">
      <w:r>
        <w:continuationSeparator/>
      </w:r>
    </w:p>
  </w:footnote>
  <w:footnote w:id="1">
    <w:p w14:paraId="27D8682E" w14:textId="770FE3C4" w:rsidR="004F0055" w:rsidRPr="004B221A" w:rsidRDefault="004F0055" w:rsidP="004B221A">
      <w:pPr>
        <w:pStyle w:val="CommentText"/>
        <w:jc w:val="both"/>
        <w:rPr>
          <w:rFonts w:ascii="Arial" w:hAnsi="Arial" w:cs="Arial"/>
          <w:sz w:val="17"/>
          <w:szCs w:val="17"/>
        </w:rPr>
      </w:pPr>
      <w:r w:rsidRPr="004B221A">
        <w:rPr>
          <w:rStyle w:val="FootnoteReference"/>
          <w:rFonts w:ascii="Arial" w:hAnsi="Arial" w:cs="Arial"/>
          <w:sz w:val="17"/>
          <w:szCs w:val="17"/>
        </w:rPr>
        <w:footnoteRef/>
      </w:r>
      <w:r w:rsidRPr="004B221A">
        <w:rPr>
          <w:rFonts w:ascii="Arial" w:hAnsi="Arial" w:cs="Arial"/>
          <w:sz w:val="17"/>
          <w:szCs w:val="17"/>
        </w:rPr>
        <w:t xml:space="preserve"> </w:t>
      </w:r>
      <w:r w:rsidR="00313BE4">
        <w:rPr>
          <w:rFonts w:ascii="Arial" w:hAnsi="Arial" w:cs="Arial"/>
          <w:sz w:val="17"/>
          <w:szCs w:val="17"/>
        </w:rPr>
        <w:t xml:space="preserve">“The Great Musical North,” </w:t>
      </w:r>
      <w:r w:rsidRPr="004B221A">
        <w:rPr>
          <w:rFonts w:ascii="Arial" w:hAnsi="Arial" w:cs="Arial"/>
          <w:sz w:val="17"/>
          <w:szCs w:val="17"/>
        </w:rPr>
        <w:t>Martin Prosperity Institute</w:t>
      </w:r>
      <w:r w:rsidR="00313BE4">
        <w:rPr>
          <w:rFonts w:ascii="Arial" w:hAnsi="Arial" w:cs="Arial"/>
          <w:sz w:val="17"/>
          <w:szCs w:val="17"/>
        </w:rPr>
        <w:t>:</w:t>
      </w:r>
      <w:r w:rsidR="006214E0">
        <w:rPr>
          <w:rFonts w:ascii="Arial" w:hAnsi="Arial" w:cs="Arial"/>
          <w:sz w:val="17"/>
          <w:szCs w:val="17"/>
        </w:rPr>
        <w:t xml:space="preserve"> Rotman School of Management, University of Toronto,</w:t>
      </w:r>
      <w:r w:rsidRPr="004B221A">
        <w:rPr>
          <w:rFonts w:ascii="Arial" w:hAnsi="Arial" w:cs="Arial"/>
          <w:sz w:val="17"/>
          <w:szCs w:val="17"/>
        </w:rPr>
        <w:t xml:space="preserve"> 2009, accessed June</w:t>
      </w:r>
      <w:r w:rsidR="006214E0">
        <w:rPr>
          <w:rFonts w:ascii="Arial" w:hAnsi="Arial" w:cs="Arial"/>
          <w:sz w:val="17"/>
          <w:szCs w:val="17"/>
        </w:rPr>
        <w:t xml:space="preserve"> 30</w:t>
      </w:r>
      <w:r w:rsidRPr="004B221A">
        <w:rPr>
          <w:rFonts w:ascii="Arial" w:hAnsi="Arial" w:cs="Arial"/>
          <w:sz w:val="17"/>
          <w:szCs w:val="17"/>
        </w:rPr>
        <w:t>, 2018</w:t>
      </w:r>
      <w:r w:rsidR="006214E0">
        <w:rPr>
          <w:rFonts w:ascii="Arial" w:hAnsi="Arial" w:cs="Arial"/>
          <w:sz w:val="17"/>
          <w:szCs w:val="17"/>
        </w:rPr>
        <w:t>,</w:t>
      </w:r>
      <w:r w:rsidRPr="004B221A">
        <w:rPr>
          <w:rFonts w:ascii="Arial" w:hAnsi="Arial" w:cs="Arial"/>
          <w:sz w:val="17"/>
          <w:szCs w:val="17"/>
        </w:rPr>
        <w:t xml:space="preserve"> http://martinprosperity.org/images/stories/jmc/cache/mpi-The_Great_Musical_North.pdf</w:t>
      </w:r>
      <w:r w:rsidR="00313BE4">
        <w:rPr>
          <w:rFonts w:ascii="Arial" w:hAnsi="Arial" w:cs="Arial"/>
          <w:sz w:val="17"/>
          <w:szCs w:val="17"/>
        </w:rPr>
        <w:t>.</w:t>
      </w:r>
    </w:p>
  </w:footnote>
  <w:footnote w:id="2">
    <w:p w14:paraId="34216210" w14:textId="37A1BE6E" w:rsidR="004F0055" w:rsidRPr="004B221A" w:rsidRDefault="004F0055" w:rsidP="004B221A">
      <w:pPr>
        <w:pStyle w:val="CommentText"/>
        <w:jc w:val="both"/>
        <w:rPr>
          <w:rFonts w:ascii="Arial" w:hAnsi="Arial" w:cs="Arial"/>
          <w:sz w:val="17"/>
          <w:szCs w:val="17"/>
        </w:rPr>
      </w:pPr>
      <w:r w:rsidRPr="004B221A">
        <w:rPr>
          <w:rStyle w:val="FootnoteReference"/>
          <w:rFonts w:ascii="Arial" w:hAnsi="Arial" w:cs="Arial"/>
          <w:sz w:val="17"/>
          <w:szCs w:val="17"/>
        </w:rPr>
        <w:footnoteRef/>
      </w:r>
      <w:r w:rsidRPr="004B221A">
        <w:rPr>
          <w:rFonts w:ascii="Arial" w:hAnsi="Arial" w:cs="Arial"/>
          <w:sz w:val="17"/>
          <w:szCs w:val="17"/>
        </w:rPr>
        <w:t xml:space="preserve"> </w:t>
      </w:r>
      <w:r w:rsidR="00313BE4">
        <w:rPr>
          <w:rFonts w:ascii="Arial" w:hAnsi="Arial" w:cs="Arial"/>
          <w:sz w:val="17"/>
          <w:szCs w:val="17"/>
        </w:rPr>
        <w:t>Full-time equivalent jobs were t</w:t>
      </w:r>
      <w:r w:rsidR="002A3BD1">
        <w:rPr>
          <w:rFonts w:ascii="Arial" w:hAnsi="Arial" w:cs="Arial"/>
          <w:sz w:val="17"/>
          <w:szCs w:val="17"/>
        </w:rPr>
        <w:t>hirty hours</w:t>
      </w:r>
      <w:r w:rsidRPr="004B221A">
        <w:rPr>
          <w:rFonts w:ascii="Arial" w:hAnsi="Arial" w:cs="Arial"/>
          <w:sz w:val="17"/>
          <w:szCs w:val="17"/>
        </w:rPr>
        <w:t xml:space="preserve"> of employment for one person over one week.</w:t>
      </w:r>
    </w:p>
  </w:footnote>
  <w:footnote w:id="3">
    <w:p w14:paraId="47D4FA55" w14:textId="26C72F64" w:rsidR="004F0055" w:rsidRPr="0005664D" w:rsidRDefault="004F0055">
      <w:pPr>
        <w:pStyle w:val="FootnoteText"/>
        <w:rPr>
          <w:rFonts w:ascii="Arial" w:hAnsi="Arial" w:cs="Arial"/>
          <w:sz w:val="17"/>
          <w:szCs w:val="17"/>
          <w:lang w:val="en-CA"/>
        </w:rPr>
      </w:pPr>
      <w:r w:rsidRPr="0005664D">
        <w:rPr>
          <w:rStyle w:val="FootnoteReference"/>
          <w:rFonts w:ascii="Arial" w:hAnsi="Arial" w:cs="Arial"/>
          <w:sz w:val="17"/>
          <w:szCs w:val="17"/>
        </w:rPr>
        <w:footnoteRef/>
      </w:r>
      <w:r w:rsidRPr="0005664D">
        <w:rPr>
          <w:rFonts w:ascii="Arial" w:hAnsi="Arial" w:cs="Arial"/>
          <w:sz w:val="17"/>
          <w:szCs w:val="17"/>
        </w:rPr>
        <w:t xml:space="preserve"> </w:t>
      </w:r>
      <w:r w:rsidRPr="0005664D">
        <w:rPr>
          <w:rFonts w:ascii="Arial" w:hAnsi="Arial" w:cs="Arial"/>
          <w:sz w:val="17"/>
          <w:szCs w:val="17"/>
          <w:lang w:val="en-CA"/>
        </w:rPr>
        <w:t xml:space="preserve">All </w:t>
      </w:r>
      <w:r w:rsidR="008E4AF0">
        <w:rPr>
          <w:rFonts w:ascii="Arial" w:hAnsi="Arial" w:cs="Arial"/>
          <w:sz w:val="17"/>
          <w:szCs w:val="17"/>
          <w:lang w:val="en-CA"/>
        </w:rPr>
        <w:t>currency</w:t>
      </w:r>
      <w:r w:rsidRPr="0005664D">
        <w:rPr>
          <w:rFonts w:ascii="Arial" w:hAnsi="Arial" w:cs="Arial"/>
          <w:sz w:val="17"/>
          <w:szCs w:val="17"/>
          <w:lang w:val="en-CA"/>
        </w:rPr>
        <w:t xml:space="preserve"> amounts are in C</w:t>
      </w:r>
      <w:r w:rsidR="000B17D0">
        <w:rPr>
          <w:rFonts w:ascii="Arial" w:hAnsi="Arial" w:cs="Arial"/>
          <w:sz w:val="17"/>
          <w:szCs w:val="17"/>
          <w:lang w:val="en-CA"/>
        </w:rPr>
        <w:t>A$</w:t>
      </w:r>
      <w:r w:rsidRPr="0005664D">
        <w:rPr>
          <w:rFonts w:ascii="Arial" w:hAnsi="Arial" w:cs="Arial"/>
          <w:sz w:val="17"/>
          <w:szCs w:val="17"/>
          <w:lang w:val="en-CA"/>
        </w:rPr>
        <w:t xml:space="preserve"> unless otherwise specified. </w:t>
      </w:r>
    </w:p>
  </w:footnote>
  <w:footnote w:id="4">
    <w:p w14:paraId="7FBBBFDF" w14:textId="4271D4A3" w:rsidR="004F0055" w:rsidRPr="004B221A" w:rsidRDefault="004F0055" w:rsidP="004B221A">
      <w:pPr>
        <w:pStyle w:val="CommentText"/>
        <w:jc w:val="both"/>
        <w:rPr>
          <w:rFonts w:ascii="Arial" w:hAnsi="Arial" w:cs="Arial"/>
          <w:sz w:val="17"/>
          <w:szCs w:val="17"/>
        </w:rPr>
      </w:pPr>
      <w:r w:rsidRPr="004B221A">
        <w:rPr>
          <w:rStyle w:val="FootnoteReference"/>
          <w:rFonts w:ascii="Arial" w:hAnsi="Arial" w:cs="Arial"/>
          <w:sz w:val="17"/>
          <w:szCs w:val="17"/>
        </w:rPr>
        <w:footnoteRef/>
      </w:r>
      <w:r w:rsidRPr="004B221A">
        <w:rPr>
          <w:rFonts w:ascii="Arial" w:hAnsi="Arial" w:cs="Arial"/>
          <w:sz w:val="17"/>
          <w:szCs w:val="17"/>
        </w:rPr>
        <w:t xml:space="preserve"> </w:t>
      </w:r>
      <w:r w:rsidR="002A3BD1">
        <w:rPr>
          <w:rFonts w:ascii="Arial" w:hAnsi="Arial" w:cs="Arial"/>
          <w:sz w:val="17"/>
          <w:szCs w:val="17"/>
        </w:rPr>
        <w:t>“</w:t>
      </w:r>
      <w:r w:rsidR="002A3BD1" w:rsidRPr="002A3BD1">
        <w:rPr>
          <w:rFonts w:ascii="Arial" w:hAnsi="Arial" w:cs="Arial"/>
          <w:sz w:val="17"/>
          <w:szCs w:val="17"/>
        </w:rPr>
        <w:t>Live Music Measures Up: An Economic Impact Analysis of Live Music in Ontario</w:t>
      </w:r>
      <w:r w:rsidR="002A3BD1">
        <w:rPr>
          <w:rFonts w:ascii="Arial" w:hAnsi="Arial" w:cs="Arial"/>
          <w:sz w:val="17"/>
          <w:szCs w:val="17"/>
        </w:rPr>
        <w:t>,” Music Canada,</w:t>
      </w:r>
      <w:r w:rsidR="00CF23D3">
        <w:rPr>
          <w:rFonts w:ascii="Arial" w:hAnsi="Arial" w:cs="Arial"/>
          <w:sz w:val="17"/>
          <w:szCs w:val="17"/>
        </w:rPr>
        <w:t xml:space="preserve"> </w:t>
      </w:r>
      <w:r w:rsidRPr="004B221A">
        <w:rPr>
          <w:rFonts w:ascii="Arial" w:hAnsi="Arial" w:cs="Arial"/>
          <w:sz w:val="17"/>
          <w:szCs w:val="17"/>
        </w:rPr>
        <w:t>accessed June</w:t>
      </w:r>
      <w:r w:rsidR="002A3BD1">
        <w:rPr>
          <w:rFonts w:ascii="Arial" w:hAnsi="Arial" w:cs="Arial"/>
          <w:sz w:val="17"/>
          <w:szCs w:val="17"/>
        </w:rPr>
        <w:t xml:space="preserve"> 30</w:t>
      </w:r>
      <w:r w:rsidRPr="004B221A">
        <w:rPr>
          <w:rFonts w:ascii="Arial" w:hAnsi="Arial" w:cs="Arial"/>
          <w:sz w:val="17"/>
          <w:szCs w:val="17"/>
        </w:rPr>
        <w:t>, 2018</w:t>
      </w:r>
      <w:r w:rsidR="002A3BD1">
        <w:rPr>
          <w:rFonts w:ascii="Arial" w:hAnsi="Arial" w:cs="Arial"/>
          <w:sz w:val="17"/>
          <w:szCs w:val="17"/>
        </w:rPr>
        <w:t>,</w:t>
      </w:r>
      <w:r w:rsidRPr="004B221A">
        <w:rPr>
          <w:rFonts w:ascii="Arial" w:hAnsi="Arial" w:cs="Arial"/>
          <w:sz w:val="17"/>
          <w:szCs w:val="17"/>
        </w:rPr>
        <w:t xml:space="preserve"> https://musiccanada.com/resources/research/live-music-measures-up/</w:t>
      </w:r>
      <w:r w:rsidR="002A3BD1">
        <w:rPr>
          <w:rFonts w:ascii="Arial" w:hAnsi="Arial" w:cs="Arial"/>
          <w:sz w:val="17"/>
          <w:szCs w:val="17"/>
        </w:rPr>
        <w:t>.</w:t>
      </w:r>
    </w:p>
  </w:footnote>
  <w:footnote w:id="5">
    <w:p w14:paraId="60BCD9D4" w14:textId="0F398DA4" w:rsidR="004F0055" w:rsidRPr="004B221A" w:rsidRDefault="004F0055" w:rsidP="004B221A">
      <w:pPr>
        <w:pStyle w:val="CommentText"/>
        <w:jc w:val="both"/>
        <w:rPr>
          <w:rFonts w:ascii="Arial" w:hAnsi="Arial" w:cs="Arial"/>
          <w:sz w:val="17"/>
          <w:szCs w:val="17"/>
        </w:rPr>
      </w:pPr>
      <w:r w:rsidRPr="004B221A">
        <w:rPr>
          <w:rStyle w:val="FootnoteReference"/>
          <w:rFonts w:ascii="Arial" w:hAnsi="Arial" w:cs="Arial"/>
          <w:sz w:val="17"/>
          <w:szCs w:val="17"/>
        </w:rPr>
        <w:footnoteRef/>
      </w:r>
      <w:r w:rsidRPr="004B221A">
        <w:rPr>
          <w:rFonts w:ascii="Arial" w:hAnsi="Arial" w:cs="Arial"/>
          <w:sz w:val="17"/>
          <w:szCs w:val="17"/>
        </w:rPr>
        <w:t xml:space="preserve"> Programming was an industry term </w:t>
      </w:r>
      <w:r w:rsidR="004777A8">
        <w:rPr>
          <w:rFonts w:ascii="Arial" w:hAnsi="Arial" w:cs="Arial"/>
          <w:sz w:val="17"/>
          <w:szCs w:val="17"/>
        </w:rPr>
        <w:t>that referred</w:t>
      </w:r>
      <w:r w:rsidR="004777A8" w:rsidRPr="004B221A">
        <w:rPr>
          <w:rFonts w:ascii="Arial" w:hAnsi="Arial" w:cs="Arial"/>
          <w:sz w:val="17"/>
          <w:szCs w:val="17"/>
        </w:rPr>
        <w:t xml:space="preserve"> </w:t>
      </w:r>
      <w:r w:rsidRPr="004B221A">
        <w:rPr>
          <w:rFonts w:ascii="Arial" w:hAnsi="Arial" w:cs="Arial"/>
          <w:sz w:val="17"/>
          <w:szCs w:val="17"/>
        </w:rPr>
        <w:t>to the cost of paying artists for performances.</w:t>
      </w:r>
    </w:p>
  </w:footnote>
  <w:footnote w:id="6">
    <w:p w14:paraId="47FD71C2" w14:textId="5D024BC2" w:rsidR="004F0055" w:rsidRPr="002A5C89" w:rsidRDefault="004F0055" w:rsidP="004B221A">
      <w:pPr>
        <w:pStyle w:val="CommentText"/>
        <w:jc w:val="both"/>
        <w:rPr>
          <w:rFonts w:ascii="Arial" w:hAnsi="Arial" w:cs="Arial"/>
          <w:spacing w:val="-6"/>
          <w:kern w:val="17"/>
          <w:sz w:val="17"/>
          <w:szCs w:val="17"/>
        </w:rPr>
      </w:pPr>
      <w:r w:rsidRPr="002A5C89">
        <w:rPr>
          <w:rStyle w:val="FootnoteReference"/>
          <w:rFonts w:ascii="Arial" w:hAnsi="Arial" w:cs="Arial"/>
          <w:spacing w:val="-6"/>
          <w:kern w:val="17"/>
          <w:sz w:val="17"/>
          <w:szCs w:val="17"/>
        </w:rPr>
        <w:footnoteRef/>
      </w:r>
      <w:r w:rsidRPr="002A5C89">
        <w:rPr>
          <w:rFonts w:ascii="Arial" w:hAnsi="Arial" w:cs="Arial"/>
          <w:spacing w:val="-6"/>
          <w:kern w:val="17"/>
          <w:sz w:val="17"/>
          <w:szCs w:val="17"/>
        </w:rPr>
        <w:t xml:space="preserve"> </w:t>
      </w:r>
      <w:r w:rsidR="004465E2" w:rsidRPr="002A5C89">
        <w:rPr>
          <w:rFonts w:ascii="Arial" w:hAnsi="Arial" w:cs="Arial"/>
          <w:spacing w:val="-6"/>
          <w:kern w:val="17"/>
          <w:sz w:val="17"/>
          <w:szCs w:val="17"/>
        </w:rPr>
        <w:t>“Statista Dossier on Live Music</w:t>
      </w:r>
      <w:r w:rsidRPr="002A5C89">
        <w:rPr>
          <w:rFonts w:ascii="Arial" w:hAnsi="Arial" w:cs="Arial"/>
          <w:spacing w:val="-6"/>
          <w:kern w:val="17"/>
          <w:sz w:val="17"/>
          <w:szCs w:val="17"/>
        </w:rPr>
        <w:t>,</w:t>
      </w:r>
      <w:r w:rsidR="004465E2" w:rsidRPr="002A5C89">
        <w:rPr>
          <w:rFonts w:ascii="Arial" w:hAnsi="Arial" w:cs="Arial"/>
          <w:spacing w:val="-6"/>
          <w:kern w:val="17"/>
          <w:sz w:val="17"/>
          <w:szCs w:val="17"/>
        </w:rPr>
        <w:t>” Statista, 2018,</w:t>
      </w:r>
      <w:r w:rsidRPr="002A5C89">
        <w:rPr>
          <w:rFonts w:ascii="Arial" w:hAnsi="Arial" w:cs="Arial"/>
          <w:spacing w:val="-6"/>
          <w:kern w:val="17"/>
          <w:sz w:val="17"/>
          <w:szCs w:val="17"/>
        </w:rPr>
        <w:t xml:space="preserve"> accessed August </w:t>
      </w:r>
      <w:r w:rsidR="002D0000" w:rsidRPr="002A5C89">
        <w:rPr>
          <w:rFonts w:ascii="Arial" w:hAnsi="Arial" w:cs="Arial"/>
          <w:spacing w:val="-6"/>
          <w:kern w:val="17"/>
          <w:sz w:val="17"/>
          <w:szCs w:val="17"/>
        </w:rPr>
        <w:t xml:space="preserve">8, </w:t>
      </w:r>
      <w:r w:rsidRPr="002A5C89">
        <w:rPr>
          <w:rFonts w:ascii="Arial" w:hAnsi="Arial" w:cs="Arial"/>
          <w:spacing w:val="-6"/>
          <w:kern w:val="17"/>
          <w:sz w:val="17"/>
          <w:szCs w:val="17"/>
        </w:rPr>
        <w:t>2018</w:t>
      </w:r>
      <w:r w:rsidR="00A76046" w:rsidRPr="002A5C89">
        <w:rPr>
          <w:rFonts w:ascii="Arial" w:hAnsi="Arial" w:cs="Arial"/>
          <w:spacing w:val="-6"/>
          <w:kern w:val="17"/>
          <w:sz w:val="17"/>
          <w:szCs w:val="17"/>
        </w:rPr>
        <w:t>,</w:t>
      </w:r>
      <w:r w:rsidRPr="002A5C89">
        <w:rPr>
          <w:rFonts w:ascii="Arial" w:hAnsi="Arial" w:cs="Arial"/>
          <w:spacing w:val="-6"/>
          <w:kern w:val="17"/>
          <w:sz w:val="17"/>
          <w:szCs w:val="17"/>
        </w:rPr>
        <w:t xml:space="preserve"> www.statista.com/study/37206/live-music-statista-dossier/</w:t>
      </w:r>
      <w:r w:rsidR="004465E2" w:rsidRPr="002A5C89">
        <w:rPr>
          <w:rFonts w:ascii="Arial" w:hAnsi="Arial" w:cs="Arial"/>
          <w:spacing w:val="-6"/>
          <w:kern w:val="17"/>
          <w:sz w:val="17"/>
          <w:szCs w:val="17"/>
        </w:rPr>
        <w:t>.</w:t>
      </w:r>
    </w:p>
  </w:footnote>
  <w:footnote w:id="7">
    <w:p w14:paraId="3C85EAB9" w14:textId="77777777" w:rsidR="00837B28" w:rsidRPr="004B221A" w:rsidRDefault="00837B28" w:rsidP="00837B28">
      <w:pPr>
        <w:pStyle w:val="CommentText"/>
        <w:jc w:val="both"/>
        <w:rPr>
          <w:rFonts w:ascii="Arial" w:hAnsi="Arial" w:cs="Arial"/>
          <w:sz w:val="17"/>
          <w:szCs w:val="17"/>
        </w:rPr>
      </w:pPr>
      <w:r w:rsidRPr="004B221A">
        <w:rPr>
          <w:rStyle w:val="FootnoteReference"/>
          <w:rFonts w:ascii="Arial" w:hAnsi="Arial" w:cs="Arial"/>
          <w:sz w:val="17"/>
          <w:szCs w:val="17"/>
        </w:rPr>
        <w:footnoteRef/>
      </w:r>
      <w:r w:rsidRPr="004B221A">
        <w:rPr>
          <w:rFonts w:ascii="Arial" w:hAnsi="Arial" w:cs="Arial"/>
          <w:sz w:val="17"/>
          <w:szCs w:val="17"/>
        </w:rPr>
        <w:t xml:space="preserve"> Radio-frequency </w:t>
      </w:r>
      <w:r>
        <w:rPr>
          <w:rFonts w:ascii="Arial" w:hAnsi="Arial" w:cs="Arial"/>
          <w:sz w:val="17"/>
          <w:szCs w:val="17"/>
        </w:rPr>
        <w:t>identification chips were read</w:t>
      </w:r>
      <w:r w:rsidRPr="004B221A">
        <w:rPr>
          <w:rFonts w:ascii="Arial" w:hAnsi="Arial" w:cs="Arial"/>
          <w:sz w:val="17"/>
          <w:szCs w:val="17"/>
        </w:rPr>
        <w:t xml:space="preserve"> </w:t>
      </w:r>
      <w:r>
        <w:rPr>
          <w:rFonts w:ascii="Arial" w:hAnsi="Arial" w:cs="Arial"/>
          <w:sz w:val="17"/>
          <w:szCs w:val="17"/>
        </w:rPr>
        <w:t>using radio waves</w:t>
      </w:r>
      <w:r w:rsidRPr="004B221A">
        <w:rPr>
          <w:rFonts w:ascii="Arial" w:hAnsi="Arial" w:cs="Arial"/>
          <w:sz w:val="17"/>
          <w:szCs w:val="17"/>
        </w:rPr>
        <w:t>.</w:t>
      </w:r>
    </w:p>
  </w:footnote>
  <w:footnote w:id="8">
    <w:p w14:paraId="220E9DE3" w14:textId="7D8837E3" w:rsidR="004F0055" w:rsidRPr="004B221A" w:rsidRDefault="004F0055" w:rsidP="004B221A">
      <w:pPr>
        <w:pStyle w:val="CommentText"/>
        <w:jc w:val="both"/>
        <w:rPr>
          <w:rFonts w:ascii="Arial" w:hAnsi="Arial" w:cs="Arial"/>
          <w:sz w:val="17"/>
          <w:szCs w:val="17"/>
        </w:rPr>
      </w:pPr>
      <w:r w:rsidRPr="004B221A">
        <w:rPr>
          <w:rStyle w:val="FootnoteReference"/>
          <w:rFonts w:ascii="Arial" w:hAnsi="Arial" w:cs="Arial"/>
          <w:sz w:val="17"/>
          <w:szCs w:val="17"/>
        </w:rPr>
        <w:footnoteRef/>
      </w:r>
      <w:r w:rsidRPr="004B221A">
        <w:rPr>
          <w:rFonts w:ascii="Arial" w:hAnsi="Arial" w:cs="Arial"/>
          <w:sz w:val="17"/>
          <w:szCs w:val="17"/>
        </w:rPr>
        <w:t xml:space="preserve"> Cost of </w:t>
      </w:r>
      <w:r w:rsidR="00837B28">
        <w:rPr>
          <w:rFonts w:ascii="Arial" w:hAnsi="Arial" w:cs="Arial"/>
          <w:sz w:val="17"/>
          <w:szCs w:val="17"/>
        </w:rPr>
        <w:t>sales</w:t>
      </w:r>
      <w:r w:rsidR="00837B28" w:rsidRPr="004B221A">
        <w:rPr>
          <w:rFonts w:ascii="Arial" w:hAnsi="Arial" w:cs="Arial"/>
          <w:sz w:val="17"/>
          <w:szCs w:val="17"/>
        </w:rPr>
        <w:t xml:space="preserve"> </w:t>
      </w:r>
      <w:r w:rsidR="00837B28">
        <w:rPr>
          <w:rFonts w:ascii="Arial" w:hAnsi="Arial" w:cs="Arial"/>
          <w:sz w:val="17"/>
          <w:szCs w:val="17"/>
        </w:rPr>
        <w:t>was</w:t>
      </w:r>
      <w:r w:rsidR="00837B28" w:rsidRPr="004B221A">
        <w:rPr>
          <w:rFonts w:ascii="Arial" w:hAnsi="Arial" w:cs="Arial"/>
          <w:sz w:val="17"/>
          <w:szCs w:val="17"/>
        </w:rPr>
        <w:t xml:space="preserve"> </w:t>
      </w:r>
      <w:r w:rsidRPr="004B221A">
        <w:rPr>
          <w:rFonts w:ascii="Arial" w:hAnsi="Arial" w:cs="Arial"/>
          <w:sz w:val="17"/>
          <w:szCs w:val="17"/>
        </w:rPr>
        <w:t>expected to continue at present levels.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C6E9169" w:rsidR="004F0055" w:rsidRPr="00C92CC4" w:rsidRDefault="004F005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44B50">
      <w:rPr>
        <w:rFonts w:ascii="Arial" w:hAnsi="Arial"/>
        <w:b/>
        <w:noProof/>
      </w:rPr>
      <w:t>9</w:t>
    </w:r>
    <w:r>
      <w:rPr>
        <w:rFonts w:ascii="Arial" w:hAnsi="Arial"/>
        <w:b/>
      </w:rPr>
      <w:fldChar w:fldCharType="end"/>
    </w:r>
    <w:r>
      <w:rPr>
        <w:rFonts w:ascii="Arial" w:hAnsi="Arial"/>
        <w:b/>
      </w:rPr>
      <w:tab/>
    </w:r>
    <w:r w:rsidR="00F44B50">
      <w:rPr>
        <w:rFonts w:ascii="Arial" w:hAnsi="Arial"/>
        <w:b/>
      </w:rPr>
      <w:t>9B19M089</w:t>
    </w:r>
  </w:p>
  <w:p w14:paraId="2B53C0A0" w14:textId="77777777" w:rsidR="004F0055" w:rsidRDefault="004F0055" w:rsidP="00D13667">
    <w:pPr>
      <w:pStyle w:val="Header"/>
      <w:tabs>
        <w:tab w:val="clear" w:pos="4680"/>
      </w:tabs>
      <w:rPr>
        <w:sz w:val="18"/>
        <w:szCs w:val="18"/>
      </w:rPr>
    </w:pPr>
  </w:p>
  <w:p w14:paraId="47119730" w14:textId="77777777" w:rsidR="004F0055" w:rsidRPr="00C92CC4" w:rsidRDefault="004F005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54FE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048A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C2B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0208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5C32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4E1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E67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288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DCAC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423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7B2"/>
    <w:rsid w:val="000111B8"/>
    <w:rsid w:val="00013360"/>
    <w:rsid w:val="00016759"/>
    <w:rsid w:val="000216CE"/>
    <w:rsid w:val="00021C1A"/>
    <w:rsid w:val="00024ED4"/>
    <w:rsid w:val="00025DC7"/>
    <w:rsid w:val="00032BF3"/>
    <w:rsid w:val="00035BE1"/>
    <w:rsid w:val="00035F09"/>
    <w:rsid w:val="00044ECC"/>
    <w:rsid w:val="000531D3"/>
    <w:rsid w:val="0005646B"/>
    <w:rsid w:val="0005664D"/>
    <w:rsid w:val="000615D1"/>
    <w:rsid w:val="0008102D"/>
    <w:rsid w:val="00086B26"/>
    <w:rsid w:val="00094C0E"/>
    <w:rsid w:val="000A131A"/>
    <w:rsid w:val="000A146D"/>
    <w:rsid w:val="000A4FA3"/>
    <w:rsid w:val="000B17D0"/>
    <w:rsid w:val="000B38DE"/>
    <w:rsid w:val="000C6055"/>
    <w:rsid w:val="000C609B"/>
    <w:rsid w:val="000D2A2F"/>
    <w:rsid w:val="000D7091"/>
    <w:rsid w:val="000F0C22"/>
    <w:rsid w:val="000F6B09"/>
    <w:rsid w:val="000F6FDC"/>
    <w:rsid w:val="00104567"/>
    <w:rsid w:val="00104916"/>
    <w:rsid w:val="00104AA7"/>
    <w:rsid w:val="00121A53"/>
    <w:rsid w:val="001235AD"/>
    <w:rsid w:val="0012732D"/>
    <w:rsid w:val="00131582"/>
    <w:rsid w:val="00143F25"/>
    <w:rsid w:val="00152682"/>
    <w:rsid w:val="00153B49"/>
    <w:rsid w:val="00154FC9"/>
    <w:rsid w:val="001901C0"/>
    <w:rsid w:val="0019241A"/>
    <w:rsid w:val="00192A18"/>
    <w:rsid w:val="001A22D1"/>
    <w:rsid w:val="001A752D"/>
    <w:rsid w:val="001A757E"/>
    <w:rsid w:val="001B4046"/>
    <w:rsid w:val="001B5032"/>
    <w:rsid w:val="001C7777"/>
    <w:rsid w:val="001D344B"/>
    <w:rsid w:val="001E364F"/>
    <w:rsid w:val="001F4222"/>
    <w:rsid w:val="00203AA1"/>
    <w:rsid w:val="00213E98"/>
    <w:rsid w:val="0022743A"/>
    <w:rsid w:val="00230150"/>
    <w:rsid w:val="0023081A"/>
    <w:rsid w:val="00233111"/>
    <w:rsid w:val="00265FA8"/>
    <w:rsid w:val="002A3BD1"/>
    <w:rsid w:val="002A5C89"/>
    <w:rsid w:val="002A6182"/>
    <w:rsid w:val="002A7FD1"/>
    <w:rsid w:val="002B1875"/>
    <w:rsid w:val="002B1F86"/>
    <w:rsid w:val="002B3ED2"/>
    <w:rsid w:val="002B40FF"/>
    <w:rsid w:val="002C4E29"/>
    <w:rsid w:val="002D0000"/>
    <w:rsid w:val="002F460C"/>
    <w:rsid w:val="002F48D6"/>
    <w:rsid w:val="002F63C6"/>
    <w:rsid w:val="003060B8"/>
    <w:rsid w:val="00313BE4"/>
    <w:rsid w:val="00317391"/>
    <w:rsid w:val="00326216"/>
    <w:rsid w:val="00330B6F"/>
    <w:rsid w:val="00336580"/>
    <w:rsid w:val="00354899"/>
    <w:rsid w:val="00355FD6"/>
    <w:rsid w:val="00364A5C"/>
    <w:rsid w:val="00373FB1"/>
    <w:rsid w:val="00396C76"/>
    <w:rsid w:val="003A2AC5"/>
    <w:rsid w:val="003B30D8"/>
    <w:rsid w:val="003B7EF2"/>
    <w:rsid w:val="003C3FA4"/>
    <w:rsid w:val="003D0BA1"/>
    <w:rsid w:val="003D17D1"/>
    <w:rsid w:val="003D77FD"/>
    <w:rsid w:val="003D7D6F"/>
    <w:rsid w:val="003F2B0C"/>
    <w:rsid w:val="003F32E3"/>
    <w:rsid w:val="004105B2"/>
    <w:rsid w:val="0041145A"/>
    <w:rsid w:val="00412900"/>
    <w:rsid w:val="00421641"/>
    <w:rsid w:val="004221E4"/>
    <w:rsid w:val="004273F8"/>
    <w:rsid w:val="00431C49"/>
    <w:rsid w:val="00433967"/>
    <w:rsid w:val="004355A3"/>
    <w:rsid w:val="00446546"/>
    <w:rsid w:val="004465E2"/>
    <w:rsid w:val="00452769"/>
    <w:rsid w:val="00454FA7"/>
    <w:rsid w:val="00464685"/>
    <w:rsid w:val="00465348"/>
    <w:rsid w:val="00473622"/>
    <w:rsid w:val="004777A8"/>
    <w:rsid w:val="00490920"/>
    <w:rsid w:val="004979A5"/>
    <w:rsid w:val="004A25E0"/>
    <w:rsid w:val="004A44CE"/>
    <w:rsid w:val="004B1CCB"/>
    <w:rsid w:val="004B221A"/>
    <w:rsid w:val="004B3292"/>
    <w:rsid w:val="004B632F"/>
    <w:rsid w:val="004D3FB1"/>
    <w:rsid w:val="004D65B0"/>
    <w:rsid w:val="004D6F21"/>
    <w:rsid w:val="004D73A5"/>
    <w:rsid w:val="004E39CB"/>
    <w:rsid w:val="004F0055"/>
    <w:rsid w:val="005160F1"/>
    <w:rsid w:val="00524F2F"/>
    <w:rsid w:val="00527E5C"/>
    <w:rsid w:val="00532313"/>
    <w:rsid w:val="00532CF5"/>
    <w:rsid w:val="005430E9"/>
    <w:rsid w:val="005528CB"/>
    <w:rsid w:val="00557C2C"/>
    <w:rsid w:val="00566771"/>
    <w:rsid w:val="005760EA"/>
    <w:rsid w:val="00581E2E"/>
    <w:rsid w:val="00584F15"/>
    <w:rsid w:val="00587EB0"/>
    <w:rsid w:val="00594452"/>
    <w:rsid w:val="0059514B"/>
    <w:rsid w:val="005A1B0F"/>
    <w:rsid w:val="005B49EF"/>
    <w:rsid w:val="005B4CE6"/>
    <w:rsid w:val="005B5EFE"/>
    <w:rsid w:val="005C0007"/>
    <w:rsid w:val="006137A9"/>
    <w:rsid w:val="006163F7"/>
    <w:rsid w:val="006214E0"/>
    <w:rsid w:val="00627C63"/>
    <w:rsid w:val="0063350B"/>
    <w:rsid w:val="00634186"/>
    <w:rsid w:val="00652606"/>
    <w:rsid w:val="006878CC"/>
    <w:rsid w:val="006946EE"/>
    <w:rsid w:val="006A58A9"/>
    <w:rsid w:val="006A606D"/>
    <w:rsid w:val="006C0371"/>
    <w:rsid w:val="006C08B6"/>
    <w:rsid w:val="006C0B1A"/>
    <w:rsid w:val="006C57FC"/>
    <w:rsid w:val="006C6065"/>
    <w:rsid w:val="006C7F9F"/>
    <w:rsid w:val="006E0A6B"/>
    <w:rsid w:val="006E1C16"/>
    <w:rsid w:val="006E2F6D"/>
    <w:rsid w:val="006E58F6"/>
    <w:rsid w:val="006E77E1"/>
    <w:rsid w:val="006E7ED8"/>
    <w:rsid w:val="006F131D"/>
    <w:rsid w:val="00711642"/>
    <w:rsid w:val="0071652E"/>
    <w:rsid w:val="007507C6"/>
    <w:rsid w:val="00751E0B"/>
    <w:rsid w:val="00752BCD"/>
    <w:rsid w:val="00766DA1"/>
    <w:rsid w:val="00780D94"/>
    <w:rsid w:val="007866A6"/>
    <w:rsid w:val="007A130D"/>
    <w:rsid w:val="007B0EF5"/>
    <w:rsid w:val="007B520B"/>
    <w:rsid w:val="007D1A2D"/>
    <w:rsid w:val="007D32E6"/>
    <w:rsid w:val="007D4102"/>
    <w:rsid w:val="007E54A7"/>
    <w:rsid w:val="007E70A4"/>
    <w:rsid w:val="007F43B7"/>
    <w:rsid w:val="00801746"/>
    <w:rsid w:val="00803D63"/>
    <w:rsid w:val="00821FFC"/>
    <w:rsid w:val="008271CA"/>
    <w:rsid w:val="00837B28"/>
    <w:rsid w:val="008467D5"/>
    <w:rsid w:val="0088298A"/>
    <w:rsid w:val="008A4DC4"/>
    <w:rsid w:val="008B0569"/>
    <w:rsid w:val="008B438C"/>
    <w:rsid w:val="008C1F15"/>
    <w:rsid w:val="008D06CA"/>
    <w:rsid w:val="008D3A46"/>
    <w:rsid w:val="008D6D58"/>
    <w:rsid w:val="008E4AF0"/>
    <w:rsid w:val="008F2385"/>
    <w:rsid w:val="008F42A5"/>
    <w:rsid w:val="009067A4"/>
    <w:rsid w:val="00930885"/>
    <w:rsid w:val="00933D68"/>
    <w:rsid w:val="009340DB"/>
    <w:rsid w:val="0094604E"/>
    <w:rsid w:val="0094618C"/>
    <w:rsid w:val="0095684B"/>
    <w:rsid w:val="00972498"/>
    <w:rsid w:val="0097481F"/>
    <w:rsid w:val="00974CC6"/>
    <w:rsid w:val="00976AD4"/>
    <w:rsid w:val="009860E9"/>
    <w:rsid w:val="00995547"/>
    <w:rsid w:val="009A312F"/>
    <w:rsid w:val="009A5348"/>
    <w:rsid w:val="009B0AB7"/>
    <w:rsid w:val="009C2F27"/>
    <w:rsid w:val="009C76D5"/>
    <w:rsid w:val="009E65BA"/>
    <w:rsid w:val="009F7AA4"/>
    <w:rsid w:val="00A10AD7"/>
    <w:rsid w:val="00A323B0"/>
    <w:rsid w:val="00A36163"/>
    <w:rsid w:val="00A559DB"/>
    <w:rsid w:val="00A569EA"/>
    <w:rsid w:val="00A56E71"/>
    <w:rsid w:val="00A57DF0"/>
    <w:rsid w:val="00A676A0"/>
    <w:rsid w:val="00A70221"/>
    <w:rsid w:val="00A76046"/>
    <w:rsid w:val="00A96957"/>
    <w:rsid w:val="00AB6FAB"/>
    <w:rsid w:val="00AF35FC"/>
    <w:rsid w:val="00AF5556"/>
    <w:rsid w:val="00AF7ED5"/>
    <w:rsid w:val="00B03639"/>
    <w:rsid w:val="00B0652A"/>
    <w:rsid w:val="00B07686"/>
    <w:rsid w:val="00B1625E"/>
    <w:rsid w:val="00B20639"/>
    <w:rsid w:val="00B40937"/>
    <w:rsid w:val="00B423EF"/>
    <w:rsid w:val="00B453DE"/>
    <w:rsid w:val="00B62497"/>
    <w:rsid w:val="00B648E3"/>
    <w:rsid w:val="00B72597"/>
    <w:rsid w:val="00B754EA"/>
    <w:rsid w:val="00B87DC0"/>
    <w:rsid w:val="00B901F9"/>
    <w:rsid w:val="00BB3465"/>
    <w:rsid w:val="00BC4D98"/>
    <w:rsid w:val="00BC6ED1"/>
    <w:rsid w:val="00BC7BDD"/>
    <w:rsid w:val="00BD6EFB"/>
    <w:rsid w:val="00BE0B46"/>
    <w:rsid w:val="00BE3DF5"/>
    <w:rsid w:val="00BE5B52"/>
    <w:rsid w:val="00BE5C39"/>
    <w:rsid w:val="00BF560F"/>
    <w:rsid w:val="00BF5EAB"/>
    <w:rsid w:val="00C02410"/>
    <w:rsid w:val="00C14BF9"/>
    <w:rsid w:val="00C1584D"/>
    <w:rsid w:val="00C15BE2"/>
    <w:rsid w:val="00C22AF2"/>
    <w:rsid w:val="00C3447F"/>
    <w:rsid w:val="00C44714"/>
    <w:rsid w:val="00C57532"/>
    <w:rsid w:val="00C67102"/>
    <w:rsid w:val="00C71C57"/>
    <w:rsid w:val="00C75AFF"/>
    <w:rsid w:val="00C81491"/>
    <w:rsid w:val="00C81676"/>
    <w:rsid w:val="00C85C5D"/>
    <w:rsid w:val="00C92CC4"/>
    <w:rsid w:val="00C93CC9"/>
    <w:rsid w:val="00C9715C"/>
    <w:rsid w:val="00CA0AFB"/>
    <w:rsid w:val="00CA0D3C"/>
    <w:rsid w:val="00CA1F8F"/>
    <w:rsid w:val="00CA2CE1"/>
    <w:rsid w:val="00CA3976"/>
    <w:rsid w:val="00CA50E3"/>
    <w:rsid w:val="00CA757B"/>
    <w:rsid w:val="00CC0BCA"/>
    <w:rsid w:val="00CC1787"/>
    <w:rsid w:val="00CC182C"/>
    <w:rsid w:val="00CD0824"/>
    <w:rsid w:val="00CD08CE"/>
    <w:rsid w:val="00CD2908"/>
    <w:rsid w:val="00CD3CA9"/>
    <w:rsid w:val="00CF23D3"/>
    <w:rsid w:val="00CF3493"/>
    <w:rsid w:val="00D01E53"/>
    <w:rsid w:val="00D03A82"/>
    <w:rsid w:val="00D075C6"/>
    <w:rsid w:val="00D13667"/>
    <w:rsid w:val="00D15344"/>
    <w:rsid w:val="00D23F57"/>
    <w:rsid w:val="00D31BEC"/>
    <w:rsid w:val="00D50AE9"/>
    <w:rsid w:val="00D63150"/>
    <w:rsid w:val="00D636BA"/>
    <w:rsid w:val="00D64A32"/>
    <w:rsid w:val="00D64EFC"/>
    <w:rsid w:val="00D75295"/>
    <w:rsid w:val="00D76CE9"/>
    <w:rsid w:val="00D97F12"/>
    <w:rsid w:val="00DA6095"/>
    <w:rsid w:val="00DB42E7"/>
    <w:rsid w:val="00DC09D8"/>
    <w:rsid w:val="00DD7F34"/>
    <w:rsid w:val="00DE01A6"/>
    <w:rsid w:val="00DE7A98"/>
    <w:rsid w:val="00DF0411"/>
    <w:rsid w:val="00DF32C2"/>
    <w:rsid w:val="00DF4C51"/>
    <w:rsid w:val="00E0545B"/>
    <w:rsid w:val="00E15466"/>
    <w:rsid w:val="00E32655"/>
    <w:rsid w:val="00E471A7"/>
    <w:rsid w:val="00E52BE8"/>
    <w:rsid w:val="00E635CF"/>
    <w:rsid w:val="00E641C3"/>
    <w:rsid w:val="00E95A36"/>
    <w:rsid w:val="00EA40FA"/>
    <w:rsid w:val="00EB1E3B"/>
    <w:rsid w:val="00EC5420"/>
    <w:rsid w:val="00EC6E0A"/>
    <w:rsid w:val="00ED2C67"/>
    <w:rsid w:val="00ED4E18"/>
    <w:rsid w:val="00ED7922"/>
    <w:rsid w:val="00EE02C4"/>
    <w:rsid w:val="00EE1F37"/>
    <w:rsid w:val="00F0159C"/>
    <w:rsid w:val="00F105B7"/>
    <w:rsid w:val="00F13220"/>
    <w:rsid w:val="00F17A21"/>
    <w:rsid w:val="00F36FC2"/>
    <w:rsid w:val="00F37600"/>
    <w:rsid w:val="00F37B27"/>
    <w:rsid w:val="00F44B50"/>
    <w:rsid w:val="00F44D30"/>
    <w:rsid w:val="00F46556"/>
    <w:rsid w:val="00F50E91"/>
    <w:rsid w:val="00F56799"/>
    <w:rsid w:val="00F57D29"/>
    <w:rsid w:val="00F60786"/>
    <w:rsid w:val="00F76B7E"/>
    <w:rsid w:val="00F91BC7"/>
    <w:rsid w:val="00F96201"/>
    <w:rsid w:val="00F97F7F"/>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F5F1098D-85CA-4320-8F53-4C616DF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qFormat/>
    <w:rsid w:val="004B221A"/>
    <w:rPr>
      <w:lang w:val="en-GB"/>
    </w:rPr>
  </w:style>
  <w:style w:type="character" w:customStyle="1" w:styleId="CommentTextChar">
    <w:name w:val="Comment Text Char"/>
    <w:basedOn w:val="DefaultParagraphFont"/>
    <w:link w:val="CommentText"/>
    <w:rsid w:val="004B221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DDD44-6A1E-427F-BAF1-AF87254C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2019-08-26T16:05:00Z</dcterms:created>
  <dcterms:modified xsi:type="dcterms:W3CDTF">2019-08-26T16:05:00Z</dcterms:modified>
</cp:coreProperties>
</file>