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F9B45" w14:textId="77777777" w:rsidR="00D72740" w:rsidRPr="00734162" w:rsidRDefault="00D72740" w:rsidP="00D72740">
      <w:pPr>
        <w:pBdr>
          <w:bottom w:val="single" w:sz="18" w:space="1" w:color="auto"/>
        </w:pBdr>
        <w:tabs>
          <w:tab w:val="left" w:pos="-1440"/>
          <w:tab w:val="left" w:pos="-720"/>
          <w:tab w:val="left" w:pos="1"/>
        </w:tabs>
        <w:jc w:val="both"/>
        <w:rPr>
          <w:rFonts w:ascii="Arial" w:hAnsi="Arial"/>
          <w:b/>
          <w:szCs w:val="20"/>
          <w:lang w:val="en-GB"/>
        </w:rPr>
      </w:pPr>
      <w:r w:rsidRPr="00734162">
        <w:rPr>
          <w:rFonts w:ascii="Arial" w:hAnsi="Arial"/>
          <w:b/>
          <w:noProof/>
          <w:szCs w:val="20"/>
          <w:lang w:eastAsia="en-CA"/>
        </w:rPr>
        <w:drawing>
          <wp:inline distT="0" distB="0" distL="0" distR="0" wp14:anchorId="02EEB9EF" wp14:editId="1B5FC7E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4A46CCD" w14:textId="6765ECED" w:rsidR="00D72740" w:rsidRPr="00734162" w:rsidRDefault="00D11D61" w:rsidP="00D72740">
      <w:pPr>
        <w:jc w:val="right"/>
        <w:rPr>
          <w:rFonts w:ascii="Arial" w:hAnsi="Arial"/>
          <w:b/>
          <w:caps/>
          <w:szCs w:val="20"/>
          <w:lang w:val="en-GB"/>
        </w:rPr>
      </w:pPr>
      <w:r>
        <w:rPr>
          <w:rFonts w:ascii="Arial" w:hAnsi="Arial"/>
          <w:b/>
          <w:caps/>
          <w:szCs w:val="20"/>
          <w:lang w:val="en-GB"/>
        </w:rPr>
        <w:t>9B19M</w:t>
      </w:r>
      <w:r w:rsidR="005437B4">
        <w:rPr>
          <w:rFonts w:ascii="Arial" w:hAnsi="Arial"/>
          <w:b/>
          <w:caps/>
          <w:szCs w:val="20"/>
          <w:lang w:val="en-GB"/>
        </w:rPr>
        <w:t>095</w:t>
      </w:r>
    </w:p>
    <w:p w14:paraId="4E057522" w14:textId="7A113CB1" w:rsidR="00D75295" w:rsidRPr="00734162" w:rsidRDefault="00D75295" w:rsidP="00D75295">
      <w:pPr>
        <w:jc w:val="right"/>
        <w:rPr>
          <w:rFonts w:ascii="Arial" w:hAnsi="Arial"/>
          <w:b/>
          <w:lang w:val="en-GB"/>
        </w:rPr>
      </w:pPr>
    </w:p>
    <w:p w14:paraId="02524312" w14:textId="77777777" w:rsidR="001901C0" w:rsidRPr="00734162" w:rsidRDefault="001901C0" w:rsidP="00D75295">
      <w:pPr>
        <w:jc w:val="right"/>
        <w:rPr>
          <w:rFonts w:ascii="Arial" w:hAnsi="Arial"/>
          <w:b/>
          <w:lang w:val="en-GB"/>
        </w:rPr>
      </w:pPr>
    </w:p>
    <w:p w14:paraId="2F03D26A" w14:textId="304FB42D" w:rsidR="000B3186" w:rsidRPr="00734162" w:rsidRDefault="006F4D05" w:rsidP="00013360">
      <w:pPr>
        <w:pStyle w:val="CaseTitle"/>
        <w:spacing w:after="0" w:line="240" w:lineRule="auto"/>
        <w:rPr>
          <w:sz w:val="20"/>
          <w:szCs w:val="20"/>
          <w:lang w:val="en-GB"/>
        </w:rPr>
      </w:pPr>
      <w:r w:rsidRPr="00734162">
        <w:rPr>
          <w:rFonts w:eastAsia="Times New Roman"/>
          <w:shd w:val="clear" w:color="auto" w:fill="FFFFFF"/>
          <w:lang w:val="en-GB" w:eastAsia="en-IN"/>
        </w:rPr>
        <w:t>WALMART’S ACQUISITION</w:t>
      </w:r>
      <w:r w:rsidR="009712FB" w:rsidRPr="00734162">
        <w:rPr>
          <w:rFonts w:eastAsia="Times New Roman"/>
          <w:shd w:val="clear" w:color="auto" w:fill="FFFFFF"/>
          <w:lang w:val="en-GB" w:eastAsia="en-IN"/>
        </w:rPr>
        <w:t xml:space="preserve"> of FLIPKART</w:t>
      </w:r>
      <w:r w:rsidRPr="00734162">
        <w:rPr>
          <w:rFonts w:eastAsia="Times New Roman"/>
          <w:shd w:val="clear" w:color="auto" w:fill="FFFFFF"/>
          <w:lang w:val="en-GB" w:eastAsia="en-IN"/>
        </w:rPr>
        <w:t xml:space="preserve">: </w:t>
      </w:r>
      <w:r w:rsidR="00051A6C">
        <w:rPr>
          <w:rFonts w:eastAsia="Times New Roman"/>
          <w:shd w:val="clear" w:color="auto" w:fill="FFFFFF"/>
          <w:lang w:val="en-GB" w:eastAsia="en-IN"/>
        </w:rPr>
        <w:t xml:space="preserve">A </w:t>
      </w:r>
      <w:r w:rsidRPr="00734162">
        <w:rPr>
          <w:rFonts w:eastAsia="Times New Roman"/>
          <w:shd w:val="clear" w:color="auto" w:fill="FFFFFF"/>
          <w:lang w:val="en-GB" w:eastAsia="en-IN"/>
        </w:rPr>
        <w:t>SHOWSTOPPER DEAL?</w:t>
      </w:r>
      <w:r w:rsidR="000B3186" w:rsidRPr="00734162">
        <w:rPr>
          <w:rStyle w:val="EndnoteReference"/>
          <w:lang w:val="en-GB"/>
        </w:rPr>
        <w:endnoteReference w:id="1"/>
      </w:r>
    </w:p>
    <w:p w14:paraId="40ABF6FD" w14:textId="77777777" w:rsidR="000B3186" w:rsidRPr="00734162" w:rsidRDefault="000B3186" w:rsidP="00013360">
      <w:pPr>
        <w:pStyle w:val="CaseTitle"/>
        <w:spacing w:after="0" w:line="240" w:lineRule="auto"/>
        <w:rPr>
          <w:sz w:val="20"/>
          <w:szCs w:val="20"/>
          <w:lang w:val="en-GB"/>
        </w:rPr>
      </w:pPr>
    </w:p>
    <w:p w14:paraId="202F1085" w14:textId="77777777" w:rsidR="000B3186" w:rsidRPr="00734162" w:rsidRDefault="000B3186" w:rsidP="00013360">
      <w:pPr>
        <w:pStyle w:val="CaseTitle"/>
        <w:spacing w:after="0" w:line="240" w:lineRule="auto"/>
        <w:rPr>
          <w:sz w:val="20"/>
          <w:szCs w:val="20"/>
          <w:lang w:val="en-GB"/>
        </w:rPr>
      </w:pPr>
    </w:p>
    <w:p w14:paraId="58B0C73F" w14:textId="310DB6F9" w:rsidR="000B3186" w:rsidRPr="00734162" w:rsidRDefault="000B3186" w:rsidP="00086B26">
      <w:pPr>
        <w:pStyle w:val="StyleCopyrightStatementAfter0ptBottomSinglesolidline1"/>
        <w:rPr>
          <w:lang w:val="en-GB"/>
        </w:rPr>
      </w:pPr>
      <w:r w:rsidRPr="00734162">
        <w:rPr>
          <w:lang w:val="en-GB"/>
        </w:rPr>
        <w:t>Tulsi Jayakumar and Sushmita Srivastava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B3186" w:rsidRPr="00734162" w:rsidRDefault="000B3186" w:rsidP="00086B26">
      <w:pPr>
        <w:pStyle w:val="StyleCopyrightStatementAfter0ptBottomSinglesolidline1"/>
        <w:rPr>
          <w:lang w:val="en-GB"/>
        </w:rPr>
      </w:pPr>
    </w:p>
    <w:p w14:paraId="4C2BE4FD" w14:textId="77777777" w:rsidR="00D72740" w:rsidRPr="00734162" w:rsidRDefault="00D72740" w:rsidP="00D72740">
      <w:pPr>
        <w:pStyle w:val="StyleStyleCopyrightStatementAfter0ptBottomSinglesolid"/>
        <w:rPr>
          <w:rFonts w:cs="Arial"/>
          <w:szCs w:val="16"/>
          <w:lang w:val="en-GB"/>
        </w:rPr>
      </w:pPr>
      <w:r w:rsidRPr="00734162">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734162">
        <w:rPr>
          <w:rFonts w:cs="Arial"/>
          <w:color w:val="FFFFFF" w:themeColor="background1"/>
          <w:szCs w:val="16"/>
          <w:lang w:val="en-GB"/>
        </w:rPr>
        <w:t>i1v2e5y5pubs</w:t>
      </w:r>
    </w:p>
    <w:p w14:paraId="4AFC9161" w14:textId="77777777" w:rsidR="00D72740" w:rsidRPr="00734162" w:rsidRDefault="00D72740" w:rsidP="00D72740">
      <w:pPr>
        <w:pStyle w:val="StyleStyleCopyrightStatementAfter0ptBottomSinglesolid"/>
        <w:rPr>
          <w:rFonts w:cs="Arial"/>
          <w:szCs w:val="16"/>
          <w:lang w:val="en-GB"/>
        </w:rPr>
      </w:pPr>
    </w:p>
    <w:p w14:paraId="3922E14F" w14:textId="47C5B866" w:rsidR="000B3186" w:rsidRPr="00734162" w:rsidRDefault="00D72740" w:rsidP="00D72740">
      <w:pPr>
        <w:pStyle w:val="StyleStyleCopyrightStatementAfter0ptBottomSinglesolid"/>
        <w:rPr>
          <w:rFonts w:cs="Arial"/>
          <w:szCs w:val="16"/>
          <w:lang w:val="en-GB"/>
        </w:rPr>
      </w:pPr>
      <w:r w:rsidRPr="00734162">
        <w:rPr>
          <w:rFonts w:cs="Arial"/>
          <w:iCs w:val="0"/>
          <w:color w:val="auto"/>
          <w:szCs w:val="16"/>
          <w:lang w:val="en-GB"/>
        </w:rPr>
        <w:t>Copyright © 2019, Ivey Business School Foundation</w:t>
      </w:r>
      <w:r w:rsidRPr="00734162">
        <w:rPr>
          <w:rFonts w:cs="Arial"/>
          <w:iCs w:val="0"/>
          <w:color w:val="auto"/>
          <w:szCs w:val="16"/>
          <w:lang w:val="en-GB"/>
        </w:rPr>
        <w:tab/>
        <w:t>Version: 2019-</w:t>
      </w:r>
      <w:r w:rsidR="007E3981">
        <w:rPr>
          <w:rFonts w:cs="Arial"/>
          <w:iCs w:val="0"/>
          <w:color w:val="auto"/>
          <w:szCs w:val="16"/>
          <w:lang w:val="en-GB"/>
        </w:rPr>
        <w:t>10-0</w:t>
      </w:r>
      <w:r w:rsidR="00415B68">
        <w:rPr>
          <w:rFonts w:cs="Arial"/>
          <w:iCs w:val="0"/>
          <w:color w:val="auto"/>
          <w:szCs w:val="16"/>
          <w:lang w:val="en-GB"/>
        </w:rPr>
        <w:t>2</w:t>
      </w:r>
    </w:p>
    <w:p w14:paraId="0A2A54E4" w14:textId="77777777" w:rsidR="000B3186" w:rsidRPr="00734162" w:rsidRDefault="000B3186" w:rsidP="00751E0B">
      <w:pPr>
        <w:pStyle w:val="StyleCopyrightStatementAfter0ptBottomSinglesolidline1"/>
        <w:rPr>
          <w:rFonts w:ascii="Times New Roman" w:hAnsi="Times New Roman"/>
          <w:sz w:val="20"/>
          <w:lang w:val="en-GB"/>
        </w:rPr>
      </w:pPr>
    </w:p>
    <w:p w14:paraId="2C183161" w14:textId="77777777" w:rsidR="000B3186" w:rsidRPr="00734162" w:rsidRDefault="000B3186" w:rsidP="006F4D05">
      <w:pPr>
        <w:pStyle w:val="BodyTextMain"/>
        <w:rPr>
          <w:sz w:val="20"/>
          <w:lang w:val="en-GB"/>
        </w:rPr>
      </w:pPr>
    </w:p>
    <w:p w14:paraId="1FCB9F32" w14:textId="50A2F967" w:rsidR="000B3186" w:rsidRPr="007E3981" w:rsidRDefault="000B3186" w:rsidP="007E3981">
      <w:pPr>
        <w:pStyle w:val="BodyTextMain"/>
      </w:pPr>
      <w:r w:rsidRPr="007E3981">
        <w:t xml:space="preserve">In May 2018, the US retail giant Walmart Inc. </w:t>
      </w:r>
      <w:r w:rsidR="00A04988" w:rsidRPr="007E3981">
        <w:t xml:space="preserve">(Walmart) </w:t>
      </w:r>
      <w:r w:rsidRPr="007E3981">
        <w:t>announced its acquisition of a 77 per cent stake in Flipkart India Pvt. Ltd.</w:t>
      </w:r>
      <w:r w:rsidR="00BC5FF5" w:rsidRPr="007E3981">
        <w:t xml:space="preserve"> (Flipkart)</w:t>
      </w:r>
      <w:r w:rsidRPr="007E3981">
        <w:t>, an Indian e-commerce company, for US$16 billion</w:t>
      </w:r>
      <w:r w:rsidRPr="007E3981">
        <w:rPr>
          <w:rStyle w:val="EndnoteReference"/>
        </w:rPr>
        <w:endnoteReference w:id="2"/>
      </w:r>
      <w:r w:rsidRPr="007E3981">
        <w:rPr>
          <w:vertAlign w:val="superscript"/>
        </w:rPr>
        <w:t xml:space="preserve"> </w:t>
      </w:r>
      <w:r w:rsidRPr="007E3981">
        <w:t>at a valuation of $20 billion. It was the largest acquisition of an Indian company and the world’s biggest purchase of an e-commerce company.</w:t>
      </w:r>
      <w:r w:rsidRPr="007E3981">
        <w:rPr>
          <w:rStyle w:val="EndnoteReference"/>
        </w:rPr>
        <w:endnoteReference w:id="3"/>
      </w:r>
      <w:r w:rsidRPr="007E3981">
        <w:t xml:space="preserve"> The acquisition would, however, not result in the dissolution of the Flipkart brand, with Flipkart and Walmart continuing to maintain distinct brands and operating structures after the deal.</w:t>
      </w:r>
      <w:r w:rsidRPr="007E3981">
        <w:rPr>
          <w:rStyle w:val="EndnoteReference"/>
        </w:rPr>
        <w:endnoteReference w:id="4"/>
      </w:r>
    </w:p>
    <w:p w14:paraId="61A6FE61" w14:textId="77777777" w:rsidR="000B3186" w:rsidRPr="007E3981" w:rsidRDefault="000B3186" w:rsidP="007E3981">
      <w:pPr>
        <w:pStyle w:val="BodyTextMain"/>
      </w:pPr>
    </w:p>
    <w:p w14:paraId="5E79B870" w14:textId="6E363365" w:rsidR="000B3186" w:rsidRPr="007E3981" w:rsidRDefault="000B3186" w:rsidP="007E3981">
      <w:pPr>
        <w:pStyle w:val="BodyTextMain"/>
      </w:pPr>
      <w:r w:rsidRPr="007E3981">
        <w:t>The acquisition was meant to be a win-win for both entities. Amid tough regulatory restrictions on foreign investment in the Indian retail sector, Walmart had been</w:t>
      </w:r>
      <w:r w:rsidR="000A7F52" w:rsidRPr="007E3981">
        <w:t>, before the acquisition,</w:t>
      </w:r>
      <w:r w:rsidRPr="007E3981">
        <w:t xml:space="preserve"> a cash-and-carry wholesale business with 21 stores operating in India. With the acquisition of Flipkart, Walmart hoped to renew its attempt to crack the Indian retail market—a market where its global competitor, Amazon.com Inc., had already invested billions of dollars to grow its market.</w:t>
      </w:r>
      <w:r w:rsidRPr="007E3981">
        <w:rPr>
          <w:rStyle w:val="EndnoteReference"/>
        </w:rPr>
        <w:endnoteReference w:id="5"/>
      </w:r>
      <w:r w:rsidRPr="007E3981">
        <w:t xml:space="preserve"> For Flipkart, the acquisition meant not only additional capital to operate in a hypercompetitive environment but also the ability to access and leverage Walmart’s </w:t>
      </w:r>
      <w:proofErr w:type="spellStart"/>
      <w:r w:rsidRPr="007E3981">
        <w:t>omni</w:t>
      </w:r>
      <w:proofErr w:type="spellEnd"/>
      <w:r w:rsidRPr="007E3981">
        <w:t xml:space="preserve">-channel retail expertise and grocery and supply chain knowledge. </w:t>
      </w:r>
    </w:p>
    <w:p w14:paraId="7EA57B6C" w14:textId="77777777" w:rsidR="000B3186" w:rsidRPr="007E3981" w:rsidRDefault="000B3186" w:rsidP="007E3981">
      <w:pPr>
        <w:pStyle w:val="BodyTextMain"/>
      </w:pPr>
    </w:p>
    <w:p w14:paraId="2D7CDD2A" w14:textId="3AF62486" w:rsidR="000B3186" w:rsidRPr="007E3981" w:rsidRDefault="000B3186" w:rsidP="007E3981">
      <w:pPr>
        <w:pStyle w:val="BodyTextMain"/>
      </w:pPr>
      <w:r w:rsidRPr="007E3981">
        <w:t>However, even though the Flipkart acquisition seemed to align with Walmart’s strategy of globalizing its business and building its own arsenal of technology,</w:t>
      </w:r>
      <w:r w:rsidRPr="007E3981">
        <w:rPr>
          <w:rStyle w:val="EndnoteReference"/>
        </w:rPr>
        <w:endnoteReference w:id="6"/>
      </w:r>
      <w:r w:rsidRPr="007E3981">
        <w:t xml:space="preserve"> were there factors that could act as showstoppers? Human resource</w:t>
      </w:r>
      <w:r w:rsidR="000A7F52" w:rsidRPr="007E3981">
        <w:t>s</w:t>
      </w:r>
      <w:r w:rsidRPr="007E3981">
        <w:t xml:space="preserve"> (HR) issues and activities had been found to play a key role in the success of global mergers and acquisitions.</w:t>
      </w:r>
      <w:r w:rsidRPr="007E3981">
        <w:rPr>
          <w:rStyle w:val="EndnoteReference"/>
        </w:rPr>
        <w:endnoteReference w:id="7"/>
      </w:r>
      <w:r w:rsidRPr="007E3981">
        <w:t xml:space="preserve"> </w:t>
      </w:r>
      <w:r w:rsidR="000A7F52" w:rsidRPr="007E3981">
        <w:t xml:space="preserve">Were </w:t>
      </w:r>
      <w:r w:rsidRPr="007E3981">
        <w:t xml:space="preserve">Walmart’s detailed analysis and due diligence prior to the acquisition (e.g., in business, finances, markets, and law) sufficient to ensure a successful acquisition, or were there HR considerations that could affect the expected outcomes of the acquisition? How could Walmart ensure its acquisition </w:t>
      </w:r>
      <w:r w:rsidR="000A7F52" w:rsidRPr="007E3981">
        <w:t xml:space="preserve">would be </w:t>
      </w:r>
      <w:r w:rsidRPr="007E3981">
        <w:t>a success?</w:t>
      </w:r>
    </w:p>
    <w:p w14:paraId="2A3D62B6" w14:textId="77777777" w:rsidR="000B3186" w:rsidRPr="007E3981" w:rsidRDefault="000B3186" w:rsidP="007E3981">
      <w:pPr>
        <w:pStyle w:val="BodyTextMain"/>
      </w:pPr>
    </w:p>
    <w:p w14:paraId="60639C3B" w14:textId="77777777" w:rsidR="000B3186" w:rsidRPr="007E3981" w:rsidRDefault="000B3186" w:rsidP="007E3981">
      <w:pPr>
        <w:pStyle w:val="BodyTextMain"/>
      </w:pPr>
    </w:p>
    <w:p w14:paraId="10009A6A" w14:textId="03F7A8A2" w:rsidR="000B3186" w:rsidRPr="007E3981" w:rsidRDefault="000B3186" w:rsidP="007E3981">
      <w:pPr>
        <w:pStyle w:val="Casehead1"/>
      </w:pPr>
      <w:r w:rsidRPr="007E3981">
        <w:t>WALMART Inc.</w:t>
      </w:r>
    </w:p>
    <w:p w14:paraId="02309420" w14:textId="77777777" w:rsidR="000B3186" w:rsidRPr="007E3981" w:rsidRDefault="000B3186" w:rsidP="007E3981">
      <w:pPr>
        <w:pStyle w:val="BodyTextMain"/>
      </w:pPr>
    </w:p>
    <w:p w14:paraId="147D116B" w14:textId="0655ABEA" w:rsidR="000B3186" w:rsidRPr="007E3981" w:rsidRDefault="000B3186" w:rsidP="007E3981">
      <w:pPr>
        <w:pStyle w:val="BodyTextMain"/>
      </w:pPr>
      <w:r w:rsidRPr="007E3981">
        <w:t>Walmart was started by Sam Walton in 1962 in Rogers, Arkansas, as a retail store that offered low prices and great service to its customers. The company grew quickly and was incorporated as Wal-Mart Inc. in 1969—a name that was later changed to Wal-Mart Stores Inc. and in 2018, to Walmart Inc.</w:t>
      </w:r>
      <w:r w:rsidRPr="007E3981">
        <w:rPr>
          <w:rStyle w:val="EndnoteReference"/>
        </w:rPr>
        <w:endnoteReference w:id="8"/>
      </w:r>
      <w:r w:rsidRPr="007E3981">
        <w:t xml:space="preserve"> Walmart became a publicly traded company in 1970, with the first stock selling at $16.50 per share. </w:t>
      </w:r>
    </w:p>
    <w:p w14:paraId="564B294F" w14:textId="77777777" w:rsidR="000B3186" w:rsidRPr="007E3981" w:rsidRDefault="000B3186" w:rsidP="007E3981">
      <w:pPr>
        <w:pStyle w:val="BodyTextMain"/>
      </w:pPr>
    </w:p>
    <w:p w14:paraId="341439E4" w14:textId="4755813D" w:rsidR="000B3186" w:rsidRPr="000417DB" w:rsidRDefault="000B3186" w:rsidP="000417DB">
      <w:pPr>
        <w:pStyle w:val="BodyTextMain"/>
      </w:pPr>
      <w:r w:rsidRPr="000417DB">
        <w:lastRenderedPageBreak/>
        <w:t xml:space="preserve">Within two decades, Walmart had become the </w:t>
      </w:r>
      <w:r w:rsidR="000417DB" w:rsidRPr="000417DB">
        <w:t xml:space="preserve">United </w:t>
      </w:r>
      <w:proofErr w:type="spellStart"/>
      <w:r w:rsidR="000417DB" w:rsidRPr="000417DB">
        <w:t>States</w:t>
      </w:r>
      <w:r w:rsidRPr="000417DB">
        <w:t>’s</w:t>
      </w:r>
      <w:proofErr w:type="spellEnd"/>
      <w:r w:rsidRPr="000417DB">
        <w:t xml:space="preserve"> largest retailer. In 1991, it went global through a joint venture with </w:t>
      </w:r>
      <w:proofErr w:type="spellStart"/>
      <w:r w:rsidRPr="000417DB">
        <w:t>Cifra</w:t>
      </w:r>
      <w:proofErr w:type="spellEnd"/>
      <w:r w:rsidRPr="000417DB">
        <w:t xml:space="preserve"> S.A., a Mexican retail company. Over the next decade, Walmart expanded further into Canada, China, and the United Kingdom through acquisitions. In 2000, Walmart.com was founded, allowing American customers to shop online. The company made further mergers and acquisitions between 2000 and 2018, driving international expansion into Japan, Chile, India, and South Africa; the ventures also consolidated Walmart’s business in China</w:t>
      </w:r>
      <w:r w:rsidRPr="000417DB">
        <w:rPr>
          <w:rStyle w:val="NoSpacingChar"/>
          <w:rFonts w:ascii="Times New Roman" w:hAnsi="Times New Roman"/>
          <w:lang w:val="en-US"/>
        </w:rPr>
        <w:t>.</w:t>
      </w:r>
      <w:r w:rsidRPr="000417DB">
        <w:rPr>
          <w:rStyle w:val="EndnoteReference"/>
          <w:rFonts w:eastAsia="Calibri"/>
        </w:rPr>
        <w:endnoteReference w:id="9"/>
      </w:r>
    </w:p>
    <w:p w14:paraId="4B0B71DC" w14:textId="77777777" w:rsidR="000B3186" w:rsidRPr="000417DB" w:rsidRDefault="000B3186" w:rsidP="000417DB">
      <w:pPr>
        <w:pStyle w:val="BodyTextMain"/>
      </w:pPr>
    </w:p>
    <w:p w14:paraId="61C09AE2" w14:textId="53AADAA1" w:rsidR="000B3186" w:rsidRPr="000417DB" w:rsidRDefault="000B3186" w:rsidP="000417DB">
      <w:pPr>
        <w:pStyle w:val="BodyTextMain"/>
      </w:pPr>
      <w:r w:rsidRPr="000417DB">
        <w:t>Throughout its expansion, Walmart continued to be a privately owned company, with the Walton family, the richest family in the world, owning 51 per cent of the shares.</w:t>
      </w:r>
      <w:r w:rsidRPr="000417DB">
        <w:rPr>
          <w:rStyle w:val="EndnoteReference"/>
        </w:rPr>
        <w:endnoteReference w:id="10"/>
      </w:r>
      <w:r w:rsidRPr="000417DB">
        <w:t xml:space="preserve"> </w:t>
      </w:r>
    </w:p>
    <w:p w14:paraId="468862D2" w14:textId="77777777" w:rsidR="000B3186" w:rsidRPr="000417DB" w:rsidRDefault="000B3186" w:rsidP="000417DB">
      <w:pPr>
        <w:pStyle w:val="BodyTextMain"/>
      </w:pPr>
    </w:p>
    <w:p w14:paraId="7943EA54" w14:textId="77777777" w:rsidR="000B3186" w:rsidRPr="000417DB" w:rsidRDefault="000B3186" w:rsidP="000417DB">
      <w:pPr>
        <w:pStyle w:val="BodyTextMain"/>
      </w:pPr>
    </w:p>
    <w:p w14:paraId="43647982" w14:textId="687B26A2" w:rsidR="000B3186" w:rsidRPr="000417DB" w:rsidRDefault="000B3186" w:rsidP="000417DB">
      <w:pPr>
        <w:pStyle w:val="Casehead2"/>
      </w:pPr>
      <w:r w:rsidRPr="000417DB">
        <w:t>Human Resources at Walmart</w:t>
      </w:r>
    </w:p>
    <w:p w14:paraId="210BDB1F" w14:textId="77777777" w:rsidR="000B3186" w:rsidRPr="000417DB" w:rsidRDefault="000B3186" w:rsidP="000417DB">
      <w:pPr>
        <w:pStyle w:val="BodyTextMain"/>
      </w:pPr>
    </w:p>
    <w:p w14:paraId="00963C95" w14:textId="3C7D1060" w:rsidR="000B3186" w:rsidRPr="000417DB" w:rsidRDefault="000B3186" w:rsidP="000417DB">
      <w:pPr>
        <w:pStyle w:val="BodyTextMain"/>
      </w:pPr>
      <w:r w:rsidRPr="000417DB">
        <w:t xml:space="preserve">Walton credited the rapid growth of Walmart not just to the low costs that attracted customers but also to </w:t>
      </w:r>
      <w:r w:rsidR="000A7F52" w:rsidRPr="000417DB">
        <w:t xml:space="preserve">its </w:t>
      </w:r>
      <w:r w:rsidRPr="000417DB">
        <w:t>employees, whose number in 2015 was more than 2.3 million worldwide. He relied on them to give customers the great shopping experience that would keep them coming back.</w:t>
      </w:r>
      <w:r w:rsidRPr="000417DB">
        <w:rPr>
          <w:rStyle w:val="EndnoteReference"/>
        </w:rPr>
        <w:endnoteReference w:id="11"/>
      </w:r>
      <w:r w:rsidRPr="000417DB">
        <w:t xml:space="preserve"> Walton referred to his employees as “associates” and </w:t>
      </w:r>
      <w:r w:rsidR="000A7F52" w:rsidRPr="000417DB">
        <w:t xml:space="preserve">to </w:t>
      </w:r>
      <w:r w:rsidRPr="000417DB">
        <w:t xml:space="preserve">the HR division at Walmart as the “People Division,” </w:t>
      </w:r>
      <w:proofErr w:type="spellStart"/>
      <w:r w:rsidRPr="000417DB">
        <w:t>signalling</w:t>
      </w:r>
      <w:proofErr w:type="spellEnd"/>
      <w:r w:rsidRPr="000417DB">
        <w:t xml:space="preserve"> the importance he gave to his employees.</w:t>
      </w:r>
      <w:r w:rsidRPr="000417DB">
        <w:rPr>
          <w:rStyle w:val="EndnoteReference"/>
        </w:rPr>
        <w:endnoteReference w:id="12"/>
      </w:r>
      <w:r w:rsidRPr="000417DB">
        <w:t xml:space="preserve"> Walmart made its employees partners in the company’s success and relied on its associates to drive the company’s aggressive goals. </w:t>
      </w:r>
    </w:p>
    <w:p w14:paraId="1E9ED721" w14:textId="77777777" w:rsidR="000B3186" w:rsidRPr="000417DB" w:rsidRDefault="000B3186" w:rsidP="000417DB">
      <w:pPr>
        <w:pStyle w:val="BodyTextMain"/>
      </w:pPr>
    </w:p>
    <w:p w14:paraId="51890E4B" w14:textId="088358C6" w:rsidR="000B3186" w:rsidRPr="000417DB" w:rsidRDefault="000B3186" w:rsidP="000417DB">
      <w:pPr>
        <w:pStyle w:val="BodyTextMain"/>
      </w:pPr>
      <w:r w:rsidRPr="000417DB">
        <w:t>Walmart’s HR department lay at the heart of strategic management</w:t>
      </w:r>
      <w:r w:rsidR="000A7F52" w:rsidRPr="000417DB">
        <w:t>,</w:t>
      </w:r>
      <w:r w:rsidRPr="000417DB">
        <w:t xml:space="preserve"> and through its practices, it ensured the alignment of the company’s strategies along multiple dimensions (see Exhibit 1). For example, Walmart’s pricing strategy was “to provide value for the customers’ hard</w:t>
      </w:r>
      <w:r w:rsidR="000417DB" w:rsidRPr="000417DB">
        <w:t>-</w:t>
      </w:r>
      <w:r w:rsidRPr="000417DB">
        <w:t>earned money.”</w:t>
      </w:r>
      <w:r w:rsidRPr="000417DB">
        <w:rPr>
          <w:rStyle w:val="EndnoteReference"/>
        </w:rPr>
        <w:endnoteReference w:id="13"/>
      </w:r>
      <w:r w:rsidRPr="000417DB">
        <w:t xml:space="preserve"> </w:t>
      </w:r>
      <w:r w:rsidR="00873794" w:rsidRPr="000417DB">
        <w:t xml:space="preserve">The </w:t>
      </w:r>
      <w:r w:rsidRPr="000417DB">
        <w:t xml:space="preserve">HR strategy aligned with this </w:t>
      </w:r>
      <w:r w:rsidR="00873794" w:rsidRPr="000417DB">
        <w:t xml:space="preserve">pricing strategy </w:t>
      </w:r>
      <w:r w:rsidRPr="000417DB">
        <w:t xml:space="preserve">by ensuring that employees focused on holding down costs. The emphasis was on </w:t>
      </w:r>
      <w:r w:rsidR="00873794" w:rsidRPr="000417DB">
        <w:t xml:space="preserve">being </w:t>
      </w:r>
      <w:r w:rsidRPr="000417DB">
        <w:t>“lean” in strategic operations, and HR ensured operational success by holding employees operationally accountable for customer service, expense control, and inventory management.</w:t>
      </w:r>
      <w:r w:rsidRPr="000417DB">
        <w:rPr>
          <w:rStyle w:val="EndnoteReference"/>
        </w:rPr>
        <w:endnoteReference w:id="14"/>
      </w:r>
    </w:p>
    <w:p w14:paraId="2DBC04B0" w14:textId="77777777" w:rsidR="000B3186" w:rsidRPr="000417DB" w:rsidRDefault="000B3186" w:rsidP="000417DB">
      <w:pPr>
        <w:pStyle w:val="BodyTextMain"/>
      </w:pPr>
    </w:p>
    <w:p w14:paraId="49549CEF" w14:textId="3615DFDB" w:rsidR="000B3186" w:rsidRPr="000417DB" w:rsidRDefault="000B3186" w:rsidP="000417DB">
      <w:pPr>
        <w:pStyle w:val="BodyTextMain"/>
      </w:pPr>
      <w:r w:rsidRPr="000417DB">
        <w:t xml:space="preserve">Walmart valued learning and put effort into training and educating employees. </w:t>
      </w:r>
      <w:r w:rsidR="000A7F52" w:rsidRPr="000417DB">
        <w:t xml:space="preserve">The </w:t>
      </w:r>
      <w:r w:rsidRPr="000417DB">
        <w:t xml:space="preserve">HR </w:t>
      </w:r>
      <w:r w:rsidR="000A7F52" w:rsidRPr="000417DB">
        <w:t xml:space="preserve">department </w:t>
      </w:r>
      <w:r w:rsidRPr="000417DB">
        <w:t>provided employees with continuous training, feedback, and opportunities for improvement on superior execution. Training at the Walmart Training Academies early in an employee’s career with Walmart helped them absorb the Walmart culture; later training provided employees with the opportunity to develop advanced retail skills and management skills in leadership, change, and communication.</w:t>
      </w:r>
      <w:r w:rsidRPr="000417DB">
        <w:rPr>
          <w:rStyle w:val="EndnoteReference"/>
        </w:rPr>
        <w:endnoteReference w:id="15"/>
      </w:r>
      <w:r w:rsidRPr="000417DB">
        <w:t xml:space="preserve"> The Walmart culture, maintained and fostered by HR, nurtured a diverse group of people with an entrepreneurial mindset, who by design, had a stake in the success of the company. </w:t>
      </w:r>
    </w:p>
    <w:p w14:paraId="5883E8C7" w14:textId="77777777" w:rsidR="000B3186" w:rsidRPr="000417DB" w:rsidRDefault="000B3186" w:rsidP="000417DB">
      <w:pPr>
        <w:pStyle w:val="BodyTextMain"/>
      </w:pPr>
    </w:p>
    <w:p w14:paraId="0F9E7A10" w14:textId="47805787" w:rsidR="000B3186" w:rsidRPr="000417DB" w:rsidRDefault="000B3186" w:rsidP="000417DB">
      <w:pPr>
        <w:pStyle w:val="BodyTextMain"/>
      </w:pPr>
      <w:r w:rsidRPr="000417DB">
        <w:t xml:space="preserve">Walmart culture encouraged “service to the customer” as a core value. The </w:t>
      </w:r>
      <w:r w:rsidR="000A7F52" w:rsidRPr="000417DB">
        <w:t xml:space="preserve">employee </w:t>
      </w:r>
      <w:proofErr w:type="spellStart"/>
      <w:r w:rsidRPr="000417DB">
        <w:t>behaviours</w:t>
      </w:r>
      <w:proofErr w:type="spellEnd"/>
      <w:r w:rsidRPr="000417DB">
        <w:t xml:space="preserve"> corresponding to this value were to put the customer first and to be frontline</w:t>
      </w:r>
      <w:r w:rsidR="000A7F52" w:rsidRPr="000417DB">
        <w:t>-</w:t>
      </w:r>
      <w:r w:rsidRPr="000417DB">
        <w:t>focused.</w:t>
      </w:r>
      <w:r w:rsidRPr="000417DB">
        <w:rPr>
          <w:rStyle w:val="EndnoteReference"/>
        </w:rPr>
        <w:endnoteReference w:id="16"/>
      </w:r>
      <w:r w:rsidRPr="000417DB">
        <w:rPr>
          <w:vertAlign w:val="superscript"/>
        </w:rPr>
        <w:t xml:space="preserve"> </w:t>
      </w:r>
      <w:r w:rsidR="000A7F52" w:rsidRPr="000417DB">
        <w:t xml:space="preserve">The </w:t>
      </w:r>
      <w:r w:rsidRPr="000417DB">
        <w:t xml:space="preserve">HR </w:t>
      </w:r>
      <w:r w:rsidR="000A7F52" w:rsidRPr="000417DB">
        <w:t xml:space="preserve">department </w:t>
      </w:r>
      <w:r w:rsidRPr="000417DB">
        <w:t xml:space="preserve">assisted in connecting Walmart’s employees with its key products by expecting them to think and act “like retail merchants” and by empowering local managers and associates to make business decisions on behalf of customers, so as to improve customer service. HR’s emphasis on expense control followed a simple motto: As sales went up, expenses as a percentage of sales must always go down. The expense structure thus did not suffer from the weakness of rising expenses with rising sales. This </w:t>
      </w:r>
      <w:r w:rsidR="00873794" w:rsidRPr="000417DB">
        <w:t xml:space="preserve">approach </w:t>
      </w:r>
      <w:r w:rsidRPr="000417DB">
        <w:t>protected the company during downswings and passed on the benefits of growth to the company’s bottom line.</w:t>
      </w:r>
      <w:r w:rsidRPr="000417DB">
        <w:rPr>
          <w:rStyle w:val="EndnoteReference"/>
        </w:rPr>
        <w:endnoteReference w:id="17"/>
      </w:r>
      <w:r w:rsidRPr="000417DB">
        <w:t xml:space="preserve"> </w:t>
      </w:r>
    </w:p>
    <w:p w14:paraId="765F6C56" w14:textId="77777777" w:rsidR="000B3186" w:rsidRPr="000417DB" w:rsidRDefault="000B3186" w:rsidP="000417DB">
      <w:pPr>
        <w:pStyle w:val="BodyTextMain"/>
      </w:pPr>
    </w:p>
    <w:p w14:paraId="26C105DE" w14:textId="2E3A09ED" w:rsidR="000B3186" w:rsidRPr="000417DB" w:rsidRDefault="000B3186" w:rsidP="000417DB">
      <w:pPr>
        <w:pStyle w:val="BodyTextMain"/>
      </w:pPr>
      <w:r w:rsidRPr="000417DB">
        <w:t xml:space="preserve">The company’s growth across geographies could have been compromised without the presence of the right talent. </w:t>
      </w:r>
      <w:r w:rsidR="000A7F52" w:rsidRPr="000417DB">
        <w:t xml:space="preserve">Walmart’s </w:t>
      </w:r>
      <w:r w:rsidRPr="000417DB">
        <w:t xml:space="preserve">HR contributed to the company’s growth by aggressively hiring the best from over 100 colleges with retail institutes and providing the new hires with the best training. Walmart’s HR also reinforced the commitment to customer service that Walton himself had insisted on, by tying the business </w:t>
      </w:r>
      <w:r w:rsidRPr="000417DB">
        <w:lastRenderedPageBreak/>
        <w:t>risk associated with losing customers with the employees’ own risk of losing their jobs in case of decline of the company’s retail sales.</w:t>
      </w:r>
      <w:r w:rsidRPr="000417DB">
        <w:rPr>
          <w:rStyle w:val="EndnoteReference"/>
        </w:rPr>
        <w:endnoteReference w:id="18"/>
      </w:r>
    </w:p>
    <w:p w14:paraId="560ADA48" w14:textId="7B649198" w:rsidR="000B3186" w:rsidRDefault="000B3186" w:rsidP="000417DB">
      <w:pPr>
        <w:pStyle w:val="BodyTextMain"/>
      </w:pPr>
    </w:p>
    <w:p w14:paraId="5C326B0E" w14:textId="77777777" w:rsidR="000417DB" w:rsidRPr="000417DB" w:rsidRDefault="000417DB" w:rsidP="000417DB">
      <w:pPr>
        <w:pStyle w:val="BodyTextMain"/>
      </w:pPr>
    </w:p>
    <w:p w14:paraId="7964E4AE" w14:textId="77777777" w:rsidR="000B3186" w:rsidRPr="000417DB" w:rsidRDefault="000B3186" w:rsidP="000417DB">
      <w:pPr>
        <w:pStyle w:val="Casehead2"/>
      </w:pPr>
      <w:r w:rsidRPr="000417DB">
        <w:t>The Walmart Culture</w:t>
      </w:r>
    </w:p>
    <w:p w14:paraId="2EA5CFF6" w14:textId="2B3BE56D" w:rsidR="000B3186" w:rsidRPr="000417DB" w:rsidRDefault="000B3186" w:rsidP="000417DB">
      <w:pPr>
        <w:pStyle w:val="BodyTextMain"/>
      </w:pPr>
    </w:p>
    <w:p w14:paraId="023244E2" w14:textId="2D6ACCBF" w:rsidR="000B3186" w:rsidRPr="00B770FC" w:rsidRDefault="000B3186" w:rsidP="000417DB">
      <w:pPr>
        <w:pStyle w:val="BodyTextMain"/>
        <w:rPr>
          <w:spacing w:val="-2"/>
        </w:rPr>
      </w:pPr>
      <w:r w:rsidRPr="00B770FC">
        <w:rPr>
          <w:spacing w:val="-2"/>
        </w:rPr>
        <w:t xml:space="preserve">Walmart prided itself on the culture that had helped it achieve the success it had experienced in the 56 years of its existence. Based on high performance, the culture revolved around four values and their associated </w:t>
      </w:r>
      <w:proofErr w:type="spellStart"/>
      <w:r w:rsidRPr="00B770FC">
        <w:rPr>
          <w:spacing w:val="-2"/>
        </w:rPr>
        <w:t>behaviours</w:t>
      </w:r>
      <w:proofErr w:type="spellEnd"/>
      <w:r w:rsidRPr="00B770FC">
        <w:rPr>
          <w:spacing w:val="-2"/>
        </w:rPr>
        <w:t xml:space="preserve">, which every employee was expected to </w:t>
      </w:r>
      <w:proofErr w:type="spellStart"/>
      <w:r w:rsidRPr="00B770FC">
        <w:rPr>
          <w:spacing w:val="-2"/>
        </w:rPr>
        <w:t>practise</w:t>
      </w:r>
      <w:proofErr w:type="spellEnd"/>
      <w:r w:rsidRPr="00B770FC">
        <w:rPr>
          <w:spacing w:val="-2"/>
        </w:rPr>
        <w:t xml:space="preserve"> and demonstrate to help deliver business results. The four values were service to the customer, respect for the individual, strive for excellence, and act with integrity. Their corresponding </w:t>
      </w:r>
      <w:proofErr w:type="spellStart"/>
      <w:r w:rsidRPr="00B770FC">
        <w:rPr>
          <w:spacing w:val="-2"/>
        </w:rPr>
        <w:t>behaviours</w:t>
      </w:r>
      <w:proofErr w:type="spellEnd"/>
      <w:r w:rsidRPr="00B770FC">
        <w:rPr>
          <w:spacing w:val="-2"/>
        </w:rPr>
        <w:t xml:space="preserve">, numbering </w:t>
      </w:r>
      <w:r w:rsidR="0019745A" w:rsidRPr="00B770FC">
        <w:rPr>
          <w:spacing w:val="-2"/>
        </w:rPr>
        <w:t>12</w:t>
      </w:r>
      <w:r w:rsidRPr="00B770FC">
        <w:rPr>
          <w:spacing w:val="-2"/>
        </w:rPr>
        <w:t>, were customer first, frontline</w:t>
      </w:r>
      <w:r w:rsidR="0019745A" w:rsidRPr="00B770FC">
        <w:rPr>
          <w:spacing w:val="-2"/>
        </w:rPr>
        <w:t>-</w:t>
      </w:r>
      <w:r w:rsidRPr="00B770FC">
        <w:rPr>
          <w:spacing w:val="-2"/>
        </w:rPr>
        <w:t xml:space="preserve">focused, agile, listen, </w:t>
      </w:r>
      <w:proofErr w:type="spellStart"/>
      <w:r w:rsidRPr="00B770FC">
        <w:rPr>
          <w:spacing w:val="-2"/>
        </w:rPr>
        <w:t>lead</w:t>
      </w:r>
      <w:proofErr w:type="spellEnd"/>
      <w:r w:rsidRPr="00B770FC">
        <w:rPr>
          <w:spacing w:val="-2"/>
        </w:rPr>
        <w:t xml:space="preserve"> by example, inclusive, high performance, accountable, strategic, honest, fair, and courageous.</w:t>
      </w:r>
      <w:r w:rsidRPr="00B770FC">
        <w:rPr>
          <w:rStyle w:val="EndnoteReference"/>
          <w:spacing w:val="-2"/>
        </w:rPr>
        <w:endnoteReference w:id="19"/>
      </w:r>
    </w:p>
    <w:p w14:paraId="2A27E7CF" w14:textId="154C2986" w:rsidR="000B3186" w:rsidRPr="00B770FC" w:rsidRDefault="000B3186" w:rsidP="000417DB">
      <w:pPr>
        <w:pStyle w:val="BodyTextMain"/>
        <w:rPr>
          <w:spacing w:val="-2"/>
        </w:rPr>
      </w:pPr>
    </w:p>
    <w:p w14:paraId="64D254FC" w14:textId="7D8411B4" w:rsidR="000B3186" w:rsidRPr="000417DB" w:rsidRDefault="000B3186" w:rsidP="000417DB">
      <w:pPr>
        <w:pStyle w:val="BodyTextMain"/>
      </w:pPr>
      <w:r w:rsidRPr="000417DB">
        <w:t xml:space="preserve">This culture manifested as a set of policies, rules, and procedures developed over the years, which strove to empower employees while holding them accountable for achieving the company’s motto of customer service. Thus, while managers </w:t>
      </w:r>
      <w:proofErr w:type="spellStart"/>
      <w:r w:rsidRPr="000417DB">
        <w:t>practised</w:t>
      </w:r>
      <w:proofErr w:type="spellEnd"/>
      <w:r w:rsidRPr="000417DB">
        <w:t xml:space="preserve"> an open</w:t>
      </w:r>
      <w:r w:rsidR="0019745A" w:rsidRPr="000417DB">
        <w:t>-</w:t>
      </w:r>
      <w:r w:rsidRPr="000417DB">
        <w:t>door policy, being available to employees at all levels, employees had to practice a sundown rule, answering all customer and supplier queries on the same day they were raised. The corporate culture encouraged a grassroots process, striving to capture and implement suggestions and ideas from the sales floor and front lines, and employees were meant to follow a 10-foot rule at all times, making eye contact, greeting people, and offering help to customers who came within 10 feet</w:t>
      </w:r>
      <w:r w:rsidR="0019745A" w:rsidRPr="000417DB">
        <w:t xml:space="preserve"> (3 </w:t>
      </w:r>
      <w:proofErr w:type="spellStart"/>
      <w:r w:rsidR="0019745A" w:rsidRPr="000417DB">
        <w:t>metres</w:t>
      </w:r>
      <w:proofErr w:type="spellEnd"/>
      <w:r w:rsidR="0019745A" w:rsidRPr="000417DB">
        <w:t>)</w:t>
      </w:r>
      <w:r w:rsidRPr="000417DB">
        <w:t xml:space="preserve">. While the company encouraged the concept of servant leadership, with leaders in service to their team and not vice versa, employees were expected to practice the four values and their corresponding </w:t>
      </w:r>
      <w:proofErr w:type="spellStart"/>
      <w:r w:rsidRPr="000417DB">
        <w:t>behaviours</w:t>
      </w:r>
      <w:proofErr w:type="spellEnd"/>
      <w:r w:rsidRPr="000417DB">
        <w:t>.</w:t>
      </w:r>
      <w:r w:rsidRPr="000417DB">
        <w:rPr>
          <w:rStyle w:val="EndnoteReference"/>
        </w:rPr>
        <w:endnoteReference w:id="20"/>
      </w:r>
      <w:r w:rsidRPr="000417DB">
        <w:rPr>
          <w:vertAlign w:val="superscript"/>
        </w:rPr>
        <w:t xml:space="preserve"> </w:t>
      </w:r>
    </w:p>
    <w:p w14:paraId="74133025" w14:textId="77777777" w:rsidR="000B3186" w:rsidRPr="000417DB" w:rsidRDefault="000B3186" w:rsidP="000417DB">
      <w:pPr>
        <w:pStyle w:val="BodyTextMain"/>
      </w:pPr>
    </w:p>
    <w:p w14:paraId="1F2AEB29" w14:textId="20C54B6E" w:rsidR="000B3186" w:rsidRPr="000417DB" w:rsidRDefault="000B3186" w:rsidP="000417DB">
      <w:pPr>
        <w:pStyle w:val="BodyTextMain"/>
      </w:pPr>
      <w:r w:rsidRPr="000417DB">
        <w:t xml:space="preserve">Walmart, however, had found itself at the receiving end of criticism for its employee policies, being painted as an exploitative employer for its low wages and skimpy benefits. According to the critics, Walmart’s policies were ultimately driving down wages and were single-handedly responsible for reducing opportunities for middle-class Americans. The company had been subject to several lawsuits </w:t>
      </w:r>
      <w:r w:rsidR="0019745A" w:rsidRPr="000417DB">
        <w:t>file</w:t>
      </w:r>
      <w:r w:rsidR="00F47F7C" w:rsidRPr="000417DB">
        <w:t>d</w:t>
      </w:r>
      <w:r w:rsidR="0019745A" w:rsidRPr="000417DB">
        <w:t xml:space="preserve"> by employees </w:t>
      </w:r>
      <w:r w:rsidRPr="000417DB">
        <w:t>in the 1990s and 2000s for issues ranging from overtime violations to sexual harassment by managers and gender discrimination.</w:t>
      </w:r>
      <w:r w:rsidRPr="000417DB">
        <w:rPr>
          <w:rStyle w:val="EndnoteReference"/>
        </w:rPr>
        <w:endnoteReference w:id="21"/>
      </w:r>
    </w:p>
    <w:p w14:paraId="4C8C5724" w14:textId="77777777" w:rsidR="000B3186" w:rsidRPr="000417DB" w:rsidRDefault="000B3186" w:rsidP="000417DB">
      <w:pPr>
        <w:pStyle w:val="BodyTextMain"/>
      </w:pPr>
    </w:p>
    <w:p w14:paraId="3EF7D25A" w14:textId="71B4BEC2" w:rsidR="000B3186" w:rsidRPr="000417DB" w:rsidRDefault="000B3186" w:rsidP="000417DB">
      <w:pPr>
        <w:pStyle w:val="BodyTextMain"/>
      </w:pPr>
      <w:r w:rsidRPr="000417DB">
        <w:t>In an attempt to upgrade its reputation as an employer, Walmart had been trying to improve working conditions and rewards in an industry that was finding it difficult to hire and retain talent. In 2015, Walmart announced a $2.7 billion spend to raise its starting wage for new employees, offer them more training, and make work schedules more predictable. It also positioned itself as a “place of opportunity” where associates could “go as far as their hard work and talent” could take them. In January 2018, Walmart announced an increase in its starting wage rate to $11 an hour for its hourly employees in the United States, expanded paternity and maternal benefits, and a one-time cash bonus for all eligible employees based on their years of experience in the company, ranging from $200 for employees with less than two years of service to $1,000 for employees with more than 20 years of service.</w:t>
      </w:r>
      <w:r w:rsidRPr="000417DB">
        <w:rPr>
          <w:rStyle w:val="EndnoteReference"/>
        </w:rPr>
        <w:endnoteReference w:id="22"/>
      </w:r>
    </w:p>
    <w:p w14:paraId="444D8B1B" w14:textId="77777777" w:rsidR="000B3186" w:rsidRPr="000417DB" w:rsidRDefault="000B3186" w:rsidP="000417DB">
      <w:pPr>
        <w:pStyle w:val="BodyTextMain"/>
      </w:pPr>
    </w:p>
    <w:p w14:paraId="6DDE5E6D" w14:textId="1722AD6E" w:rsidR="000B3186" w:rsidRPr="000417DB" w:rsidRDefault="000B3186" w:rsidP="000417DB">
      <w:pPr>
        <w:pStyle w:val="BodyTextMain"/>
      </w:pPr>
      <w:r w:rsidRPr="000417DB">
        <w:t xml:space="preserve">However, while Walmart strove to empower and reward its employees to ensure customer service, the employees found working at Walmart challenging enough to rate Walmart 3.2 (on a </w:t>
      </w:r>
      <w:r w:rsidR="00F47F7C" w:rsidRPr="000417DB">
        <w:t>five</w:t>
      </w:r>
      <w:r w:rsidRPr="000417DB">
        <w:t>-point scale) on Glassdoor, a large global job and recruiting site.</w:t>
      </w:r>
      <w:r w:rsidRPr="000417DB">
        <w:rPr>
          <w:rStyle w:val="EndnoteReference"/>
        </w:rPr>
        <w:endnoteReference w:id="23"/>
      </w:r>
      <w:r w:rsidRPr="000417DB">
        <w:t xml:space="preserve"> Consequently, Walmart was nowhere within the top 100 places to work in the United States in 2019.</w:t>
      </w:r>
      <w:r w:rsidRPr="000417DB">
        <w:rPr>
          <w:rStyle w:val="EndnoteReference"/>
        </w:rPr>
        <w:endnoteReference w:id="24"/>
      </w:r>
      <w:r w:rsidRPr="000417DB">
        <w:t xml:space="preserve"> Only 55 per cent of those who posted on Glassdoor said they would recommend the company to their friends, while 66 per cent approved of the chief executive officer.</w:t>
      </w:r>
      <w:r w:rsidRPr="000417DB">
        <w:rPr>
          <w:rStyle w:val="EndnoteReference"/>
        </w:rPr>
        <w:endnoteReference w:id="25"/>
      </w:r>
      <w:r w:rsidRPr="000417DB">
        <w:t xml:space="preserve"> </w:t>
      </w:r>
    </w:p>
    <w:p w14:paraId="06D970B7" w14:textId="77777777" w:rsidR="000B3186" w:rsidRPr="000417DB" w:rsidRDefault="000B3186" w:rsidP="000417DB">
      <w:pPr>
        <w:pStyle w:val="BodyTextMain"/>
      </w:pPr>
    </w:p>
    <w:p w14:paraId="0056308A" w14:textId="52C8BE23" w:rsidR="000B3186" w:rsidRPr="000417DB" w:rsidRDefault="000B3186" w:rsidP="000417DB">
      <w:pPr>
        <w:pStyle w:val="BodyTextMain"/>
      </w:pPr>
      <w:r w:rsidRPr="000417DB">
        <w:t xml:space="preserve">The employee disenchantment arose partly from the manner in which customers treated employees, combined with the fanatic emphasis on customer service, which forbade employees from dealing with </w:t>
      </w:r>
      <w:r w:rsidRPr="000417DB">
        <w:lastRenderedPageBreak/>
        <w:t xml:space="preserve">offensive customer </w:t>
      </w:r>
      <w:proofErr w:type="spellStart"/>
      <w:r w:rsidRPr="000417DB">
        <w:t>behaviour</w:t>
      </w:r>
      <w:proofErr w:type="spellEnd"/>
      <w:r w:rsidRPr="000417DB">
        <w:t xml:space="preserve">. Employee dissatisfaction could also be linked to the </w:t>
      </w:r>
      <w:proofErr w:type="spellStart"/>
      <w:r w:rsidRPr="000417DB">
        <w:t>behaviour</w:t>
      </w:r>
      <w:proofErr w:type="spellEnd"/>
      <w:r w:rsidRPr="000417DB">
        <w:t xml:space="preserve"> of managers, which employees attributed to poor HR management. Walmart employees who had spent almost a decade with the company spoke of the difficult time they had “dealing with too many chiefs” at the store.</w:t>
      </w:r>
      <w:r w:rsidRPr="000417DB">
        <w:rPr>
          <w:rStyle w:val="EndnoteReference"/>
        </w:rPr>
        <w:endnoteReference w:id="26"/>
      </w:r>
      <w:r w:rsidRPr="000417DB">
        <w:rPr>
          <w:vertAlign w:val="superscript"/>
        </w:rPr>
        <w:t xml:space="preserve"> </w:t>
      </w:r>
    </w:p>
    <w:p w14:paraId="20501924" w14:textId="77777777" w:rsidR="000B3186" w:rsidRPr="000417DB" w:rsidRDefault="000B3186" w:rsidP="000417DB">
      <w:pPr>
        <w:pStyle w:val="BodyTextMain"/>
      </w:pPr>
    </w:p>
    <w:p w14:paraId="11562D94" w14:textId="1459CE60" w:rsidR="000B3186" w:rsidRPr="00C1723E" w:rsidRDefault="000B3186" w:rsidP="00C1723E">
      <w:pPr>
        <w:pStyle w:val="BodyTextMain"/>
        <w:rPr>
          <w:spacing w:val="-4"/>
        </w:rPr>
      </w:pPr>
      <w:r w:rsidRPr="00C1723E">
        <w:rPr>
          <w:spacing w:val="-4"/>
        </w:rPr>
        <w:t>There was also a problem with understaffing at the stores, resulting in cash registers not being operated on busy days.</w:t>
      </w:r>
      <w:r w:rsidRPr="00C1723E">
        <w:rPr>
          <w:rStyle w:val="EndnoteReference"/>
          <w:spacing w:val="-4"/>
        </w:rPr>
        <w:endnoteReference w:id="27"/>
      </w:r>
      <w:r w:rsidRPr="00C1723E">
        <w:rPr>
          <w:spacing w:val="-4"/>
          <w:vertAlign w:val="superscript"/>
        </w:rPr>
        <w:t xml:space="preserve"> </w:t>
      </w:r>
      <w:r w:rsidRPr="00C1723E">
        <w:rPr>
          <w:spacing w:val="-4"/>
        </w:rPr>
        <w:t xml:space="preserve">While good work was recognized, </w:t>
      </w:r>
      <w:r w:rsidR="00D402F0" w:rsidRPr="00C1723E">
        <w:rPr>
          <w:spacing w:val="-4"/>
        </w:rPr>
        <w:t xml:space="preserve">it </w:t>
      </w:r>
      <w:r w:rsidRPr="00C1723E">
        <w:rPr>
          <w:spacing w:val="-4"/>
        </w:rPr>
        <w:t xml:space="preserve">created its own challenges, as posted by an ex-worker on </w:t>
      </w:r>
      <w:proofErr w:type="spellStart"/>
      <w:r w:rsidRPr="00C1723E">
        <w:rPr>
          <w:spacing w:val="-4"/>
        </w:rPr>
        <w:t>Quora</w:t>
      </w:r>
      <w:proofErr w:type="spellEnd"/>
      <w:r w:rsidRPr="00C1723E">
        <w:rPr>
          <w:spacing w:val="-4"/>
        </w:rPr>
        <w:t>:</w:t>
      </w:r>
    </w:p>
    <w:p w14:paraId="738008E4" w14:textId="77777777" w:rsidR="000B3186" w:rsidRPr="00C1723E" w:rsidRDefault="000B3186" w:rsidP="00C1723E">
      <w:pPr>
        <w:pStyle w:val="BodyTextMain"/>
      </w:pPr>
    </w:p>
    <w:p w14:paraId="49764701" w14:textId="72ACF227" w:rsidR="000B3186" w:rsidRPr="00C1723E" w:rsidRDefault="000B3186" w:rsidP="00C1723E">
      <w:pPr>
        <w:pStyle w:val="BodyTextMain"/>
        <w:ind w:left="720"/>
      </w:pPr>
      <w:r w:rsidRPr="00C1723E">
        <w:t>If you work hard and don’t mess around, your managers will usually give you the hours and call you in over other associates. However, that can sometimes be a problem. Then they’ll start to call you in constantly and, if you say no, they’ll get upset. (Especially if you have a history of going in, so then they expect you.)</w:t>
      </w:r>
      <w:r w:rsidRPr="00C1723E">
        <w:rPr>
          <w:rStyle w:val="EndnoteReference"/>
          <w:vertAlign w:val="baseline"/>
        </w:rPr>
        <w:t xml:space="preserve"> </w:t>
      </w:r>
      <w:r w:rsidRPr="00C1723E">
        <w:rPr>
          <w:rStyle w:val="EndnoteReference"/>
        </w:rPr>
        <w:endnoteReference w:id="28"/>
      </w:r>
    </w:p>
    <w:p w14:paraId="598EDB63" w14:textId="77777777" w:rsidR="000B3186" w:rsidRPr="00C1723E" w:rsidRDefault="000B3186" w:rsidP="00C1723E">
      <w:pPr>
        <w:pStyle w:val="BodyTextMain"/>
      </w:pPr>
    </w:p>
    <w:p w14:paraId="58833FA0" w14:textId="082416C1" w:rsidR="000B3186" w:rsidRPr="00C1723E" w:rsidRDefault="000B3186" w:rsidP="00C1723E">
      <w:pPr>
        <w:pStyle w:val="BodyTextMain"/>
      </w:pPr>
      <w:r w:rsidRPr="00C1723E">
        <w:t>Employees also complained of the layoffs, as posted by an associate who had worked at Walmart for more than five years:</w:t>
      </w:r>
    </w:p>
    <w:p w14:paraId="21FBADEC" w14:textId="5EC30478" w:rsidR="00D72740" w:rsidRPr="00C1723E" w:rsidRDefault="00D72740" w:rsidP="00C1723E">
      <w:pPr>
        <w:pStyle w:val="BodyTextMain"/>
      </w:pPr>
    </w:p>
    <w:p w14:paraId="7A8F623B" w14:textId="77777777" w:rsidR="00306B05" w:rsidRPr="00C1723E" w:rsidRDefault="00306B05" w:rsidP="00C1723E">
      <w:pPr>
        <w:pStyle w:val="BodyTextMain"/>
      </w:pPr>
    </w:p>
    <w:p w14:paraId="3A53744E" w14:textId="77777777" w:rsidR="000B3186" w:rsidRPr="00C1723E" w:rsidRDefault="000B3186" w:rsidP="00C1723E">
      <w:pPr>
        <w:pStyle w:val="Casehead3"/>
        <w:ind w:firstLine="720"/>
      </w:pPr>
      <w:r w:rsidRPr="00C1723E">
        <w:t>Cons</w:t>
      </w:r>
    </w:p>
    <w:p w14:paraId="09C97B5D" w14:textId="77777777" w:rsidR="000B3186" w:rsidRPr="00C1723E" w:rsidRDefault="000B3186" w:rsidP="00C1723E">
      <w:pPr>
        <w:pStyle w:val="BodyTextMain"/>
        <w:ind w:left="720"/>
      </w:pPr>
    </w:p>
    <w:p w14:paraId="27916E33" w14:textId="2EA1A1D0" w:rsidR="000B3186" w:rsidRPr="00C1723E" w:rsidRDefault="000B3186" w:rsidP="00C1723E">
      <w:pPr>
        <w:pStyle w:val="BodyTextMain"/>
        <w:ind w:left="720"/>
      </w:pPr>
      <w:r w:rsidRPr="00C1723E">
        <w:t>Every 18 months or so there are layoffs, and after a while this makes a lot of people not trust the company. Because the company has a big name, [it] tends to attract lots of big egos in management positions, which results in not very good management in some parts of the company.</w:t>
      </w:r>
    </w:p>
    <w:p w14:paraId="782E2ACD" w14:textId="61B8231E" w:rsidR="000B3186" w:rsidRPr="00C1723E" w:rsidRDefault="000B3186" w:rsidP="00C1723E">
      <w:pPr>
        <w:pStyle w:val="BodyTextMain"/>
        <w:ind w:left="720"/>
      </w:pPr>
    </w:p>
    <w:p w14:paraId="70282E61" w14:textId="77777777" w:rsidR="00306B05" w:rsidRPr="00C1723E" w:rsidRDefault="00306B05" w:rsidP="00C1723E">
      <w:pPr>
        <w:pStyle w:val="BodyTextMain"/>
      </w:pPr>
    </w:p>
    <w:p w14:paraId="7C58E5C8" w14:textId="45B9B63C" w:rsidR="000B3186" w:rsidRPr="00C1723E" w:rsidRDefault="000B3186" w:rsidP="00C1723E">
      <w:pPr>
        <w:pStyle w:val="Casehead3"/>
        <w:ind w:firstLine="720"/>
      </w:pPr>
      <w:r w:rsidRPr="00C1723E">
        <w:t>Advice to Management</w:t>
      </w:r>
    </w:p>
    <w:p w14:paraId="787F4E5A" w14:textId="77777777" w:rsidR="000B3186" w:rsidRPr="00C1723E" w:rsidRDefault="000B3186" w:rsidP="00C1723E">
      <w:pPr>
        <w:pStyle w:val="BodyTextMain"/>
        <w:ind w:left="720"/>
      </w:pPr>
    </w:p>
    <w:p w14:paraId="58F77F6A" w14:textId="55EB7BAD" w:rsidR="000B3186" w:rsidRPr="00C1723E" w:rsidRDefault="000B3186" w:rsidP="00C1723E">
      <w:pPr>
        <w:pStyle w:val="BodyTextMain"/>
        <w:ind w:left="720"/>
      </w:pPr>
      <w:r w:rsidRPr="00C1723E">
        <w:t>Manage HR better. They could do better in instructing some managers—VPs even—in how to be better servant leaders.</w:t>
      </w:r>
      <w:r w:rsidRPr="00C1723E">
        <w:rPr>
          <w:rStyle w:val="EndnoteReference"/>
        </w:rPr>
        <w:endnoteReference w:id="29"/>
      </w:r>
    </w:p>
    <w:p w14:paraId="29DFD7DB" w14:textId="77777777" w:rsidR="000B3186" w:rsidRPr="00C1723E" w:rsidRDefault="000B3186" w:rsidP="00C1723E">
      <w:pPr>
        <w:pStyle w:val="BodyTextMain"/>
      </w:pPr>
    </w:p>
    <w:p w14:paraId="0B68B7F1" w14:textId="18747EFA" w:rsidR="000B3186" w:rsidRPr="00C1723E" w:rsidRDefault="000B3186" w:rsidP="00C1723E">
      <w:pPr>
        <w:pStyle w:val="BodyTextMain"/>
      </w:pPr>
      <w:r w:rsidRPr="00C1723E">
        <w:t xml:space="preserve">More than 865 reviews posted on Glassdoor spoke of the lack of work–life balance, while 1,177 reviews questioned the integrity of management in scheduling associates for 38 hours per week so that </w:t>
      </w:r>
      <w:r w:rsidR="00E92686" w:rsidRPr="00C1723E">
        <w:t xml:space="preserve">the company </w:t>
      </w:r>
      <w:r w:rsidRPr="00C1723E">
        <w:t>could avoid paying full-time benefits.</w:t>
      </w:r>
      <w:r w:rsidRPr="00C1723E">
        <w:rPr>
          <w:rStyle w:val="EndnoteReference"/>
        </w:rPr>
        <w:endnoteReference w:id="30"/>
      </w:r>
    </w:p>
    <w:p w14:paraId="4B6541B0" w14:textId="77777777" w:rsidR="000B3186" w:rsidRPr="00C1723E" w:rsidRDefault="000B3186" w:rsidP="00C1723E">
      <w:pPr>
        <w:pStyle w:val="BodyTextMain"/>
      </w:pPr>
    </w:p>
    <w:p w14:paraId="0695CC11" w14:textId="67388C5B" w:rsidR="000B3186" w:rsidRPr="00C1723E" w:rsidRDefault="000B3186" w:rsidP="00C1723E">
      <w:pPr>
        <w:pStyle w:val="BodyTextMain"/>
      </w:pPr>
      <w:r w:rsidRPr="00C1723E">
        <w:t>Not all practices were appreciated either. One of these, for instance, was the Walmart cheer, a structured chant, which had been adopted by Walton in 1975, after a visit to a Korean tennis ball factory where he witnessed a group of workers performing a company cheer. The cheer itself was required to be used every morning by store associates and before shift changes, training sessions, and weekly meetings.</w:t>
      </w:r>
      <w:r w:rsidRPr="00C1723E">
        <w:rPr>
          <w:rStyle w:val="EndnoteReference"/>
          <w:vertAlign w:val="baseline"/>
        </w:rPr>
        <w:endnoteReference w:id="31"/>
      </w:r>
      <w:r w:rsidRPr="00C1723E">
        <w:t xml:space="preserve"> An online discussion thread revealed the employee attitude to the cheer:</w:t>
      </w:r>
    </w:p>
    <w:p w14:paraId="3BC25476" w14:textId="77777777" w:rsidR="000B3186" w:rsidRPr="00C1723E" w:rsidRDefault="000B3186" w:rsidP="00C1723E">
      <w:pPr>
        <w:pStyle w:val="BodyTextMain"/>
      </w:pPr>
    </w:p>
    <w:p w14:paraId="292EF3C2" w14:textId="23088512" w:rsidR="000B3186" w:rsidRPr="00C1723E" w:rsidRDefault="000B3186" w:rsidP="00C1723E">
      <w:pPr>
        <w:pStyle w:val="BodyTextMain"/>
        <w:ind w:left="720"/>
      </w:pPr>
      <w:r w:rsidRPr="00C1723E">
        <w:t>Dumbest nonsense there is. Demoralizing, condescending, and childish. Employees are FORCED to recite this cheer. You actually have to sign an acknowledgment specifically stating you are expected to participate in the cheer to get hired. Most employees would be very happy to NEVER [have] to [do] this nonsense again.</w:t>
      </w:r>
      <w:r w:rsidRPr="00C1723E">
        <w:rPr>
          <w:rStyle w:val="EndnoteReference"/>
        </w:rPr>
        <w:endnoteReference w:id="32"/>
      </w:r>
    </w:p>
    <w:p w14:paraId="094A187F" w14:textId="77777777" w:rsidR="000B3186" w:rsidRPr="00C1723E" w:rsidRDefault="000B3186" w:rsidP="00C1723E">
      <w:pPr>
        <w:pStyle w:val="BodyTextMain"/>
      </w:pPr>
    </w:p>
    <w:p w14:paraId="7A9A6A65" w14:textId="77777777" w:rsidR="000B3186" w:rsidRPr="00C1723E" w:rsidRDefault="000B3186" w:rsidP="00C1723E">
      <w:pPr>
        <w:pStyle w:val="BodyTextMain"/>
      </w:pPr>
    </w:p>
    <w:p w14:paraId="77C25BAA" w14:textId="77777777" w:rsidR="000B3186" w:rsidRPr="00C1723E" w:rsidRDefault="000B3186" w:rsidP="00C1723E">
      <w:pPr>
        <w:pStyle w:val="Casehead1"/>
      </w:pPr>
      <w:r w:rsidRPr="00C1723E">
        <w:t>FLIPKART</w:t>
      </w:r>
    </w:p>
    <w:p w14:paraId="76437C98" w14:textId="77777777" w:rsidR="000B3186" w:rsidRPr="00C1723E" w:rsidRDefault="000B3186" w:rsidP="00C1723E">
      <w:pPr>
        <w:pStyle w:val="BodyTextMain"/>
        <w:keepNext/>
      </w:pPr>
    </w:p>
    <w:p w14:paraId="3618DB0F" w14:textId="6B7E54D7" w:rsidR="000B3186" w:rsidRPr="00C1723E" w:rsidRDefault="000B3186" w:rsidP="00C1723E">
      <w:pPr>
        <w:pStyle w:val="BodyTextMain"/>
        <w:keepNext/>
        <w:rPr>
          <w:spacing w:val="-2"/>
        </w:rPr>
      </w:pPr>
      <w:r w:rsidRPr="00C1723E">
        <w:rPr>
          <w:spacing w:val="-2"/>
        </w:rPr>
        <w:t xml:space="preserve">Flipkart, an Indian start-up based in Bengaluru, was established in October 2007 by two graduates of the Indian Institute of Technology Delhi and former Amazon executives, </w:t>
      </w:r>
      <w:proofErr w:type="spellStart"/>
      <w:r w:rsidRPr="00C1723E">
        <w:rPr>
          <w:spacing w:val="-2"/>
        </w:rPr>
        <w:t>Sachin</w:t>
      </w:r>
      <w:proofErr w:type="spellEnd"/>
      <w:r w:rsidRPr="00C1723E">
        <w:rPr>
          <w:spacing w:val="-2"/>
        </w:rPr>
        <w:t xml:space="preserve"> Bansal and </w:t>
      </w:r>
      <w:proofErr w:type="spellStart"/>
      <w:r w:rsidRPr="00C1723E">
        <w:rPr>
          <w:spacing w:val="-2"/>
        </w:rPr>
        <w:t>Binny</w:t>
      </w:r>
      <w:proofErr w:type="spellEnd"/>
      <w:r w:rsidRPr="00C1723E">
        <w:rPr>
          <w:spacing w:val="-2"/>
        </w:rPr>
        <w:t xml:space="preserve"> Bansal. The Flipkart story—from its conceptualization as an e-retailer of books with an investment of a mere ₹400,000 </w:t>
      </w:r>
      <w:r w:rsidRPr="00C1723E">
        <w:rPr>
          <w:spacing w:val="-2"/>
        </w:rPr>
        <w:lastRenderedPageBreak/>
        <w:t>(just under $10,000)</w:t>
      </w:r>
      <w:r w:rsidRPr="00C1723E">
        <w:rPr>
          <w:rStyle w:val="EndnoteReference"/>
          <w:spacing w:val="-2"/>
        </w:rPr>
        <w:endnoteReference w:id="33"/>
      </w:r>
      <w:r w:rsidRPr="00C1723E">
        <w:rPr>
          <w:spacing w:val="-2"/>
        </w:rPr>
        <w:t xml:space="preserve"> to the largest e-commerce company in India by revenue,</w:t>
      </w:r>
      <w:r w:rsidRPr="00C1723E">
        <w:rPr>
          <w:rStyle w:val="EndnoteReference"/>
          <w:spacing w:val="-2"/>
        </w:rPr>
        <w:endnoteReference w:id="34"/>
      </w:r>
      <w:r w:rsidRPr="00C1723E">
        <w:rPr>
          <w:spacing w:val="-2"/>
        </w:rPr>
        <w:t xml:space="preserve"> which was then acquired by Walmart in a $16 billion deal—was a story that made Flipkart the model for homegrown Indian start-ups.</w:t>
      </w:r>
      <w:r w:rsidRPr="00C1723E">
        <w:rPr>
          <w:rStyle w:val="EndnoteReference"/>
          <w:spacing w:val="-2"/>
        </w:rPr>
        <w:endnoteReference w:id="35"/>
      </w:r>
      <w:r w:rsidRPr="00C1723E">
        <w:rPr>
          <w:spacing w:val="-2"/>
          <w:vertAlign w:val="superscript"/>
        </w:rPr>
        <w:t xml:space="preserve"> </w:t>
      </w:r>
    </w:p>
    <w:p w14:paraId="657FD06C" w14:textId="77777777" w:rsidR="000B3186" w:rsidRPr="00C1723E" w:rsidRDefault="000B3186" w:rsidP="00C1723E">
      <w:pPr>
        <w:pStyle w:val="BodyTextMain"/>
        <w:rPr>
          <w:spacing w:val="-2"/>
        </w:rPr>
      </w:pPr>
    </w:p>
    <w:p w14:paraId="7D29675D" w14:textId="5AD652DA" w:rsidR="000B3186" w:rsidRPr="00C1723E" w:rsidRDefault="000B3186" w:rsidP="00C1723E">
      <w:pPr>
        <w:pStyle w:val="BodyTextMain"/>
      </w:pPr>
      <w:r w:rsidRPr="00C1723E">
        <w:t xml:space="preserve">By 2009, the company had offices in Delhi and Mumbai, and in 2011, it acquired a Singapore domicile </w:t>
      </w:r>
      <w:r w:rsidR="00E92686" w:rsidRPr="00C1723E">
        <w:t xml:space="preserve">in an effort </w:t>
      </w:r>
      <w:r w:rsidRPr="00C1723E">
        <w:t>to woo foreign investors to fund rapid growth.</w:t>
      </w:r>
      <w:r w:rsidRPr="00C1723E">
        <w:rPr>
          <w:rStyle w:val="EndnoteReference"/>
        </w:rPr>
        <w:endnoteReference w:id="36"/>
      </w:r>
      <w:r w:rsidRPr="00C1723E">
        <w:rPr>
          <w:vertAlign w:val="superscript"/>
        </w:rPr>
        <w:t xml:space="preserve"> </w:t>
      </w:r>
      <w:r w:rsidR="00E92686" w:rsidRPr="00C1723E">
        <w:t xml:space="preserve">Since 2009, </w:t>
      </w:r>
      <w:r w:rsidRPr="00C1723E">
        <w:t>Flipkart had raised more than $4.4 billion in 11 funding rounds from foreign investors—funding that helped the online start-up withstand competition from Amazon</w:t>
      </w:r>
      <w:r w:rsidRPr="00C1723E">
        <w:rPr>
          <w:rStyle w:val="EndnoteReference"/>
        </w:rPr>
        <w:endnoteReference w:id="37"/>
      </w:r>
      <w:r w:rsidRPr="00C1723E">
        <w:t xml:space="preserve"> (see Exhibit 2) and grow through a string of acquisitions of other start-ups in diverse fields, ranging from </w:t>
      </w:r>
      <w:proofErr w:type="spellStart"/>
      <w:r w:rsidRPr="00C1723E">
        <w:t>weRead</w:t>
      </w:r>
      <w:proofErr w:type="spellEnd"/>
      <w:r w:rsidRPr="00C1723E">
        <w:t xml:space="preserve"> in </w:t>
      </w:r>
      <w:r w:rsidR="008323A0" w:rsidRPr="00C1723E">
        <w:t xml:space="preserve">2010 </w:t>
      </w:r>
      <w:r w:rsidRPr="00C1723E">
        <w:t>to eBay Inc.’s India operations in 2017 (see Exhibit 3).</w:t>
      </w:r>
      <w:r w:rsidRPr="00C1723E">
        <w:rPr>
          <w:rStyle w:val="EndnoteReference"/>
        </w:rPr>
        <w:endnoteReference w:id="38"/>
      </w:r>
      <w:r w:rsidRPr="00C1723E">
        <w:rPr>
          <w:vertAlign w:val="superscript"/>
        </w:rPr>
        <w:t xml:space="preserve"> </w:t>
      </w:r>
    </w:p>
    <w:p w14:paraId="2153410F" w14:textId="77777777" w:rsidR="000B3186" w:rsidRPr="00C1723E" w:rsidRDefault="000B3186" w:rsidP="00C1723E">
      <w:pPr>
        <w:pStyle w:val="BodyTextMain"/>
      </w:pPr>
    </w:p>
    <w:p w14:paraId="160FCC88" w14:textId="5AACCADA" w:rsidR="000B3186" w:rsidRPr="00C1723E" w:rsidRDefault="000B3186" w:rsidP="00C1723E">
      <w:pPr>
        <w:pStyle w:val="BodyTextMain"/>
      </w:pPr>
      <w:r w:rsidRPr="00C1723E">
        <w:t>In 2017, Flipkart had acquired a 31.9 per cent market share in India’s e-commerce space. However, the company’s financials were not as promising. In fiscal year (FY) 2016/17, the company’s consolidated losses had increased to ₹87.70 billion, from ₹52.16 billion in FY 2015/16, even as its consolidated revenue increased by 29 per cent to ₹198.55 billion in FY 2016/17.</w:t>
      </w:r>
      <w:r w:rsidRPr="00C1723E">
        <w:rPr>
          <w:rStyle w:val="EndnoteReference"/>
        </w:rPr>
        <w:endnoteReference w:id="39"/>
      </w:r>
    </w:p>
    <w:p w14:paraId="772633E0" w14:textId="77777777" w:rsidR="000B3186" w:rsidRPr="00C1723E" w:rsidRDefault="000B3186" w:rsidP="00C1723E">
      <w:pPr>
        <w:pStyle w:val="BodyTextMain"/>
      </w:pPr>
    </w:p>
    <w:p w14:paraId="7637B281" w14:textId="77777777" w:rsidR="000B3186" w:rsidRPr="00C1723E" w:rsidRDefault="000B3186" w:rsidP="00C1723E">
      <w:pPr>
        <w:pStyle w:val="BodyTextMain"/>
      </w:pPr>
    </w:p>
    <w:p w14:paraId="0FA11A9B" w14:textId="77777777" w:rsidR="000B3186" w:rsidRPr="00C1723E" w:rsidRDefault="000B3186" w:rsidP="00C1723E">
      <w:pPr>
        <w:pStyle w:val="Casehead2"/>
      </w:pPr>
      <w:r w:rsidRPr="00C1723E">
        <w:t xml:space="preserve">The Flipkart Culture </w:t>
      </w:r>
    </w:p>
    <w:p w14:paraId="32865419" w14:textId="77777777" w:rsidR="000B3186" w:rsidRPr="00C1723E" w:rsidRDefault="000B3186" w:rsidP="00C1723E">
      <w:pPr>
        <w:pStyle w:val="BodyTextMain"/>
      </w:pPr>
    </w:p>
    <w:p w14:paraId="7CC12730" w14:textId="7E5E8BF6" w:rsidR="000B3186" w:rsidRPr="00C1723E" w:rsidRDefault="000B3186" w:rsidP="00C1723E">
      <w:pPr>
        <w:pStyle w:val="BodyTextMain"/>
      </w:pPr>
      <w:r w:rsidRPr="00C1723E">
        <w:t xml:space="preserve">Less than a decade after </w:t>
      </w:r>
      <w:r w:rsidR="003D5B14" w:rsidRPr="00C1723E">
        <w:t xml:space="preserve">entering </w:t>
      </w:r>
      <w:r w:rsidRPr="00C1723E">
        <w:t>business, Flipkart had become the number</w:t>
      </w:r>
      <w:r w:rsidR="008323A0" w:rsidRPr="00C1723E">
        <w:t>-</w:t>
      </w:r>
      <w:r w:rsidRPr="00C1723E">
        <w:t xml:space="preserve">one company on LinkedIn’s list of top companies in India—a position </w:t>
      </w:r>
      <w:r w:rsidR="003D5B14" w:rsidRPr="00C1723E">
        <w:t xml:space="preserve">it </w:t>
      </w:r>
      <w:r w:rsidRPr="00C1723E">
        <w:t>held for two years (2016 and 2017) before slipping to second position in 2018.</w:t>
      </w:r>
      <w:r w:rsidRPr="00C1723E">
        <w:rPr>
          <w:rStyle w:val="EndnoteReference"/>
        </w:rPr>
        <w:endnoteReference w:id="40"/>
      </w:r>
      <w:r w:rsidRPr="00C1723E">
        <w:t xml:space="preserve"> Of 1,024 reviews on Glassdoor, Flipkart had received a rating of 4.2 on a </w:t>
      </w:r>
      <w:r w:rsidR="008323A0" w:rsidRPr="00C1723E">
        <w:t>five</w:t>
      </w:r>
      <w:r w:rsidRPr="00C1723E">
        <w:t>-point scale, with 85 per cent of the reviewers attesting that they would recommend the company to a friend.</w:t>
      </w:r>
      <w:r w:rsidRPr="00C1723E">
        <w:rPr>
          <w:rStyle w:val="EndnoteReference"/>
        </w:rPr>
        <w:endnoteReference w:id="41"/>
      </w:r>
      <w:r w:rsidRPr="00C1723E">
        <w:rPr>
          <w:vertAlign w:val="superscript"/>
        </w:rPr>
        <w:t xml:space="preserve"> </w:t>
      </w:r>
    </w:p>
    <w:p w14:paraId="15456792" w14:textId="77777777" w:rsidR="000B3186" w:rsidRPr="00C1723E" w:rsidRDefault="000B3186" w:rsidP="00C1723E">
      <w:pPr>
        <w:pStyle w:val="BodyTextMain"/>
      </w:pPr>
    </w:p>
    <w:p w14:paraId="665507DD" w14:textId="6C897DF3" w:rsidR="000B3186" w:rsidRPr="00C1723E" w:rsidRDefault="000B3186" w:rsidP="00C1723E">
      <w:pPr>
        <w:pStyle w:val="BodyTextMain"/>
      </w:pPr>
      <w:r w:rsidRPr="00C1723E">
        <w:t>Flipkart employees, who called themselves “</w:t>
      </w:r>
      <w:proofErr w:type="spellStart"/>
      <w:r w:rsidRPr="00C1723E">
        <w:t>Flipsters</w:t>
      </w:r>
      <w:proofErr w:type="spellEnd"/>
      <w:r w:rsidRPr="00C1723E">
        <w:t>,” attested to the open and empowering culture at Flipkart, built meticulously by its early leaders and their actions. Validation came even from employees who had left the company.</w:t>
      </w:r>
      <w:r w:rsidRPr="00C1723E">
        <w:rPr>
          <w:rStyle w:val="EndnoteReference"/>
        </w:rPr>
        <w:endnoteReference w:id="42"/>
      </w:r>
      <w:r w:rsidRPr="00C1723E">
        <w:t xml:space="preserve"> Flipkart’s culture was “steeped in fostering entrepreneurial traits of innovation, ownership, and calculated risk-taking.”</w:t>
      </w:r>
      <w:r w:rsidRPr="00C1723E">
        <w:rPr>
          <w:rStyle w:val="EndnoteReference"/>
        </w:rPr>
        <w:endnoteReference w:id="43"/>
      </w:r>
      <w:r w:rsidRPr="00C1723E">
        <w:t xml:space="preserve"> One example of such a culture was Flip-Out Fridays, a weekly forum where </w:t>
      </w:r>
      <w:proofErr w:type="spellStart"/>
      <w:r w:rsidRPr="00C1723E">
        <w:t>Flipsters</w:t>
      </w:r>
      <w:proofErr w:type="spellEnd"/>
      <w:r w:rsidRPr="00C1723E">
        <w:t xml:space="preserve"> could pose questions to their business leaders or even to the top management.</w:t>
      </w:r>
      <w:r w:rsidRPr="00C1723E">
        <w:rPr>
          <w:rStyle w:val="EndnoteReference"/>
        </w:rPr>
        <w:endnoteReference w:id="44"/>
      </w:r>
      <w:r w:rsidRPr="00C1723E">
        <w:rPr>
          <w:vertAlign w:val="superscript"/>
        </w:rPr>
        <w:t xml:space="preserve"> </w:t>
      </w:r>
    </w:p>
    <w:p w14:paraId="671B9FBF" w14:textId="77777777" w:rsidR="000B3186" w:rsidRPr="00C1723E" w:rsidRDefault="000B3186" w:rsidP="00C1723E">
      <w:pPr>
        <w:pStyle w:val="BodyTextMain"/>
      </w:pPr>
    </w:p>
    <w:p w14:paraId="29CC42E5" w14:textId="722168D9" w:rsidR="000B3186" w:rsidRPr="00C1723E" w:rsidRDefault="000B3186" w:rsidP="00C1723E">
      <w:pPr>
        <w:pStyle w:val="BodyTextMain"/>
      </w:pPr>
      <w:r w:rsidRPr="00C1723E">
        <w:t>Flipkart’s values—ownership, audacity, bias for action, and customer first,</w:t>
      </w:r>
      <w:r w:rsidRPr="00C1723E">
        <w:rPr>
          <w:rStyle w:val="EndnoteReference"/>
        </w:rPr>
        <w:endnoteReference w:id="45"/>
      </w:r>
      <w:r w:rsidRPr="00C1723E">
        <w:t xml:space="preserve"> which </w:t>
      </w:r>
      <w:proofErr w:type="gramStart"/>
      <w:r w:rsidRPr="00C1723E">
        <w:t>employees</w:t>
      </w:r>
      <w:proofErr w:type="gramEnd"/>
      <w:r w:rsidRPr="00C1723E">
        <w:t xml:space="preserve"> experienced first-hand—encouraged entrepreneurial initiative, even by new recruits and in areas that would be considered critical for the company’s strategy. Thus, for instance, Flipkart’s first order</w:t>
      </w:r>
      <w:r w:rsidR="003D5B14" w:rsidRPr="00C1723E">
        <w:t>-</w:t>
      </w:r>
      <w:r w:rsidRPr="00C1723E">
        <w:t>management system and e-Kart, the game changer in last</w:t>
      </w:r>
      <w:r w:rsidR="008323A0" w:rsidRPr="00C1723E">
        <w:t>-</w:t>
      </w:r>
      <w:r w:rsidRPr="00C1723E">
        <w:t>mile logistics, were conceived of and built by new employees at Flipkart.</w:t>
      </w:r>
      <w:r w:rsidRPr="00B770FC">
        <w:rPr>
          <w:rStyle w:val="EndnoteReference"/>
        </w:rPr>
        <w:endnoteReference w:id="46"/>
      </w:r>
      <w:r w:rsidRPr="00C1723E">
        <w:t xml:space="preserve"> A manager, </w:t>
      </w:r>
      <w:proofErr w:type="spellStart"/>
      <w:r w:rsidRPr="00C1723E">
        <w:t>Prarabdh</w:t>
      </w:r>
      <w:proofErr w:type="spellEnd"/>
      <w:r w:rsidRPr="00C1723E">
        <w:t xml:space="preserve"> </w:t>
      </w:r>
      <w:proofErr w:type="spellStart"/>
      <w:r w:rsidRPr="00C1723E">
        <w:t>Awasthi</w:t>
      </w:r>
      <w:proofErr w:type="spellEnd"/>
      <w:r w:rsidRPr="00C1723E">
        <w:t xml:space="preserve">, who had joined the company as an intern in 2010 and was credited with </w:t>
      </w:r>
      <w:r w:rsidR="003D5B14" w:rsidRPr="00C1723E">
        <w:t xml:space="preserve">having built </w:t>
      </w:r>
      <w:r w:rsidRPr="00C1723E">
        <w:t>Flipkart’s mobile site, explained the Flipkart culture:</w:t>
      </w:r>
    </w:p>
    <w:p w14:paraId="1C2F233C" w14:textId="77777777" w:rsidR="000B3186" w:rsidRPr="00B770FC" w:rsidRDefault="000B3186" w:rsidP="00B770FC">
      <w:pPr>
        <w:pStyle w:val="BodyTextMain"/>
        <w:ind w:left="720"/>
      </w:pPr>
    </w:p>
    <w:p w14:paraId="576778AE" w14:textId="08C8A05F" w:rsidR="000B3186" w:rsidRPr="00B770FC" w:rsidRDefault="000B3186" w:rsidP="00B770FC">
      <w:pPr>
        <w:pStyle w:val="BodyTextMain"/>
        <w:ind w:left="720"/>
      </w:pPr>
      <w:r w:rsidRPr="00B770FC">
        <w:t xml:space="preserve">I remember how during lunch many years back, we were talking about having a mobile website for Flipkart. </w:t>
      </w:r>
      <w:proofErr w:type="spellStart"/>
      <w:r w:rsidRPr="00B770FC">
        <w:t>Amod</w:t>
      </w:r>
      <w:proofErr w:type="spellEnd"/>
      <w:r w:rsidRPr="00B770FC">
        <w:t xml:space="preserve"> </w:t>
      </w:r>
      <w:proofErr w:type="spellStart"/>
      <w:r w:rsidRPr="00B770FC">
        <w:t>Malviya</w:t>
      </w:r>
      <w:proofErr w:type="spellEnd"/>
      <w:r w:rsidRPr="00B770FC">
        <w:t xml:space="preserve"> and </w:t>
      </w:r>
      <w:proofErr w:type="spellStart"/>
      <w:r w:rsidRPr="00B770FC">
        <w:t>Mekin</w:t>
      </w:r>
      <w:proofErr w:type="spellEnd"/>
      <w:r w:rsidRPr="00B770FC">
        <w:t xml:space="preserve"> </w:t>
      </w:r>
      <w:proofErr w:type="spellStart"/>
      <w:r w:rsidRPr="00B770FC">
        <w:t>Maheshwari</w:t>
      </w:r>
      <w:proofErr w:type="spellEnd"/>
      <w:r w:rsidRPr="00B770FC">
        <w:t xml:space="preserve">, both very senior folks, just told me to go ahead and build one. It was a weekend </w:t>
      </w:r>
      <w:proofErr w:type="spellStart"/>
      <w:r w:rsidRPr="00B770FC">
        <w:t>endeavour</w:t>
      </w:r>
      <w:proofErr w:type="spellEnd"/>
      <w:r w:rsidRPr="00B770FC">
        <w:t xml:space="preserve"> and we got the first cut into production in 48 hours flat. I was just a newbie to the role and the corporate world at that time, yet that had nothing to do with whether I could be given the responsibility or not. That feeling of empowerment is precious.</w:t>
      </w:r>
      <w:r w:rsidRPr="00B770FC">
        <w:rPr>
          <w:rStyle w:val="EndnoteReference"/>
        </w:rPr>
        <w:endnoteReference w:id="47"/>
      </w:r>
    </w:p>
    <w:p w14:paraId="378D9AC8" w14:textId="77777777" w:rsidR="000B3186" w:rsidRPr="00B770FC" w:rsidRDefault="000B3186" w:rsidP="00B770FC">
      <w:pPr>
        <w:pStyle w:val="BodyTextMain"/>
      </w:pPr>
    </w:p>
    <w:p w14:paraId="63C12315" w14:textId="4B4ADBD8" w:rsidR="000B3186" w:rsidRPr="00B770FC" w:rsidRDefault="000B3186" w:rsidP="00B770FC">
      <w:pPr>
        <w:pStyle w:val="BodyTextMain"/>
      </w:pPr>
      <w:proofErr w:type="spellStart"/>
      <w:r w:rsidRPr="00B770FC">
        <w:t>Maheshwari</w:t>
      </w:r>
      <w:proofErr w:type="spellEnd"/>
      <w:r w:rsidRPr="00B770FC">
        <w:t xml:space="preserve"> recalled </w:t>
      </w:r>
      <w:proofErr w:type="spellStart"/>
      <w:r w:rsidRPr="00B770FC">
        <w:t>Awasthi’s</w:t>
      </w:r>
      <w:proofErr w:type="spellEnd"/>
      <w:r w:rsidRPr="00B770FC">
        <w:t xml:space="preserve"> venture: “In two nights, he created a mobile site pushed it to production and then informed some of us—merely as a matter of fact! Nearly all Flipkart values—Ownership, Audacity, Bias for Action, and Customer First—had come alive in this instance.”</w:t>
      </w:r>
      <w:r w:rsidR="00734162" w:rsidRPr="00B770FC">
        <w:t xml:space="preserve"> </w:t>
      </w:r>
      <w:proofErr w:type="spellStart"/>
      <w:r w:rsidRPr="00B770FC">
        <w:t>Maheshwari</w:t>
      </w:r>
      <w:proofErr w:type="spellEnd"/>
      <w:r w:rsidRPr="00B770FC">
        <w:t xml:space="preserve"> considered the conception of e-Kart in 2010 as the “audacity” of a small young team, operating with autonomy and “ownership,” building their own logistics capability in a very short time.</w:t>
      </w:r>
      <w:r w:rsidRPr="00B770FC">
        <w:rPr>
          <w:rStyle w:val="EndnoteReference"/>
        </w:rPr>
        <w:endnoteReference w:id="48"/>
      </w:r>
      <w:r w:rsidRPr="00B770FC">
        <w:rPr>
          <w:vertAlign w:val="superscript"/>
        </w:rPr>
        <w:t xml:space="preserve"> </w:t>
      </w:r>
    </w:p>
    <w:p w14:paraId="57777D6D" w14:textId="77777777" w:rsidR="000B3186" w:rsidRPr="00B770FC" w:rsidRDefault="000B3186" w:rsidP="00B770FC">
      <w:pPr>
        <w:pStyle w:val="BodyTextMain"/>
      </w:pPr>
    </w:p>
    <w:p w14:paraId="39728116" w14:textId="36D67EF4" w:rsidR="000B3186" w:rsidRPr="00B770FC" w:rsidRDefault="000B3186" w:rsidP="00B770FC">
      <w:pPr>
        <w:pStyle w:val="BodyTextMain"/>
      </w:pPr>
      <w:r w:rsidRPr="00B770FC">
        <w:t>Flipkart was also seen as a workplace that treated women with equality and respect, and was known for providing employees with opportunities for “trailblazing career growth</w:t>
      </w:r>
      <w:r w:rsidR="003D5B14" w:rsidRPr="00B770FC">
        <w:t>,</w:t>
      </w:r>
      <w:r w:rsidRPr="00B770FC">
        <w:t>” work that was purposeful</w:t>
      </w:r>
      <w:r w:rsidR="003D5B14" w:rsidRPr="00B770FC">
        <w:t>,</w:t>
      </w:r>
      <w:r w:rsidRPr="00B770FC">
        <w:t xml:space="preserve"> and </w:t>
      </w:r>
      <w:r w:rsidR="003D5B14" w:rsidRPr="00B770FC">
        <w:t xml:space="preserve">a </w:t>
      </w:r>
      <w:r w:rsidR="003D5B14" w:rsidRPr="00B770FC">
        <w:lastRenderedPageBreak/>
        <w:t>belief</w:t>
      </w:r>
      <w:r w:rsidR="00D86C1E" w:rsidRPr="00B770FC">
        <w:t xml:space="preserve"> that their work </w:t>
      </w:r>
      <w:r w:rsidRPr="00B770FC">
        <w:t>“visibly counts.”</w:t>
      </w:r>
      <w:r w:rsidRPr="00B770FC">
        <w:rPr>
          <w:rStyle w:val="EndnoteReference"/>
        </w:rPr>
        <w:endnoteReference w:id="49"/>
      </w:r>
      <w:r w:rsidRPr="00B770FC">
        <w:rPr>
          <w:vertAlign w:val="superscript"/>
        </w:rPr>
        <w:t xml:space="preserve"> </w:t>
      </w:r>
      <w:r w:rsidRPr="00B770FC">
        <w:t xml:space="preserve">With a total employee strength of 27,000 (of which 8,000 were full-time employees and 19,000 </w:t>
      </w:r>
      <w:r w:rsidR="003D5B14" w:rsidRPr="00B770FC">
        <w:t xml:space="preserve">comprised </w:t>
      </w:r>
      <w:r w:rsidRPr="00B770FC">
        <w:t xml:space="preserve">delivery </w:t>
      </w:r>
      <w:r w:rsidR="003D5B14" w:rsidRPr="00B770FC">
        <w:t xml:space="preserve">employees </w:t>
      </w:r>
      <w:r w:rsidRPr="00B770FC">
        <w:t>and others),</w:t>
      </w:r>
      <w:r w:rsidRPr="00B770FC">
        <w:rPr>
          <w:rStyle w:val="EndnoteReference"/>
        </w:rPr>
        <w:endnoteReference w:id="50"/>
      </w:r>
      <w:r w:rsidRPr="00B770FC">
        <w:rPr>
          <w:vertAlign w:val="superscript"/>
        </w:rPr>
        <w:t xml:space="preserve"> </w:t>
      </w:r>
      <w:r w:rsidRPr="00B770FC">
        <w:t>Flipkart was also considered to be a generous paymaster, with managers’ compensations including fixed pay, variable pay, and stock options. The company had moved to a system of stock options in 2016, converting up to 40 per cent of the variable performance-based component to stock options to “strengthen the long-term incentives and the long-term alignment of our employees into Flipkart.”</w:t>
      </w:r>
      <w:r w:rsidRPr="00B770FC">
        <w:rPr>
          <w:rStyle w:val="EndnoteReference"/>
        </w:rPr>
        <w:endnoteReference w:id="51"/>
      </w:r>
      <w:r w:rsidRPr="00B770FC">
        <w:rPr>
          <w:vertAlign w:val="superscript"/>
        </w:rPr>
        <w:t xml:space="preserve"> </w:t>
      </w:r>
    </w:p>
    <w:p w14:paraId="7ACA3104" w14:textId="77777777" w:rsidR="000B3186" w:rsidRPr="00B770FC" w:rsidRDefault="000B3186" w:rsidP="00B770FC">
      <w:pPr>
        <w:pStyle w:val="BodyTextMain"/>
      </w:pPr>
    </w:p>
    <w:p w14:paraId="26236811" w14:textId="0EE78A2E" w:rsidR="000B3186" w:rsidRPr="00B770FC" w:rsidRDefault="000B3186" w:rsidP="00B770FC">
      <w:pPr>
        <w:pStyle w:val="BodyTextMain"/>
      </w:pPr>
      <w:r w:rsidRPr="00B770FC">
        <w:t xml:space="preserve">The entrepreneurial acumen of </w:t>
      </w:r>
      <w:proofErr w:type="spellStart"/>
      <w:r w:rsidRPr="00B770FC">
        <w:t>Flipsters</w:t>
      </w:r>
      <w:proofErr w:type="spellEnd"/>
      <w:r w:rsidRPr="00B770FC">
        <w:t xml:space="preserve"> was well-regarded. Inc42, a tech news portal, referred to ex-Flipkart employees who had turned entrepreneurs and secured financial standing as “Flipkart Mafia.” In 2017, 233 </w:t>
      </w:r>
      <w:proofErr w:type="spellStart"/>
      <w:r w:rsidRPr="00B770FC">
        <w:t>Flipsters</w:t>
      </w:r>
      <w:proofErr w:type="spellEnd"/>
      <w:r w:rsidRPr="00B770FC">
        <w:t xml:space="preserve">-turned-entrepreneurs had founded 207 start-ups, in addition to 55 </w:t>
      </w:r>
      <w:proofErr w:type="spellStart"/>
      <w:r w:rsidRPr="00B770FC">
        <w:t>Flipster</w:t>
      </w:r>
      <w:proofErr w:type="spellEnd"/>
      <w:r w:rsidRPr="00B770FC">
        <w:t xml:space="preserve">-founded and </w:t>
      </w:r>
      <w:r w:rsidR="00D86C1E" w:rsidRPr="00B770FC">
        <w:t>-</w:t>
      </w:r>
      <w:r w:rsidRPr="00B770FC">
        <w:t xml:space="preserve">funded start-ups. The sum total of funding raised by </w:t>
      </w:r>
      <w:proofErr w:type="spellStart"/>
      <w:r w:rsidRPr="00B770FC">
        <w:t>Flipster</w:t>
      </w:r>
      <w:proofErr w:type="spellEnd"/>
      <w:r w:rsidRPr="00B770FC">
        <w:t xml:space="preserve"> start-ups was $217.8 million.</w:t>
      </w:r>
      <w:r w:rsidRPr="00B770FC">
        <w:rPr>
          <w:rStyle w:val="EndnoteReference"/>
        </w:rPr>
        <w:endnoteReference w:id="52"/>
      </w:r>
    </w:p>
    <w:p w14:paraId="375C0B40" w14:textId="77777777" w:rsidR="000B3186" w:rsidRPr="00B770FC" w:rsidRDefault="000B3186" w:rsidP="00B770FC">
      <w:pPr>
        <w:pStyle w:val="BodyTextMain"/>
      </w:pPr>
    </w:p>
    <w:p w14:paraId="61285D21" w14:textId="77777777" w:rsidR="000B3186" w:rsidRPr="00B770FC" w:rsidRDefault="000B3186" w:rsidP="00B770FC">
      <w:pPr>
        <w:pStyle w:val="BodyTextMain"/>
      </w:pPr>
    </w:p>
    <w:p w14:paraId="6489B4BF" w14:textId="35199823" w:rsidR="000B3186" w:rsidRPr="00B770FC" w:rsidRDefault="00D86C1E" w:rsidP="00B770FC">
      <w:pPr>
        <w:pStyle w:val="Casehead1"/>
      </w:pPr>
      <w:r w:rsidRPr="00B770FC">
        <w:t xml:space="preserve">The </w:t>
      </w:r>
      <w:r w:rsidR="000B3186" w:rsidRPr="00B770FC">
        <w:t>WALMART–FLIPKART DEAL</w:t>
      </w:r>
    </w:p>
    <w:p w14:paraId="11E7E399" w14:textId="77777777" w:rsidR="000B3186" w:rsidRPr="003B79B1" w:rsidRDefault="000B3186" w:rsidP="003B79B1">
      <w:pPr>
        <w:pStyle w:val="BodyTextMain"/>
      </w:pPr>
    </w:p>
    <w:p w14:paraId="306A6D3C" w14:textId="35DD8EEF" w:rsidR="000B3186" w:rsidRPr="003B79B1" w:rsidRDefault="000B3186" w:rsidP="003B79B1">
      <w:pPr>
        <w:pStyle w:val="BodyTextMain"/>
      </w:pPr>
      <w:r w:rsidRPr="003B79B1">
        <w:t xml:space="preserve">In 2018, India was emerging as a significant hub for international mergers and acquisitions, with the value of cross-border deals growing from $897 million in 2016 to $1,254 million in 2017, then $1,969 million in 2018. The </w:t>
      </w:r>
      <w:r w:rsidR="00D917C6" w:rsidRPr="003B79B1">
        <w:t xml:space="preserve">deal </w:t>
      </w:r>
      <w:r w:rsidRPr="003B79B1">
        <w:t>value</w:t>
      </w:r>
      <w:r w:rsidR="00D917C6" w:rsidRPr="003B79B1">
        <w:t>s</w:t>
      </w:r>
      <w:r w:rsidRPr="003B79B1">
        <w:t xml:space="preserve"> </w:t>
      </w:r>
      <w:r w:rsidR="00D917C6" w:rsidRPr="003B79B1">
        <w:t xml:space="preserve">increased </w:t>
      </w:r>
      <w:r w:rsidRPr="003B79B1">
        <w:t>despite a small decline in the actual number of deals, dropping from 368 in 2016 to 340 in 2017.</w:t>
      </w:r>
      <w:r w:rsidRPr="003B79B1">
        <w:rPr>
          <w:rStyle w:val="EndnoteReference"/>
          <w:vertAlign w:val="baseline"/>
        </w:rPr>
        <w:endnoteReference w:id="53"/>
      </w:r>
      <w:r w:rsidRPr="003B79B1">
        <w:t xml:space="preserve"> These international deals, according to a Deloitte study, </w:t>
      </w:r>
      <w:r w:rsidR="00D917C6" w:rsidRPr="003B79B1">
        <w:t>had</w:t>
      </w:r>
      <w:r w:rsidRPr="003B79B1">
        <w:t xml:space="preserve"> the objective</w:t>
      </w:r>
      <w:r w:rsidR="00D917C6" w:rsidRPr="003B79B1">
        <w:t>s</w:t>
      </w:r>
      <w:r w:rsidRPr="003B79B1">
        <w:t xml:space="preserve"> of acquiring technology and talent, expanding a customer base in existing markets, expanding or diversifying products and services, and extending a digital strategy.</w:t>
      </w:r>
      <w:r w:rsidRPr="003B79B1">
        <w:rPr>
          <w:rStyle w:val="EndnoteReference"/>
        </w:rPr>
        <w:endnoteReference w:id="54"/>
      </w:r>
      <w:r w:rsidRPr="003B79B1">
        <w:rPr>
          <w:vertAlign w:val="superscript"/>
        </w:rPr>
        <w:t xml:space="preserve"> </w:t>
      </w:r>
    </w:p>
    <w:p w14:paraId="15E7D2D8" w14:textId="77777777" w:rsidR="000B3186" w:rsidRPr="003B79B1" w:rsidRDefault="000B3186" w:rsidP="003B79B1">
      <w:pPr>
        <w:pStyle w:val="BodyTextMain"/>
      </w:pPr>
    </w:p>
    <w:p w14:paraId="253B98D8" w14:textId="6C65FC42" w:rsidR="000B3186" w:rsidRPr="003B79B1" w:rsidRDefault="000B3186" w:rsidP="003B79B1">
      <w:pPr>
        <w:pStyle w:val="BodyTextMain"/>
      </w:pPr>
      <w:r w:rsidRPr="003B79B1">
        <w:t>The Walmart–Flipkart deal was a trailblazer, being the largest acquisition of an Indian company and the world’s largest purchase of an e-commerce company. Talks between Walmart and Flipkart commenced in September 2016, initially with the intent of Walmart purchasing</w:t>
      </w:r>
      <w:r w:rsidR="00734162" w:rsidRPr="003B79B1">
        <w:t xml:space="preserve"> </w:t>
      </w:r>
      <w:r w:rsidRPr="003B79B1">
        <w:t xml:space="preserve">a minority stake in Flipkart. However, in May 2018, after </w:t>
      </w:r>
      <w:r w:rsidR="00D86C1E" w:rsidRPr="003B79B1">
        <w:t xml:space="preserve">20 </w:t>
      </w:r>
      <w:r w:rsidRPr="003B79B1">
        <w:t xml:space="preserve">months of talks, Walmart announced that it had acquired a 77 per cent stake in Flipkart. The deal included $2 billion of fresh investment, with Walmart hoping to take on Amazon in its global expansion strategy. The acquisition also involved Walmart’s purchase of about $14 billion in shares from private equity and venture capital investors, most of whom would exit Flipkart. One of those shareholders was a Flipkart co-founder, </w:t>
      </w:r>
      <w:proofErr w:type="spellStart"/>
      <w:r w:rsidRPr="003B79B1">
        <w:t>Sachin</w:t>
      </w:r>
      <w:proofErr w:type="spellEnd"/>
      <w:r w:rsidRPr="003B79B1">
        <w:t xml:space="preserve"> Bansal, who sold his 5.5–6 per cent stake to Walmart for more than $1 billion. </w:t>
      </w:r>
      <w:r w:rsidR="00D917C6" w:rsidRPr="003B79B1">
        <w:t>The remaining stakes were held by c</w:t>
      </w:r>
      <w:r w:rsidRPr="003B79B1">
        <w:t xml:space="preserve">o-founder </w:t>
      </w:r>
      <w:proofErr w:type="spellStart"/>
      <w:r w:rsidRPr="003B79B1">
        <w:t>Binny</w:t>
      </w:r>
      <w:proofErr w:type="spellEnd"/>
      <w:r w:rsidRPr="003B79B1">
        <w:t xml:space="preserve"> Bansal, </w:t>
      </w:r>
      <w:proofErr w:type="spellStart"/>
      <w:r w:rsidRPr="003B79B1">
        <w:t>Tencent</w:t>
      </w:r>
      <w:proofErr w:type="spellEnd"/>
      <w:r w:rsidRPr="003B79B1">
        <w:t xml:space="preserve"> Holdings Ltd., Tiger Global Management</w:t>
      </w:r>
      <w:r w:rsidR="00991571" w:rsidRPr="003B79B1">
        <w:t xml:space="preserve"> (Tiger Global)</w:t>
      </w:r>
      <w:r w:rsidRPr="003B79B1">
        <w:t>, and Microsoft Corporation.</w:t>
      </w:r>
      <w:r w:rsidRPr="003B79B1">
        <w:rPr>
          <w:rStyle w:val="EndnoteReference"/>
        </w:rPr>
        <w:endnoteReference w:id="55"/>
      </w:r>
      <w:r w:rsidRPr="003B79B1">
        <w:rPr>
          <w:vertAlign w:val="superscript"/>
        </w:rPr>
        <w:t xml:space="preserve"> </w:t>
      </w:r>
    </w:p>
    <w:p w14:paraId="500CC415" w14:textId="77777777" w:rsidR="000B3186" w:rsidRPr="003B79B1" w:rsidRDefault="000B3186" w:rsidP="003B79B1">
      <w:pPr>
        <w:pStyle w:val="BodyTextMain"/>
      </w:pPr>
    </w:p>
    <w:p w14:paraId="58DA92BF" w14:textId="1F3208BB" w:rsidR="000B3186" w:rsidRPr="003B79B1" w:rsidRDefault="000B3186" w:rsidP="003B79B1">
      <w:pPr>
        <w:pStyle w:val="BodyTextMain"/>
      </w:pPr>
      <w:r w:rsidRPr="003B79B1">
        <w:t>Flipkart’s financials would form part of Walmart’s international segment following the conclusion of the transaction. However, Walmart and Flipkart were to retain their distinct brands and respective operating structures, with the intent that Flipkart would eventually become a publicly listed, majority-owned subsidiary of Walmart.</w:t>
      </w:r>
      <w:r w:rsidRPr="003B79B1">
        <w:rPr>
          <w:rStyle w:val="EndnoteReference"/>
        </w:rPr>
        <w:endnoteReference w:id="56"/>
      </w:r>
      <w:r w:rsidRPr="003B79B1">
        <w:rPr>
          <w:vertAlign w:val="superscript"/>
        </w:rPr>
        <w:t xml:space="preserve"> </w:t>
      </w:r>
      <w:r w:rsidRPr="003B79B1">
        <w:t>The US retailer planned to use Flipkart’s expertise to expand Walmart’s presence in India, while retaining and nurturing the start-up’s ethos.</w:t>
      </w:r>
      <w:r w:rsidRPr="003B79B1">
        <w:rPr>
          <w:rStyle w:val="EndnoteReference"/>
        </w:rPr>
        <w:endnoteReference w:id="57"/>
      </w:r>
    </w:p>
    <w:p w14:paraId="543C901D" w14:textId="77777777" w:rsidR="000B3186" w:rsidRPr="003B79B1" w:rsidRDefault="000B3186" w:rsidP="003B79B1">
      <w:pPr>
        <w:pStyle w:val="BodyTextMain"/>
      </w:pPr>
    </w:p>
    <w:p w14:paraId="32718380" w14:textId="6C2F89FC" w:rsidR="000B3186" w:rsidRPr="003B79B1" w:rsidRDefault="000B3186" w:rsidP="003B79B1">
      <w:pPr>
        <w:pStyle w:val="BodyTextMain"/>
      </w:pPr>
      <w:r w:rsidRPr="003B79B1">
        <w:t>India was an important market for several reasons. The e-commerce market was expected to grow from $18</w:t>
      </w:r>
      <w:r w:rsidR="00D86C1E" w:rsidRPr="003B79B1">
        <w:t xml:space="preserve"> billion</w:t>
      </w:r>
      <w:r w:rsidRPr="003B79B1">
        <w:t>–</w:t>
      </w:r>
      <w:r w:rsidR="00D86C1E" w:rsidRPr="003B79B1">
        <w:t>$</w:t>
      </w:r>
      <w:r w:rsidRPr="003B79B1">
        <w:t>20 billion in 2017</w:t>
      </w:r>
      <w:r w:rsidR="00D86C1E" w:rsidRPr="003B79B1">
        <w:t>,</w:t>
      </w:r>
      <w:r w:rsidRPr="003B79B1">
        <w:t xml:space="preserve"> to $40</w:t>
      </w:r>
      <w:r w:rsidR="00D86C1E" w:rsidRPr="003B79B1">
        <w:t xml:space="preserve"> billion</w:t>
      </w:r>
      <w:r w:rsidRPr="003B79B1">
        <w:t>–</w:t>
      </w:r>
      <w:r w:rsidR="00D86C1E" w:rsidRPr="003B79B1">
        <w:t>$</w:t>
      </w:r>
      <w:r w:rsidRPr="003B79B1">
        <w:t>45 billion in 2020, with e-commerce users in India expected to more than double from 80</w:t>
      </w:r>
      <w:r w:rsidR="00D86C1E" w:rsidRPr="003B79B1">
        <w:t xml:space="preserve"> million</w:t>
      </w:r>
      <w:r w:rsidRPr="003B79B1">
        <w:t>–90 million in 2017 to 180</w:t>
      </w:r>
      <w:r w:rsidR="00D86C1E" w:rsidRPr="003B79B1">
        <w:t xml:space="preserve"> million</w:t>
      </w:r>
      <w:r w:rsidRPr="003B79B1">
        <w:t>–200 million in 2020.</w:t>
      </w:r>
      <w:r w:rsidRPr="003B79B1">
        <w:rPr>
          <w:rStyle w:val="EndnoteReference"/>
        </w:rPr>
        <w:endnoteReference w:id="58"/>
      </w:r>
      <w:r w:rsidRPr="003B79B1">
        <w:t xml:space="preserve"> However, for Walmart, the Flipkart acquisition provided an arrow to take a shot at its old rival, Amazon, to which it had been ceding territory in its home country. Walmart’s strength had been its physical stores and it had been </w:t>
      </w:r>
      <w:r w:rsidR="00D86C1E" w:rsidRPr="003B79B1">
        <w:t>un</w:t>
      </w:r>
      <w:r w:rsidRPr="003B79B1">
        <w:t>able to crack the e-commerce business even in the United States, where Amazon was responsible for nearly half of online sales.</w:t>
      </w:r>
      <w:r w:rsidRPr="003B79B1">
        <w:rPr>
          <w:rStyle w:val="EndnoteReference"/>
        </w:rPr>
        <w:endnoteReference w:id="59"/>
      </w:r>
      <w:r w:rsidRPr="003B79B1">
        <w:t xml:space="preserve"> </w:t>
      </w:r>
    </w:p>
    <w:p w14:paraId="47CE8C9B" w14:textId="77777777" w:rsidR="000B3186" w:rsidRPr="003B79B1" w:rsidRDefault="000B3186" w:rsidP="003B79B1">
      <w:pPr>
        <w:pStyle w:val="BodyTextMain"/>
      </w:pPr>
    </w:p>
    <w:p w14:paraId="59F4FE9C" w14:textId="49914167" w:rsidR="000B3186" w:rsidRPr="003B79B1" w:rsidRDefault="000B3186" w:rsidP="003B79B1">
      <w:pPr>
        <w:pStyle w:val="BodyTextMain"/>
      </w:pPr>
      <w:r w:rsidRPr="003B79B1">
        <w:t xml:space="preserve">Walmart wanted to globalize its business and build its own technological arsenal. However, global expansion had its challenges. Walmart had failed almost systematically with its international acquisitions and joint ventures, with acquisitions in Germany, Korea, and India (with Bharti Retail Ltd.) </w:t>
      </w:r>
      <w:r w:rsidR="00C975D4" w:rsidRPr="003B79B1">
        <w:t xml:space="preserve">having failed </w:t>
      </w:r>
      <w:r w:rsidRPr="003B79B1">
        <w:lastRenderedPageBreak/>
        <w:t xml:space="preserve">in the past for various reasons. In 2018, Walmart announced the merger of its </w:t>
      </w:r>
      <w:proofErr w:type="spellStart"/>
      <w:r w:rsidRPr="003B79B1">
        <w:t>Asda</w:t>
      </w:r>
      <w:proofErr w:type="spellEnd"/>
      <w:r w:rsidRPr="003B79B1">
        <w:t xml:space="preserve"> Stores Ltd., a grocery and general merchandise chain in the United Kingdom, with its larger rival, J. Sainsbury plc, in a deal that would give Walmart a 42 per cent stake in the combined company, which would have an anticipated revenue of $50 billion a year.</w:t>
      </w:r>
      <w:r w:rsidRPr="007F1E8C">
        <w:rPr>
          <w:rStyle w:val="EndnoteReference"/>
        </w:rPr>
        <w:endnoteReference w:id="60"/>
      </w:r>
      <w:r w:rsidRPr="007F1E8C">
        <w:rPr>
          <w:vertAlign w:val="superscript"/>
        </w:rPr>
        <w:t xml:space="preserve"> </w:t>
      </w:r>
      <w:r w:rsidRPr="003B79B1">
        <w:t>Walmart was taking stock of its Japanese operations and had been contemplating selling off its subsidiary Seiyu Group, a chain of Japanese supermarkets and hypermarkets, and it was also planning to move out of Brazil.</w:t>
      </w:r>
      <w:r w:rsidRPr="007F1E8C">
        <w:rPr>
          <w:rStyle w:val="EndnoteReference"/>
        </w:rPr>
        <w:endnoteReference w:id="61"/>
      </w:r>
    </w:p>
    <w:p w14:paraId="26D87A85" w14:textId="77777777" w:rsidR="000B3186" w:rsidRPr="003B79B1" w:rsidRDefault="000B3186" w:rsidP="003B79B1">
      <w:pPr>
        <w:pStyle w:val="BodyTextMain"/>
      </w:pPr>
    </w:p>
    <w:p w14:paraId="59E0FD9B" w14:textId="5A425D07" w:rsidR="000B3186" w:rsidRPr="003B79B1" w:rsidRDefault="000B3186" w:rsidP="003B79B1">
      <w:pPr>
        <w:pStyle w:val="BodyTextMain"/>
      </w:pPr>
      <w:r w:rsidRPr="003B79B1">
        <w:t xml:space="preserve">In India, Walmart already had 21 wholesale stores, which sold discounted goods to </w:t>
      </w:r>
      <w:proofErr w:type="spellStart"/>
      <w:r w:rsidRPr="003B79B1">
        <w:t>kiranas</w:t>
      </w:r>
      <w:proofErr w:type="spellEnd"/>
      <w:r w:rsidRPr="003B79B1">
        <w:t>, the small, independent Indian retail stores. But it would have been risky for Walmart to set up its own stores, given the significant realty costs of setting up big</w:t>
      </w:r>
      <w:r w:rsidR="00E822D0" w:rsidRPr="003B79B1">
        <w:t>-</w:t>
      </w:r>
      <w:r w:rsidRPr="003B79B1">
        <w:t>box retail stores in India, the regulatory restrictions on foreign ownership for multi-brand retailers, and Walmart’s own relative lack of technology and e-commerce expertise.</w:t>
      </w:r>
      <w:r w:rsidRPr="007F1E8C">
        <w:rPr>
          <w:rStyle w:val="EndnoteReference"/>
        </w:rPr>
        <w:endnoteReference w:id="62"/>
      </w:r>
      <w:r w:rsidRPr="007F1E8C">
        <w:rPr>
          <w:vertAlign w:val="superscript"/>
        </w:rPr>
        <w:t xml:space="preserve"> </w:t>
      </w:r>
      <w:r w:rsidRPr="003B79B1">
        <w:t xml:space="preserve">Flipkart, however, offered a solid customer base, an enviable net sales record of $4.6 billion in the fiscal year ending March 2018, multiple customer-friendly payment options, and diversified and well-established businesses such as </w:t>
      </w:r>
      <w:proofErr w:type="spellStart"/>
      <w:r w:rsidRPr="003B79B1">
        <w:t>Myntra</w:t>
      </w:r>
      <w:proofErr w:type="spellEnd"/>
      <w:r w:rsidRPr="003B79B1">
        <w:t xml:space="preserve"> and Jabong.com.</w:t>
      </w:r>
      <w:r w:rsidRPr="007F1E8C">
        <w:rPr>
          <w:rStyle w:val="EndnoteReference"/>
        </w:rPr>
        <w:endnoteReference w:id="63"/>
      </w:r>
      <w:r w:rsidRPr="003B79B1">
        <w:t xml:space="preserve"> Walmart planned to use Flipkart as its “key center of learning” for its entire global business, leveraging Flipkart’s technical expertise to build Walmart’s online or tech-enabled businesses elsewhere in the world to compete with Amazon.</w:t>
      </w:r>
      <w:r w:rsidRPr="007F1E8C">
        <w:rPr>
          <w:rStyle w:val="EndnoteReference"/>
        </w:rPr>
        <w:endnoteReference w:id="64"/>
      </w:r>
      <w:r w:rsidRPr="007F1E8C">
        <w:rPr>
          <w:vertAlign w:val="superscript"/>
        </w:rPr>
        <w:t xml:space="preserve"> </w:t>
      </w:r>
    </w:p>
    <w:p w14:paraId="276E137A" w14:textId="77777777" w:rsidR="000B3186" w:rsidRPr="003B79B1" w:rsidRDefault="000B3186" w:rsidP="003B79B1">
      <w:pPr>
        <w:pStyle w:val="BodyTextMain"/>
      </w:pPr>
    </w:p>
    <w:p w14:paraId="0A993EC3" w14:textId="7AC90987" w:rsidR="000B3186" w:rsidRPr="003B79B1" w:rsidRDefault="000B3186" w:rsidP="003B79B1">
      <w:pPr>
        <w:pStyle w:val="BodyTextMain"/>
      </w:pPr>
      <w:r w:rsidRPr="003B79B1">
        <w:t>Flipkart, despite being the pioneer in Indian e-commerce, faced its own challenges. Amazon, which had entered India in 2013 backed by more than $5.5 billion in capital from the parent company, had taken Flipkart head</w:t>
      </w:r>
      <w:r w:rsidR="00991571" w:rsidRPr="003B79B1">
        <w:t>-</w:t>
      </w:r>
      <w:r w:rsidRPr="003B79B1">
        <w:t>on with fast delivery, low prices, and extra features such as Prime video streaming.</w:t>
      </w:r>
      <w:r w:rsidRPr="007F1E8C">
        <w:rPr>
          <w:rStyle w:val="EndnoteReference"/>
        </w:rPr>
        <w:endnoteReference w:id="65"/>
      </w:r>
      <w:r w:rsidRPr="007F1E8C">
        <w:rPr>
          <w:vertAlign w:val="superscript"/>
        </w:rPr>
        <w:t xml:space="preserve"> </w:t>
      </w:r>
      <w:r w:rsidRPr="003B79B1">
        <w:t>Flipkart was also struggling with capital availability. In 2016, when Walmart commenced talks with Flipkart, funding from traditional investors such as venture capitalists into the online space was proving more difficult to obtain amid worries about valuations in India.</w:t>
      </w:r>
      <w:r w:rsidRPr="007F1E8C">
        <w:rPr>
          <w:rStyle w:val="EndnoteReference"/>
        </w:rPr>
        <w:endnoteReference w:id="66"/>
      </w:r>
      <w:r w:rsidRPr="003B79B1">
        <w:t xml:space="preserve"> </w:t>
      </w:r>
    </w:p>
    <w:p w14:paraId="6BF74220" w14:textId="77777777" w:rsidR="000B3186" w:rsidRPr="003B79B1" w:rsidRDefault="000B3186" w:rsidP="003B79B1">
      <w:pPr>
        <w:pStyle w:val="BodyTextMain"/>
      </w:pPr>
    </w:p>
    <w:p w14:paraId="4E4039C4" w14:textId="691F0FD8" w:rsidR="000B3186" w:rsidRPr="003B79B1" w:rsidRDefault="00E822D0" w:rsidP="003B79B1">
      <w:pPr>
        <w:pStyle w:val="BodyTextMain"/>
      </w:pPr>
      <w:r w:rsidRPr="003B79B1">
        <w:t>Some</w:t>
      </w:r>
      <w:r w:rsidR="000B3186" w:rsidRPr="003B79B1">
        <w:t xml:space="preserve"> analysts questioned Walmart’s acquisition and the price it </w:t>
      </w:r>
      <w:r w:rsidRPr="003B79B1">
        <w:t xml:space="preserve">had </w:t>
      </w:r>
      <w:r w:rsidR="000B3186" w:rsidRPr="003B79B1">
        <w:t>paid.</w:t>
      </w:r>
      <w:r w:rsidR="000B3186" w:rsidRPr="007F1E8C">
        <w:rPr>
          <w:rStyle w:val="EndnoteReference"/>
        </w:rPr>
        <w:endnoteReference w:id="67"/>
      </w:r>
      <w:r w:rsidR="000B3186" w:rsidRPr="003B79B1">
        <w:t xml:space="preserve"> Flipkart, desperate for capital, was actually willing to sell its share at </w:t>
      </w:r>
      <w:r w:rsidR="00991571" w:rsidRPr="003B79B1">
        <w:t xml:space="preserve">a </w:t>
      </w:r>
      <w:r w:rsidR="000B3186" w:rsidRPr="003B79B1">
        <w:t>much lower price.</w:t>
      </w:r>
      <w:r w:rsidR="000B3186" w:rsidRPr="007F1E8C">
        <w:rPr>
          <w:rStyle w:val="EndnoteReference"/>
        </w:rPr>
        <w:endnoteReference w:id="68"/>
      </w:r>
      <w:r w:rsidR="000B3186" w:rsidRPr="007F1E8C">
        <w:rPr>
          <w:vertAlign w:val="superscript"/>
        </w:rPr>
        <w:t xml:space="preserve"> </w:t>
      </w:r>
      <w:r w:rsidR="000B3186" w:rsidRPr="003B79B1">
        <w:t>Walmart seemed to have considered the financial, legal, and technical aspects of its international acquisition</w:t>
      </w:r>
      <w:r w:rsidRPr="003B79B1">
        <w:t>,</w:t>
      </w:r>
      <w:r w:rsidR="000B3186" w:rsidRPr="003B79B1">
        <w:t xml:space="preserve"> and </w:t>
      </w:r>
      <w:r w:rsidR="00C1736C" w:rsidRPr="003B79B1">
        <w:t xml:space="preserve">to have </w:t>
      </w:r>
      <w:r w:rsidR="000B3186" w:rsidRPr="003B79B1">
        <w:t xml:space="preserve">planned for the same, before the actual deal was transacted. Implementation of the acquisition was what </w:t>
      </w:r>
      <w:r w:rsidR="00C1736C" w:rsidRPr="003B79B1">
        <w:t xml:space="preserve">needed </w:t>
      </w:r>
      <w:r w:rsidR="000B3186" w:rsidRPr="003B79B1">
        <w:t>to be managed.</w:t>
      </w:r>
    </w:p>
    <w:p w14:paraId="10F4F8D6" w14:textId="77777777" w:rsidR="000B3186" w:rsidRPr="003B79B1" w:rsidRDefault="000B3186" w:rsidP="003B79B1">
      <w:pPr>
        <w:pStyle w:val="BodyTextMain"/>
      </w:pPr>
    </w:p>
    <w:p w14:paraId="20FADB0C" w14:textId="646D98E0" w:rsidR="000B3186" w:rsidRPr="007F1E8C" w:rsidRDefault="000B3186" w:rsidP="003B79B1">
      <w:pPr>
        <w:pStyle w:val="BodyTextMain"/>
        <w:rPr>
          <w:spacing w:val="-2"/>
        </w:rPr>
      </w:pPr>
      <w:r w:rsidRPr="007F1E8C">
        <w:rPr>
          <w:spacing w:val="-2"/>
        </w:rPr>
        <w:t xml:space="preserve">Leadership of the newly acquired entity </w:t>
      </w:r>
      <w:r w:rsidR="00991571" w:rsidRPr="007F1E8C">
        <w:rPr>
          <w:spacing w:val="-2"/>
        </w:rPr>
        <w:t xml:space="preserve">also </w:t>
      </w:r>
      <w:r w:rsidR="00C1736C" w:rsidRPr="007F1E8C">
        <w:rPr>
          <w:spacing w:val="-2"/>
        </w:rPr>
        <w:t xml:space="preserve">needed </w:t>
      </w:r>
      <w:r w:rsidRPr="007F1E8C">
        <w:rPr>
          <w:spacing w:val="-2"/>
        </w:rPr>
        <w:t xml:space="preserve">to be sorted out. </w:t>
      </w:r>
      <w:proofErr w:type="spellStart"/>
      <w:r w:rsidRPr="007F1E8C">
        <w:rPr>
          <w:spacing w:val="-2"/>
        </w:rPr>
        <w:t>Sachin</w:t>
      </w:r>
      <w:proofErr w:type="spellEnd"/>
      <w:r w:rsidRPr="007F1E8C">
        <w:rPr>
          <w:spacing w:val="-2"/>
        </w:rPr>
        <w:t xml:space="preserve"> Bansal, seen as the visionary </w:t>
      </w:r>
      <w:r w:rsidR="00991571" w:rsidRPr="007F1E8C">
        <w:rPr>
          <w:spacing w:val="-2"/>
        </w:rPr>
        <w:t>co-</w:t>
      </w:r>
      <w:r w:rsidRPr="007F1E8C">
        <w:rPr>
          <w:spacing w:val="-2"/>
        </w:rPr>
        <w:t xml:space="preserve">founder, had exited Flipkart, allegedly due to differences with Walmart, which included being denied a larger operating role at Flipkart. Flipkart’s board of directors asked </w:t>
      </w:r>
      <w:r w:rsidR="00991571" w:rsidRPr="007F1E8C">
        <w:rPr>
          <w:spacing w:val="-2"/>
        </w:rPr>
        <w:t>the other co-</w:t>
      </w:r>
      <w:r w:rsidR="00432F94" w:rsidRPr="007F1E8C">
        <w:rPr>
          <w:spacing w:val="-2"/>
        </w:rPr>
        <w:t>found</w:t>
      </w:r>
      <w:r w:rsidR="00991571" w:rsidRPr="007F1E8C">
        <w:rPr>
          <w:spacing w:val="-2"/>
        </w:rPr>
        <w:t xml:space="preserve">er, </w:t>
      </w:r>
      <w:proofErr w:type="spellStart"/>
      <w:r w:rsidRPr="007F1E8C">
        <w:rPr>
          <w:spacing w:val="-2"/>
        </w:rPr>
        <w:t>Binny</w:t>
      </w:r>
      <w:proofErr w:type="spellEnd"/>
      <w:r w:rsidRPr="007F1E8C">
        <w:rPr>
          <w:spacing w:val="-2"/>
        </w:rPr>
        <w:t xml:space="preserve"> Bansal, who had</w:t>
      </w:r>
      <w:r w:rsidR="00991571" w:rsidRPr="007F1E8C">
        <w:rPr>
          <w:spacing w:val="-2"/>
        </w:rPr>
        <w:t>, until then,</w:t>
      </w:r>
      <w:r w:rsidRPr="007F1E8C">
        <w:rPr>
          <w:spacing w:val="-2"/>
        </w:rPr>
        <w:t xml:space="preserve"> remained a marginal figure in the deal, to accept the additional responsibility of chairman, together with his role of group chief executive officer.</w:t>
      </w:r>
      <w:r w:rsidRPr="007F1E8C">
        <w:rPr>
          <w:rStyle w:val="EndnoteReference"/>
          <w:spacing w:val="-2"/>
        </w:rPr>
        <w:endnoteReference w:id="69"/>
      </w:r>
      <w:r w:rsidRPr="007F1E8C">
        <w:rPr>
          <w:spacing w:val="-2"/>
        </w:rPr>
        <w:t xml:space="preserve"> Flipkart had retained </w:t>
      </w:r>
      <w:proofErr w:type="spellStart"/>
      <w:r w:rsidRPr="007F1E8C">
        <w:rPr>
          <w:spacing w:val="-2"/>
        </w:rPr>
        <w:t>Kalyan</w:t>
      </w:r>
      <w:proofErr w:type="spellEnd"/>
      <w:r w:rsidRPr="007F1E8C">
        <w:rPr>
          <w:spacing w:val="-2"/>
        </w:rPr>
        <w:t xml:space="preserve"> Krishnamurthy, a former Tiger Global executive, as chief executive officer; however, his style of autonomous leadership had raised concerns over the years.</w:t>
      </w:r>
      <w:r w:rsidRPr="007F1E8C">
        <w:rPr>
          <w:rStyle w:val="EndnoteReference"/>
          <w:spacing w:val="-2"/>
        </w:rPr>
        <w:endnoteReference w:id="70"/>
      </w:r>
      <w:r w:rsidRPr="007F1E8C">
        <w:rPr>
          <w:spacing w:val="-2"/>
        </w:rPr>
        <w:t xml:space="preserve"> </w:t>
      </w:r>
      <w:proofErr w:type="spellStart"/>
      <w:r w:rsidRPr="007F1E8C">
        <w:rPr>
          <w:spacing w:val="-2"/>
        </w:rPr>
        <w:t>Sachin</w:t>
      </w:r>
      <w:proofErr w:type="spellEnd"/>
      <w:r w:rsidRPr="007F1E8C">
        <w:rPr>
          <w:spacing w:val="-2"/>
        </w:rPr>
        <w:t xml:space="preserve"> Bansal was seen as an accessible leader with whom technology-related issues could have been discussed, so his exit was likely to affect employee morale.</w:t>
      </w:r>
      <w:r w:rsidRPr="007F1E8C">
        <w:rPr>
          <w:rStyle w:val="EndnoteReference"/>
          <w:spacing w:val="-2"/>
        </w:rPr>
        <w:endnoteReference w:id="71"/>
      </w:r>
    </w:p>
    <w:p w14:paraId="52B222C4" w14:textId="77777777" w:rsidR="000B3186" w:rsidRPr="003B79B1" w:rsidRDefault="000B3186" w:rsidP="003B79B1">
      <w:pPr>
        <w:pStyle w:val="BodyTextMain"/>
      </w:pPr>
    </w:p>
    <w:p w14:paraId="16EC9704" w14:textId="2EAF4716" w:rsidR="000B3186" w:rsidRPr="003B79B1" w:rsidRDefault="000B3186" w:rsidP="003B79B1">
      <w:pPr>
        <w:pStyle w:val="BodyTextMain"/>
      </w:pPr>
      <w:r w:rsidRPr="003B79B1">
        <w:t xml:space="preserve">In addition to issues with leadership, Walmart faced challenges that arose in international mergers and acquisitions. A significant concern was HR management. </w:t>
      </w:r>
      <w:r w:rsidR="00C1736C" w:rsidRPr="003B79B1">
        <w:t>Some</w:t>
      </w:r>
      <w:r w:rsidRPr="003B79B1">
        <w:t xml:space="preserve"> possible redundancies </w:t>
      </w:r>
      <w:r w:rsidR="00C1736C" w:rsidRPr="003B79B1">
        <w:t xml:space="preserve">emerged </w:t>
      </w:r>
      <w:r w:rsidRPr="003B79B1">
        <w:t xml:space="preserve">as a result of overlapping jobs, and the resultant firings and litigations could generate a poor public image and mistrust among those who continued to be employed by the company. </w:t>
      </w:r>
    </w:p>
    <w:p w14:paraId="0D6A37D1" w14:textId="77777777" w:rsidR="000B3186" w:rsidRPr="003B79B1" w:rsidRDefault="000B3186" w:rsidP="003B79B1">
      <w:pPr>
        <w:pStyle w:val="BodyTextMain"/>
      </w:pPr>
    </w:p>
    <w:p w14:paraId="3EEC0BB7" w14:textId="6B2DE7F5" w:rsidR="000B3186" w:rsidRPr="003B79B1" w:rsidRDefault="000B3186" w:rsidP="003B79B1">
      <w:pPr>
        <w:pStyle w:val="BodyTextMain"/>
      </w:pPr>
      <w:r w:rsidRPr="003B79B1">
        <w:t>Walmart had a reputation for having a “hire</w:t>
      </w:r>
      <w:r w:rsidR="00C1736C" w:rsidRPr="003B79B1">
        <w:t>-</w:t>
      </w:r>
      <w:r w:rsidRPr="003B79B1">
        <w:t>and</w:t>
      </w:r>
      <w:r w:rsidR="00C1736C" w:rsidRPr="003B79B1">
        <w:t>-</w:t>
      </w:r>
      <w:r w:rsidRPr="003B79B1">
        <w:t xml:space="preserve">fire” culture. The deal had led to </w:t>
      </w:r>
      <w:proofErr w:type="spellStart"/>
      <w:r w:rsidRPr="003B79B1">
        <w:t>rumours</w:t>
      </w:r>
      <w:proofErr w:type="spellEnd"/>
      <w:r w:rsidRPr="003B79B1">
        <w:t xml:space="preserve"> of job cuts at Flipkart, which disturbed the current employees and made them anxious about their future.</w:t>
      </w:r>
      <w:r w:rsidRPr="007F1E8C">
        <w:rPr>
          <w:rStyle w:val="EndnoteReference"/>
        </w:rPr>
        <w:endnoteReference w:id="72"/>
      </w:r>
      <w:r w:rsidRPr="003B79B1">
        <w:t xml:space="preserve"> </w:t>
      </w:r>
      <w:r w:rsidR="008B0F5E" w:rsidRPr="003B79B1">
        <w:t>O</w:t>
      </w:r>
      <w:r w:rsidRPr="003B79B1">
        <w:t xml:space="preserve">thers rejoiced at the prospect of cashing out their employee Flipkart stock options after the deal. These stock options, which were granted over a four-year period, could be vested by employees after a one-year threshold. Walmart announced the buyback of nearly $500 million in employee stock options following the deal, with employees allowed to cash out over the next two years. Former employees, however, as per the Walmart </w:t>
      </w:r>
      <w:r w:rsidRPr="003B79B1">
        <w:lastRenderedPageBreak/>
        <w:t xml:space="preserve">Plan, could cash out only 30 per cent of their vested options and were required to hold the remaining 70 per cent for an undefined period. </w:t>
      </w:r>
      <w:r w:rsidR="00C1736C" w:rsidRPr="003B79B1">
        <w:t>S</w:t>
      </w:r>
      <w:r w:rsidRPr="003B79B1">
        <w:t xml:space="preserve">everal employees </w:t>
      </w:r>
      <w:r w:rsidR="00C1736C" w:rsidRPr="003B79B1">
        <w:t xml:space="preserve">felt </w:t>
      </w:r>
      <w:r w:rsidRPr="003B79B1">
        <w:t>cheated, creating a ripple effect for talent acquisition and management in the start-up ecosystem in India.</w:t>
      </w:r>
      <w:r w:rsidRPr="007F1E8C">
        <w:rPr>
          <w:rStyle w:val="EndnoteReference"/>
        </w:rPr>
        <w:endnoteReference w:id="73"/>
      </w:r>
      <w:r w:rsidRPr="007F1E8C">
        <w:rPr>
          <w:vertAlign w:val="superscript"/>
        </w:rPr>
        <w:t xml:space="preserve"> </w:t>
      </w:r>
    </w:p>
    <w:p w14:paraId="366E8EEC" w14:textId="77777777" w:rsidR="00B770FC" w:rsidRPr="003B79B1" w:rsidRDefault="00B770FC" w:rsidP="003B79B1">
      <w:pPr>
        <w:pStyle w:val="BodyTextMain"/>
      </w:pPr>
    </w:p>
    <w:p w14:paraId="54CE5E3C" w14:textId="0CC9D7F5" w:rsidR="000B3186" w:rsidRPr="003B79B1" w:rsidRDefault="000B3186" w:rsidP="003B79B1">
      <w:pPr>
        <w:pStyle w:val="BodyTextMain"/>
      </w:pPr>
      <w:r w:rsidRPr="003B79B1">
        <w:t xml:space="preserve">Managing culture in the new entity was critical to ensure the achievement of the desired business results. </w:t>
      </w:r>
      <w:r w:rsidR="00E10F29" w:rsidRPr="003B79B1">
        <w:t xml:space="preserve">When </w:t>
      </w:r>
      <w:r w:rsidRPr="003B79B1">
        <w:t>two companies integrated</w:t>
      </w:r>
      <w:r w:rsidR="00C1736C" w:rsidRPr="003B79B1">
        <w:t>, culture clashes</w:t>
      </w:r>
      <w:r w:rsidRPr="003B79B1">
        <w:t xml:space="preserve"> </w:t>
      </w:r>
      <w:r w:rsidR="00C1736C" w:rsidRPr="003B79B1">
        <w:t xml:space="preserve">typically took </w:t>
      </w:r>
      <w:r w:rsidRPr="003B79B1">
        <w:t xml:space="preserve">the form of HR in either company focusing on and magnifying the perceived differences and forming stereotypes of </w:t>
      </w:r>
      <w:r w:rsidR="00E10F29" w:rsidRPr="003B79B1">
        <w:t xml:space="preserve">the </w:t>
      </w:r>
      <w:r w:rsidRPr="003B79B1">
        <w:t xml:space="preserve">other </w:t>
      </w:r>
      <w:r w:rsidR="00E10F29" w:rsidRPr="003B79B1">
        <w:t xml:space="preserve">company </w:t>
      </w:r>
      <w:r w:rsidRPr="003B79B1">
        <w:t xml:space="preserve">(especially in an international merger or acquisition), culminating in putting down people in the partner company as </w:t>
      </w:r>
      <w:r w:rsidR="00C1736C" w:rsidRPr="003B79B1">
        <w:t xml:space="preserve">being </w:t>
      </w:r>
      <w:r w:rsidRPr="003B79B1">
        <w:t>inferior.</w:t>
      </w:r>
      <w:r w:rsidRPr="007F1E8C">
        <w:rPr>
          <w:rStyle w:val="EndnoteReference"/>
        </w:rPr>
        <w:endnoteReference w:id="74"/>
      </w:r>
      <w:r w:rsidRPr="003B79B1">
        <w:t xml:space="preserve"> The Walmart–Flipkart deal was particularly prone to a clash between the entrepreneurial culture, based on innovation, flexibility, and agility, and the more traditional culture with set practices, hierarchical processes, stability, and thoughtful planning. Again, Walmart’s austerity—reflected in its tight pay packages, executives flying economy class, and cost-cutting culture—was in stark contrast to Flipkart’s perceived extravagance, reflected in swank offices and large pay packages to fresh graduates.</w:t>
      </w:r>
      <w:r w:rsidRPr="007F1E8C">
        <w:rPr>
          <w:rStyle w:val="EndnoteReference"/>
        </w:rPr>
        <w:endnoteReference w:id="75"/>
      </w:r>
      <w:r w:rsidRPr="007F1E8C">
        <w:rPr>
          <w:vertAlign w:val="superscript"/>
        </w:rPr>
        <w:t xml:space="preserve"> </w:t>
      </w:r>
      <w:r w:rsidR="00C1736C" w:rsidRPr="003B79B1">
        <w:t xml:space="preserve">The </w:t>
      </w:r>
      <w:r w:rsidRPr="003B79B1">
        <w:t xml:space="preserve">differences in national cultures also </w:t>
      </w:r>
      <w:r w:rsidR="00C1736C" w:rsidRPr="003B79B1">
        <w:t xml:space="preserve">needed </w:t>
      </w:r>
      <w:r w:rsidRPr="003B79B1">
        <w:t xml:space="preserve">to be considered, </w:t>
      </w:r>
      <w:r w:rsidR="00C1736C" w:rsidRPr="003B79B1">
        <w:t>and were</w:t>
      </w:r>
      <w:r w:rsidRPr="003B79B1">
        <w:t xml:space="preserve"> likely to </w:t>
      </w:r>
      <w:r w:rsidR="00C1736C" w:rsidRPr="003B79B1">
        <w:t xml:space="preserve">become </w:t>
      </w:r>
      <w:r w:rsidRPr="003B79B1">
        <w:t xml:space="preserve">more complex in a country </w:t>
      </w:r>
      <w:r w:rsidR="00C1736C" w:rsidRPr="003B79B1">
        <w:t xml:space="preserve">such as </w:t>
      </w:r>
      <w:r w:rsidRPr="003B79B1">
        <w:t xml:space="preserve">India where culture </w:t>
      </w:r>
      <w:r w:rsidR="00C1736C" w:rsidRPr="003B79B1">
        <w:t xml:space="preserve">also </w:t>
      </w:r>
      <w:r w:rsidRPr="003B79B1">
        <w:t>had sub-national, caste, and religious dimensions.</w:t>
      </w:r>
    </w:p>
    <w:p w14:paraId="0C02043C" w14:textId="77777777" w:rsidR="000B3186" w:rsidRPr="003B79B1" w:rsidRDefault="000B3186" w:rsidP="003B79B1">
      <w:pPr>
        <w:pStyle w:val="BodyTextMain"/>
      </w:pPr>
    </w:p>
    <w:p w14:paraId="446927F8" w14:textId="1E916BCE" w:rsidR="000B3186" w:rsidRPr="003B79B1" w:rsidRDefault="000B3186" w:rsidP="003B79B1">
      <w:pPr>
        <w:pStyle w:val="BodyTextMain"/>
      </w:pPr>
      <w:r w:rsidRPr="003B79B1">
        <w:t>Addressing the Flipkart employees at a town hall meeting, Walmart chief executive, Doug McMillon, had tried to put many of these concerns to rest. He assured employees that Flipkart’s name would not be changed to Walmart</w:t>
      </w:r>
      <w:r w:rsidR="00C1736C" w:rsidRPr="003B79B1">
        <w:t>,</w:t>
      </w:r>
      <w:r w:rsidRPr="003B79B1">
        <w:t xml:space="preserve"> nor would it be run by a bureaucracy from the United States:</w:t>
      </w:r>
    </w:p>
    <w:p w14:paraId="112F3B73" w14:textId="77777777" w:rsidR="000B3186" w:rsidRPr="003B79B1" w:rsidRDefault="000B3186" w:rsidP="003B79B1">
      <w:pPr>
        <w:pStyle w:val="BodyTextMain"/>
      </w:pPr>
    </w:p>
    <w:p w14:paraId="5C0862E6" w14:textId="1E55996D" w:rsidR="000B3186" w:rsidRPr="007F1E8C" w:rsidRDefault="000B3186" w:rsidP="007F1E8C">
      <w:pPr>
        <w:pStyle w:val="BodyTextMain"/>
        <w:ind w:left="720"/>
        <w:rPr>
          <w:spacing w:val="-2"/>
        </w:rPr>
      </w:pPr>
      <w:r w:rsidRPr="007F1E8C">
        <w:rPr>
          <w:spacing w:val="-2"/>
        </w:rPr>
        <w:t xml:space="preserve">We hope we learn from you how to build an ecosystem, more about innovation and payments—we will help with sourcing, supply chain expertise. . . . It is our intention to just empower you and let you run—speed matters, decisiveness matters. You can’t run Walmart like </w:t>
      </w:r>
      <w:proofErr w:type="gramStart"/>
      <w:r w:rsidRPr="007F1E8C">
        <w:rPr>
          <w:spacing w:val="-2"/>
        </w:rPr>
        <w:t>it’s</w:t>
      </w:r>
      <w:proofErr w:type="gramEnd"/>
      <w:r w:rsidRPr="007F1E8C">
        <w:rPr>
          <w:spacing w:val="-2"/>
        </w:rPr>
        <w:t xml:space="preserve"> one monolithic thing.</w:t>
      </w:r>
      <w:r w:rsidRPr="007F1E8C">
        <w:rPr>
          <w:rStyle w:val="EndnoteReference"/>
          <w:spacing w:val="-2"/>
        </w:rPr>
        <w:endnoteReference w:id="76"/>
      </w:r>
    </w:p>
    <w:p w14:paraId="48C6ED44" w14:textId="77777777" w:rsidR="000B3186" w:rsidRPr="007F1E8C" w:rsidRDefault="000B3186" w:rsidP="007F1E8C">
      <w:pPr>
        <w:pStyle w:val="BodyTextMain"/>
      </w:pPr>
    </w:p>
    <w:p w14:paraId="12893022" w14:textId="4DCBC203" w:rsidR="000B3186" w:rsidRPr="007F1E8C" w:rsidRDefault="000B3186" w:rsidP="007F1E8C">
      <w:pPr>
        <w:pStyle w:val="BodyTextMain"/>
      </w:pPr>
      <w:r w:rsidRPr="007F1E8C">
        <w:t>He also cited “respect in people, striving for excellence, acting with integrity, doing things we can be proud of, and the customer focus” as the set of values shared between the two companies.</w:t>
      </w:r>
      <w:r w:rsidRPr="007F1E8C">
        <w:rPr>
          <w:rStyle w:val="EndnoteReference"/>
        </w:rPr>
        <w:endnoteReference w:id="77"/>
      </w:r>
      <w:r w:rsidRPr="007F1E8C">
        <w:rPr>
          <w:vertAlign w:val="superscript"/>
        </w:rPr>
        <w:t xml:space="preserve"> </w:t>
      </w:r>
    </w:p>
    <w:p w14:paraId="6487AA79" w14:textId="77777777" w:rsidR="000B3186" w:rsidRPr="007F1E8C" w:rsidRDefault="000B3186" w:rsidP="007F1E8C">
      <w:pPr>
        <w:pStyle w:val="BodyTextMain"/>
      </w:pPr>
    </w:p>
    <w:p w14:paraId="34084771" w14:textId="63CC9667" w:rsidR="000B3186" w:rsidRPr="007F1E8C" w:rsidRDefault="000B3186" w:rsidP="007F1E8C">
      <w:pPr>
        <w:pStyle w:val="BodyTextMain"/>
      </w:pPr>
      <w:r w:rsidRPr="007F1E8C">
        <w:t>However, in a merger or an acquisition, acculturation—a process of merging two cultures on account of prolonged contact—posed its own set of challenges. Theoretically, such acculturation could take place at multiple levels. The partners could coexist (called cultural pluralism); the partner companies could blend their current cultures (called cultural integration); one company could absorb the culture of the other (</w:t>
      </w:r>
      <w:r w:rsidR="00D8509D" w:rsidRPr="007F1E8C">
        <w:t xml:space="preserve">called </w:t>
      </w:r>
      <w:r w:rsidRPr="007F1E8C">
        <w:t>cultural assimilation); or the partner companies could abandon key elements of their current cultures and adopt new values and norms (called cultural transformation). In practice, assumptions of cultural superiority on the part of one side had the potential to derail the process entirely, prevent smooth change, and lead to resistance, which would ultimately prevent the achievement of a desired cultural end-state.</w:t>
      </w:r>
      <w:r w:rsidRPr="007F1E8C">
        <w:rPr>
          <w:rStyle w:val="EndnoteReference"/>
        </w:rPr>
        <w:endnoteReference w:id="78"/>
      </w:r>
      <w:r w:rsidRPr="007F1E8C">
        <w:t xml:space="preserve"> </w:t>
      </w:r>
    </w:p>
    <w:p w14:paraId="3CA991A4" w14:textId="77777777" w:rsidR="000B3186" w:rsidRPr="007F1E8C" w:rsidRDefault="000B3186" w:rsidP="007F1E8C">
      <w:pPr>
        <w:pStyle w:val="BodyTextMain"/>
      </w:pPr>
    </w:p>
    <w:p w14:paraId="50452761" w14:textId="0B946DB7" w:rsidR="000B3186" w:rsidRPr="007F1E8C" w:rsidRDefault="000B3186" w:rsidP="007F1E8C">
      <w:pPr>
        <w:pStyle w:val="BodyTextMain"/>
      </w:pPr>
      <w:r w:rsidRPr="007F1E8C">
        <w:t>Walmart’s HR department had an important role in managing culture at each stage of the acquisition to achieve the desired financial and strategic objectives, while minimizing the potential culture clash. In dealing with HR issues in international acquisitions—including management of strategic resources, firm infrastructure, employee contribution, and transformation and change—Walmart would need to play multiple roles: strategic partner, administrative expert, employee champion, and change agent.</w:t>
      </w:r>
      <w:r w:rsidRPr="007F1E8C">
        <w:rPr>
          <w:rStyle w:val="EndnoteReference"/>
        </w:rPr>
        <w:endnoteReference w:id="79"/>
      </w:r>
    </w:p>
    <w:p w14:paraId="0804962C" w14:textId="77777777" w:rsidR="000B3186" w:rsidRPr="007F1E8C" w:rsidRDefault="000B3186" w:rsidP="007F1E8C">
      <w:pPr>
        <w:pStyle w:val="BodyTextMain"/>
      </w:pPr>
    </w:p>
    <w:p w14:paraId="1E3BF81C" w14:textId="2B84CF82" w:rsidR="000B3186" w:rsidRPr="007F1E8C" w:rsidRDefault="000B3186" w:rsidP="007F1E8C">
      <w:pPr>
        <w:pStyle w:val="BodyTextMain"/>
        <w:rPr>
          <w:spacing w:val="-2"/>
        </w:rPr>
      </w:pPr>
      <w:r w:rsidRPr="007F1E8C">
        <w:rPr>
          <w:spacing w:val="-2"/>
        </w:rPr>
        <w:t>In the pre-acquisition stage, when the deal was still being conceived, negotiated, and legally approved, HR could help executives and leaders on both sides define the cultural end</w:t>
      </w:r>
      <w:r w:rsidR="00D8509D" w:rsidRPr="007F1E8C">
        <w:rPr>
          <w:spacing w:val="-2"/>
        </w:rPr>
        <w:t>-</w:t>
      </w:r>
      <w:r w:rsidRPr="007F1E8C">
        <w:rPr>
          <w:spacing w:val="-2"/>
        </w:rPr>
        <w:t>state for the combination. Specifically, such an exercise would help set expectations for both sides as to whether the resultant culture would be that of the parent company, the partner’s own culture, a blend of the two partners’ cultures, or a completely new culture developed through a transformational process. Equally, the HR team at Flipkart would have the onus of communicating the vision and purpose of the deal to Flipkart employees to energize them.</w:t>
      </w:r>
      <w:r w:rsidRPr="007F1E8C">
        <w:rPr>
          <w:rStyle w:val="EndnoteReference"/>
          <w:spacing w:val="-2"/>
        </w:rPr>
        <w:endnoteReference w:id="80"/>
      </w:r>
      <w:r w:rsidRPr="007F1E8C">
        <w:rPr>
          <w:spacing w:val="-2"/>
        </w:rPr>
        <w:t xml:space="preserve"> </w:t>
      </w:r>
    </w:p>
    <w:p w14:paraId="0FFF486F" w14:textId="06842B06" w:rsidR="000B3186" w:rsidRPr="007F1E8C" w:rsidRDefault="000B3186" w:rsidP="007F1E8C">
      <w:pPr>
        <w:pStyle w:val="BodyTextMain"/>
      </w:pPr>
      <w:bookmarkStart w:id="0" w:name="_GoBack"/>
      <w:bookmarkEnd w:id="0"/>
      <w:r w:rsidRPr="007F1E8C">
        <w:t>At the acquisition stage, while most executives typically would be enmeshed in sorting out the financial, legal, or technical aspects of the deal, it was imperative that HR deepen cross-cultural learning across both partners and drive the new combination toward the desired cultural end</w:t>
      </w:r>
      <w:r w:rsidR="00D8509D" w:rsidRPr="007F1E8C">
        <w:t>-</w:t>
      </w:r>
      <w:r w:rsidRPr="007F1E8C">
        <w:t>state. Business leaders and executives would need to be encouraged to look at both differences and similarities in partner cultures to identify common ground and begin the journey toward creating a unified culture.</w:t>
      </w:r>
      <w:r w:rsidRPr="007F1E8C">
        <w:rPr>
          <w:rStyle w:val="EndnoteReference"/>
        </w:rPr>
        <w:endnoteReference w:id="81"/>
      </w:r>
      <w:r w:rsidRPr="007F1E8C">
        <w:rPr>
          <w:vertAlign w:val="superscript"/>
        </w:rPr>
        <w:t xml:space="preserve"> </w:t>
      </w:r>
    </w:p>
    <w:p w14:paraId="115ED83F" w14:textId="77777777" w:rsidR="000B3186" w:rsidRPr="007F1E8C" w:rsidRDefault="000B3186" w:rsidP="007F1E8C">
      <w:pPr>
        <w:pStyle w:val="BodyTextMain"/>
      </w:pPr>
    </w:p>
    <w:p w14:paraId="3301D8F9" w14:textId="152343BA" w:rsidR="006F4D05" w:rsidRPr="007F1E8C" w:rsidRDefault="000B3186" w:rsidP="007F1E8C">
      <w:pPr>
        <w:pStyle w:val="BodyTextMain"/>
      </w:pPr>
      <w:r w:rsidRPr="007F1E8C">
        <w:t>Finally, in the post-acquisition stage, HR would need to ensure that the emerging culture was preserved and reinforced</w:t>
      </w:r>
      <w:r w:rsidR="00DF6D13" w:rsidRPr="007F1E8C">
        <w:t>,</w:t>
      </w:r>
      <w:r w:rsidRPr="007F1E8C">
        <w:rPr>
          <w:rStyle w:val="EndnoteReference"/>
        </w:rPr>
        <w:endnoteReference w:id="82"/>
      </w:r>
      <w:r w:rsidRPr="007F1E8C">
        <w:t xml:space="preserve"> </w:t>
      </w:r>
      <w:r w:rsidR="00DF6D13" w:rsidRPr="007F1E8C">
        <w:t xml:space="preserve">which </w:t>
      </w:r>
      <w:r w:rsidR="00850411" w:rsidRPr="007F1E8C">
        <w:t xml:space="preserve">could </w:t>
      </w:r>
      <w:r w:rsidR="006F4D05" w:rsidRPr="007F1E8C">
        <w:t xml:space="preserve">also require identifying a set of change agents who </w:t>
      </w:r>
      <w:r w:rsidR="00D8509D" w:rsidRPr="007F1E8C">
        <w:t xml:space="preserve">could </w:t>
      </w:r>
      <w:r w:rsidR="006F4D05" w:rsidRPr="007F1E8C">
        <w:t>help drive the transition and change through the three stages.</w:t>
      </w:r>
    </w:p>
    <w:p w14:paraId="68ED8AC4" w14:textId="77777777" w:rsidR="006F4D05" w:rsidRPr="007F1E8C" w:rsidRDefault="006F4D05" w:rsidP="007F1E8C">
      <w:pPr>
        <w:pStyle w:val="BodyTextMain"/>
      </w:pPr>
    </w:p>
    <w:p w14:paraId="526CEC88" w14:textId="79AB681C" w:rsidR="006F4D05" w:rsidRPr="007F1E8C" w:rsidRDefault="006F4D05" w:rsidP="007F1E8C">
      <w:pPr>
        <w:pStyle w:val="BodyTextMain"/>
      </w:pPr>
      <w:r w:rsidRPr="007F1E8C">
        <w:t>The Walmart</w:t>
      </w:r>
      <w:r w:rsidR="00850411" w:rsidRPr="007F1E8C">
        <w:t>–</w:t>
      </w:r>
      <w:r w:rsidRPr="007F1E8C">
        <w:t>Flipkart deal</w:t>
      </w:r>
      <w:r w:rsidR="00850411" w:rsidRPr="007F1E8C">
        <w:t>—</w:t>
      </w:r>
      <w:r w:rsidRPr="007F1E8C">
        <w:t>between the world’s largest retailer</w:t>
      </w:r>
      <w:r w:rsidR="00D8509D" w:rsidRPr="007F1E8C">
        <w:t xml:space="preserve"> and India’s largest e-commerce player</w:t>
      </w:r>
      <w:r w:rsidR="00850411" w:rsidRPr="007F1E8C">
        <w:t xml:space="preserve">—was </w:t>
      </w:r>
      <w:r w:rsidRPr="007F1E8C">
        <w:t xml:space="preserve">a </w:t>
      </w:r>
      <w:r w:rsidR="00890C23" w:rsidRPr="007F1E8C">
        <w:t>landmark</w:t>
      </w:r>
      <w:r w:rsidRPr="007F1E8C">
        <w:t xml:space="preserve"> deal. Flipkart had been the beacon for an ecosystem of start-ups and an entire generation of prospective founders. A successful deal carried with it the potential to spawn an entire new set of start-ups with </w:t>
      </w:r>
      <w:r w:rsidR="00850411" w:rsidRPr="007F1E8C">
        <w:t xml:space="preserve">the </w:t>
      </w:r>
      <w:r w:rsidRPr="007F1E8C">
        <w:t xml:space="preserve">idea of selling </w:t>
      </w:r>
      <w:r w:rsidR="00850411" w:rsidRPr="007F1E8C">
        <w:t xml:space="preserve">them </w:t>
      </w:r>
      <w:r w:rsidRPr="007F1E8C">
        <w:t>off at a later date. Walmart and Flipkart had carried out the</w:t>
      </w:r>
      <w:r w:rsidR="00850411" w:rsidRPr="007F1E8C">
        <w:t>ir</w:t>
      </w:r>
      <w:r w:rsidRPr="007F1E8C">
        <w:t xml:space="preserve"> due diligence with regard to financial, legal</w:t>
      </w:r>
      <w:r w:rsidR="00850411" w:rsidRPr="007F1E8C">
        <w:t>,</w:t>
      </w:r>
      <w:r w:rsidRPr="007F1E8C">
        <w:t xml:space="preserve"> and technical aspects, </w:t>
      </w:r>
      <w:r w:rsidR="00850411" w:rsidRPr="007F1E8C">
        <w:t>but</w:t>
      </w:r>
      <w:r w:rsidR="00DF6D13" w:rsidRPr="007F1E8C">
        <w:t>, in this landmark deal,</w:t>
      </w:r>
      <w:r w:rsidR="00850411" w:rsidRPr="007F1E8C">
        <w:t xml:space="preserve"> </w:t>
      </w:r>
      <w:r w:rsidRPr="007F1E8C">
        <w:t xml:space="preserve">could </w:t>
      </w:r>
      <w:r w:rsidR="00D8509D" w:rsidRPr="007F1E8C">
        <w:t xml:space="preserve">the spoiler be the </w:t>
      </w:r>
      <w:r w:rsidRPr="007F1E8C">
        <w:t xml:space="preserve">HR-related </w:t>
      </w:r>
      <w:r w:rsidR="000B3186" w:rsidRPr="007F1E8C">
        <w:t>showstoppers</w:t>
      </w:r>
      <w:r w:rsidRPr="007F1E8C">
        <w:t>?</w:t>
      </w:r>
    </w:p>
    <w:p w14:paraId="360FED32" w14:textId="77777777" w:rsidR="006F4D05" w:rsidRPr="00734162" w:rsidRDefault="006F4D05">
      <w:pPr>
        <w:spacing w:after="200" w:line="276" w:lineRule="auto"/>
        <w:rPr>
          <w:sz w:val="22"/>
          <w:szCs w:val="22"/>
          <w:shd w:val="clear" w:color="auto" w:fill="FFFFFF"/>
          <w:lang w:val="en-GB"/>
        </w:rPr>
      </w:pPr>
      <w:r w:rsidRPr="00734162">
        <w:rPr>
          <w:shd w:val="clear" w:color="auto" w:fill="FFFFFF"/>
          <w:lang w:val="en-GB"/>
        </w:rPr>
        <w:br w:type="page"/>
      </w:r>
    </w:p>
    <w:p w14:paraId="59FEDA47" w14:textId="0A573885" w:rsidR="006F4D05" w:rsidRPr="00734162" w:rsidRDefault="006F4D05" w:rsidP="006F4D05">
      <w:pPr>
        <w:pStyle w:val="ExhibitHeading"/>
        <w:rPr>
          <w:lang w:val="en-GB"/>
        </w:rPr>
      </w:pPr>
      <w:r w:rsidRPr="00734162">
        <w:rPr>
          <w:shd w:val="clear" w:color="auto" w:fill="FFFFFF"/>
          <w:lang w:val="en-GB" w:eastAsia="en-IN"/>
        </w:rPr>
        <w:lastRenderedPageBreak/>
        <w:t>EXHIBIT 1: ALIGNING WALMART’S H</w:t>
      </w:r>
      <w:r w:rsidR="00D8509D">
        <w:rPr>
          <w:shd w:val="clear" w:color="auto" w:fill="FFFFFF"/>
          <w:lang w:val="en-GB" w:eastAsia="en-IN"/>
        </w:rPr>
        <w:t xml:space="preserve">uman </w:t>
      </w:r>
      <w:r w:rsidRPr="00734162">
        <w:rPr>
          <w:shd w:val="clear" w:color="auto" w:fill="FFFFFF"/>
          <w:lang w:val="en-GB" w:eastAsia="en-IN"/>
        </w:rPr>
        <w:t>R</w:t>
      </w:r>
      <w:r w:rsidR="00D8509D">
        <w:rPr>
          <w:shd w:val="clear" w:color="auto" w:fill="FFFFFF"/>
          <w:lang w:val="en-GB" w:eastAsia="en-IN"/>
        </w:rPr>
        <w:t>esources</w:t>
      </w:r>
      <w:r w:rsidRPr="00734162">
        <w:rPr>
          <w:shd w:val="clear" w:color="auto" w:fill="FFFFFF"/>
          <w:lang w:val="en-GB" w:eastAsia="en-IN"/>
        </w:rPr>
        <w:t xml:space="preserve"> (PEOPLE DIVISION) WITH KEY BUSINESS STRATEGIES</w:t>
      </w:r>
    </w:p>
    <w:p w14:paraId="2108BA33" w14:textId="72C9B4E3" w:rsidR="006F4D05" w:rsidRPr="00734162" w:rsidRDefault="006F4D05" w:rsidP="00731D8F">
      <w:pPr>
        <w:pStyle w:val="ExhibitText"/>
        <w:rPr>
          <w:lang w:val="en-GB"/>
        </w:rPr>
      </w:pPr>
    </w:p>
    <w:p w14:paraId="5E0574F3" w14:textId="148094F9" w:rsidR="008C2149" w:rsidRPr="00734162" w:rsidRDefault="00D73611" w:rsidP="00731D8F">
      <w:pPr>
        <w:pStyle w:val="ExhibitText"/>
        <w:jc w:val="center"/>
        <w:rPr>
          <w:lang w:val="en-GB"/>
        </w:rPr>
      </w:pPr>
      <w:r w:rsidRPr="00734162">
        <w:rPr>
          <w:noProof/>
          <w:lang w:val="en-CA" w:eastAsia="en-CA"/>
        </w:rPr>
        <w:drawing>
          <wp:inline distT="0" distB="0" distL="0" distR="0" wp14:anchorId="23DFD98B" wp14:editId="13686C08">
            <wp:extent cx="4114800" cy="4114800"/>
            <wp:effectExtent l="0" t="0" r="0" b="19050"/>
            <wp:docPr id="10" name="Diagram 10"/>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54A67F" w14:textId="77777777" w:rsidR="00247187" w:rsidRPr="00734162" w:rsidRDefault="00247187" w:rsidP="00247187">
      <w:pPr>
        <w:pStyle w:val="ExhibitText"/>
        <w:rPr>
          <w:lang w:val="en-GB" w:eastAsia="en-IN"/>
        </w:rPr>
      </w:pPr>
    </w:p>
    <w:p w14:paraId="40DB1629" w14:textId="56E847AA" w:rsidR="008C2149" w:rsidRPr="00734162" w:rsidRDefault="008C2149" w:rsidP="004612B9">
      <w:pPr>
        <w:pStyle w:val="Footnote"/>
        <w:rPr>
          <w:lang w:val="en-GB"/>
        </w:rPr>
      </w:pPr>
      <w:r w:rsidRPr="00734162">
        <w:rPr>
          <w:lang w:val="en-GB" w:eastAsia="en-IN"/>
        </w:rPr>
        <w:t xml:space="preserve">Source: Adapted by </w:t>
      </w:r>
      <w:r w:rsidR="00890C23" w:rsidRPr="00734162">
        <w:rPr>
          <w:lang w:val="en-GB" w:eastAsia="en-IN"/>
        </w:rPr>
        <w:t xml:space="preserve">the case </w:t>
      </w:r>
      <w:r w:rsidRPr="00734162">
        <w:rPr>
          <w:lang w:val="en-GB" w:eastAsia="en-IN"/>
        </w:rPr>
        <w:t xml:space="preserve">authors from </w:t>
      </w:r>
      <w:r w:rsidRPr="00734162">
        <w:rPr>
          <w:lang w:val="en-GB"/>
        </w:rPr>
        <w:t xml:space="preserve">Michael </w:t>
      </w:r>
      <w:proofErr w:type="spellStart"/>
      <w:r w:rsidRPr="00734162">
        <w:rPr>
          <w:lang w:val="en-GB"/>
        </w:rPr>
        <w:t>Bergdahl</w:t>
      </w:r>
      <w:proofErr w:type="spellEnd"/>
      <w:r w:rsidRPr="00734162">
        <w:rPr>
          <w:lang w:val="en-GB"/>
        </w:rPr>
        <w:t xml:space="preserve">, </w:t>
      </w:r>
      <w:r w:rsidR="006C4E32" w:rsidRPr="00734162">
        <w:rPr>
          <w:lang w:val="en-GB"/>
        </w:rPr>
        <w:t>“How the HR Division at Wal-Mart Drives the Company</w:t>
      </w:r>
      <w:r w:rsidR="00D8509D">
        <w:rPr>
          <w:lang w:val="en-GB"/>
        </w:rPr>
        <w:t>’</w:t>
      </w:r>
      <w:r w:rsidR="006C4E32" w:rsidRPr="00734162">
        <w:rPr>
          <w:lang w:val="en-GB"/>
        </w:rPr>
        <w:t xml:space="preserve">s Success through People,” </w:t>
      </w:r>
      <w:r w:rsidR="006C4E32" w:rsidRPr="00306B05">
        <w:rPr>
          <w:i/>
          <w:iCs/>
          <w:lang w:val="en-GB"/>
        </w:rPr>
        <w:t>HR</w:t>
      </w:r>
      <w:r w:rsidR="006C4E32" w:rsidRPr="00306B05">
        <w:rPr>
          <w:i/>
          <w:lang w:val="en-GB"/>
        </w:rPr>
        <w:t xml:space="preserve"> Magazine</w:t>
      </w:r>
      <w:r w:rsidR="006C4E32" w:rsidRPr="00734162">
        <w:rPr>
          <w:lang w:val="en-GB"/>
        </w:rPr>
        <w:t xml:space="preserve">, </w:t>
      </w:r>
      <w:r w:rsidRPr="00734162">
        <w:rPr>
          <w:lang w:val="en-GB"/>
        </w:rPr>
        <w:t>September 21, 2010, accessed December 26, 2018, www.hrmagazine.co.uk/article-details/how-the-hr-division-at-wal-mart-drives-the-companys-success-through-people.</w:t>
      </w:r>
    </w:p>
    <w:p w14:paraId="4CF75B0C" w14:textId="77777777" w:rsidR="004612B9" w:rsidRPr="00734162" w:rsidRDefault="004612B9">
      <w:pPr>
        <w:spacing w:after="200" w:line="276" w:lineRule="auto"/>
        <w:rPr>
          <w:rFonts w:ascii="Arial" w:hAnsi="Arial" w:cs="Arial"/>
          <w:b/>
          <w:caps/>
          <w:sz w:val="20"/>
          <w:szCs w:val="20"/>
          <w:lang w:val="en-GB"/>
        </w:rPr>
      </w:pPr>
      <w:r w:rsidRPr="00734162">
        <w:rPr>
          <w:lang w:val="en-GB"/>
        </w:rPr>
        <w:br w:type="page"/>
      </w:r>
    </w:p>
    <w:p w14:paraId="738902EE" w14:textId="0A0A38E6" w:rsidR="008C2149" w:rsidRPr="00734162" w:rsidRDefault="008C2149" w:rsidP="004612B9">
      <w:pPr>
        <w:pStyle w:val="ExhibitHeading"/>
        <w:rPr>
          <w:lang w:val="en-GB"/>
        </w:rPr>
      </w:pPr>
      <w:r w:rsidRPr="00734162">
        <w:rPr>
          <w:lang w:val="en-GB"/>
        </w:rPr>
        <w:lastRenderedPageBreak/>
        <w:t xml:space="preserve">EXHIBIT </w:t>
      </w:r>
      <w:r w:rsidR="000E0453" w:rsidRPr="00734162">
        <w:rPr>
          <w:lang w:val="en-GB"/>
        </w:rPr>
        <w:t>2</w:t>
      </w:r>
      <w:r w:rsidRPr="00734162">
        <w:rPr>
          <w:lang w:val="en-GB"/>
        </w:rPr>
        <w:t xml:space="preserve">: </w:t>
      </w:r>
      <w:r w:rsidR="00647075" w:rsidRPr="00734162">
        <w:rPr>
          <w:lang w:val="en-GB"/>
        </w:rPr>
        <w:t>Funding raised by flipkart</w:t>
      </w:r>
      <w:r w:rsidR="000E0453" w:rsidRPr="00734162">
        <w:rPr>
          <w:lang w:val="en-GB"/>
        </w:rPr>
        <w:t xml:space="preserve"> (2009</w:t>
      </w:r>
      <w:r w:rsidR="00850411" w:rsidRPr="00734162">
        <w:rPr>
          <w:lang w:val="en-GB"/>
        </w:rPr>
        <w:t>–</w:t>
      </w:r>
      <w:r w:rsidR="000E0453" w:rsidRPr="00734162">
        <w:rPr>
          <w:lang w:val="en-GB"/>
        </w:rPr>
        <w:t>2017)</w:t>
      </w:r>
    </w:p>
    <w:p w14:paraId="6AAA0C1B" w14:textId="3FCFD434" w:rsidR="00915D5E" w:rsidRPr="00734162" w:rsidRDefault="00915D5E" w:rsidP="00731D8F">
      <w:pPr>
        <w:pStyle w:val="ExhibitText"/>
        <w:rPr>
          <w:lang w:val="en-GB"/>
        </w:rPr>
      </w:pPr>
    </w:p>
    <w:p w14:paraId="230C9D7E" w14:textId="4669D2C1" w:rsidR="009D6674" w:rsidRPr="00734162" w:rsidRDefault="009D6674" w:rsidP="00731D8F">
      <w:pPr>
        <w:pStyle w:val="ExhibitText"/>
        <w:rPr>
          <w:lang w:val="en-GB"/>
        </w:rPr>
      </w:pPr>
      <w:r w:rsidRPr="00734162">
        <w:rPr>
          <w:noProof/>
          <w:lang w:val="en-CA" w:eastAsia="en-CA"/>
        </w:rPr>
        <w:drawing>
          <wp:inline distT="0" distB="0" distL="0" distR="0" wp14:anchorId="64C71E1D" wp14:editId="7CBFB591">
            <wp:extent cx="5943600" cy="3308350"/>
            <wp:effectExtent l="0" t="0" r="0" b="6350"/>
            <wp:docPr id="3" name="Chart 3">
              <a:extLst xmlns:a="http://schemas.openxmlformats.org/drawingml/2006/main">
                <a:ext uri="{FF2B5EF4-FFF2-40B4-BE49-F238E27FC236}">
                  <a16:creationId xmlns:a16="http://schemas.microsoft.com/office/drawing/2014/main" id="{4521AB2B-B377-9B40-8848-47F75072B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E59456" w14:textId="3E5FE0E4" w:rsidR="00776C50" w:rsidRPr="00734162" w:rsidRDefault="00776C50" w:rsidP="00731D8F">
      <w:pPr>
        <w:pStyle w:val="ExhibitText"/>
        <w:rPr>
          <w:lang w:val="en-GB"/>
        </w:rPr>
      </w:pPr>
    </w:p>
    <w:p w14:paraId="32F67456" w14:textId="2ED6041C" w:rsidR="00915D5E" w:rsidRPr="00734162" w:rsidRDefault="000E0453" w:rsidP="004612B9">
      <w:pPr>
        <w:pStyle w:val="Footnote"/>
        <w:rPr>
          <w:lang w:val="en-GB"/>
        </w:rPr>
      </w:pPr>
      <w:r w:rsidRPr="00734162">
        <w:rPr>
          <w:lang w:val="en-GB"/>
        </w:rPr>
        <w:t xml:space="preserve">Source: </w:t>
      </w:r>
      <w:proofErr w:type="spellStart"/>
      <w:r w:rsidRPr="00734162">
        <w:rPr>
          <w:lang w:val="en-GB"/>
        </w:rPr>
        <w:t>Madhura</w:t>
      </w:r>
      <w:proofErr w:type="spellEnd"/>
      <w:r w:rsidRPr="00734162">
        <w:rPr>
          <w:lang w:val="en-GB"/>
        </w:rPr>
        <w:t xml:space="preserve"> </w:t>
      </w:r>
      <w:proofErr w:type="spellStart"/>
      <w:r w:rsidRPr="00734162">
        <w:rPr>
          <w:lang w:val="en-GB"/>
        </w:rPr>
        <w:t>Karnik</w:t>
      </w:r>
      <w:proofErr w:type="spellEnd"/>
      <w:r w:rsidRPr="00734162">
        <w:rPr>
          <w:lang w:val="en-GB"/>
        </w:rPr>
        <w:t xml:space="preserve">, “From $1 </w:t>
      </w:r>
      <w:r w:rsidR="00890C23" w:rsidRPr="00734162">
        <w:rPr>
          <w:lang w:val="en-GB"/>
        </w:rPr>
        <w:t>M</w:t>
      </w:r>
      <w:r w:rsidRPr="00734162">
        <w:rPr>
          <w:lang w:val="en-GB"/>
        </w:rPr>
        <w:t xml:space="preserve">illion to $1.4 </w:t>
      </w:r>
      <w:r w:rsidR="00890C23" w:rsidRPr="00734162">
        <w:rPr>
          <w:lang w:val="en-GB"/>
        </w:rPr>
        <w:t>B</w:t>
      </w:r>
      <w:r w:rsidRPr="00734162">
        <w:rPr>
          <w:lang w:val="en-GB"/>
        </w:rPr>
        <w:t xml:space="preserve">illion: </w:t>
      </w:r>
      <w:r w:rsidR="006A0F05" w:rsidRPr="00734162">
        <w:rPr>
          <w:lang w:val="en-GB"/>
        </w:rPr>
        <w:t>A</w:t>
      </w:r>
      <w:r w:rsidRPr="00734162">
        <w:rPr>
          <w:lang w:val="en-GB"/>
        </w:rPr>
        <w:t xml:space="preserve"> </w:t>
      </w:r>
      <w:r w:rsidR="006A0F05" w:rsidRPr="00734162">
        <w:rPr>
          <w:lang w:val="en-GB"/>
        </w:rPr>
        <w:t>T</w:t>
      </w:r>
      <w:r w:rsidRPr="00734162">
        <w:rPr>
          <w:lang w:val="en-GB"/>
        </w:rPr>
        <w:t xml:space="preserve">imeline of </w:t>
      </w:r>
      <w:r w:rsidR="00890C23" w:rsidRPr="00734162">
        <w:rPr>
          <w:lang w:val="en-GB"/>
        </w:rPr>
        <w:t>I</w:t>
      </w:r>
      <w:r w:rsidRPr="00734162">
        <w:rPr>
          <w:lang w:val="en-GB"/>
        </w:rPr>
        <w:t xml:space="preserve">nvestments into Flipkart,” Quartz India, April 10, 2017, accessed December 26, 2018, </w:t>
      </w:r>
      <w:r w:rsidR="009D6674" w:rsidRPr="00734162">
        <w:rPr>
          <w:lang w:val="en-GB"/>
        </w:rPr>
        <w:t>https://qz.com/india/954112/from-1-million-to-1-4-billion-a-timeline-of-flipkarts-investments</w:t>
      </w:r>
      <w:r w:rsidR="006A0F05" w:rsidRPr="00734162">
        <w:rPr>
          <w:lang w:val="en-GB"/>
        </w:rPr>
        <w:t>.</w:t>
      </w:r>
    </w:p>
    <w:p w14:paraId="47CDBD9D" w14:textId="3AEFFF3C" w:rsidR="00915D5E" w:rsidRPr="00734162" w:rsidRDefault="00915D5E" w:rsidP="00647075">
      <w:pPr>
        <w:pStyle w:val="ExhibitText"/>
        <w:rPr>
          <w:lang w:val="en-GB"/>
        </w:rPr>
      </w:pPr>
    </w:p>
    <w:p w14:paraId="0759CFBD" w14:textId="77777777" w:rsidR="004612B9" w:rsidRPr="00734162" w:rsidRDefault="004612B9">
      <w:pPr>
        <w:spacing w:after="200" w:line="276" w:lineRule="auto"/>
        <w:rPr>
          <w:rFonts w:ascii="Arial" w:hAnsi="Arial" w:cs="Arial"/>
          <w:b/>
          <w:caps/>
          <w:sz w:val="20"/>
          <w:szCs w:val="20"/>
          <w:lang w:val="en-GB"/>
        </w:rPr>
      </w:pPr>
      <w:r w:rsidRPr="00734162">
        <w:rPr>
          <w:lang w:val="en-GB"/>
        </w:rPr>
        <w:br w:type="page"/>
      </w:r>
    </w:p>
    <w:p w14:paraId="2B5CBA69" w14:textId="5CE098B8" w:rsidR="00871564" w:rsidRPr="00734162" w:rsidRDefault="0000713D">
      <w:pPr>
        <w:pStyle w:val="ExhibitHeading"/>
        <w:rPr>
          <w:lang w:val="en-GB"/>
        </w:rPr>
      </w:pPr>
      <w:r w:rsidRPr="00734162">
        <w:rPr>
          <w:lang w:val="en-GB"/>
        </w:rPr>
        <w:lastRenderedPageBreak/>
        <w:t>EXHIBIT 3: FLIPKART’S FUNDING</w:t>
      </w:r>
      <w:r w:rsidR="006A0F05" w:rsidRPr="00734162">
        <w:rPr>
          <w:lang w:val="en-GB"/>
        </w:rPr>
        <w:t xml:space="preserve"> and </w:t>
      </w:r>
      <w:r w:rsidRPr="00734162">
        <w:rPr>
          <w:caps w:val="0"/>
          <w:lang w:val="en-GB"/>
        </w:rPr>
        <w:t>ACQUISITIONS</w:t>
      </w:r>
      <w:r w:rsidRPr="00734162">
        <w:rPr>
          <w:lang w:val="en-GB"/>
        </w:rPr>
        <w:t xml:space="preserve"> OF START-UPS (2010</w:t>
      </w:r>
      <w:r w:rsidR="006A0F05" w:rsidRPr="00734162">
        <w:rPr>
          <w:lang w:val="en-GB"/>
        </w:rPr>
        <w:t>–</w:t>
      </w:r>
      <w:r w:rsidRPr="00734162">
        <w:rPr>
          <w:lang w:val="en-GB"/>
        </w:rPr>
        <w:t>2017)</w:t>
      </w:r>
    </w:p>
    <w:p w14:paraId="2F4FBBE9" w14:textId="77777777" w:rsidR="00647075" w:rsidRPr="00734162" w:rsidRDefault="00647075">
      <w:pPr>
        <w:pStyle w:val="ExhibitHeading"/>
        <w:rPr>
          <w:lang w:val="en-GB"/>
        </w:rPr>
      </w:pPr>
    </w:p>
    <w:p w14:paraId="6A425527" w14:textId="34906791" w:rsidR="008C2149" w:rsidRPr="00734162" w:rsidRDefault="008C2149" w:rsidP="00647075">
      <w:pPr>
        <w:pStyle w:val="ExhibitText"/>
        <w:rPr>
          <w:lang w:val="en-GB"/>
        </w:rPr>
      </w:pPr>
    </w:p>
    <w:tbl>
      <w:tblPr>
        <w:tblW w:w="4000" w:type="pct"/>
        <w:jc w:val="center"/>
        <w:tblBorders>
          <w:top w:val="single" w:sz="4" w:space="0" w:color="auto"/>
          <w:bottom w:val="single" w:sz="4" w:space="0" w:color="auto"/>
        </w:tblBorders>
        <w:tblCellMar>
          <w:top w:w="115" w:type="dxa"/>
          <w:left w:w="115" w:type="dxa"/>
          <w:bottom w:w="115" w:type="dxa"/>
          <w:right w:w="115" w:type="dxa"/>
        </w:tblCellMar>
        <w:tblLook w:val="04A0" w:firstRow="1" w:lastRow="0" w:firstColumn="1" w:lastColumn="0" w:noHBand="0" w:noVBand="1"/>
      </w:tblPr>
      <w:tblGrid>
        <w:gridCol w:w="900"/>
        <w:gridCol w:w="6588"/>
      </w:tblGrid>
      <w:tr w:rsidR="006A0F05" w:rsidRPr="00734162" w14:paraId="4C40E0B5" w14:textId="77777777" w:rsidTr="00647075">
        <w:trPr>
          <w:trHeight w:val="288"/>
          <w:jc w:val="center"/>
        </w:trPr>
        <w:tc>
          <w:tcPr>
            <w:tcW w:w="900" w:type="dxa"/>
            <w:tcBorders>
              <w:top w:val="single" w:sz="4" w:space="0" w:color="auto"/>
              <w:bottom w:val="single" w:sz="4" w:space="0" w:color="auto"/>
            </w:tcBorders>
            <w:shd w:val="clear" w:color="auto" w:fill="auto"/>
            <w:noWrap/>
          </w:tcPr>
          <w:p w14:paraId="3E2B8671" w14:textId="4061EA93" w:rsidR="006A0F05" w:rsidRPr="00734162" w:rsidRDefault="006A0F05" w:rsidP="00306B05">
            <w:pPr>
              <w:jc w:val="center"/>
              <w:rPr>
                <w:rFonts w:ascii="Arial" w:hAnsi="Arial" w:cs="Arial"/>
                <w:b/>
                <w:bCs/>
                <w:color w:val="000000"/>
                <w:sz w:val="20"/>
                <w:szCs w:val="20"/>
                <w:lang w:val="en-GB"/>
              </w:rPr>
            </w:pPr>
            <w:r w:rsidRPr="00734162">
              <w:rPr>
                <w:rFonts w:ascii="Arial" w:hAnsi="Arial" w:cs="Arial"/>
                <w:b/>
                <w:bCs/>
                <w:color w:val="000000"/>
                <w:sz w:val="20"/>
                <w:szCs w:val="20"/>
                <w:lang w:val="en-GB"/>
              </w:rPr>
              <w:t>Year</w:t>
            </w:r>
          </w:p>
        </w:tc>
        <w:tc>
          <w:tcPr>
            <w:tcW w:w="8460" w:type="dxa"/>
            <w:tcBorders>
              <w:top w:val="single" w:sz="4" w:space="0" w:color="auto"/>
              <w:bottom w:val="single" w:sz="4" w:space="0" w:color="auto"/>
            </w:tcBorders>
            <w:shd w:val="clear" w:color="auto" w:fill="auto"/>
          </w:tcPr>
          <w:p w14:paraId="26D1734C" w14:textId="7DA57B1A" w:rsidR="006A0F05" w:rsidRPr="00734162" w:rsidRDefault="006A0F05" w:rsidP="00306B05">
            <w:pPr>
              <w:jc w:val="center"/>
              <w:rPr>
                <w:rFonts w:ascii="Arial" w:hAnsi="Arial" w:cs="Arial"/>
                <w:b/>
                <w:bCs/>
                <w:color w:val="000000"/>
                <w:sz w:val="20"/>
                <w:szCs w:val="20"/>
                <w:lang w:val="en-GB"/>
              </w:rPr>
            </w:pPr>
            <w:r w:rsidRPr="00734162">
              <w:rPr>
                <w:rFonts w:ascii="Arial" w:hAnsi="Arial" w:cs="Arial"/>
                <w:b/>
                <w:bCs/>
                <w:color w:val="000000"/>
                <w:sz w:val="20"/>
                <w:szCs w:val="20"/>
                <w:lang w:val="en-GB"/>
              </w:rPr>
              <w:t>Funding/Acquisition</w:t>
            </w:r>
          </w:p>
        </w:tc>
      </w:tr>
      <w:tr w:rsidR="003051D4" w:rsidRPr="00734162" w14:paraId="5B7328A5" w14:textId="77777777" w:rsidTr="00647075">
        <w:trPr>
          <w:trHeight w:val="288"/>
          <w:jc w:val="center"/>
        </w:trPr>
        <w:tc>
          <w:tcPr>
            <w:tcW w:w="900" w:type="dxa"/>
            <w:tcBorders>
              <w:top w:val="single" w:sz="4" w:space="0" w:color="auto"/>
            </w:tcBorders>
            <w:shd w:val="clear" w:color="auto" w:fill="auto"/>
            <w:noWrap/>
            <w:hideMark/>
          </w:tcPr>
          <w:p w14:paraId="4A585357"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2010</w:t>
            </w:r>
          </w:p>
        </w:tc>
        <w:tc>
          <w:tcPr>
            <w:tcW w:w="8460" w:type="dxa"/>
            <w:tcBorders>
              <w:top w:val="single" w:sz="4" w:space="0" w:color="auto"/>
            </w:tcBorders>
            <w:shd w:val="clear" w:color="auto" w:fill="auto"/>
            <w:hideMark/>
          </w:tcPr>
          <w:p w14:paraId="34F94FB2" w14:textId="7490A879" w:rsidR="006A0F05" w:rsidRPr="00734162" w:rsidRDefault="003051D4">
            <w:pPr>
              <w:rPr>
                <w:rFonts w:ascii="Arial" w:hAnsi="Arial" w:cs="Arial"/>
                <w:color w:val="000000"/>
                <w:sz w:val="20"/>
                <w:szCs w:val="20"/>
                <w:lang w:val="en-GB"/>
              </w:rPr>
            </w:pPr>
            <w:proofErr w:type="spellStart"/>
            <w:r w:rsidRPr="00734162">
              <w:rPr>
                <w:rFonts w:ascii="Arial" w:hAnsi="Arial" w:cs="Arial"/>
                <w:color w:val="000000"/>
                <w:sz w:val="20"/>
                <w:szCs w:val="20"/>
                <w:lang w:val="en-GB"/>
              </w:rPr>
              <w:t>w</w:t>
            </w:r>
            <w:r w:rsidR="006A0F05" w:rsidRPr="00734162">
              <w:rPr>
                <w:rFonts w:ascii="Arial" w:hAnsi="Arial" w:cs="Arial"/>
                <w:color w:val="000000"/>
                <w:sz w:val="20"/>
                <w:szCs w:val="20"/>
                <w:lang w:val="en-GB"/>
              </w:rPr>
              <w:t>eRead</w:t>
            </w:r>
            <w:proofErr w:type="spellEnd"/>
            <w:r w:rsidR="006A0F05" w:rsidRPr="00734162">
              <w:rPr>
                <w:rFonts w:ascii="Arial" w:hAnsi="Arial" w:cs="Arial"/>
                <w:color w:val="000000"/>
                <w:sz w:val="20"/>
                <w:szCs w:val="20"/>
                <w:lang w:val="en-GB"/>
              </w:rPr>
              <w:t xml:space="preserve"> (e-commerce)</w:t>
            </w:r>
          </w:p>
        </w:tc>
      </w:tr>
      <w:tr w:rsidR="006A0F05" w:rsidRPr="00734162" w14:paraId="165D32A2" w14:textId="77777777" w:rsidTr="00647075">
        <w:trPr>
          <w:trHeight w:val="288"/>
          <w:jc w:val="center"/>
        </w:trPr>
        <w:tc>
          <w:tcPr>
            <w:tcW w:w="900" w:type="dxa"/>
            <w:shd w:val="clear" w:color="auto" w:fill="auto"/>
            <w:noWrap/>
            <w:hideMark/>
          </w:tcPr>
          <w:p w14:paraId="6BEB18A2"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2011</w:t>
            </w:r>
          </w:p>
        </w:tc>
        <w:tc>
          <w:tcPr>
            <w:tcW w:w="8460" w:type="dxa"/>
            <w:shd w:val="clear" w:color="auto" w:fill="auto"/>
            <w:hideMark/>
          </w:tcPr>
          <w:p w14:paraId="5DB5A7C4" w14:textId="723C9E61" w:rsidR="007A5225" w:rsidRPr="00734162" w:rsidRDefault="006A0F05" w:rsidP="006A0F05">
            <w:pPr>
              <w:rPr>
                <w:rFonts w:ascii="Arial" w:hAnsi="Arial" w:cs="Arial"/>
                <w:color w:val="000000"/>
                <w:sz w:val="20"/>
                <w:szCs w:val="20"/>
                <w:lang w:val="en-GB"/>
              </w:rPr>
            </w:pPr>
            <w:r w:rsidRPr="00734162">
              <w:rPr>
                <w:rFonts w:ascii="Arial" w:hAnsi="Arial" w:cs="Arial"/>
                <w:color w:val="000000"/>
                <w:sz w:val="20"/>
                <w:szCs w:val="20"/>
                <w:lang w:val="en-GB"/>
              </w:rPr>
              <w:t>Mime360</w:t>
            </w:r>
            <w:r w:rsidR="007A5225" w:rsidRPr="00734162">
              <w:rPr>
                <w:rFonts w:ascii="Arial" w:hAnsi="Arial" w:cs="Arial"/>
                <w:color w:val="000000"/>
                <w:sz w:val="20"/>
                <w:szCs w:val="20"/>
                <w:lang w:val="en-GB"/>
              </w:rPr>
              <w:t xml:space="preserve"> (</w:t>
            </w:r>
            <w:proofErr w:type="spellStart"/>
            <w:r w:rsidR="007A5225" w:rsidRPr="00734162">
              <w:rPr>
                <w:rFonts w:ascii="Arial" w:hAnsi="Arial" w:cs="Arial"/>
                <w:color w:val="000000"/>
                <w:sz w:val="20"/>
                <w:szCs w:val="20"/>
                <w:lang w:val="en-GB"/>
              </w:rPr>
              <w:t>Mallers</w:t>
            </w:r>
            <w:proofErr w:type="spellEnd"/>
            <w:r w:rsidR="007A5225" w:rsidRPr="00734162">
              <w:rPr>
                <w:rFonts w:ascii="Arial" w:hAnsi="Arial" w:cs="Arial"/>
                <w:color w:val="000000"/>
                <w:sz w:val="20"/>
                <w:szCs w:val="20"/>
                <w:lang w:val="en-GB"/>
              </w:rPr>
              <w:t xml:space="preserve"> Inc.) (digital distribution)</w:t>
            </w:r>
          </w:p>
          <w:p w14:paraId="1E7F57EF" w14:textId="448B30BF"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Chakpak</w:t>
            </w:r>
            <w:proofErr w:type="spellEnd"/>
            <w:r w:rsidRPr="00734162">
              <w:rPr>
                <w:rFonts w:ascii="Arial" w:hAnsi="Arial" w:cs="Arial"/>
                <w:color w:val="000000"/>
                <w:sz w:val="20"/>
                <w:szCs w:val="20"/>
                <w:lang w:val="en-GB"/>
              </w:rPr>
              <w:t xml:space="preserve"> </w:t>
            </w:r>
            <w:r w:rsidR="007A5225" w:rsidRPr="00734162">
              <w:rPr>
                <w:rFonts w:ascii="Arial" w:hAnsi="Arial" w:cs="Arial"/>
                <w:color w:val="000000"/>
                <w:sz w:val="20"/>
                <w:szCs w:val="20"/>
                <w:lang w:val="en-GB"/>
              </w:rPr>
              <w:t xml:space="preserve">Media </w:t>
            </w:r>
            <w:proofErr w:type="spellStart"/>
            <w:r w:rsidR="007A5225" w:rsidRPr="00734162">
              <w:rPr>
                <w:rFonts w:ascii="Arial" w:hAnsi="Arial" w:cs="Arial"/>
                <w:color w:val="000000"/>
                <w:sz w:val="20"/>
                <w:szCs w:val="20"/>
                <w:lang w:val="en-GB"/>
              </w:rPr>
              <w:t>Pvt.</w:t>
            </w:r>
            <w:proofErr w:type="spellEnd"/>
            <w:r w:rsidR="007A5225"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(digital distribution)</w:t>
            </w:r>
          </w:p>
        </w:tc>
      </w:tr>
      <w:tr w:rsidR="006A0F05" w:rsidRPr="00734162" w14:paraId="26CFB113" w14:textId="77777777" w:rsidTr="00647075">
        <w:trPr>
          <w:trHeight w:val="288"/>
          <w:jc w:val="center"/>
        </w:trPr>
        <w:tc>
          <w:tcPr>
            <w:tcW w:w="900" w:type="dxa"/>
            <w:shd w:val="clear" w:color="auto" w:fill="auto"/>
            <w:noWrap/>
            <w:hideMark/>
          </w:tcPr>
          <w:p w14:paraId="106C3D48"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2012</w:t>
            </w:r>
          </w:p>
        </w:tc>
        <w:tc>
          <w:tcPr>
            <w:tcW w:w="8460" w:type="dxa"/>
            <w:shd w:val="clear" w:color="auto" w:fill="auto"/>
            <w:hideMark/>
          </w:tcPr>
          <w:p w14:paraId="2A29F604" w14:textId="561F19E3"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Lets</w:t>
            </w:r>
            <w:r w:rsidR="007A5225" w:rsidRPr="00734162">
              <w:rPr>
                <w:rFonts w:ascii="Arial" w:hAnsi="Arial" w:cs="Arial"/>
                <w:color w:val="000000"/>
                <w:sz w:val="20"/>
                <w:szCs w:val="20"/>
                <w:lang w:val="en-GB"/>
              </w:rPr>
              <w:t>B</w:t>
            </w:r>
            <w:r w:rsidRPr="00734162">
              <w:rPr>
                <w:rFonts w:ascii="Arial" w:hAnsi="Arial" w:cs="Arial"/>
                <w:color w:val="000000"/>
                <w:sz w:val="20"/>
                <w:szCs w:val="20"/>
                <w:lang w:val="en-GB"/>
              </w:rPr>
              <w:t>uy</w:t>
            </w:r>
            <w:r w:rsidR="007A5225" w:rsidRPr="00734162">
              <w:rPr>
                <w:rFonts w:ascii="Arial" w:hAnsi="Arial" w:cs="Arial"/>
                <w:color w:val="000000"/>
                <w:sz w:val="20"/>
                <w:szCs w:val="20"/>
                <w:lang w:val="en-GB"/>
              </w:rPr>
              <w:t>.com</w:t>
            </w:r>
            <w:r w:rsidRPr="00734162">
              <w:rPr>
                <w:rFonts w:ascii="Arial" w:hAnsi="Arial" w:cs="Arial"/>
                <w:color w:val="000000"/>
                <w:sz w:val="20"/>
                <w:szCs w:val="20"/>
                <w:lang w:val="en-GB"/>
              </w:rPr>
              <w:t xml:space="preserve"> (e-commerce)</w:t>
            </w:r>
          </w:p>
        </w:tc>
      </w:tr>
      <w:tr w:rsidR="003051D4" w:rsidRPr="00734162" w14:paraId="281BE027" w14:textId="77777777" w:rsidTr="00647075">
        <w:trPr>
          <w:trHeight w:val="288"/>
          <w:jc w:val="center"/>
        </w:trPr>
        <w:tc>
          <w:tcPr>
            <w:tcW w:w="900" w:type="dxa"/>
            <w:shd w:val="clear" w:color="auto" w:fill="auto"/>
            <w:noWrap/>
            <w:hideMark/>
          </w:tcPr>
          <w:p w14:paraId="08C8F388"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2014</w:t>
            </w:r>
          </w:p>
        </w:tc>
        <w:tc>
          <w:tcPr>
            <w:tcW w:w="8460" w:type="dxa"/>
            <w:shd w:val="clear" w:color="auto" w:fill="auto"/>
            <w:hideMark/>
          </w:tcPr>
          <w:p w14:paraId="051658C7" w14:textId="5A7DC942"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Myntra</w:t>
            </w:r>
            <w:proofErr w:type="spellEnd"/>
            <w:r w:rsidRPr="00734162">
              <w:rPr>
                <w:rFonts w:ascii="Arial" w:hAnsi="Arial" w:cs="Arial"/>
                <w:color w:val="000000"/>
                <w:sz w:val="20"/>
                <w:szCs w:val="20"/>
                <w:lang w:val="en-GB"/>
              </w:rPr>
              <w:t xml:space="preserve"> (e-commerce)</w:t>
            </w:r>
          </w:p>
          <w:p w14:paraId="04260F33" w14:textId="699BCE4D"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 xml:space="preserve">Jeeves Consumer </w:t>
            </w:r>
            <w:r w:rsidR="007A5225" w:rsidRPr="00734162">
              <w:rPr>
                <w:rFonts w:ascii="Arial" w:hAnsi="Arial" w:cs="Arial"/>
                <w:color w:val="000000"/>
                <w:sz w:val="20"/>
                <w:szCs w:val="20"/>
                <w:lang w:val="en-GB"/>
              </w:rPr>
              <w:t xml:space="preserve">Services </w:t>
            </w:r>
            <w:proofErr w:type="spellStart"/>
            <w:r w:rsidR="007A5225" w:rsidRPr="00734162">
              <w:rPr>
                <w:rFonts w:ascii="Arial" w:hAnsi="Arial" w:cs="Arial"/>
                <w:color w:val="000000"/>
                <w:sz w:val="20"/>
                <w:szCs w:val="20"/>
                <w:lang w:val="en-GB"/>
              </w:rPr>
              <w:t>Pvt.</w:t>
            </w:r>
            <w:proofErr w:type="spellEnd"/>
            <w:r w:rsidR="007A5225"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(technology)</w:t>
            </w:r>
          </w:p>
          <w:p w14:paraId="4F9F2A05" w14:textId="6654C37F" w:rsidR="006A0F05" w:rsidRPr="00734162" w:rsidRDefault="007A5225">
            <w:pPr>
              <w:rPr>
                <w:rFonts w:ascii="Arial" w:hAnsi="Arial" w:cs="Arial"/>
                <w:color w:val="000000"/>
                <w:sz w:val="20"/>
                <w:szCs w:val="20"/>
                <w:lang w:val="en-GB"/>
              </w:rPr>
            </w:pPr>
            <w:proofErr w:type="spellStart"/>
            <w:r w:rsidRPr="00734162">
              <w:rPr>
                <w:rFonts w:ascii="Arial" w:hAnsi="Arial" w:cs="Arial"/>
                <w:color w:val="000000"/>
                <w:sz w:val="20"/>
                <w:szCs w:val="20"/>
                <w:lang w:val="en-GB"/>
              </w:rPr>
              <w:t>n</w:t>
            </w:r>
            <w:r w:rsidR="006A0F05" w:rsidRPr="00734162">
              <w:rPr>
                <w:rFonts w:ascii="Arial" w:hAnsi="Arial" w:cs="Arial"/>
                <w:color w:val="000000"/>
                <w:sz w:val="20"/>
                <w:szCs w:val="20"/>
                <w:lang w:val="en-GB"/>
              </w:rPr>
              <w:t>g</w:t>
            </w:r>
            <w:r w:rsidRPr="00734162">
              <w:rPr>
                <w:rFonts w:ascii="Arial" w:hAnsi="Arial" w:cs="Arial"/>
                <w:color w:val="000000"/>
                <w:sz w:val="20"/>
                <w:szCs w:val="20"/>
                <w:lang w:val="en-GB"/>
              </w:rPr>
              <w:t>p</w:t>
            </w:r>
            <w:r w:rsidR="006A0F05" w:rsidRPr="00734162">
              <w:rPr>
                <w:rFonts w:ascii="Arial" w:hAnsi="Arial" w:cs="Arial"/>
                <w:color w:val="000000"/>
                <w:sz w:val="20"/>
                <w:szCs w:val="20"/>
                <w:lang w:val="en-GB"/>
              </w:rPr>
              <w:t>ay</w:t>
            </w:r>
            <w:proofErr w:type="spellEnd"/>
            <w:r w:rsidR="006A0F05" w:rsidRPr="00734162">
              <w:rPr>
                <w:rFonts w:ascii="Arial" w:hAnsi="Arial" w:cs="Arial"/>
                <w:color w:val="000000"/>
                <w:sz w:val="20"/>
                <w:szCs w:val="20"/>
                <w:lang w:val="en-GB"/>
              </w:rPr>
              <w:t xml:space="preserve"> (</w:t>
            </w:r>
            <w:proofErr w:type="spellStart"/>
            <w:r w:rsidR="006A0F05" w:rsidRPr="00734162">
              <w:rPr>
                <w:rFonts w:ascii="Arial" w:hAnsi="Arial" w:cs="Arial"/>
                <w:color w:val="000000"/>
                <w:sz w:val="20"/>
                <w:szCs w:val="20"/>
                <w:lang w:val="en-GB"/>
              </w:rPr>
              <w:t>fintech</w:t>
            </w:r>
            <w:proofErr w:type="spellEnd"/>
            <w:r w:rsidR="006A0F05" w:rsidRPr="00734162">
              <w:rPr>
                <w:rFonts w:ascii="Arial" w:hAnsi="Arial" w:cs="Arial"/>
                <w:color w:val="000000"/>
                <w:sz w:val="20"/>
                <w:szCs w:val="20"/>
                <w:lang w:val="en-GB"/>
              </w:rPr>
              <w:t>)</w:t>
            </w:r>
          </w:p>
        </w:tc>
      </w:tr>
      <w:tr w:rsidR="006A0F05" w:rsidRPr="00734162" w14:paraId="2A87C402" w14:textId="77777777" w:rsidTr="00647075">
        <w:trPr>
          <w:trHeight w:val="288"/>
          <w:jc w:val="center"/>
        </w:trPr>
        <w:tc>
          <w:tcPr>
            <w:tcW w:w="900" w:type="dxa"/>
            <w:shd w:val="clear" w:color="auto" w:fill="auto"/>
            <w:noWrap/>
            <w:hideMark/>
          </w:tcPr>
          <w:p w14:paraId="507305F1"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2015</w:t>
            </w:r>
          </w:p>
        </w:tc>
        <w:tc>
          <w:tcPr>
            <w:tcW w:w="8460" w:type="dxa"/>
            <w:shd w:val="clear" w:color="auto" w:fill="auto"/>
            <w:hideMark/>
          </w:tcPr>
          <w:p w14:paraId="5FADBFFD" w14:textId="4F132510"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Ad</w:t>
            </w:r>
            <w:r w:rsidR="007D1F27" w:rsidRPr="00734162">
              <w:rPr>
                <w:rFonts w:ascii="Arial" w:hAnsi="Arial" w:cs="Arial"/>
                <w:color w:val="000000"/>
                <w:sz w:val="20"/>
                <w:szCs w:val="20"/>
                <w:lang w:val="en-GB"/>
              </w:rPr>
              <w:t>lQ</w:t>
            </w:r>
            <w:r w:rsidRPr="00734162">
              <w:rPr>
                <w:rFonts w:ascii="Arial" w:hAnsi="Arial" w:cs="Arial"/>
                <w:color w:val="000000"/>
                <w:sz w:val="20"/>
                <w:szCs w:val="20"/>
                <w:lang w:val="en-GB"/>
              </w:rPr>
              <w:t>uity</w:t>
            </w:r>
            <w:proofErr w:type="spellEnd"/>
            <w:r w:rsidR="007D1F27" w:rsidRPr="00734162">
              <w:rPr>
                <w:rFonts w:ascii="Arial" w:hAnsi="Arial" w:cs="Arial"/>
                <w:color w:val="000000"/>
                <w:sz w:val="20"/>
                <w:szCs w:val="20"/>
                <w:lang w:val="en-GB"/>
              </w:rPr>
              <w:t xml:space="preserve"> Technologies </w:t>
            </w:r>
            <w:proofErr w:type="spellStart"/>
            <w:r w:rsidR="007D1F27" w:rsidRPr="00734162">
              <w:rPr>
                <w:rFonts w:ascii="Arial" w:hAnsi="Arial" w:cs="Arial"/>
                <w:color w:val="000000"/>
                <w:sz w:val="20"/>
                <w:szCs w:val="20"/>
                <w:lang w:val="en-GB"/>
              </w:rPr>
              <w:t>Pvt.</w:t>
            </w:r>
            <w:proofErr w:type="spellEnd"/>
            <w:r w:rsidR="007D1F27" w:rsidRPr="00734162">
              <w:rPr>
                <w:rFonts w:ascii="Arial" w:hAnsi="Arial" w:cs="Arial"/>
                <w:color w:val="000000"/>
                <w:sz w:val="20"/>
                <w:szCs w:val="20"/>
                <w:lang w:val="en-GB"/>
              </w:rPr>
              <w:t xml:space="preserve"> Ltd.</w:t>
            </w:r>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m</w:t>
            </w:r>
            <w:r w:rsidRPr="00734162">
              <w:rPr>
                <w:rFonts w:ascii="Arial" w:hAnsi="Arial" w:cs="Arial"/>
                <w:color w:val="000000"/>
                <w:sz w:val="20"/>
                <w:szCs w:val="20"/>
                <w:lang w:val="en-GB"/>
              </w:rPr>
              <w:t xml:space="preserve">obile </w:t>
            </w:r>
            <w:r w:rsidR="003051D4" w:rsidRPr="00734162">
              <w:rPr>
                <w:rFonts w:ascii="Arial" w:hAnsi="Arial" w:cs="Arial"/>
                <w:color w:val="000000"/>
                <w:sz w:val="20"/>
                <w:szCs w:val="20"/>
                <w:lang w:val="en-GB"/>
              </w:rPr>
              <w:t>t</w:t>
            </w:r>
            <w:r w:rsidRPr="00734162">
              <w:rPr>
                <w:rFonts w:ascii="Arial" w:hAnsi="Arial" w:cs="Arial"/>
                <w:color w:val="000000"/>
                <w:sz w:val="20"/>
                <w:szCs w:val="20"/>
                <w:lang w:val="en-GB"/>
              </w:rPr>
              <w:t>ech)</w:t>
            </w:r>
          </w:p>
          <w:p w14:paraId="0B29DD85" w14:textId="57C16051"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NestAway</w:t>
            </w:r>
            <w:proofErr w:type="spellEnd"/>
            <w:r w:rsidRPr="00734162">
              <w:rPr>
                <w:rFonts w:ascii="Arial" w:hAnsi="Arial" w:cs="Arial"/>
                <w:color w:val="000000"/>
                <w:sz w:val="20"/>
                <w:szCs w:val="20"/>
                <w:lang w:val="en-GB"/>
              </w:rPr>
              <w:t xml:space="preserve"> </w:t>
            </w:r>
            <w:r w:rsidR="007D1F27" w:rsidRPr="00734162">
              <w:rPr>
                <w:rFonts w:ascii="Arial" w:hAnsi="Arial" w:cs="Arial"/>
                <w:color w:val="000000"/>
                <w:sz w:val="20"/>
                <w:szCs w:val="20"/>
                <w:lang w:val="en-GB"/>
              </w:rPr>
              <w:t xml:space="preserve">Technologies </w:t>
            </w:r>
            <w:proofErr w:type="spellStart"/>
            <w:r w:rsidR="007D1F27" w:rsidRPr="00734162">
              <w:rPr>
                <w:rFonts w:ascii="Arial" w:hAnsi="Arial" w:cs="Arial"/>
                <w:color w:val="000000"/>
                <w:sz w:val="20"/>
                <w:szCs w:val="20"/>
                <w:lang w:val="en-GB"/>
              </w:rPr>
              <w:t>Pvt.</w:t>
            </w:r>
            <w:proofErr w:type="spellEnd"/>
            <w:r w:rsidR="007D1F27"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r w:rsidR="003051D4" w:rsidRPr="00734162">
              <w:rPr>
                <w:rFonts w:ascii="Arial" w:hAnsi="Arial" w:cs="Arial"/>
                <w:color w:val="000000"/>
                <w:sz w:val="20"/>
                <w:szCs w:val="20"/>
                <w:lang w:val="en-GB"/>
              </w:rPr>
              <w:t>r</w:t>
            </w:r>
            <w:r w:rsidRPr="00734162">
              <w:rPr>
                <w:rFonts w:ascii="Arial" w:hAnsi="Arial" w:cs="Arial"/>
                <w:color w:val="000000"/>
                <w:sz w:val="20"/>
                <w:szCs w:val="20"/>
                <w:lang w:val="en-GB"/>
              </w:rPr>
              <w:t xml:space="preserve">eal </w:t>
            </w:r>
            <w:r w:rsidR="003051D4" w:rsidRPr="00734162">
              <w:rPr>
                <w:rFonts w:ascii="Arial" w:hAnsi="Arial" w:cs="Arial"/>
                <w:color w:val="000000"/>
                <w:sz w:val="20"/>
                <w:szCs w:val="20"/>
                <w:lang w:val="en-GB"/>
              </w:rPr>
              <w:t>e</w:t>
            </w:r>
            <w:r w:rsidRPr="00734162">
              <w:rPr>
                <w:rFonts w:ascii="Arial" w:hAnsi="Arial" w:cs="Arial"/>
                <w:color w:val="000000"/>
                <w:sz w:val="20"/>
                <w:szCs w:val="20"/>
                <w:lang w:val="en-GB"/>
              </w:rPr>
              <w:t>state)</w:t>
            </w:r>
          </w:p>
          <w:p w14:paraId="73183B55" w14:textId="55564F5F"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Zinka</w:t>
            </w:r>
            <w:proofErr w:type="spellEnd"/>
            <w:r w:rsidRPr="00734162">
              <w:rPr>
                <w:rFonts w:ascii="Arial" w:hAnsi="Arial" w:cs="Arial"/>
                <w:color w:val="000000"/>
                <w:sz w:val="20"/>
                <w:szCs w:val="20"/>
                <w:lang w:val="en-GB"/>
              </w:rPr>
              <w:t xml:space="preserve"> Logistics </w:t>
            </w:r>
            <w:r w:rsidR="007D1F27" w:rsidRPr="00734162">
              <w:rPr>
                <w:rFonts w:ascii="Arial" w:hAnsi="Arial" w:cs="Arial"/>
                <w:color w:val="000000"/>
                <w:sz w:val="20"/>
                <w:szCs w:val="20"/>
                <w:lang w:val="en-GB"/>
              </w:rPr>
              <w:t xml:space="preserve">Solutions </w:t>
            </w:r>
            <w:proofErr w:type="spellStart"/>
            <w:r w:rsidR="007D1F27" w:rsidRPr="00734162">
              <w:rPr>
                <w:rFonts w:ascii="Arial" w:hAnsi="Arial" w:cs="Arial"/>
                <w:color w:val="000000"/>
                <w:sz w:val="20"/>
                <w:szCs w:val="20"/>
                <w:lang w:val="en-GB"/>
              </w:rPr>
              <w:t>Pvt.</w:t>
            </w:r>
            <w:proofErr w:type="spellEnd"/>
            <w:r w:rsidR="007D1F27"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r w:rsidR="003051D4" w:rsidRPr="00734162">
              <w:rPr>
                <w:rFonts w:ascii="Arial" w:hAnsi="Arial" w:cs="Arial"/>
                <w:color w:val="000000"/>
                <w:sz w:val="20"/>
                <w:szCs w:val="20"/>
                <w:lang w:val="en-GB"/>
              </w:rPr>
              <w:t>l</w:t>
            </w:r>
            <w:r w:rsidRPr="00734162">
              <w:rPr>
                <w:rFonts w:ascii="Arial" w:hAnsi="Arial" w:cs="Arial"/>
                <w:color w:val="000000"/>
                <w:sz w:val="20"/>
                <w:szCs w:val="20"/>
                <w:lang w:val="en-GB"/>
              </w:rPr>
              <w:t>ogistics)</w:t>
            </w:r>
          </w:p>
          <w:p w14:paraId="695C3CDF" w14:textId="03B58953"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 xml:space="preserve">Cube26 </w:t>
            </w:r>
            <w:r w:rsidR="007D1F27" w:rsidRPr="00734162">
              <w:rPr>
                <w:rFonts w:ascii="Arial" w:hAnsi="Arial" w:cs="Arial"/>
                <w:color w:val="000000"/>
                <w:sz w:val="20"/>
                <w:szCs w:val="20"/>
                <w:lang w:val="en-GB"/>
              </w:rPr>
              <w:t xml:space="preserve">Software </w:t>
            </w:r>
            <w:proofErr w:type="spellStart"/>
            <w:r w:rsidR="007D1F27" w:rsidRPr="00734162">
              <w:rPr>
                <w:rFonts w:ascii="Arial" w:hAnsi="Arial" w:cs="Arial"/>
                <w:color w:val="000000"/>
                <w:sz w:val="20"/>
                <w:szCs w:val="20"/>
                <w:lang w:val="en-GB"/>
              </w:rPr>
              <w:t>Pvt.</w:t>
            </w:r>
            <w:proofErr w:type="spellEnd"/>
            <w:r w:rsidR="007D1F27"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r w:rsidR="003051D4" w:rsidRPr="00734162">
              <w:rPr>
                <w:rFonts w:ascii="Arial" w:hAnsi="Arial" w:cs="Arial"/>
                <w:color w:val="000000"/>
                <w:sz w:val="20"/>
                <w:szCs w:val="20"/>
                <w:lang w:val="en-GB"/>
              </w:rPr>
              <w:t>m</w:t>
            </w:r>
            <w:r w:rsidRPr="00734162">
              <w:rPr>
                <w:rFonts w:ascii="Arial" w:hAnsi="Arial" w:cs="Arial"/>
                <w:color w:val="000000"/>
                <w:sz w:val="20"/>
                <w:szCs w:val="20"/>
                <w:lang w:val="en-GB"/>
              </w:rPr>
              <w:t xml:space="preserve">achine </w:t>
            </w:r>
            <w:r w:rsidR="003051D4" w:rsidRPr="00734162">
              <w:rPr>
                <w:rFonts w:ascii="Arial" w:hAnsi="Arial" w:cs="Arial"/>
                <w:color w:val="000000"/>
                <w:sz w:val="20"/>
                <w:szCs w:val="20"/>
                <w:lang w:val="en-GB"/>
              </w:rPr>
              <w:t>l</w:t>
            </w:r>
            <w:r w:rsidRPr="00734162">
              <w:rPr>
                <w:rFonts w:ascii="Arial" w:hAnsi="Arial" w:cs="Arial"/>
                <w:color w:val="000000"/>
                <w:sz w:val="20"/>
                <w:szCs w:val="20"/>
                <w:lang w:val="en-GB"/>
              </w:rPr>
              <w:t xml:space="preserve">earning, </w:t>
            </w:r>
            <w:r w:rsidR="007D1F27" w:rsidRPr="00734162">
              <w:rPr>
                <w:rFonts w:ascii="Arial" w:hAnsi="Arial" w:cs="Arial"/>
                <w:color w:val="000000"/>
                <w:sz w:val="20"/>
                <w:szCs w:val="20"/>
                <w:lang w:val="en-GB"/>
              </w:rPr>
              <w:t>e</w:t>
            </w:r>
            <w:r w:rsidRPr="00734162">
              <w:rPr>
                <w:rFonts w:ascii="Arial" w:hAnsi="Arial" w:cs="Arial"/>
                <w:color w:val="000000"/>
                <w:sz w:val="20"/>
                <w:szCs w:val="20"/>
                <w:lang w:val="en-GB"/>
              </w:rPr>
              <w:t>nterprise software)</w:t>
            </w:r>
          </w:p>
          <w:p w14:paraId="2B7E8E02" w14:textId="53828D0A"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Qik</w:t>
            </w:r>
            <w:r w:rsidR="007D1F27" w:rsidRPr="00734162">
              <w:rPr>
                <w:rFonts w:ascii="Arial" w:hAnsi="Arial" w:cs="Arial"/>
                <w:color w:val="000000"/>
                <w:sz w:val="20"/>
                <w:szCs w:val="20"/>
                <w:lang w:val="en-GB"/>
              </w:rPr>
              <w:t>P</w:t>
            </w:r>
            <w:r w:rsidRPr="00734162">
              <w:rPr>
                <w:rFonts w:ascii="Arial" w:hAnsi="Arial" w:cs="Arial"/>
                <w:color w:val="000000"/>
                <w:sz w:val="20"/>
                <w:szCs w:val="20"/>
                <w:lang w:val="en-GB"/>
              </w:rPr>
              <w:t>od</w:t>
            </w:r>
            <w:proofErr w:type="spellEnd"/>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l</w:t>
            </w:r>
            <w:r w:rsidRPr="00734162">
              <w:rPr>
                <w:rFonts w:ascii="Arial" w:hAnsi="Arial" w:cs="Arial"/>
                <w:color w:val="000000"/>
                <w:sz w:val="20"/>
                <w:szCs w:val="20"/>
                <w:lang w:val="en-GB"/>
              </w:rPr>
              <w:t>ogistics)</w:t>
            </w:r>
          </w:p>
          <w:p w14:paraId="3084307E" w14:textId="711D64C9"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Mech</w:t>
            </w:r>
            <w:proofErr w:type="spellEnd"/>
            <w:r w:rsidR="007D1F27" w:rsidRPr="00734162">
              <w:rPr>
                <w:rFonts w:ascii="Arial" w:hAnsi="Arial" w:cs="Arial"/>
                <w:color w:val="000000"/>
                <w:sz w:val="20"/>
                <w:szCs w:val="20"/>
                <w:lang w:val="en-GB"/>
              </w:rPr>
              <w:t xml:space="preserve"> M</w:t>
            </w:r>
            <w:r w:rsidRPr="00734162">
              <w:rPr>
                <w:rFonts w:ascii="Arial" w:hAnsi="Arial" w:cs="Arial"/>
                <w:color w:val="000000"/>
                <w:sz w:val="20"/>
                <w:szCs w:val="20"/>
                <w:lang w:val="en-GB"/>
              </w:rPr>
              <w:t xml:space="preserve">ocha </w:t>
            </w:r>
            <w:r w:rsidR="007D1F27" w:rsidRPr="00734162">
              <w:rPr>
                <w:rFonts w:ascii="Arial" w:hAnsi="Arial" w:cs="Arial"/>
                <w:color w:val="000000"/>
                <w:sz w:val="20"/>
                <w:szCs w:val="20"/>
                <w:lang w:val="en-GB"/>
              </w:rPr>
              <w:t xml:space="preserve">Game Studios </w:t>
            </w:r>
            <w:proofErr w:type="spellStart"/>
            <w:r w:rsidR="007D1F27" w:rsidRPr="00734162">
              <w:rPr>
                <w:rFonts w:ascii="Arial" w:hAnsi="Arial" w:cs="Arial"/>
                <w:color w:val="000000"/>
                <w:sz w:val="20"/>
                <w:szCs w:val="20"/>
                <w:lang w:val="en-GB"/>
              </w:rPr>
              <w:t>Pvt.</w:t>
            </w:r>
            <w:proofErr w:type="spellEnd"/>
            <w:r w:rsidR="007D1F27"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r w:rsidR="003051D4" w:rsidRPr="00734162">
              <w:rPr>
                <w:rFonts w:ascii="Arial" w:hAnsi="Arial" w:cs="Arial"/>
                <w:color w:val="000000"/>
                <w:sz w:val="20"/>
                <w:szCs w:val="20"/>
                <w:lang w:val="en-GB"/>
              </w:rPr>
              <w:t>m</w:t>
            </w:r>
            <w:r w:rsidRPr="00734162">
              <w:rPr>
                <w:rFonts w:ascii="Arial" w:hAnsi="Arial" w:cs="Arial"/>
                <w:color w:val="000000"/>
                <w:sz w:val="20"/>
                <w:szCs w:val="20"/>
                <w:lang w:val="en-GB"/>
              </w:rPr>
              <w:t xml:space="preserve">obile </w:t>
            </w:r>
            <w:r w:rsidR="007D1F27" w:rsidRPr="00734162">
              <w:rPr>
                <w:rFonts w:ascii="Arial" w:hAnsi="Arial" w:cs="Arial"/>
                <w:color w:val="000000"/>
                <w:sz w:val="20"/>
                <w:szCs w:val="20"/>
                <w:lang w:val="en-GB"/>
              </w:rPr>
              <w:t>g</w:t>
            </w:r>
            <w:r w:rsidRPr="00734162">
              <w:rPr>
                <w:rFonts w:ascii="Arial" w:hAnsi="Arial" w:cs="Arial"/>
                <w:color w:val="000000"/>
                <w:sz w:val="20"/>
                <w:szCs w:val="20"/>
                <w:lang w:val="en-GB"/>
              </w:rPr>
              <w:t>aming)</w:t>
            </w:r>
          </w:p>
          <w:p w14:paraId="7E2D24F8" w14:textId="7B2DB252"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Appiterate</w:t>
            </w:r>
            <w:proofErr w:type="spellEnd"/>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m</w:t>
            </w:r>
            <w:r w:rsidRPr="00734162">
              <w:rPr>
                <w:rFonts w:ascii="Arial" w:hAnsi="Arial" w:cs="Arial"/>
                <w:color w:val="000000"/>
                <w:sz w:val="20"/>
                <w:szCs w:val="20"/>
                <w:lang w:val="en-GB"/>
              </w:rPr>
              <w:t xml:space="preserve">obile </w:t>
            </w:r>
            <w:r w:rsidR="007D1F27" w:rsidRPr="00734162">
              <w:rPr>
                <w:rFonts w:ascii="Arial" w:hAnsi="Arial" w:cs="Arial"/>
                <w:color w:val="000000"/>
                <w:sz w:val="20"/>
                <w:szCs w:val="20"/>
                <w:lang w:val="en-GB"/>
              </w:rPr>
              <w:t>t</w:t>
            </w:r>
            <w:r w:rsidRPr="00734162">
              <w:rPr>
                <w:rFonts w:ascii="Arial" w:hAnsi="Arial" w:cs="Arial"/>
                <w:color w:val="000000"/>
                <w:sz w:val="20"/>
                <w:szCs w:val="20"/>
                <w:lang w:val="en-GB"/>
              </w:rPr>
              <w:t>ech)</w:t>
            </w:r>
          </w:p>
          <w:p w14:paraId="635E0F8F" w14:textId="2EEF1211"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 xml:space="preserve">FX Mart </w:t>
            </w:r>
            <w:proofErr w:type="spellStart"/>
            <w:r w:rsidR="007D1F27" w:rsidRPr="00734162">
              <w:rPr>
                <w:rFonts w:ascii="Arial" w:hAnsi="Arial" w:cs="Arial"/>
                <w:color w:val="000000"/>
                <w:sz w:val="20"/>
                <w:szCs w:val="20"/>
                <w:lang w:val="en-GB"/>
              </w:rPr>
              <w:t>Pvt.</w:t>
            </w:r>
            <w:proofErr w:type="spellEnd"/>
            <w:r w:rsidR="007D1F27"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proofErr w:type="spellStart"/>
            <w:r w:rsidR="003051D4" w:rsidRPr="00734162">
              <w:rPr>
                <w:rFonts w:ascii="Arial" w:hAnsi="Arial" w:cs="Arial"/>
                <w:color w:val="000000"/>
                <w:sz w:val="20"/>
                <w:szCs w:val="20"/>
                <w:lang w:val="en-GB"/>
              </w:rPr>
              <w:t>f</w:t>
            </w:r>
            <w:r w:rsidRPr="00734162">
              <w:rPr>
                <w:rFonts w:ascii="Arial" w:hAnsi="Arial" w:cs="Arial"/>
                <w:color w:val="000000"/>
                <w:sz w:val="20"/>
                <w:szCs w:val="20"/>
                <w:lang w:val="en-GB"/>
              </w:rPr>
              <w:t>intech</w:t>
            </w:r>
            <w:proofErr w:type="spellEnd"/>
            <w:r w:rsidRPr="00734162">
              <w:rPr>
                <w:rFonts w:ascii="Arial" w:hAnsi="Arial" w:cs="Arial"/>
                <w:color w:val="000000"/>
                <w:sz w:val="20"/>
                <w:szCs w:val="20"/>
                <w:lang w:val="en-GB"/>
              </w:rPr>
              <w:t>)</w:t>
            </w:r>
          </w:p>
        </w:tc>
      </w:tr>
      <w:tr w:rsidR="006A0F05" w:rsidRPr="00734162" w14:paraId="149971CF" w14:textId="77777777" w:rsidTr="00647075">
        <w:trPr>
          <w:trHeight w:val="288"/>
          <w:jc w:val="center"/>
        </w:trPr>
        <w:tc>
          <w:tcPr>
            <w:tcW w:w="900" w:type="dxa"/>
            <w:shd w:val="clear" w:color="auto" w:fill="auto"/>
            <w:noWrap/>
            <w:hideMark/>
          </w:tcPr>
          <w:p w14:paraId="35773926"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2016</w:t>
            </w:r>
          </w:p>
        </w:tc>
        <w:tc>
          <w:tcPr>
            <w:tcW w:w="8460" w:type="dxa"/>
            <w:shd w:val="clear" w:color="auto" w:fill="auto"/>
            <w:hideMark/>
          </w:tcPr>
          <w:p w14:paraId="02786CCF" w14:textId="755CB5C1"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Map</w:t>
            </w:r>
            <w:r w:rsidR="00D016F1" w:rsidRPr="00734162">
              <w:rPr>
                <w:rFonts w:ascii="Arial" w:hAnsi="Arial" w:cs="Arial"/>
                <w:color w:val="000000"/>
                <w:sz w:val="20"/>
                <w:szCs w:val="20"/>
                <w:lang w:val="en-GB"/>
              </w:rPr>
              <w:t>m</w:t>
            </w:r>
            <w:r w:rsidRPr="00734162">
              <w:rPr>
                <w:rFonts w:ascii="Arial" w:hAnsi="Arial" w:cs="Arial"/>
                <w:color w:val="000000"/>
                <w:sz w:val="20"/>
                <w:szCs w:val="20"/>
                <w:lang w:val="en-GB"/>
              </w:rPr>
              <w:t>yIndia</w:t>
            </w:r>
            <w:proofErr w:type="spellEnd"/>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d</w:t>
            </w:r>
            <w:r w:rsidRPr="00734162">
              <w:rPr>
                <w:rFonts w:ascii="Arial" w:hAnsi="Arial" w:cs="Arial"/>
                <w:color w:val="000000"/>
                <w:sz w:val="20"/>
                <w:szCs w:val="20"/>
                <w:lang w:val="en-GB"/>
              </w:rPr>
              <w:t xml:space="preserve">igital </w:t>
            </w:r>
            <w:r w:rsidR="003051D4" w:rsidRPr="00734162">
              <w:rPr>
                <w:rFonts w:ascii="Arial" w:hAnsi="Arial" w:cs="Arial"/>
                <w:color w:val="000000"/>
                <w:sz w:val="20"/>
                <w:szCs w:val="20"/>
                <w:lang w:val="en-GB"/>
              </w:rPr>
              <w:t>m</w:t>
            </w:r>
            <w:r w:rsidRPr="00734162">
              <w:rPr>
                <w:rFonts w:ascii="Arial" w:hAnsi="Arial" w:cs="Arial"/>
                <w:color w:val="000000"/>
                <w:sz w:val="20"/>
                <w:szCs w:val="20"/>
                <w:lang w:val="en-GB"/>
              </w:rPr>
              <w:t xml:space="preserve">ap </w:t>
            </w:r>
            <w:r w:rsidR="003051D4" w:rsidRPr="00734162">
              <w:rPr>
                <w:rFonts w:ascii="Arial" w:hAnsi="Arial" w:cs="Arial"/>
                <w:color w:val="000000"/>
                <w:sz w:val="20"/>
                <w:szCs w:val="20"/>
                <w:lang w:val="en-GB"/>
              </w:rPr>
              <w:t>p</w:t>
            </w:r>
            <w:r w:rsidRPr="00734162">
              <w:rPr>
                <w:rFonts w:ascii="Arial" w:hAnsi="Arial" w:cs="Arial"/>
                <w:color w:val="000000"/>
                <w:sz w:val="20"/>
                <w:szCs w:val="20"/>
                <w:lang w:val="en-GB"/>
              </w:rPr>
              <w:t>latform)</w:t>
            </w:r>
          </w:p>
          <w:p w14:paraId="6C6574E3" w14:textId="0CABD908"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Z</w:t>
            </w:r>
            <w:r w:rsidR="00D016F1" w:rsidRPr="00734162">
              <w:rPr>
                <w:rFonts w:ascii="Arial" w:hAnsi="Arial" w:cs="Arial"/>
                <w:color w:val="000000"/>
                <w:sz w:val="20"/>
                <w:szCs w:val="20"/>
                <w:lang w:val="en-GB"/>
              </w:rPr>
              <w:t>apr</w:t>
            </w:r>
            <w:proofErr w:type="spellEnd"/>
            <w:r w:rsidR="00D016F1" w:rsidRPr="00734162">
              <w:rPr>
                <w:rFonts w:ascii="Arial" w:hAnsi="Arial" w:cs="Arial"/>
                <w:color w:val="000000"/>
                <w:sz w:val="20"/>
                <w:szCs w:val="20"/>
                <w:lang w:val="en-GB"/>
              </w:rPr>
              <w:t xml:space="preserve"> Media Labs</w:t>
            </w:r>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b</w:t>
            </w:r>
            <w:r w:rsidRPr="00734162">
              <w:rPr>
                <w:rFonts w:ascii="Arial" w:hAnsi="Arial" w:cs="Arial"/>
                <w:color w:val="000000"/>
                <w:sz w:val="20"/>
                <w:szCs w:val="20"/>
                <w:lang w:val="en-GB"/>
              </w:rPr>
              <w:t xml:space="preserve">ig </w:t>
            </w:r>
            <w:r w:rsidR="003051D4" w:rsidRPr="00734162">
              <w:rPr>
                <w:rFonts w:ascii="Arial" w:hAnsi="Arial" w:cs="Arial"/>
                <w:color w:val="000000"/>
                <w:sz w:val="20"/>
                <w:szCs w:val="20"/>
                <w:lang w:val="en-GB"/>
              </w:rPr>
              <w:t>d</w:t>
            </w:r>
            <w:r w:rsidRPr="00734162">
              <w:rPr>
                <w:rFonts w:ascii="Arial" w:hAnsi="Arial" w:cs="Arial"/>
                <w:color w:val="000000"/>
                <w:sz w:val="20"/>
                <w:szCs w:val="20"/>
                <w:lang w:val="en-GB"/>
              </w:rPr>
              <w:t xml:space="preserve">ata, </w:t>
            </w:r>
            <w:r w:rsidR="003051D4" w:rsidRPr="00734162">
              <w:rPr>
                <w:rFonts w:ascii="Arial" w:hAnsi="Arial" w:cs="Arial"/>
                <w:color w:val="000000"/>
                <w:sz w:val="20"/>
                <w:szCs w:val="20"/>
                <w:lang w:val="en-GB"/>
              </w:rPr>
              <w:t>d</w:t>
            </w:r>
            <w:r w:rsidRPr="00734162">
              <w:rPr>
                <w:rFonts w:ascii="Arial" w:hAnsi="Arial" w:cs="Arial"/>
                <w:color w:val="000000"/>
                <w:sz w:val="20"/>
                <w:szCs w:val="20"/>
                <w:lang w:val="en-GB"/>
              </w:rPr>
              <w:t xml:space="preserve">igital </w:t>
            </w:r>
            <w:r w:rsidR="003051D4" w:rsidRPr="00734162">
              <w:rPr>
                <w:rFonts w:ascii="Arial" w:hAnsi="Arial" w:cs="Arial"/>
                <w:color w:val="000000"/>
                <w:sz w:val="20"/>
                <w:szCs w:val="20"/>
                <w:lang w:val="en-GB"/>
              </w:rPr>
              <w:t>m</w:t>
            </w:r>
            <w:r w:rsidRPr="00734162">
              <w:rPr>
                <w:rFonts w:ascii="Arial" w:hAnsi="Arial" w:cs="Arial"/>
                <w:color w:val="000000"/>
                <w:sz w:val="20"/>
                <w:szCs w:val="20"/>
                <w:lang w:val="en-GB"/>
              </w:rPr>
              <w:t>edia)</w:t>
            </w:r>
          </w:p>
          <w:p w14:paraId="2FE5C596" w14:textId="5C050E27"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Tinystep</w:t>
            </w:r>
            <w:proofErr w:type="spellEnd"/>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c</w:t>
            </w:r>
            <w:r w:rsidRPr="00734162">
              <w:rPr>
                <w:rFonts w:ascii="Arial" w:hAnsi="Arial" w:cs="Arial"/>
                <w:color w:val="000000"/>
                <w:sz w:val="20"/>
                <w:szCs w:val="20"/>
                <w:lang w:val="en-GB"/>
              </w:rPr>
              <w:t xml:space="preserve">hild </w:t>
            </w:r>
            <w:r w:rsidR="003051D4" w:rsidRPr="00734162">
              <w:rPr>
                <w:rFonts w:ascii="Arial" w:hAnsi="Arial" w:cs="Arial"/>
                <w:color w:val="000000"/>
                <w:sz w:val="20"/>
                <w:szCs w:val="20"/>
                <w:lang w:val="en-GB"/>
              </w:rPr>
              <w:t>c</w:t>
            </w:r>
            <w:r w:rsidRPr="00734162">
              <w:rPr>
                <w:rFonts w:ascii="Arial" w:hAnsi="Arial" w:cs="Arial"/>
                <w:color w:val="000000"/>
                <w:sz w:val="20"/>
                <w:szCs w:val="20"/>
                <w:lang w:val="en-GB"/>
              </w:rPr>
              <w:t>are)</w:t>
            </w:r>
          </w:p>
          <w:p w14:paraId="3B040F68" w14:textId="4D58EBA6"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Jabong</w:t>
            </w:r>
            <w:r w:rsidR="00D016F1" w:rsidRPr="00734162">
              <w:rPr>
                <w:rFonts w:ascii="Arial" w:hAnsi="Arial" w:cs="Arial"/>
                <w:color w:val="000000"/>
                <w:sz w:val="20"/>
                <w:szCs w:val="20"/>
                <w:lang w:val="en-GB"/>
              </w:rPr>
              <w:t>.com</w:t>
            </w:r>
            <w:r w:rsidRPr="00734162">
              <w:rPr>
                <w:rFonts w:ascii="Arial" w:hAnsi="Arial" w:cs="Arial"/>
                <w:color w:val="000000"/>
                <w:sz w:val="20"/>
                <w:szCs w:val="20"/>
                <w:lang w:val="en-GB"/>
              </w:rPr>
              <w:t xml:space="preserve"> (</w:t>
            </w:r>
            <w:r w:rsidR="003051D4" w:rsidRPr="00734162">
              <w:rPr>
                <w:rFonts w:ascii="Arial" w:hAnsi="Arial" w:cs="Arial"/>
                <w:color w:val="000000"/>
                <w:sz w:val="20"/>
                <w:szCs w:val="20"/>
                <w:lang w:val="en-GB"/>
              </w:rPr>
              <w:t>p</w:t>
            </w:r>
            <w:r w:rsidRPr="00734162">
              <w:rPr>
                <w:rFonts w:ascii="Arial" w:hAnsi="Arial" w:cs="Arial"/>
                <w:color w:val="000000"/>
                <w:sz w:val="20"/>
                <w:szCs w:val="20"/>
                <w:lang w:val="en-GB"/>
              </w:rPr>
              <w:t xml:space="preserve">hone </w:t>
            </w:r>
            <w:r w:rsidR="003051D4" w:rsidRPr="00734162">
              <w:rPr>
                <w:rFonts w:ascii="Arial" w:hAnsi="Arial" w:cs="Arial"/>
                <w:color w:val="000000"/>
                <w:sz w:val="20"/>
                <w:szCs w:val="20"/>
                <w:lang w:val="en-GB"/>
              </w:rPr>
              <w:t>p</w:t>
            </w:r>
            <w:r w:rsidRPr="00734162">
              <w:rPr>
                <w:rFonts w:ascii="Arial" w:hAnsi="Arial" w:cs="Arial"/>
                <w:color w:val="000000"/>
                <w:sz w:val="20"/>
                <w:szCs w:val="20"/>
                <w:lang w:val="en-GB"/>
              </w:rPr>
              <w:t>ay)</w:t>
            </w:r>
          </w:p>
          <w:p w14:paraId="37320292" w14:textId="51053B4D" w:rsidR="006A0F05" w:rsidRPr="00734162" w:rsidRDefault="006A0F05">
            <w:pPr>
              <w:rPr>
                <w:rFonts w:ascii="Arial" w:hAnsi="Arial" w:cs="Arial"/>
                <w:color w:val="000000"/>
                <w:sz w:val="20"/>
                <w:szCs w:val="20"/>
                <w:lang w:val="en-GB"/>
              </w:rPr>
            </w:pPr>
            <w:proofErr w:type="spellStart"/>
            <w:r w:rsidRPr="00734162">
              <w:rPr>
                <w:rFonts w:ascii="Arial" w:hAnsi="Arial" w:cs="Arial"/>
                <w:color w:val="000000"/>
                <w:sz w:val="20"/>
                <w:szCs w:val="20"/>
                <w:lang w:val="en-GB"/>
              </w:rPr>
              <w:t>PhonePe</w:t>
            </w:r>
            <w:proofErr w:type="spellEnd"/>
            <w:r w:rsidRPr="00734162">
              <w:rPr>
                <w:rFonts w:ascii="Arial" w:hAnsi="Arial" w:cs="Arial"/>
                <w:color w:val="000000"/>
                <w:sz w:val="20"/>
                <w:szCs w:val="20"/>
                <w:lang w:val="en-GB"/>
              </w:rPr>
              <w:t xml:space="preserve"> </w:t>
            </w:r>
            <w:proofErr w:type="spellStart"/>
            <w:r w:rsidR="00D016F1" w:rsidRPr="00734162">
              <w:rPr>
                <w:rFonts w:ascii="Arial" w:hAnsi="Arial" w:cs="Arial"/>
                <w:color w:val="000000"/>
                <w:sz w:val="20"/>
                <w:szCs w:val="20"/>
                <w:lang w:val="en-GB"/>
              </w:rPr>
              <w:t>Pvt.</w:t>
            </w:r>
            <w:proofErr w:type="spellEnd"/>
            <w:r w:rsidR="00D016F1"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proofErr w:type="spellStart"/>
            <w:r w:rsidR="003051D4" w:rsidRPr="00734162">
              <w:rPr>
                <w:rFonts w:ascii="Arial" w:hAnsi="Arial" w:cs="Arial"/>
                <w:color w:val="000000"/>
                <w:sz w:val="20"/>
                <w:szCs w:val="20"/>
                <w:lang w:val="en-GB"/>
              </w:rPr>
              <w:t>f</w:t>
            </w:r>
            <w:r w:rsidRPr="00734162">
              <w:rPr>
                <w:rFonts w:ascii="Arial" w:hAnsi="Arial" w:cs="Arial"/>
                <w:color w:val="000000"/>
                <w:sz w:val="20"/>
                <w:szCs w:val="20"/>
                <w:lang w:val="en-GB"/>
              </w:rPr>
              <w:t>intech</w:t>
            </w:r>
            <w:proofErr w:type="spellEnd"/>
            <w:r w:rsidRPr="00734162">
              <w:rPr>
                <w:rFonts w:ascii="Arial" w:hAnsi="Arial" w:cs="Arial"/>
                <w:color w:val="000000"/>
                <w:sz w:val="20"/>
                <w:szCs w:val="20"/>
                <w:lang w:val="en-GB"/>
              </w:rPr>
              <w:t>)</w:t>
            </w:r>
          </w:p>
        </w:tc>
      </w:tr>
      <w:tr w:rsidR="006A0F05" w:rsidRPr="00734162" w14:paraId="33C19AC8" w14:textId="77777777" w:rsidTr="00647075">
        <w:trPr>
          <w:trHeight w:val="288"/>
          <w:jc w:val="center"/>
        </w:trPr>
        <w:tc>
          <w:tcPr>
            <w:tcW w:w="900" w:type="dxa"/>
            <w:shd w:val="clear" w:color="auto" w:fill="auto"/>
            <w:noWrap/>
            <w:hideMark/>
          </w:tcPr>
          <w:p w14:paraId="5DAFD2B6" w14:textId="77777777" w:rsidR="006A0F05" w:rsidRPr="00734162" w:rsidRDefault="006A0F05" w:rsidP="00647075">
            <w:pPr>
              <w:rPr>
                <w:rFonts w:ascii="Arial" w:hAnsi="Arial" w:cs="Arial"/>
                <w:color w:val="000000"/>
                <w:sz w:val="20"/>
                <w:szCs w:val="20"/>
                <w:lang w:val="en-GB"/>
              </w:rPr>
            </w:pPr>
            <w:r w:rsidRPr="00734162">
              <w:rPr>
                <w:rFonts w:ascii="Arial" w:hAnsi="Arial" w:cs="Arial"/>
                <w:color w:val="000000"/>
                <w:sz w:val="20"/>
                <w:szCs w:val="20"/>
                <w:lang w:val="en-GB"/>
              </w:rPr>
              <w:t>2017</w:t>
            </w:r>
          </w:p>
        </w:tc>
        <w:tc>
          <w:tcPr>
            <w:tcW w:w="8460" w:type="dxa"/>
            <w:shd w:val="clear" w:color="auto" w:fill="auto"/>
            <w:hideMark/>
          </w:tcPr>
          <w:p w14:paraId="7795950B" w14:textId="1466DA70"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 xml:space="preserve">eBay India </w:t>
            </w:r>
            <w:proofErr w:type="spellStart"/>
            <w:r w:rsidR="00D016F1" w:rsidRPr="00734162">
              <w:rPr>
                <w:rFonts w:ascii="Arial" w:hAnsi="Arial" w:cs="Arial"/>
                <w:color w:val="000000"/>
                <w:sz w:val="20"/>
                <w:szCs w:val="20"/>
                <w:lang w:val="en-GB"/>
              </w:rPr>
              <w:t>Pvt.</w:t>
            </w:r>
            <w:proofErr w:type="spellEnd"/>
            <w:r w:rsidR="00D016F1" w:rsidRPr="00734162">
              <w:rPr>
                <w:rFonts w:ascii="Arial" w:hAnsi="Arial" w:cs="Arial"/>
                <w:color w:val="000000"/>
                <w:sz w:val="20"/>
                <w:szCs w:val="20"/>
                <w:lang w:val="en-GB"/>
              </w:rPr>
              <w:t xml:space="preserve"> Ltd. </w:t>
            </w:r>
            <w:r w:rsidRPr="00734162">
              <w:rPr>
                <w:rFonts w:ascii="Arial" w:hAnsi="Arial" w:cs="Arial"/>
                <w:color w:val="000000"/>
                <w:sz w:val="20"/>
                <w:szCs w:val="20"/>
                <w:lang w:val="en-GB"/>
              </w:rPr>
              <w:t>(</w:t>
            </w:r>
            <w:r w:rsidR="003051D4" w:rsidRPr="00734162">
              <w:rPr>
                <w:rFonts w:ascii="Arial" w:hAnsi="Arial" w:cs="Arial"/>
                <w:color w:val="000000"/>
                <w:sz w:val="20"/>
                <w:szCs w:val="20"/>
                <w:lang w:val="en-GB"/>
              </w:rPr>
              <w:t>e-</w:t>
            </w:r>
            <w:r w:rsidRPr="00734162">
              <w:rPr>
                <w:rFonts w:ascii="Arial" w:hAnsi="Arial" w:cs="Arial"/>
                <w:color w:val="000000"/>
                <w:sz w:val="20"/>
                <w:szCs w:val="20"/>
                <w:lang w:val="en-GB"/>
              </w:rPr>
              <w:t>commerce)</w:t>
            </w:r>
          </w:p>
          <w:p w14:paraId="2E3B4B39" w14:textId="13956036" w:rsidR="006A0F05" w:rsidRPr="00734162" w:rsidRDefault="006A0F05">
            <w:pPr>
              <w:rPr>
                <w:rFonts w:ascii="Arial" w:hAnsi="Arial" w:cs="Arial"/>
                <w:color w:val="000000"/>
                <w:sz w:val="20"/>
                <w:szCs w:val="20"/>
                <w:lang w:val="en-GB"/>
              </w:rPr>
            </w:pPr>
            <w:r w:rsidRPr="00734162">
              <w:rPr>
                <w:rFonts w:ascii="Arial" w:hAnsi="Arial" w:cs="Arial"/>
                <w:color w:val="000000"/>
                <w:sz w:val="20"/>
                <w:szCs w:val="20"/>
                <w:lang w:val="en-GB"/>
              </w:rPr>
              <w:t xml:space="preserve">F1 Info </w:t>
            </w:r>
            <w:r w:rsidR="00D016F1" w:rsidRPr="00734162">
              <w:rPr>
                <w:rFonts w:ascii="Arial" w:hAnsi="Arial" w:cs="Arial"/>
                <w:color w:val="000000"/>
                <w:sz w:val="20"/>
                <w:szCs w:val="20"/>
                <w:lang w:val="en-GB"/>
              </w:rPr>
              <w:t>S</w:t>
            </w:r>
            <w:r w:rsidRPr="00734162">
              <w:rPr>
                <w:rFonts w:ascii="Arial" w:hAnsi="Arial" w:cs="Arial"/>
                <w:color w:val="000000"/>
                <w:sz w:val="20"/>
                <w:szCs w:val="20"/>
                <w:lang w:val="en-GB"/>
              </w:rPr>
              <w:t>olutions</w:t>
            </w:r>
            <w:r w:rsidR="00D016F1" w:rsidRPr="00734162">
              <w:rPr>
                <w:rFonts w:ascii="Arial" w:hAnsi="Arial" w:cs="Arial"/>
                <w:color w:val="000000"/>
                <w:sz w:val="20"/>
                <w:szCs w:val="20"/>
                <w:lang w:val="en-GB"/>
              </w:rPr>
              <w:t xml:space="preserve"> and Services </w:t>
            </w:r>
            <w:proofErr w:type="spellStart"/>
            <w:r w:rsidR="00D016F1" w:rsidRPr="00734162">
              <w:rPr>
                <w:rFonts w:ascii="Arial" w:hAnsi="Arial" w:cs="Arial"/>
                <w:color w:val="000000"/>
                <w:sz w:val="20"/>
                <w:szCs w:val="20"/>
                <w:lang w:val="en-GB"/>
              </w:rPr>
              <w:t>Pvt.</w:t>
            </w:r>
            <w:proofErr w:type="spellEnd"/>
            <w:r w:rsidR="00D016F1" w:rsidRPr="00734162">
              <w:rPr>
                <w:rFonts w:ascii="Arial" w:hAnsi="Arial" w:cs="Arial"/>
                <w:color w:val="000000"/>
                <w:sz w:val="20"/>
                <w:szCs w:val="20"/>
                <w:lang w:val="en-GB"/>
              </w:rPr>
              <w:t xml:space="preserve"> Ltd.</w:t>
            </w:r>
            <w:r w:rsidRPr="00734162">
              <w:rPr>
                <w:rFonts w:ascii="Arial" w:hAnsi="Arial" w:cs="Arial"/>
                <w:color w:val="000000"/>
                <w:sz w:val="20"/>
                <w:szCs w:val="20"/>
                <w:lang w:val="en-GB"/>
              </w:rPr>
              <w:t xml:space="preserve"> (IT </w:t>
            </w:r>
            <w:r w:rsidR="003051D4" w:rsidRPr="00734162">
              <w:rPr>
                <w:rFonts w:ascii="Arial" w:hAnsi="Arial" w:cs="Arial"/>
                <w:color w:val="000000"/>
                <w:sz w:val="20"/>
                <w:szCs w:val="20"/>
                <w:lang w:val="en-GB"/>
              </w:rPr>
              <w:t>and m</w:t>
            </w:r>
            <w:r w:rsidRPr="00734162">
              <w:rPr>
                <w:rFonts w:ascii="Arial" w:hAnsi="Arial" w:cs="Arial"/>
                <w:color w:val="000000"/>
                <w:sz w:val="20"/>
                <w:szCs w:val="20"/>
                <w:lang w:val="en-GB"/>
              </w:rPr>
              <w:t>obile repair)</w:t>
            </w:r>
          </w:p>
        </w:tc>
      </w:tr>
    </w:tbl>
    <w:p w14:paraId="22E1F973" w14:textId="77777777" w:rsidR="006A0F05" w:rsidRPr="00734162" w:rsidRDefault="006A0F05" w:rsidP="00647075">
      <w:pPr>
        <w:pStyle w:val="ExhibitText"/>
        <w:rPr>
          <w:lang w:val="en-GB"/>
        </w:rPr>
      </w:pPr>
    </w:p>
    <w:p w14:paraId="0A2D78FD" w14:textId="6AD60527" w:rsidR="008C2149" w:rsidRPr="00734162" w:rsidRDefault="008C2149" w:rsidP="008C2149">
      <w:pPr>
        <w:pStyle w:val="Footnote"/>
        <w:rPr>
          <w:lang w:val="en-GB"/>
        </w:rPr>
      </w:pPr>
      <w:r w:rsidRPr="00734162">
        <w:rPr>
          <w:lang w:val="en-GB"/>
        </w:rPr>
        <w:t xml:space="preserve">Source: </w:t>
      </w:r>
      <w:proofErr w:type="spellStart"/>
      <w:r w:rsidRPr="00734162">
        <w:rPr>
          <w:lang w:val="en-GB"/>
        </w:rPr>
        <w:t>Meha</w:t>
      </w:r>
      <w:proofErr w:type="spellEnd"/>
      <w:r w:rsidRPr="00734162">
        <w:rPr>
          <w:lang w:val="en-GB"/>
        </w:rPr>
        <w:t xml:space="preserve"> Agarwal, “$1.5 </w:t>
      </w:r>
      <w:proofErr w:type="spellStart"/>
      <w:r w:rsidRPr="00734162">
        <w:rPr>
          <w:lang w:val="en-GB"/>
        </w:rPr>
        <w:t>Bn</w:t>
      </w:r>
      <w:proofErr w:type="spellEnd"/>
      <w:r w:rsidRPr="00734162">
        <w:rPr>
          <w:lang w:val="en-GB"/>
        </w:rPr>
        <w:t xml:space="preserve"> Sales Chalked </w:t>
      </w:r>
      <w:r w:rsidR="009712FB" w:rsidRPr="00734162">
        <w:rPr>
          <w:lang w:val="en-GB"/>
        </w:rPr>
        <w:t>i</w:t>
      </w:r>
      <w:r w:rsidRPr="00734162">
        <w:rPr>
          <w:lang w:val="en-GB"/>
        </w:rPr>
        <w:t xml:space="preserve">n Ecommerce This Festive Season; Flipkart Claims Lead Position </w:t>
      </w:r>
      <w:r w:rsidR="009712FB" w:rsidRPr="00734162">
        <w:rPr>
          <w:lang w:val="en-GB"/>
        </w:rPr>
        <w:t>w</w:t>
      </w:r>
      <w:r w:rsidRPr="00734162">
        <w:rPr>
          <w:lang w:val="en-GB"/>
        </w:rPr>
        <w:t xml:space="preserve">ith Amazon Following Close Behind,” </w:t>
      </w:r>
      <w:proofErr w:type="spellStart"/>
      <w:r w:rsidRPr="00734162">
        <w:rPr>
          <w:lang w:val="en-GB"/>
        </w:rPr>
        <w:t>Inc</w:t>
      </w:r>
      <w:proofErr w:type="spellEnd"/>
      <w:r w:rsidRPr="00734162">
        <w:rPr>
          <w:lang w:val="en-GB"/>
        </w:rPr>
        <w:t xml:space="preserve"> 4</w:t>
      </w:r>
      <w:r w:rsidR="009712FB" w:rsidRPr="00734162">
        <w:rPr>
          <w:lang w:val="en-GB"/>
        </w:rPr>
        <w:t>2</w:t>
      </w:r>
      <w:r w:rsidRPr="00734162">
        <w:rPr>
          <w:lang w:val="en-GB"/>
        </w:rPr>
        <w:t xml:space="preserve">, September 28, 2017, accessed December 27, 2018, </w:t>
      </w:r>
      <w:r w:rsidR="00D016F1" w:rsidRPr="00734162">
        <w:rPr>
          <w:lang w:val="en-GB"/>
        </w:rPr>
        <w:t>https://inc42.com/buzz/flipkart-amazon-ecommerce-festive-season</w:t>
      </w:r>
      <w:r w:rsidRPr="00734162">
        <w:rPr>
          <w:lang w:val="en-GB"/>
        </w:rPr>
        <w:t>.</w:t>
      </w:r>
    </w:p>
    <w:p w14:paraId="31606491" w14:textId="196EE513" w:rsidR="006F4D05" w:rsidRPr="00734162" w:rsidRDefault="006F4D05">
      <w:pPr>
        <w:spacing w:after="200" w:line="276" w:lineRule="auto"/>
        <w:rPr>
          <w:rFonts w:ascii="Arial" w:hAnsi="Arial" w:cs="Arial"/>
          <w:b/>
          <w:caps/>
          <w:lang w:val="en-GB"/>
        </w:rPr>
      </w:pPr>
      <w:r w:rsidRPr="00734162">
        <w:rPr>
          <w:lang w:val="en-GB"/>
        </w:rPr>
        <w:br w:type="page"/>
      </w:r>
    </w:p>
    <w:p w14:paraId="5DCC839B" w14:textId="17EB1A65" w:rsidR="006F4D05" w:rsidRPr="00734162" w:rsidRDefault="006F4D05" w:rsidP="006F4D05">
      <w:pPr>
        <w:pStyle w:val="Casehead1"/>
        <w:rPr>
          <w:lang w:val="en-GB"/>
        </w:rPr>
      </w:pPr>
      <w:r w:rsidRPr="00734162">
        <w:rPr>
          <w:lang w:val="en-GB"/>
        </w:rPr>
        <w:lastRenderedPageBreak/>
        <w:t>ENDNOTES</w:t>
      </w:r>
    </w:p>
    <w:sectPr w:rsidR="006F4D05" w:rsidRPr="00734162" w:rsidSect="006F4D05">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4E730" w16cid:durableId="212F55A5"/>
  <w16cid:commentId w16cid:paraId="1084CC22" w16cid:durableId="212F58E0"/>
  <w16cid:commentId w16cid:paraId="17D8BC0F" w16cid:durableId="212F629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08395" w14:textId="77777777" w:rsidR="00CA09F5" w:rsidRDefault="00CA09F5" w:rsidP="00D75295">
      <w:r>
        <w:separator/>
      </w:r>
    </w:p>
  </w:endnote>
  <w:endnote w:type="continuationSeparator" w:id="0">
    <w:p w14:paraId="15D59758" w14:textId="77777777" w:rsidR="00CA09F5" w:rsidRDefault="00CA09F5" w:rsidP="00D75295">
      <w:r>
        <w:continuationSeparator/>
      </w:r>
    </w:p>
  </w:endnote>
  <w:endnote w:id="1">
    <w:p w14:paraId="59A4EB6A" w14:textId="7D4E9CC7" w:rsidR="00D86C1E" w:rsidRPr="000A7F91" w:rsidRDefault="00D86C1E" w:rsidP="003251F4">
      <w:pPr>
        <w:pStyle w:val="Footnote"/>
      </w:pPr>
      <w:r w:rsidRPr="003A0E54">
        <w:rPr>
          <w:rStyle w:val="EndnoteReference"/>
        </w:rPr>
        <w:endnoteRef/>
      </w:r>
      <w:r w:rsidRPr="000A7F91">
        <w:t xml:space="preserve"> This case has been written on the basis of published sources only. Consequently, the interpretation and perspectives presented in this case are not necessarily those of Walmart</w:t>
      </w:r>
      <w:r>
        <w:t xml:space="preserve"> Inc.</w:t>
      </w:r>
      <w:r w:rsidRPr="000A7F91">
        <w:t>, Flipkart</w:t>
      </w:r>
      <w:r>
        <w:t xml:space="preserve"> India Pvt. Ltd.,</w:t>
      </w:r>
      <w:r w:rsidRPr="000A7F91">
        <w:t xml:space="preserve"> or any of </w:t>
      </w:r>
      <w:r w:rsidR="00B770FC">
        <w:t>their</w:t>
      </w:r>
      <w:r w:rsidRPr="000A7F91">
        <w:t xml:space="preserve"> employees.</w:t>
      </w:r>
    </w:p>
  </w:endnote>
  <w:endnote w:id="2">
    <w:p w14:paraId="70EED01F" w14:textId="113EDE59" w:rsidR="00D86C1E" w:rsidRPr="00FA0E87" w:rsidRDefault="00D86C1E" w:rsidP="00647075">
      <w:pPr>
        <w:pStyle w:val="Footnote"/>
      </w:pPr>
      <w:r>
        <w:rPr>
          <w:rStyle w:val="EndnoteReference"/>
        </w:rPr>
        <w:endnoteRef/>
      </w:r>
      <w:r>
        <w:t xml:space="preserve"> All dollar amounts are in US$ unless otherwise stated.</w:t>
      </w:r>
    </w:p>
  </w:endnote>
  <w:endnote w:id="3">
    <w:p w14:paraId="799134E0" w14:textId="048BE786" w:rsidR="00D86C1E" w:rsidRPr="000A7F91" w:rsidRDefault="00D86C1E" w:rsidP="00647075">
      <w:pPr>
        <w:pStyle w:val="Footnote"/>
      </w:pPr>
      <w:r w:rsidRPr="003A0E54">
        <w:rPr>
          <w:rStyle w:val="EndnoteReference"/>
        </w:rPr>
        <w:endnoteRef/>
      </w:r>
      <w:r w:rsidRPr="000A7F91">
        <w:t xml:space="preserve"> “Walmart </w:t>
      </w:r>
      <w:r>
        <w:t>A</w:t>
      </w:r>
      <w:r w:rsidRPr="000A7F91">
        <w:t xml:space="preserve">cquires Flipkart for $16 </w:t>
      </w:r>
      <w:r>
        <w:t>B</w:t>
      </w:r>
      <w:r w:rsidRPr="000A7F91">
        <w:t xml:space="preserve">illion in </w:t>
      </w:r>
      <w:r>
        <w:t>W</w:t>
      </w:r>
      <w:r w:rsidRPr="000A7F91">
        <w:t>orld</w:t>
      </w:r>
      <w:r>
        <w:t>’</w:t>
      </w:r>
      <w:r w:rsidRPr="000A7F91">
        <w:t xml:space="preserve">s </w:t>
      </w:r>
      <w:proofErr w:type="gramStart"/>
      <w:r>
        <w:t>L</w:t>
      </w:r>
      <w:r w:rsidRPr="000A7F91">
        <w:t>argest</w:t>
      </w:r>
      <w:proofErr w:type="gramEnd"/>
      <w:r w:rsidRPr="000A7F91">
        <w:t xml:space="preserve"> </w:t>
      </w:r>
      <w:r>
        <w:t>e</w:t>
      </w:r>
      <w:r w:rsidRPr="000A7F91">
        <w:t>-</w:t>
      </w:r>
      <w:r>
        <w:t>C</w:t>
      </w:r>
      <w:r w:rsidRPr="000A7F91">
        <w:t xml:space="preserve">ommerce </w:t>
      </w:r>
      <w:r>
        <w:t>D</w:t>
      </w:r>
      <w:r w:rsidRPr="000A7F91">
        <w:t>eal</w:t>
      </w:r>
      <w:r>
        <w:t>,</w:t>
      </w:r>
      <w:r w:rsidRPr="000A7F91">
        <w:t xml:space="preserve">” </w:t>
      </w:r>
      <w:r w:rsidRPr="000A7F91">
        <w:rPr>
          <w:i/>
        </w:rPr>
        <w:t>Economic Times</w:t>
      </w:r>
      <w:r w:rsidRPr="000A7F91">
        <w:t>, May 10, 2018, accessed December 27, 2018, https://economictimes.indiatimes.com/small-biz/startups/newsbuzz/walmart-acquires-flipkart-for-16-bn-worlds-largest-ecommerce-deal/articleshow/64095145.cms.</w:t>
      </w:r>
    </w:p>
  </w:endnote>
  <w:endnote w:id="4">
    <w:p w14:paraId="52A6677D" w14:textId="106EEAF2" w:rsidR="00D86C1E" w:rsidRPr="000A7F91" w:rsidRDefault="00D86C1E" w:rsidP="00647075">
      <w:pPr>
        <w:pStyle w:val="Footnote"/>
      </w:pPr>
      <w:r w:rsidRPr="003A0E54">
        <w:rPr>
          <w:rStyle w:val="EndnoteReference"/>
        </w:rPr>
        <w:endnoteRef/>
      </w:r>
      <w:r w:rsidRPr="000A7F91">
        <w:t xml:space="preserve"> Varun Jain, “Flipkart to </w:t>
      </w:r>
      <w:r>
        <w:t>M</w:t>
      </w:r>
      <w:r w:rsidRPr="000A7F91">
        <w:t xml:space="preserve">aintain </w:t>
      </w:r>
      <w:r>
        <w:t>D</w:t>
      </w:r>
      <w:r w:rsidRPr="000A7F91">
        <w:t xml:space="preserve">istinct </w:t>
      </w:r>
      <w:r>
        <w:t>B</w:t>
      </w:r>
      <w:r w:rsidRPr="000A7F91">
        <w:t xml:space="preserve">rand </w:t>
      </w:r>
      <w:r>
        <w:t>P</w:t>
      </w:r>
      <w:r w:rsidRPr="000A7F91">
        <w:t xml:space="preserve">ost Walmart </w:t>
      </w:r>
      <w:r>
        <w:t>D</w:t>
      </w:r>
      <w:r w:rsidRPr="000A7F91">
        <w:t xml:space="preserve">eal,” </w:t>
      </w:r>
      <w:r w:rsidRPr="00647075">
        <w:rPr>
          <w:iCs/>
        </w:rPr>
        <w:t>E</w:t>
      </w:r>
      <w:r>
        <w:rPr>
          <w:iCs/>
        </w:rPr>
        <w:t xml:space="preserve">T </w:t>
      </w:r>
      <w:r w:rsidRPr="00647075">
        <w:rPr>
          <w:iCs/>
        </w:rPr>
        <w:t>Retail.com</w:t>
      </w:r>
      <w:r w:rsidRPr="000A7F91">
        <w:t>, May 9, 2018, accessed December 27, 2018, https://retail.economictimes.indiatimes.com/news/food-entertainment/grocery/flipkart-to-maintain-distinct-brand-post-walmart-deal/64096313.</w:t>
      </w:r>
    </w:p>
  </w:endnote>
  <w:endnote w:id="5">
    <w:p w14:paraId="5A80AB43" w14:textId="4E8D6A35" w:rsidR="00D86C1E" w:rsidRPr="000A7F91" w:rsidRDefault="00D86C1E" w:rsidP="00647075">
      <w:pPr>
        <w:pStyle w:val="Footnote"/>
        <w:rPr>
          <w:bCs/>
          <w:lang w:val="en-IN"/>
        </w:rPr>
      </w:pPr>
      <w:r w:rsidRPr="003A0E54">
        <w:rPr>
          <w:rStyle w:val="EndnoteReference"/>
        </w:rPr>
        <w:endnoteRef/>
      </w:r>
      <w:r w:rsidRPr="000A7F91">
        <w:t xml:space="preserve"> </w:t>
      </w:r>
      <w:r>
        <w:t>“</w:t>
      </w:r>
      <w:r w:rsidRPr="000A7F91">
        <w:t>What Walmart</w:t>
      </w:r>
      <w:r>
        <w:t>’</w:t>
      </w:r>
      <w:r w:rsidRPr="000A7F91">
        <w:t xml:space="preserve">s Flipkart </w:t>
      </w:r>
      <w:r>
        <w:t>A</w:t>
      </w:r>
      <w:r w:rsidRPr="000A7F91">
        <w:t xml:space="preserve">cquisition </w:t>
      </w:r>
      <w:r>
        <w:t>M</w:t>
      </w:r>
      <w:r w:rsidRPr="000A7F91">
        <w:t xml:space="preserve">eans for India, </w:t>
      </w:r>
      <w:r>
        <w:t>C</w:t>
      </w:r>
      <w:r w:rsidRPr="000A7F91">
        <w:t xml:space="preserve">onsumers and </w:t>
      </w:r>
      <w:r>
        <w:t>I</w:t>
      </w:r>
      <w:r w:rsidRPr="000A7F91">
        <w:t xml:space="preserve">ts </w:t>
      </w:r>
      <w:r>
        <w:t>A</w:t>
      </w:r>
      <w:r w:rsidRPr="000A7F91">
        <w:t>rch-</w:t>
      </w:r>
      <w:r>
        <w:t>R</w:t>
      </w:r>
      <w:r w:rsidRPr="000A7F91">
        <w:t xml:space="preserve">ival Amazon,” </w:t>
      </w:r>
      <w:r w:rsidRPr="000A7F91">
        <w:rPr>
          <w:i/>
        </w:rPr>
        <w:t>Economic Times</w:t>
      </w:r>
      <w:r w:rsidRPr="000A7F91">
        <w:t>, May 10, 2018, accessed December 26, 2018, https://economictimes.indiatimes.com/industry/services/retail/softbank-ceo-confirms-walmart-flipkart-deal/articleshow/64093437.cms.</w:t>
      </w:r>
    </w:p>
  </w:endnote>
  <w:endnote w:id="6">
    <w:p w14:paraId="1536FF5C" w14:textId="6F17E239" w:rsidR="00D86C1E" w:rsidRPr="000A7F91" w:rsidRDefault="00D86C1E" w:rsidP="00647075">
      <w:pPr>
        <w:pStyle w:val="Footnote"/>
      </w:pPr>
      <w:r w:rsidRPr="003A0E54">
        <w:rPr>
          <w:rStyle w:val="EndnoteReference"/>
        </w:rPr>
        <w:endnoteRef/>
      </w:r>
      <w:r w:rsidRPr="000A7F91">
        <w:t xml:space="preserve"> Ibid.</w:t>
      </w:r>
      <w:r>
        <w:t xml:space="preserve"> </w:t>
      </w:r>
    </w:p>
  </w:endnote>
  <w:endnote w:id="7">
    <w:p w14:paraId="79EF33FA" w14:textId="11FE4992" w:rsidR="00D86C1E" w:rsidRPr="000A7F91" w:rsidRDefault="00D86C1E" w:rsidP="00647075">
      <w:pPr>
        <w:pStyle w:val="Footnote"/>
        <w:rPr>
          <w:lang w:val="en-IN"/>
        </w:rPr>
      </w:pPr>
      <w:r w:rsidRPr="003A0E54">
        <w:rPr>
          <w:rStyle w:val="EndnoteReference"/>
        </w:rPr>
        <w:endnoteRef/>
      </w:r>
      <w:r w:rsidRPr="000A7F91">
        <w:t xml:space="preserve"> Randall Schuler and Susan Jackson, “HR Issues and Activities in </w:t>
      </w:r>
      <w:r>
        <w:t>M</w:t>
      </w:r>
      <w:r w:rsidRPr="000A7F91">
        <w:t xml:space="preserve">ergers and </w:t>
      </w:r>
      <w:r>
        <w:t>A</w:t>
      </w:r>
      <w:r w:rsidRPr="000A7F91">
        <w:t xml:space="preserve">cquisitions,” </w:t>
      </w:r>
      <w:r w:rsidRPr="000A7F91">
        <w:rPr>
          <w:i/>
          <w:lang w:val="en-IN"/>
        </w:rPr>
        <w:t>European Management Journal</w:t>
      </w:r>
      <w:r w:rsidRPr="000A7F91">
        <w:rPr>
          <w:lang w:val="en-IN"/>
        </w:rPr>
        <w:t xml:space="preserve"> 19, </w:t>
      </w:r>
      <w:r>
        <w:rPr>
          <w:lang w:val="en-IN"/>
        </w:rPr>
        <w:t>n</w:t>
      </w:r>
      <w:r w:rsidRPr="000A7F91">
        <w:rPr>
          <w:lang w:val="en-IN"/>
        </w:rPr>
        <w:t>o. 3</w:t>
      </w:r>
      <w:r>
        <w:rPr>
          <w:lang w:val="en-IN"/>
        </w:rPr>
        <w:t xml:space="preserve"> (2001):</w:t>
      </w:r>
      <w:r w:rsidRPr="000A7F91">
        <w:rPr>
          <w:lang w:val="en-IN"/>
        </w:rPr>
        <w:t xml:space="preserve"> 239–253.</w:t>
      </w:r>
    </w:p>
  </w:endnote>
  <w:endnote w:id="8">
    <w:p w14:paraId="2F0107CF" w14:textId="439EF0BE" w:rsidR="00D86C1E" w:rsidRPr="00433BA2" w:rsidRDefault="00D86C1E" w:rsidP="00647075">
      <w:pPr>
        <w:pStyle w:val="Footnote"/>
      </w:pPr>
      <w:r>
        <w:rPr>
          <w:rStyle w:val="EndnoteReference"/>
        </w:rPr>
        <w:endnoteRef/>
      </w:r>
      <w:r>
        <w:t xml:space="preserve"> Walmart, “Walmart Changes Its Legal Name to Reflect How Customers Want to Shop,” press release, December 6, 2017, accessed June 27, 2019, </w:t>
      </w:r>
      <w:r w:rsidRPr="000163A4">
        <w:t>https://news.walmart.com/2017/12/05/walmart-changes-its-legal-name-to-reflect-how-customers-want-to-shop</w:t>
      </w:r>
      <w:r>
        <w:t>.</w:t>
      </w:r>
    </w:p>
  </w:endnote>
  <w:endnote w:id="9">
    <w:p w14:paraId="5547D0E5" w14:textId="1D6CE5E4" w:rsidR="00D86C1E" w:rsidRPr="000A7F91" w:rsidRDefault="00D86C1E" w:rsidP="00025DE5">
      <w:pPr>
        <w:pStyle w:val="EndnoteText"/>
        <w:jc w:val="both"/>
        <w:rPr>
          <w:rFonts w:ascii="Arial" w:hAnsi="Arial" w:cs="Arial"/>
          <w:sz w:val="17"/>
          <w:szCs w:val="17"/>
          <w:lang w:val="en-US"/>
        </w:rPr>
      </w:pPr>
      <w:r w:rsidRPr="000A7F91">
        <w:rPr>
          <w:rStyle w:val="EndnoteReference"/>
          <w:rFonts w:ascii="Arial" w:hAnsi="Arial" w:cs="Arial"/>
          <w:sz w:val="17"/>
          <w:szCs w:val="17"/>
        </w:rPr>
        <w:endnoteRef/>
      </w:r>
      <w:r w:rsidRPr="000A7F91">
        <w:rPr>
          <w:rFonts w:ascii="Arial" w:hAnsi="Arial" w:cs="Arial"/>
          <w:sz w:val="17"/>
          <w:szCs w:val="17"/>
        </w:rPr>
        <w:t xml:space="preserve"> </w:t>
      </w:r>
      <w:r w:rsidRPr="000A7F91">
        <w:rPr>
          <w:rFonts w:ascii="Arial" w:hAnsi="Arial" w:cs="Arial"/>
          <w:sz w:val="17"/>
          <w:szCs w:val="17"/>
        </w:rPr>
        <w:t>Walmart, “Our History,” accessed December 28, 2018, https://corporate.walmart.com/our-story/our-history</w:t>
      </w:r>
      <w:r>
        <w:rPr>
          <w:rFonts w:ascii="Arial" w:hAnsi="Arial" w:cs="Arial"/>
          <w:sz w:val="17"/>
          <w:szCs w:val="17"/>
        </w:rPr>
        <w:t>.</w:t>
      </w:r>
    </w:p>
  </w:endnote>
  <w:endnote w:id="10">
    <w:p w14:paraId="5972414E" w14:textId="42EC7420" w:rsidR="00D86C1E" w:rsidRPr="000A7F91" w:rsidRDefault="00D86C1E" w:rsidP="00647075">
      <w:pPr>
        <w:pStyle w:val="Footnote"/>
      </w:pPr>
      <w:r w:rsidRPr="003A0E54">
        <w:rPr>
          <w:rStyle w:val="EndnoteReference"/>
        </w:rPr>
        <w:endnoteRef/>
      </w:r>
      <w:r w:rsidRPr="000A7F91">
        <w:t xml:space="preserve"> Anna </w:t>
      </w:r>
      <w:proofErr w:type="spellStart"/>
      <w:r w:rsidRPr="000A7F91">
        <w:t>Nicolaou</w:t>
      </w:r>
      <w:proofErr w:type="spellEnd"/>
      <w:r w:rsidRPr="000A7F91">
        <w:t xml:space="preserve">, James </w:t>
      </w:r>
      <w:proofErr w:type="spellStart"/>
      <w:r w:rsidRPr="000A7F91">
        <w:t>Fontanella</w:t>
      </w:r>
      <w:proofErr w:type="spellEnd"/>
      <w:r w:rsidRPr="000A7F91">
        <w:t>-Khan</w:t>
      </w:r>
      <w:r>
        <w:t>,</w:t>
      </w:r>
      <w:r w:rsidRPr="000A7F91">
        <w:t xml:space="preserve"> and Kiran Stacey, “Walmart </w:t>
      </w:r>
      <w:r>
        <w:t>S</w:t>
      </w:r>
      <w:r w:rsidRPr="000A7F91">
        <w:t xml:space="preserve">hifts </w:t>
      </w:r>
      <w:r>
        <w:t>G</w:t>
      </w:r>
      <w:r w:rsidRPr="000A7F91">
        <w:t xml:space="preserve">lobal </w:t>
      </w:r>
      <w:r>
        <w:t>S</w:t>
      </w:r>
      <w:r w:rsidRPr="000A7F91">
        <w:t xml:space="preserve">trategy to </w:t>
      </w:r>
      <w:r>
        <w:t>B</w:t>
      </w:r>
      <w:r w:rsidRPr="000A7F91">
        <w:t xml:space="preserve">attle Amazon,” </w:t>
      </w:r>
      <w:r>
        <w:rPr>
          <w:i/>
        </w:rPr>
        <w:t>Financial Times</w:t>
      </w:r>
      <w:r w:rsidRPr="000A7F91">
        <w:t>, May 13, 2018, accessed January 1, 2019, www.ft.com/content/48bc9928-5540-11e8-b3ee-41e0209208ec.</w:t>
      </w:r>
    </w:p>
  </w:endnote>
  <w:endnote w:id="11">
    <w:p w14:paraId="0F40412E" w14:textId="66E8F3E7" w:rsidR="00D86C1E" w:rsidRPr="000A7F91" w:rsidRDefault="00D86C1E" w:rsidP="00647075">
      <w:pPr>
        <w:pStyle w:val="Footnote"/>
      </w:pPr>
      <w:r w:rsidRPr="003A0E54">
        <w:rPr>
          <w:rStyle w:val="EndnoteReference"/>
        </w:rPr>
        <w:endnoteRef/>
      </w:r>
      <w:r w:rsidRPr="000A7F91">
        <w:t xml:space="preserve"> Walmart, “Our History,” op. cit.</w:t>
      </w:r>
      <w:r>
        <w:t xml:space="preserve"> </w:t>
      </w:r>
    </w:p>
  </w:endnote>
  <w:endnote w:id="12">
    <w:p w14:paraId="2F112E25" w14:textId="16D0B190" w:rsidR="00D86C1E" w:rsidRPr="000A7F91" w:rsidRDefault="00D86C1E" w:rsidP="00647075">
      <w:pPr>
        <w:pStyle w:val="Footnote"/>
      </w:pPr>
      <w:r w:rsidRPr="003A0E54">
        <w:rPr>
          <w:rStyle w:val="EndnoteReference"/>
        </w:rPr>
        <w:endnoteRef/>
      </w:r>
      <w:r w:rsidRPr="000A7F91">
        <w:t xml:space="preserve"> Michael </w:t>
      </w:r>
      <w:proofErr w:type="spellStart"/>
      <w:r w:rsidRPr="000A7F91">
        <w:t>Bergdahl</w:t>
      </w:r>
      <w:proofErr w:type="spellEnd"/>
      <w:r w:rsidRPr="000A7F91">
        <w:t xml:space="preserve">, “How the HR </w:t>
      </w:r>
      <w:r>
        <w:t>D</w:t>
      </w:r>
      <w:r w:rsidRPr="000A7F91">
        <w:t xml:space="preserve">ivision at Wal-Mart </w:t>
      </w:r>
      <w:r>
        <w:t>D</w:t>
      </w:r>
      <w:r w:rsidRPr="000A7F91">
        <w:t xml:space="preserve">rives the </w:t>
      </w:r>
      <w:r>
        <w:t>C</w:t>
      </w:r>
      <w:r w:rsidRPr="000A7F91">
        <w:t>ompany</w:t>
      </w:r>
      <w:r>
        <w:t>’</w:t>
      </w:r>
      <w:r w:rsidRPr="000A7F91">
        <w:t xml:space="preserve">s </w:t>
      </w:r>
      <w:r>
        <w:t>S</w:t>
      </w:r>
      <w:r w:rsidRPr="000A7F91">
        <w:t xml:space="preserve">uccess through </w:t>
      </w:r>
      <w:r>
        <w:t>P</w:t>
      </w:r>
      <w:r w:rsidRPr="000A7F91">
        <w:t xml:space="preserve">eople,” </w:t>
      </w:r>
      <w:r w:rsidRPr="00306B05">
        <w:rPr>
          <w:i/>
          <w:iCs/>
        </w:rPr>
        <w:t>HR</w:t>
      </w:r>
      <w:r w:rsidRPr="00306B05">
        <w:rPr>
          <w:i/>
        </w:rPr>
        <w:t xml:space="preserve"> Magazine</w:t>
      </w:r>
      <w:r w:rsidRPr="000A7F91">
        <w:t>, September 21, 2010, accessed December 26, 2018, www.hrmagazine.co.uk/article-details/how-the-hr-division-at-wal-mart-drives-the-companys-success-through-people.</w:t>
      </w:r>
    </w:p>
  </w:endnote>
  <w:endnote w:id="13">
    <w:p w14:paraId="1D6D3407" w14:textId="466D21CF" w:rsidR="00D86C1E" w:rsidRPr="00025DE5" w:rsidRDefault="00D86C1E" w:rsidP="00A618D4">
      <w:pPr>
        <w:pStyle w:val="Footnote"/>
      </w:pPr>
      <w:r>
        <w:rPr>
          <w:rStyle w:val="EndnoteReference"/>
        </w:rPr>
        <w:endnoteRef/>
      </w:r>
      <w:hyperlink w:history="1"/>
      <w:r w:rsidR="007978C3">
        <w:rPr>
          <w:lang w:val="en-IN"/>
        </w:rPr>
        <w:t xml:space="preserve"> Ibid</w:t>
      </w:r>
      <w:r w:rsidRPr="00CC7A56">
        <w:rPr>
          <w:lang w:val="en-IN"/>
        </w:rPr>
        <w:t>.</w:t>
      </w:r>
    </w:p>
  </w:endnote>
  <w:endnote w:id="14">
    <w:p w14:paraId="7106E2DC" w14:textId="37FC215E" w:rsidR="00D86C1E" w:rsidRPr="00932208" w:rsidRDefault="00D86C1E" w:rsidP="00245979">
      <w:pPr>
        <w:pStyle w:val="Footnote"/>
      </w:pPr>
      <w:r>
        <w:rPr>
          <w:rStyle w:val="EndnoteReference"/>
        </w:rPr>
        <w:endnoteRef/>
      </w:r>
      <w:r>
        <w:t xml:space="preserve"> Ibid.</w:t>
      </w:r>
    </w:p>
  </w:endnote>
  <w:endnote w:id="15">
    <w:p w14:paraId="02A403B8" w14:textId="37609061" w:rsidR="00D86C1E" w:rsidRPr="00FA0E87" w:rsidRDefault="00D86C1E" w:rsidP="00647075">
      <w:pPr>
        <w:pStyle w:val="Footnote"/>
      </w:pPr>
      <w:r>
        <w:rPr>
          <w:rStyle w:val="EndnoteReference"/>
        </w:rPr>
        <w:endnoteRef/>
      </w:r>
      <w:r>
        <w:t xml:space="preserve"> Walmart, “Working at Walmart: Opportunity and Advancement,” accessed June 21, 2019, </w:t>
      </w:r>
      <w:r w:rsidRPr="00222C12">
        <w:t>https://corporate.walmart.com/our-story/working-at-walmart</w:t>
      </w:r>
      <w:r>
        <w:t>.</w:t>
      </w:r>
    </w:p>
  </w:endnote>
  <w:endnote w:id="16">
    <w:p w14:paraId="193D7C89" w14:textId="77777777" w:rsidR="00D86C1E" w:rsidRPr="00245979" w:rsidRDefault="00D86C1E" w:rsidP="00EA7F2C">
      <w:pPr>
        <w:pStyle w:val="EndnoteText"/>
        <w:rPr>
          <w:rFonts w:ascii="Arial" w:hAnsi="Arial" w:cs="Arial"/>
          <w:sz w:val="17"/>
          <w:szCs w:val="17"/>
          <w:lang w:val="en-US"/>
        </w:rPr>
      </w:pPr>
      <w:r w:rsidRPr="00245979">
        <w:rPr>
          <w:rStyle w:val="EndnoteReference"/>
          <w:rFonts w:ascii="Arial" w:hAnsi="Arial" w:cs="Arial"/>
          <w:sz w:val="17"/>
          <w:szCs w:val="17"/>
        </w:rPr>
        <w:endnoteRef/>
      </w:r>
      <w:r w:rsidRPr="00245979">
        <w:rPr>
          <w:rFonts w:ascii="Arial" w:hAnsi="Arial" w:cs="Arial"/>
          <w:sz w:val="17"/>
          <w:szCs w:val="17"/>
        </w:rPr>
        <w:t xml:space="preserve"> </w:t>
      </w:r>
      <w:r w:rsidRPr="00245979">
        <w:rPr>
          <w:rFonts w:ascii="Arial" w:hAnsi="Arial" w:cs="Arial"/>
          <w:sz w:val="17"/>
          <w:szCs w:val="17"/>
          <w:lang w:val="en-US"/>
        </w:rPr>
        <w:t xml:space="preserve">Ibid. </w:t>
      </w:r>
    </w:p>
  </w:endnote>
  <w:endnote w:id="17">
    <w:p w14:paraId="62C8C26F" w14:textId="3058B2B8" w:rsidR="00D86C1E" w:rsidRPr="00EA7F2C" w:rsidRDefault="00D86C1E" w:rsidP="00A618D4">
      <w:pPr>
        <w:pStyle w:val="Footnote"/>
      </w:pPr>
      <w:r>
        <w:rPr>
          <w:rStyle w:val="EndnoteReference"/>
        </w:rPr>
        <w:endnoteRef/>
      </w:r>
      <w:r>
        <w:t xml:space="preserve"> </w:t>
      </w:r>
      <w:proofErr w:type="spellStart"/>
      <w:r w:rsidRPr="000A7F91">
        <w:t>Bergdahl</w:t>
      </w:r>
      <w:proofErr w:type="spellEnd"/>
      <w:r w:rsidRPr="000A7F91">
        <w:t xml:space="preserve">, </w:t>
      </w:r>
      <w:r>
        <w:t xml:space="preserve">op. cit. </w:t>
      </w:r>
    </w:p>
  </w:endnote>
  <w:endnote w:id="18">
    <w:p w14:paraId="41241044" w14:textId="1F8C81F1" w:rsidR="00D86C1E" w:rsidRPr="000A7F91" w:rsidRDefault="00D86C1E" w:rsidP="00647075">
      <w:pPr>
        <w:pStyle w:val="Footnote"/>
      </w:pPr>
      <w:r w:rsidRPr="003A0E54">
        <w:rPr>
          <w:rStyle w:val="EndnoteReference"/>
        </w:rPr>
        <w:endnoteRef/>
      </w:r>
      <w:r>
        <w:t xml:space="preserve"> Ibid.</w:t>
      </w:r>
    </w:p>
  </w:endnote>
  <w:endnote w:id="19">
    <w:p w14:paraId="5D89365E" w14:textId="4F9CE002" w:rsidR="00D86C1E" w:rsidRPr="005A6A3F" w:rsidRDefault="00D86C1E" w:rsidP="00433BA2">
      <w:pPr>
        <w:pStyle w:val="Footnote"/>
      </w:pPr>
      <w:r w:rsidRPr="003A0E54">
        <w:rPr>
          <w:rStyle w:val="EndnoteReference"/>
        </w:rPr>
        <w:endnoteRef/>
      </w:r>
      <w:r>
        <w:t xml:space="preserve"> </w:t>
      </w:r>
      <w:r>
        <w:rPr>
          <w:rStyle w:val="Hyperlink"/>
          <w:color w:val="auto"/>
          <w:u w:val="none"/>
        </w:rPr>
        <w:t xml:space="preserve">For a complete description of the values and </w:t>
      </w:r>
      <w:proofErr w:type="spellStart"/>
      <w:r w:rsidRPr="00647075">
        <w:t>behaviours</w:t>
      </w:r>
      <w:proofErr w:type="spellEnd"/>
      <w:r>
        <w:rPr>
          <w:rStyle w:val="Hyperlink"/>
          <w:color w:val="auto"/>
          <w:u w:val="none"/>
        </w:rPr>
        <w:t>, see</w:t>
      </w:r>
      <w:r w:rsidDel="00AA5104">
        <w:t xml:space="preserve"> </w:t>
      </w:r>
      <w:r>
        <w:t xml:space="preserve">Walmart, </w:t>
      </w:r>
      <w:r w:rsidRPr="008C2149">
        <w:t xml:space="preserve">“Working at Walmart: Culture,” accessed December 28, 2018, </w:t>
      </w:r>
      <w:r w:rsidRPr="00647075">
        <w:t>https://corporate.walmart.com/our-story/working-at-walmart</w:t>
      </w:r>
      <w:r>
        <w:rPr>
          <w:rStyle w:val="Hyperlink"/>
          <w:color w:val="auto"/>
          <w:u w:val="none"/>
        </w:rPr>
        <w:t>.</w:t>
      </w:r>
    </w:p>
  </w:endnote>
  <w:endnote w:id="20">
    <w:p w14:paraId="4C092A7C" w14:textId="67D8609A" w:rsidR="00D86C1E" w:rsidRPr="002A3E0E" w:rsidRDefault="00D86C1E" w:rsidP="00A618D4">
      <w:pPr>
        <w:pStyle w:val="EndnoteText"/>
        <w:jc w:val="both"/>
        <w:rPr>
          <w:rFonts w:ascii="Arial" w:hAnsi="Arial" w:cs="Arial"/>
          <w:sz w:val="17"/>
          <w:szCs w:val="17"/>
          <w:lang w:val="en-US"/>
        </w:rPr>
      </w:pPr>
      <w:r w:rsidRPr="002A3E0E">
        <w:rPr>
          <w:rStyle w:val="EndnoteReference"/>
          <w:rFonts w:ascii="Arial" w:hAnsi="Arial" w:cs="Arial"/>
          <w:sz w:val="17"/>
          <w:szCs w:val="17"/>
        </w:rPr>
        <w:endnoteRef/>
      </w:r>
      <w:r w:rsidRPr="002A3E0E">
        <w:rPr>
          <w:rFonts w:ascii="Arial" w:hAnsi="Arial" w:cs="Arial"/>
          <w:sz w:val="17"/>
          <w:szCs w:val="17"/>
        </w:rPr>
        <w:t xml:space="preserve"> </w:t>
      </w:r>
      <w:r w:rsidRPr="002A3E0E">
        <w:rPr>
          <w:rFonts w:ascii="Arial" w:hAnsi="Arial" w:cs="Arial"/>
          <w:sz w:val="17"/>
          <w:szCs w:val="17"/>
          <w:lang w:val="en-US"/>
        </w:rPr>
        <w:t>“Touchstones of Walmart Culture,” The Walmart Digital Museum, accessed December 29, 2018, https://walmartmuseum.auth.cap-hosting.com/tour/exhibits/touchstones-of-walmart-culture/</w:t>
      </w:r>
      <w:r>
        <w:rPr>
          <w:rFonts w:ascii="Arial" w:hAnsi="Arial" w:cs="Arial"/>
          <w:sz w:val="17"/>
          <w:szCs w:val="17"/>
        </w:rPr>
        <w:t>.</w:t>
      </w:r>
    </w:p>
  </w:endnote>
  <w:endnote w:id="21">
    <w:p w14:paraId="1F90DDD7" w14:textId="26DF94F2" w:rsidR="00D86C1E" w:rsidRPr="000A7F91" w:rsidRDefault="00D86C1E" w:rsidP="00647075">
      <w:pPr>
        <w:pStyle w:val="Footnote"/>
      </w:pPr>
      <w:r w:rsidRPr="003A0E54">
        <w:rPr>
          <w:rStyle w:val="EndnoteReference"/>
        </w:rPr>
        <w:endnoteRef/>
      </w:r>
      <w:r w:rsidRPr="000A7F91">
        <w:t xml:space="preserve"> Andrew R. </w:t>
      </w:r>
      <w:proofErr w:type="spellStart"/>
      <w:r w:rsidRPr="000A7F91">
        <w:t>McIlvaine</w:t>
      </w:r>
      <w:proofErr w:type="spellEnd"/>
      <w:r w:rsidRPr="000A7F91">
        <w:t>, “Walmart 2.0,”</w:t>
      </w:r>
      <w:r>
        <w:t xml:space="preserve"> </w:t>
      </w:r>
      <w:r w:rsidRPr="00647075">
        <w:rPr>
          <w:iCs/>
        </w:rPr>
        <w:t>Human Resource Executive</w:t>
      </w:r>
      <w:r w:rsidRPr="000A7F91">
        <w:t>, February 9, 2018, accessed December 30, 2018, http://hrexecutive.com/walmart-2-0.</w:t>
      </w:r>
    </w:p>
  </w:endnote>
  <w:endnote w:id="22">
    <w:p w14:paraId="139B527B" w14:textId="06DCC675" w:rsidR="00D86C1E" w:rsidRPr="000A7F91" w:rsidRDefault="00D86C1E" w:rsidP="00647075">
      <w:pPr>
        <w:pStyle w:val="Footnote"/>
      </w:pPr>
      <w:r w:rsidRPr="003A0E54">
        <w:rPr>
          <w:rStyle w:val="EndnoteReference"/>
        </w:rPr>
        <w:endnoteRef/>
      </w:r>
      <w:r w:rsidRPr="000A7F91">
        <w:t xml:space="preserve"> Walmart, “Walmart to Raise U.S. Wages, Provide One-Time Bonus and Expand Hourly Maternity and Parental Leave,” </w:t>
      </w:r>
      <w:r>
        <w:t xml:space="preserve">press release, </w:t>
      </w:r>
      <w:r w:rsidRPr="000A7F91">
        <w:t>January 11, 2018, accessed December 26, 2018, https://news.walmart.com/2018/01/11/walmart-to-raise-us-wages-provide-one-time-bonus-and-expand-hourly-maternity-and-parental-leave; Lauren Thomas, “Walmart</w:t>
      </w:r>
      <w:r>
        <w:t>’</w:t>
      </w:r>
      <w:r w:rsidRPr="000A7F91">
        <w:t xml:space="preserve">s </w:t>
      </w:r>
      <w:r>
        <w:t>B</w:t>
      </w:r>
      <w:r w:rsidRPr="000A7F91">
        <w:t>onuses: Here</w:t>
      </w:r>
      <w:r>
        <w:t>’</w:t>
      </w:r>
      <w:r w:rsidRPr="000A7F91">
        <w:t xml:space="preserve">s </w:t>
      </w:r>
      <w:r>
        <w:t>W</w:t>
      </w:r>
      <w:r w:rsidRPr="000A7F91">
        <w:t xml:space="preserve">hat </w:t>
      </w:r>
      <w:r>
        <w:t>W</w:t>
      </w:r>
      <w:r w:rsidRPr="000A7F91">
        <w:t xml:space="preserve">orkers </w:t>
      </w:r>
      <w:r>
        <w:t>W</w:t>
      </w:r>
      <w:r w:rsidRPr="000A7F91">
        <w:t xml:space="preserve">ill </w:t>
      </w:r>
      <w:r>
        <w:t>R</w:t>
      </w:r>
      <w:r w:rsidRPr="000A7F91">
        <w:t xml:space="preserve">eceive,” </w:t>
      </w:r>
      <w:r w:rsidRPr="00647075">
        <w:rPr>
          <w:rStyle w:val="FootnoteChar"/>
        </w:rPr>
        <w:t>CNBC</w:t>
      </w:r>
      <w:r w:rsidRPr="000A7F91">
        <w:t>, January 12, 2018, www.cnbc.com/2018/01/12/walmarts-bonuses-heres-what-workers-will-receive.html.</w:t>
      </w:r>
    </w:p>
  </w:endnote>
  <w:endnote w:id="23">
    <w:p w14:paraId="546CE13C" w14:textId="70C8F8BD" w:rsidR="00D86C1E" w:rsidRPr="000A7F91" w:rsidRDefault="00D86C1E" w:rsidP="00647075">
      <w:pPr>
        <w:pStyle w:val="Footnote"/>
      </w:pPr>
      <w:r w:rsidRPr="003A0E54">
        <w:rPr>
          <w:rStyle w:val="EndnoteReference"/>
        </w:rPr>
        <w:endnoteRef/>
      </w:r>
      <w:r>
        <w:t xml:space="preserve"> </w:t>
      </w:r>
      <w:r w:rsidRPr="000A7F91">
        <w:t>Glassdoor</w:t>
      </w:r>
      <w:r>
        <w:t>,</w:t>
      </w:r>
      <w:r w:rsidRPr="000A7F91">
        <w:t xml:space="preserve"> “Walmart,” accessed December 28, 2018</w:t>
      </w:r>
      <w:r>
        <w:t xml:space="preserve">, </w:t>
      </w:r>
      <w:r w:rsidRPr="00BC6091">
        <w:t>www.glassdoor.ca/Overview/Working-at-Walmart-EI_IE715.11</w:t>
      </w:r>
      <w:proofErr w:type="gramStart"/>
      <w:r w:rsidRPr="00BC6091">
        <w:t>,18.htm</w:t>
      </w:r>
      <w:proofErr w:type="gramEnd"/>
      <w:r>
        <w:t xml:space="preserve">; Glassdoor, “Our Mission,” </w:t>
      </w:r>
      <w:r w:rsidRPr="000A7F91">
        <w:t>accessed December 27, 2018, www.glassdoor.com/about-us.</w:t>
      </w:r>
    </w:p>
  </w:endnote>
  <w:endnote w:id="24">
    <w:p w14:paraId="7009AB69" w14:textId="7D48CAF1" w:rsidR="00D86C1E" w:rsidRPr="000A7F91" w:rsidRDefault="00D86C1E" w:rsidP="00647075">
      <w:pPr>
        <w:pStyle w:val="Footnote"/>
      </w:pPr>
      <w:r w:rsidRPr="003A0E54">
        <w:rPr>
          <w:rStyle w:val="EndnoteReference"/>
        </w:rPr>
        <w:endnoteRef/>
      </w:r>
      <w:r w:rsidRPr="000A7F91">
        <w:t xml:space="preserve"> </w:t>
      </w:r>
      <w:r>
        <w:t xml:space="preserve">Glassdoor, </w:t>
      </w:r>
      <w:r w:rsidRPr="000A7F91">
        <w:t>“2019 Best Places to Work</w:t>
      </w:r>
      <w:r>
        <w:t>: Employees’ Choice</w:t>
      </w:r>
      <w:r w:rsidRPr="000A7F91">
        <w:t>,”</w:t>
      </w:r>
      <w:r>
        <w:t xml:space="preserve"> </w:t>
      </w:r>
      <w:r w:rsidRPr="000A7F91">
        <w:t>accessed December 28, 2018, www.glassdoor.com/Award/Best-Places-to-Work-LST_KQ0,19.htm.</w:t>
      </w:r>
    </w:p>
  </w:endnote>
  <w:endnote w:id="25">
    <w:p w14:paraId="3E01DB92" w14:textId="15D0A6DA" w:rsidR="00D86C1E" w:rsidRPr="000A7F91" w:rsidRDefault="00D86C1E" w:rsidP="00647075">
      <w:pPr>
        <w:pStyle w:val="Footnote"/>
      </w:pPr>
      <w:r w:rsidRPr="003A0E54">
        <w:rPr>
          <w:rStyle w:val="EndnoteReference"/>
        </w:rPr>
        <w:endnoteRef/>
      </w:r>
      <w:r w:rsidRPr="000A7F91">
        <w:t xml:space="preserve"> Glassdoor, “Walmart,” op. cit.</w:t>
      </w:r>
      <w:r>
        <w:t xml:space="preserve"> </w:t>
      </w:r>
    </w:p>
  </w:endnote>
  <w:endnote w:id="26">
    <w:p w14:paraId="5C47EF17" w14:textId="0A5D4536" w:rsidR="00D86C1E" w:rsidRPr="000A7F91" w:rsidRDefault="00D86C1E" w:rsidP="005642BB">
      <w:pPr>
        <w:pStyle w:val="Footnote"/>
      </w:pPr>
      <w:r w:rsidRPr="003A0E54">
        <w:rPr>
          <w:rStyle w:val="EndnoteReference"/>
          <w:rFonts w:eastAsia="Calibri"/>
        </w:rPr>
        <w:endnoteRef/>
      </w:r>
      <w:r w:rsidRPr="000A7F91">
        <w:rPr>
          <w:rStyle w:val="FootnoteChar"/>
          <w:rFonts w:eastAsia="Calibri"/>
          <w:vertAlign w:val="superscript"/>
        </w:rPr>
        <w:t xml:space="preserve"> </w:t>
      </w:r>
      <w:proofErr w:type="spellStart"/>
      <w:r w:rsidRPr="000A7F91">
        <w:t>Áine</w:t>
      </w:r>
      <w:proofErr w:type="spellEnd"/>
      <w:r w:rsidRPr="000A7F91">
        <w:t xml:space="preserve"> Cain, “</w:t>
      </w:r>
      <w:r w:rsidRPr="00BC6091">
        <w:t>Walmart Employees Share the 8 Worst Things They’ve Seen While Working at the Retail Giant</w:t>
      </w:r>
      <w:r w:rsidRPr="000A7F91">
        <w:rPr>
          <w:i/>
        </w:rPr>
        <w:t xml:space="preserve">,” </w:t>
      </w:r>
      <w:r w:rsidRPr="00BA1BFC">
        <w:rPr>
          <w:iCs/>
        </w:rPr>
        <w:t>Business Insider,</w:t>
      </w:r>
      <w:r w:rsidRPr="000A7F91">
        <w:t xml:space="preserve"> June 15, 2018, accessed December 25, 2018, www.businessinsider.in/Walmart-</w:t>
      </w:r>
      <w:r w:rsidRPr="00BA1BFC">
        <w:t xml:space="preserve">employees-share-the-8-worst-things-theyve-seen-while-working-at-the-retail-giant/articleshow/64606577.cms; </w:t>
      </w:r>
      <w:proofErr w:type="spellStart"/>
      <w:r w:rsidRPr="00BA1BFC">
        <w:t>Áine</w:t>
      </w:r>
      <w:proofErr w:type="spellEnd"/>
      <w:r w:rsidRPr="00BA1BFC">
        <w:t xml:space="preserve"> Cain, “Walmart Employees Share 7 Things They Want to Tell Customers, </w:t>
      </w:r>
      <w:r>
        <w:t>B</w:t>
      </w:r>
      <w:r w:rsidRPr="00BA1BFC">
        <w:t>ut Can’t,” Business Insider, June 7, 2018, accessed</w:t>
      </w:r>
      <w:r w:rsidRPr="000A7F91">
        <w:t xml:space="preserve"> December 25, 2018, www.businessinsider.in/Walmart-employees-share-7-things-they-want-to-tell-customers-but-cant/articleshow/64498126.cms.</w:t>
      </w:r>
    </w:p>
  </w:endnote>
  <w:endnote w:id="27">
    <w:p w14:paraId="137A782B" w14:textId="7E9D0097" w:rsidR="00D86C1E" w:rsidRPr="000A7F91" w:rsidRDefault="00D86C1E" w:rsidP="00647075">
      <w:pPr>
        <w:pStyle w:val="Footnote"/>
      </w:pPr>
      <w:r w:rsidRPr="003A0E54">
        <w:rPr>
          <w:rStyle w:val="EndnoteReference"/>
        </w:rPr>
        <w:endnoteRef/>
      </w:r>
      <w:r w:rsidRPr="000A7F91">
        <w:t xml:space="preserve"> </w:t>
      </w:r>
      <w:proofErr w:type="spellStart"/>
      <w:r w:rsidRPr="000A7F91">
        <w:t>Áine</w:t>
      </w:r>
      <w:proofErr w:type="spellEnd"/>
      <w:r w:rsidRPr="000A7F91">
        <w:t xml:space="preserve"> Cain, “</w:t>
      </w:r>
      <w:r w:rsidRPr="00A1174D">
        <w:t xml:space="preserve">Walmart Employees Dish on What It’s Actually </w:t>
      </w:r>
      <w:r>
        <w:t>L</w:t>
      </w:r>
      <w:r w:rsidRPr="00A1174D">
        <w:t>ike to Work at the Retail Giant</w:t>
      </w:r>
      <w:r w:rsidRPr="000A7F91">
        <w:t xml:space="preserve">,” </w:t>
      </w:r>
      <w:r w:rsidRPr="00647075">
        <w:rPr>
          <w:iCs/>
        </w:rPr>
        <w:t>Business Insider</w:t>
      </w:r>
      <w:r w:rsidRPr="000A7F91">
        <w:t>, August 2, 2018, accessed December 26, 2018, www.businessinsider.in/Walmart-employees-dish-on-what-its-actually-like-to-work-at-the-retail-giant/articleshow/65246732.cms.</w:t>
      </w:r>
    </w:p>
  </w:endnote>
  <w:endnote w:id="28">
    <w:p w14:paraId="4FD7638C" w14:textId="6202B925" w:rsidR="00D86C1E" w:rsidRPr="000A7F91" w:rsidRDefault="00D86C1E" w:rsidP="00647075">
      <w:pPr>
        <w:pStyle w:val="Footnote"/>
      </w:pPr>
      <w:r w:rsidRPr="003A0E54">
        <w:rPr>
          <w:rStyle w:val="EndnoteReference"/>
        </w:rPr>
        <w:endnoteRef/>
      </w:r>
      <w:r w:rsidRPr="000A7F91">
        <w:t xml:space="preserve"> Crystal Linn, </w:t>
      </w:r>
      <w:r>
        <w:t>“</w:t>
      </w:r>
      <w:r w:rsidRPr="000A7F91">
        <w:t>What</w:t>
      </w:r>
      <w:r>
        <w:t xml:space="preserve"> I</w:t>
      </w:r>
      <w:r w:rsidRPr="000A7F91">
        <w:t xml:space="preserve">s </w:t>
      </w:r>
      <w:r>
        <w:t>I</w:t>
      </w:r>
      <w:r w:rsidRPr="000A7F91">
        <w:t xml:space="preserve">t </w:t>
      </w:r>
      <w:r>
        <w:t>L</w:t>
      </w:r>
      <w:r w:rsidRPr="000A7F91">
        <w:t xml:space="preserve">ike </w:t>
      </w:r>
      <w:r>
        <w:t>W</w:t>
      </w:r>
      <w:r w:rsidRPr="000A7F91">
        <w:t>ork</w:t>
      </w:r>
      <w:r>
        <w:t>ing</w:t>
      </w:r>
      <w:r w:rsidRPr="000A7F91">
        <w:t xml:space="preserve"> at Walmart</w:t>
      </w:r>
      <w:proofErr w:type="gramStart"/>
      <w:r>
        <w:t>?</w:t>
      </w:r>
      <w:r w:rsidRPr="000A7F91">
        <w:t>,</w:t>
      </w:r>
      <w:proofErr w:type="gramEnd"/>
      <w:r w:rsidRPr="000A7F91">
        <w:t xml:space="preserve">” </w:t>
      </w:r>
      <w:proofErr w:type="spellStart"/>
      <w:r w:rsidRPr="00647075">
        <w:rPr>
          <w:iCs/>
        </w:rPr>
        <w:t>Quora</w:t>
      </w:r>
      <w:proofErr w:type="spellEnd"/>
      <w:r w:rsidRPr="000A7F91">
        <w:t>, October 2</w:t>
      </w:r>
      <w:r>
        <w:t>5</w:t>
      </w:r>
      <w:r w:rsidRPr="000A7F91">
        <w:t>, 2012, accessed December 29, 2018, www.quora.com/Walmart-company-Whats-it-like-to-work-at-Wal-Mart.</w:t>
      </w:r>
    </w:p>
  </w:endnote>
  <w:endnote w:id="29">
    <w:p w14:paraId="537D2223" w14:textId="29628E70" w:rsidR="00D86C1E" w:rsidRPr="000A7F91" w:rsidRDefault="00D86C1E" w:rsidP="00647075">
      <w:pPr>
        <w:pStyle w:val="Footnote"/>
      </w:pPr>
      <w:r w:rsidRPr="003A0E54">
        <w:rPr>
          <w:rStyle w:val="EndnoteReference"/>
        </w:rPr>
        <w:endnoteRef/>
      </w:r>
      <w:r w:rsidRPr="000A7F91">
        <w:t xml:space="preserve"> </w:t>
      </w:r>
      <w:r>
        <w:t xml:space="preserve">“Former Employee-Director in Bentonville, AR,” as posted on Glassdoor, </w:t>
      </w:r>
      <w:r w:rsidRPr="000A7F91">
        <w:t>“Walmart</w:t>
      </w:r>
      <w:r>
        <w:t>:</w:t>
      </w:r>
      <w:r w:rsidRPr="000A7F91">
        <w:t xml:space="preserve"> Employee Review,” November 16</w:t>
      </w:r>
      <w:r>
        <w:t>,</w:t>
      </w:r>
      <w:r w:rsidRPr="000A7F91">
        <w:t xml:space="preserve"> 2017, accessed December 28, 2018, www.glassdoor.co.in/Reviews/Employee-Review-Walmart-RVW17944298.htm.</w:t>
      </w:r>
    </w:p>
  </w:endnote>
  <w:endnote w:id="30">
    <w:p w14:paraId="381BD9DB" w14:textId="71183200" w:rsidR="00D86C1E" w:rsidRPr="000A7F91" w:rsidRDefault="00D86C1E" w:rsidP="00647075">
      <w:pPr>
        <w:pStyle w:val="Footnote"/>
      </w:pPr>
      <w:r w:rsidRPr="003A0E54">
        <w:rPr>
          <w:rStyle w:val="EndnoteReference"/>
        </w:rPr>
        <w:endnoteRef/>
      </w:r>
      <w:r w:rsidRPr="000A7F91">
        <w:t xml:space="preserve"> </w:t>
      </w:r>
      <w:r>
        <w:t>These data are from</w:t>
      </w:r>
      <w:r w:rsidRPr="000A7F91">
        <w:t xml:space="preserve"> 38</w:t>
      </w:r>
      <w:r>
        <w:t>,</w:t>
      </w:r>
      <w:r w:rsidRPr="000A7F91">
        <w:t>329 reviews</w:t>
      </w:r>
      <w:r>
        <w:t>,</w:t>
      </w:r>
      <w:r w:rsidRPr="000A7F91">
        <w:t xml:space="preserve"> as of December 29, 2018</w:t>
      </w:r>
      <w:r>
        <w:t xml:space="preserve">. Glassdoor, </w:t>
      </w:r>
      <w:r w:rsidRPr="000A7F91">
        <w:t>“Walmart</w:t>
      </w:r>
      <w:r>
        <w:t>: Walmart</w:t>
      </w:r>
      <w:r w:rsidRPr="000A7F91">
        <w:t xml:space="preserve"> Review</w:t>
      </w:r>
      <w:r>
        <w:t>s</w:t>
      </w:r>
      <w:r w:rsidRPr="000A7F91">
        <w:t>,” accessed December 28, 2018, www.glassdoor.co.in/Reviews/Walmart-Reviews-E715_P2.htm.</w:t>
      </w:r>
    </w:p>
  </w:endnote>
  <w:endnote w:id="31">
    <w:p w14:paraId="1F818A37" w14:textId="154F07A5" w:rsidR="00D86C1E" w:rsidRPr="000A7F91" w:rsidRDefault="00D86C1E" w:rsidP="00647075">
      <w:pPr>
        <w:pStyle w:val="Footnote"/>
        <w:rPr>
          <w:lang w:val="en-IN"/>
        </w:rPr>
      </w:pPr>
      <w:r w:rsidRPr="003A0E54">
        <w:rPr>
          <w:rStyle w:val="EndnoteReference"/>
        </w:rPr>
        <w:endnoteRef/>
      </w:r>
      <w:r>
        <w:t xml:space="preserve"> </w:t>
      </w:r>
      <w:r w:rsidRPr="00433BA2">
        <w:rPr>
          <w:lang w:val="en-IN"/>
        </w:rPr>
        <w:t>André</w:t>
      </w:r>
      <w:r w:rsidRPr="000A7F91">
        <w:rPr>
          <w:lang w:val="en-IN"/>
        </w:rPr>
        <w:t xml:space="preserve"> </w:t>
      </w:r>
      <w:r w:rsidRPr="000A7F91">
        <w:t xml:space="preserve">Bouquet, “The Walmart Cheer,” </w:t>
      </w:r>
      <w:r>
        <w:rPr>
          <w:lang w:val="en-GB"/>
        </w:rPr>
        <w:t xml:space="preserve">Talkative Man, January 8, 2016, </w:t>
      </w:r>
      <w:r w:rsidRPr="000A7F91">
        <w:t>accessed December 29, 2018, www.talkativeman.com/the-walmart-cheer.</w:t>
      </w:r>
    </w:p>
  </w:endnote>
  <w:endnote w:id="32">
    <w:p w14:paraId="3EE9F390" w14:textId="5530EC10" w:rsidR="00D86C1E" w:rsidRPr="00245979" w:rsidRDefault="00D86C1E" w:rsidP="00647075">
      <w:pPr>
        <w:pStyle w:val="Footnote"/>
        <w:rPr>
          <w:spacing w:val="-4"/>
        </w:rPr>
      </w:pPr>
      <w:r w:rsidRPr="00245979">
        <w:rPr>
          <w:rStyle w:val="EndnoteReference"/>
          <w:spacing w:val="-4"/>
        </w:rPr>
        <w:endnoteRef/>
      </w:r>
      <w:r w:rsidRPr="00245979">
        <w:rPr>
          <w:spacing w:val="-4"/>
        </w:rPr>
        <w:t xml:space="preserve"> [Name deleted], “The Walmart Cheer: Give Me a W! Give Me an A! Give Me an L! Give Me a </w:t>
      </w:r>
      <w:proofErr w:type="spellStart"/>
      <w:r w:rsidRPr="00245979">
        <w:rPr>
          <w:spacing w:val="-4"/>
        </w:rPr>
        <w:t>Squiqqly</w:t>
      </w:r>
      <w:proofErr w:type="spellEnd"/>
      <w:proofErr w:type="gramStart"/>
      <w:r w:rsidRPr="00245979">
        <w:rPr>
          <w:spacing w:val="-4"/>
        </w:rPr>
        <w:t>!,</w:t>
      </w:r>
      <w:proofErr w:type="gramEnd"/>
      <w:r w:rsidRPr="00245979">
        <w:rPr>
          <w:spacing w:val="-4"/>
        </w:rPr>
        <w:t xml:space="preserve">” </w:t>
      </w:r>
      <w:proofErr w:type="spellStart"/>
      <w:r w:rsidRPr="00245979">
        <w:rPr>
          <w:spacing w:val="-4"/>
        </w:rPr>
        <w:t>Reddit</w:t>
      </w:r>
      <w:proofErr w:type="spellEnd"/>
      <w:r w:rsidRPr="00245979">
        <w:rPr>
          <w:spacing w:val="-4"/>
        </w:rPr>
        <w:t>, 2017, accessed December 25, 2018, www.reddit.com/r/walmart/comments/6e7dfz/the_walmart_cheer_give_me_a_w_give_me_an_a_give.</w:t>
      </w:r>
    </w:p>
  </w:endnote>
  <w:endnote w:id="33">
    <w:p w14:paraId="0D2E69BD" w14:textId="520A09E8" w:rsidR="00D86C1E" w:rsidRPr="00647075" w:rsidRDefault="00D86C1E" w:rsidP="00647075">
      <w:pPr>
        <w:pStyle w:val="Footnote"/>
        <w:rPr>
          <w:lang w:val="en-GB"/>
        </w:rPr>
      </w:pPr>
      <w:r>
        <w:rPr>
          <w:rStyle w:val="EndnoteReference"/>
        </w:rPr>
        <w:endnoteRef/>
      </w:r>
      <w:r>
        <w:t xml:space="preserve"> </w:t>
      </w:r>
      <w:r>
        <w:rPr>
          <w:lang w:val="en-GB"/>
        </w:rPr>
        <w:t>₹ = INR = Indian rupees; ₹</w:t>
      </w:r>
      <w:r>
        <w:t>$</w:t>
      </w:r>
      <w:r w:rsidRPr="00507242">
        <w:t>1</w:t>
      </w:r>
      <w:r>
        <w:t xml:space="preserve"> </w:t>
      </w:r>
      <w:r w:rsidRPr="00507242">
        <w:t>=</w:t>
      </w:r>
      <w:r>
        <w:t xml:space="preserve"> average of US$0.024 in 2007.</w:t>
      </w:r>
    </w:p>
  </w:endnote>
  <w:endnote w:id="34">
    <w:p w14:paraId="6C237827" w14:textId="232479A5" w:rsidR="00D86C1E" w:rsidRPr="000A7F91" w:rsidRDefault="00D86C1E" w:rsidP="00647075">
      <w:pPr>
        <w:pStyle w:val="Footnote"/>
      </w:pPr>
      <w:r w:rsidRPr="003A0E54">
        <w:rPr>
          <w:rStyle w:val="EndnoteReference"/>
        </w:rPr>
        <w:endnoteRef/>
      </w:r>
      <w:r w:rsidRPr="000A7F91">
        <w:t xml:space="preserve"> </w:t>
      </w:r>
      <w:proofErr w:type="spellStart"/>
      <w:r w:rsidRPr="000A7F91">
        <w:t>Meha</w:t>
      </w:r>
      <w:proofErr w:type="spellEnd"/>
      <w:r w:rsidRPr="000A7F91">
        <w:t xml:space="preserve"> Agarwal, “$1.5 </w:t>
      </w:r>
      <w:proofErr w:type="spellStart"/>
      <w:r w:rsidRPr="000A7F91">
        <w:t>Bn</w:t>
      </w:r>
      <w:proofErr w:type="spellEnd"/>
      <w:r w:rsidRPr="000A7F91">
        <w:t xml:space="preserve"> Sales Chalked </w:t>
      </w:r>
      <w:r>
        <w:t>i</w:t>
      </w:r>
      <w:r w:rsidRPr="000A7F91">
        <w:t xml:space="preserve">n Ecommerce This Festive Season; Flipkart Claims Lead Position </w:t>
      </w:r>
      <w:r>
        <w:t>w</w:t>
      </w:r>
      <w:r w:rsidRPr="000A7F91">
        <w:t xml:space="preserve">ith Amazon Following Close Behind,” </w:t>
      </w:r>
      <w:proofErr w:type="spellStart"/>
      <w:r w:rsidRPr="00647075">
        <w:rPr>
          <w:iCs/>
        </w:rPr>
        <w:t>Inc</w:t>
      </w:r>
      <w:proofErr w:type="spellEnd"/>
      <w:r w:rsidRPr="00647075">
        <w:rPr>
          <w:iCs/>
        </w:rPr>
        <w:t xml:space="preserve"> 42</w:t>
      </w:r>
      <w:r w:rsidRPr="000A7F91">
        <w:t xml:space="preserve">, September 28, 2017, accessed December 27, 2018, https://inc42.com/buzz/flipkart-amazon-ecommerce-festive-season; </w:t>
      </w:r>
      <w:proofErr w:type="spellStart"/>
      <w:r w:rsidRPr="000A7F91">
        <w:t>Meha</w:t>
      </w:r>
      <w:proofErr w:type="spellEnd"/>
      <w:r w:rsidRPr="000A7F91">
        <w:t xml:space="preserve"> Agarwal, “Flipkart </w:t>
      </w:r>
      <w:r>
        <w:t>v</w:t>
      </w:r>
      <w:r w:rsidRPr="000A7F91">
        <w:t xml:space="preserve">s Amazon India: Who Won </w:t>
      </w:r>
      <w:r>
        <w:t>t</w:t>
      </w:r>
      <w:r w:rsidRPr="000A7F91">
        <w:t xml:space="preserve">he Indian Ecommerce Battle </w:t>
      </w:r>
      <w:r>
        <w:t>i</w:t>
      </w:r>
      <w:r w:rsidRPr="000A7F91">
        <w:t>n 2018?</w:t>
      </w:r>
      <w:r>
        <w:t>,</w:t>
      </w:r>
      <w:r w:rsidRPr="000A7F91">
        <w:t xml:space="preserve">” </w:t>
      </w:r>
      <w:proofErr w:type="spellStart"/>
      <w:r w:rsidRPr="00647075">
        <w:rPr>
          <w:iCs/>
        </w:rPr>
        <w:t>Inc</w:t>
      </w:r>
      <w:proofErr w:type="spellEnd"/>
      <w:r w:rsidRPr="00647075">
        <w:rPr>
          <w:iCs/>
        </w:rPr>
        <w:t xml:space="preserve"> 42</w:t>
      </w:r>
      <w:r w:rsidRPr="000A7F91">
        <w:t>, November 29, 2018, accessed December 27, 2018, https://inc42.com/features/flipkart-vs-amazon-india-who-won-the-indian-ecommerce-battle-in-2018.</w:t>
      </w:r>
    </w:p>
  </w:endnote>
  <w:endnote w:id="35">
    <w:p w14:paraId="27C56150" w14:textId="273EB824" w:rsidR="00D86C1E" w:rsidRPr="000A7F91" w:rsidRDefault="00D86C1E" w:rsidP="00647075">
      <w:pPr>
        <w:pStyle w:val="Footnote"/>
      </w:pPr>
      <w:r w:rsidRPr="003A0E54">
        <w:rPr>
          <w:rStyle w:val="EndnoteReference"/>
        </w:rPr>
        <w:endnoteRef/>
      </w:r>
      <w:r w:rsidRPr="000A7F91">
        <w:t xml:space="preserve"> Flipkart, </w:t>
      </w:r>
      <w:r>
        <w:rPr>
          <w:lang w:val="en-GB"/>
        </w:rPr>
        <w:t xml:space="preserve">“The Flipkart Story,” </w:t>
      </w:r>
      <w:r w:rsidRPr="000A7F91">
        <w:t>accessed December 27, 2018, www.flipkart.com/about-us.</w:t>
      </w:r>
    </w:p>
  </w:endnote>
  <w:endnote w:id="36">
    <w:p w14:paraId="5A32F854" w14:textId="6AD73FE1" w:rsidR="00D86C1E" w:rsidRPr="000A7F91" w:rsidRDefault="00D86C1E" w:rsidP="00647075">
      <w:pPr>
        <w:pStyle w:val="Footnote"/>
      </w:pPr>
      <w:r w:rsidRPr="003A0E54">
        <w:rPr>
          <w:rStyle w:val="EndnoteReference"/>
        </w:rPr>
        <w:endnoteRef/>
      </w:r>
      <w:r w:rsidRPr="000A7F91">
        <w:t xml:space="preserve"> “From 2BHK to 8.3 </w:t>
      </w:r>
      <w:r>
        <w:t>L</w:t>
      </w:r>
      <w:r w:rsidRPr="000A7F91">
        <w:t xml:space="preserve">akh </w:t>
      </w:r>
      <w:proofErr w:type="spellStart"/>
      <w:r>
        <w:t>S</w:t>
      </w:r>
      <w:r w:rsidRPr="000A7F91">
        <w:t>q</w:t>
      </w:r>
      <w:proofErr w:type="spellEnd"/>
      <w:r w:rsidRPr="000A7F91">
        <w:t xml:space="preserve"> </w:t>
      </w:r>
      <w:r>
        <w:t>F</w:t>
      </w:r>
      <w:r w:rsidRPr="000A7F91">
        <w:t xml:space="preserve">eet: The Flipkart </w:t>
      </w:r>
      <w:r>
        <w:t>S</w:t>
      </w:r>
      <w:r w:rsidRPr="000A7F91">
        <w:t xml:space="preserve">tory </w:t>
      </w:r>
      <w:r>
        <w:t>S</w:t>
      </w:r>
      <w:r w:rsidRPr="000A7F91">
        <w:t xml:space="preserve">o </w:t>
      </w:r>
      <w:r>
        <w:t>F</w:t>
      </w:r>
      <w:r w:rsidRPr="000A7F91">
        <w:t xml:space="preserve">ar,” </w:t>
      </w:r>
      <w:r w:rsidRPr="000A7F91">
        <w:rPr>
          <w:i/>
        </w:rPr>
        <w:t>Economic Times</w:t>
      </w:r>
      <w:r w:rsidRPr="000A7F91">
        <w:t>, May 9, 2018, accessed December 28, 2018, https://economictimes.indiatimes.com/news/company/corporate-trends/from-2bhk-to-8-3-lakh-sq-feet-the-flipkart-story-so-far/a-look-back/slideshow/64092726.cms.</w:t>
      </w:r>
    </w:p>
  </w:endnote>
  <w:endnote w:id="37">
    <w:p w14:paraId="737ADCEE" w14:textId="45977D0A" w:rsidR="00D86C1E" w:rsidRPr="00581754" w:rsidRDefault="00D86C1E" w:rsidP="00433BA2">
      <w:pPr>
        <w:pStyle w:val="Footnote"/>
      </w:pPr>
      <w:r>
        <w:rPr>
          <w:rStyle w:val="EndnoteReference"/>
        </w:rPr>
        <w:endnoteRef/>
      </w:r>
      <w:r>
        <w:t xml:space="preserve"> </w:t>
      </w:r>
      <w:r w:rsidRPr="003A6BFC">
        <w:t>Amazon had committed</w:t>
      </w:r>
      <w:r>
        <w:t xml:space="preserve"> </w:t>
      </w:r>
      <w:r w:rsidRPr="003A6BFC">
        <w:t>to a $5 billion investment in India</w:t>
      </w:r>
      <w:r>
        <w:t xml:space="preserve"> in June 2017. Reuters, “Bezos Says Amazon to Up India Investment </w:t>
      </w:r>
      <w:r w:rsidR="007978C3">
        <w:t>u</w:t>
      </w:r>
      <w:r>
        <w:t xml:space="preserve">p to $5 Billion,” June 8, 2016, accessed July 17, 2019, </w:t>
      </w:r>
      <w:r w:rsidRPr="00A0236C">
        <w:t>www.reuters.com/article/us-amazon-india/bezos-says-amazon-to-up-india-investment-to-5-billion-idUSKCN0YU01M</w:t>
      </w:r>
      <w:r>
        <w:t>.</w:t>
      </w:r>
    </w:p>
  </w:endnote>
  <w:endnote w:id="38">
    <w:p w14:paraId="34C1807B" w14:textId="7489C986" w:rsidR="00D86C1E" w:rsidRPr="00647075" w:rsidRDefault="00D86C1E" w:rsidP="00647075">
      <w:pPr>
        <w:pStyle w:val="Footnote"/>
        <w:rPr>
          <w:lang w:val="en-GB"/>
        </w:rPr>
      </w:pPr>
      <w:r w:rsidRPr="003A0E54">
        <w:rPr>
          <w:rStyle w:val="EndnoteReference"/>
        </w:rPr>
        <w:endnoteRef/>
      </w:r>
      <w:r w:rsidRPr="000A7F91">
        <w:t xml:space="preserve"> Agarwal, “</w:t>
      </w:r>
      <w:r w:rsidRPr="000A7F91">
        <w:rPr>
          <w:bCs/>
          <w:lang w:val="en-IN"/>
        </w:rPr>
        <w:t xml:space="preserve">$1.5 </w:t>
      </w:r>
      <w:proofErr w:type="spellStart"/>
      <w:r w:rsidRPr="000A7F91">
        <w:rPr>
          <w:bCs/>
          <w:lang w:val="en-IN"/>
        </w:rPr>
        <w:t>Bn</w:t>
      </w:r>
      <w:proofErr w:type="spellEnd"/>
      <w:r w:rsidRPr="000A7F91">
        <w:rPr>
          <w:bCs/>
          <w:lang w:val="en-IN"/>
        </w:rPr>
        <w:t xml:space="preserve"> Sales Chalked </w:t>
      </w:r>
      <w:r>
        <w:rPr>
          <w:bCs/>
          <w:lang w:val="en-IN"/>
        </w:rPr>
        <w:t>i</w:t>
      </w:r>
      <w:r w:rsidRPr="000A7F91">
        <w:rPr>
          <w:bCs/>
          <w:lang w:val="en-IN"/>
        </w:rPr>
        <w:t>n Ecommerce This Festive Season</w:t>
      </w:r>
      <w:r>
        <w:rPr>
          <w:bCs/>
          <w:lang w:val="en-IN"/>
        </w:rPr>
        <w:t>,</w:t>
      </w:r>
      <w:r w:rsidRPr="000A7F91">
        <w:rPr>
          <w:bCs/>
          <w:lang w:val="en-IN"/>
        </w:rPr>
        <w:t>” op. cit.</w:t>
      </w:r>
      <w:r>
        <w:rPr>
          <w:bCs/>
          <w:lang w:val="en-IN"/>
        </w:rPr>
        <w:t xml:space="preserve"> </w:t>
      </w:r>
    </w:p>
  </w:endnote>
  <w:endnote w:id="39">
    <w:p w14:paraId="7E6ACC91" w14:textId="554EDF75" w:rsidR="00D86C1E" w:rsidRPr="00647075" w:rsidRDefault="00D86C1E" w:rsidP="00647075">
      <w:pPr>
        <w:pStyle w:val="Footnote"/>
        <w:rPr>
          <w:lang w:val="en-GB"/>
        </w:rPr>
      </w:pPr>
      <w:r w:rsidRPr="003A0E54">
        <w:rPr>
          <w:rStyle w:val="EndnoteReference"/>
        </w:rPr>
        <w:endnoteRef/>
      </w:r>
      <w:r w:rsidRPr="000A7F91">
        <w:t xml:space="preserve"> “From </w:t>
      </w:r>
      <w:r w:rsidRPr="000A7F91">
        <w:rPr>
          <w:bCs/>
          <w:lang w:val="en-IN"/>
        </w:rPr>
        <w:t xml:space="preserve">2BHK to 8.3 </w:t>
      </w:r>
      <w:r>
        <w:rPr>
          <w:bCs/>
          <w:lang w:val="en-IN"/>
        </w:rPr>
        <w:t>L</w:t>
      </w:r>
      <w:r w:rsidRPr="000A7F91">
        <w:rPr>
          <w:bCs/>
          <w:lang w:val="en-IN"/>
        </w:rPr>
        <w:t xml:space="preserve">akh </w:t>
      </w:r>
      <w:proofErr w:type="spellStart"/>
      <w:r>
        <w:rPr>
          <w:bCs/>
          <w:lang w:val="en-IN"/>
        </w:rPr>
        <w:t>S</w:t>
      </w:r>
      <w:r w:rsidRPr="000A7F91">
        <w:rPr>
          <w:bCs/>
          <w:lang w:val="en-IN"/>
        </w:rPr>
        <w:t>q</w:t>
      </w:r>
      <w:proofErr w:type="spellEnd"/>
      <w:r w:rsidRPr="000A7F91">
        <w:rPr>
          <w:bCs/>
          <w:lang w:val="en-IN"/>
        </w:rPr>
        <w:t xml:space="preserve"> </w:t>
      </w:r>
      <w:r>
        <w:rPr>
          <w:bCs/>
          <w:lang w:val="en-IN"/>
        </w:rPr>
        <w:t>F</w:t>
      </w:r>
      <w:r w:rsidRPr="000A7F91">
        <w:rPr>
          <w:bCs/>
          <w:lang w:val="en-IN"/>
        </w:rPr>
        <w:t xml:space="preserve">eet,” </w:t>
      </w:r>
      <w:r w:rsidRPr="000A7F91">
        <w:t>op. cit.</w:t>
      </w:r>
      <w:r>
        <w:rPr>
          <w:lang w:val="en-GB"/>
        </w:rPr>
        <w:t xml:space="preserve"> </w:t>
      </w:r>
    </w:p>
  </w:endnote>
  <w:endnote w:id="40">
    <w:p w14:paraId="6236C75E" w14:textId="722482DA" w:rsidR="00D86C1E" w:rsidRPr="000A7F91" w:rsidRDefault="00D86C1E" w:rsidP="00647075">
      <w:pPr>
        <w:pStyle w:val="Footnote"/>
      </w:pPr>
      <w:r w:rsidRPr="003A0E54">
        <w:rPr>
          <w:rStyle w:val="EndnoteReference"/>
        </w:rPr>
        <w:endnoteRef/>
      </w:r>
      <w:r w:rsidRPr="000A7F91">
        <w:t xml:space="preserve"> </w:t>
      </w:r>
      <w:r>
        <w:t xml:space="preserve">“Top Attractions: Where India Wants to Work Now,” LinkedIn, accessed June 27, 2019, </w:t>
      </w:r>
      <w:r w:rsidRPr="000A7F91">
        <w:t xml:space="preserve">https://lists.linkedin.com/2016/top-attractors/en/india; </w:t>
      </w:r>
      <w:proofErr w:type="spellStart"/>
      <w:r>
        <w:t>Adith</w:t>
      </w:r>
      <w:proofErr w:type="spellEnd"/>
      <w:r>
        <w:t xml:space="preserve"> Charlie, “LinkedIn Top Companies 2017: Where India Wants to Work Now,” LinkedIn, May 17, 2017, accessed June 27, 2019, </w:t>
      </w:r>
      <w:r w:rsidRPr="000A7F91">
        <w:t xml:space="preserve">www.linkedin.com/pulse/linkedin-top-companies-2017-where-india-wants-work-now-adith-charlie; </w:t>
      </w:r>
      <w:proofErr w:type="spellStart"/>
      <w:r>
        <w:t>Abhigyan</w:t>
      </w:r>
      <w:proofErr w:type="spellEnd"/>
      <w:r>
        <w:t xml:space="preserve"> Chand, “LinkedIn Top Companies 2018: Where India Wants to Work Now,” LinkedIn, March 20, 2018, accessed June 27, 2019, </w:t>
      </w:r>
      <w:r w:rsidRPr="000A7F91">
        <w:t>www.linkedin.com/pulse/linkedin-top-companies-2018-where-india-wants-work-now-abhigyan-chand</w:t>
      </w:r>
      <w:r>
        <w:t>.</w:t>
      </w:r>
    </w:p>
  </w:endnote>
  <w:endnote w:id="41">
    <w:p w14:paraId="6A8B422E" w14:textId="7CA31D88" w:rsidR="00D86C1E" w:rsidRPr="000A7F91" w:rsidRDefault="00D86C1E" w:rsidP="00647075">
      <w:pPr>
        <w:pStyle w:val="Footnote"/>
      </w:pPr>
      <w:r w:rsidRPr="003A0E54">
        <w:rPr>
          <w:rStyle w:val="EndnoteReference"/>
        </w:rPr>
        <w:endnoteRef/>
      </w:r>
      <w:r w:rsidRPr="000A7F91">
        <w:t xml:space="preserve"> “Flipkart</w:t>
      </w:r>
      <w:r>
        <w:t>: Flipkart</w:t>
      </w:r>
      <w:r w:rsidRPr="000A7F91">
        <w:t xml:space="preserve"> Reviews</w:t>
      </w:r>
      <w:r>
        <w:t xml:space="preserve"> about ‘Work Culture</w:t>
      </w:r>
      <w:r w:rsidRPr="000A7F91">
        <w:t>,</w:t>
      </w:r>
      <w:r>
        <w:t>’</w:t>
      </w:r>
      <w:r w:rsidRPr="000A7F91">
        <w:t xml:space="preserve">” </w:t>
      </w:r>
      <w:r>
        <w:t xml:space="preserve">Glassdoor, </w:t>
      </w:r>
      <w:r w:rsidRPr="000A7F91">
        <w:t>accessed December 24, 2018, www.glassdoor.co.in/Reviews/Flipkart-work-culture-Reviews-EI_IE300494.0,8_KH9,21.htm</w:t>
      </w:r>
      <w:r>
        <w:t>.</w:t>
      </w:r>
    </w:p>
  </w:endnote>
  <w:endnote w:id="42">
    <w:p w14:paraId="7B76C12A" w14:textId="4DFE16BC" w:rsidR="00D86C1E" w:rsidRPr="000A7F91" w:rsidRDefault="00D86C1E" w:rsidP="00647075">
      <w:pPr>
        <w:pStyle w:val="Footnote"/>
      </w:pPr>
      <w:r w:rsidRPr="003A0E54">
        <w:rPr>
          <w:rStyle w:val="EndnoteReference"/>
        </w:rPr>
        <w:endnoteRef/>
      </w:r>
      <w:r>
        <w:rPr>
          <w:lang w:val="en-GB"/>
        </w:rPr>
        <w:t xml:space="preserve"> </w:t>
      </w:r>
      <w:r w:rsidRPr="000A7F91">
        <w:t>“</w:t>
      </w:r>
      <w:proofErr w:type="spellStart"/>
      <w:r w:rsidRPr="000A7F91">
        <w:t>Mekin</w:t>
      </w:r>
      <w:proofErr w:type="spellEnd"/>
      <w:r w:rsidRPr="000A7F91">
        <w:t xml:space="preserve"> </w:t>
      </w:r>
      <w:proofErr w:type="spellStart"/>
      <w:r w:rsidRPr="000A7F91">
        <w:t>Maheshwari</w:t>
      </w:r>
      <w:proofErr w:type="spellEnd"/>
      <w:r w:rsidRPr="000A7F91">
        <w:t>, Flipkart</w:t>
      </w:r>
      <w:r>
        <w:t>’</w:t>
      </w:r>
      <w:r w:rsidRPr="000A7F91">
        <w:t xml:space="preserve">s </w:t>
      </w:r>
      <w:r>
        <w:t>F</w:t>
      </w:r>
      <w:r w:rsidRPr="000A7F91">
        <w:t xml:space="preserve">ormer Chief People Officer, on </w:t>
      </w:r>
      <w:r>
        <w:t>L</w:t>
      </w:r>
      <w:r w:rsidRPr="000A7F91">
        <w:t xml:space="preserve">iving Flipkart </w:t>
      </w:r>
      <w:r>
        <w:t>V</w:t>
      </w:r>
      <w:r w:rsidRPr="000A7F91">
        <w:t>alues,” Flipkart Stories, April 13, 2017, accessed December 30, 2018, https://stories.flipkart.com/mekin-maheshwari-flipkart-values.</w:t>
      </w:r>
    </w:p>
  </w:endnote>
  <w:endnote w:id="43">
    <w:p w14:paraId="15DD5C06" w14:textId="051AABD7" w:rsidR="00D86C1E" w:rsidRPr="000A7F91" w:rsidRDefault="00D86C1E" w:rsidP="00647075">
      <w:pPr>
        <w:pStyle w:val="Footnote"/>
      </w:pPr>
      <w:r w:rsidRPr="003A0E54">
        <w:rPr>
          <w:rStyle w:val="EndnoteReference"/>
        </w:rPr>
        <w:endnoteRef/>
      </w:r>
      <w:r w:rsidRPr="000A7F91">
        <w:t xml:space="preserve"> </w:t>
      </w:r>
      <w:proofErr w:type="spellStart"/>
      <w:r w:rsidRPr="000A7F91">
        <w:t>Sumanta</w:t>
      </w:r>
      <w:proofErr w:type="spellEnd"/>
      <w:r w:rsidRPr="000A7F91">
        <w:t xml:space="preserve"> Dey, “</w:t>
      </w:r>
      <w:r w:rsidRPr="002373B5">
        <w:t>Is Flipkart a Good Place to Work? No Way! It’s a Great Place to Work, Says Linked In</w:t>
      </w:r>
      <w:r w:rsidRPr="000A7F91">
        <w:t xml:space="preserve">,” </w:t>
      </w:r>
      <w:r w:rsidRPr="00647075">
        <w:rPr>
          <w:iCs/>
        </w:rPr>
        <w:t>Flipkart Stories</w:t>
      </w:r>
      <w:r w:rsidRPr="000A7F91">
        <w:t>, May 21, 2017, accessed December 30, 2018, https://stories.flipkart.com/flipkart-great-place-work-linkedin.</w:t>
      </w:r>
    </w:p>
  </w:endnote>
  <w:endnote w:id="44">
    <w:p w14:paraId="34158361" w14:textId="65513E9C" w:rsidR="00D86C1E" w:rsidRPr="002A3E0E" w:rsidRDefault="00D86C1E" w:rsidP="00A618D4">
      <w:pPr>
        <w:pStyle w:val="EndnoteText"/>
        <w:jc w:val="both"/>
        <w:rPr>
          <w:rFonts w:ascii="Arial" w:hAnsi="Arial" w:cs="Arial"/>
          <w:bCs/>
          <w:sz w:val="17"/>
          <w:szCs w:val="17"/>
          <w:lang w:val="en-GB"/>
        </w:rPr>
      </w:pPr>
      <w:r w:rsidRPr="002A3E0E">
        <w:rPr>
          <w:rStyle w:val="EndnoteReference"/>
          <w:rFonts w:ascii="Arial" w:hAnsi="Arial" w:cs="Arial"/>
          <w:sz w:val="17"/>
          <w:szCs w:val="17"/>
        </w:rPr>
        <w:endnoteRef/>
      </w:r>
      <w:r w:rsidRPr="002A3E0E">
        <w:rPr>
          <w:rFonts w:ascii="Arial" w:hAnsi="Arial" w:cs="Arial"/>
          <w:sz w:val="17"/>
          <w:szCs w:val="17"/>
        </w:rPr>
        <w:t xml:space="preserve"> </w:t>
      </w:r>
      <w:r w:rsidRPr="002A3E0E">
        <w:rPr>
          <w:rFonts w:ascii="Arial" w:hAnsi="Arial" w:cs="Arial"/>
          <w:sz w:val="17"/>
          <w:szCs w:val="17"/>
          <w:lang w:val="en-US"/>
        </w:rPr>
        <w:t xml:space="preserve">Ibid. </w:t>
      </w:r>
    </w:p>
  </w:endnote>
  <w:endnote w:id="45">
    <w:p w14:paraId="68201E14" w14:textId="282A7B0E" w:rsidR="00D86C1E" w:rsidRPr="000A7F91" w:rsidRDefault="00D86C1E" w:rsidP="00647075">
      <w:pPr>
        <w:pStyle w:val="Footnote"/>
        <w:rPr>
          <w:bCs/>
          <w:lang w:val="en-IN"/>
        </w:rPr>
      </w:pPr>
      <w:r w:rsidRPr="003A0E54">
        <w:rPr>
          <w:rStyle w:val="EndnoteReference"/>
        </w:rPr>
        <w:endnoteRef/>
      </w:r>
      <w:r w:rsidRPr="000A7F91">
        <w:t xml:space="preserve"> “</w:t>
      </w:r>
      <w:proofErr w:type="spellStart"/>
      <w:r w:rsidRPr="000A7F91">
        <w:t>Mekin</w:t>
      </w:r>
      <w:proofErr w:type="spellEnd"/>
      <w:r w:rsidRPr="000A7F91">
        <w:t xml:space="preserve"> </w:t>
      </w:r>
      <w:proofErr w:type="spellStart"/>
      <w:r w:rsidRPr="000A7F91">
        <w:t>Maheshwari</w:t>
      </w:r>
      <w:proofErr w:type="spellEnd"/>
      <w:r w:rsidRPr="000A7F91">
        <w:t>, Flipkart</w:t>
      </w:r>
      <w:r>
        <w:t>’</w:t>
      </w:r>
      <w:r w:rsidRPr="000A7F91">
        <w:t xml:space="preserve">s </w:t>
      </w:r>
      <w:r>
        <w:t>F</w:t>
      </w:r>
      <w:r w:rsidRPr="000A7F91">
        <w:t>ormer Chief People Officer,</w:t>
      </w:r>
      <w:r>
        <w:rPr>
          <w:lang w:val="en-GB"/>
        </w:rPr>
        <w:t xml:space="preserve">” op. cit. </w:t>
      </w:r>
    </w:p>
  </w:endnote>
  <w:endnote w:id="46">
    <w:p w14:paraId="0783EEE6" w14:textId="338B5FFA" w:rsidR="00D86C1E" w:rsidRPr="002A3E0E" w:rsidRDefault="00D86C1E" w:rsidP="00A618D4">
      <w:pPr>
        <w:pStyle w:val="Footnote"/>
        <w:rPr>
          <w:bCs/>
          <w:lang w:val="en-GB"/>
        </w:rPr>
      </w:pPr>
      <w:r>
        <w:rPr>
          <w:rStyle w:val="EndnoteReference"/>
        </w:rPr>
        <w:endnoteRef/>
      </w:r>
      <w:r>
        <w:t xml:space="preserve"> </w:t>
      </w:r>
      <w:r w:rsidRPr="000A7F91">
        <w:t>Dey, op. cit.</w:t>
      </w:r>
      <w:r>
        <w:rPr>
          <w:lang w:val="en-GB"/>
        </w:rPr>
        <w:t xml:space="preserve"> </w:t>
      </w:r>
    </w:p>
  </w:endnote>
  <w:endnote w:id="47">
    <w:p w14:paraId="559D9063" w14:textId="2F5EE652" w:rsidR="00D86C1E" w:rsidRPr="00647075" w:rsidRDefault="00D86C1E" w:rsidP="00647075">
      <w:pPr>
        <w:pStyle w:val="Footnote"/>
        <w:rPr>
          <w:bCs/>
          <w:lang w:val="en-GB"/>
        </w:rPr>
      </w:pPr>
      <w:r w:rsidRPr="003A0E54">
        <w:rPr>
          <w:rStyle w:val="EndnoteReference"/>
        </w:rPr>
        <w:endnoteRef/>
      </w:r>
      <w:r w:rsidRPr="000A7F91">
        <w:t xml:space="preserve"> </w:t>
      </w:r>
      <w:r>
        <w:t>Ibid.</w:t>
      </w:r>
    </w:p>
  </w:endnote>
  <w:endnote w:id="48">
    <w:p w14:paraId="0D36A603" w14:textId="229883F1" w:rsidR="00D86C1E" w:rsidRPr="000A7F91" w:rsidRDefault="00D86C1E" w:rsidP="00647075">
      <w:pPr>
        <w:pStyle w:val="Footnote"/>
      </w:pPr>
      <w:r w:rsidRPr="003A0E54">
        <w:rPr>
          <w:rStyle w:val="EndnoteReference"/>
        </w:rPr>
        <w:endnoteRef/>
      </w:r>
      <w:r w:rsidRPr="000A7F91">
        <w:t xml:space="preserve"> </w:t>
      </w:r>
      <w:proofErr w:type="spellStart"/>
      <w:r w:rsidRPr="000A7F91">
        <w:t>Mekin</w:t>
      </w:r>
      <w:proofErr w:type="spellEnd"/>
      <w:r w:rsidRPr="000A7F91">
        <w:t xml:space="preserve"> </w:t>
      </w:r>
      <w:proofErr w:type="spellStart"/>
      <w:r w:rsidRPr="000A7F91">
        <w:t>Maheshwari</w:t>
      </w:r>
      <w:proofErr w:type="spellEnd"/>
      <w:r w:rsidRPr="000A7F91">
        <w:t>, Flipkart</w:t>
      </w:r>
      <w:r>
        <w:t>’</w:t>
      </w:r>
      <w:r w:rsidRPr="000A7F91">
        <w:t xml:space="preserve">s </w:t>
      </w:r>
      <w:r>
        <w:t>F</w:t>
      </w:r>
      <w:r w:rsidRPr="000A7F91">
        <w:t>ormer Chief People Officer,</w:t>
      </w:r>
      <w:r>
        <w:rPr>
          <w:lang w:val="en-GB"/>
        </w:rPr>
        <w:t xml:space="preserve">” op. cit. </w:t>
      </w:r>
    </w:p>
  </w:endnote>
  <w:endnote w:id="49">
    <w:p w14:paraId="1FDEB9FC" w14:textId="74FE5CBE" w:rsidR="00D86C1E" w:rsidRPr="00647075" w:rsidRDefault="00D86C1E" w:rsidP="00647075">
      <w:pPr>
        <w:pStyle w:val="Footnote"/>
        <w:rPr>
          <w:bCs/>
          <w:lang w:val="en-GB"/>
        </w:rPr>
      </w:pPr>
      <w:r w:rsidRPr="003A0E54">
        <w:rPr>
          <w:rStyle w:val="EndnoteReference"/>
        </w:rPr>
        <w:endnoteRef/>
      </w:r>
      <w:r w:rsidRPr="000A7F91">
        <w:t xml:space="preserve"> Dey, op. cit.</w:t>
      </w:r>
      <w:r>
        <w:rPr>
          <w:lang w:val="en-GB"/>
        </w:rPr>
        <w:t xml:space="preserve"> </w:t>
      </w:r>
    </w:p>
  </w:endnote>
  <w:endnote w:id="50">
    <w:p w14:paraId="3E91C726" w14:textId="75FCF9EB" w:rsidR="00D86C1E" w:rsidRPr="000A7F91" w:rsidRDefault="00D86C1E" w:rsidP="00647075">
      <w:pPr>
        <w:pStyle w:val="Footnote"/>
      </w:pPr>
      <w:r w:rsidRPr="003A0E54">
        <w:rPr>
          <w:rStyle w:val="EndnoteReference"/>
        </w:rPr>
        <w:endnoteRef/>
      </w:r>
      <w:r w:rsidRPr="000A7F91">
        <w:rPr>
          <w:rStyle w:val="FootnoteChar"/>
          <w:rFonts w:eastAsia="Calibri"/>
        </w:rPr>
        <w:t xml:space="preserve"> </w:t>
      </w:r>
      <w:r w:rsidRPr="000A7F91">
        <w:t xml:space="preserve">Pooja </w:t>
      </w:r>
      <w:proofErr w:type="spellStart"/>
      <w:r w:rsidRPr="000A7F91">
        <w:t>Sareen</w:t>
      </w:r>
      <w:proofErr w:type="spellEnd"/>
      <w:r w:rsidRPr="000A7F91">
        <w:t xml:space="preserve">, </w:t>
      </w:r>
      <w:r>
        <w:rPr>
          <w:lang w:val="en-GB"/>
        </w:rPr>
        <w:t>“</w:t>
      </w:r>
      <w:r w:rsidRPr="000A7F91">
        <w:t xml:space="preserve">How the Flipkart Mafia Flipped the Fate of </w:t>
      </w:r>
      <w:r>
        <w:t>t</w:t>
      </w:r>
      <w:r w:rsidRPr="000A7F91">
        <w:t xml:space="preserve">he Indian Startup Ecosystem,” </w:t>
      </w:r>
      <w:proofErr w:type="spellStart"/>
      <w:r w:rsidRPr="00647075">
        <w:rPr>
          <w:iCs/>
        </w:rPr>
        <w:t>Inc</w:t>
      </w:r>
      <w:proofErr w:type="spellEnd"/>
      <w:r w:rsidRPr="00647075">
        <w:rPr>
          <w:iCs/>
        </w:rPr>
        <w:t xml:space="preserve"> 42</w:t>
      </w:r>
      <w:r w:rsidRPr="000A7F91">
        <w:t>, May 7, 2017, accessed December 30, 2018, https://inc42.com/features/flipkart-mafia.</w:t>
      </w:r>
    </w:p>
  </w:endnote>
  <w:endnote w:id="51">
    <w:p w14:paraId="7991C508" w14:textId="0D51BDBC" w:rsidR="00D86C1E" w:rsidRPr="000A7F91" w:rsidRDefault="00D86C1E" w:rsidP="00647075">
      <w:pPr>
        <w:pStyle w:val="Footnote"/>
      </w:pPr>
      <w:r w:rsidRPr="003A0E54">
        <w:rPr>
          <w:rStyle w:val="EndnoteReference"/>
        </w:rPr>
        <w:endnoteRef/>
      </w:r>
      <w:r w:rsidRPr="000A7F91">
        <w:t xml:space="preserve"> </w:t>
      </w:r>
      <w:proofErr w:type="spellStart"/>
      <w:r w:rsidRPr="000A7F91">
        <w:t>Anirban</w:t>
      </w:r>
      <w:proofErr w:type="spellEnd"/>
      <w:r w:rsidRPr="000A7F91">
        <w:t xml:space="preserve"> Sen</w:t>
      </w:r>
      <w:r>
        <w:t xml:space="preserve"> and </w:t>
      </w:r>
      <w:proofErr w:type="spellStart"/>
      <w:r>
        <w:t>Mihir</w:t>
      </w:r>
      <w:proofErr w:type="spellEnd"/>
      <w:r>
        <w:t xml:space="preserve"> </w:t>
      </w:r>
      <w:proofErr w:type="spellStart"/>
      <w:r>
        <w:t>Dalal</w:t>
      </w:r>
      <w:proofErr w:type="spellEnd"/>
      <w:r w:rsidRPr="000A7F91">
        <w:t>, “</w:t>
      </w:r>
      <w:r w:rsidRPr="002373B5">
        <w:t>Flipkart Converts Part of Variable Pay to E</w:t>
      </w:r>
      <w:r>
        <w:t>SOP</w:t>
      </w:r>
      <w:r w:rsidRPr="002373B5">
        <w:t>s for Executives</w:t>
      </w:r>
      <w:r w:rsidRPr="000A7F91">
        <w:t xml:space="preserve">,” </w:t>
      </w:r>
      <w:r>
        <w:t xml:space="preserve">Live </w:t>
      </w:r>
      <w:r w:rsidRPr="00647075">
        <w:rPr>
          <w:iCs/>
        </w:rPr>
        <w:t>Mint</w:t>
      </w:r>
      <w:r w:rsidRPr="000A7F91">
        <w:t>, September 26, 2016, accessed December 30, 2018, www.livemint.com/Companies/Cr1Lwg8LLwjfreQCMlPh8L/Flipkart-converts-part-of-variable-pay-for-executives-to-ESO.html.</w:t>
      </w:r>
    </w:p>
  </w:endnote>
  <w:endnote w:id="52">
    <w:p w14:paraId="6840C801" w14:textId="76A2C662" w:rsidR="00D86C1E" w:rsidRPr="00647075" w:rsidRDefault="00D86C1E" w:rsidP="00647075">
      <w:pPr>
        <w:pStyle w:val="Footnote"/>
        <w:rPr>
          <w:bCs/>
          <w:lang w:val="en-GB"/>
        </w:rPr>
      </w:pPr>
      <w:r w:rsidRPr="003A0E54">
        <w:rPr>
          <w:rStyle w:val="EndnoteReference"/>
        </w:rPr>
        <w:endnoteRef/>
      </w:r>
      <w:r w:rsidRPr="000A7F91">
        <w:t xml:space="preserve"> </w:t>
      </w:r>
      <w:proofErr w:type="spellStart"/>
      <w:r w:rsidRPr="000A7F91">
        <w:t>Sareen</w:t>
      </w:r>
      <w:proofErr w:type="spellEnd"/>
      <w:r w:rsidRPr="000A7F91">
        <w:t>, op. cit.</w:t>
      </w:r>
      <w:r>
        <w:rPr>
          <w:lang w:val="en-GB"/>
        </w:rPr>
        <w:t xml:space="preserve"> </w:t>
      </w:r>
    </w:p>
  </w:endnote>
  <w:endnote w:id="53">
    <w:p w14:paraId="1845B132" w14:textId="11781377" w:rsidR="00D86C1E" w:rsidRPr="000A7F91" w:rsidRDefault="00D86C1E" w:rsidP="00647075">
      <w:pPr>
        <w:pStyle w:val="Footnote"/>
      </w:pPr>
      <w:r w:rsidRPr="003A0E54">
        <w:rPr>
          <w:rStyle w:val="EndnoteReference"/>
        </w:rPr>
        <w:endnoteRef/>
      </w:r>
      <w:r w:rsidRPr="000A7F91">
        <w:t xml:space="preserve"> Suman </w:t>
      </w:r>
      <w:proofErr w:type="spellStart"/>
      <w:r w:rsidRPr="000A7F91">
        <w:t>Layak</w:t>
      </w:r>
      <w:proofErr w:type="spellEnd"/>
      <w:r w:rsidRPr="000A7F91">
        <w:t xml:space="preserve"> and </w:t>
      </w:r>
      <w:proofErr w:type="spellStart"/>
      <w:r w:rsidRPr="000A7F91">
        <w:t>Baiju</w:t>
      </w:r>
      <w:proofErr w:type="spellEnd"/>
      <w:r w:rsidRPr="000A7F91">
        <w:t xml:space="preserve"> </w:t>
      </w:r>
      <w:proofErr w:type="spellStart"/>
      <w:r w:rsidRPr="000A7F91">
        <w:t>Kalesh</w:t>
      </w:r>
      <w:proofErr w:type="spellEnd"/>
      <w:r w:rsidRPr="000A7F91">
        <w:t>, “</w:t>
      </w:r>
      <w:r w:rsidRPr="00EB02FD">
        <w:t>Why 2018 May Become a Blockbuster Year for Mergers and Acquisitions</w:t>
      </w:r>
      <w:r w:rsidRPr="000A7F91">
        <w:t xml:space="preserve">,” </w:t>
      </w:r>
      <w:r w:rsidRPr="000A7F91">
        <w:rPr>
          <w:i/>
        </w:rPr>
        <w:t>Economic Times</w:t>
      </w:r>
      <w:r w:rsidRPr="000A7F91">
        <w:t>, March 24, 2018, accessed December 27, 2018, https://economictimes.indiatimes.com/news/company/corporate-trends/why-2018-may-become-a-blockbuster-year-for-mergers-and-acquisitions/articleshow/63446545.cms.</w:t>
      </w:r>
    </w:p>
  </w:endnote>
  <w:endnote w:id="54">
    <w:p w14:paraId="44AB950B" w14:textId="2B57D017" w:rsidR="00D86C1E" w:rsidRPr="000A7F91" w:rsidRDefault="00D86C1E" w:rsidP="00647075">
      <w:pPr>
        <w:pStyle w:val="Footnote"/>
      </w:pPr>
      <w:r w:rsidRPr="003A0E54">
        <w:rPr>
          <w:rStyle w:val="EndnoteReference"/>
        </w:rPr>
        <w:endnoteRef/>
      </w:r>
      <w:r w:rsidRPr="000A7F91">
        <w:t xml:space="preserve"> </w:t>
      </w:r>
      <w:r w:rsidRPr="00353F75">
        <w:t xml:space="preserve">Deloitte, </w:t>
      </w:r>
      <w:r w:rsidRPr="000C013A">
        <w:rPr>
          <w:rStyle w:val="FootnoteChar"/>
          <w:i/>
          <w:iCs/>
        </w:rPr>
        <w:t>The State of the Deal: M &amp; A Trends 2018</w:t>
      </w:r>
      <w:r>
        <w:rPr>
          <w:rStyle w:val="FootnoteChar"/>
        </w:rPr>
        <w:t xml:space="preserve"> (2017)</w:t>
      </w:r>
      <w:r w:rsidRPr="00353F75">
        <w:t>, accessed December 29, 2018, www2.deloitte.com/content/dam/Deloitte/us/Documents/mergers-acqisitions/us-mergers-acquisitions-2018-trends-report.pdf</w:t>
      </w:r>
      <w:r>
        <w:t>.</w:t>
      </w:r>
    </w:p>
  </w:endnote>
  <w:endnote w:id="55">
    <w:p w14:paraId="711EE5A2" w14:textId="344D361E" w:rsidR="00D86C1E" w:rsidRPr="000A7F91" w:rsidRDefault="00D86C1E" w:rsidP="00647075">
      <w:pPr>
        <w:pStyle w:val="Footnote"/>
      </w:pPr>
      <w:r w:rsidRPr="003A0E54">
        <w:rPr>
          <w:rStyle w:val="EndnoteReference"/>
        </w:rPr>
        <w:endnoteRef/>
      </w:r>
      <w:r w:rsidRPr="000A7F91">
        <w:t xml:space="preserve"> </w:t>
      </w:r>
      <w:r>
        <w:t>“</w:t>
      </w:r>
      <w:r w:rsidRPr="000D45D3">
        <w:t xml:space="preserve">Walmart to Snap </w:t>
      </w:r>
      <w:proofErr w:type="gramStart"/>
      <w:r>
        <w:t>U</w:t>
      </w:r>
      <w:r w:rsidRPr="000D45D3">
        <w:t>p</w:t>
      </w:r>
      <w:proofErr w:type="gramEnd"/>
      <w:r w:rsidRPr="000D45D3">
        <w:t xml:space="preserve"> Stake in Flipkart: Pros and Cons of the Deal</w:t>
      </w:r>
      <w:r w:rsidRPr="00652975">
        <w:t>,</w:t>
      </w:r>
      <w:r>
        <w:t>”</w:t>
      </w:r>
      <w:r w:rsidRPr="00652975">
        <w:t xml:space="preserve"> </w:t>
      </w:r>
      <w:proofErr w:type="spellStart"/>
      <w:r w:rsidRPr="000C013A">
        <w:rPr>
          <w:iCs/>
        </w:rPr>
        <w:t>Zacks</w:t>
      </w:r>
      <w:proofErr w:type="spellEnd"/>
      <w:r w:rsidRPr="00652975">
        <w:t>, May 10, 2018, accessed December 30,</w:t>
      </w:r>
      <w:r>
        <w:t xml:space="preserve"> 2018, </w:t>
      </w:r>
      <w:r w:rsidRPr="004C7528">
        <w:t>www.zacks.com/stock/news/303109/walmart-to-snap-up-stake-in-flipkart-pros-amp-cons-of-the-deal</w:t>
      </w:r>
      <w:r w:rsidRPr="000A7F91">
        <w:t>.</w:t>
      </w:r>
    </w:p>
  </w:endnote>
  <w:endnote w:id="56">
    <w:p w14:paraId="5993BCF2" w14:textId="523992F7" w:rsidR="00D86C1E" w:rsidRPr="000A7F91" w:rsidRDefault="00D86C1E" w:rsidP="00647075">
      <w:pPr>
        <w:pStyle w:val="Footnote"/>
      </w:pPr>
      <w:r w:rsidRPr="003A0E54">
        <w:rPr>
          <w:rStyle w:val="EndnoteReference"/>
        </w:rPr>
        <w:endnoteRef/>
      </w:r>
      <w:r w:rsidRPr="000A7F91">
        <w:t xml:space="preserve"> </w:t>
      </w:r>
      <w:r>
        <w:t xml:space="preserve">Walmart, “Walmart to Invest in Flipkart Group, India’s Innovative </w:t>
      </w:r>
      <w:proofErr w:type="spellStart"/>
      <w:r>
        <w:t>eCommerce</w:t>
      </w:r>
      <w:proofErr w:type="spellEnd"/>
      <w:r>
        <w:t xml:space="preserve"> Company,” press release, May 9, 2018, accessed June 27, 2019, </w:t>
      </w:r>
      <w:r w:rsidRPr="000A7F91">
        <w:t>https://news.walmart.com/2018/05/09/walmart-to-invest-in-flipkart-group-indias-innovative-ecommerce-company</w:t>
      </w:r>
      <w:r>
        <w:t>.</w:t>
      </w:r>
    </w:p>
  </w:endnote>
  <w:endnote w:id="57">
    <w:p w14:paraId="17308667" w14:textId="00BB9B12" w:rsidR="00D86C1E" w:rsidRPr="000B3186" w:rsidRDefault="00D86C1E" w:rsidP="000B3186">
      <w:pPr>
        <w:pStyle w:val="EndnoteText"/>
        <w:jc w:val="both"/>
        <w:rPr>
          <w:rFonts w:ascii="Arial" w:hAnsi="Arial" w:cs="Arial"/>
          <w:sz w:val="17"/>
          <w:szCs w:val="17"/>
          <w:lang w:val="en-US"/>
        </w:rPr>
      </w:pPr>
      <w:r w:rsidRPr="000B3186">
        <w:rPr>
          <w:rStyle w:val="EndnoteReference"/>
          <w:rFonts w:ascii="Arial" w:hAnsi="Arial" w:cs="Arial"/>
          <w:sz w:val="17"/>
          <w:szCs w:val="17"/>
        </w:rPr>
        <w:endnoteRef/>
      </w:r>
      <w:r w:rsidRPr="000B3186">
        <w:rPr>
          <w:rFonts w:ascii="Arial" w:hAnsi="Arial" w:cs="Arial"/>
          <w:sz w:val="17"/>
          <w:szCs w:val="17"/>
        </w:rPr>
        <w:t xml:space="preserve"> </w:t>
      </w:r>
      <w:r w:rsidRPr="000B3186">
        <w:rPr>
          <w:rFonts w:ascii="Arial" w:hAnsi="Arial" w:cs="Arial"/>
          <w:spacing w:val="-2"/>
          <w:sz w:val="17"/>
          <w:szCs w:val="17"/>
        </w:rPr>
        <w:t>“</w:t>
      </w:r>
      <w:r w:rsidRPr="000B3186">
        <w:rPr>
          <w:rFonts w:ascii="Arial" w:hAnsi="Arial" w:cs="Arial"/>
          <w:sz w:val="17"/>
          <w:szCs w:val="17"/>
        </w:rPr>
        <w:t>Walmart Acquires Flipkart for $16 Billion</w:t>
      </w:r>
      <w:r w:rsidRPr="000B3186">
        <w:rPr>
          <w:rFonts w:ascii="Arial" w:hAnsi="Arial" w:cs="Arial"/>
          <w:spacing w:val="-2"/>
          <w:sz w:val="17"/>
          <w:szCs w:val="17"/>
        </w:rPr>
        <w:t>,” op. cit</w:t>
      </w:r>
      <w:r w:rsidRPr="000B3186">
        <w:rPr>
          <w:rFonts w:ascii="Arial" w:hAnsi="Arial" w:cs="Arial"/>
          <w:spacing w:val="-2"/>
          <w:sz w:val="17"/>
          <w:szCs w:val="17"/>
          <w:lang w:val="en-GB"/>
        </w:rPr>
        <w:t xml:space="preserve">. </w:t>
      </w:r>
    </w:p>
  </w:endnote>
  <w:endnote w:id="58">
    <w:p w14:paraId="13C4816F" w14:textId="48F1F1CB" w:rsidR="00D86C1E" w:rsidRPr="000A7F91" w:rsidRDefault="00D86C1E" w:rsidP="00647075">
      <w:pPr>
        <w:pStyle w:val="Footnote"/>
      </w:pPr>
      <w:r w:rsidRPr="003A0E54">
        <w:rPr>
          <w:rStyle w:val="EndnoteReference"/>
        </w:rPr>
        <w:endnoteRef/>
      </w:r>
      <w:r w:rsidRPr="000A7F91">
        <w:t xml:space="preserve"> </w:t>
      </w:r>
      <w:r w:rsidRPr="000A7F91">
        <w:rPr>
          <w:bCs/>
          <w:lang w:val="en-IN"/>
        </w:rPr>
        <w:t xml:space="preserve">Agarwal, “Flipkart </w:t>
      </w:r>
      <w:r>
        <w:rPr>
          <w:bCs/>
          <w:lang w:val="en-IN"/>
        </w:rPr>
        <w:t>v</w:t>
      </w:r>
      <w:r w:rsidRPr="000A7F91">
        <w:rPr>
          <w:bCs/>
          <w:lang w:val="en-IN"/>
        </w:rPr>
        <w:t xml:space="preserve">s Amazon India: Who Won the Indian Ecommerce Battle </w:t>
      </w:r>
      <w:r>
        <w:rPr>
          <w:bCs/>
          <w:lang w:val="en-IN"/>
        </w:rPr>
        <w:t>i</w:t>
      </w:r>
      <w:r w:rsidRPr="000A7F91">
        <w:rPr>
          <w:bCs/>
          <w:lang w:val="en-IN"/>
        </w:rPr>
        <w:t>n 2018</w:t>
      </w:r>
      <w:proofErr w:type="gramStart"/>
      <w:r w:rsidRPr="000A7F91">
        <w:rPr>
          <w:bCs/>
          <w:lang w:val="en-IN"/>
        </w:rPr>
        <w:t>?</w:t>
      </w:r>
      <w:r>
        <w:rPr>
          <w:bCs/>
          <w:lang w:val="en-IN"/>
        </w:rPr>
        <w:t>,</w:t>
      </w:r>
      <w:proofErr w:type="gramEnd"/>
      <w:r w:rsidRPr="000A7F91">
        <w:rPr>
          <w:bCs/>
          <w:lang w:val="en-IN"/>
        </w:rPr>
        <w:t>” op. cit.</w:t>
      </w:r>
      <w:r>
        <w:rPr>
          <w:bCs/>
          <w:lang w:val="en-IN"/>
        </w:rPr>
        <w:t xml:space="preserve"> </w:t>
      </w:r>
    </w:p>
  </w:endnote>
  <w:endnote w:id="59">
    <w:p w14:paraId="74A639EA" w14:textId="41D2CC59" w:rsidR="00D86C1E" w:rsidRPr="000A7F91" w:rsidRDefault="00D86C1E" w:rsidP="00647075">
      <w:pPr>
        <w:pStyle w:val="Footnote"/>
      </w:pPr>
      <w:r w:rsidRPr="003A0E54">
        <w:rPr>
          <w:rStyle w:val="EndnoteReference"/>
        </w:rPr>
        <w:endnoteRef/>
      </w:r>
      <w:r w:rsidRPr="000A7F91">
        <w:t xml:space="preserve"> </w:t>
      </w:r>
      <w:proofErr w:type="spellStart"/>
      <w:r w:rsidRPr="000A7F91">
        <w:t>Vindu</w:t>
      </w:r>
      <w:proofErr w:type="spellEnd"/>
      <w:r w:rsidRPr="000A7F91">
        <w:t xml:space="preserve"> </w:t>
      </w:r>
      <w:proofErr w:type="spellStart"/>
      <w:r w:rsidRPr="000A7F91">
        <w:t>Goel</w:t>
      </w:r>
      <w:proofErr w:type="spellEnd"/>
      <w:r w:rsidRPr="000A7F91">
        <w:t>, “</w:t>
      </w:r>
      <w:r w:rsidRPr="00EB02FD">
        <w:t>Walmart Takes Control of India’s Flipkart in E-Commerce Gamble</w:t>
      </w:r>
      <w:r w:rsidRPr="000A7F91">
        <w:t xml:space="preserve">,” </w:t>
      </w:r>
      <w:r w:rsidRPr="000A7F91">
        <w:rPr>
          <w:i/>
        </w:rPr>
        <w:t>New York Times</w:t>
      </w:r>
      <w:r w:rsidRPr="000A7F91">
        <w:t>, May 9, 2018, accessed December 27, 2018, www.nytimes.com/2018/05/09/business/walmart-flipkart-india-amazon.html</w:t>
      </w:r>
      <w:r>
        <w:t>.</w:t>
      </w:r>
    </w:p>
  </w:endnote>
  <w:endnote w:id="60">
    <w:p w14:paraId="2808C7DC" w14:textId="12BB365C" w:rsidR="00D86C1E" w:rsidRPr="000A7F91" w:rsidRDefault="00D86C1E" w:rsidP="00647075">
      <w:pPr>
        <w:pStyle w:val="Footnote"/>
      </w:pPr>
      <w:r w:rsidRPr="003A0E54">
        <w:rPr>
          <w:rStyle w:val="EndnoteReference"/>
        </w:rPr>
        <w:endnoteRef/>
      </w:r>
      <w:r w:rsidRPr="000A7F91">
        <w:t xml:space="preserve"> </w:t>
      </w:r>
      <w:proofErr w:type="spellStart"/>
      <w:r w:rsidRPr="000A7F91">
        <w:t>Nicolaou</w:t>
      </w:r>
      <w:proofErr w:type="spellEnd"/>
      <w:r w:rsidRPr="000A7F91">
        <w:t xml:space="preserve">, </w:t>
      </w:r>
      <w:proofErr w:type="spellStart"/>
      <w:r w:rsidRPr="000A7F91">
        <w:t>Fontanella</w:t>
      </w:r>
      <w:proofErr w:type="spellEnd"/>
      <w:r w:rsidRPr="000A7F91">
        <w:t>-Khan</w:t>
      </w:r>
      <w:r>
        <w:t>,</w:t>
      </w:r>
      <w:r w:rsidRPr="000A7F91">
        <w:t xml:space="preserve"> and Stacey, op. cit.</w:t>
      </w:r>
      <w:r>
        <w:t xml:space="preserve"> Britain’s Competition and Markets Authority blocked the merger in April 2019, assessing the planned merger to be a “substantial lessening of competition.” Editorial Board, “Block on Sainsbury’s–</w:t>
      </w:r>
      <w:proofErr w:type="spellStart"/>
      <w:r>
        <w:t>Asda</w:t>
      </w:r>
      <w:proofErr w:type="spellEnd"/>
      <w:r>
        <w:t xml:space="preserve"> Merger Signals Tougher Approach,” </w:t>
      </w:r>
      <w:r w:rsidRPr="00647075">
        <w:rPr>
          <w:i/>
          <w:iCs/>
        </w:rPr>
        <w:t>Financial Times</w:t>
      </w:r>
      <w:r>
        <w:t xml:space="preserve">, April 28, 2019, accessed June 26, 2019, </w:t>
      </w:r>
      <w:r w:rsidRPr="00B21C8C">
        <w:t>www.ft.com/content/5f20c9d0-681f-11e9-a79d-04f350474d62</w:t>
      </w:r>
      <w:r>
        <w:t>.</w:t>
      </w:r>
    </w:p>
  </w:endnote>
  <w:endnote w:id="61">
    <w:p w14:paraId="73E81484" w14:textId="7F46E8D1" w:rsidR="00D86C1E" w:rsidRPr="000A7F91" w:rsidRDefault="00D86C1E" w:rsidP="00647075">
      <w:pPr>
        <w:pStyle w:val="Footnote"/>
      </w:pPr>
      <w:r w:rsidRPr="003A0E54">
        <w:rPr>
          <w:rStyle w:val="EndnoteReference"/>
        </w:rPr>
        <w:endnoteRef/>
      </w:r>
      <w:r w:rsidRPr="000A7F91">
        <w:t xml:space="preserve"> </w:t>
      </w:r>
      <w:r w:rsidRPr="004C41D6">
        <w:t xml:space="preserve">Warren </w:t>
      </w:r>
      <w:proofErr w:type="spellStart"/>
      <w:r w:rsidRPr="004C41D6">
        <w:t>Shoulberg</w:t>
      </w:r>
      <w:proofErr w:type="spellEnd"/>
      <w:r w:rsidRPr="004C41D6">
        <w:t xml:space="preserve">, </w:t>
      </w:r>
      <w:r>
        <w:t>“</w:t>
      </w:r>
      <w:r>
        <w:rPr>
          <w:lang w:val="en-IN"/>
        </w:rPr>
        <w:t>Lost in</w:t>
      </w:r>
      <w:r w:rsidRPr="004C41D6">
        <w:rPr>
          <w:lang w:val="en-IN"/>
        </w:rPr>
        <w:t xml:space="preserve"> Translation: Why Walmart </w:t>
      </w:r>
      <w:r>
        <w:rPr>
          <w:lang w:val="en-IN"/>
        </w:rPr>
        <w:t>a</w:t>
      </w:r>
      <w:r w:rsidRPr="004C41D6">
        <w:rPr>
          <w:lang w:val="en-IN"/>
        </w:rPr>
        <w:t>nd So Many Other U.S. Retailers Fail Overseas</w:t>
      </w:r>
      <w:r w:rsidRPr="004C41D6">
        <w:rPr>
          <w:i/>
          <w:lang w:val="en-IN"/>
        </w:rPr>
        <w:t>,</w:t>
      </w:r>
      <w:r>
        <w:rPr>
          <w:i/>
          <w:lang w:val="en-IN"/>
        </w:rPr>
        <w:t>”</w:t>
      </w:r>
      <w:r w:rsidRPr="004C41D6">
        <w:rPr>
          <w:i/>
          <w:lang w:val="en-IN"/>
        </w:rPr>
        <w:t xml:space="preserve"> Forbes</w:t>
      </w:r>
      <w:r>
        <w:rPr>
          <w:lang w:val="en-IN"/>
        </w:rPr>
        <w:t>, May 4, 2018, accessed December 30, 2018,</w:t>
      </w:r>
      <w:r w:rsidRPr="004C41D6">
        <w:t xml:space="preserve"> </w:t>
      </w:r>
      <w:r w:rsidRPr="004C41D6">
        <w:rPr>
          <w:lang w:val="en-IN"/>
        </w:rPr>
        <w:t>www.forbes.com/sites/warrenshoulberg/2018/05/04/lost-in-translation-why-walmart-and-so-many-other-u-s-retailers-fail-when-they-go-overseas/#3b4b58511ee1</w:t>
      </w:r>
      <w:r>
        <w:rPr>
          <w:lang w:val="en-IN"/>
        </w:rPr>
        <w:t xml:space="preserve">meber 30, 2018; </w:t>
      </w:r>
      <w:r w:rsidRPr="004C41D6">
        <w:rPr>
          <w:lang w:val="en-IN"/>
        </w:rPr>
        <w:t xml:space="preserve">Walter Loeb, </w:t>
      </w:r>
      <w:r>
        <w:rPr>
          <w:lang w:val="en-IN"/>
        </w:rPr>
        <w:t>“</w:t>
      </w:r>
      <w:r w:rsidRPr="004C41D6">
        <w:rPr>
          <w:lang w:val="en-IN"/>
        </w:rPr>
        <w:t>Walmart: What Happened in India?</w:t>
      </w:r>
      <w:r>
        <w:rPr>
          <w:lang w:val="en-IN"/>
        </w:rPr>
        <w:t xml:space="preserve">,” </w:t>
      </w:r>
      <w:r w:rsidRPr="009B57B6">
        <w:rPr>
          <w:i/>
          <w:lang w:val="en-IN"/>
        </w:rPr>
        <w:t>Forbes</w:t>
      </w:r>
      <w:r>
        <w:rPr>
          <w:lang w:val="en-IN"/>
        </w:rPr>
        <w:t xml:space="preserve">, October 16, 2013, accessed December 30, 2018, </w:t>
      </w:r>
      <w:r w:rsidRPr="004C41D6">
        <w:rPr>
          <w:lang w:val="en-IN"/>
        </w:rPr>
        <w:t>www.forbes.com/sites/walterloeb/2013/10/16/walmart-what-happened-in-india/#6f89c2627d1c</w:t>
      </w:r>
      <w:r w:rsidRPr="000A7F91">
        <w:t>.</w:t>
      </w:r>
    </w:p>
  </w:endnote>
  <w:endnote w:id="62">
    <w:p w14:paraId="296804BD" w14:textId="3AA6DA33" w:rsidR="00D86C1E" w:rsidRPr="000A7F91" w:rsidRDefault="00D86C1E" w:rsidP="00647075">
      <w:pPr>
        <w:pStyle w:val="Footnote"/>
      </w:pPr>
      <w:r w:rsidRPr="003A0E54">
        <w:rPr>
          <w:rStyle w:val="EndnoteReference"/>
        </w:rPr>
        <w:endnoteRef/>
      </w:r>
      <w:r w:rsidRPr="000A7F91">
        <w:t xml:space="preserve"> </w:t>
      </w:r>
      <w:proofErr w:type="spellStart"/>
      <w:r w:rsidRPr="00CF5634">
        <w:t>Rajat</w:t>
      </w:r>
      <w:proofErr w:type="spellEnd"/>
      <w:r w:rsidRPr="00CF5634">
        <w:t xml:space="preserve"> Kumar, </w:t>
      </w:r>
      <w:r>
        <w:t>“</w:t>
      </w:r>
      <w:r w:rsidRPr="00CF5634">
        <w:t>Where</w:t>
      </w:r>
      <w:r>
        <w:t>’</w:t>
      </w:r>
      <w:r w:rsidRPr="00CF5634">
        <w:t>s the Value? An Inside Look at Walmart</w:t>
      </w:r>
      <w:r>
        <w:t>’</w:t>
      </w:r>
      <w:r w:rsidRPr="00CF5634">
        <w:t>s Flipkart Deal,</w:t>
      </w:r>
      <w:r>
        <w:t>”</w:t>
      </w:r>
      <w:r w:rsidRPr="00CF5634">
        <w:t xml:space="preserve"> </w:t>
      </w:r>
      <w:r>
        <w:t xml:space="preserve">Knowledge @ </w:t>
      </w:r>
      <w:r w:rsidRPr="00CF5634">
        <w:t>Wharton, May 14, 2018, accessed December 30, 2018, http://knowledge.wharton.upenn.edu/article/wheres-value-inside-look-walmarts-flipkart-deal</w:t>
      </w:r>
      <w:r>
        <w:t>.</w:t>
      </w:r>
    </w:p>
  </w:endnote>
  <w:endnote w:id="63">
    <w:p w14:paraId="168A9902" w14:textId="5C350266" w:rsidR="00D86C1E" w:rsidRPr="000A7F91" w:rsidRDefault="00D86C1E" w:rsidP="00647075">
      <w:pPr>
        <w:pStyle w:val="Footnote"/>
      </w:pPr>
      <w:r w:rsidRPr="003A0E54">
        <w:rPr>
          <w:rStyle w:val="EndnoteReference"/>
        </w:rPr>
        <w:endnoteRef/>
      </w:r>
      <w:r w:rsidRPr="000A7F91">
        <w:t xml:space="preserve"> </w:t>
      </w:r>
      <w:r>
        <w:t>“</w:t>
      </w:r>
      <w:r w:rsidRPr="000D45D3">
        <w:t xml:space="preserve">Walmart to Snap </w:t>
      </w:r>
      <w:r>
        <w:t>U</w:t>
      </w:r>
      <w:r w:rsidRPr="000D45D3">
        <w:t>p Stake in Flipkart</w:t>
      </w:r>
      <w:r>
        <w:t xml:space="preserve">,” op. cit. </w:t>
      </w:r>
    </w:p>
  </w:endnote>
  <w:endnote w:id="64">
    <w:p w14:paraId="5E1CAD1A" w14:textId="2505BFEA" w:rsidR="00D86C1E" w:rsidRPr="000A7F91" w:rsidRDefault="00D86C1E" w:rsidP="00647075">
      <w:pPr>
        <w:pStyle w:val="Footnote"/>
      </w:pPr>
      <w:r w:rsidRPr="003A0E54">
        <w:rPr>
          <w:rStyle w:val="EndnoteReference"/>
        </w:rPr>
        <w:endnoteRef/>
      </w:r>
      <w:r w:rsidRPr="000A7F91">
        <w:t xml:space="preserve"> </w:t>
      </w:r>
      <w:r w:rsidRPr="00BD4436">
        <w:t xml:space="preserve">Jon Russell, </w:t>
      </w:r>
      <w:r>
        <w:t>“</w:t>
      </w:r>
      <w:r w:rsidRPr="00BD4436">
        <w:t xml:space="preserve">Walmart </w:t>
      </w:r>
      <w:r>
        <w:t>S</w:t>
      </w:r>
      <w:r w:rsidRPr="00BD4436">
        <w:t xml:space="preserve">ays Flipkart </w:t>
      </w:r>
      <w:proofErr w:type="gramStart"/>
      <w:r w:rsidR="00E822D0">
        <w:t>I</w:t>
      </w:r>
      <w:r w:rsidRPr="00BD4436">
        <w:t>s</w:t>
      </w:r>
      <w:proofErr w:type="gramEnd"/>
      <w:r w:rsidRPr="00BD4436">
        <w:t xml:space="preserve"> a </w:t>
      </w:r>
      <w:r>
        <w:t>‘K</w:t>
      </w:r>
      <w:r w:rsidRPr="00BD4436">
        <w:t xml:space="preserve">ey </w:t>
      </w:r>
      <w:r>
        <w:t>C</w:t>
      </w:r>
      <w:r w:rsidRPr="00BD4436">
        <w:t xml:space="preserve">enter of </w:t>
      </w:r>
      <w:r>
        <w:t>L</w:t>
      </w:r>
      <w:r w:rsidRPr="00BD4436">
        <w:t>earning</w:t>
      </w:r>
      <w:r>
        <w:t>’</w:t>
      </w:r>
      <w:r w:rsidRPr="00BD4436">
        <w:t xml:space="preserve"> for </w:t>
      </w:r>
      <w:r>
        <w:t>I</w:t>
      </w:r>
      <w:r w:rsidRPr="00BD4436">
        <w:t xml:space="preserve">ts </w:t>
      </w:r>
      <w:r>
        <w:t>E</w:t>
      </w:r>
      <w:r w:rsidRPr="00BD4436">
        <w:t xml:space="preserve">ntire </w:t>
      </w:r>
      <w:r>
        <w:t>G</w:t>
      </w:r>
      <w:r w:rsidRPr="00BD4436">
        <w:t xml:space="preserve">lobal </w:t>
      </w:r>
      <w:r>
        <w:t>B</w:t>
      </w:r>
      <w:r w:rsidRPr="00BD4436">
        <w:t>usiness,</w:t>
      </w:r>
      <w:r>
        <w:t>”</w:t>
      </w:r>
      <w:r w:rsidRPr="00BD4436">
        <w:t xml:space="preserve"> </w:t>
      </w:r>
      <w:r w:rsidRPr="000C013A">
        <w:rPr>
          <w:iCs/>
        </w:rPr>
        <w:t>TechCrunch</w:t>
      </w:r>
      <w:r w:rsidRPr="00BD4436">
        <w:t>, May 9, 2018, accessed December 29, 2018, https://techcrunch.com/2018/05/09/walmart-says-flipkart-is-a-key-center-of-learning-for-its-entire-global-business</w:t>
      </w:r>
      <w:r>
        <w:t>.</w:t>
      </w:r>
    </w:p>
  </w:endnote>
  <w:endnote w:id="65">
    <w:p w14:paraId="0D29B450" w14:textId="34A89861" w:rsidR="00D86C1E" w:rsidRPr="000A7F91" w:rsidRDefault="00D86C1E" w:rsidP="00647075">
      <w:pPr>
        <w:pStyle w:val="Footnote"/>
      </w:pPr>
      <w:r w:rsidRPr="003A0E54">
        <w:rPr>
          <w:rStyle w:val="EndnoteReference"/>
        </w:rPr>
        <w:endnoteRef/>
      </w:r>
      <w:r w:rsidRPr="000A7F91">
        <w:t xml:space="preserve"> </w:t>
      </w:r>
      <w:proofErr w:type="spellStart"/>
      <w:r w:rsidRPr="000A7F91">
        <w:t>Goel</w:t>
      </w:r>
      <w:proofErr w:type="spellEnd"/>
      <w:r w:rsidRPr="000A7F91">
        <w:t>, op. cit.</w:t>
      </w:r>
      <w:r>
        <w:t xml:space="preserve"> </w:t>
      </w:r>
    </w:p>
  </w:endnote>
  <w:endnote w:id="66">
    <w:p w14:paraId="13F709D4" w14:textId="7359F89A" w:rsidR="00D86C1E" w:rsidRPr="000A7F91" w:rsidRDefault="00D86C1E" w:rsidP="00647075">
      <w:pPr>
        <w:pStyle w:val="Footnote"/>
      </w:pPr>
      <w:r w:rsidRPr="003A0E54">
        <w:rPr>
          <w:rStyle w:val="EndnoteReference"/>
        </w:rPr>
        <w:endnoteRef/>
      </w:r>
      <w:r w:rsidRPr="000A7F91">
        <w:t xml:space="preserve"> “</w:t>
      </w:r>
      <w:r w:rsidRPr="006715DD">
        <w:t>Wal-Mart in Talks to Buy Stake in Indian Online Retailer Flipkart: Report</w:t>
      </w:r>
      <w:r w:rsidRPr="000A7F91">
        <w:t xml:space="preserve">,” </w:t>
      </w:r>
      <w:r w:rsidRPr="00647075">
        <w:rPr>
          <w:iCs/>
        </w:rPr>
        <w:t>CNBC</w:t>
      </w:r>
      <w:r w:rsidRPr="000A7F91">
        <w:t>, September 29, 2016, accessed January 1, 2019, www.cnbc.com/2016/09/29/wal-mart-in-talks-to-buy-stake-in-indian-online-retailer-flipkart-report.html.</w:t>
      </w:r>
    </w:p>
  </w:endnote>
  <w:endnote w:id="67">
    <w:p w14:paraId="589E68DC" w14:textId="7867FB58" w:rsidR="00D86C1E" w:rsidRPr="00647075" w:rsidRDefault="00D86C1E" w:rsidP="00647075">
      <w:pPr>
        <w:pStyle w:val="Footnote"/>
        <w:rPr>
          <w:lang w:val="en-GB"/>
        </w:rPr>
      </w:pPr>
      <w:r w:rsidRPr="003A0E54">
        <w:rPr>
          <w:rStyle w:val="EndnoteReference"/>
        </w:rPr>
        <w:endnoteRef/>
      </w:r>
      <w:r w:rsidRPr="000A7F91">
        <w:t xml:space="preserve"> See for </w:t>
      </w:r>
      <w:r>
        <w:rPr>
          <w:lang w:val="en-GB"/>
        </w:rPr>
        <w:t>example</w:t>
      </w:r>
      <w:r w:rsidRPr="000A7F91">
        <w:t xml:space="preserve">, Kumar, op. </w:t>
      </w:r>
      <w:proofErr w:type="spellStart"/>
      <w:r w:rsidRPr="000A7F91">
        <w:t>cit</w:t>
      </w:r>
      <w:proofErr w:type="spellEnd"/>
      <w:r>
        <w:rPr>
          <w:lang w:val="en-GB"/>
        </w:rPr>
        <w:t>.</w:t>
      </w:r>
      <w:r w:rsidRPr="000A7F91">
        <w:t xml:space="preserve"> </w:t>
      </w:r>
      <w:r>
        <w:rPr>
          <w:lang w:val="en-GB"/>
        </w:rPr>
        <w:t xml:space="preserve">and </w:t>
      </w:r>
      <w:r w:rsidRPr="000A7F91">
        <w:t xml:space="preserve">“Walmart to </w:t>
      </w:r>
      <w:r>
        <w:t>S</w:t>
      </w:r>
      <w:r w:rsidRPr="000A7F91">
        <w:t xml:space="preserve">nap </w:t>
      </w:r>
      <w:proofErr w:type="gramStart"/>
      <w:r>
        <w:t>U</w:t>
      </w:r>
      <w:r w:rsidRPr="000A7F91">
        <w:t>p</w:t>
      </w:r>
      <w:proofErr w:type="gramEnd"/>
      <w:r w:rsidRPr="000A7F91">
        <w:t xml:space="preserve"> </w:t>
      </w:r>
      <w:r>
        <w:t>S</w:t>
      </w:r>
      <w:r w:rsidRPr="000A7F91">
        <w:t>take in Flipkart,” op. cit.</w:t>
      </w:r>
      <w:r>
        <w:rPr>
          <w:lang w:val="en-GB"/>
        </w:rPr>
        <w:t xml:space="preserve"> </w:t>
      </w:r>
    </w:p>
  </w:endnote>
  <w:endnote w:id="68">
    <w:p w14:paraId="2C90BDFA" w14:textId="185DD4AB" w:rsidR="00D86C1E" w:rsidRPr="000A7F91" w:rsidRDefault="00D86C1E" w:rsidP="00647075">
      <w:pPr>
        <w:pStyle w:val="Footnote"/>
      </w:pPr>
      <w:r w:rsidRPr="003A0E54">
        <w:rPr>
          <w:rStyle w:val="EndnoteReference"/>
        </w:rPr>
        <w:endnoteRef/>
      </w:r>
      <w:r w:rsidRPr="000A7F91">
        <w:t xml:space="preserve"> </w:t>
      </w:r>
      <w:proofErr w:type="spellStart"/>
      <w:r w:rsidRPr="000A7F91">
        <w:t>Goel</w:t>
      </w:r>
      <w:proofErr w:type="spellEnd"/>
      <w:r w:rsidRPr="000A7F91">
        <w:t>, op. cit.</w:t>
      </w:r>
      <w:r>
        <w:t xml:space="preserve"> </w:t>
      </w:r>
    </w:p>
  </w:endnote>
  <w:endnote w:id="69">
    <w:p w14:paraId="5029A54D" w14:textId="6080BFE6" w:rsidR="00D86C1E" w:rsidRPr="000A7F91" w:rsidRDefault="00D86C1E" w:rsidP="00647075">
      <w:pPr>
        <w:pStyle w:val="Footnote"/>
        <w:rPr>
          <w:bCs/>
          <w:lang w:val="en-IN"/>
        </w:rPr>
      </w:pPr>
      <w:r w:rsidRPr="003A0E54">
        <w:rPr>
          <w:rStyle w:val="EndnoteReference"/>
        </w:rPr>
        <w:endnoteRef/>
      </w:r>
      <w:r w:rsidRPr="000A7F91">
        <w:t xml:space="preserve"> </w:t>
      </w:r>
      <w:proofErr w:type="spellStart"/>
      <w:r w:rsidRPr="000A7F91">
        <w:t>Sachin</w:t>
      </w:r>
      <w:proofErr w:type="spellEnd"/>
      <w:r>
        <w:t xml:space="preserve"> Bansal’</w:t>
      </w:r>
      <w:r w:rsidRPr="000A7F91">
        <w:t xml:space="preserve">s </w:t>
      </w:r>
      <w:r w:rsidRPr="002D3BC7">
        <w:t>exit was not a happy one</w:t>
      </w:r>
      <w:r w:rsidR="00C1736C">
        <w:t>,</w:t>
      </w:r>
      <w:r w:rsidRPr="002D3BC7">
        <w:t xml:space="preserve"> </w:t>
      </w:r>
      <w:r>
        <w:t>according to</w:t>
      </w:r>
      <w:r w:rsidRPr="002D3BC7">
        <w:t xml:space="preserve"> media reports. </w:t>
      </w:r>
      <w:r>
        <w:rPr>
          <w:lang w:val="en-IN"/>
        </w:rPr>
        <w:t>I</w:t>
      </w:r>
      <w:r w:rsidRPr="002D3BC7">
        <w:rPr>
          <w:lang w:val="en-IN"/>
        </w:rPr>
        <w:t>n its official statement announcing the deal, Walmart did</w:t>
      </w:r>
      <w:r>
        <w:rPr>
          <w:lang w:val="en-IN"/>
        </w:rPr>
        <w:t xml:space="preserve"> </w:t>
      </w:r>
      <w:r w:rsidRPr="002D3BC7">
        <w:rPr>
          <w:lang w:val="en-IN"/>
        </w:rPr>
        <w:t>n</w:t>
      </w:r>
      <w:r>
        <w:rPr>
          <w:lang w:val="en-IN"/>
        </w:rPr>
        <w:t>o</w:t>
      </w:r>
      <w:r w:rsidRPr="002D3BC7">
        <w:rPr>
          <w:lang w:val="en-IN"/>
        </w:rPr>
        <w:t xml:space="preserve">t refer to </w:t>
      </w:r>
      <w:r>
        <w:rPr>
          <w:lang w:val="en-IN"/>
        </w:rPr>
        <w:t>Sachin’s</w:t>
      </w:r>
      <w:r w:rsidRPr="002D3BC7">
        <w:rPr>
          <w:lang w:val="en-IN"/>
        </w:rPr>
        <w:t xml:space="preserve"> exit. </w:t>
      </w:r>
      <w:r w:rsidRPr="002D3BC7">
        <w:t>See</w:t>
      </w:r>
      <w:r>
        <w:t>,</w:t>
      </w:r>
      <w:r w:rsidRPr="002D3BC7">
        <w:t xml:space="preserve"> for </w:t>
      </w:r>
      <w:r>
        <w:t>example</w:t>
      </w:r>
      <w:r w:rsidRPr="002D3BC7">
        <w:t xml:space="preserve">, </w:t>
      </w:r>
      <w:proofErr w:type="spellStart"/>
      <w:r w:rsidRPr="002D3BC7">
        <w:t>Mihir</w:t>
      </w:r>
      <w:proofErr w:type="spellEnd"/>
      <w:r w:rsidRPr="002D3BC7">
        <w:t xml:space="preserve"> </w:t>
      </w:r>
      <w:proofErr w:type="spellStart"/>
      <w:r w:rsidRPr="002D3BC7">
        <w:t>Dalal</w:t>
      </w:r>
      <w:proofErr w:type="spellEnd"/>
      <w:r w:rsidRPr="002D3BC7">
        <w:t xml:space="preserve">, </w:t>
      </w:r>
      <w:r>
        <w:t>“</w:t>
      </w:r>
      <w:r w:rsidRPr="00F40621">
        <w:t>The Behind-</w:t>
      </w:r>
      <w:r>
        <w:t>t</w:t>
      </w:r>
      <w:r w:rsidRPr="00F40621">
        <w:t xml:space="preserve">he-Scenes Story of </w:t>
      </w:r>
      <w:proofErr w:type="spellStart"/>
      <w:r w:rsidRPr="00F40621">
        <w:t>Sachin</w:t>
      </w:r>
      <w:proofErr w:type="spellEnd"/>
      <w:r w:rsidRPr="00F40621">
        <w:t xml:space="preserve"> Bansal’s Exit from Flipkart</w:t>
      </w:r>
      <w:r w:rsidRPr="002D3BC7">
        <w:rPr>
          <w:bCs/>
          <w:lang w:val="en-IN"/>
        </w:rPr>
        <w:t>,</w:t>
      </w:r>
      <w:r>
        <w:rPr>
          <w:bCs/>
          <w:lang w:val="en-IN"/>
        </w:rPr>
        <w:t xml:space="preserve">” Live </w:t>
      </w:r>
      <w:r w:rsidRPr="000C013A">
        <w:rPr>
          <w:bCs/>
          <w:iCs/>
          <w:lang w:val="en-IN"/>
        </w:rPr>
        <w:t>Mint</w:t>
      </w:r>
      <w:r w:rsidRPr="002D3BC7">
        <w:rPr>
          <w:bCs/>
          <w:lang w:val="en-IN"/>
        </w:rPr>
        <w:t xml:space="preserve">, May 18, 2018, accessed December 30, 2018, </w:t>
      </w:r>
      <w:r w:rsidRPr="00F65676">
        <w:rPr>
          <w:bCs/>
          <w:lang w:val="en-IN"/>
        </w:rPr>
        <w:t>www.livemint.com/Companies/9743fblAncsi4dbfOxCxRM/The-story-of-Sachin-Bansals-exit-from-Flipkart.html</w:t>
      </w:r>
      <w:r w:rsidRPr="002D3BC7">
        <w:rPr>
          <w:bCs/>
          <w:lang w:val="en-IN"/>
        </w:rPr>
        <w:t xml:space="preserve">; </w:t>
      </w:r>
      <w:proofErr w:type="spellStart"/>
      <w:r w:rsidRPr="002D3BC7">
        <w:rPr>
          <w:bCs/>
          <w:lang w:val="en-IN"/>
        </w:rPr>
        <w:t>Mihir</w:t>
      </w:r>
      <w:proofErr w:type="spellEnd"/>
      <w:r w:rsidRPr="002D3BC7">
        <w:rPr>
          <w:bCs/>
          <w:lang w:val="en-IN"/>
        </w:rPr>
        <w:t xml:space="preserve"> </w:t>
      </w:r>
      <w:proofErr w:type="spellStart"/>
      <w:r w:rsidRPr="002D3BC7">
        <w:rPr>
          <w:bCs/>
          <w:lang w:val="en-IN"/>
        </w:rPr>
        <w:t>Dalal</w:t>
      </w:r>
      <w:proofErr w:type="spellEnd"/>
      <w:r>
        <w:rPr>
          <w:bCs/>
          <w:lang w:val="en-IN"/>
        </w:rPr>
        <w:t xml:space="preserve"> and </w:t>
      </w:r>
      <w:proofErr w:type="spellStart"/>
      <w:r>
        <w:rPr>
          <w:bCs/>
          <w:lang w:val="en-IN"/>
        </w:rPr>
        <w:t>Shrutika</w:t>
      </w:r>
      <w:proofErr w:type="spellEnd"/>
      <w:r>
        <w:rPr>
          <w:bCs/>
          <w:lang w:val="en-IN"/>
        </w:rPr>
        <w:t xml:space="preserve"> </w:t>
      </w:r>
      <w:proofErr w:type="spellStart"/>
      <w:r>
        <w:rPr>
          <w:bCs/>
          <w:lang w:val="en-IN"/>
        </w:rPr>
        <w:t>Verma</w:t>
      </w:r>
      <w:proofErr w:type="spellEnd"/>
      <w:r w:rsidRPr="002D3BC7">
        <w:rPr>
          <w:bCs/>
          <w:lang w:val="en-IN"/>
        </w:rPr>
        <w:t xml:space="preserve">, </w:t>
      </w:r>
      <w:r>
        <w:rPr>
          <w:bCs/>
          <w:lang w:val="en-IN"/>
        </w:rPr>
        <w:t>“</w:t>
      </w:r>
      <w:r w:rsidRPr="002D3BC7">
        <w:rPr>
          <w:bCs/>
          <w:lang w:val="en-IN"/>
        </w:rPr>
        <w:t xml:space="preserve">Sachin Bansal: From </w:t>
      </w:r>
      <w:r>
        <w:rPr>
          <w:bCs/>
          <w:lang w:val="en-IN"/>
        </w:rPr>
        <w:t>O</w:t>
      </w:r>
      <w:r w:rsidRPr="002D3BC7">
        <w:rPr>
          <w:bCs/>
          <w:lang w:val="en-IN"/>
        </w:rPr>
        <w:t xml:space="preserve">utsized Flipkart </w:t>
      </w:r>
      <w:r>
        <w:rPr>
          <w:bCs/>
          <w:lang w:val="en-IN"/>
        </w:rPr>
        <w:t>P</w:t>
      </w:r>
      <w:r w:rsidRPr="002D3BC7">
        <w:rPr>
          <w:bCs/>
          <w:lang w:val="en-IN"/>
        </w:rPr>
        <w:t xml:space="preserve">resence to </w:t>
      </w:r>
      <w:r>
        <w:rPr>
          <w:bCs/>
          <w:lang w:val="en-IN"/>
        </w:rPr>
        <w:t>O</w:t>
      </w:r>
      <w:r w:rsidRPr="002D3BC7">
        <w:rPr>
          <w:bCs/>
          <w:lang w:val="en-IN"/>
        </w:rPr>
        <w:t>utcast</w:t>
      </w:r>
      <w:r>
        <w:rPr>
          <w:bCs/>
          <w:lang w:val="en-IN"/>
        </w:rPr>
        <w:t xml:space="preserve">,” Live </w:t>
      </w:r>
      <w:r w:rsidRPr="000C013A">
        <w:rPr>
          <w:bCs/>
          <w:iCs/>
          <w:lang w:val="en-IN"/>
        </w:rPr>
        <w:t>Mint</w:t>
      </w:r>
      <w:r>
        <w:rPr>
          <w:bCs/>
          <w:lang w:val="en-IN"/>
        </w:rPr>
        <w:t xml:space="preserve">, May 12, 2018, accessed December 30, 2018, </w:t>
      </w:r>
      <w:r w:rsidRPr="002D3BC7">
        <w:rPr>
          <w:bCs/>
          <w:lang w:val="en-IN"/>
        </w:rPr>
        <w:t>www.livemint.com/Companies/7TpoCOdT6RSoRlVVeZyptJ/Sachin-Bansals-changing-fortunes-From-outsized-Flipkart-pr.html</w:t>
      </w:r>
      <w:r>
        <w:rPr>
          <w:bCs/>
          <w:lang w:val="en-IN"/>
        </w:rPr>
        <w:t>.</w:t>
      </w:r>
    </w:p>
  </w:endnote>
  <w:endnote w:id="70">
    <w:p w14:paraId="68B74B98" w14:textId="1D97D9DB" w:rsidR="00D86C1E" w:rsidRPr="000A7F91" w:rsidRDefault="00D86C1E" w:rsidP="00647075">
      <w:pPr>
        <w:pStyle w:val="Footnote"/>
        <w:rPr>
          <w:bCs/>
        </w:rPr>
      </w:pPr>
      <w:r w:rsidRPr="003A0E54">
        <w:rPr>
          <w:rStyle w:val="EndnoteReference"/>
        </w:rPr>
        <w:endnoteRef/>
      </w:r>
      <w:r w:rsidRPr="000A7F91">
        <w:t xml:space="preserve"> </w:t>
      </w:r>
      <w:proofErr w:type="spellStart"/>
      <w:r w:rsidRPr="006639E5">
        <w:t>Varsha</w:t>
      </w:r>
      <w:proofErr w:type="spellEnd"/>
      <w:r w:rsidRPr="006639E5">
        <w:t xml:space="preserve"> Bansal</w:t>
      </w:r>
      <w:r>
        <w:t xml:space="preserve"> and </w:t>
      </w:r>
      <w:proofErr w:type="spellStart"/>
      <w:r>
        <w:t>Anirban</w:t>
      </w:r>
      <w:proofErr w:type="spellEnd"/>
      <w:r>
        <w:t xml:space="preserve"> Sen</w:t>
      </w:r>
      <w:r w:rsidRPr="006639E5">
        <w:t xml:space="preserve">, </w:t>
      </w:r>
      <w:r>
        <w:t>“</w:t>
      </w:r>
      <w:r w:rsidRPr="006639E5">
        <w:t xml:space="preserve">The </w:t>
      </w:r>
      <w:r>
        <w:t>R</w:t>
      </w:r>
      <w:r w:rsidRPr="006639E5">
        <w:t xml:space="preserve">ise and </w:t>
      </w:r>
      <w:r>
        <w:t>R</w:t>
      </w:r>
      <w:r w:rsidRPr="006639E5">
        <w:t xml:space="preserve">ise of Flipkart CEO </w:t>
      </w:r>
      <w:proofErr w:type="spellStart"/>
      <w:r w:rsidRPr="006639E5">
        <w:t>Kalyan</w:t>
      </w:r>
      <w:proofErr w:type="spellEnd"/>
      <w:r w:rsidRPr="006639E5">
        <w:t xml:space="preserve"> Krishnamurthy</w:t>
      </w:r>
      <w:r>
        <w:t xml:space="preserve">,” Live </w:t>
      </w:r>
      <w:r w:rsidRPr="000C013A">
        <w:rPr>
          <w:iCs/>
        </w:rPr>
        <w:t>Mint</w:t>
      </w:r>
      <w:r>
        <w:t xml:space="preserve">, November 15, 2018, accessed December 31, 2018, </w:t>
      </w:r>
      <w:r w:rsidRPr="006639E5">
        <w:t>www.livemint.com/Companies/XJt3yuzZU2exXQr6Zfeh3J/The-rise-and-rise-of-Flipkart-Group-CEO-Kalyan-Krishnamurthy.html</w:t>
      </w:r>
      <w:r w:rsidRPr="000A7F91">
        <w:rPr>
          <w:bCs/>
        </w:rPr>
        <w:t>.</w:t>
      </w:r>
    </w:p>
  </w:endnote>
  <w:endnote w:id="71">
    <w:p w14:paraId="5ADBF124" w14:textId="7F16A8A1" w:rsidR="00D86C1E" w:rsidRPr="000A7F91" w:rsidRDefault="00D86C1E" w:rsidP="00647075">
      <w:pPr>
        <w:pStyle w:val="Footnote"/>
        <w:rPr>
          <w:spacing w:val="-6"/>
        </w:rPr>
      </w:pPr>
      <w:r w:rsidRPr="003A0E54">
        <w:rPr>
          <w:rStyle w:val="EndnoteReference"/>
        </w:rPr>
        <w:endnoteRef/>
      </w:r>
      <w:r w:rsidRPr="000A7F91">
        <w:rPr>
          <w:spacing w:val="-6"/>
        </w:rPr>
        <w:t xml:space="preserve"> </w:t>
      </w:r>
      <w:proofErr w:type="spellStart"/>
      <w:r w:rsidRPr="00105F23">
        <w:t>Venkatesh</w:t>
      </w:r>
      <w:proofErr w:type="spellEnd"/>
      <w:r w:rsidRPr="00105F23">
        <w:t xml:space="preserve"> Ganesh, </w:t>
      </w:r>
      <w:r>
        <w:t>“</w:t>
      </w:r>
      <w:r w:rsidRPr="00FE39B4">
        <w:t>For Flipkart Staff, Some Cheer, Some Anxiety</w:t>
      </w:r>
      <w:r>
        <w:t xml:space="preserve">,” </w:t>
      </w:r>
      <w:r w:rsidRPr="00DC302A">
        <w:rPr>
          <w:i/>
        </w:rPr>
        <w:t>Hindu Business Line</w:t>
      </w:r>
      <w:r>
        <w:t xml:space="preserve">, May 9, 2018, accessed December 31, 2018, </w:t>
      </w:r>
      <w:r w:rsidRPr="00105F23">
        <w:t>www.thehindubusinessline.com/companies/for-flipkart-staff-some-cheer-some-anxiety-over-walmart-deal/article23828557.ece</w:t>
      </w:r>
      <w:r w:rsidRPr="000A7F91">
        <w:rPr>
          <w:spacing w:val="-6"/>
        </w:rPr>
        <w:t>.</w:t>
      </w:r>
    </w:p>
  </w:endnote>
  <w:endnote w:id="72">
    <w:p w14:paraId="42BED3A3" w14:textId="262D6BBB" w:rsidR="00D86C1E" w:rsidRPr="00647075" w:rsidRDefault="00D86C1E" w:rsidP="00647075">
      <w:pPr>
        <w:pStyle w:val="Footnote"/>
        <w:rPr>
          <w:lang w:val="en-GB"/>
        </w:rPr>
      </w:pPr>
      <w:r w:rsidRPr="003A0E54">
        <w:rPr>
          <w:rStyle w:val="EndnoteReference"/>
        </w:rPr>
        <w:endnoteRef/>
      </w:r>
      <w:r w:rsidRPr="000A7F91">
        <w:t xml:space="preserve"> Ibid.</w:t>
      </w:r>
      <w:r>
        <w:rPr>
          <w:lang w:val="en-GB"/>
        </w:rPr>
        <w:t xml:space="preserve"> </w:t>
      </w:r>
    </w:p>
  </w:endnote>
  <w:endnote w:id="73">
    <w:p w14:paraId="2DC9DAB9" w14:textId="7EF36D71" w:rsidR="00D86C1E" w:rsidRPr="00B770FC" w:rsidRDefault="00D86C1E" w:rsidP="00647075">
      <w:pPr>
        <w:pStyle w:val="Footnote"/>
        <w:rPr>
          <w:bCs/>
          <w:spacing w:val="-4"/>
        </w:rPr>
      </w:pPr>
      <w:r w:rsidRPr="00B770FC">
        <w:rPr>
          <w:rStyle w:val="EndnoteReference"/>
          <w:spacing w:val="-4"/>
        </w:rPr>
        <w:endnoteRef/>
      </w:r>
      <w:r w:rsidRPr="00B770FC">
        <w:rPr>
          <w:spacing w:val="-4"/>
        </w:rPr>
        <w:t xml:space="preserve"> </w:t>
      </w:r>
      <w:proofErr w:type="spellStart"/>
      <w:r w:rsidRPr="00B770FC">
        <w:rPr>
          <w:spacing w:val="-4"/>
        </w:rPr>
        <w:t>Mihir</w:t>
      </w:r>
      <w:proofErr w:type="spellEnd"/>
      <w:r w:rsidRPr="00B770FC">
        <w:rPr>
          <w:spacing w:val="-4"/>
        </w:rPr>
        <w:t xml:space="preserve"> </w:t>
      </w:r>
      <w:proofErr w:type="spellStart"/>
      <w:r w:rsidRPr="00B770FC">
        <w:rPr>
          <w:spacing w:val="-4"/>
        </w:rPr>
        <w:t>Dalal</w:t>
      </w:r>
      <w:proofErr w:type="spellEnd"/>
      <w:r w:rsidRPr="00B770FC">
        <w:rPr>
          <w:spacing w:val="-4"/>
        </w:rPr>
        <w:t xml:space="preserve">, “Flipkart’s ESOPs Fable Has a Bitter Twist for Ex-Employees,” Live </w:t>
      </w:r>
      <w:r w:rsidRPr="00B770FC">
        <w:rPr>
          <w:iCs/>
          <w:spacing w:val="-4"/>
        </w:rPr>
        <w:t>Mint</w:t>
      </w:r>
      <w:r w:rsidRPr="00B770FC">
        <w:rPr>
          <w:spacing w:val="-4"/>
        </w:rPr>
        <w:t>, May 15, 2018, accessed December 31, 2018, www.livemint.com/Companies/RjrjCOa9DlC243NERlIMhL/Flipkarts-ESOPs-fable-has-a-bitter-twist-for-ex-employees.html</w:t>
      </w:r>
      <w:r w:rsidRPr="00B770FC">
        <w:rPr>
          <w:bCs/>
          <w:spacing w:val="-4"/>
        </w:rPr>
        <w:t>.</w:t>
      </w:r>
    </w:p>
  </w:endnote>
  <w:endnote w:id="74">
    <w:p w14:paraId="33D8C220" w14:textId="426B4E2D" w:rsidR="00D86C1E" w:rsidRPr="000A7F91" w:rsidRDefault="00D86C1E" w:rsidP="00647075">
      <w:pPr>
        <w:pStyle w:val="Footnote"/>
      </w:pPr>
      <w:r w:rsidRPr="003A0E54">
        <w:rPr>
          <w:rStyle w:val="EndnoteReference"/>
        </w:rPr>
        <w:endnoteRef/>
      </w:r>
      <w:r w:rsidRPr="000A7F91">
        <w:t xml:space="preserve"> </w:t>
      </w:r>
      <w:r w:rsidRPr="00CF5634">
        <w:t xml:space="preserve">Mitchell Lee Marks and Philip H. </w:t>
      </w:r>
      <w:proofErr w:type="spellStart"/>
      <w:r w:rsidRPr="00CF5634">
        <w:t>Mirvis</w:t>
      </w:r>
      <w:proofErr w:type="spellEnd"/>
      <w:r w:rsidRPr="00CF5634">
        <w:t xml:space="preserve">, </w:t>
      </w:r>
      <w:r>
        <w:t>“</w:t>
      </w:r>
      <w:r w:rsidRPr="007F3325">
        <w:t>A Framework for the Human Resources Role in Managing Culture in Mergers and Acquisitions</w:t>
      </w:r>
      <w:r w:rsidRPr="00CF5634">
        <w:t>,</w:t>
      </w:r>
      <w:r>
        <w:t>”</w:t>
      </w:r>
      <w:r w:rsidRPr="00CF5634">
        <w:t xml:space="preserve"> </w:t>
      </w:r>
      <w:r w:rsidRPr="000C013A">
        <w:rPr>
          <w:i/>
          <w:iCs/>
        </w:rPr>
        <w:t>Human Resources Management</w:t>
      </w:r>
      <w:r w:rsidRPr="00CF5634">
        <w:t xml:space="preserve"> 50</w:t>
      </w:r>
      <w:r>
        <w:t>,</w:t>
      </w:r>
      <w:r w:rsidRPr="00CF5634">
        <w:t xml:space="preserve"> </w:t>
      </w:r>
      <w:r>
        <w:t>n</w:t>
      </w:r>
      <w:r w:rsidRPr="00CF5634">
        <w:t>o. 6</w:t>
      </w:r>
      <w:r>
        <w:t xml:space="preserve"> (2011):</w:t>
      </w:r>
      <w:r w:rsidRPr="00CF5634">
        <w:t xml:space="preserve"> 859</w:t>
      </w:r>
      <w:r>
        <w:t>–</w:t>
      </w:r>
      <w:r w:rsidRPr="00CF5634">
        <w:t>877</w:t>
      </w:r>
      <w:r w:rsidRPr="000A7F91">
        <w:t xml:space="preserve">. </w:t>
      </w:r>
    </w:p>
  </w:endnote>
  <w:endnote w:id="75">
    <w:p w14:paraId="1D9C1414" w14:textId="7637147F" w:rsidR="00D86C1E" w:rsidRPr="000A7F91" w:rsidRDefault="00D86C1E" w:rsidP="00647075">
      <w:pPr>
        <w:pStyle w:val="Footnote"/>
      </w:pPr>
      <w:r w:rsidRPr="003A0E54">
        <w:rPr>
          <w:rStyle w:val="EndnoteReference"/>
        </w:rPr>
        <w:endnoteRef/>
      </w:r>
      <w:r w:rsidRPr="000A7F91">
        <w:t xml:space="preserve"> </w:t>
      </w:r>
      <w:proofErr w:type="spellStart"/>
      <w:r w:rsidRPr="00CF5634">
        <w:t>Athira</w:t>
      </w:r>
      <w:proofErr w:type="spellEnd"/>
      <w:r w:rsidRPr="00CF5634">
        <w:t xml:space="preserve"> Nair, </w:t>
      </w:r>
      <w:r>
        <w:t>“</w:t>
      </w:r>
      <w:r w:rsidRPr="00CF5634">
        <w:t>Flipkart</w:t>
      </w:r>
      <w:r>
        <w:t>–</w:t>
      </w:r>
      <w:r w:rsidRPr="00CF5634">
        <w:t xml:space="preserve">Walmart: </w:t>
      </w:r>
      <w:r w:rsidRPr="009772AF">
        <w:t>How Will Work Culture Change for the Alliance</w:t>
      </w:r>
      <w:proofErr w:type="gramStart"/>
      <w:r w:rsidRPr="00CF5634">
        <w:t>?</w:t>
      </w:r>
      <w:r>
        <w:t>,</w:t>
      </w:r>
      <w:proofErr w:type="gramEnd"/>
      <w:r>
        <w:t>”</w:t>
      </w:r>
      <w:r w:rsidRPr="00CF5634">
        <w:t xml:space="preserve"> Your Story, June 11, 2018, accessed December 31, 2018, https://yourstory.com/2018/06/flipkart-walmart-will-work-culture-change-alliance</w:t>
      </w:r>
      <w:r w:rsidRPr="000A7F91">
        <w:t>.</w:t>
      </w:r>
    </w:p>
  </w:endnote>
  <w:endnote w:id="76">
    <w:p w14:paraId="1B183520" w14:textId="1133B093" w:rsidR="00D86C1E" w:rsidRPr="000A7F91" w:rsidRDefault="00D86C1E" w:rsidP="00647075">
      <w:pPr>
        <w:pStyle w:val="Footnote"/>
        <w:rPr>
          <w:bCs/>
          <w:spacing w:val="-2"/>
          <w:lang w:val="en-IN"/>
        </w:rPr>
      </w:pPr>
      <w:r w:rsidRPr="003A0E54">
        <w:rPr>
          <w:rStyle w:val="EndnoteReference"/>
        </w:rPr>
        <w:endnoteRef/>
      </w:r>
      <w:r w:rsidRPr="000A7F91">
        <w:rPr>
          <w:spacing w:val="-2"/>
        </w:rPr>
        <w:t xml:space="preserve"> “</w:t>
      </w:r>
      <w:r w:rsidRPr="005B48FA">
        <w:t xml:space="preserve"> </w:t>
      </w:r>
      <w:r w:rsidRPr="000A7F91">
        <w:t xml:space="preserve">Walmart </w:t>
      </w:r>
      <w:r>
        <w:t>A</w:t>
      </w:r>
      <w:r w:rsidRPr="000A7F91">
        <w:t xml:space="preserve">cquires Flipkart for $16 </w:t>
      </w:r>
      <w:r>
        <w:t>B</w:t>
      </w:r>
      <w:r w:rsidRPr="000A7F91">
        <w:t>illion</w:t>
      </w:r>
      <w:r w:rsidRPr="000A7F91">
        <w:rPr>
          <w:spacing w:val="-2"/>
        </w:rPr>
        <w:t xml:space="preserve">,” op. </w:t>
      </w:r>
      <w:proofErr w:type="spellStart"/>
      <w:r w:rsidRPr="000A7F91">
        <w:rPr>
          <w:spacing w:val="-2"/>
        </w:rPr>
        <w:t>cit</w:t>
      </w:r>
      <w:proofErr w:type="spellEnd"/>
      <w:r>
        <w:rPr>
          <w:spacing w:val="-2"/>
          <w:lang w:val="en-GB"/>
        </w:rPr>
        <w:t>.</w:t>
      </w:r>
      <w:r w:rsidRPr="000A7F91">
        <w:rPr>
          <w:spacing w:val="-2"/>
        </w:rPr>
        <w:t xml:space="preserve">; </w:t>
      </w:r>
      <w:proofErr w:type="spellStart"/>
      <w:r w:rsidRPr="009D11EC">
        <w:t>Itika</w:t>
      </w:r>
      <w:proofErr w:type="spellEnd"/>
      <w:r w:rsidRPr="009D11EC">
        <w:t xml:space="preserve"> Sharma </w:t>
      </w:r>
      <w:proofErr w:type="spellStart"/>
      <w:r w:rsidRPr="009D11EC">
        <w:t>Punit</w:t>
      </w:r>
      <w:proofErr w:type="spellEnd"/>
      <w:r w:rsidRPr="009D11EC">
        <w:t xml:space="preserve">, </w:t>
      </w:r>
      <w:r>
        <w:t>“</w:t>
      </w:r>
      <w:r w:rsidRPr="009D11EC">
        <w:rPr>
          <w:bCs/>
          <w:lang w:val="en-IN"/>
        </w:rPr>
        <w:t xml:space="preserve">Walmart </w:t>
      </w:r>
      <w:r w:rsidR="00C1736C">
        <w:rPr>
          <w:bCs/>
          <w:lang w:val="en-IN"/>
        </w:rPr>
        <w:t>I</w:t>
      </w:r>
      <w:r w:rsidRPr="009D11EC">
        <w:rPr>
          <w:bCs/>
          <w:lang w:val="en-IN"/>
        </w:rPr>
        <w:t xml:space="preserve">s </w:t>
      </w:r>
      <w:r>
        <w:rPr>
          <w:bCs/>
          <w:lang w:val="en-IN"/>
        </w:rPr>
        <w:t>B</w:t>
      </w:r>
      <w:r w:rsidRPr="009D11EC">
        <w:rPr>
          <w:bCs/>
          <w:lang w:val="en-IN"/>
        </w:rPr>
        <w:t>uying India</w:t>
      </w:r>
      <w:r>
        <w:rPr>
          <w:bCs/>
          <w:lang w:val="en-IN"/>
        </w:rPr>
        <w:t>’</w:t>
      </w:r>
      <w:r w:rsidRPr="009D11EC">
        <w:rPr>
          <w:bCs/>
          <w:lang w:val="en-IN"/>
        </w:rPr>
        <w:t xml:space="preserve">s Flipkart in a $16 </w:t>
      </w:r>
      <w:r>
        <w:rPr>
          <w:bCs/>
          <w:lang w:val="en-IN"/>
        </w:rPr>
        <w:t>B</w:t>
      </w:r>
      <w:r w:rsidRPr="009D11EC">
        <w:rPr>
          <w:bCs/>
          <w:lang w:val="en-IN"/>
        </w:rPr>
        <w:t xml:space="preserve">illion </w:t>
      </w:r>
      <w:r>
        <w:rPr>
          <w:bCs/>
          <w:lang w:val="en-IN"/>
        </w:rPr>
        <w:t>D</w:t>
      </w:r>
      <w:r w:rsidRPr="009D11EC">
        <w:rPr>
          <w:bCs/>
          <w:lang w:val="en-IN"/>
        </w:rPr>
        <w:t>eal</w:t>
      </w:r>
      <w:r>
        <w:rPr>
          <w:bCs/>
          <w:lang w:val="en-IN"/>
        </w:rPr>
        <w:t xml:space="preserve">,” </w:t>
      </w:r>
      <w:r w:rsidRPr="000C013A">
        <w:rPr>
          <w:bCs/>
          <w:iCs/>
          <w:lang w:val="en-IN"/>
        </w:rPr>
        <w:t>Quartz</w:t>
      </w:r>
      <w:r>
        <w:rPr>
          <w:bCs/>
          <w:lang w:val="en-IN"/>
        </w:rPr>
        <w:t xml:space="preserve"> India, May 9, 2018, accessed December 31, 2018, </w:t>
      </w:r>
      <w:r w:rsidRPr="00F65676">
        <w:rPr>
          <w:bCs/>
          <w:lang w:val="en-IN"/>
        </w:rPr>
        <w:t>https://qz.com/india/1270468/walmart-is-buying-indias-flipkart-softbank-ceo-confirms-deal</w:t>
      </w:r>
      <w:r w:rsidRPr="000A7F91">
        <w:rPr>
          <w:bCs/>
          <w:spacing w:val="-2"/>
          <w:lang w:val="en-IN"/>
        </w:rPr>
        <w:t xml:space="preserve">; </w:t>
      </w:r>
      <w:r>
        <w:rPr>
          <w:bCs/>
          <w:lang w:val="en-IN"/>
        </w:rPr>
        <w:t xml:space="preserve">“Flipkart Won’t Become Walmart: Walmart CEO,” </w:t>
      </w:r>
      <w:r w:rsidRPr="000B715F">
        <w:rPr>
          <w:bCs/>
          <w:i/>
          <w:lang w:val="en-IN"/>
        </w:rPr>
        <w:t>Economic Times</w:t>
      </w:r>
      <w:r>
        <w:rPr>
          <w:bCs/>
          <w:lang w:val="en-IN"/>
        </w:rPr>
        <w:t xml:space="preserve">, May 10, 2018, accessed December 27, 2018, </w:t>
      </w:r>
      <w:r w:rsidRPr="003F06FB">
        <w:rPr>
          <w:bCs/>
          <w:lang w:val="en-IN"/>
        </w:rPr>
        <w:t>https://economictimes.indiatimes.com/industry/services/retail/flipkart-wont-become-walkart-walmart-ceo/articleshow/64105702.cms</w:t>
      </w:r>
      <w:r w:rsidRPr="000A7F91">
        <w:rPr>
          <w:bCs/>
          <w:spacing w:val="-2"/>
          <w:lang w:val="en-IN"/>
        </w:rPr>
        <w:t>.</w:t>
      </w:r>
    </w:p>
  </w:endnote>
  <w:endnote w:id="77">
    <w:p w14:paraId="2B9E3CEE" w14:textId="669332FD" w:rsidR="00D86C1E" w:rsidRPr="000A7F91" w:rsidRDefault="00D86C1E" w:rsidP="00647075">
      <w:pPr>
        <w:pStyle w:val="Footnote"/>
      </w:pPr>
      <w:r w:rsidRPr="003A0E54">
        <w:rPr>
          <w:rStyle w:val="EndnoteReference"/>
        </w:rPr>
        <w:endnoteRef/>
      </w:r>
      <w:r w:rsidRPr="000A7F91">
        <w:t xml:space="preserve"> “Walmart CEO Doug McMillon </w:t>
      </w:r>
      <w:r>
        <w:t>A</w:t>
      </w:r>
      <w:r w:rsidRPr="000A7F91">
        <w:t xml:space="preserve">ddresses Flipkart </w:t>
      </w:r>
      <w:r>
        <w:t>S</w:t>
      </w:r>
      <w:r w:rsidRPr="000A7F91">
        <w:t xml:space="preserve">taff; </w:t>
      </w:r>
      <w:r>
        <w:t>S</w:t>
      </w:r>
      <w:r w:rsidRPr="000A7F91">
        <w:t xml:space="preserve">ays </w:t>
      </w:r>
      <w:r>
        <w:t>D</w:t>
      </w:r>
      <w:r w:rsidRPr="000A7F91">
        <w:t xml:space="preserve">eal </w:t>
      </w:r>
      <w:r w:rsidR="00D8509D">
        <w:t>a</w:t>
      </w:r>
      <w:r w:rsidRPr="000A7F91">
        <w:t xml:space="preserve">mong </w:t>
      </w:r>
      <w:r>
        <w:t>B</w:t>
      </w:r>
      <w:r w:rsidRPr="000A7F91">
        <w:t xml:space="preserve">est </w:t>
      </w:r>
      <w:r>
        <w:t>D</w:t>
      </w:r>
      <w:r w:rsidRPr="000A7F91">
        <w:t xml:space="preserve">ecisions,” </w:t>
      </w:r>
      <w:r w:rsidRPr="000A7F91">
        <w:rPr>
          <w:i/>
        </w:rPr>
        <w:t>Economic Times</w:t>
      </w:r>
      <w:r w:rsidRPr="000A7F91">
        <w:t>, May 9, 2018, accessed December 31, 2018, https://economictimes.indiatimes.com/industry/services/retail/walmart-ceo-doug-mcmillon-addresses-flipkart-staff-says-deal-among-best-decisions/articleshow/64098968.cms</w:t>
      </w:r>
      <w:r>
        <w:t>.</w:t>
      </w:r>
    </w:p>
  </w:endnote>
  <w:endnote w:id="78">
    <w:p w14:paraId="7094321A" w14:textId="08A06A7B" w:rsidR="00D86C1E" w:rsidRPr="00647075" w:rsidRDefault="00D86C1E" w:rsidP="00647075">
      <w:pPr>
        <w:pStyle w:val="Footnote"/>
        <w:rPr>
          <w:lang w:val="en-GB"/>
        </w:rPr>
      </w:pPr>
      <w:r w:rsidRPr="003A0E54">
        <w:rPr>
          <w:rStyle w:val="EndnoteReference"/>
        </w:rPr>
        <w:endnoteRef/>
      </w:r>
      <w:r w:rsidRPr="000A7F91">
        <w:t xml:space="preserve"> Marks and </w:t>
      </w:r>
      <w:proofErr w:type="spellStart"/>
      <w:r w:rsidRPr="000A7F91">
        <w:t>Mirvis</w:t>
      </w:r>
      <w:proofErr w:type="spellEnd"/>
      <w:r w:rsidRPr="000A7F91">
        <w:t>, op. cit.</w:t>
      </w:r>
      <w:r>
        <w:rPr>
          <w:lang w:val="en-GB"/>
        </w:rPr>
        <w:t xml:space="preserve"> </w:t>
      </w:r>
    </w:p>
  </w:endnote>
  <w:endnote w:id="79">
    <w:p w14:paraId="0052FFC4" w14:textId="0BA8A5DE" w:rsidR="00D86C1E" w:rsidRPr="000A7F91" w:rsidRDefault="00D86C1E" w:rsidP="00647075">
      <w:pPr>
        <w:pStyle w:val="Footnote"/>
      </w:pPr>
      <w:r w:rsidRPr="003A0E54">
        <w:rPr>
          <w:rStyle w:val="EndnoteReference"/>
        </w:rPr>
        <w:endnoteRef/>
      </w:r>
      <w:r w:rsidRPr="000A7F91">
        <w:t xml:space="preserve"> </w:t>
      </w:r>
      <w:proofErr w:type="spellStart"/>
      <w:r w:rsidRPr="00CF5634">
        <w:t>Elina</w:t>
      </w:r>
      <w:proofErr w:type="spellEnd"/>
      <w:r w:rsidRPr="00CF5634">
        <w:t xml:space="preserve"> M. </w:t>
      </w:r>
      <w:proofErr w:type="spellStart"/>
      <w:r w:rsidRPr="00CF5634">
        <w:t>Antila</w:t>
      </w:r>
      <w:proofErr w:type="spellEnd"/>
      <w:r w:rsidRPr="00CF5634">
        <w:t xml:space="preserve">, </w:t>
      </w:r>
      <w:r>
        <w:t>“</w:t>
      </w:r>
      <w:r w:rsidRPr="00453C0F">
        <w:t>The Role of HR Managers in International Mergers and Acquisitions: A Multiple Case Study</w:t>
      </w:r>
      <w:r w:rsidRPr="00CF5634">
        <w:t>,</w:t>
      </w:r>
      <w:r>
        <w:t>”</w:t>
      </w:r>
      <w:r w:rsidRPr="00CF5634">
        <w:t xml:space="preserve"> </w:t>
      </w:r>
      <w:r w:rsidRPr="000C013A">
        <w:rPr>
          <w:i/>
          <w:iCs/>
        </w:rPr>
        <w:t>International Journal of Human Resource Management</w:t>
      </w:r>
      <w:r w:rsidRPr="00CF5634">
        <w:t xml:space="preserve"> 17</w:t>
      </w:r>
      <w:r>
        <w:t>,</w:t>
      </w:r>
      <w:r w:rsidRPr="00CF5634">
        <w:t xml:space="preserve"> </w:t>
      </w:r>
      <w:r>
        <w:t>n</w:t>
      </w:r>
      <w:r w:rsidRPr="00CF5634">
        <w:t>o. 6</w:t>
      </w:r>
      <w:r>
        <w:t xml:space="preserve"> (2006): </w:t>
      </w:r>
      <w:r w:rsidRPr="00CF5634">
        <w:t>999</w:t>
      </w:r>
      <w:r>
        <w:t>–</w:t>
      </w:r>
      <w:r w:rsidRPr="00CF5634">
        <w:t>1020</w:t>
      </w:r>
      <w:r w:rsidRPr="000A7F91">
        <w:t xml:space="preserve">; </w:t>
      </w:r>
      <w:r w:rsidRPr="00CF5634">
        <w:rPr>
          <w:lang w:val="en-IN"/>
        </w:rPr>
        <w:t>José-Luis Rodríguez-Sánchez, Eva-</w:t>
      </w:r>
      <w:proofErr w:type="spellStart"/>
      <w:r w:rsidRPr="00CF5634">
        <w:rPr>
          <w:lang w:val="en-IN"/>
        </w:rPr>
        <w:t>María</w:t>
      </w:r>
      <w:proofErr w:type="spellEnd"/>
      <w:r w:rsidRPr="00CF5634">
        <w:rPr>
          <w:lang w:val="en-IN"/>
        </w:rPr>
        <w:t xml:space="preserve"> Mora-</w:t>
      </w:r>
      <w:proofErr w:type="spellStart"/>
      <w:r w:rsidRPr="00CF5634">
        <w:rPr>
          <w:lang w:val="en-IN"/>
        </w:rPr>
        <w:t>Valentín</w:t>
      </w:r>
      <w:proofErr w:type="spellEnd"/>
      <w:r w:rsidRPr="00CF5634">
        <w:rPr>
          <w:lang w:val="en-IN"/>
        </w:rPr>
        <w:t xml:space="preserve">, </w:t>
      </w:r>
      <w:r w:rsidR="007978C3">
        <w:rPr>
          <w:lang w:val="en-IN"/>
        </w:rPr>
        <w:t xml:space="preserve">and </w:t>
      </w:r>
      <w:r w:rsidRPr="00CF5634">
        <w:rPr>
          <w:lang w:val="en-IN"/>
        </w:rPr>
        <w:t>Marta Ortiz-de-Urbina-</w:t>
      </w:r>
      <w:proofErr w:type="spellStart"/>
      <w:r w:rsidRPr="00CF5634">
        <w:rPr>
          <w:lang w:val="en-IN"/>
        </w:rPr>
        <w:t>Criado</w:t>
      </w:r>
      <w:proofErr w:type="spellEnd"/>
      <w:r w:rsidRPr="00CF5634">
        <w:rPr>
          <w:lang w:val="en-IN"/>
        </w:rPr>
        <w:t xml:space="preserve">, </w:t>
      </w:r>
      <w:r>
        <w:rPr>
          <w:lang w:val="en-IN"/>
        </w:rPr>
        <w:t>“</w:t>
      </w:r>
      <w:r w:rsidRPr="00CF5634">
        <w:rPr>
          <w:lang w:val="en-IN"/>
        </w:rPr>
        <w:t>Successful Human Resources Management Factors in International Mergers and Acquisitions,</w:t>
      </w:r>
      <w:r>
        <w:rPr>
          <w:lang w:val="en-IN"/>
        </w:rPr>
        <w:t xml:space="preserve">” </w:t>
      </w:r>
      <w:r w:rsidRPr="000C013A">
        <w:rPr>
          <w:i/>
          <w:iCs/>
          <w:lang w:val="en-IN"/>
        </w:rPr>
        <w:t>Administrative Sciences</w:t>
      </w:r>
      <w:r>
        <w:rPr>
          <w:lang w:val="en-IN"/>
        </w:rPr>
        <w:t xml:space="preserve"> </w:t>
      </w:r>
      <w:r w:rsidRPr="00CF5634">
        <w:rPr>
          <w:lang w:val="en-IN"/>
        </w:rPr>
        <w:t>8</w:t>
      </w:r>
      <w:r w:rsidR="00C1736C">
        <w:rPr>
          <w:lang w:val="en-IN"/>
        </w:rPr>
        <w:t>,</w:t>
      </w:r>
      <w:r w:rsidRPr="00CF5634">
        <w:rPr>
          <w:lang w:val="en-IN"/>
        </w:rPr>
        <w:t xml:space="preserve"> </w:t>
      </w:r>
      <w:r>
        <w:rPr>
          <w:lang w:val="en-IN"/>
        </w:rPr>
        <w:t>n</w:t>
      </w:r>
      <w:r w:rsidRPr="00CF5634">
        <w:rPr>
          <w:lang w:val="en-IN"/>
        </w:rPr>
        <w:t>o. 3</w:t>
      </w:r>
      <w:r>
        <w:rPr>
          <w:lang w:val="en-IN"/>
        </w:rPr>
        <w:t xml:space="preserve"> (</w:t>
      </w:r>
      <w:r w:rsidRPr="00CF5634">
        <w:rPr>
          <w:lang w:val="en-IN"/>
        </w:rPr>
        <w:t>2018</w:t>
      </w:r>
      <w:r>
        <w:rPr>
          <w:lang w:val="en-IN"/>
        </w:rPr>
        <w:t xml:space="preserve">): </w:t>
      </w:r>
      <w:r w:rsidRPr="00CF5634">
        <w:rPr>
          <w:lang w:val="en-IN"/>
        </w:rPr>
        <w:t>1</w:t>
      </w:r>
      <w:r>
        <w:rPr>
          <w:lang w:val="en-IN"/>
        </w:rPr>
        <w:t>–</w:t>
      </w:r>
      <w:r w:rsidRPr="00CF5634">
        <w:rPr>
          <w:lang w:val="en-IN"/>
        </w:rPr>
        <w:t>15</w:t>
      </w:r>
      <w:r w:rsidRPr="000A7F91">
        <w:rPr>
          <w:shd w:val="clear" w:color="auto" w:fill="FFFFFF"/>
          <w:lang w:eastAsia="en-IN"/>
        </w:rPr>
        <w:t>.</w:t>
      </w:r>
    </w:p>
  </w:endnote>
  <w:endnote w:id="80">
    <w:p w14:paraId="1A47AE7C" w14:textId="57C76845" w:rsidR="00D86C1E" w:rsidRDefault="00D86C1E" w:rsidP="000B3186">
      <w:pPr>
        <w:pStyle w:val="Footnote"/>
      </w:pPr>
      <w:r>
        <w:rPr>
          <w:rStyle w:val="EndnoteReference"/>
        </w:rPr>
        <w:endnoteRef/>
      </w:r>
      <w:r>
        <w:t xml:space="preserve"> </w:t>
      </w:r>
      <w:r w:rsidRPr="000A7F91">
        <w:t xml:space="preserve">Marks and </w:t>
      </w:r>
      <w:proofErr w:type="spellStart"/>
      <w:r w:rsidRPr="000A7F91">
        <w:t>Mirvis</w:t>
      </w:r>
      <w:proofErr w:type="spellEnd"/>
      <w:r w:rsidRPr="000A7F91">
        <w:t xml:space="preserve">, </w:t>
      </w:r>
      <w:r>
        <w:t>op. cit</w:t>
      </w:r>
      <w:r w:rsidRPr="000A7F91">
        <w:t>.</w:t>
      </w:r>
    </w:p>
  </w:endnote>
  <w:endnote w:id="81">
    <w:p w14:paraId="445C05D3" w14:textId="0BA7A53A" w:rsidR="00D86C1E" w:rsidRDefault="00D86C1E" w:rsidP="000B3186">
      <w:pPr>
        <w:pStyle w:val="Footnote"/>
      </w:pPr>
      <w:r>
        <w:rPr>
          <w:rStyle w:val="EndnoteReference"/>
        </w:rPr>
        <w:endnoteRef/>
      </w:r>
      <w:r>
        <w:t xml:space="preserve"> Ibid.</w:t>
      </w:r>
    </w:p>
  </w:endnote>
  <w:endnote w:id="82">
    <w:p w14:paraId="02269344" w14:textId="2A9B30D3" w:rsidR="00D86C1E" w:rsidRPr="00647075" w:rsidRDefault="00D86C1E" w:rsidP="000B3186">
      <w:pPr>
        <w:pStyle w:val="Footnote"/>
        <w:rPr>
          <w:lang w:val="en-GB"/>
        </w:rPr>
      </w:pPr>
      <w:r w:rsidRPr="003A0E54">
        <w:rPr>
          <w:rStyle w:val="EndnoteReference"/>
        </w:rPr>
        <w:endnoteRef/>
      </w:r>
      <w:r>
        <w:rPr>
          <w:lang w:val="en-GB"/>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8FAB" w14:textId="77777777" w:rsidR="005437B4" w:rsidRDefault="00543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95F25" w14:textId="77777777" w:rsidR="005437B4" w:rsidRDefault="00543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8825" w14:textId="77777777" w:rsidR="005437B4" w:rsidRDefault="00543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A5892" w14:textId="77777777" w:rsidR="00CA09F5" w:rsidRDefault="00CA09F5" w:rsidP="00D75295">
      <w:r>
        <w:separator/>
      </w:r>
    </w:p>
  </w:footnote>
  <w:footnote w:type="continuationSeparator" w:id="0">
    <w:p w14:paraId="486006CF" w14:textId="77777777" w:rsidR="00CA09F5" w:rsidRDefault="00CA09F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7F307" w14:textId="77777777" w:rsidR="005437B4" w:rsidRDefault="00543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084AA65" w:rsidR="00D86C1E" w:rsidRPr="00245979" w:rsidRDefault="00D86C1E" w:rsidP="001C7777">
    <w:pPr>
      <w:pBdr>
        <w:bottom w:val="single" w:sz="18" w:space="1" w:color="auto"/>
      </w:pBdr>
      <w:tabs>
        <w:tab w:val="left" w:pos="-1440"/>
        <w:tab w:val="left" w:pos="-720"/>
        <w:tab w:val="right" w:pos="9360"/>
      </w:tabs>
      <w:rPr>
        <w:sz w:val="20"/>
        <w:szCs w:val="20"/>
      </w:rPr>
    </w:pPr>
    <w:r w:rsidRPr="00245979">
      <w:rPr>
        <w:rFonts w:ascii="Arial" w:hAnsi="Arial"/>
        <w:b/>
        <w:sz w:val="20"/>
        <w:szCs w:val="20"/>
      </w:rPr>
      <w:t xml:space="preserve">Page </w:t>
    </w:r>
    <w:r w:rsidRPr="00245979">
      <w:rPr>
        <w:rFonts w:ascii="Arial" w:hAnsi="Arial"/>
        <w:b/>
        <w:sz w:val="20"/>
        <w:szCs w:val="20"/>
      </w:rPr>
      <w:fldChar w:fldCharType="begin"/>
    </w:r>
    <w:r w:rsidRPr="00245979">
      <w:rPr>
        <w:rFonts w:ascii="Arial" w:hAnsi="Arial"/>
        <w:b/>
        <w:sz w:val="20"/>
        <w:szCs w:val="20"/>
      </w:rPr>
      <w:instrText>PAGE</w:instrText>
    </w:r>
    <w:r w:rsidRPr="00245979">
      <w:rPr>
        <w:rFonts w:ascii="Arial" w:hAnsi="Arial"/>
        <w:b/>
        <w:sz w:val="20"/>
        <w:szCs w:val="20"/>
      </w:rPr>
      <w:fldChar w:fldCharType="separate"/>
    </w:r>
    <w:r w:rsidR="007F1E8C">
      <w:rPr>
        <w:rFonts w:ascii="Arial" w:hAnsi="Arial"/>
        <w:b/>
        <w:noProof/>
        <w:sz w:val="20"/>
        <w:szCs w:val="20"/>
      </w:rPr>
      <w:t>15</w:t>
    </w:r>
    <w:r w:rsidRPr="00245979">
      <w:rPr>
        <w:rFonts w:ascii="Arial" w:hAnsi="Arial"/>
        <w:b/>
        <w:sz w:val="20"/>
        <w:szCs w:val="20"/>
      </w:rPr>
      <w:fldChar w:fldCharType="end"/>
    </w:r>
    <w:r w:rsidRPr="00245979">
      <w:rPr>
        <w:rFonts w:ascii="Arial" w:hAnsi="Arial"/>
        <w:b/>
        <w:sz w:val="20"/>
        <w:szCs w:val="20"/>
      </w:rPr>
      <w:tab/>
    </w:r>
    <w:r w:rsidR="00D11D61">
      <w:rPr>
        <w:rFonts w:ascii="Arial" w:hAnsi="Arial"/>
        <w:b/>
        <w:sz w:val="20"/>
        <w:szCs w:val="20"/>
      </w:rPr>
      <w:t>9B19M</w:t>
    </w:r>
    <w:r w:rsidR="005437B4">
      <w:rPr>
        <w:rFonts w:ascii="Arial" w:hAnsi="Arial"/>
        <w:b/>
        <w:sz w:val="20"/>
        <w:szCs w:val="20"/>
      </w:rPr>
      <w:t>095</w:t>
    </w:r>
  </w:p>
  <w:p w14:paraId="2B53C0A0" w14:textId="77777777" w:rsidR="00D86C1E" w:rsidRDefault="00D86C1E" w:rsidP="00D13667">
    <w:pPr>
      <w:pStyle w:val="Header"/>
      <w:tabs>
        <w:tab w:val="clear" w:pos="4680"/>
      </w:tabs>
      <w:rPr>
        <w:sz w:val="18"/>
        <w:szCs w:val="18"/>
      </w:rPr>
    </w:pPr>
  </w:p>
  <w:p w14:paraId="47119730" w14:textId="77777777" w:rsidR="00D86C1E" w:rsidRPr="00C92CC4" w:rsidRDefault="00D86C1E"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5F10" w14:textId="77777777" w:rsidR="005437B4" w:rsidRDefault="00543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9AC8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0E21E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AC81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3ADA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765F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A87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4AB7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C24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6C9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38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C40DC3"/>
    <w:multiLevelType w:val="multilevel"/>
    <w:tmpl w:val="5126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7D55B3"/>
    <w:multiLevelType w:val="multilevel"/>
    <w:tmpl w:val="5126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E1999"/>
    <w:multiLevelType w:val="multilevel"/>
    <w:tmpl w:val="5126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9B7E28"/>
    <w:multiLevelType w:val="multilevel"/>
    <w:tmpl w:val="5126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906245"/>
    <w:multiLevelType w:val="multilevel"/>
    <w:tmpl w:val="659A3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5"/>
  </w:num>
  <w:num w:numId="4">
    <w:abstractNumId w:val="24"/>
  </w:num>
  <w:num w:numId="5">
    <w:abstractNumId w:val="17"/>
  </w:num>
  <w:num w:numId="6">
    <w:abstractNumId w:val="22"/>
  </w:num>
  <w:num w:numId="7">
    <w:abstractNumId w:val="11"/>
  </w:num>
  <w:num w:numId="8">
    <w:abstractNumId w:val="26"/>
  </w:num>
  <w:num w:numId="9">
    <w:abstractNumId w:val="23"/>
  </w:num>
  <w:num w:numId="10">
    <w:abstractNumId w:val="13"/>
  </w:num>
  <w:num w:numId="11">
    <w:abstractNumId w:val="20"/>
  </w:num>
  <w:num w:numId="12">
    <w:abstractNumId w:val="21"/>
  </w:num>
  <w:num w:numId="13">
    <w:abstractNumId w:val="14"/>
  </w:num>
  <w:num w:numId="14">
    <w:abstractNumId w:val="16"/>
  </w:num>
  <w:num w:numId="15">
    <w:abstractNumId w:val="10"/>
  </w:num>
  <w:num w:numId="16">
    <w:abstractNumId w:val="12"/>
  </w:num>
  <w:num w:numId="17">
    <w:abstractNumId w:val="0"/>
  </w:num>
  <w:num w:numId="18">
    <w:abstractNumId w:val="1"/>
  </w:num>
  <w:num w:numId="19">
    <w:abstractNumId w:val="2"/>
  </w:num>
  <w:num w:numId="20">
    <w:abstractNumId w:val="3"/>
  </w:num>
  <w:num w:numId="21">
    <w:abstractNumId w:val="8"/>
  </w:num>
  <w:num w:numId="22">
    <w:abstractNumId w:val="4"/>
  </w:num>
  <w:num w:numId="23">
    <w:abstractNumId w:val="5"/>
  </w:num>
  <w:num w:numId="24">
    <w:abstractNumId w:val="6"/>
  </w:num>
  <w:num w:numId="25">
    <w:abstractNumId w:val="7"/>
  </w:num>
  <w:num w:numId="26">
    <w:abstractNumId w:val="9"/>
  </w:num>
  <w:num w:numId="27">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A3C"/>
    <w:rsid w:val="0000713D"/>
    <w:rsid w:val="00013360"/>
    <w:rsid w:val="000163A4"/>
    <w:rsid w:val="00016759"/>
    <w:rsid w:val="000216CE"/>
    <w:rsid w:val="00024ED4"/>
    <w:rsid w:val="00025DC7"/>
    <w:rsid w:val="00025DE5"/>
    <w:rsid w:val="00027125"/>
    <w:rsid w:val="00035F09"/>
    <w:rsid w:val="000417DB"/>
    <w:rsid w:val="0004436C"/>
    <w:rsid w:val="00044ECC"/>
    <w:rsid w:val="000479E8"/>
    <w:rsid w:val="00051A6C"/>
    <w:rsid w:val="00051E97"/>
    <w:rsid w:val="000531D3"/>
    <w:rsid w:val="0005646B"/>
    <w:rsid w:val="000615D1"/>
    <w:rsid w:val="0008102D"/>
    <w:rsid w:val="0008594E"/>
    <w:rsid w:val="00086B26"/>
    <w:rsid w:val="00094C0E"/>
    <w:rsid w:val="000A146D"/>
    <w:rsid w:val="000A3BAF"/>
    <w:rsid w:val="000A7F52"/>
    <w:rsid w:val="000A7F91"/>
    <w:rsid w:val="000B3186"/>
    <w:rsid w:val="000B42A6"/>
    <w:rsid w:val="000D2A2F"/>
    <w:rsid w:val="000D7091"/>
    <w:rsid w:val="000E0453"/>
    <w:rsid w:val="000F0C22"/>
    <w:rsid w:val="000F6B09"/>
    <w:rsid w:val="000F6FDC"/>
    <w:rsid w:val="00104567"/>
    <w:rsid w:val="00104916"/>
    <w:rsid w:val="00104AA7"/>
    <w:rsid w:val="00126FF9"/>
    <w:rsid w:val="0012732D"/>
    <w:rsid w:val="00143F25"/>
    <w:rsid w:val="00152682"/>
    <w:rsid w:val="00154FC9"/>
    <w:rsid w:val="001901C0"/>
    <w:rsid w:val="0019241A"/>
    <w:rsid w:val="00192A18"/>
    <w:rsid w:val="001952BD"/>
    <w:rsid w:val="0019582D"/>
    <w:rsid w:val="0019745A"/>
    <w:rsid w:val="001977BC"/>
    <w:rsid w:val="001A22D1"/>
    <w:rsid w:val="001A6924"/>
    <w:rsid w:val="001A752D"/>
    <w:rsid w:val="001A757E"/>
    <w:rsid w:val="001B5032"/>
    <w:rsid w:val="001B6EF2"/>
    <w:rsid w:val="001C37A5"/>
    <w:rsid w:val="001C7777"/>
    <w:rsid w:val="001D344B"/>
    <w:rsid w:val="001E364F"/>
    <w:rsid w:val="001F4222"/>
    <w:rsid w:val="00203AA1"/>
    <w:rsid w:val="00213E98"/>
    <w:rsid w:val="00222C12"/>
    <w:rsid w:val="00230150"/>
    <w:rsid w:val="0023081A"/>
    <w:rsid w:val="00233111"/>
    <w:rsid w:val="002373B5"/>
    <w:rsid w:val="00245979"/>
    <w:rsid w:val="00247187"/>
    <w:rsid w:val="00265FA8"/>
    <w:rsid w:val="002A0F2E"/>
    <w:rsid w:val="002A28E7"/>
    <w:rsid w:val="002B40FF"/>
    <w:rsid w:val="002B4AEF"/>
    <w:rsid w:val="002C4E29"/>
    <w:rsid w:val="002C6537"/>
    <w:rsid w:val="002F460C"/>
    <w:rsid w:val="002F48D6"/>
    <w:rsid w:val="003051D4"/>
    <w:rsid w:val="00306B05"/>
    <w:rsid w:val="003111EA"/>
    <w:rsid w:val="00317391"/>
    <w:rsid w:val="00321CFC"/>
    <w:rsid w:val="003251F4"/>
    <w:rsid w:val="00326216"/>
    <w:rsid w:val="00336580"/>
    <w:rsid w:val="003405BB"/>
    <w:rsid w:val="00354899"/>
    <w:rsid w:val="00355FD6"/>
    <w:rsid w:val="00357B81"/>
    <w:rsid w:val="00364A5C"/>
    <w:rsid w:val="00373FB1"/>
    <w:rsid w:val="00396C76"/>
    <w:rsid w:val="003A0E54"/>
    <w:rsid w:val="003A505A"/>
    <w:rsid w:val="003A6BFC"/>
    <w:rsid w:val="003B30D8"/>
    <w:rsid w:val="003B79B1"/>
    <w:rsid w:val="003B7EF2"/>
    <w:rsid w:val="003C3FA4"/>
    <w:rsid w:val="003C54F4"/>
    <w:rsid w:val="003D0BA1"/>
    <w:rsid w:val="003D5B14"/>
    <w:rsid w:val="003F2B0C"/>
    <w:rsid w:val="00407F94"/>
    <w:rsid w:val="004105B2"/>
    <w:rsid w:val="0041145A"/>
    <w:rsid w:val="00412900"/>
    <w:rsid w:val="00415B68"/>
    <w:rsid w:val="004221E4"/>
    <w:rsid w:val="004273F8"/>
    <w:rsid w:val="00430FA6"/>
    <w:rsid w:val="00432F94"/>
    <w:rsid w:val="00433BA2"/>
    <w:rsid w:val="004355A3"/>
    <w:rsid w:val="00446546"/>
    <w:rsid w:val="00452769"/>
    <w:rsid w:val="00454FA7"/>
    <w:rsid w:val="00460DF2"/>
    <w:rsid w:val="004612B9"/>
    <w:rsid w:val="00465348"/>
    <w:rsid w:val="004979A5"/>
    <w:rsid w:val="004A25E0"/>
    <w:rsid w:val="004A42B0"/>
    <w:rsid w:val="004B0448"/>
    <w:rsid w:val="004B1CCB"/>
    <w:rsid w:val="004B632F"/>
    <w:rsid w:val="004C4D66"/>
    <w:rsid w:val="004D3FB1"/>
    <w:rsid w:val="004D6F21"/>
    <w:rsid w:val="004D73A5"/>
    <w:rsid w:val="00507242"/>
    <w:rsid w:val="005160F1"/>
    <w:rsid w:val="00524F2F"/>
    <w:rsid w:val="00527E5C"/>
    <w:rsid w:val="00532B60"/>
    <w:rsid w:val="00532CF5"/>
    <w:rsid w:val="00536D95"/>
    <w:rsid w:val="005437B4"/>
    <w:rsid w:val="005528CB"/>
    <w:rsid w:val="005642BB"/>
    <w:rsid w:val="00566771"/>
    <w:rsid w:val="0057539B"/>
    <w:rsid w:val="00581E2E"/>
    <w:rsid w:val="00584F15"/>
    <w:rsid w:val="0059514B"/>
    <w:rsid w:val="005A1B0F"/>
    <w:rsid w:val="005A6A3F"/>
    <w:rsid w:val="005B48FA"/>
    <w:rsid w:val="005B4CE6"/>
    <w:rsid w:val="005B5D68"/>
    <w:rsid w:val="005B5EFE"/>
    <w:rsid w:val="005C1221"/>
    <w:rsid w:val="005D5568"/>
    <w:rsid w:val="005E6856"/>
    <w:rsid w:val="006163F7"/>
    <w:rsid w:val="00623261"/>
    <w:rsid w:val="0062587B"/>
    <w:rsid w:val="00627C63"/>
    <w:rsid w:val="0063350B"/>
    <w:rsid w:val="00635326"/>
    <w:rsid w:val="006424F8"/>
    <w:rsid w:val="00647075"/>
    <w:rsid w:val="00651F62"/>
    <w:rsid w:val="00652606"/>
    <w:rsid w:val="00652CF7"/>
    <w:rsid w:val="006715DD"/>
    <w:rsid w:val="00684CA7"/>
    <w:rsid w:val="006946EE"/>
    <w:rsid w:val="006A0F05"/>
    <w:rsid w:val="006A25D3"/>
    <w:rsid w:val="006A58A9"/>
    <w:rsid w:val="006A606D"/>
    <w:rsid w:val="006C0371"/>
    <w:rsid w:val="006C08B6"/>
    <w:rsid w:val="006C0B1A"/>
    <w:rsid w:val="006C4E32"/>
    <w:rsid w:val="006C6065"/>
    <w:rsid w:val="006C7F9F"/>
    <w:rsid w:val="006D3E81"/>
    <w:rsid w:val="006E2F6D"/>
    <w:rsid w:val="006E58F6"/>
    <w:rsid w:val="006E77E1"/>
    <w:rsid w:val="006F0369"/>
    <w:rsid w:val="006F131D"/>
    <w:rsid w:val="006F4D05"/>
    <w:rsid w:val="00711642"/>
    <w:rsid w:val="00731D8F"/>
    <w:rsid w:val="00734162"/>
    <w:rsid w:val="00734EA1"/>
    <w:rsid w:val="007507C6"/>
    <w:rsid w:val="00751E0B"/>
    <w:rsid w:val="00752BCD"/>
    <w:rsid w:val="00766DA1"/>
    <w:rsid w:val="00776C50"/>
    <w:rsid w:val="00780D94"/>
    <w:rsid w:val="00781C62"/>
    <w:rsid w:val="007866A6"/>
    <w:rsid w:val="007978C3"/>
    <w:rsid w:val="007A130D"/>
    <w:rsid w:val="007A5225"/>
    <w:rsid w:val="007B4A30"/>
    <w:rsid w:val="007C1A12"/>
    <w:rsid w:val="007C21F8"/>
    <w:rsid w:val="007C401C"/>
    <w:rsid w:val="007D1A2D"/>
    <w:rsid w:val="007D1F27"/>
    <w:rsid w:val="007D32E6"/>
    <w:rsid w:val="007D3875"/>
    <w:rsid w:val="007D4102"/>
    <w:rsid w:val="007D7906"/>
    <w:rsid w:val="007E1CF6"/>
    <w:rsid w:val="007E3981"/>
    <w:rsid w:val="007E54A7"/>
    <w:rsid w:val="007F1E8C"/>
    <w:rsid w:val="007F3AA3"/>
    <w:rsid w:val="007F43B7"/>
    <w:rsid w:val="00821FFC"/>
    <w:rsid w:val="008271CA"/>
    <w:rsid w:val="008323A0"/>
    <w:rsid w:val="008453A8"/>
    <w:rsid w:val="008467D5"/>
    <w:rsid w:val="00850411"/>
    <w:rsid w:val="00871564"/>
    <w:rsid w:val="00871DDD"/>
    <w:rsid w:val="00873794"/>
    <w:rsid w:val="00890C23"/>
    <w:rsid w:val="008A4DC4"/>
    <w:rsid w:val="008B0F5E"/>
    <w:rsid w:val="008B438C"/>
    <w:rsid w:val="008C2149"/>
    <w:rsid w:val="008D06CA"/>
    <w:rsid w:val="008D1831"/>
    <w:rsid w:val="008D3A46"/>
    <w:rsid w:val="008F2385"/>
    <w:rsid w:val="009067A4"/>
    <w:rsid w:val="00915D5E"/>
    <w:rsid w:val="00920B74"/>
    <w:rsid w:val="00930885"/>
    <w:rsid w:val="00932208"/>
    <w:rsid w:val="00933D68"/>
    <w:rsid w:val="009340DB"/>
    <w:rsid w:val="0094618C"/>
    <w:rsid w:val="00947848"/>
    <w:rsid w:val="0095684B"/>
    <w:rsid w:val="009712FB"/>
    <w:rsid w:val="00972498"/>
    <w:rsid w:val="00973EEE"/>
    <w:rsid w:val="0097481F"/>
    <w:rsid w:val="00974CC6"/>
    <w:rsid w:val="00976AD4"/>
    <w:rsid w:val="00991571"/>
    <w:rsid w:val="00995547"/>
    <w:rsid w:val="009A312F"/>
    <w:rsid w:val="009A5348"/>
    <w:rsid w:val="009B0AB7"/>
    <w:rsid w:val="009C76D5"/>
    <w:rsid w:val="009C7C8F"/>
    <w:rsid w:val="009D6674"/>
    <w:rsid w:val="009E2CB9"/>
    <w:rsid w:val="009F7AA4"/>
    <w:rsid w:val="00A0236C"/>
    <w:rsid w:val="00A04988"/>
    <w:rsid w:val="00A04D6F"/>
    <w:rsid w:val="00A10AD7"/>
    <w:rsid w:val="00A1174D"/>
    <w:rsid w:val="00A323B0"/>
    <w:rsid w:val="00A4718B"/>
    <w:rsid w:val="00A52E73"/>
    <w:rsid w:val="00A559DB"/>
    <w:rsid w:val="00A569EA"/>
    <w:rsid w:val="00A618D4"/>
    <w:rsid w:val="00A676A0"/>
    <w:rsid w:val="00A72307"/>
    <w:rsid w:val="00A7707D"/>
    <w:rsid w:val="00AA5104"/>
    <w:rsid w:val="00AC0047"/>
    <w:rsid w:val="00AD1500"/>
    <w:rsid w:val="00AF35FC"/>
    <w:rsid w:val="00AF5556"/>
    <w:rsid w:val="00B03639"/>
    <w:rsid w:val="00B0652A"/>
    <w:rsid w:val="00B16960"/>
    <w:rsid w:val="00B21C8C"/>
    <w:rsid w:val="00B40937"/>
    <w:rsid w:val="00B423EF"/>
    <w:rsid w:val="00B453DE"/>
    <w:rsid w:val="00B47641"/>
    <w:rsid w:val="00B57D41"/>
    <w:rsid w:val="00B62497"/>
    <w:rsid w:val="00B71FE4"/>
    <w:rsid w:val="00B72597"/>
    <w:rsid w:val="00B76F33"/>
    <w:rsid w:val="00B770FC"/>
    <w:rsid w:val="00B87DC0"/>
    <w:rsid w:val="00B901F9"/>
    <w:rsid w:val="00BC019D"/>
    <w:rsid w:val="00BC4D98"/>
    <w:rsid w:val="00BC5FF5"/>
    <w:rsid w:val="00BC6091"/>
    <w:rsid w:val="00BD6EFB"/>
    <w:rsid w:val="00BE286C"/>
    <w:rsid w:val="00BE3DF5"/>
    <w:rsid w:val="00BF5EAB"/>
    <w:rsid w:val="00C01A15"/>
    <w:rsid w:val="00C02410"/>
    <w:rsid w:val="00C1584D"/>
    <w:rsid w:val="00C15BE2"/>
    <w:rsid w:val="00C1723E"/>
    <w:rsid w:val="00C1736C"/>
    <w:rsid w:val="00C32BF6"/>
    <w:rsid w:val="00C3447F"/>
    <w:rsid w:val="00C44714"/>
    <w:rsid w:val="00C50800"/>
    <w:rsid w:val="00C6691A"/>
    <w:rsid w:val="00C67102"/>
    <w:rsid w:val="00C6774D"/>
    <w:rsid w:val="00C81491"/>
    <w:rsid w:val="00C81676"/>
    <w:rsid w:val="00C85C5D"/>
    <w:rsid w:val="00C86A40"/>
    <w:rsid w:val="00C92CC4"/>
    <w:rsid w:val="00C95845"/>
    <w:rsid w:val="00C975D4"/>
    <w:rsid w:val="00CA09F5"/>
    <w:rsid w:val="00CA0AFB"/>
    <w:rsid w:val="00CA2CE1"/>
    <w:rsid w:val="00CA3976"/>
    <w:rsid w:val="00CA40C7"/>
    <w:rsid w:val="00CA50E3"/>
    <w:rsid w:val="00CA757B"/>
    <w:rsid w:val="00CC1787"/>
    <w:rsid w:val="00CC182C"/>
    <w:rsid w:val="00CD0824"/>
    <w:rsid w:val="00CD2908"/>
    <w:rsid w:val="00CD52C3"/>
    <w:rsid w:val="00CF584B"/>
    <w:rsid w:val="00D016F1"/>
    <w:rsid w:val="00D03A82"/>
    <w:rsid w:val="00D11D61"/>
    <w:rsid w:val="00D13667"/>
    <w:rsid w:val="00D15344"/>
    <w:rsid w:val="00D23F57"/>
    <w:rsid w:val="00D31BEC"/>
    <w:rsid w:val="00D402F0"/>
    <w:rsid w:val="00D63150"/>
    <w:rsid w:val="00D636BA"/>
    <w:rsid w:val="00D64A32"/>
    <w:rsid w:val="00D64EFC"/>
    <w:rsid w:val="00D72740"/>
    <w:rsid w:val="00D73611"/>
    <w:rsid w:val="00D75295"/>
    <w:rsid w:val="00D76CE9"/>
    <w:rsid w:val="00D84C60"/>
    <w:rsid w:val="00D8509D"/>
    <w:rsid w:val="00D86C1E"/>
    <w:rsid w:val="00D917C6"/>
    <w:rsid w:val="00D97F12"/>
    <w:rsid w:val="00DA0ACD"/>
    <w:rsid w:val="00DA1899"/>
    <w:rsid w:val="00DA6095"/>
    <w:rsid w:val="00DB42C6"/>
    <w:rsid w:val="00DB42E7"/>
    <w:rsid w:val="00DC09D8"/>
    <w:rsid w:val="00DD0C06"/>
    <w:rsid w:val="00DE01A6"/>
    <w:rsid w:val="00DE7A98"/>
    <w:rsid w:val="00DF32C2"/>
    <w:rsid w:val="00DF6D13"/>
    <w:rsid w:val="00E07AC1"/>
    <w:rsid w:val="00E10F29"/>
    <w:rsid w:val="00E206BF"/>
    <w:rsid w:val="00E34AAF"/>
    <w:rsid w:val="00E471A7"/>
    <w:rsid w:val="00E53712"/>
    <w:rsid w:val="00E635CF"/>
    <w:rsid w:val="00E8049E"/>
    <w:rsid w:val="00E822D0"/>
    <w:rsid w:val="00E87AFC"/>
    <w:rsid w:val="00E92686"/>
    <w:rsid w:val="00EA7F2C"/>
    <w:rsid w:val="00EB02FD"/>
    <w:rsid w:val="00EB1E3B"/>
    <w:rsid w:val="00EC6E0A"/>
    <w:rsid w:val="00ED4E18"/>
    <w:rsid w:val="00ED6D99"/>
    <w:rsid w:val="00ED7922"/>
    <w:rsid w:val="00EE02C4"/>
    <w:rsid w:val="00EE1F37"/>
    <w:rsid w:val="00EE561E"/>
    <w:rsid w:val="00EF1E19"/>
    <w:rsid w:val="00F0159C"/>
    <w:rsid w:val="00F01DA7"/>
    <w:rsid w:val="00F105B7"/>
    <w:rsid w:val="00F13220"/>
    <w:rsid w:val="00F16A36"/>
    <w:rsid w:val="00F17A21"/>
    <w:rsid w:val="00F30E3C"/>
    <w:rsid w:val="00F36FC2"/>
    <w:rsid w:val="00F37B27"/>
    <w:rsid w:val="00F46556"/>
    <w:rsid w:val="00F47F7C"/>
    <w:rsid w:val="00F50E91"/>
    <w:rsid w:val="00F56799"/>
    <w:rsid w:val="00F57D29"/>
    <w:rsid w:val="00F60786"/>
    <w:rsid w:val="00F673F4"/>
    <w:rsid w:val="00F918BE"/>
    <w:rsid w:val="00F91BC7"/>
    <w:rsid w:val="00F96201"/>
    <w:rsid w:val="00F97542"/>
    <w:rsid w:val="00FA0E87"/>
    <w:rsid w:val="00FA1BBC"/>
    <w:rsid w:val="00FB20FA"/>
    <w:rsid w:val="00FD0B0F"/>
    <w:rsid w:val="00FD0B18"/>
    <w:rsid w:val="00FD2FAD"/>
    <w:rsid w:val="00FE4434"/>
    <w:rsid w:val="00FE4458"/>
    <w:rsid w:val="00FE714F"/>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05"/>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US"/>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US"/>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lang w:val="en-US"/>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US"/>
    </w:rPr>
  </w:style>
  <w:style w:type="paragraph" w:customStyle="1" w:styleId="BodyTextMain">
    <w:name w:val="Body Text Main"/>
    <w:basedOn w:val="Normal"/>
    <w:link w:val="BodyTextMainChar"/>
    <w:qFormat/>
    <w:rsid w:val="000F0C22"/>
    <w:pPr>
      <w:jc w:val="both"/>
    </w:pPr>
    <w:rPr>
      <w:sz w:val="22"/>
      <w:szCs w:val="22"/>
      <w:lang w:val="en-US"/>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3A0E54"/>
    <w:pPr>
      <w:keepNext/>
    </w:pPr>
    <w:rPr>
      <w:rFonts w:ascii="Arial" w:hAnsi="Arial" w:cs="Arial"/>
      <w:b/>
      <w:caps/>
      <w:sz w:val="20"/>
      <w:szCs w:val="20"/>
    </w:rPr>
  </w:style>
  <w:style w:type="character" w:customStyle="1" w:styleId="Casehead1Char">
    <w:name w:val="Casehead 1 Char"/>
    <w:basedOn w:val="BodyTextMainChar"/>
    <w:link w:val="Casehead1"/>
    <w:rsid w:val="003A0E54"/>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51F62"/>
    <w:rPr>
      <w:b w:val="0"/>
      <w:color w:val="auto"/>
      <w:vertAlign w:val="superscript"/>
    </w:rPr>
  </w:style>
  <w:style w:type="paragraph" w:customStyle="1" w:styleId="Footnote">
    <w:name w:val="Footnote"/>
    <w:basedOn w:val="FootnoteText"/>
    <w:link w:val="FootnoteChar"/>
    <w:qFormat/>
    <w:rsid w:val="00433BA2"/>
    <w:pPr>
      <w:jc w:val="both"/>
    </w:pPr>
    <w:rPr>
      <w:rFonts w:ascii="Arial" w:hAnsi="Arial" w:cs="Arial"/>
      <w:sz w:val="17"/>
      <w:szCs w:val="17"/>
    </w:rPr>
  </w:style>
  <w:style w:type="character" w:customStyle="1" w:styleId="FootnoteChar">
    <w:name w:val="Footnote Char"/>
    <w:basedOn w:val="FootnoteTextChar"/>
    <w:link w:val="Footnote"/>
    <w:rsid w:val="00433BA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rPr>
      <w:sz w:val="20"/>
      <w:szCs w:val="20"/>
      <w:lang w:val="en-US"/>
    </w:r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US"/>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US"/>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US"/>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US"/>
    </w:rPr>
  </w:style>
  <w:style w:type="paragraph" w:styleId="NormalWeb">
    <w:name w:val="Normal (Web)"/>
    <w:basedOn w:val="Normal"/>
    <w:uiPriority w:val="99"/>
    <w:unhideWhenUsed/>
    <w:rsid w:val="004273F8"/>
    <w:pPr>
      <w:spacing w:before="100" w:beforeAutospacing="1" w:after="100" w:afterAutospacing="1"/>
    </w:pPr>
    <w:rPr>
      <w:lang w:val="en-GB"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651F62"/>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US"/>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US"/>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US"/>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US" w:eastAsia="en-CA"/>
    </w:rPr>
  </w:style>
  <w:style w:type="paragraph" w:customStyle="1" w:styleId="casehead20">
    <w:name w:val="casehead2"/>
    <w:basedOn w:val="Normal"/>
    <w:next w:val="BodyText"/>
    <w:rsid w:val="001C7777"/>
    <w:rPr>
      <w:rFonts w:ascii="Arial" w:hAnsi="Arial"/>
      <w:b/>
      <w:sz w:val="20"/>
      <w:szCs w:val="20"/>
      <w:lang w:val="en-US"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sz w:val="20"/>
      <w:szCs w:val="20"/>
      <w:lang w:val="en-US"/>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lang w:val="en-US"/>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lang w:val="en-US"/>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US"/>
    </w:rPr>
  </w:style>
  <w:style w:type="character" w:customStyle="1" w:styleId="UnresolvedMention">
    <w:name w:val="Unresolved Mention"/>
    <w:basedOn w:val="DefaultParagraphFont"/>
    <w:uiPriority w:val="99"/>
    <w:semiHidden/>
    <w:unhideWhenUsed/>
    <w:rsid w:val="00797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486">
      <w:bodyDiv w:val="1"/>
      <w:marLeft w:val="0"/>
      <w:marRight w:val="0"/>
      <w:marTop w:val="0"/>
      <w:marBottom w:val="0"/>
      <w:divBdr>
        <w:top w:val="none" w:sz="0" w:space="0" w:color="auto"/>
        <w:left w:val="none" w:sz="0" w:space="0" w:color="auto"/>
        <w:bottom w:val="none" w:sz="0" w:space="0" w:color="auto"/>
        <w:right w:val="none" w:sz="0" w:space="0" w:color="auto"/>
      </w:divBdr>
      <w:divsChild>
        <w:div w:id="696351549">
          <w:marLeft w:val="0"/>
          <w:marRight w:val="0"/>
          <w:marTop w:val="0"/>
          <w:marBottom w:val="0"/>
          <w:divBdr>
            <w:top w:val="none" w:sz="0" w:space="0" w:color="auto"/>
            <w:left w:val="none" w:sz="0" w:space="0" w:color="auto"/>
            <w:bottom w:val="none" w:sz="0" w:space="0" w:color="auto"/>
            <w:right w:val="none" w:sz="0" w:space="0" w:color="auto"/>
          </w:divBdr>
          <w:divsChild>
            <w:div w:id="1308633749">
              <w:marLeft w:val="0"/>
              <w:marRight w:val="0"/>
              <w:marTop w:val="0"/>
              <w:marBottom w:val="0"/>
              <w:divBdr>
                <w:top w:val="none" w:sz="0" w:space="0" w:color="auto"/>
                <w:left w:val="none" w:sz="0" w:space="0" w:color="auto"/>
                <w:bottom w:val="none" w:sz="0" w:space="0" w:color="auto"/>
                <w:right w:val="none" w:sz="0" w:space="0" w:color="auto"/>
              </w:divBdr>
              <w:divsChild>
                <w:div w:id="1158305243">
                  <w:marLeft w:val="300"/>
                  <w:marRight w:val="0"/>
                  <w:marTop w:val="0"/>
                  <w:marBottom w:val="0"/>
                  <w:divBdr>
                    <w:top w:val="none" w:sz="0" w:space="0" w:color="auto"/>
                    <w:left w:val="none" w:sz="0" w:space="0" w:color="auto"/>
                    <w:bottom w:val="none" w:sz="0" w:space="0" w:color="auto"/>
                    <w:right w:val="none" w:sz="0" w:space="0" w:color="auto"/>
                  </w:divBdr>
                  <w:divsChild>
                    <w:div w:id="1064329278">
                      <w:marLeft w:val="0"/>
                      <w:marRight w:val="0"/>
                      <w:marTop w:val="0"/>
                      <w:marBottom w:val="0"/>
                      <w:divBdr>
                        <w:top w:val="none" w:sz="0" w:space="0" w:color="auto"/>
                        <w:left w:val="none" w:sz="0" w:space="0" w:color="auto"/>
                        <w:bottom w:val="none" w:sz="0" w:space="0" w:color="auto"/>
                        <w:right w:val="none" w:sz="0" w:space="0" w:color="auto"/>
                      </w:divBdr>
                      <w:divsChild>
                        <w:div w:id="1564104509">
                          <w:marLeft w:val="0"/>
                          <w:marRight w:val="0"/>
                          <w:marTop w:val="0"/>
                          <w:marBottom w:val="0"/>
                          <w:divBdr>
                            <w:top w:val="none" w:sz="0" w:space="0" w:color="auto"/>
                            <w:left w:val="none" w:sz="0" w:space="0" w:color="auto"/>
                            <w:bottom w:val="none" w:sz="0" w:space="0" w:color="auto"/>
                            <w:right w:val="none" w:sz="0" w:space="0" w:color="auto"/>
                          </w:divBdr>
                        </w:div>
                        <w:div w:id="1482192836">
                          <w:marLeft w:val="0"/>
                          <w:marRight w:val="0"/>
                          <w:marTop w:val="0"/>
                          <w:marBottom w:val="0"/>
                          <w:divBdr>
                            <w:top w:val="none" w:sz="0" w:space="0" w:color="auto"/>
                            <w:left w:val="none" w:sz="0" w:space="0" w:color="auto"/>
                            <w:bottom w:val="none" w:sz="0" w:space="0" w:color="auto"/>
                            <w:right w:val="none" w:sz="0" w:space="0" w:color="auto"/>
                          </w:divBdr>
                        </w:div>
                      </w:divsChild>
                    </w:div>
                    <w:div w:id="151853902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82446">
          <w:marLeft w:val="0"/>
          <w:marRight w:val="0"/>
          <w:marTop w:val="0"/>
          <w:marBottom w:val="0"/>
          <w:divBdr>
            <w:top w:val="none" w:sz="0" w:space="0" w:color="auto"/>
            <w:left w:val="none" w:sz="0" w:space="0" w:color="auto"/>
            <w:bottom w:val="none" w:sz="0" w:space="0" w:color="auto"/>
            <w:right w:val="none" w:sz="0" w:space="0" w:color="auto"/>
          </w:divBdr>
          <w:divsChild>
            <w:div w:id="1226377531">
              <w:marLeft w:val="0"/>
              <w:marRight w:val="0"/>
              <w:marTop w:val="0"/>
              <w:marBottom w:val="0"/>
              <w:divBdr>
                <w:top w:val="none" w:sz="0" w:space="0" w:color="auto"/>
                <w:left w:val="none" w:sz="0" w:space="0" w:color="auto"/>
                <w:bottom w:val="none" w:sz="0" w:space="0" w:color="auto"/>
                <w:right w:val="none" w:sz="0" w:space="0" w:color="auto"/>
              </w:divBdr>
              <w:divsChild>
                <w:div w:id="84107996">
                  <w:marLeft w:val="0"/>
                  <w:marRight w:val="0"/>
                  <w:marTop w:val="0"/>
                  <w:marBottom w:val="0"/>
                  <w:divBdr>
                    <w:top w:val="none" w:sz="0" w:space="0" w:color="auto"/>
                    <w:left w:val="none" w:sz="0" w:space="0" w:color="auto"/>
                    <w:bottom w:val="none" w:sz="0" w:space="0" w:color="auto"/>
                    <w:right w:val="none" w:sz="0" w:space="0" w:color="auto"/>
                  </w:divBdr>
                </w:div>
                <w:div w:id="500581693">
                  <w:marLeft w:val="300"/>
                  <w:marRight w:val="0"/>
                  <w:marTop w:val="0"/>
                  <w:marBottom w:val="0"/>
                  <w:divBdr>
                    <w:top w:val="none" w:sz="0" w:space="0" w:color="auto"/>
                    <w:left w:val="none" w:sz="0" w:space="0" w:color="auto"/>
                    <w:bottom w:val="none" w:sz="0" w:space="0" w:color="auto"/>
                    <w:right w:val="none" w:sz="0" w:space="0" w:color="auto"/>
                  </w:divBdr>
                  <w:divsChild>
                    <w:div w:id="804273577">
                      <w:marLeft w:val="0"/>
                      <w:marRight w:val="0"/>
                      <w:marTop w:val="0"/>
                      <w:marBottom w:val="0"/>
                      <w:divBdr>
                        <w:top w:val="none" w:sz="0" w:space="0" w:color="auto"/>
                        <w:left w:val="none" w:sz="0" w:space="0" w:color="auto"/>
                        <w:bottom w:val="none" w:sz="0" w:space="0" w:color="auto"/>
                        <w:right w:val="none" w:sz="0" w:space="0" w:color="auto"/>
                      </w:divBdr>
                      <w:divsChild>
                        <w:div w:id="1195850499">
                          <w:marLeft w:val="0"/>
                          <w:marRight w:val="0"/>
                          <w:marTop w:val="0"/>
                          <w:marBottom w:val="0"/>
                          <w:divBdr>
                            <w:top w:val="none" w:sz="0" w:space="0" w:color="auto"/>
                            <w:left w:val="none" w:sz="0" w:space="0" w:color="auto"/>
                            <w:bottom w:val="none" w:sz="0" w:space="0" w:color="auto"/>
                            <w:right w:val="none" w:sz="0" w:space="0" w:color="auto"/>
                          </w:divBdr>
                        </w:div>
                        <w:div w:id="635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6149">
      <w:bodyDiv w:val="1"/>
      <w:marLeft w:val="0"/>
      <w:marRight w:val="0"/>
      <w:marTop w:val="0"/>
      <w:marBottom w:val="0"/>
      <w:divBdr>
        <w:top w:val="none" w:sz="0" w:space="0" w:color="auto"/>
        <w:left w:val="none" w:sz="0" w:space="0" w:color="auto"/>
        <w:bottom w:val="none" w:sz="0" w:space="0" w:color="auto"/>
        <w:right w:val="none" w:sz="0" w:space="0" w:color="auto"/>
      </w:divBdr>
    </w:div>
    <w:div w:id="52774565">
      <w:bodyDiv w:val="1"/>
      <w:marLeft w:val="0"/>
      <w:marRight w:val="0"/>
      <w:marTop w:val="0"/>
      <w:marBottom w:val="0"/>
      <w:divBdr>
        <w:top w:val="none" w:sz="0" w:space="0" w:color="auto"/>
        <w:left w:val="none" w:sz="0" w:space="0" w:color="auto"/>
        <w:bottom w:val="none" w:sz="0" w:space="0" w:color="auto"/>
        <w:right w:val="none" w:sz="0" w:space="0" w:color="auto"/>
      </w:divBdr>
      <w:divsChild>
        <w:div w:id="1461340574">
          <w:marLeft w:val="0"/>
          <w:marRight w:val="0"/>
          <w:marTop w:val="0"/>
          <w:marBottom w:val="0"/>
          <w:divBdr>
            <w:top w:val="none" w:sz="0" w:space="0" w:color="auto"/>
            <w:left w:val="none" w:sz="0" w:space="0" w:color="auto"/>
            <w:bottom w:val="none" w:sz="0" w:space="0" w:color="auto"/>
            <w:right w:val="none" w:sz="0" w:space="0" w:color="auto"/>
          </w:divBdr>
          <w:divsChild>
            <w:div w:id="1347558244">
              <w:marLeft w:val="0"/>
              <w:marRight w:val="0"/>
              <w:marTop w:val="0"/>
              <w:marBottom w:val="0"/>
              <w:divBdr>
                <w:top w:val="none" w:sz="0" w:space="0" w:color="auto"/>
                <w:left w:val="none" w:sz="0" w:space="0" w:color="auto"/>
                <w:bottom w:val="none" w:sz="0" w:space="0" w:color="auto"/>
                <w:right w:val="none" w:sz="0" w:space="0" w:color="auto"/>
              </w:divBdr>
              <w:divsChild>
                <w:div w:id="288513947">
                  <w:marLeft w:val="300"/>
                  <w:marRight w:val="0"/>
                  <w:marTop w:val="0"/>
                  <w:marBottom w:val="0"/>
                  <w:divBdr>
                    <w:top w:val="none" w:sz="0" w:space="0" w:color="auto"/>
                    <w:left w:val="none" w:sz="0" w:space="0" w:color="auto"/>
                    <w:bottom w:val="none" w:sz="0" w:space="0" w:color="auto"/>
                    <w:right w:val="none" w:sz="0" w:space="0" w:color="auto"/>
                  </w:divBdr>
                  <w:divsChild>
                    <w:div w:id="1371228830">
                      <w:marLeft w:val="0"/>
                      <w:marRight w:val="0"/>
                      <w:marTop w:val="0"/>
                      <w:marBottom w:val="0"/>
                      <w:divBdr>
                        <w:top w:val="none" w:sz="0" w:space="0" w:color="auto"/>
                        <w:left w:val="none" w:sz="0" w:space="0" w:color="auto"/>
                        <w:bottom w:val="none" w:sz="0" w:space="0" w:color="auto"/>
                        <w:right w:val="none" w:sz="0" w:space="0" w:color="auto"/>
                      </w:divBdr>
                      <w:divsChild>
                        <w:div w:id="882133593">
                          <w:marLeft w:val="0"/>
                          <w:marRight w:val="0"/>
                          <w:marTop w:val="0"/>
                          <w:marBottom w:val="0"/>
                          <w:divBdr>
                            <w:top w:val="none" w:sz="0" w:space="0" w:color="auto"/>
                            <w:left w:val="none" w:sz="0" w:space="0" w:color="auto"/>
                            <w:bottom w:val="none" w:sz="0" w:space="0" w:color="auto"/>
                            <w:right w:val="none" w:sz="0" w:space="0" w:color="auto"/>
                          </w:divBdr>
                        </w:div>
                        <w:div w:id="1262908019">
                          <w:marLeft w:val="0"/>
                          <w:marRight w:val="0"/>
                          <w:marTop w:val="0"/>
                          <w:marBottom w:val="0"/>
                          <w:divBdr>
                            <w:top w:val="none" w:sz="0" w:space="0" w:color="auto"/>
                            <w:left w:val="none" w:sz="0" w:space="0" w:color="auto"/>
                            <w:bottom w:val="none" w:sz="0" w:space="0" w:color="auto"/>
                            <w:right w:val="none" w:sz="0" w:space="0" w:color="auto"/>
                          </w:divBdr>
                        </w:div>
                      </w:divsChild>
                    </w:div>
                    <w:div w:id="79502798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6875">
          <w:marLeft w:val="0"/>
          <w:marRight w:val="0"/>
          <w:marTop w:val="0"/>
          <w:marBottom w:val="0"/>
          <w:divBdr>
            <w:top w:val="none" w:sz="0" w:space="0" w:color="auto"/>
            <w:left w:val="none" w:sz="0" w:space="0" w:color="auto"/>
            <w:bottom w:val="none" w:sz="0" w:space="0" w:color="auto"/>
            <w:right w:val="none" w:sz="0" w:space="0" w:color="auto"/>
          </w:divBdr>
          <w:divsChild>
            <w:div w:id="913666772">
              <w:marLeft w:val="0"/>
              <w:marRight w:val="0"/>
              <w:marTop w:val="0"/>
              <w:marBottom w:val="0"/>
              <w:divBdr>
                <w:top w:val="none" w:sz="0" w:space="0" w:color="auto"/>
                <w:left w:val="none" w:sz="0" w:space="0" w:color="auto"/>
                <w:bottom w:val="none" w:sz="0" w:space="0" w:color="auto"/>
                <w:right w:val="none" w:sz="0" w:space="0" w:color="auto"/>
              </w:divBdr>
              <w:divsChild>
                <w:div w:id="1479877395">
                  <w:marLeft w:val="0"/>
                  <w:marRight w:val="0"/>
                  <w:marTop w:val="0"/>
                  <w:marBottom w:val="0"/>
                  <w:divBdr>
                    <w:top w:val="none" w:sz="0" w:space="0" w:color="auto"/>
                    <w:left w:val="none" w:sz="0" w:space="0" w:color="auto"/>
                    <w:bottom w:val="none" w:sz="0" w:space="0" w:color="auto"/>
                    <w:right w:val="none" w:sz="0" w:space="0" w:color="auto"/>
                  </w:divBdr>
                </w:div>
                <w:div w:id="1437017756">
                  <w:marLeft w:val="300"/>
                  <w:marRight w:val="0"/>
                  <w:marTop w:val="0"/>
                  <w:marBottom w:val="0"/>
                  <w:divBdr>
                    <w:top w:val="none" w:sz="0" w:space="0" w:color="auto"/>
                    <w:left w:val="none" w:sz="0" w:space="0" w:color="auto"/>
                    <w:bottom w:val="none" w:sz="0" w:space="0" w:color="auto"/>
                    <w:right w:val="none" w:sz="0" w:space="0" w:color="auto"/>
                  </w:divBdr>
                  <w:divsChild>
                    <w:div w:id="630742695">
                      <w:marLeft w:val="0"/>
                      <w:marRight w:val="0"/>
                      <w:marTop w:val="0"/>
                      <w:marBottom w:val="0"/>
                      <w:divBdr>
                        <w:top w:val="none" w:sz="0" w:space="0" w:color="auto"/>
                        <w:left w:val="none" w:sz="0" w:space="0" w:color="auto"/>
                        <w:bottom w:val="none" w:sz="0" w:space="0" w:color="auto"/>
                        <w:right w:val="none" w:sz="0" w:space="0" w:color="auto"/>
                      </w:divBdr>
                      <w:divsChild>
                        <w:div w:id="696396727">
                          <w:marLeft w:val="0"/>
                          <w:marRight w:val="0"/>
                          <w:marTop w:val="0"/>
                          <w:marBottom w:val="0"/>
                          <w:divBdr>
                            <w:top w:val="none" w:sz="0" w:space="0" w:color="auto"/>
                            <w:left w:val="none" w:sz="0" w:space="0" w:color="auto"/>
                            <w:bottom w:val="none" w:sz="0" w:space="0" w:color="auto"/>
                            <w:right w:val="none" w:sz="0" w:space="0" w:color="auto"/>
                          </w:divBdr>
                        </w:div>
                        <w:div w:id="5994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7882">
      <w:bodyDiv w:val="1"/>
      <w:marLeft w:val="0"/>
      <w:marRight w:val="0"/>
      <w:marTop w:val="0"/>
      <w:marBottom w:val="0"/>
      <w:divBdr>
        <w:top w:val="none" w:sz="0" w:space="0" w:color="auto"/>
        <w:left w:val="none" w:sz="0" w:space="0" w:color="auto"/>
        <w:bottom w:val="none" w:sz="0" w:space="0" w:color="auto"/>
        <w:right w:val="none" w:sz="0" w:space="0" w:color="auto"/>
      </w:divBdr>
    </w:div>
    <w:div w:id="63664024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1200494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Sheet1!$D$2</c:f>
              <c:strCache>
                <c:ptCount val="1"/>
                <c:pt idx="0">
                  <c:v>US$ millions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Sheet1!$E$1:$M$1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Sheet1!$E$2:$M$2</c:f>
              <c:numCache>
                <c:formatCode>#,##0</c:formatCode>
                <c:ptCount val="9"/>
                <c:pt idx="0">
                  <c:v>1</c:v>
                </c:pt>
                <c:pt idx="1">
                  <c:v>10</c:v>
                </c:pt>
                <c:pt idx="2">
                  <c:v>20</c:v>
                </c:pt>
                <c:pt idx="3">
                  <c:v>255</c:v>
                </c:pt>
                <c:pt idx="4">
                  <c:v>360</c:v>
                </c:pt>
                <c:pt idx="5">
                  <c:v>1910</c:v>
                </c:pt>
                <c:pt idx="6">
                  <c:v>700</c:v>
                </c:pt>
                <c:pt idx="7">
                  <c:v>0</c:v>
                </c:pt>
                <c:pt idx="8">
                  <c:v>1400</c:v>
                </c:pt>
              </c:numCache>
            </c:numRef>
          </c:val>
          <c:extLst>
            <c:ext xmlns:c16="http://schemas.microsoft.com/office/drawing/2014/chart" uri="{C3380CC4-5D6E-409C-BE32-E72D297353CC}">
              <c16:uniqueId val="{00000000-61AA-7B42-A8D6-226EB61C4DFD}"/>
            </c:ext>
          </c:extLst>
        </c:ser>
        <c:dLbls>
          <c:dLblPos val="outEnd"/>
          <c:showLegendKey val="0"/>
          <c:showVal val="1"/>
          <c:showCatName val="0"/>
          <c:showSerName val="0"/>
          <c:showPercent val="0"/>
          <c:showBubbleSize val="0"/>
        </c:dLbls>
        <c:gapWidth val="219"/>
        <c:overlap val="-27"/>
        <c:axId val="1583408703"/>
        <c:axId val="2128147088"/>
      </c:barChart>
      <c:catAx>
        <c:axId val="158340870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Year</a:t>
                </a:r>
              </a:p>
            </c:rich>
          </c:tx>
          <c:layout>
            <c:manualLayout>
              <c:xMode val="edge"/>
              <c:yMode val="edge"/>
              <c:x val="0.52344639612356147"/>
              <c:y val="0.9289827255278311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28147088"/>
        <c:crosses val="autoZero"/>
        <c:auto val="1"/>
        <c:lblAlgn val="ctr"/>
        <c:lblOffset val="100"/>
        <c:noMultiLvlLbl val="0"/>
      </c:catAx>
      <c:valAx>
        <c:axId val="212814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US$ millions</a:t>
                </a:r>
              </a:p>
            </c:rich>
          </c:tx>
          <c:layout>
            <c:manualLayout>
              <c:xMode val="edge"/>
              <c:yMode val="edge"/>
              <c:x val="1.282051282051282E-2"/>
              <c:y val="0.3488832801849864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8340870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011B6C-0966-4E4B-BFC9-1D329F3D4D4F}"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1CE2746B-C91C-EB42-8102-EC99716DE27B}">
      <dgm:prSet phldrT="[Text]" custT="1"/>
      <dgm:spPr>
        <a:ln w="6350"/>
      </dgm:spPr>
      <dgm:t>
        <a:bodyPr/>
        <a:lstStyle/>
        <a:p>
          <a:r>
            <a:rPr lang="en-US" sz="1000">
              <a:latin typeface="Arial" panose="020B0604020202020204" pitchFamily="34" charset="0"/>
              <a:cs typeface="Arial" panose="020B0604020202020204" pitchFamily="34" charset="0"/>
            </a:rPr>
            <a:t>Walmart</a:t>
          </a:r>
          <a:br>
            <a:rPr lang="en-US" sz="1000">
              <a:latin typeface="Arial" panose="020B0604020202020204" pitchFamily="34" charset="0"/>
              <a:cs typeface="Arial" panose="020B0604020202020204" pitchFamily="34" charset="0"/>
            </a:rPr>
          </a:br>
          <a:r>
            <a:rPr lang="en-US" sz="1000">
              <a:latin typeface="Arial" panose="020B0604020202020204" pitchFamily="34" charset="0"/>
              <a:cs typeface="Arial" panose="020B0604020202020204" pitchFamily="34" charset="0"/>
            </a:rPr>
            <a:t>People Division</a:t>
          </a:r>
        </a:p>
      </dgm:t>
    </dgm:pt>
    <dgm:pt modelId="{640577F2-28EC-5A43-9E50-9CFB382E92A7}" type="parTrans" cxnId="{A5127D9A-595D-C040-949C-6C4BDB393E20}">
      <dgm:prSet/>
      <dgm:spPr/>
      <dgm:t>
        <a:bodyPr/>
        <a:lstStyle/>
        <a:p>
          <a:endParaRPr lang="en-US"/>
        </a:p>
      </dgm:t>
    </dgm:pt>
    <dgm:pt modelId="{980573F4-5AFF-E447-BA07-1917BDF58CEE}" type="sibTrans" cxnId="{A5127D9A-595D-C040-949C-6C4BDB393E20}">
      <dgm:prSet/>
      <dgm:spPr/>
      <dgm:t>
        <a:bodyPr/>
        <a:lstStyle/>
        <a:p>
          <a:endParaRPr lang="en-US"/>
        </a:p>
      </dgm:t>
    </dgm:pt>
    <dgm:pt modelId="{F51E39E9-D417-B547-97EE-3D156904B440}">
      <dgm:prSet phldrT="[Text]" custT="1"/>
      <dgm:spPr>
        <a:ln w="6350"/>
      </dgm:spPr>
      <dgm:t>
        <a:bodyPr/>
        <a:lstStyle/>
        <a:p>
          <a:r>
            <a:rPr lang="en-US" sz="1000">
              <a:latin typeface="Arial" panose="020B0604020202020204" pitchFamily="34" charset="0"/>
              <a:cs typeface="Arial" panose="020B0604020202020204" pitchFamily="34" charset="0"/>
            </a:rPr>
            <a:t>Price advantage</a:t>
          </a:r>
        </a:p>
      </dgm:t>
    </dgm:pt>
    <dgm:pt modelId="{568A1DEF-BEBC-A641-B35F-CB37A0EC1613}" type="parTrans" cxnId="{B10A20C5-E08E-5642-9F67-7DDF46AC628B}">
      <dgm:prSet/>
      <dgm:spPr>
        <a:ln w="6350"/>
      </dgm:spPr>
      <dgm:t>
        <a:bodyPr/>
        <a:lstStyle/>
        <a:p>
          <a:endParaRPr lang="en-US"/>
        </a:p>
      </dgm:t>
    </dgm:pt>
    <dgm:pt modelId="{DFA933C5-96C1-3143-887E-65743235FBAB}" type="sibTrans" cxnId="{B10A20C5-E08E-5642-9F67-7DDF46AC628B}">
      <dgm:prSet/>
      <dgm:spPr/>
      <dgm:t>
        <a:bodyPr/>
        <a:lstStyle/>
        <a:p>
          <a:endParaRPr lang="en-US"/>
        </a:p>
      </dgm:t>
    </dgm:pt>
    <dgm:pt modelId="{49803802-7BBC-BA40-856B-E11FE9C7BB48}">
      <dgm:prSet phldrT="[Text]" custT="1"/>
      <dgm:spPr>
        <a:ln w="6350"/>
      </dgm:spPr>
      <dgm:t>
        <a:bodyPr/>
        <a:lstStyle/>
        <a:p>
          <a:r>
            <a:rPr lang="en-US" sz="1000">
              <a:latin typeface="Arial" panose="020B0604020202020204" pitchFamily="34" charset="0"/>
              <a:cs typeface="Arial" panose="020B0604020202020204" pitchFamily="34" charset="0"/>
            </a:rPr>
            <a:t>Operational success</a:t>
          </a:r>
        </a:p>
      </dgm:t>
    </dgm:pt>
    <dgm:pt modelId="{A90E1842-F9A7-2745-AAB9-F10639E8B491}" type="parTrans" cxnId="{003474AB-6FB8-FE42-A98E-C32F8CD7FC3D}">
      <dgm:prSet/>
      <dgm:spPr>
        <a:ln w="6350"/>
      </dgm:spPr>
      <dgm:t>
        <a:bodyPr/>
        <a:lstStyle/>
        <a:p>
          <a:endParaRPr lang="en-US"/>
        </a:p>
      </dgm:t>
    </dgm:pt>
    <dgm:pt modelId="{D720595B-649B-AB4C-82AD-EEEDF6554A80}" type="sibTrans" cxnId="{003474AB-6FB8-FE42-A98E-C32F8CD7FC3D}">
      <dgm:prSet/>
      <dgm:spPr/>
      <dgm:t>
        <a:bodyPr/>
        <a:lstStyle/>
        <a:p>
          <a:endParaRPr lang="en-US"/>
        </a:p>
      </dgm:t>
    </dgm:pt>
    <dgm:pt modelId="{09335C5E-4961-5642-979C-F140B923597C}">
      <dgm:prSet phldrT="[Text]" custT="1"/>
      <dgm:spPr>
        <a:ln w="6350"/>
      </dgm:spPr>
      <dgm:t>
        <a:bodyPr/>
        <a:lstStyle/>
        <a:p>
          <a:r>
            <a:rPr lang="en-US" sz="1000">
              <a:latin typeface="Arial" panose="020B0604020202020204" pitchFamily="34" charset="0"/>
              <a:cs typeface="Arial" panose="020B0604020202020204" pitchFamily="34" charset="0"/>
            </a:rPr>
            <a:t>Culture committed to business success</a:t>
          </a:r>
        </a:p>
      </dgm:t>
    </dgm:pt>
    <dgm:pt modelId="{EEA11E6C-CFFE-234F-B907-5796CE695DCD}" type="parTrans" cxnId="{B86A88E3-FE55-6049-8F1E-D3430746CAD0}">
      <dgm:prSet/>
      <dgm:spPr>
        <a:ln w="6350"/>
      </dgm:spPr>
      <dgm:t>
        <a:bodyPr/>
        <a:lstStyle/>
        <a:p>
          <a:endParaRPr lang="en-US"/>
        </a:p>
      </dgm:t>
    </dgm:pt>
    <dgm:pt modelId="{7648BC34-768F-E94F-BDC5-44A561E2B7E2}" type="sibTrans" cxnId="{B86A88E3-FE55-6049-8F1E-D3430746CAD0}">
      <dgm:prSet/>
      <dgm:spPr/>
      <dgm:t>
        <a:bodyPr/>
        <a:lstStyle/>
        <a:p>
          <a:endParaRPr lang="en-US"/>
        </a:p>
      </dgm:t>
    </dgm:pt>
    <dgm:pt modelId="{F1A7B090-6CE5-654B-AD8F-BB6FD77A38A8}">
      <dgm:prSet phldrT="[Text]" custT="1"/>
      <dgm:spPr>
        <a:ln w="6350"/>
      </dgm:spPr>
      <dgm:t>
        <a:bodyPr/>
        <a:lstStyle/>
        <a:p>
          <a:r>
            <a:rPr lang="en-US" sz="1000">
              <a:latin typeface="Arial" panose="020B0604020202020204" pitchFamily="34" charset="0"/>
              <a:cs typeface="Arial" panose="020B0604020202020204" pitchFamily="34" charset="0"/>
            </a:rPr>
            <a:t>Connecting Walmart people to key products</a:t>
          </a:r>
        </a:p>
      </dgm:t>
    </dgm:pt>
    <dgm:pt modelId="{13DFC454-6CA6-DC41-B13C-30D90A53576E}" type="parTrans" cxnId="{F267CBCD-2B9F-8B4D-BB6B-A5D60A76EFBA}">
      <dgm:prSet/>
      <dgm:spPr>
        <a:ln w="6350"/>
      </dgm:spPr>
      <dgm:t>
        <a:bodyPr/>
        <a:lstStyle/>
        <a:p>
          <a:endParaRPr lang="en-US"/>
        </a:p>
      </dgm:t>
    </dgm:pt>
    <dgm:pt modelId="{B339B79D-0517-A446-B1CF-DACB2A1240FB}" type="sibTrans" cxnId="{F267CBCD-2B9F-8B4D-BB6B-A5D60A76EFBA}">
      <dgm:prSet/>
      <dgm:spPr/>
      <dgm:t>
        <a:bodyPr/>
        <a:lstStyle/>
        <a:p>
          <a:endParaRPr lang="en-US"/>
        </a:p>
      </dgm:t>
    </dgm:pt>
    <dgm:pt modelId="{367EDBC5-246E-C649-A58A-1395A2B6B577}">
      <dgm:prSet phldrT="[Text]" custT="1"/>
      <dgm:spPr>
        <a:ln w="6350"/>
      </dgm:spPr>
      <dgm:t>
        <a:bodyPr/>
        <a:lstStyle/>
        <a:p>
          <a:r>
            <a:rPr lang="en-US" sz="1000">
              <a:latin typeface="Arial" panose="020B0604020202020204" pitchFamily="34" charset="0"/>
              <a:cs typeface="Arial" panose="020B0604020202020204" pitchFamily="34" charset="0"/>
            </a:rPr>
            <a:t>Reducing employee expenses</a:t>
          </a:r>
        </a:p>
      </dgm:t>
    </dgm:pt>
    <dgm:pt modelId="{6BD0927A-9E33-C946-A500-301E24A401AB}" type="parTrans" cxnId="{24B72EAB-1438-0046-AE13-733E686FB224}">
      <dgm:prSet/>
      <dgm:spPr>
        <a:ln w="6350"/>
      </dgm:spPr>
      <dgm:t>
        <a:bodyPr/>
        <a:lstStyle/>
        <a:p>
          <a:endParaRPr lang="en-US"/>
        </a:p>
      </dgm:t>
    </dgm:pt>
    <dgm:pt modelId="{B0656CD1-DE59-644B-A8AF-41CD183436F0}" type="sibTrans" cxnId="{24B72EAB-1438-0046-AE13-733E686FB224}">
      <dgm:prSet/>
      <dgm:spPr/>
      <dgm:t>
        <a:bodyPr/>
        <a:lstStyle/>
        <a:p>
          <a:endParaRPr lang="en-US"/>
        </a:p>
      </dgm:t>
    </dgm:pt>
    <dgm:pt modelId="{C84ED9EE-B8A9-594F-8344-B3173AC2ED6A}">
      <dgm:prSet phldrT="[Text]" custT="1"/>
      <dgm:spPr>
        <a:ln w="6350"/>
      </dgm:spPr>
      <dgm:t>
        <a:bodyPr/>
        <a:lstStyle/>
        <a:p>
          <a:r>
            <a:rPr lang="en-US" sz="1000">
              <a:latin typeface="Arial" panose="020B0604020202020204" pitchFamily="34" charset="0"/>
              <a:cs typeface="Arial" panose="020B0604020202020204" pitchFamily="34" charset="0"/>
            </a:rPr>
            <a:t>Talent strategy</a:t>
          </a:r>
        </a:p>
      </dgm:t>
    </dgm:pt>
    <dgm:pt modelId="{E71E3B85-599A-AF49-806E-3E3502EB8388}" type="parTrans" cxnId="{64A5A6DD-F6D7-5D4A-B789-F9F472BD7402}">
      <dgm:prSet/>
      <dgm:spPr>
        <a:ln w="6350"/>
      </dgm:spPr>
      <dgm:t>
        <a:bodyPr/>
        <a:lstStyle/>
        <a:p>
          <a:endParaRPr lang="en-US"/>
        </a:p>
      </dgm:t>
    </dgm:pt>
    <dgm:pt modelId="{74E568F9-0489-3D40-8CED-77810B8A77E9}" type="sibTrans" cxnId="{64A5A6DD-F6D7-5D4A-B789-F9F472BD7402}">
      <dgm:prSet/>
      <dgm:spPr/>
      <dgm:t>
        <a:bodyPr/>
        <a:lstStyle/>
        <a:p>
          <a:endParaRPr lang="en-US"/>
        </a:p>
      </dgm:t>
    </dgm:pt>
    <dgm:pt modelId="{DBDF10EE-7B0B-C04A-B2CD-5B73FAC92699}">
      <dgm:prSet phldrT="[Text]" custT="1"/>
      <dgm:spPr>
        <a:ln w="6350"/>
      </dgm:spPr>
      <dgm:t>
        <a:bodyPr/>
        <a:lstStyle/>
        <a:p>
          <a:r>
            <a:rPr lang="en-US" sz="1000">
              <a:latin typeface="Arial" panose="020B0604020202020204" pitchFamily="34" charset="0"/>
              <a:cs typeface="Arial" panose="020B0604020202020204" pitchFamily="34" charset="0"/>
            </a:rPr>
            <a:t>Improving customer service</a:t>
          </a:r>
        </a:p>
      </dgm:t>
    </dgm:pt>
    <dgm:pt modelId="{4F513DDC-CDF2-0144-BC13-A7E19CB3083C}" type="parTrans" cxnId="{41214155-DA8E-574A-A773-2133B655844B}">
      <dgm:prSet/>
      <dgm:spPr>
        <a:ln w="6350"/>
      </dgm:spPr>
      <dgm:t>
        <a:bodyPr/>
        <a:lstStyle/>
        <a:p>
          <a:endParaRPr lang="en-US"/>
        </a:p>
      </dgm:t>
    </dgm:pt>
    <dgm:pt modelId="{B9DE583D-2A81-D747-AE42-6D602D835F58}" type="sibTrans" cxnId="{41214155-DA8E-574A-A773-2133B655844B}">
      <dgm:prSet/>
      <dgm:spPr/>
      <dgm:t>
        <a:bodyPr/>
        <a:lstStyle/>
        <a:p>
          <a:endParaRPr lang="en-US"/>
        </a:p>
      </dgm:t>
    </dgm:pt>
    <dgm:pt modelId="{C1CE4025-FF26-D647-9607-70EF5E2638A9}" type="pres">
      <dgm:prSet presAssocID="{08011B6C-0966-4E4B-BFC9-1D329F3D4D4F}" presName="hierChild1" presStyleCnt="0">
        <dgm:presLayoutVars>
          <dgm:orgChart val="1"/>
          <dgm:chPref val="1"/>
          <dgm:dir/>
          <dgm:animOne val="branch"/>
          <dgm:animLvl val="lvl"/>
          <dgm:resizeHandles/>
        </dgm:presLayoutVars>
      </dgm:prSet>
      <dgm:spPr/>
      <dgm:t>
        <a:bodyPr/>
        <a:lstStyle/>
        <a:p>
          <a:endParaRPr lang="en-US"/>
        </a:p>
      </dgm:t>
    </dgm:pt>
    <dgm:pt modelId="{8A84F57E-B348-6444-9CF4-01C5F827B9E2}" type="pres">
      <dgm:prSet presAssocID="{1CE2746B-C91C-EB42-8102-EC99716DE27B}" presName="hierRoot1" presStyleCnt="0">
        <dgm:presLayoutVars>
          <dgm:hierBranch val="hang"/>
        </dgm:presLayoutVars>
      </dgm:prSet>
      <dgm:spPr/>
    </dgm:pt>
    <dgm:pt modelId="{E6EAAD9B-EFCD-DB4D-B5C6-AA2F50CD8E98}" type="pres">
      <dgm:prSet presAssocID="{1CE2746B-C91C-EB42-8102-EC99716DE27B}" presName="rootComposite1" presStyleCnt="0"/>
      <dgm:spPr/>
    </dgm:pt>
    <dgm:pt modelId="{2ED8055E-366E-934A-873B-7A61138177E7}" type="pres">
      <dgm:prSet presAssocID="{1CE2746B-C91C-EB42-8102-EC99716DE27B}" presName="rootText1" presStyleLbl="node0" presStyleIdx="0" presStyleCnt="1">
        <dgm:presLayoutVars>
          <dgm:chPref val="3"/>
        </dgm:presLayoutVars>
      </dgm:prSet>
      <dgm:spPr/>
      <dgm:t>
        <a:bodyPr/>
        <a:lstStyle/>
        <a:p>
          <a:endParaRPr lang="en-US"/>
        </a:p>
      </dgm:t>
    </dgm:pt>
    <dgm:pt modelId="{EF989261-FA08-8441-BFE5-B474329669D8}" type="pres">
      <dgm:prSet presAssocID="{1CE2746B-C91C-EB42-8102-EC99716DE27B}" presName="rootConnector1" presStyleLbl="node1" presStyleIdx="0" presStyleCnt="0"/>
      <dgm:spPr/>
      <dgm:t>
        <a:bodyPr/>
        <a:lstStyle/>
        <a:p>
          <a:endParaRPr lang="en-US"/>
        </a:p>
      </dgm:t>
    </dgm:pt>
    <dgm:pt modelId="{F3B3CA8B-8ED5-FD41-87C9-3C4C84D5D77F}" type="pres">
      <dgm:prSet presAssocID="{1CE2746B-C91C-EB42-8102-EC99716DE27B}" presName="hierChild2" presStyleCnt="0"/>
      <dgm:spPr/>
    </dgm:pt>
    <dgm:pt modelId="{48D09A40-BE6A-7E49-87C5-3C9A902919F8}" type="pres">
      <dgm:prSet presAssocID="{568A1DEF-BEBC-A641-B35F-CB37A0EC1613}" presName="Name48" presStyleLbl="parChTrans1D2" presStyleIdx="0" presStyleCnt="7"/>
      <dgm:spPr/>
      <dgm:t>
        <a:bodyPr/>
        <a:lstStyle/>
        <a:p>
          <a:endParaRPr lang="en-US"/>
        </a:p>
      </dgm:t>
    </dgm:pt>
    <dgm:pt modelId="{E97FB050-E8EE-EC4B-9A0D-F67B31571423}" type="pres">
      <dgm:prSet presAssocID="{F51E39E9-D417-B547-97EE-3D156904B440}" presName="hierRoot2" presStyleCnt="0">
        <dgm:presLayoutVars>
          <dgm:hierBranch val="init"/>
        </dgm:presLayoutVars>
      </dgm:prSet>
      <dgm:spPr/>
    </dgm:pt>
    <dgm:pt modelId="{04E76498-7CCC-AD44-9A0F-24BD175D9051}" type="pres">
      <dgm:prSet presAssocID="{F51E39E9-D417-B547-97EE-3D156904B440}" presName="rootComposite" presStyleCnt="0"/>
      <dgm:spPr/>
    </dgm:pt>
    <dgm:pt modelId="{4EFAD27C-C590-FB47-97BD-C1DF094B4FAC}" type="pres">
      <dgm:prSet presAssocID="{F51E39E9-D417-B547-97EE-3D156904B440}" presName="rootText" presStyleLbl="node2" presStyleIdx="0" presStyleCnt="7">
        <dgm:presLayoutVars>
          <dgm:chPref val="3"/>
        </dgm:presLayoutVars>
      </dgm:prSet>
      <dgm:spPr/>
      <dgm:t>
        <a:bodyPr/>
        <a:lstStyle/>
        <a:p>
          <a:endParaRPr lang="en-US"/>
        </a:p>
      </dgm:t>
    </dgm:pt>
    <dgm:pt modelId="{7D3BB6BC-740B-4A47-8A4A-3CEBCD2BAE10}" type="pres">
      <dgm:prSet presAssocID="{F51E39E9-D417-B547-97EE-3D156904B440}" presName="rootConnector" presStyleLbl="node2" presStyleIdx="0" presStyleCnt="7"/>
      <dgm:spPr/>
      <dgm:t>
        <a:bodyPr/>
        <a:lstStyle/>
        <a:p>
          <a:endParaRPr lang="en-US"/>
        </a:p>
      </dgm:t>
    </dgm:pt>
    <dgm:pt modelId="{A315BEEF-C62D-D14D-A05B-14ED030D0BDC}" type="pres">
      <dgm:prSet presAssocID="{F51E39E9-D417-B547-97EE-3D156904B440}" presName="hierChild4" presStyleCnt="0"/>
      <dgm:spPr/>
    </dgm:pt>
    <dgm:pt modelId="{8E616B1C-858E-AF49-BC6E-4B45E76B1FEF}" type="pres">
      <dgm:prSet presAssocID="{F51E39E9-D417-B547-97EE-3D156904B440}" presName="hierChild5" presStyleCnt="0"/>
      <dgm:spPr/>
    </dgm:pt>
    <dgm:pt modelId="{9682F2E7-EB39-1341-B0EA-14662F9AC9C3}" type="pres">
      <dgm:prSet presAssocID="{A90E1842-F9A7-2745-AAB9-F10639E8B491}" presName="Name48" presStyleLbl="parChTrans1D2" presStyleIdx="1" presStyleCnt="7"/>
      <dgm:spPr/>
      <dgm:t>
        <a:bodyPr/>
        <a:lstStyle/>
        <a:p>
          <a:endParaRPr lang="en-US"/>
        </a:p>
      </dgm:t>
    </dgm:pt>
    <dgm:pt modelId="{0CB4A8F6-840A-1641-A6B5-2997EE968A95}" type="pres">
      <dgm:prSet presAssocID="{49803802-7BBC-BA40-856B-E11FE9C7BB48}" presName="hierRoot2" presStyleCnt="0">
        <dgm:presLayoutVars>
          <dgm:hierBranch val="init"/>
        </dgm:presLayoutVars>
      </dgm:prSet>
      <dgm:spPr/>
    </dgm:pt>
    <dgm:pt modelId="{A3186775-0C0E-2347-AB65-B3026919DB3A}" type="pres">
      <dgm:prSet presAssocID="{49803802-7BBC-BA40-856B-E11FE9C7BB48}" presName="rootComposite" presStyleCnt="0"/>
      <dgm:spPr/>
    </dgm:pt>
    <dgm:pt modelId="{9EA0299F-2DBA-F543-8BDF-808083018067}" type="pres">
      <dgm:prSet presAssocID="{49803802-7BBC-BA40-856B-E11FE9C7BB48}" presName="rootText" presStyleLbl="node2" presStyleIdx="1" presStyleCnt="7">
        <dgm:presLayoutVars>
          <dgm:chPref val="3"/>
        </dgm:presLayoutVars>
      </dgm:prSet>
      <dgm:spPr/>
      <dgm:t>
        <a:bodyPr/>
        <a:lstStyle/>
        <a:p>
          <a:endParaRPr lang="en-US"/>
        </a:p>
      </dgm:t>
    </dgm:pt>
    <dgm:pt modelId="{819E0369-4D6C-EF42-9B3B-873380630A74}" type="pres">
      <dgm:prSet presAssocID="{49803802-7BBC-BA40-856B-E11FE9C7BB48}" presName="rootConnector" presStyleLbl="node2" presStyleIdx="1" presStyleCnt="7"/>
      <dgm:spPr/>
      <dgm:t>
        <a:bodyPr/>
        <a:lstStyle/>
        <a:p>
          <a:endParaRPr lang="en-US"/>
        </a:p>
      </dgm:t>
    </dgm:pt>
    <dgm:pt modelId="{10CA1803-A6BB-D741-AEB6-F417BFD6EBF6}" type="pres">
      <dgm:prSet presAssocID="{49803802-7BBC-BA40-856B-E11FE9C7BB48}" presName="hierChild4" presStyleCnt="0"/>
      <dgm:spPr/>
    </dgm:pt>
    <dgm:pt modelId="{8AE67B6E-B311-7642-B136-5C6331AD66F6}" type="pres">
      <dgm:prSet presAssocID="{49803802-7BBC-BA40-856B-E11FE9C7BB48}" presName="hierChild5" presStyleCnt="0"/>
      <dgm:spPr/>
    </dgm:pt>
    <dgm:pt modelId="{6274557B-9025-AF4A-AF92-FEAF0BAD1B08}" type="pres">
      <dgm:prSet presAssocID="{EEA11E6C-CFFE-234F-B907-5796CE695DCD}" presName="Name48" presStyleLbl="parChTrans1D2" presStyleIdx="2" presStyleCnt="7"/>
      <dgm:spPr/>
      <dgm:t>
        <a:bodyPr/>
        <a:lstStyle/>
        <a:p>
          <a:endParaRPr lang="en-US"/>
        </a:p>
      </dgm:t>
    </dgm:pt>
    <dgm:pt modelId="{A9E2255C-458A-414A-AA24-2C226A8FC7A9}" type="pres">
      <dgm:prSet presAssocID="{09335C5E-4961-5642-979C-F140B923597C}" presName="hierRoot2" presStyleCnt="0">
        <dgm:presLayoutVars>
          <dgm:hierBranch val="init"/>
        </dgm:presLayoutVars>
      </dgm:prSet>
      <dgm:spPr/>
    </dgm:pt>
    <dgm:pt modelId="{14C5DCAF-7CB4-424A-9F17-2720CE26956F}" type="pres">
      <dgm:prSet presAssocID="{09335C5E-4961-5642-979C-F140B923597C}" presName="rootComposite" presStyleCnt="0"/>
      <dgm:spPr/>
    </dgm:pt>
    <dgm:pt modelId="{50CFD993-1D2F-D94D-9B49-B3E2F250B7D1}" type="pres">
      <dgm:prSet presAssocID="{09335C5E-4961-5642-979C-F140B923597C}" presName="rootText" presStyleLbl="node2" presStyleIdx="2" presStyleCnt="7">
        <dgm:presLayoutVars>
          <dgm:chPref val="3"/>
        </dgm:presLayoutVars>
      </dgm:prSet>
      <dgm:spPr/>
      <dgm:t>
        <a:bodyPr/>
        <a:lstStyle/>
        <a:p>
          <a:endParaRPr lang="en-US"/>
        </a:p>
      </dgm:t>
    </dgm:pt>
    <dgm:pt modelId="{352CA079-2B50-944F-A0AE-F079C2C16F15}" type="pres">
      <dgm:prSet presAssocID="{09335C5E-4961-5642-979C-F140B923597C}" presName="rootConnector" presStyleLbl="node2" presStyleIdx="2" presStyleCnt="7"/>
      <dgm:spPr/>
      <dgm:t>
        <a:bodyPr/>
        <a:lstStyle/>
        <a:p>
          <a:endParaRPr lang="en-US"/>
        </a:p>
      </dgm:t>
    </dgm:pt>
    <dgm:pt modelId="{9914D42F-65B4-B24D-A19C-690A54DBA967}" type="pres">
      <dgm:prSet presAssocID="{09335C5E-4961-5642-979C-F140B923597C}" presName="hierChild4" presStyleCnt="0"/>
      <dgm:spPr/>
    </dgm:pt>
    <dgm:pt modelId="{5B594D56-C8F9-0841-B03E-58A66EC03F53}" type="pres">
      <dgm:prSet presAssocID="{09335C5E-4961-5642-979C-F140B923597C}" presName="hierChild5" presStyleCnt="0"/>
      <dgm:spPr/>
    </dgm:pt>
    <dgm:pt modelId="{AE9DAF5C-475B-3F4E-862B-777117FE303F}" type="pres">
      <dgm:prSet presAssocID="{13DFC454-6CA6-DC41-B13C-30D90A53576E}" presName="Name48" presStyleLbl="parChTrans1D2" presStyleIdx="3" presStyleCnt="7"/>
      <dgm:spPr/>
      <dgm:t>
        <a:bodyPr/>
        <a:lstStyle/>
        <a:p>
          <a:endParaRPr lang="en-US"/>
        </a:p>
      </dgm:t>
    </dgm:pt>
    <dgm:pt modelId="{96B6ABFB-6D21-6542-A275-E271B01A8D90}" type="pres">
      <dgm:prSet presAssocID="{F1A7B090-6CE5-654B-AD8F-BB6FD77A38A8}" presName="hierRoot2" presStyleCnt="0">
        <dgm:presLayoutVars>
          <dgm:hierBranch val="init"/>
        </dgm:presLayoutVars>
      </dgm:prSet>
      <dgm:spPr/>
    </dgm:pt>
    <dgm:pt modelId="{45AD551B-D018-C242-97C4-04D7412629B7}" type="pres">
      <dgm:prSet presAssocID="{F1A7B090-6CE5-654B-AD8F-BB6FD77A38A8}" presName="rootComposite" presStyleCnt="0"/>
      <dgm:spPr/>
    </dgm:pt>
    <dgm:pt modelId="{6D4FC70E-B56C-E74B-B88B-1ADF8C9CB61D}" type="pres">
      <dgm:prSet presAssocID="{F1A7B090-6CE5-654B-AD8F-BB6FD77A38A8}" presName="rootText" presStyleLbl="node2" presStyleIdx="3" presStyleCnt="7">
        <dgm:presLayoutVars>
          <dgm:chPref val="3"/>
        </dgm:presLayoutVars>
      </dgm:prSet>
      <dgm:spPr/>
      <dgm:t>
        <a:bodyPr/>
        <a:lstStyle/>
        <a:p>
          <a:endParaRPr lang="en-US"/>
        </a:p>
      </dgm:t>
    </dgm:pt>
    <dgm:pt modelId="{BE774BD7-CB6C-C143-934B-358FCCD50950}" type="pres">
      <dgm:prSet presAssocID="{F1A7B090-6CE5-654B-AD8F-BB6FD77A38A8}" presName="rootConnector" presStyleLbl="node2" presStyleIdx="3" presStyleCnt="7"/>
      <dgm:spPr/>
      <dgm:t>
        <a:bodyPr/>
        <a:lstStyle/>
        <a:p>
          <a:endParaRPr lang="en-US"/>
        </a:p>
      </dgm:t>
    </dgm:pt>
    <dgm:pt modelId="{08948906-3C33-A84D-8F7C-C9E1D415B377}" type="pres">
      <dgm:prSet presAssocID="{F1A7B090-6CE5-654B-AD8F-BB6FD77A38A8}" presName="hierChild4" presStyleCnt="0"/>
      <dgm:spPr/>
    </dgm:pt>
    <dgm:pt modelId="{728FB477-5AFE-0A4F-866E-35F0F8B0A8C8}" type="pres">
      <dgm:prSet presAssocID="{F1A7B090-6CE5-654B-AD8F-BB6FD77A38A8}" presName="hierChild5" presStyleCnt="0"/>
      <dgm:spPr/>
    </dgm:pt>
    <dgm:pt modelId="{E4721F17-21A4-024A-A54C-82ABD49C71E8}" type="pres">
      <dgm:prSet presAssocID="{6BD0927A-9E33-C946-A500-301E24A401AB}" presName="Name48" presStyleLbl="parChTrans1D2" presStyleIdx="4" presStyleCnt="7"/>
      <dgm:spPr/>
      <dgm:t>
        <a:bodyPr/>
        <a:lstStyle/>
        <a:p>
          <a:endParaRPr lang="en-US"/>
        </a:p>
      </dgm:t>
    </dgm:pt>
    <dgm:pt modelId="{43515F1B-8825-A443-A54D-53D930CF59BA}" type="pres">
      <dgm:prSet presAssocID="{367EDBC5-246E-C649-A58A-1395A2B6B577}" presName="hierRoot2" presStyleCnt="0">
        <dgm:presLayoutVars>
          <dgm:hierBranch val="init"/>
        </dgm:presLayoutVars>
      </dgm:prSet>
      <dgm:spPr/>
    </dgm:pt>
    <dgm:pt modelId="{87E8A444-E303-2E4C-BA31-A5032C70152E}" type="pres">
      <dgm:prSet presAssocID="{367EDBC5-246E-C649-A58A-1395A2B6B577}" presName="rootComposite" presStyleCnt="0"/>
      <dgm:spPr/>
    </dgm:pt>
    <dgm:pt modelId="{DAD93DC1-25BE-7E4F-A71B-18A73FB419C5}" type="pres">
      <dgm:prSet presAssocID="{367EDBC5-246E-C649-A58A-1395A2B6B577}" presName="rootText" presStyleLbl="node2" presStyleIdx="4" presStyleCnt="7">
        <dgm:presLayoutVars>
          <dgm:chPref val="3"/>
        </dgm:presLayoutVars>
      </dgm:prSet>
      <dgm:spPr/>
      <dgm:t>
        <a:bodyPr/>
        <a:lstStyle/>
        <a:p>
          <a:endParaRPr lang="en-US"/>
        </a:p>
      </dgm:t>
    </dgm:pt>
    <dgm:pt modelId="{F875BAD6-4D8C-2745-A3CB-B242F3F55DE3}" type="pres">
      <dgm:prSet presAssocID="{367EDBC5-246E-C649-A58A-1395A2B6B577}" presName="rootConnector" presStyleLbl="node2" presStyleIdx="4" presStyleCnt="7"/>
      <dgm:spPr/>
      <dgm:t>
        <a:bodyPr/>
        <a:lstStyle/>
        <a:p>
          <a:endParaRPr lang="en-US"/>
        </a:p>
      </dgm:t>
    </dgm:pt>
    <dgm:pt modelId="{515CAA11-9D2F-1246-B1EA-3EFBFD57C34B}" type="pres">
      <dgm:prSet presAssocID="{367EDBC5-246E-C649-A58A-1395A2B6B577}" presName="hierChild4" presStyleCnt="0"/>
      <dgm:spPr/>
    </dgm:pt>
    <dgm:pt modelId="{4E93CA55-3726-C645-BB1E-92375C133C85}" type="pres">
      <dgm:prSet presAssocID="{367EDBC5-246E-C649-A58A-1395A2B6B577}" presName="hierChild5" presStyleCnt="0"/>
      <dgm:spPr/>
    </dgm:pt>
    <dgm:pt modelId="{1E93396E-4507-8C44-85DB-B9673A643E4C}" type="pres">
      <dgm:prSet presAssocID="{E71E3B85-599A-AF49-806E-3E3502EB8388}" presName="Name48" presStyleLbl="parChTrans1D2" presStyleIdx="5" presStyleCnt="7"/>
      <dgm:spPr/>
      <dgm:t>
        <a:bodyPr/>
        <a:lstStyle/>
        <a:p>
          <a:endParaRPr lang="en-US"/>
        </a:p>
      </dgm:t>
    </dgm:pt>
    <dgm:pt modelId="{D1572F7B-6F5B-B049-B819-0B27E59879CF}" type="pres">
      <dgm:prSet presAssocID="{C84ED9EE-B8A9-594F-8344-B3173AC2ED6A}" presName="hierRoot2" presStyleCnt="0">
        <dgm:presLayoutVars>
          <dgm:hierBranch val="init"/>
        </dgm:presLayoutVars>
      </dgm:prSet>
      <dgm:spPr/>
    </dgm:pt>
    <dgm:pt modelId="{75B2F66A-150D-1944-8A96-CD6A45E4DF55}" type="pres">
      <dgm:prSet presAssocID="{C84ED9EE-B8A9-594F-8344-B3173AC2ED6A}" presName="rootComposite" presStyleCnt="0"/>
      <dgm:spPr/>
    </dgm:pt>
    <dgm:pt modelId="{0E27543F-48C8-E64C-A1C8-756E8B233F9E}" type="pres">
      <dgm:prSet presAssocID="{C84ED9EE-B8A9-594F-8344-B3173AC2ED6A}" presName="rootText" presStyleLbl="node2" presStyleIdx="5" presStyleCnt="7">
        <dgm:presLayoutVars>
          <dgm:chPref val="3"/>
        </dgm:presLayoutVars>
      </dgm:prSet>
      <dgm:spPr/>
      <dgm:t>
        <a:bodyPr/>
        <a:lstStyle/>
        <a:p>
          <a:endParaRPr lang="en-US"/>
        </a:p>
      </dgm:t>
    </dgm:pt>
    <dgm:pt modelId="{C7C09576-8DE1-7A4E-84F7-4C07B6C1497E}" type="pres">
      <dgm:prSet presAssocID="{C84ED9EE-B8A9-594F-8344-B3173AC2ED6A}" presName="rootConnector" presStyleLbl="node2" presStyleIdx="5" presStyleCnt="7"/>
      <dgm:spPr/>
      <dgm:t>
        <a:bodyPr/>
        <a:lstStyle/>
        <a:p>
          <a:endParaRPr lang="en-US"/>
        </a:p>
      </dgm:t>
    </dgm:pt>
    <dgm:pt modelId="{4CB82A64-3A9B-C14B-870F-AA9559D5FED5}" type="pres">
      <dgm:prSet presAssocID="{C84ED9EE-B8A9-594F-8344-B3173AC2ED6A}" presName="hierChild4" presStyleCnt="0"/>
      <dgm:spPr/>
    </dgm:pt>
    <dgm:pt modelId="{80928819-74A2-1745-92B2-D3E8B61E8F3E}" type="pres">
      <dgm:prSet presAssocID="{C84ED9EE-B8A9-594F-8344-B3173AC2ED6A}" presName="hierChild5" presStyleCnt="0"/>
      <dgm:spPr/>
    </dgm:pt>
    <dgm:pt modelId="{40FC3770-6646-0E49-B2A5-C635C8D8AC7E}" type="pres">
      <dgm:prSet presAssocID="{4F513DDC-CDF2-0144-BC13-A7E19CB3083C}" presName="Name48" presStyleLbl="parChTrans1D2" presStyleIdx="6" presStyleCnt="7"/>
      <dgm:spPr/>
      <dgm:t>
        <a:bodyPr/>
        <a:lstStyle/>
        <a:p>
          <a:endParaRPr lang="en-US"/>
        </a:p>
      </dgm:t>
    </dgm:pt>
    <dgm:pt modelId="{853A6535-074A-2D4F-9CC5-7758EECDF71E}" type="pres">
      <dgm:prSet presAssocID="{DBDF10EE-7B0B-C04A-B2CD-5B73FAC92699}" presName="hierRoot2" presStyleCnt="0">
        <dgm:presLayoutVars>
          <dgm:hierBranch val="init"/>
        </dgm:presLayoutVars>
      </dgm:prSet>
      <dgm:spPr/>
    </dgm:pt>
    <dgm:pt modelId="{452A1A45-7C1B-F24E-93BB-BA1BED9566EA}" type="pres">
      <dgm:prSet presAssocID="{DBDF10EE-7B0B-C04A-B2CD-5B73FAC92699}" presName="rootComposite" presStyleCnt="0"/>
      <dgm:spPr/>
    </dgm:pt>
    <dgm:pt modelId="{0ACEEC03-A717-7340-AB15-E7E4B33AC8F2}" type="pres">
      <dgm:prSet presAssocID="{DBDF10EE-7B0B-C04A-B2CD-5B73FAC92699}" presName="rootText" presStyleLbl="node2" presStyleIdx="6" presStyleCnt="7">
        <dgm:presLayoutVars>
          <dgm:chPref val="3"/>
        </dgm:presLayoutVars>
      </dgm:prSet>
      <dgm:spPr/>
      <dgm:t>
        <a:bodyPr/>
        <a:lstStyle/>
        <a:p>
          <a:endParaRPr lang="en-US"/>
        </a:p>
      </dgm:t>
    </dgm:pt>
    <dgm:pt modelId="{0F3BC70F-9E32-2044-B337-2A6AE6CE44F3}" type="pres">
      <dgm:prSet presAssocID="{DBDF10EE-7B0B-C04A-B2CD-5B73FAC92699}" presName="rootConnector" presStyleLbl="node2" presStyleIdx="6" presStyleCnt="7"/>
      <dgm:spPr/>
      <dgm:t>
        <a:bodyPr/>
        <a:lstStyle/>
        <a:p>
          <a:endParaRPr lang="en-US"/>
        </a:p>
      </dgm:t>
    </dgm:pt>
    <dgm:pt modelId="{83E1A8B6-1FBF-AE42-AA5C-B3FB83FF775C}" type="pres">
      <dgm:prSet presAssocID="{DBDF10EE-7B0B-C04A-B2CD-5B73FAC92699}" presName="hierChild4" presStyleCnt="0"/>
      <dgm:spPr/>
    </dgm:pt>
    <dgm:pt modelId="{178CD2B9-028F-3F49-BA76-39A48157C0BE}" type="pres">
      <dgm:prSet presAssocID="{DBDF10EE-7B0B-C04A-B2CD-5B73FAC92699}" presName="hierChild5" presStyleCnt="0"/>
      <dgm:spPr/>
    </dgm:pt>
    <dgm:pt modelId="{9E4166B3-B4BE-3741-A751-F810620AC4FC}" type="pres">
      <dgm:prSet presAssocID="{1CE2746B-C91C-EB42-8102-EC99716DE27B}" presName="hierChild3" presStyleCnt="0"/>
      <dgm:spPr/>
    </dgm:pt>
  </dgm:ptLst>
  <dgm:cxnLst>
    <dgm:cxn modelId="{B10A20C5-E08E-5642-9F67-7DDF46AC628B}" srcId="{1CE2746B-C91C-EB42-8102-EC99716DE27B}" destId="{F51E39E9-D417-B547-97EE-3D156904B440}" srcOrd="0" destOrd="0" parTransId="{568A1DEF-BEBC-A641-B35F-CB37A0EC1613}" sibTransId="{DFA933C5-96C1-3143-887E-65743235FBAB}"/>
    <dgm:cxn modelId="{41214155-DA8E-574A-A773-2133B655844B}" srcId="{1CE2746B-C91C-EB42-8102-EC99716DE27B}" destId="{DBDF10EE-7B0B-C04A-B2CD-5B73FAC92699}" srcOrd="6" destOrd="0" parTransId="{4F513DDC-CDF2-0144-BC13-A7E19CB3083C}" sibTransId="{B9DE583D-2A81-D747-AE42-6D602D835F58}"/>
    <dgm:cxn modelId="{A5127D9A-595D-C040-949C-6C4BDB393E20}" srcId="{08011B6C-0966-4E4B-BFC9-1D329F3D4D4F}" destId="{1CE2746B-C91C-EB42-8102-EC99716DE27B}" srcOrd="0" destOrd="0" parTransId="{640577F2-28EC-5A43-9E50-9CFB382E92A7}" sibTransId="{980573F4-5AFF-E447-BA07-1917BDF58CEE}"/>
    <dgm:cxn modelId="{D257F951-C6E2-3045-BF7F-5FCB7CD41C81}" type="presOf" srcId="{A90E1842-F9A7-2745-AAB9-F10639E8B491}" destId="{9682F2E7-EB39-1341-B0EA-14662F9AC9C3}" srcOrd="0" destOrd="0" presId="urn:microsoft.com/office/officeart/2005/8/layout/orgChart1"/>
    <dgm:cxn modelId="{C43259F8-E35D-1349-B9E0-E9BD426BC9D2}" type="presOf" srcId="{C84ED9EE-B8A9-594F-8344-B3173AC2ED6A}" destId="{C7C09576-8DE1-7A4E-84F7-4C07B6C1497E}" srcOrd="1" destOrd="0" presId="urn:microsoft.com/office/officeart/2005/8/layout/orgChart1"/>
    <dgm:cxn modelId="{F267CBCD-2B9F-8B4D-BB6B-A5D60A76EFBA}" srcId="{1CE2746B-C91C-EB42-8102-EC99716DE27B}" destId="{F1A7B090-6CE5-654B-AD8F-BB6FD77A38A8}" srcOrd="3" destOrd="0" parTransId="{13DFC454-6CA6-DC41-B13C-30D90A53576E}" sibTransId="{B339B79D-0517-A446-B1CF-DACB2A1240FB}"/>
    <dgm:cxn modelId="{4ACF66E3-25C2-AD4D-856C-1BCE895D9577}" type="presOf" srcId="{EEA11E6C-CFFE-234F-B907-5796CE695DCD}" destId="{6274557B-9025-AF4A-AF92-FEAF0BAD1B08}" srcOrd="0" destOrd="0" presId="urn:microsoft.com/office/officeart/2005/8/layout/orgChart1"/>
    <dgm:cxn modelId="{BF137538-F195-3142-A77F-C04FA5B0C132}" type="presOf" srcId="{4F513DDC-CDF2-0144-BC13-A7E19CB3083C}" destId="{40FC3770-6646-0E49-B2A5-C635C8D8AC7E}" srcOrd="0" destOrd="0" presId="urn:microsoft.com/office/officeart/2005/8/layout/orgChart1"/>
    <dgm:cxn modelId="{340B256B-B50D-1B42-BC4D-275175DEA40B}" type="presOf" srcId="{F1A7B090-6CE5-654B-AD8F-BB6FD77A38A8}" destId="{6D4FC70E-B56C-E74B-B88B-1ADF8C9CB61D}" srcOrd="0" destOrd="0" presId="urn:microsoft.com/office/officeart/2005/8/layout/orgChart1"/>
    <dgm:cxn modelId="{2E522352-4122-D74C-ABFD-1A9D2D6EE909}" type="presOf" srcId="{568A1DEF-BEBC-A641-B35F-CB37A0EC1613}" destId="{48D09A40-BE6A-7E49-87C5-3C9A902919F8}" srcOrd="0" destOrd="0" presId="urn:microsoft.com/office/officeart/2005/8/layout/orgChart1"/>
    <dgm:cxn modelId="{03468DB6-A2CB-BE4F-841D-B7A159876752}" type="presOf" srcId="{08011B6C-0966-4E4B-BFC9-1D329F3D4D4F}" destId="{C1CE4025-FF26-D647-9607-70EF5E2638A9}" srcOrd="0" destOrd="0" presId="urn:microsoft.com/office/officeart/2005/8/layout/orgChart1"/>
    <dgm:cxn modelId="{58C26EB3-C536-0547-BD4B-8569C2F402FC}" type="presOf" srcId="{09335C5E-4961-5642-979C-F140B923597C}" destId="{352CA079-2B50-944F-A0AE-F079C2C16F15}" srcOrd="1" destOrd="0" presId="urn:microsoft.com/office/officeart/2005/8/layout/orgChart1"/>
    <dgm:cxn modelId="{1824336A-6B15-2F4D-8E2D-FC17970B6DD9}" type="presOf" srcId="{13DFC454-6CA6-DC41-B13C-30D90A53576E}" destId="{AE9DAF5C-475B-3F4E-862B-777117FE303F}" srcOrd="0" destOrd="0" presId="urn:microsoft.com/office/officeart/2005/8/layout/orgChart1"/>
    <dgm:cxn modelId="{9E8403DE-CDD3-F84C-B936-7032DD50272C}" type="presOf" srcId="{09335C5E-4961-5642-979C-F140B923597C}" destId="{50CFD993-1D2F-D94D-9B49-B3E2F250B7D1}" srcOrd="0" destOrd="0" presId="urn:microsoft.com/office/officeart/2005/8/layout/orgChart1"/>
    <dgm:cxn modelId="{0D12FE3F-5946-6646-9F4E-23C282695AEA}" type="presOf" srcId="{1CE2746B-C91C-EB42-8102-EC99716DE27B}" destId="{2ED8055E-366E-934A-873B-7A61138177E7}" srcOrd="0" destOrd="0" presId="urn:microsoft.com/office/officeart/2005/8/layout/orgChart1"/>
    <dgm:cxn modelId="{24B72EAB-1438-0046-AE13-733E686FB224}" srcId="{1CE2746B-C91C-EB42-8102-EC99716DE27B}" destId="{367EDBC5-246E-C649-A58A-1395A2B6B577}" srcOrd="4" destOrd="0" parTransId="{6BD0927A-9E33-C946-A500-301E24A401AB}" sibTransId="{B0656CD1-DE59-644B-A8AF-41CD183436F0}"/>
    <dgm:cxn modelId="{003474AB-6FB8-FE42-A98E-C32F8CD7FC3D}" srcId="{1CE2746B-C91C-EB42-8102-EC99716DE27B}" destId="{49803802-7BBC-BA40-856B-E11FE9C7BB48}" srcOrd="1" destOrd="0" parTransId="{A90E1842-F9A7-2745-AAB9-F10639E8B491}" sibTransId="{D720595B-649B-AB4C-82AD-EEEDF6554A80}"/>
    <dgm:cxn modelId="{A56FCF98-1EB6-0D40-AC85-F8AE93AD4722}" type="presOf" srcId="{F51E39E9-D417-B547-97EE-3D156904B440}" destId="{4EFAD27C-C590-FB47-97BD-C1DF094B4FAC}" srcOrd="0" destOrd="0" presId="urn:microsoft.com/office/officeart/2005/8/layout/orgChart1"/>
    <dgm:cxn modelId="{64A5A6DD-F6D7-5D4A-B789-F9F472BD7402}" srcId="{1CE2746B-C91C-EB42-8102-EC99716DE27B}" destId="{C84ED9EE-B8A9-594F-8344-B3173AC2ED6A}" srcOrd="5" destOrd="0" parTransId="{E71E3B85-599A-AF49-806E-3E3502EB8388}" sibTransId="{74E568F9-0489-3D40-8CED-77810B8A77E9}"/>
    <dgm:cxn modelId="{41C1F2D9-B721-0748-8395-E80AC57A6B43}" type="presOf" srcId="{1CE2746B-C91C-EB42-8102-EC99716DE27B}" destId="{EF989261-FA08-8441-BFE5-B474329669D8}" srcOrd="1" destOrd="0" presId="urn:microsoft.com/office/officeart/2005/8/layout/orgChart1"/>
    <dgm:cxn modelId="{E49053F0-6E6A-FE47-9DC5-5F0FCA1A7E42}" type="presOf" srcId="{49803802-7BBC-BA40-856B-E11FE9C7BB48}" destId="{9EA0299F-2DBA-F543-8BDF-808083018067}" srcOrd="0" destOrd="0" presId="urn:microsoft.com/office/officeart/2005/8/layout/orgChart1"/>
    <dgm:cxn modelId="{8FC905E9-572A-584C-8C4D-2FB149213F19}" type="presOf" srcId="{367EDBC5-246E-C649-A58A-1395A2B6B577}" destId="{F875BAD6-4D8C-2745-A3CB-B242F3F55DE3}" srcOrd="1" destOrd="0" presId="urn:microsoft.com/office/officeart/2005/8/layout/orgChart1"/>
    <dgm:cxn modelId="{428BCE0D-80EF-184B-9DE7-FC4D5B7CB03C}" type="presOf" srcId="{E71E3B85-599A-AF49-806E-3E3502EB8388}" destId="{1E93396E-4507-8C44-85DB-B9673A643E4C}" srcOrd="0" destOrd="0" presId="urn:microsoft.com/office/officeart/2005/8/layout/orgChart1"/>
    <dgm:cxn modelId="{B86A88E3-FE55-6049-8F1E-D3430746CAD0}" srcId="{1CE2746B-C91C-EB42-8102-EC99716DE27B}" destId="{09335C5E-4961-5642-979C-F140B923597C}" srcOrd="2" destOrd="0" parTransId="{EEA11E6C-CFFE-234F-B907-5796CE695DCD}" sibTransId="{7648BC34-768F-E94F-BDC5-44A561E2B7E2}"/>
    <dgm:cxn modelId="{EEE2F4F1-05D3-1B47-9259-FAB1CB390BE1}" type="presOf" srcId="{DBDF10EE-7B0B-C04A-B2CD-5B73FAC92699}" destId="{0ACEEC03-A717-7340-AB15-E7E4B33AC8F2}" srcOrd="0" destOrd="0" presId="urn:microsoft.com/office/officeart/2005/8/layout/orgChart1"/>
    <dgm:cxn modelId="{9285F48D-014C-0C45-9264-A5E74FA4A974}" type="presOf" srcId="{6BD0927A-9E33-C946-A500-301E24A401AB}" destId="{E4721F17-21A4-024A-A54C-82ABD49C71E8}" srcOrd="0" destOrd="0" presId="urn:microsoft.com/office/officeart/2005/8/layout/orgChart1"/>
    <dgm:cxn modelId="{C3D80C67-CF44-964C-9340-EE7467A47A33}" type="presOf" srcId="{F51E39E9-D417-B547-97EE-3D156904B440}" destId="{7D3BB6BC-740B-4A47-8A4A-3CEBCD2BAE10}" srcOrd="1" destOrd="0" presId="urn:microsoft.com/office/officeart/2005/8/layout/orgChart1"/>
    <dgm:cxn modelId="{7512245C-E0CF-2646-9B18-6FA50F3274DF}" type="presOf" srcId="{DBDF10EE-7B0B-C04A-B2CD-5B73FAC92699}" destId="{0F3BC70F-9E32-2044-B337-2A6AE6CE44F3}" srcOrd="1" destOrd="0" presId="urn:microsoft.com/office/officeart/2005/8/layout/orgChart1"/>
    <dgm:cxn modelId="{7A7C6840-E3CC-9E4D-BAA9-61F7E7CAC30F}" type="presOf" srcId="{F1A7B090-6CE5-654B-AD8F-BB6FD77A38A8}" destId="{BE774BD7-CB6C-C143-934B-358FCCD50950}" srcOrd="1" destOrd="0" presId="urn:microsoft.com/office/officeart/2005/8/layout/orgChart1"/>
    <dgm:cxn modelId="{A0F2691A-3588-DD4A-B6B8-B3FEFD948DE4}" type="presOf" srcId="{367EDBC5-246E-C649-A58A-1395A2B6B577}" destId="{DAD93DC1-25BE-7E4F-A71B-18A73FB419C5}" srcOrd="0" destOrd="0" presId="urn:microsoft.com/office/officeart/2005/8/layout/orgChart1"/>
    <dgm:cxn modelId="{E44A2398-2D69-9B46-B12C-D3AF5F7758B5}" type="presOf" srcId="{49803802-7BBC-BA40-856B-E11FE9C7BB48}" destId="{819E0369-4D6C-EF42-9B3B-873380630A74}" srcOrd="1" destOrd="0" presId="urn:microsoft.com/office/officeart/2005/8/layout/orgChart1"/>
    <dgm:cxn modelId="{71F88C6F-0649-634F-AA5A-7152D77F341D}" type="presOf" srcId="{C84ED9EE-B8A9-594F-8344-B3173AC2ED6A}" destId="{0E27543F-48C8-E64C-A1C8-756E8B233F9E}" srcOrd="0" destOrd="0" presId="urn:microsoft.com/office/officeart/2005/8/layout/orgChart1"/>
    <dgm:cxn modelId="{EFC6D299-256A-6645-9E43-D56413D103C7}" type="presParOf" srcId="{C1CE4025-FF26-D647-9607-70EF5E2638A9}" destId="{8A84F57E-B348-6444-9CF4-01C5F827B9E2}" srcOrd="0" destOrd="0" presId="urn:microsoft.com/office/officeart/2005/8/layout/orgChart1"/>
    <dgm:cxn modelId="{E4FDA495-4357-D340-AF7D-9BAB5D2B5585}" type="presParOf" srcId="{8A84F57E-B348-6444-9CF4-01C5F827B9E2}" destId="{E6EAAD9B-EFCD-DB4D-B5C6-AA2F50CD8E98}" srcOrd="0" destOrd="0" presId="urn:microsoft.com/office/officeart/2005/8/layout/orgChart1"/>
    <dgm:cxn modelId="{6234438D-9E89-4148-BC2C-161C144DC0DA}" type="presParOf" srcId="{E6EAAD9B-EFCD-DB4D-B5C6-AA2F50CD8E98}" destId="{2ED8055E-366E-934A-873B-7A61138177E7}" srcOrd="0" destOrd="0" presId="urn:microsoft.com/office/officeart/2005/8/layout/orgChart1"/>
    <dgm:cxn modelId="{F766A0BD-7C1F-6849-8911-792B8D93D2E0}" type="presParOf" srcId="{E6EAAD9B-EFCD-DB4D-B5C6-AA2F50CD8E98}" destId="{EF989261-FA08-8441-BFE5-B474329669D8}" srcOrd="1" destOrd="0" presId="urn:microsoft.com/office/officeart/2005/8/layout/orgChart1"/>
    <dgm:cxn modelId="{E51D63E4-EA67-0348-B041-2843C7248457}" type="presParOf" srcId="{8A84F57E-B348-6444-9CF4-01C5F827B9E2}" destId="{F3B3CA8B-8ED5-FD41-87C9-3C4C84D5D77F}" srcOrd="1" destOrd="0" presId="urn:microsoft.com/office/officeart/2005/8/layout/orgChart1"/>
    <dgm:cxn modelId="{671947A3-A00B-2148-BBAF-F69447C672C2}" type="presParOf" srcId="{F3B3CA8B-8ED5-FD41-87C9-3C4C84D5D77F}" destId="{48D09A40-BE6A-7E49-87C5-3C9A902919F8}" srcOrd="0" destOrd="0" presId="urn:microsoft.com/office/officeart/2005/8/layout/orgChart1"/>
    <dgm:cxn modelId="{E3CDC8A0-8E5A-8D4F-91AC-C2B3A55B894E}" type="presParOf" srcId="{F3B3CA8B-8ED5-FD41-87C9-3C4C84D5D77F}" destId="{E97FB050-E8EE-EC4B-9A0D-F67B31571423}" srcOrd="1" destOrd="0" presId="urn:microsoft.com/office/officeart/2005/8/layout/orgChart1"/>
    <dgm:cxn modelId="{BA386ED0-1E05-1843-A06B-92F650FD313B}" type="presParOf" srcId="{E97FB050-E8EE-EC4B-9A0D-F67B31571423}" destId="{04E76498-7CCC-AD44-9A0F-24BD175D9051}" srcOrd="0" destOrd="0" presId="urn:microsoft.com/office/officeart/2005/8/layout/orgChart1"/>
    <dgm:cxn modelId="{0D845FB6-25E8-5743-8A0B-80BE40DF38F6}" type="presParOf" srcId="{04E76498-7CCC-AD44-9A0F-24BD175D9051}" destId="{4EFAD27C-C590-FB47-97BD-C1DF094B4FAC}" srcOrd="0" destOrd="0" presId="urn:microsoft.com/office/officeart/2005/8/layout/orgChart1"/>
    <dgm:cxn modelId="{1BD8EDDE-73ED-A843-AD59-8A13F70CD29E}" type="presParOf" srcId="{04E76498-7CCC-AD44-9A0F-24BD175D9051}" destId="{7D3BB6BC-740B-4A47-8A4A-3CEBCD2BAE10}" srcOrd="1" destOrd="0" presId="urn:microsoft.com/office/officeart/2005/8/layout/orgChart1"/>
    <dgm:cxn modelId="{8129B149-7DFF-6743-8C37-4D777D081233}" type="presParOf" srcId="{E97FB050-E8EE-EC4B-9A0D-F67B31571423}" destId="{A315BEEF-C62D-D14D-A05B-14ED030D0BDC}" srcOrd="1" destOrd="0" presId="urn:microsoft.com/office/officeart/2005/8/layout/orgChart1"/>
    <dgm:cxn modelId="{E5C9929E-97E5-8B4C-930A-79E5230C8021}" type="presParOf" srcId="{E97FB050-E8EE-EC4B-9A0D-F67B31571423}" destId="{8E616B1C-858E-AF49-BC6E-4B45E76B1FEF}" srcOrd="2" destOrd="0" presId="urn:microsoft.com/office/officeart/2005/8/layout/orgChart1"/>
    <dgm:cxn modelId="{A1AAFC87-29AB-DF4E-83A4-1204C5FAED1D}" type="presParOf" srcId="{F3B3CA8B-8ED5-FD41-87C9-3C4C84D5D77F}" destId="{9682F2E7-EB39-1341-B0EA-14662F9AC9C3}" srcOrd="2" destOrd="0" presId="urn:microsoft.com/office/officeart/2005/8/layout/orgChart1"/>
    <dgm:cxn modelId="{C3A9B5AF-B9C8-444D-9535-61BC382F8697}" type="presParOf" srcId="{F3B3CA8B-8ED5-FD41-87C9-3C4C84D5D77F}" destId="{0CB4A8F6-840A-1641-A6B5-2997EE968A95}" srcOrd="3" destOrd="0" presId="urn:microsoft.com/office/officeart/2005/8/layout/orgChart1"/>
    <dgm:cxn modelId="{246D3C4F-D34F-C344-AEE6-825C252BE5B7}" type="presParOf" srcId="{0CB4A8F6-840A-1641-A6B5-2997EE968A95}" destId="{A3186775-0C0E-2347-AB65-B3026919DB3A}" srcOrd="0" destOrd="0" presId="urn:microsoft.com/office/officeart/2005/8/layout/orgChart1"/>
    <dgm:cxn modelId="{85FD8931-A6AB-D443-9157-63E2585A5981}" type="presParOf" srcId="{A3186775-0C0E-2347-AB65-B3026919DB3A}" destId="{9EA0299F-2DBA-F543-8BDF-808083018067}" srcOrd="0" destOrd="0" presId="urn:microsoft.com/office/officeart/2005/8/layout/orgChart1"/>
    <dgm:cxn modelId="{3DAB1A78-B4CB-E145-8DF5-10ABCD300069}" type="presParOf" srcId="{A3186775-0C0E-2347-AB65-B3026919DB3A}" destId="{819E0369-4D6C-EF42-9B3B-873380630A74}" srcOrd="1" destOrd="0" presId="urn:microsoft.com/office/officeart/2005/8/layout/orgChart1"/>
    <dgm:cxn modelId="{6ACD7431-585C-004B-BD91-F6A757D9A715}" type="presParOf" srcId="{0CB4A8F6-840A-1641-A6B5-2997EE968A95}" destId="{10CA1803-A6BB-D741-AEB6-F417BFD6EBF6}" srcOrd="1" destOrd="0" presId="urn:microsoft.com/office/officeart/2005/8/layout/orgChart1"/>
    <dgm:cxn modelId="{5455DD9C-B67D-5F49-AA0F-DF5A77FEC780}" type="presParOf" srcId="{0CB4A8F6-840A-1641-A6B5-2997EE968A95}" destId="{8AE67B6E-B311-7642-B136-5C6331AD66F6}" srcOrd="2" destOrd="0" presId="urn:microsoft.com/office/officeart/2005/8/layout/orgChart1"/>
    <dgm:cxn modelId="{489E6A4C-1EF1-BF40-9F15-CD80311BE09E}" type="presParOf" srcId="{F3B3CA8B-8ED5-FD41-87C9-3C4C84D5D77F}" destId="{6274557B-9025-AF4A-AF92-FEAF0BAD1B08}" srcOrd="4" destOrd="0" presId="urn:microsoft.com/office/officeart/2005/8/layout/orgChart1"/>
    <dgm:cxn modelId="{569D8D9D-0A83-9C4C-BA73-0C168A832A96}" type="presParOf" srcId="{F3B3CA8B-8ED5-FD41-87C9-3C4C84D5D77F}" destId="{A9E2255C-458A-414A-AA24-2C226A8FC7A9}" srcOrd="5" destOrd="0" presId="urn:microsoft.com/office/officeart/2005/8/layout/orgChart1"/>
    <dgm:cxn modelId="{A22140B3-85E3-F144-BF33-EDADCC15D713}" type="presParOf" srcId="{A9E2255C-458A-414A-AA24-2C226A8FC7A9}" destId="{14C5DCAF-7CB4-424A-9F17-2720CE26956F}" srcOrd="0" destOrd="0" presId="urn:microsoft.com/office/officeart/2005/8/layout/orgChart1"/>
    <dgm:cxn modelId="{0414749D-8BC7-EA4F-88D8-1F9F6C07C2E3}" type="presParOf" srcId="{14C5DCAF-7CB4-424A-9F17-2720CE26956F}" destId="{50CFD993-1D2F-D94D-9B49-B3E2F250B7D1}" srcOrd="0" destOrd="0" presId="urn:microsoft.com/office/officeart/2005/8/layout/orgChart1"/>
    <dgm:cxn modelId="{9A7C85EB-29E5-E64C-BE60-5C8D29BE4E36}" type="presParOf" srcId="{14C5DCAF-7CB4-424A-9F17-2720CE26956F}" destId="{352CA079-2B50-944F-A0AE-F079C2C16F15}" srcOrd="1" destOrd="0" presId="urn:microsoft.com/office/officeart/2005/8/layout/orgChart1"/>
    <dgm:cxn modelId="{486137CA-C5DA-9B42-8668-DBEA813176A7}" type="presParOf" srcId="{A9E2255C-458A-414A-AA24-2C226A8FC7A9}" destId="{9914D42F-65B4-B24D-A19C-690A54DBA967}" srcOrd="1" destOrd="0" presId="urn:microsoft.com/office/officeart/2005/8/layout/orgChart1"/>
    <dgm:cxn modelId="{60D10FA2-67BC-1643-B08B-238F71AC6EA5}" type="presParOf" srcId="{A9E2255C-458A-414A-AA24-2C226A8FC7A9}" destId="{5B594D56-C8F9-0841-B03E-58A66EC03F53}" srcOrd="2" destOrd="0" presId="urn:microsoft.com/office/officeart/2005/8/layout/orgChart1"/>
    <dgm:cxn modelId="{CB7C4A89-0E2E-A749-9749-D8D728E8948B}" type="presParOf" srcId="{F3B3CA8B-8ED5-FD41-87C9-3C4C84D5D77F}" destId="{AE9DAF5C-475B-3F4E-862B-777117FE303F}" srcOrd="6" destOrd="0" presId="urn:microsoft.com/office/officeart/2005/8/layout/orgChart1"/>
    <dgm:cxn modelId="{0D89BCFA-0E1F-6440-ABA6-4BF4C4248EF4}" type="presParOf" srcId="{F3B3CA8B-8ED5-FD41-87C9-3C4C84D5D77F}" destId="{96B6ABFB-6D21-6542-A275-E271B01A8D90}" srcOrd="7" destOrd="0" presId="urn:microsoft.com/office/officeart/2005/8/layout/orgChart1"/>
    <dgm:cxn modelId="{02B79D17-622F-394D-981F-046302A4D7DA}" type="presParOf" srcId="{96B6ABFB-6D21-6542-A275-E271B01A8D90}" destId="{45AD551B-D018-C242-97C4-04D7412629B7}" srcOrd="0" destOrd="0" presId="urn:microsoft.com/office/officeart/2005/8/layout/orgChart1"/>
    <dgm:cxn modelId="{31AE2235-3715-1142-ADFF-701D0746A0E0}" type="presParOf" srcId="{45AD551B-D018-C242-97C4-04D7412629B7}" destId="{6D4FC70E-B56C-E74B-B88B-1ADF8C9CB61D}" srcOrd="0" destOrd="0" presId="urn:microsoft.com/office/officeart/2005/8/layout/orgChart1"/>
    <dgm:cxn modelId="{A29BC04F-612C-DB4E-99FE-3200ED31BB27}" type="presParOf" srcId="{45AD551B-D018-C242-97C4-04D7412629B7}" destId="{BE774BD7-CB6C-C143-934B-358FCCD50950}" srcOrd="1" destOrd="0" presId="urn:microsoft.com/office/officeart/2005/8/layout/orgChart1"/>
    <dgm:cxn modelId="{D7F79DB0-7475-C044-AD0E-0E2BB80F1D7A}" type="presParOf" srcId="{96B6ABFB-6D21-6542-A275-E271B01A8D90}" destId="{08948906-3C33-A84D-8F7C-C9E1D415B377}" srcOrd="1" destOrd="0" presId="urn:microsoft.com/office/officeart/2005/8/layout/orgChart1"/>
    <dgm:cxn modelId="{3A0BA59C-676A-2448-B67D-E6F9A81293A0}" type="presParOf" srcId="{96B6ABFB-6D21-6542-A275-E271B01A8D90}" destId="{728FB477-5AFE-0A4F-866E-35F0F8B0A8C8}" srcOrd="2" destOrd="0" presId="urn:microsoft.com/office/officeart/2005/8/layout/orgChart1"/>
    <dgm:cxn modelId="{6363E8CC-AC70-8E44-812E-77F78BCFBE16}" type="presParOf" srcId="{F3B3CA8B-8ED5-FD41-87C9-3C4C84D5D77F}" destId="{E4721F17-21A4-024A-A54C-82ABD49C71E8}" srcOrd="8" destOrd="0" presId="urn:microsoft.com/office/officeart/2005/8/layout/orgChart1"/>
    <dgm:cxn modelId="{4098909D-2729-8D4A-BEFD-BE980E3DEC6C}" type="presParOf" srcId="{F3B3CA8B-8ED5-FD41-87C9-3C4C84D5D77F}" destId="{43515F1B-8825-A443-A54D-53D930CF59BA}" srcOrd="9" destOrd="0" presId="urn:microsoft.com/office/officeart/2005/8/layout/orgChart1"/>
    <dgm:cxn modelId="{A640AB45-B285-9447-8E77-5A55D53ABFD8}" type="presParOf" srcId="{43515F1B-8825-A443-A54D-53D930CF59BA}" destId="{87E8A444-E303-2E4C-BA31-A5032C70152E}" srcOrd="0" destOrd="0" presId="urn:microsoft.com/office/officeart/2005/8/layout/orgChart1"/>
    <dgm:cxn modelId="{7DFB3E3E-CB5B-054C-A8F0-FFCB93D947AE}" type="presParOf" srcId="{87E8A444-E303-2E4C-BA31-A5032C70152E}" destId="{DAD93DC1-25BE-7E4F-A71B-18A73FB419C5}" srcOrd="0" destOrd="0" presId="urn:microsoft.com/office/officeart/2005/8/layout/orgChart1"/>
    <dgm:cxn modelId="{990ADCBD-CFCE-6345-BFAC-0186DE343CAB}" type="presParOf" srcId="{87E8A444-E303-2E4C-BA31-A5032C70152E}" destId="{F875BAD6-4D8C-2745-A3CB-B242F3F55DE3}" srcOrd="1" destOrd="0" presId="urn:microsoft.com/office/officeart/2005/8/layout/orgChart1"/>
    <dgm:cxn modelId="{28FE528F-DC00-474D-BE84-07A8C26613C3}" type="presParOf" srcId="{43515F1B-8825-A443-A54D-53D930CF59BA}" destId="{515CAA11-9D2F-1246-B1EA-3EFBFD57C34B}" srcOrd="1" destOrd="0" presId="urn:microsoft.com/office/officeart/2005/8/layout/orgChart1"/>
    <dgm:cxn modelId="{EDE02769-DFC3-7B43-AB3E-52F7C443404F}" type="presParOf" srcId="{43515F1B-8825-A443-A54D-53D930CF59BA}" destId="{4E93CA55-3726-C645-BB1E-92375C133C85}" srcOrd="2" destOrd="0" presId="urn:microsoft.com/office/officeart/2005/8/layout/orgChart1"/>
    <dgm:cxn modelId="{429CC70D-3AE4-9740-A365-4FDE6E6166FE}" type="presParOf" srcId="{F3B3CA8B-8ED5-FD41-87C9-3C4C84D5D77F}" destId="{1E93396E-4507-8C44-85DB-B9673A643E4C}" srcOrd="10" destOrd="0" presId="urn:microsoft.com/office/officeart/2005/8/layout/orgChart1"/>
    <dgm:cxn modelId="{6B2AA1F9-2E4B-2046-ACEB-56371B554F6D}" type="presParOf" srcId="{F3B3CA8B-8ED5-FD41-87C9-3C4C84D5D77F}" destId="{D1572F7B-6F5B-B049-B819-0B27E59879CF}" srcOrd="11" destOrd="0" presId="urn:microsoft.com/office/officeart/2005/8/layout/orgChart1"/>
    <dgm:cxn modelId="{E9C870F5-253E-AF48-8498-A3837485AAFA}" type="presParOf" srcId="{D1572F7B-6F5B-B049-B819-0B27E59879CF}" destId="{75B2F66A-150D-1944-8A96-CD6A45E4DF55}" srcOrd="0" destOrd="0" presId="urn:microsoft.com/office/officeart/2005/8/layout/orgChart1"/>
    <dgm:cxn modelId="{48741E7A-B913-5F40-9B83-94D2E53F1A29}" type="presParOf" srcId="{75B2F66A-150D-1944-8A96-CD6A45E4DF55}" destId="{0E27543F-48C8-E64C-A1C8-756E8B233F9E}" srcOrd="0" destOrd="0" presId="urn:microsoft.com/office/officeart/2005/8/layout/orgChart1"/>
    <dgm:cxn modelId="{35D59967-D1D8-4542-A5AF-E3FDE0F0BBD1}" type="presParOf" srcId="{75B2F66A-150D-1944-8A96-CD6A45E4DF55}" destId="{C7C09576-8DE1-7A4E-84F7-4C07B6C1497E}" srcOrd="1" destOrd="0" presId="urn:microsoft.com/office/officeart/2005/8/layout/orgChart1"/>
    <dgm:cxn modelId="{47109171-ADFE-BC4D-879C-0EBC1C0DDF14}" type="presParOf" srcId="{D1572F7B-6F5B-B049-B819-0B27E59879CF}" destId="{4CB82A64-3A9B-C14B-870F-AA9559D5FED5}" srcOrd="1" destOrd="0" presId="urn:microsoft.com/office/officeart/2005/8/layout/orgChart1"/>
    <dgm:cxn modelId="{CCE448B7-657E-D344-A26B-A1362FA2D5A0}" type="presParOf" srcId="{D1572F7B-6F5B-B049-B819-0B27E59879CF}" destId="{80928819-74A2-1745-92B2-D3E8B61E8F3E}" srcOrd="2" destOrd="0" presId="urn:microsoft.com/office/officeart/2005/8/layout/orgChart1"/>
    <dgm:cxn modelId="{1042D71A-0366-1843-A1D5-CADFE909CB52}" type="presParOf" srcId="{F3B3CA8B-8ED5-FD41-87C9-3C4C84D5D77F}" destId="{40FC3770-6646-0E49-B2A5-C635C8D8AC7E}" srcOrd="12" destOrd="0" presId="urn:microsoft.com/office/officeart/2005/8/layout/orgChart1"/>
    <dgm:cxn modelId="{27A3AAE9-D2C4-5643-97AC-30BBBB03AB34}" type="presParOf" srcId="{F3B3CA8B-8ED5-FD41-87C9-3C4C84D5D77F}" destId="{853A6535-074A-2D4F-9CC5-7758EECDF71E}" srcOrd="13" destOrd="0" presId="urn:microsoft.com/office/officeart/2005/8/layout/orgChart1"/>
    <dgm:cxn modelId="{CBE9965A-05C1-D34D-B8C3-FD346181F4D5}" type="presParOf" srcId="{853A6535-074A-2D4F-9CC5-7758EECDF71E}" destId="{452A1A45-7C1B-F24E-93BB-BA1BED9566EA}" srcOrd="0" destOrd="0" presId="urn:microsoft.com/office/officeart/2005/8/layout/orgChart1"/>
    <dgm:cxn modelId="{175405FE-69FD-1549-B8A9-8ED80A13EB7B}" type="presParOf" srcId="{452A1A45-7C1B-F24E-93BB-BA1BED9566EA}" destId="{0ACEEC03-A717-7340-AB15-E7E4B33AC8F2}" srcOrd="0" destOrd="0" presId="urn:microsoft.com/office/officeart/2005/8/layout/orgChart1"/>
    <dgm:cxn modelId="{F0ECCA51-C0FB-1249-A926-6165D258EB14}" type="presParOf" srcId="{452A1A45-7C1B-F24E-93BB-BA1BED9566EA}" destId="{0F3BC70F-9E32-2044-B337-2A6AE6CE44F3}" srcOrd="1" destOrd="0" presId="urn:microsoft.com/office/officeart/2005/8/layout/orgChart1"/>
    <dgm:cxn modelId="{4ED2AD1D-29F4-9849-962C-418F9F86AD25}" type="presParOf" srcId="{853A6535-074A-2D4F-9CC5-7758EECDF71E}" destId="{83E1A8B6-1FBF-AE42-AA5C-B3FB83FF775C}" srcOrd="1" destOrd="0" presId="urn:microsoft.com/office/officeart/2005/8/layout/orgChart1"/>
    <dgm:cxn modelId="{025E3309-8295-474F-B664-8EB9310F7F56}" type="presParOf" srcId="{853A6535-074A-2D4F-9CC5-7758EECDF71E}" destId="{178CD2B9-028F-3F49-BA76-39A48157C0BE}" srcOrd="2" destOrd="0" presId="urn:microsoft.com/office/officeart/2005/8/layout/orgChart1"/>
    <dgm:cxn modelId="{E338EEC4-8173-0540-9C06-D4A468FEEB63}" type="presParOf" srcId="{8A84F57E-B348-6444-9CF4-01C5F827B9E2}" destId="{9E4166B3-B4BE-3741-A751-F810620AC4F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C3770-6646-0E49-B2A5-C635C8D8AC7E}">
      <dsp:nvSpPr>
        <dsp:cNvPr id="0" name=""/>
        <dsp:cNvSpPr/>
      </dsp:nvSpPr>
      <dsp:spPr>
        <a:xfrm>
          <a:off x="1928052" y="616102"/>
          <a:ext cx="129347" cy="3190564"/>
        </a:xfrm>
        <a:custGeom>
          <a:avLst/>
          <a:gdLst/>
          <a:ahLst/>
          <a:cxnLst/>
          <a:rect l="0" t="0" r="0" b="0"/>
          <a:pathLst>
            <a:path>
              <a:moveTo>
                <a:pt x="129347" y="0"/>
              </a:moveTo>
              <a:lnTo>
                <a:pt x="129347" y="3190564"/>
              </a:lnTo>
              <a:lnTo>
                <a:pt x="0" y="3190564"/>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1E93396E-4507-8C44-85DB-B9673A643E4C}">
      <dsp:nvSpPr>
        <dsp:cNvPr id="0" name=""/>
        <dsp:cNvSpPr/>
      </dsp:nvSpPr>
      <dsp:spPr>
        <a:xfrm>
          <a:off x="2057399" y="616102"/>
          <a:ext cx="129347" cy="2315931"/>
        </a:xfrm>
        <a:custGeom>
          <a:avLst/>
          <a:gdLst/>
          <a:ahLst/>
          <a:cxnLst/>
          <a:rect l="0" t="0" r="0" b="0"/>
          <a:pathLst>
            <a:path>
              <a:moveTo>
                <a:pt x="0" y="0"/>
              </a:moveTo>
              <a:lnTo>
                <a:pt x="0" y="2315931"/>
              </a:lnTo>
              <a:lnTo>
                <a:pt x="129347" y="2315931"/>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4721F17-21A4-024A-A54C-82ABD49C71E8}">
      <dsp:nvSpPr>
        <dsp:cNvPr id="0" name=""/>
        <dsp:cNvSpPr/>
      </dsp:nvSpPr>
      <dsp:spPr>
        <a:xfrm>
          <a:off x="1928052" y="616102"/>
          <a:ext cx="129347" cy="2315931"/>
        </a:xfrm>
        <a:custGeom>
          <a:avLst/>
          <a:gdLst/>
          <a:ahLst/>
          <a:cxnLst/>
          <a:rect l="0" t="0" r="0" b="0"/>
          <a:pathLst>
            <a:path>
              <a:moveTo>
                <a:pt x="129347" y="0"/>
              </a:moveTo>
              <a:lnTo>
                <a:pt x="129347" y="2315931"/>
              </a:lnTo>
              <a:lnTo>
                <a:pt x="0" y="2315931"/>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E9DAF5C-475B-3F4E-862B-777117FE303F}">
      <dsp:nvSpPr>
        <dsp:cNvPr id="0" name=""/>
        <dsp:cNvSpPr/>
      </dsp:nvSpPr>
      <dsp:spPr>
        <a:xfrm>
          <a:off x="2057399" y="616102"/>
          <a:ext cx="129347" cy="1441297"/>
        </a:xfrm>
        <a:custGeom>
          <a:avLst/>
          <a:gdLst/>
          <a:ahLst/>
          <a:cxnLst/>
          <a:rect l="0" t="0" r="0" b="0"/>
          <a:pathLst>
            <a:path>
              <a:moveTo>
                <a:pt x="0" y="0"/>
              </a:moveTo>
              <a:lnTo>
                <a:pt x="0" y="1441297"/>
              </a:lnTo>
              <a:lnTo>
                <a:pt x="129347" y="1441297"/>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274557B-9025-AF4A-AF92-FEAF0BAD1B08}">
      <dsp:nvSpPr>
        <dsp:cNvPr id="0" name=""/>
        <dsp:cNvSpPr/>
      </dsp:nvSpPr>
      <dsp:spPr>
        <a:xfrm>
          <a:off x="1928052" y="616102"/>
          <a:ext cx="129347" cy="1441297"/>
        </a:xfrm>
        <a:custGeom>
          <a:avLst/>
          <a:gdLst/>
          <a:ahLst/>
          <a:cxnLst/>
          <a:rect l="0" t="0" r="0" b="0"/>
          <a:pathLst>
            <a:path>
              <a:moveTo>
                <a:pt x="129347" y="0"/>
              </a:moveTo>
              <a:lnTo>
                <a:pt x="129347" y="1441297"/>
              </a:lnTo>
              <a:lnTo>
                <a:pt x="0" y="1441297"/>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682F2E7-EB39-1341-B0EA-14662F9AC9C3}">
      <dsp:nvSpPr>
        <dsp:cNvPr id="0" name=""/>
        <dsp:cNvSpPr/>
      </dsp:nvSpPr>
      <dsp:spPr>
        <a:xfrm>
          <a:off x="2057399" y="616102"/>
          <a:ext cx="129347" cy="566664"/>
        </a:xfrm>
        <a:custGeom>
          <a:avLst/>
          <a:gdLst/>
          <a:ahLst/>
          <a:cxnLst/>
          <a:rect l="0" t="0" r="0" b="0"/>
          <a:pathLst>
            <a:path>
              <a:moveTo>
                <a:pt x="0" y="0"/>
              </a:moveTo>
              <a:lnTo>
                <a:pt x="0" y="566664"/>
              </a:lnTo>
              <a:lnTo>
                <a:pt x="129347" y="566664"/>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8D09A40-BE6A-7E49-87C5-3C9A902919F8}">
      <dsp:nvSpPr>
        <dsp:cNvPr id="0" name=""/>
        <dsp:cNvSpPr/>
      </dsp:nvSpPr>
      <dsp:spPr>
        <a:xfrm>
          <a:off x="1928052" y="616102"/>
          <a:ext cx="129347" cy="566664"/>
        </a:xfrm>
        <a:custGeom>
          <a:avLst/>
          <a:gdLst/>
          <a:ahLst/>
          <a:cxnLst/>
          <a:rect l="0" t="0" r="0" b="0"/>
          <a:pathLst>
            <a:path>
              <a:moveTo>
                <a:pt x="129347" y="0"/>
              </a:moveTo>
              <a:lnTo>
                <a:pt x="129347" y="566664"/>
              </a:lnTo>
              <a:lnTo>
                <a:pt x="0" y="566664"/>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ED8055E-366E-934A-873B-7A61138177E7}">
      <dsp:nvSpPr>
        <dsp:cNvPr id="0" name=""/>
        <dsp:cNvSpPr/>
      </dsp:nvSpPr>
      <dsp:spPr>
        <a:xfrm>
          <a:off x="1441460" y="163"/>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Walmart</a:t>
          </a:r>
          <a:br>
            <a:rPr lang="en-US" sz="1000" kern="1200">
              <a:latin typeface="Arial" panose="020B0604020202020204" pitchFamily="34" charset="0"/>
              <a:cs typeface="Arial" panose="020B0604020202020204" pitchFamily="34" charset="0"/>
            </a:rPr>
          </a:br>
          <a:r>
            <a:rPr lang="en-US" sz="1000" kern="1200">
              <a:latin typeface="Arial" panose="020B0604020202020204" pitchFamily="34" charset="0"/>
              <a:cs typeface="Arial" panose="020B0604020202020204" pitchFamily="34" charset="0"/>
            </a:rPr>
            <a:t>People Division</a:t>
          </a:r>
        </a:p>
      </dsp:txBody>
      <dsp:txXfrm>
        <a:off x="1441460" y="163"/>
        <a:ext cx="1231878" cy="615939"/>
      </dsp:txXfrm>
    </dsp:sp>
    <dsp:sp modelId="{4EFAD27C-C590-FB47-97BD-C1DF094B4FAC}">
      <dsp:nvSpPr>
        <dsp:cNvPr id="0" name=""/>
        <dsp:cNvSpPr/>
      </dsp:nvSpPr>
      <dsp:spPr>
        <a:xfrm>
          <a:off x="696174" y="874796"/>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Price advantage</a:t>
          </a:r>
        </a:p>
      </dsp:txBody>
      <dsp:txXfrm>
        <a:off x="696174" y="874796"/>
        <a:ext cx="1231878" cy="615939"/>
      </dsp:txXfrm>
    </dsp:sp>
    <dsp:sp modelId="{9EA0299F-2DBA-F543-8BDF-808083018067}">
      <dsp:nvSpPr>
        <dsp:cNvPr id="0" name=""/>
        <dsp:cNvSpPr/>
      </dsp:nvSpPr>
      <dsp:spPr>
        <a:xfrm>
          <a:off x="2186747" y="874796"/>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Operational success</a:t>
          </a:r>
        </a:p>
      </dsp:txBody>
      <dsp:txXfrm>
        <a:off x="2186747" y="874796"/>
        <a:ext cx="1231878" cy="615939"/>
      </dsp:txXfrm>
    </dsp:sp>
    <dsp:sp modelId="{50CFD993-1D2F-D94D-9B49-B3E2F250B7D1}">
      <dsp:nvSpPr>
        <dsp:cNvPr id="0" name=""/>
        <dsp:cNvSpPr/>
      </dsp:nvSpPr>
      <dsp:spPr>
        <a:xfrm>
          <a:off x="696174" y="1749430"/>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Culture committed to business success</a:t>
          </a:r>
        </a:p>
      </dsp:txBody>
      <dsp:txXfrm>
        <a:off x="696174" y="1749430"/>
        <a:ext cx="1231878" cy="615939"/>
      </dsp:txXfrm>
    </dsp:sp>
    <dsp:sp modelId="{6D4FC70E-B56C-E74B-B88B-1ADF8C9CB61D}">
      <dsp:nvSpPr>
        <dsp:cNvPr id="0" name=""/>
        <dsp:cNvSpPr/>
      </dsp:nvSpPr>
      <dsp:spPr>
        <a:xfrm>
          <a:off x="2186747" y="1749430"/>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Connecting Walmart people to key products</a:t>
          </a:r>
        </a:p>
      </dsp:txBody>
      <dsp:txXfrm>
        <a:off x="2186747" y="1749430"/>
        <a:ext cx="1231878" cy="615939"/>
      </dsp:txXfrm>
    </dsp:sp>
    <dsp:sp modelId="{DAD93DC1-25BE-7E4F-A71B-18A73FB419C5}">
      <dsp:nvSpPr>
        <dsp:cNvPr id="0" name=""/>
        <dsp:cNvSpPr/>
      </dsp:nvSpPr>
      <dsp:spPr>
        <a:xfrm>
          <a:off x="696174" y="2624064"/>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Reducing employee expenses</a:t>
          </a:r>
        </a:p>
      </dsp:txBody>
      <dsp:txXfrm>
        <a:off x="696174" y="2624064"/>
        <a:ext cx="1231878" cy="615939"/>
      </dsp:txXfrm>
    </dsp:sp>
    <dsp:sp modelId="{0E27543F-48C8-E64C-A1C8-756E8B233F9E}">
      <dsp:nvSpPr>
        <dsp:cNvPr id="0" name=""/>
        <dsp:cNvSpPr/>
      </dsp:nvSpPr>
      <dsp:spPr>
        <a:xfrm>
          <a:off x="2186747" y="2624064"/>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Talent strategy</a:t>
          </a:r>
        </a:p>
      </dsp:txBody>
      <dsp:txXfrm>
        <a:off x="2186747" y="2624064"/>
        <a:ext cx="1231878" cy="615939"/>
      </dsp:txXfrm>
    </dsp:sp>
    <dsp:sp modelId="{0ACEEC03-A717-7340-AB15-E7E4B33AC8F2}">
      <dsp:nvSpPr>
        <dsp:cNvPr id="0" name=""/>
        <dsp:cNvSpPr/>
      </dsp:nvSpPr>
      <dsp:spPr>
        <a:xfrm>
          <a:off x="696174" y="3498697"/>
          <a:ext cx="1231878" cy="615939"/>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Improving customer service</a:t>
          </a:r>
        </a:p>
      </dsp:txBody>
      <dsp:txXfrm>
        <a:off x="696174" y="3498697"/>
        <a:ext cx="1231878" cy="6159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57385-9FA0-4117-ABAC-168A86FF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6</cp:revision>
  <cp:lastPrinted>2019-10-02T16:17:00Z</cp:lastPrinted>
  <dcterms:created xsi:type="dcterms:W3CDTF">2019-09-30T19:55:00Z</dcterms:created>
  <dcterms:modified xsi:type="dcterms:W3CDTF">2019-10-02T16:25:00Z</dcterms:modified>
</cp:coreProperties>
</file>