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9D9" w:rsidRDefault="008567AA">
      <w:pPr>
        <w:pBdr>
          <w:bottom w:val="single" w:sz="18" w:space="1" w:color="auto"/>
        </w:pBdr>
        <w:tabs>
          <w:tab w:val="left" w:pos="-1440"/>
          <w:tab w:val="left" w:pos="-720"/>
          <w:tab w:val="left" w:pos="1"/>
        </w:tabs>
        <w:jc w:val="both"/>
        <w:rPr>
          <w:rFonts w:ascii="Arial" w:hAnsi="Arial"/>
          <w:b/>
          <w:sz w:val="24"/>
          <w:lang w:val="en-CA"/>
        </w:rPr>
      </w:pPr>
      <w:r w:rsidRPr="008567AA">
        <w:rPr>
          <w:rFonts w:ascii="Arial" w:hAnsi="Arial"/>
          <w:b/>
          <w:noProof/>
          <w:sz w:val="24"/>
          <w:lang w:val="en-CA" w:eastAsia="en-CA"/>
        </w:rPr>
        <w:drawing>
          <wp:inline distT="0" distB="0" distL="0" distR="0" wp14:anchorId="3C6F2E06" wp14:editId="104579EB">
            <wp:extent cx="2613804" cy="55124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0809D9" w:rsidRDefault="008567AA">
      <w:pPr>
        <w:pStyle w:val="ProductNumber"/>
        <w:rPr>
          <w:lang w:val="en-CA"/>
        </w:rPr>
      </w:pPr>
      <w:r>
        <w:rPr>
          <w:lang w:val="en-CA"/>
        </w:rPr>
        <w:t>9B19M097</w:t>
      </w:r>
    </w:p>
    <w:p w:rsidR="000809D9" w:rsidRDefault="000809D9">
      <w:pPr>
        <w:jc w:val="right"/>
        <w:rPr>
          <w:rFonts w:ascii="Arial" w:hAnsi="Arial"/>
          <w:b/>
          <w:lang w:val="en-CA"/>
        </w:rPr>
      </w:pPr>
    </w:p>
    <w:p w:rsidR="000809D9" w:rsidRDefault="000809D9">
      <w:pPr>
        <w:jc w:val="right"/>
        <w:rPr>
          <w:rFonts w:ascii="Arial" w:hAnsi="Arial"/>
          <w:b/>
          <w:lang w:val="en-CA"/>
        </w:rPr>
      </w:pPr>
    </w:p>
    <w:p w:rsidR="000809D9" w:rsidRPr="008567AA" w:rsidRDefault="00CC53DA">
      <w:pPr>
        <w:pStyle w:val="CaseTitle"/>
        <w:spacing w:after="0" w:line="240" w:lineRule="auto"/>
        <w:rPr>
          <w:spacing w:val="-4"/>
          <w:kern w:val="28"/>
          <w:sz w:val="20"/>
          <w:szCs w:val="20"/>
          <w:lang w:val="en-CA"/>
        </w:rPr>
      </w:pPr>
      <w:r w:rsidRPr="008567AA">
        <w:rPr>
          <w:spacing w:val="-4"/>
          <w:kern w:val="28"/>
          <w:lang w:val="en-CA"/>
        </w:rPr>
        <w:t>PowerChina: international strategy and risk management</w:t>
      </w:r>
    </w:p>
    <w:p w:rsidR="000809D9" w:rsidRDefault="000809D9">
      <w:pPr>
        <w:pStyle w:val="CaseTitle"/>
        <w:spacing w:after="0" w:line="240" w:lineRule="auto"/>
        <w:rPr>
          <w:sz w:val="20"/>
          <w:szCs w:val="20"/>
          <w:lang w:val="en-CA"/>
        </w:rPr>
      </w:pPr>
    </w:p>
    <w:p w:rsidR="000809D9" w:rsidRDefault="000809D9">
      <w:pPr>
        <w:pStyle w:val="CaseTitle"/>
        <w:spacing w:after="0" w:line="240" w:lineRule="auto"/>
        <w:rPr>
          <w:sz w:val="20"/>
          <w:szCs w:val="20"/>
          <w:lang w:val="en-CA"/>
        </w:rPr>
      </w:pPr>
    </w:p>
    <w:p w:rsidR="000809D9" w:rsidRDefault="00CC53DA">
      <w:pPr>
        <w:pStyle w:val="StyleCopyrightStatementAfter0ptBottomSinglesolidline1"/>
        <w:rPr>
          <w:lang w:val="en-CA"/>
        </w:rPr>
      </w:pPr>
      <w:proofErr w:type="spellStart"/>
      <w:r>
        <w:rPr>
          <w:lang w:val="en-CA"/>
        </w:rPr>
        <w:t>Junying</w:t>
      </w:r>
      <w:proofErr w:type="spellEnd"/>
      <w:r>
        <w:rPr>
          <w:lang w:val="en-CA"/>
        </w:rPr>
        <w:t xml:space="preserve"> Liu, Peter </w:t>
      </w:r>
      <w:proofErr w:type="spellStart"/>
      <w:r>
        <w:rPr>
          <w:lang w:val="en-CA"/>
        </w:rPr>
        <w:t>Liesch</w:t>
      </w:r>
      <w:proofErr w:type="spellEnd"/>
      <w:r>
        <w:rPr>
          <w:lang w:val="en-CA"/>
        </w:rPr>
        <w:t xml:space="preserve">, </w:t>
      </w:r>
      <w:proofErr w:type="spellStart"/>
      <w:r>
        <w:rPr>
          <w:lang w:val="en-CA"/>
        </w:rPr>
        <w:t>Xinya</w:t>
      </w:r>
      <w:proofErr w:type="spellEnd"/>
      <w:r>
        <w:rPr>
          <w:lang w:val="en-CA"/>
        </w:rPr>
        <w:t xml:space="preserve"> Guan, and </w:t>
      </w:r>
      <w:r>
        <w:rPr>
          <w:lang w:val="en-CA"/>
        </w:rPr>
        <w:tab/>
      </w:r>
      <w:proofErr w:type="spellStart"/>
      <w:r>
        <w:rPr>
          <w:lang w:val="en-CA"/>
        </w:rPr>
        <w:t>Yubin</w:t>
      </w:r>
      <w:proofErr w:type="spellEnd"/>
      <w:r>
        <w:rPr>
          <w:lang w:val="en-CA"/>
        </w:rPr>
        <w:t xml:space="preserve"> Zhang</w:t>
      </w:r>
      <w:r>
        <w:rPr>
          <w:rFonts w:cs="Arial"/>
          <w:szCs w:val="16"/>
          <w:lang w:val="en-CA"/>
        </w:rPr>
        <w:t xml:space="preserve"> </w:t>
      </w:r>
      <w:r>
        <w:rPr>
          <w:lang w:val="en-CA"/>
        </w:rPr>
        <w:t>wrote this case solely to provide material for class discussion. The authors do</w:t>
      </w:r>
      <w:r w:rsidR="008567AA">
        <w:rPr>
          <w:lang w:val="en-CA"/>
        </w:rPr>
        <w:t xml:space="preserve"> </w:t>
      </w:r>
      <w:r>
        <w:rPr>
          <w:lang w:val="en-CA"/>
        </w:rPr>
        <w:t>not intend to illustrate either effective or ineffective handling of a managerial situation. The authors may have disguised certain names and other identifying information to protect confidentiality.</w:t>
      </w:r>
    </w:p>
    <w:p w:rsidR="000809D9" w:rsidRDefault="000809D9">
      <w:pPr>
        <w:pStyle w:val="StyleCopyrightStatementAfter0ptBottomSinglesolidline1"/>
        <w:rPr>
          <w:lang w:val="en-CA"/>
        </w:rPr>
      </w:pPr>
    </w:p>
    <w:p w:rsidR="008567AA" w:rsidRDefault="008567AA" w:rsidP="008567AA">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rsidR="008567AA" w:rsidRDefault="008567AA" w:rsidP="008567AA">
      <w:pPr>
        <w:pStyle w:val="StyleStyleCopyrightStatementAfter0ptBottomSinglesolid"/>
        <w:rPr>
          <w:rFonts w:cs="Arial"/>
          <w:color w:val="FFFFFF" w:themeColor="background1"/>
          <w:szCs w:val="16"/>
        </w:rPr>
      </w:pPr>
    </w:p>
    <w:p w:rsidR="000809D9" w:rsidRPr="008567AA" w:rsidRDefault="008567AA">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8B1AD1">
        <w:rPr>
          <w:rFonts w:cs="Arial"/>
          <w:iCs w:val="0"/>
          <w:color w:val="auto"/>
          <w:szCs w:val="16"/>
          <w:lang w:val="en-CA"/>
        </w:rPr>
        <w:tab/>
        <w:t>Version: 20</w:t>
      </w:r>
      <w:r w:rsidR="004B6CC1">
        <w:rPr>
          <w:rFonts w:cs="Arial"/>
          <w:iCs w:val="0"/>
          <w:color w:val="auto"/>
          <w:szCs w:val="16"/>
          <w:lang w:val="en-CA"/>
        </w:rPr>
        <w:t>22</w:t>
      </w:r>
      <w:r w:rsidR="008B1AD1">
        <w:rPr>
          <w:rFonts w:cs="Arial"/>
          <w:iCs w:val="0"/>
          <w:color w:val="auto"/>
          <w:szCs w:val="16"/>
          <w:lang w:val="en-CA"/>
        </w:rPr>
        <w:t>-0</w:t>
      </w:r>
      <w:r w:rsidR="004B6CC1">
        <w:rPr>
          <w:rFonts w:cs="Arial"/>
          <w:iCs w:val="0"/>
          <w:color w:val="auto"/>
          <w:szCs w:val="16"/>
          <w:lang w:val="en-CA"/>
        </w:rPr>
        <w:t>5</w:t>
      </w:r>
      <w:r w:rsidR="008B1AD1">
        <w:rPr>
          <w:rFonts w:cs="Arial"/>
          <w:iCs w:val="0"/>
          <w:color w:val="auto"/>
          <w:szCs w:val="16"/>
          <w:lang w:val="en-CA"/>
        </w:rPr>
        <w:t>-</w:t>
      </w:r>
      <w:r w:rsidR="004B6CC1">
        <w:rPr>
          <w:rFonts w:cs="Arial"/>
          <w:iCs w:val="0"/>
          <w:color w:val="auto"/>
          <w:szCs w:val="16"/>
          <w:lang w:val="en-CA"/>
        </w:rPr>
        <w:t>20</w:t>
      </w:r>
    </w:p>
    <w:p w:rsidR="000809D9" w:rsidRDefault="000809D9">
      <w:pPr>
        <w:pStyle w:val="StyleCopyrightStatementAfter0ptBottomSinglesolidline1"/>
        <w:rPr>
          <w:rFonts w:ascii="Times New Roman" w:hAnsi="Times New Roman"/>
          <w:sz w:val="20"/>
          <w:lang w:val="en-CA"/>
        </w:rPr>
      </w:pPr>
    </w:p>
    <w:p w:rsidR="000809D9" w:rsidRDefault="000809D9">
      <w:pPr>
        <w:pStyle w:val="StyleCopyrightStatementAfter0ptBottomSinglesolidline1"/>
        <w:rPr>
          <w:rFonts w:ascii="Times New Roman" w:hAnsi="Times New Roman"/>
          <w:sz w:val="20"/>
          <w:lang w:val="en-CA"/>
        </w:rPr>
      </w:pPr>
    </w:p>
    <w:p w:rsidR="000809D9" w:rsidRDefault="00CC53DA">
      <w:pPr>
        <w:pStyle w:val="BodyTextMain"/>
        <w:rPr>
          <w:rFonts w:eastAsia="SimSun"/>
          <w:lang w:val="en-CA" w:eastAsia="zh-CN"/>
        </w:rPr>
      </w:pPr>
      <w:r>
        <w:rPr>
          <w:rFonts w:eastAsia="SimSun"/>
          <w:lang w:val="en-CA" w:eastAsia="zh-CN"/>
        </w:rPr>
        <w:t xml:space="preserve">In 2016, after </w:t>
      </w:r>
      <w:r>
        <w:rPr>
          <w:rFonts w:eastAsia="SimSun"/>
          <w:lang w:val="en-CA"/>
        </w:rPr>
        <w:t>integrating</w:t>
      </w:r>
      <w:r>
        <w:rPr>
          <w:rFonts w:eastAsia="SimSun"/>
          <w:lang w:val="en-CA" w:eastAsia="zh-CN"/>
        </w:rPr>
        <w:t xml:space="preserve"> the entire business into one operational conglomerate, the Power Construction Corporation of China Ltd. (</w:t>
      </w:r>
      <w:proofErr w:type="spellStart"/>
      <w:r>
        <w:rPr>
          <w:rFonts w:eastAsia="SimSun"/>
          <w:lang w:val="en-CA" w:eastAsia="zh-CN"/>
        </w:rPr>
        <w:t>PowerChina</w:t>
      </w:r>
      <w:proofErr w:type="spellEnd"/>
      <w:r>
        <w:rPr>
          <w:rFonts w:eastAsia="SimSun"/>
          <w:lang w:val="en-CA" w:eastAsia="zh-CN"/>
        </w:rPr>
        <w:t xml:space="preserve">) officially decided to put more efforts and resources into global competition. By the end of 2017, </w:t>
      </w:r>
      <w:proofErr w:type="spellStart"/>
      <w:r>
        <w:rPr>
          <w:rFonts w:eastAsia="SimSun"/>
          <w:lang w:val="en-CA" w:eastAsia="zh-CN"/>
        </w:rPr>
        <w:t>PowerChina</w:t>
      </w:r>
      <w:proofErr w:type="spellEnd"/>
      <w:r>
        <w:rPr>
          <w:rFonts w:eastAsia="SimSun"/>
          <w:lang w:val="en-CA" w:eastAsia="zh-CN"/>
        </w:rPr>
        <w:t xml:space="preserve"> had built 322 overseas offices in 109 countries, and in 2018, it ranked 10th in Engineering News-Record’s (ENR’s) list of the top 250 international contractors in 2018.</w:t>
      </w:r>
      <w:r>
        <w:rPr>
          <w:rStyle w:val="FootnoteReference"/>
          <w:rFonts w:eastAsia="SimSun"/>
          <w:lang w:val="en-CA"/>
        </w:rPr>
        <w:footnoteReference w:id="1"/>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In 2017, the top 250 international contractors increased returns for the first time after three consecutive years of declining revenue, with a growth rate of 3.1 per cent in total turnover.</w:t>
      </w:r>
      <w:r>
        <w:rPr>
          <w:rStyle w:val="FootnoteReference"/>
          <w:rFonts w:eastAsia="SimSun"/>
          <w:lang w:val="en-CA"/>
        </w:rPr>
        <w:footnoteReference w:id="2"/>
      </w:r>
      <w:r>
        <w:rPr>
          <w:rFonts w:eastAsia="SimSun"/>
          <w:lang w:val="en-CA" w:eastAsia="zh-CN"/>
        </w:rPr>
        <w:t xml:space="preserve"> In this circumstance, </w:t>
      </w:r>
      <w:proofErr w:type="spellStart"/>
      <w:r>
        <w:rPr>
          <w:rFonts w:eastAsia="SimSun"/>
          <w:lang w:val="en-CA" w:eastAsia="zh-CN"/>
        </w:rPr>
        <w:t>PowerChina</w:t>
      </w:r>
      <w:proofErr w:type="spellEnd"/>
      <w:r>
        <w:rPr>
          <w:rFonts w:eastAsia="SimSun"/>
          <w:lang w:val="en-CA" w:eastAsia="zh-CN"/>
        </w:rPr>
        <w:t xml:space="preserve"> confidently stated,</w:t>
      </w:r>
    </w:p>
    <w:p w:rsidR="000809D9" w:rsidRDefault="000809D9">
      <w:pPr>
        <w:pStyle w:val="BodyTextMain"/>
        <w:rPr>
          <w:rFonts w:eastAsia="SimSun"/>
          <w:lang w:val="en-CA" w:eastAsia="zh-CN"/>
        </w:rPr>
      </w:pPr>
    </w:p>
    <w:p w:rsidR="000809D9" w:rsidRDefault="00CC53DA">
      <w:pPr>
        <w:pStyle w:val="BodyTextMain"/>
        <w:ind w:left="720"/>
        <w:rPr>
          <w:rFonts w:eastAsia="SimSun"/>
          <w:lang w:val="en-CA" w:eastAsia="zh-CN"/>
        </w:rPr>
      </w:pPr>
      <w:r>
        <w:rPr>
          <w:lang w:val="en-CA"/>
        </w:rPr>
        <w:t>After integrating an environmental analysis of international and domestic development</w:t>
      </w:r>
      <w:r>
        <w:rPr>
          <w:rFonts w:eastAsia="SimSun"/>
          <w:lang w:val="en-CA" w:eastAsia="zh-CN"/>
        </w:rPr>
        <w:t xml:space="preserve">, opportunities and risks coexist. Combined with the integration of international business and localization in certain markets, advancement has determined that the next few years will be a rare opportunity for the development of </w:t>
      </w:r>
      <w:proofErr w:type="spellStart"/>
      <w:r>
        <w:rPr>
          <w:rFonts w:eastAsia="SimSun"/>
          <w:lang w:val="en-CA" w:eastAsia="zh-CN"/>
        </w:rPr>
        <w:t>PowerChina</w:t>
      </w:r>
      <w:proofErr w:type="spellEnd"/>
      <w:r>
        <w:rPr>
          <w:rFonts w:eastAsia="SimSun"/>
          <w:lang w:val="en-CA" w:eastAsia="zh-CN"/>
        </w:rPr>
        <w:t>.</w:t>
      </w:r>
    </w:p>
    <w:p w:rsidR="000809D9" w:rsidRDefault="000809D9">
      <w:pPr>
        <w:pStyle w:val="BodyTextMain"/>
        <w:rPr>
          <w:rFonts w:eastAsia="SimSun"/>
          <w:lang w:val="en-CA" w:eastAsia="zh-CN"/>
        </w:rPr>
      </w:pPr>
    </w:p>
    <w:p w:rsidR="000809D9" w:rsidRDefault="00CC53DA">
      <w:pPr>
        <w:pStyle w:val="BodyTextMain"/>
        <w:rPr>
          <w:rFonts w:eastAsia="SimSun"/>
          <w:spacing w:val="-4"/>
          <w:kern w:val="22"/>
          <w:lang w:val="en-CA" w:eastAsia="zh-CN"/>
        </w:rPr>
      </w:pPr>
      <w:r>
        <w:rPr>
          <w:rFonts w:eastAsia="SimSun"/>
          <w:spacing w:val="-4"/>
          <w:kern w:val="22"/>
          <w:lang w:val="en-CA" w:eastAsia="zh-CN"/>
        </w:rPr>
        <w:t xml:space="preserve">However, the more severe, competitive and changeable situation caused </w:t>
      </w:r>
      <w:proofErr w:type="spellStart"/>
      <w:r>
        <w:rPr>
          <w:rFonts w:eastAsia="SimSun"/>
          <w:spacing w:val="-4"/>
          <w:kern w:val="22"/>
          <w:lang w:val="en-CA" w:eastAsia="zh-CN"/>
        </w:rPr>
        <w:t>PowerChina’s</w:t>
      </w:r>
      <w:proofErr w:type="spellEnd"/>
      <w:r>
        <w:rPr>
          <w:rFonts w:eastAsia="SimSun"/>
          <w:spacing w:val="-4"/>
          <w:kern w:val="22"/>
          <w:lang w:val="en-CA" w:eastAsia="zh-CN"/>
        </w:rPr>
        <w:t xml:space="preserve"> vigilance. Therefore, in order to respond flexibly to possible challenges in 2019, </w:t>
      </w:r>
      <w:proofErr w:type="spellStart"/>
      <w:r>
        <w:rPr>
          <w:rFonts w:eastAsia="SimSun"/>
          <w:spacing w:val="-4"/>
          <w:kern w:val="22"/>
          <w:lang w:val="en-CA" w:eastAsia="zh-CN"/>
        </w:rPr>
        <w:t>PowerChina</w:t>
      </w:r>
      <w:proofErr w:type="spellEnd"/>
      <w:r>
        <w:rPr>
          <w:rFonts w:eastAsia="SimSun"/>
          <w:spacing w:val="-4"/>
          <w:kern w:val="22"/>
          <w:lang w:val="en-CA" w:eastAsia="zh-CN"/>
        </w:rPr>
        <w:t xml:space="preserve"> urgently needed to determine whether its current internationalization strategy was still appropriate for the future, if its risk management system was out of date, and how both the internationalization strategy and risk management system could be improved.</w:t>
      </w:r>
    </w:p>
    <w:p w:rsidR="000809D9" w:rsidRDefault="000809D9">
      <w:pPr>
        <w:pStyle w:val="BodyTextMain"/>
        <w:rPr>
          <w:rFonts w:eastAsia="SimSun"/>
          <w:lang w:val="en-CA" w:eastAsia="zh-CN"/>
        </w:rPr>
      </w:pPr>
    </w:p>
    <w:p w:rsidR="000809D9" w:rsidRDefault="000809D9">
      <w:pPr>
        <w:pStyle w:val="BodyTextMain"/>
        <w:rPr>
          <w:rFonts w:eastAsia="SimSun"/>
          <w:b/>
          <w:lang w:val="en-CA" w:eastAsia="zh-CN"/>
        </w:rPr>
      </w:pPr>
    </w:p>
    <w:p w:rsidR="000809D9" w:rsidRDefault="00CC53DA">
      <w:pPr>
        <w:pStyle w:val="Casehead1"/>
        <w:rPr>
          <w:rFonts w:eastAsia="SimSun"/>
          <w:lang w:val="en-CA" w:eastAsia="zh-CN"/>
        </w:rPr>
      </w:pPr>
      <w:r>
        <w:rPr>
          <w:rFonts w:eastAsia="SimSun"/>
          <w:lang w:val="en-CA" w:eastAsia="zh-CN"/>
        </w:rPr>
        <w:t>Powe</w:t>
      </w:r>
      <w:r>
        <w:rPr>
          <w:rFonts w:eastAsia="SimSun"/>
          <w:spacing w:val="20"/>
          <w:lang w:val="en-CA" w:eastAsia="zh-CN"/>
        </w:rPr>
        <w:t>r</w:t>
      </w:r>
      <w:r>
        <w:rPr>
          <w:rFonts w:eastAsia="SimSun"/>
          <w:lang w:val="en-CA" w:eastAsia="zh-CN"/>
        </w:rPr>
        <w:t>China</w:t>
      </w:r>
      <w:r>
        <w:rPr>
          <w:rStyle w:val="FootnoteReference"/>
          <w:caps w:val="0"/>
          <w:sz w:val="22"/>
          <w:szCs w:val="22"/>
          <w:lang w:val="en-CA"/>
        </w:rPr>
        <w:footnoteReference w:id="3"/>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proofErr w:type="spellStart"/>
      <w:r>
        <w:rPr>
          <w:rFonts w:eastAsia="SimSun"/>
          <w:lang w:val="en-CA"/>
        </w:rPr>
        <w:t>PowerChina</w:t>
      </w:r>
      <w:proofErr w:type="spellEnd"/>
      <w:r>
        <w:rPr>
          <w:rFonts w:eastAsia="SimSun"/>
          <w:lang w:val="en-CA"/>
        </w:rPr>
        <w:t xml:space="preserve"> was a highly diversified construction group that provided investment financing, planning and design, engineering construction, equipment manufacturing, and operations management for hydraulic and hydropower projects and infrastructure. Its principal businesses included energy and power, construction engineering (including surveying, planning, design, and project contracting), water ecological environmental governance, and </w:t>
      </w:r>
      <w:r w:rsidR="008B1AD1">
        <w:rPr>
          <w:rFonts w:eastAsia="SimSun"/>
          <w:lang w:val="en-CA"/>
        </w:rPr>
        <w:t xml:space="preserve">the </w:t>
      </w:r>
      <w:r>
        <w:rPr>
          <w:rFonts w:eastAsia="SimSun"/>
          <w:lang w:val="en-CA"/>
        </w:rPr>
        <w:t xml:space="preserve">development and operation of other resources. The company had </w:t>
      </w:r>
      <w:r>
        <w:rPr>
          <w:rFonts w:eastAsia="SimSun"/>
          <w:lang w:val="en-CA"/>
        </w:rPr>
        <w:lastRenderedPageBreak/>
        <w:t xml:space="preserve">interests in real estate development and operation and in the manufacture and lease of related equipment. In addition, upon the authorization of relevant national ministries and commissions, </w:t>
      </w:r>
      <w:proofErr w:type="spellStart"/>
      <w:r>
        <w:rPr>
          <w:rFonts w:eastAsia="SimSun"/>
          <w:lang w:val="en-CA"/>
        </w:rPr>
        <w:t>PowerChina</w:t>
      </w:r>
      <w:proofErr w:type="spellEnd"/>
      <w:r>
        <w:rPr>
          <w:rFonts w:eastAsia="SimSun"/>
          <w:lang w:val="en-CA"/>
        </w:rPr>
        <w:t xml:space="preserve"> undertook functions such as national planning and review of hydropower, wind power, solar power, and other clean energy and new energy sources. With 186,000 staff, </w:t>
      </w:r>
      <w:proofErr w:type="spellStart"/>
      <w:r>
        <w:rPr>
          <w:rFonts w:eastAsia="SimSun"/>
          <w:lang w:val="en-CA"/>
        </w:rPr>
        <w:t>PowerChina</w:t>
      </w:r>
      <w:proofErr w:type="spellEnd"/>
      <w:r>
        <w:rPr>
          <w:rFonts w:eastAsia="SimSun"/>
          <w:lang w:val="en-CA"/>
        </w:rPr>
        <w:t xml:space="preserve"> achieved an operating income of ¥404.9 billion</w:t>
      </w:r>
      <w:r>
        <w:rPr>
          <w:rStyle w:val="FootnoteReference"/>
          <w:rFonts w:eastAsia="SimSun"/>
          <w:bCs/>
          <w:kern w:val="2"/>
          <w:lang w:val="en-CA" w:eastAsia="zh-CN"/>
        </w:rPr>
        <w:footnoteReference w:id="4"/>
      </w:r>
      <w:r>
        <w:rPr>
          <w:rFonts w:eastAsia="SimSun"/>
          <w:lang w:val="en-CA" w:eastAsia="zh-CN"/>
        </w:rPr>
        <w:t xml:space="preserve"> in 2018.</w:t>
      </w:r>
      <w:r>
        <w:rPr>
          <w:rFonts w:eastAsia="SimSun"/>
          <w:bCs/>
          <w:kern w:val="2"/>
          <w:lang w:val="en-CA" w:eastAsia="zh-CN"/>
        </w:rPr>
        <w:t xml:space="preserve"> </w:t>
      </w:r>
      <w:proofErr w:type="spellStart"/>
      <w:r>
        <w:rPr>
          <w:rFonts w:eastAsia="SimSun"/>
          <w:bCs/>
          <w:kern w:val="2"/>
          <w:lang w:val="en-CA" w:eastAsia="zh-CN"/>
        </w:rPr>
        <w:t>PowerChina’s</w:t>
      </w:r>
      <w:proofErr w:type="spellEnd"/>
      <w:r>
        <w:rPr>
          <w:rFonts w:eastAsia="SimSun"/>
          <w:bCs/>
          <w:kern w:val="2"/>
          <w:lang w:val="en-CA" w:eastAsia="zh-CN"/>
        </w:rPr>
        <w:t xml:space="preserve"> overseas income and market distribution data are shown in Exhibit 1.</w:t>
      </w:r>
      <w:r>
        <w:rPr>
          <w:rFonts w:eastAsia="SimSun"/>
          <w:lang w:val="en-CA" w:eastAsia="zh-CN"/>
        </w:rPr>
        <w:t xml:space="preserve"> </w:t>
      </w:r>
    </w:p>
    <w:p w:rsidR="000809D9" w:rsidRDefault="000809D9">
      <w:pPr>
        <w:pStyle w:val="BodyTextMain"/>
        <w:rPr>
          <w:rFonts w:eastAsia="SimSun"/>
          <w:lang w:val="en-CA" w:eastAsia="zh-CN"/>
        </w:rPr>
      </w:pPr>
    </w:p>
    <w:p w:rsidR="000809D9" w:rsidRDefault="000809D9">
      <w:pPr>
        <w:pStyle w:val="BodyTextMain"/>
        <w:rPr>
          <w:rFonts w:eastAsia="SimSun"/>
          <w:lang w:val="en-CA" w:eastAsia="zh-CN"/>
        </w:rPr>
      </w:pPr>
    </w:p>
    <w:p w:rsidR="000809D9" w:rsidRDefault="00CC53DA">
      <w:pPr>
        <w:pStyle w:val="Casehead1"/>
        <w:rPr>
          <w:rFonts w:eastAsia="SimSun"/>
          <w:lang w:val="en-CA" w:eastAsia="zh-CN"/>
        </w:rPr>
      </w:pPr>
      <w:r>
        <w:rPr>
          <w:rFonts w:eastAsia="SimSun"/>
          <w:lang w:val="en-CA" w:eastAsia="zh-CN"/>
        </w:rPr>
        <w:t>Powe</w:t>
      </w:r>
      <w:r>
        <w:rPr>
          <w:rFonts w:eastAsia="SimSun"/>
          <w:spacing w:val="20"/>
          <w:lang w:val="en-CA" w:eastAsia="zh-CN"/>
        </w:rPr>
        <w:t>r</w:t>
      </w:r>
      <w:r>
        <w:rPr>
          <w:rFonts w:eastAsia="SimSun"/>
          <w:lang w:val="en-CA" w:eastAsia="zh-CN"/>
        </w:rPr>
        <w:t>China’s Internationalization</w:t>
      </w:r>
    </w:p>
    <w:p w:rsidR="000809D9" w:rsidRDefault="000809D9">
      <w:pPr>
        <w:pStyle w:val="BodyTextMain"/>
        <w:rPr>
          <w:rFonts w:eastAsia="SimSun"/>
          <w:lang w:val="en-CA" w:eastAsia="zh-CN"/>
        </w:rPr>
      </w:pPr>
    </w:p>
    <w:p w:rsidR="000809D9" w:rsidRDefault="00CC53DA">
      <w:pPr>
        <w:pStyle w:val="BodyTextMain"/>
        <w:rPr>
          <w:rFonts w:eastAsia="SimSun"/>
          <w:spacing w:val="-2"/>
          <w:kern w:val="22"/>
          <w:lang w:val="en-CA" w:eastAsia="zh-CN"/>
        </w:rPr>
      </w:pPr>
      <w:r>
        <w:rPr>
          <w:rFonts w:eastAsia="SimSun"/>
          <w:spacing w:val="-2"/>
          <w:kern w:val="22"/>
          <w:lang w:val="en-CA"/>
        </w:rPr>
        <w:t xml:space="preserve">Before 1993, </w:t>
      </w:r>
      <w:proofErr w:type="spellStart"/>
      <w:r>
        <w:rPr>
          <w:rFonts w:eastAsia="SimSun"/>
          <w:spacing w:val="-2"/>
          <w:kern w:val="22"/>
          <w:lang w:val="en-CA"/>
        </w:rPr>
        <w:t>PowerChina</w:t>
      </w:r>
      <w:proofErr w:type="spellEnd"/>
      <w:r>
        <w:rPr>
          <w:rFonts w:eastAsia="SimSun"/>
          <w:spacing w:val="-2"/>
          <w:kern w:val="22"/>
          <w:lang w:val="en-CA"/>
        </w:rPr>
        <w:t xml:space="preserve"> was taking an inactive, opportunity-driven, and sporadic business approach. In 1964, in the first phase of the firm’s international development, </w:t>
      </w:r>
      <w:r>
        <w:rPr>
          <w:rFonts w:eastAsia="SimSun"/>
          <w:spacing w:val="-2"/>
          <w:kern w:val="22"/>
          <w:lang w:val="en-CA" w:eastAsia="zh-CN"/>
        </w:rPr>
        <w:t xml:space="preserve">one of </w:t>
      </w:r>
      <w:proofErr w:type="spellStart"/>
      <w:r>
        <w:rPr>
          <w:rFonts w:eastAsia="SimSun"/>
          <w:spacing w:val="-2"/>
          <w:kern w:val="22"/>
          <w:lang w:val="en-CA"/>
        </w:rPr>
        <w:t>PowerChina</w:t>
      </w:r>
      <w:r>
        <w:rPr>
          <w:rFonts w:eastAsia="SimSun"/>
          <w:spacing w:val="-2"/>
          <w:kern w:val="22"/>
          <w:lang w:val="en-CA" w:eastAsia="zh-CN"/>
        </w:rPr>
        <w:t>’s</w:t>
      </w:r>
      <w:proofErr w:type="spellEnd"/>
      <w:r>
        <w:rPr>
          <w:rFonts w:eastAsia="SimSun"/>
          <w:spacing w:val="-2"/>
          <w:kern w:val="22"/>
          <w:lang w:val="en-CA" w:eastAsia="zh-CN"/>
        </w:rPr>
        <w:t xml:space="preserve"> predecessors</w:t>
      </w:r>
      <w:r>
        <w:rPr>
          <w:rFonts w:eastAsia="SimSun"/>
          <w:spacing w:val="-2"/>
          <w:kern w:val="22"/>
          <w:lang w:val="en-CA"/>
        </w:rPr>
        <w:t xml:space="preserve"> built the </w:t>
      </w:r>
      <w:proofErr w:type="spellStart"/>
      <w:r>
        <w:rPr>
          <w:rFonts w:eastAsia="SimSun"/>
          <w:spacing w:val="-2"/>
          <w:kern w:val="22"/>
          <w:lang w:val="en-CA"/>
        </w:rPr>
        <w:t>Jinkang</w:t>
      </w:r>
      <w:proofErr w:type="spellEnd"/>
      <w:r>
        <w:rPr>
          <w:rFonts w:eastAsia="SimSun"/>
          <w:spacing w:val="-2"/>
          <w:kern w:val="22"/>
          <w:lang w:val="en-CA"/>
        </w:rPr>
        <w:t xml:space="preserve"> Hydropower Station in Guinea—one of the first of China’s</w:t>
      </w:r>
      <w:r>
        <w:rPr>
          <w:rFonts w:eastAsia="SimSun"/>
          <w:spacing w:val="-2"/>
          <w:kern w:val="22"/>
          <w:lang w:val="en-CA" w:eastAsia="zh-CN"/>
        </w:rPr>
        <w:t xml:space="preserve"> </w:t>
      </w:r>
      <w:r>
        <w:rPr>
          <w:rFonts w:eastAsia="SimSun"/>
          <w:spacing w:val="-2"/>
          <w:kern w:val="22"/>
          <w:lang w:val="en-CA"/>
        </w:rPr>
        <w:t>enterprises</w:t>
      </w:r>
      <w:r>
        <w:rPr>
          <w:rFonts w:eastAsia="SimSun"/>
          <w:spacing w:val="-2"/>
          <w:kern w:val="22"/>
          <w:lang w:val="en-CA" w:eastAsia="zh-CN"/>
        </w:rPr>
        <w:t xml:space="preserve"> carrying out overseas projects</w:t>
      </w:r>
      <w:r>
        <w:rPr>
          <w:rFonts w:eastAsia="SimSun"/>
          <w:spacing w:val="-2"/>
          <w:kern w:val="22"/>
          <w:lang w:val="en-CA"/>
        </w:rPr>
        <w:t>.</w:t>
      </w:r>
      <w:r>
        <w:rPr>
          <w:rStyle w:val="FootnoteReference"/>
          <w:rFonts w:eastAsia="SimSun"/>
          <w:spacing w:val="-2"/>
          <w:kern w:val="22"/>
          <w:lang w:val="en-CA" w:eastAsia="zh-CN"/>
        </w:rPr>
        <w:footnoteReference w:id="5"/>
      </w:r>
      <w:r>
        <w:rPr>
          <w:rFonts w:eastAsia="SimSun"/>
          <w:spacing w:val="-2"/>
          <w:kern w:val="22"/>
          <w:lang w:val="en-CA"/>
        </w:rPr>
        <w:t xml:space="preserve"> In 1982, Hydropower </w:t>
      </w:r>
      <w:r>
        <w:rPr>
          <w:rFonts w:eastAsia="SimSun"/>
          <w:spacing w:val="-2"/>
          <w:kern w:val="22"/>
          <w:lang w:val="en-CA" w:eastAsia="zh-CN"/>
        </w:rPr>
        <w:t>Fourteen</w:t>
      </w:r>
      <w:r>
        <w:rPr>
          <w:rFonts w:eastAsia="SimSun"/>
          <w:spacing w:val="-2"/>
          <w:kern w:val="22"/>
          <w:lang w:val="en-CA"/>
        </w:rPr>
        <w:t xml:space="preserve"> Bureau, </w:t>
      </w:r>
      <w:r>
        <w:rPr>
          <w:rFonts w:eastAsia="SimSun"/>
          <w:spacing w:val="-2"/>
          <w:kern w:val="22"/>
          <w:lang w:val="en-CA" w:eastAsia="zh-CN"/>
        </w:rPr>
        <w:t xml:space="preserve">a subsidiary of </w:t>
      </w:r>
      <w:proofErr w:type="spellStart"/>
      <w:r>
        <w:rPr>
          <w:rFonts w:eastAsia="SimSun"/>
          <w:spacing w:val="-2"/>
          <w:kern w:val="22"/>
          <w:lang w:val="en-CA" w:eastAsia="zh-CN"/>
        </w:rPr>
        <w:t>PowerChina</w:t>
      </w:r>
      <w:proofErr w:type="spellEnd"/>
      <w:r>
        <w:rPr>
          <w:rFonts w:eastAsia="SimSun"/>
          <w:spacing w:val="-2"/>
          <w:kern w:val="22"/>
          <w:lang w:val="en-CA" w:eastAsia="zh-CN"/>
        </w:rPr>
        <w:t xml:space="preserve">, </w:t>
      </w:r>
      <w:r>
        <w:rPr>
          <w:rFonts w:eastAsia="SimSun"/>
          <w:spacing w:val="-2"/>
          <w:kern w:val="22"/>
          <w:lang w:val="en-CA"/>
        </w:rPr>
        <w:t xml:space="preserve">entered the </w:t>
      </w:r>
      <w:proofErr w:type="spellStart"/>
      <w:r>
        <w:rPr>
          <w:rFonts w:eastAsia="SimSun"/>
          <w:spacing w:val="-2"/>
          <w:kern w:val="22"/>
          <w:lang w:val="en-CA"/>
        </w:rPr>
        <w:t>Lubuge</w:t>
      </w:r>
      <w:proofErr w:type="spellEnd"/>
      <w:r>
        <w:rPr>
          <w:rFonts w:eastAsia="SimSun"/>
          <w:spacing w:val="-2"/>
          <w:kern w:val="22"/>
          <w:lang w:val="en-CA"/>
        </w:rPr>
        <w:t xml:space="preserve"> Hydropower Project, the first hydropower project in China funded with a loan from the World Bank. This project enabled China’s hydropower industry (which </w:t>
      </w:r>
      <w:r>
        <w:rPr>
          <w:rFonts w:eastAsia="SimSun"/>
          <w:spacing w:val="-2"/>
          <w:kern w:val="22"/>
          <w:lang w:val="en-CA" w:eastAsia="zh-CN"/>
        </w:rPr>
        <w:t>had a relatively conservative orientation</w:t>
      </w:r>
      <w:r>
        <w:rPr>
          <w:rFonts w:eastAsia="SimSun"/>
          <w:spacing w:val="-2"/>
          <w:kern w:val="22"/>
          <w:lang w:val="en-CA"/>
        </w:rPr>
        <w:t xml:space="preserve"> </w:t>
      </w:r>
      <w:r>
        <w:rPr>
          <w:rFonts w:eastAsia="SimSun"/>
          <w:spacing w:val="-2"/>
          <w:kern w:val="22"/>
          <w:lang w:val="en-CA" w:eastAsia="zh-CN"/>
        </w:rPr>
        <w:t xml:space="preserve">for being </w:t>
      </w:r>
      <w:r>
        <w:rPr>
          <w:rFonts w:eastAsia="SimSun"/>
          <w:spacing w:val="-2"/>
          <w:kern w:val="22"/>
          <w:lang w:val="en-CA"/>
        </w:rPr>
        <w:t>affected by China’s economic planning) to confront the impact of modern enterprise operations</w:t>
      </w:r>
      <w:r>
        <w:rPr>
          <w:rFonts w:eastAsia="SimSun"/>
          <w:spacing w:val="-2"/>
          <w:kern w:val="22"/>
          <w:lang w:val="en-CA" w:eastAsia="zh-CN"/>
        </w:rPr>
        <w:t xml:space="preserve">, which led </w:t>
      </w:r>
      <w:proofErr w:type="spellStart"/>
      <w:r>
        <w:rPr>
          <w:rFonts w:eastAsia="SimSun"/>
          <w:spacing w:val="-2"/>
          <w:kern w:val="22"/>
          <w:lang w:val="en-CA" w:eastAsia="zh-CN"/>
        </w:rPr>
        <w:t>PowerChina</w:t>
      </w:r>
      <w:proofErr w:type="spellEnd"/>
      <w:r>
        <w:rPr>
          <w:rFonts w:eastAsia="SimSun"/>
          <w:spacing w:val="-2"/>
          <w:kern w:val="22"/>
          <w:lang w:val="en-CA" w:eastAsia="zh-CN"/>
        </w:rPr>
        <w:t xml:space="preserve"> to establish a modern enterprise system. The venture opened a window to international operations.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Further, in 1985, </w:t>
      </w:r>
      <w:proofErr w:type="spellStart"/>
      <w:r>
        <w:rPr>
          <w:rFonts w:eastAsia="SimSun"/>
          <w:lang w:val="en-CA" w:eastAsia="zh-CN"/>
        </w:rPr>
        <w:t>PowerChina</w:t>
      </w:r>
      <w:proofErr w:type="spellEnd"/>
      <w:r>
        <w:rPr>
          <w:rFonts w:eastAsia="SimSun"/>
          <w:lang w:val="en-CA" w:eastAsia="zh-CN"/>
        </w:rPr>
        <w:t xml:space="preserve"> (again as its predeces</w:t>
      </w:r>
      <w:r w:rsidR="008B1AD1">
        <w:rPr>
          <w:rFonts w:eastAsia="SimSun"/>
          <w:lang w:val="en-CA" w:eastAsia="zh-CN"/>
        </w:rPr>
        <w:t>sor) became one of the first Chinese</w:t>
      </w:r>
      <w:r>
        <w:rPr>
          <w:rFonts w:eastAsia="SimSun"/>
          <w:lang w:val="en-CA" w:eastAsia="zh-CN"/>
        </w:rPr>
        <w:t xml:space="preserve"> foreign economic subcontractors. At that stage, </w:t>
      </w:r>
      <w:proofErr w:type="spellStart"/>
      <w:r>
        <w:rPr>
          <w:rFonts w:eastAsia="SimSun"/>
          <w:lang w:val="en-CA" w:eastAsia="zh-CN"/>
        </w:rPr>
        <w:t>PowerChina</w:t>
      </w:r>
      <w:proofErr w:type="spellEnd"/>
      <w:r>
        <w:rPr>
          <w:rFonts w:eastAsia="SimSun"/>
          <w:lang w:val="en-CA" w:eastAsia="zh-CN"/>
        </w:rPr>
        <w:t xml:space="preserve"> was still experiencing the effects of China’s planned economy and thus lacked the capabilities necessary for modern engineering projects in project management and contract fulfillment, especially in markets outside of China. In addition, its competitiveness generally relied on employing low-cost labour. Nonetheless, </w:t>
      </w:r>
      <w:proofErr w:type="spellStart"/>
      <w:r>
        <w:rPr>
          <w:rFonts w:eastAsia="SimSun"/>
          <w:lang w:val="en-CA" w:eastAsia="zh-CN"/>
        </w:rPr>
        <w:t>PowerChina</w:t>
      </w:r>
      <w:proofErr w:type="spellEnd"/>
      <w:r>
        <w:rPr>
          <w:rFonts w:eastAsia="SimSun"/>
          <w:lang w:val="en-CA" w:eastAsia="zh-CN"/>
        </w:rPr>
        <w:t xml:space="preserve"> tentatively took its first step into international operations under the domestic and international effects of </w:t>
      </w:r>
      <w:r>
        <w:rPr>
          <w:lang w:val="en-CA"/>
        </w:rPr>
        <w:t xml:space="preserve">the external pull of trade by importing countries, the internal push of trade by the Chinese government, </w:t>
      </w:r>
      <w:r>
        <w:rPr>
          <w:rFonts w:eastAsia="SimSun"/>
          <w:lang w:val="en-CA" w:eastAsia="zh-CN"/>
        </w:rPr>
        <w:t>and the uncertainties of being inexperienced in management and global politics.</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From 1993 to 1999, </w:t>
      </w:r>
      <w:proofErr w:type="spellStart"/>
      <w:r>
        <w:rPr>
          <w:rFonts w:eastAsia="SimSun"/>
          <w:lang w:val="en-CA" w:eastAsia="zh-CN"/>
        </w:rPr>
        <w:t>PowerChina</w:t>
      </w:r>
      <w:proofErr w:type="spellEnd"/>
      <w:r>
        <w:rPr>
          <w:rFonts w:eastAsia="SimSun"/>
          <w:lang w:val="en-CA" w:eastAsia="zh-CN"/>
        </w:rPr>
        <w:t xml:space="preserve"> was pursuing a step of independent exploration instead of being pushed by the Chinese government into international development. After obtaining a licence for construction and labour co-operation in foreign contracted projects, </w:t>
      </w:r>
      <w:proofErr w:type="spellStart"/>
      <w:r>
        <w:rPr>
          <w:rFonts w:eastAsia="SimSun"/>
          <w:lang w:val="en-CA" w:eastAsia="zh-CN"/>
        </w:rPr>
        <w:t>PowerChina</w:t>
      </w:r>
      <w:proofErr w:type="spellEnd"/>
      <w:r>
        <w:rPr>
          <w:rFonts w:eastAsia="SimSun"/>
          <w:lang w:val="en-CA" w:eastAsia="zh-CN"/>
        </w:rPr>
        <w:t xml:space="preserve"> seized the initial opportunity to invest and increase its efforts internationally. It established its first foreign office in 1994—the </w:t>
      </w:r>
      <w:proofErr w:type="spellStart"/>
      <w:r>
        <w:rPr>
          <w:rFonts w:eastAsia="SimSun"/>
          <w:lang w:val="en-CA" w:eastAsia="zh-CN"/>
        </w:rPr>
        <w:t>Sinohydro</w:t>
      </w:r>
      <w:proofErr w:type="spellEnd"/>
      <w:r>
        <w:rPr>
          <w:rFonts w:eastAsia="SimSun"/>
          <w:lang w:val="en-CA"/>
        </w:rPr>
        <w:t xml:space="preserve"> Nepal Representative Office—and undertook </w:t>
      </w:r>
      <w:r>
        <w:rPr>
          <w:rFonts w:eastAsia="SimSun"/>
          <w:lang w:val="en-CA" w:eastAsia="zh-CN"/>
        </w:rPr>
        <w:t>a</w:t>
      </w:r>
      <w:r>
        <w:rPr>
          <w:rFonts w:eastAsia="SimSun"/>
          <w:lang w:val="en-CA"/>
        </w:rPr>
        <w:t xml:space="preserve"> </w:t>
      </w:r>
      <w:r>
        <w:rPr>
          <w:rFonts w:eastAsia="SimSun"/>
          <w:lang w:val="en-CA" w:eastAsia="zh-CN"/>
        </w:rPr>
        <w:t>h</w:t>
      </w:r>
      <w:r>
        <w:rPr>
          <w:rFonts w:eastAsia="SimSun"/>
          <w:lang w:val="en-CA"/>
        </w:rPr>
        <w:t xml:space="preserve">ydropower </w:t>
      </w:r>
      <w:r>
        <w:rPr>
          <w:rFonts w:eastAsia="SimSun"/>
          <w:lang w:val="en-CA" w:eastAsia="zh-CN"/>
        </w:rPr>
        <w:t>station p</w:t>
      </w:r>
      <w:r>
        <w:rPr>
          <w:rFonts w:eastAsia="SimSun"/>
          <w:lang w:val="en-CA"/>
        </w:rPr>
        <w:t xml:space="preserve">roject in </w:t>
      </w:r>
      <w:proofErr w:type="spellStart"/>
      <w:r>
        <w:rPr>
          <w:rFonts w:eastAsia="SimSun"/>
          <w:lang w:val="en-CA"/>
        </w:rPr>
        <w:t>Ilam</w:t>
      </w:r>
      <w:proofErr w:type="spellEnd"/>
      <w:r>
        <w:rPr>
          <w:rFonts w:eastAsia="SimSun"/>
          <w:lang w:val="en-CA" w:eastAsia="zh-CN"/>
        </w:rPr>
        <w:t xml:space="preserve">, </w:t>
      </w:r>
      <w:r>
        <w:rPr>
          <w:rFonts w:eastAsia="SimSun"/>
          <w:lang w:val="en-CA"/>
        </w:rPr>
        <w:t xml:space="preserve">Nepal in 1995. This was </w:t>
      </w:r>
      <w:proofErr w:type="spellStart"/>
      <w:r>
        <w:rPr>
          <w:rFonts w:eastAsia="SimSun"/>
          <w:lang w:val="en-CA" w:eastAsia="zh-CN"/>
        </w:rPr>
        <w:t>PowerChina’s</w:t>
      </w:r>
      <w:proofErr w:type="spellEnd"/>
      <w:r>
        <w:rPr>
          <w:rFonts w:eastAsia="SimSun"/>
          <w:lang w:val="en-CA"/>
        </w:rPr>
        <w:t xml:space="preserve"> first general contracting project overseas in the name of the China National Water Resources and Hydropower Engineering Corporation (CWHEC). In December 1995, </w:t>
      </w:r>
      <w:proofErr w:type="spellStart"/>
      <w:r>
        <w:rPr>
          <w:rFonts w:eastAsia="SimSun"/>
          <w:lang w:val="en-CA"/>
        </w:rPr>
        <w:t>PowerChina</w:t>
      </w:r>
      <w:proofErr w:type="spellEnd"/>
      <w:r>
        <w:rPr>
          <w:rFonts w:eastAsia="SimSun"/>
          <w:lang w:val="en-CA"/>
        </w:rPr>
        <w:t xml:space="preserve"> won the first project in Pakistan under CWHEC—</w:t>
      </w:r>
      <w:r>
        <w:rPr>
          <w:rFonts w:eastAsia="SimSun"/>
          <w:lang w:val="en-CA" w:eastAsia="zh-CN"/>
        </w:rPr>
        <w:t>an</w:t>
      </w:r>
      <w:r>
        <w:rPr>
          <w:rFonts w:eastAsia="SimSun"/>
          <w:lang w:val="en-CA"/>
        </w:rPr>
        <w:t xml:space="preserve"> </w:t>
      </w:r>
      <w:r>
        <w:rPr>
          <w:rFonts w:eastAsia="SimSun"/>
          <w:lang w:val="en-CA" w:eastAsia="zh-CN"/>
        </w:rPr>
        <w:t>i</w:t>
      </w:r>
      <w:r>
        <w:rPr>
          <w:rFonts w:eastAsia="SimSun"/>
          <w:lang w:val="en-CA"/>
        </w:rPr>
        <w:t xml:space="preserve">rrigation </w:t>
      </w:r>
      <w:r>
        <w:rPr>
          <w:rFonts w:eastAsia="SimSun"/>
          <w:lang w:val="en-CA" w:eastAsia="zh-CN"/>
        </w:rPr>
        <w:t>c</w:t>
      </w:r>
      <w:r>
        <w:rPr>
          <w:rFonts w:eastAsia="SimSun"/>
          <w:lang w:val="en-CA"/>
        </w:rPr>
        <w:t xml:space="preserve">anal </w:t>
      </w:r>
      <w:r>
        <w:rPr>
          <w:rFonts w:eastAsia="SimSun"/>
          <w:lang w:val="en-CA" w:eastAsia="zh-CN"/>
        </w:rPr>
        <w:t>e</w:t>
      </w:r>
      <w:r>
        <w:rPr>
          <w:rFonts w:eastAsia="SimSun"/>
          <w:lang w:val="en-CA"/>
        </w:rPr>
        <w:t>ngineering</w:t>
      </w:r>
      <w:r>
        <w:rPr>
          <w:rFonts w:eastAsia="SimSun"/>
          <w:lang w:val="en-CA" w:eastAsia="zh-CN"/>
        </w:rPr>
        <w:t xml:space="preserve"> in </w:t>
      </w:r>
      <w:proofErr w:type="spellStart"/>
      <w:r>
        <w:rPr>
          <w:rFonts w:eastAsia="SimSun"/>
          <w:lang w:val="en-CA"/>
        </w:rPr>
        <w:t>Patfield</w:t>
      </w:r>
      <w:proofErr w:type="spellEnd"/>
      <w:r>
        <w:rPr>
          <w:rFonts w:eastAsia="SimSun"/>
          <w:lang w:val="en-CA" w:eastAsia="zh-CN"/>
        </w:rPr>
        <w:t>,</w:t>
      </w:r>
      <w:r>
        <w:rPr>
          <w:rFonts w:eastAsia="SimSun"/>
          <w:lang w:val="en-CA"/>
        </w:rPr>
        <w:t xml:space="preserve"> Pakistan. Later, as its international competitiveness gradually improved, </w:t>
      </w:r>
      <w:proofErr w:type="spellStart"/>
      <w:r>
        <w:rPr>
          <w:rFonts w:eastAsia="SimSun"/>
          <w:lang w:val="en-CA"/>
        </w:rPr>
        <w:t>PowerChina</w:t>
      </w:r>
      <w:proofErr w:type="spellEnd"/>
      <w:r>
        <w:rPr>
          <w:rFonts w:eastAsia="SimSun"/>
          <w:lang w:val="en-CA"/>
        </w:rPr>
        <w:t xml:space="preserve"> built the first overseas engineering, procurement, and construction (EPC) project in Bangladesh in March 1999—the </w:t>
      </w:r>
      <w:proofErr w:type="spellStart"/>
      <w:r>
        <w:rPr>
          <w:rFonts w:eastAsia="SimSun"/>
          <w:lang w:val="en-CA"/>
        </w:rPr>
        <w:t>Maigalhart</w:t>
      </w:r>
      <w:proofErr w:type="spellEnd"/>
      <w:r>
        <w:rPr>
          <w:rFonts w:eastAsia="SimSun"/>
          <w:lang w:val="en-CA"/>
        </w:rPr>
        <w:t xml:space="preserve"> Power Plant Preparation Project, which was </w:t>
      </w:r>
      <w:proofErr w:type="spellStart"/>
      <w:r>
        <w:rPr>
          <w:rFonts w:eastAsia="SimSun"/>
          <w:lang w:val="en-CA"/>
        </w:rPr>
        <w:t>PowerChina’s</w:t>
      </w:r>
      <w:proofErr w:type="spellEnd"/>
      <w:r>
        <w:rPr>
          <w:rFonts w:eastAsia="SimSun"/>
          <w:lang w:val="en-CA"/>
        </w:rPr>
        <w:t xml:space="preserve"> first attempt at implementing its new EPC business model</w:t>
      </w:r>
      <w:r>
        <w:rPr>
          <w:rFonts w:eastAsia="SimSun"/>
          <w:lang w:val="en-CA" w:eastAsia="zh-CN"/>
        </w:rPr>
        <w:t xml:space="preserve">.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During this time period, </w:t>
      </w:r>
      <w:proofErr w:type="spellStart"/>
      <w:r>
        <w:rPr>
          <w:rFonts w:eastAsia="SimSun"/>
          <w:lang w:val="en-CA" w:eastAsia="zh-CN"/>
        </w:rPr>
        <w:t>PowerChina</w:t>
      </w:r>
      <w:proofErr w:type="spellEnd"/>
      <w:r>
        <w:rPr>
          <w:rFonts w:eastAsia="SimSun"/>
          <w:lang w:val="en-CA" w:eastAsia="zh-CN"/>
        </w:rPr>
        <w:t xml:space="preserve"> actively participated in international bidding and began to upgrade its business model. Facing the uncertainties brought about by the international economic situation at the time, such as the Southeast Asian economic crisis, information asymmetry, and market competition, </w:t>
      </w:r>
      <w:proofErr w:type="spellStart"/>
      <w:r>
        <w:rPr>
          <w:rFonts w:eastAsia="SimSun"/>
          <w:lang w:val="en-CA" w:eastAsia="zh-CN"/>
        </w:rPr>
        <w:t>PowerChina</w:t>
      </w:r>
      <w:proofErr w:type="spellEnd"/>
      <w:r>
        <w:rPr>
          <w:rFonts w:eastAsia="SimSun"/>
          <w:lang w:val="en-CA" w:eastAsia="zh-CN"/>
        </w:rPr>
        <w:t xml:space="preserve"> actively advanced its international business through management initiatives.</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From 2000 to 2005, </w:t>
      </w:r>
      <w:proofErr w:type="spellStart"/>
      <w:r>
        <w:rPr>
          <w:rFonts w:eastAsia="SimSun"/>
          <w:lang w:val="en-CA" w:eastAsia="zh-CN"/>
        </w:rPr>
        <w:t>PowerChina</w:t>
      </w:r>
      <w:proofErr w:type="spellEnd"/>
      <w:r>
        <w:rPr>
          <w:rFonts w:eastAsia="SimSun"/>
          <w:lang w:val="en-CA" w:eastAsia="zh-CN"/>
        </w:rPr>
        <w:t xml:space="preserve"> integrated its international business resources. In 2000, it proposed using the “four unifications” principle of international business (which it created), whereby management, </w:t>
      </w:r>
      <w:proofErr w:type="spellStart"/>
      <w:r>
        <w:rPr>
          <w:rFonts w:eastAsia="SimSun"/>
          <w:lang w:val="en-CA" w:eastAsia="zh-CN"/>
        </w:rPr>
        <w:lastRenderedPageBreak/>
        <w:t>PowerChina’s</w:t>
      </w:r>
      <w:proofErr w:type="spellEnd"/>
      <w:r>
        <w:rPr>
          <w:rFonts w:eastAsia="SimSun"/>
          <w:lang w:val="en-CA" w:eastAsia="zh-CN"/>
        </w:rPr>
        <w:t xml:space="preserve"> allocation of foreign economic resources, its use of group brands, and its outreach and co-operation were unified. </w:t>
      </w:r>
      <w:proofErr w:type="spellStart"/>
      <w:r>
        <w:rPr>
          <w:rFonts w:eastAsia="SimSun"/>
          <w:lang w:val="en-CA" w:eastAsia="zh-CN"/>
        </w:rPr>
        <w:t>PowerChina</w:t>
      </w:r>
      <w:proofErr w:type="spellEnd"/>
      <w:r>
        <w:rPr>
          <w:rFonts w:eastAsia="SimSun"/>
          <w:lang w:val="en-CA" w:eastAsia="zh-CN"/>
        </w:rPr>
        <w:t xml:space="preserve"> used this process to begin its formal venture into international business. After two years, in 2003, </w:t>
      </w:r>
      <w:proofErr w:type="spellStart"/>
      <w:r>
        <w:rPr>
          <w:rFonts w:eastAsia="SimSun"/>
          <w:lang w:val="en-CA" w:eastAsia="zh-CN"/>
        </w:rPr>
        <w:t>PowerChina</w:t>
      </w:r>
      <w:proofErr w:type="spellEnd"/>
      <w:r>
        <w:rPr>
          <w:rFonts w:eastAsia="SimSun"/>
          <w:lang w:val="en-CA" w:eastAsia="zh-CN"/>
        </w:rPr>
        <w:t xml:space="preserve"> officially became a central enterprise supervised by China’s State-Owned Assets Supervision and Administration Commission (SASAC). Since then, the company targeted the global market with the unified image of the </w:t>
      </w:r>
      <w:proofErr w:type="spellStart"/>
      <w:r>
        <w:rPr>
          <w:rFonts w:eastAsia="SimSun"/>
          <w:lang w:val="en-CA" w:eastAsia="zh-CN"/>
        </w:rPr>
        <w:t>Sinohydro</w:t>
      </w:r>
      <w:proofErr w:type="spellEnd"/>
      <w:r>
        <w:rPr>
          <w:rFonts w:eastAsia="SimSun"/>
          <w:lang w:val="en-CA" w:eastAsia="zh-CN"/>
        </w:rPr>
        <w:t xml:space="preserve"> brand.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In its biggest win since establishing the </w:t>
      </w:r>
      <w:proofErr w:type="spellStart"/>
      <w:r>
        <w:rPr>
          <w:rFonts w:eastAsia="SimSun"/>
          <w:lang w:val="en-CA" w:eastAsia="zh-CN"/>
        </w:rPr>
        <w:t>Sinohydro</w:t>
      </w:r>
      <w:proofErr w:type="spellEnd"/>
      <w:r>
        <w:rPr>
          <w:rFonts w:eastAsia="SimSun"/>
          <w:lang w:val="en-CA" w:eastAsia="zh-CN"/>
        </w:rPr>
        <w:t xml:space="preserve"> brand, </w:t>
      </w:r>
      <w:proofErr w:type="spellStart"/>
      <w:r>
        <w:rPr>
          <w:rFonts w:eastAsia="SimSun"/>
          <w:lang w:val="en-CA" w:eastAsia="zh-CN"/>
        </w:rPr>
        <w:t>PowerChina</w:t>
      </w:r>
      <w:proofErr w:type="spellEnd"/>
      <w:r>
        <w:rPr>
          <w:rFonts w:eastAsia="SimSun"/>
          <w:lang w:val="en-CA" w:eastAsia="zh-CN"/>
        </w:rPr>
        <w:t xml:space="preserve"> won its bid for the Merowe Dam Project</w:t>
      </w:r>
      <w:r>
        <w:rPr>
          <w:rStyle w:val="CommentReference"/>
          <w:rFonts w:eastAsia="SimSun"/>
          <w:sz w:val="22"/>
          <w:szCs w:val="22"/>
          <w:lang w:val="en-CA" w:eastAsia="zh-CN"/>
        </w:rPr>
        <w:t xml:space="preserve"> in </w:t>
      </w:r>
      <w:r>
        <w:rPr>
          <w:rFonts w:eastAsia="SimSun"/>
          <w:lang w:val="en-CA" w:eastAsia="zh-CN"/>
        </w:rPr>
        <w:t>Sudan</w:t>
      </w:r>
      <w:r>
        <w:rPr>
          <w:rFonts w:eastAsia="SimSun"/>
          <w:lang w:val="en-CA"/>
        </w:rPr>
        <w:t>, the largest single project in China’s international engineering history. With a total contract value of about US$2 billion,</w:t>
      </w:r>
      <w:r>
        <w:rPr>
          <w:rStyle w:val="FootnoteReference"/>
          <w:rFonts w:eastAsia="SimSun"/>
          <w:lang w:val="en-CA"/>
        </w:rPr>
        <w:footnoteReference w:id="6"/>
      </w:r>
      <w:r>
        <w:rPr>
          <w:rStyle w:val="FootnoteReference"/>
          <w:rFonts w:eastAsia="SimSun"/>
          <w:kern w:val="2"/>
          <w:lang w:val="en-CA" w:eastAsia="zh-CN"/>
        </w:rPr>
        <w:t xml:space="preserve"> </w:t>
      </w:r>
      <w:proofErr w:type="spellStart"/>
      <w:r>
        <w:rPr>
          <w:rFonts w:eastAsia="SimSun"/>
          <w:lang w:val="en-CA"/>
        </w:rPr>
        <w:t>PowerChina</w:t>
      </w:r>
      <w:proofErr w:type="spellEnd"/>
      <w:r>
        <w:rPr>
          <w:rFonts w:eastAsia="SimSun"/>
          <w:lang w:val="en-CA"/>
        </w:rPr>
        <w:t xml:space="preserve"> ranked within the upper 100 of the top 225 ENR international contractors for the first time, even though it already had 28 projects remaining under construction in 19 countries globally.</w:t>
      </w:r>
    </w:p>
    <w:p w:rsidR="000809D9" w:rsidRDefault="00CC53DA">
      <w:pPr>
        <w:pStyle w:val="BodyTextMain"/>
        <w:rPr>
          <w:rFonts w:eastAsia="SimSun"/>
          <w:lang w:val="en-CA" w:eastAsia="zh-CN"/>
        </w:rPr>
      </w:pPr>
      <w:r>
        <w:rPr>
          <w:rFonts w:eastAsia="SimSun"/>
          <w:lang w:val="en-CA" w:eastAsia="zh-CN"/>
        </w:rPr>
        <w:t xml:space="preserve"> </w:t>
      </w:r>
    </w:p>
    <w:p w:rsidR="000809D9" w:rsidRDefault="00CC53DA">
      <w:pPr>
        <w:pStyle w:val="BodyTextMain"/>
        <w:rPr>
          <w:rFonts w:eastAsia="SimSun"/>
          <w:lang w:val="en-CA" w:eastAsia="zh-CN"/>
        </w:rPr>
      </w:pPr>
      <w:r>
        <w:rPr>
          <w:rFonts w:eastAsia="SimSun"/>
          <w:lang w:val="en-CA" w:eastAsia="zh-CN"/>
        </w:rPr>
        <w:t xml:space="preserve">In 2004, </w:t>
      </w:r>
      <w:proofErr w:type="spellStart"/>
      <w:r>
        <w:rPr>
          <w:rFonts w:eastAsia="SimSun"/>
          <w:lang w:val="en-CA" w:eastAsia="zh-CN"/>
        </w:rPr>
        <w:t>PowerChina</w:t>
      </w:r>
      <w:proofErr w:type="spellEnd"/>
      <w:r>
        <w:rPr>
          <w:rFonts w:eastAsia="SimSun"/>
          <w:lang w:val="en-CA" w:eastAsia="zh-CN"/>
        </w:rPr>
        <w:t xml:space="preserve"> completed the first integration of its international business, and </w:t>
      </w:r>
      <w:proofErr w:type="spellStart"/>
      <w:r>
        <w:rPr>
          <w:rFonts w:eastAsia="SimSun"/>
          <w:lang w:val="en-CA" w:eastAsia="zh-CN"/>
        </w:rPr>
        <w:t>Sinohydro</w:t>
      </w:r>
      <w:proofErr w:type="spellEnd"/>
      <w:r>
        <w:rPr>
          <w:rFonts w:eastAsia="SimSun"/>
          <w:lang w:val="en-CA" w:eastAsia="zh-CN"/>
        </w:rPr>
        <w:t xml:space="preserve"> Corporation Limited was formally established to oversee the international business within the group. During this resource integration phase, </w:t>
      </w:r>
      <w:proofErr w:type="spellStart"/>
      <w:r>
        <w:rPr>
          <w:rFonts w:eastAsia="SimSun"/>
          <w:lang w:val="en-CA" w:eastAsia="zh-CN"/>
        </w:rPr>
        <w:t>PowerChina</w:t>
      </w:r>
      <w:proofErr w:type="spellEnd"/>
      <w:r>
        <w:rPr>
          <w:rFonts w:eastAsia="SimSun"/>
          <w:lang w:val="en-CA" w:eastAsia="zh-CN"/>
        </w:rPr>
        <w:t xml:space="preserve"> entertained the idea of centralizing its operations because it recognized the abundant returns brought by large projects and brand power. Therefore, even though </w:t>
      </w:r>
      <w:proofErr w:type="spellStart"/>
      <w:r>
        <w:rPr>
          <w:rFonts w:eastAsia="SimSun"/>
          <w:lang w:val="en-CA" w:eastAsia="zh-CN"/>
        </w:rPr>
        <w:t>PowerChina</w:t>
      </w:r>
      <w:proofErr w:type="spellEnd"/>
      <w:r>
        <w:rPr>
          <w:rFonts w:eastAsia="SimSun"/>
          <w:lang w:val="en-CA" w:eastAsia="zh-CN"/>
        </w:rPr>
        <w:t xml:space="preserve"> faced the uncertainties brought about by the international economy, terrorism, market differences, and competition, it still chose to discount risk </w:t>
      </w:r>
      <w:r w:rsidR="008B1AD1">
        <w:rPr>
          <w:rFonts w:eastAsia="SimSun"/>
          <w:lang w:val="en-CA" w:eastAsia="zh-CN"/>
        </w:rPr>
        <w:t xml:space="preserve">and </w:t>
      </w:r>
      <w:r>
        <w:rPr>
          <w:rFonts w:eastAsia="SimSun"/>
          <w:lang w:val="en-CA" w:eastAsia="zh-CN"/>
        </w:rPr>
        <w:t>to emphasize speed to market as it explored overseas markets and continued tendering for projects.</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From 2006 to 2015, </w:t>
      </w:r>
      <w:proofErr w:type="spellStart"/>
      <w:r>
        <w:rPr>
          <w:rFonts w:eastAsia="SimSun"/>
          <w:lang w:val="en-CA" w:eastAsia="zh-CN"/>
        </w:rPr>
        <w:t>PowerChina</w:t>
      </w:r>
      <w:proofErr w:type="spellEnd"/>
      <w:r>
        <w:rPr>
          <w:rFonts w:eastAsia="SimSun"/>
          <w:lang w:val="en-CA" w:eastAsia="zh-CN"/>
        </w:rPr>
        <w:t xml:space="preserve"> was in a fast-track phase of its internationalization strategy. It put forward and vigorously implemented a priority strategy for its international business development—a development trend of international business known (</w:t>
      </w:r>
      <w:r>
        <w:rPr>
          <w:lang w:val="en-CA"/>
        </w:rPr>
        <w:t xml:space="preserve">created by </w:t>
      </w:r>
      <w:proofErr w:type="spellStart"/>
      <w:r>
        <w:rPr>
          <w:lang w:val="en-CA"/>
        </w:rPr>
        <w:t>PowerChina</w:t>
      </w:r>
      <w:proofErr w:type="spellEnd"/>
      <w:r>
        <w:rPr>
          <w:rFonts w:eastAsia="SimSun"/>
          <w:lang w:val="en-CA" w:eastAsia="zh-CN"/>
        </w:rPr>
        <w:t xml:space="preserve">) as “big group, broad market, great brand, and vertical integration.” Hence, from 2006 to 2009, </w:t>
      </w:r>
      <w:proofErr w:type="spellStart"/>
      <w:r>
        <w:rPr>
          <w:rFonts w:eastAsia="SimSun"/>
          <w:lang w:val="en-CA" w:eastAsia="zh-CN"/>
        </w:rPr>
        <w:t>PowerChina</w:t>
      </w:r>
      <w:proofErr w:type="spellEnd"/>
      <w:r>
        <w:rPr>
          <w:rFonts w:eastAsia="SimSun"/>
          <w:lang w:val="en-CA" w:eastAsia="zh-CN"/>
        </w:rPr>
        <w:t xml:space="preserve"> successfully entered the high-end market of the Middle East, West Africa, and the Americas.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By 2011, </w:t>
      </w:r>
      <w:proofErr w:type="spellStart"/>
      <w:r>
        <w:rPr>
          <w:rFonts w:eastAsia="SimSun"/>
          <w:lang w:val="en-CA" w:eastAsia="zh-CN"/>
        </w:rPr>
        <w:t>PowerChina</w:t>
      </w:r>
      <w:proofErr w:type="spellEnd"/>
      <w:r>
        <w:rPr>
          <w:rFonts w:eastAsia="SimSun"/>
          <w:lang w:val="en-CA" w:eastAsia="zh-CN"/>
        </w:rPr>
        <w:t xml:space="preserve"> was established and its international business was scattered across three platforms, including the groups overseas, two international companies (</w:t>
      </w:r>
      <w:proofErr w:type="spellStart"/>
      <w:r>
        <w:rPr>
          <w:rFonts w:eastAsia="SimSun"/>
          <w:lang w:val="en-CA" w:eastAsia="zh-CN"/>
        </w:rPr>
        <w:t>Sinohydro</w:t>
      </w:r>
      <w:proofErr w:type="spellEnd"/>
      <w:r>
        <w:rPr>
          <w:rFonts w:eastAsia="SimSun"/>
          <w:lang w:val="en-CA" w:eastAsia="zh-CN"/>
        </w:rPr>
        <w:t xml:space="preserve"> and </w:t>
      </w:r>
      <w:proofErr w:type="spellStart"/>
      <w:r>
        <w:rPr>
          <w:rFonts w:eastAsia="SimSun"/>
          <w:lang w:val="en-CA" w:eastAsia="zh-CN"/>
        </w:rPr>
        <w:t>HydroChina</w:t>
      </w:r>
      <w:proofErr w:type="spellEnd"/>
      <w:r>
        <w:rPr>
          <w:rFonts w:eastAsia="SimSun"/>
          <w:lang w:val="en-CA" w:eastAsia="zh-CN"/>
        </w:rPr>
        <w:t xml:space="preserve"> Corporation), and overseas subsidiaries through which the expansion of overseas markets sharply accelerated. For instance, in 2012, the company successfully opened markets in Bosnia</w:t>
      </w:r>
      <w:r w:rsidR="0072495A">
        <w:rPr>
          <w:rFonts w:eastAsia="SimSun"/>
          <w:lang w:val="en-CA" w:eastAsia="zh-CN"/>
        </w:rPr>
        <w:t xml:space="preserve"> and </w:t>
      </w:r>
      <w:r>
        <w:rPr>
          <w:rFonts w:eastAsia="SimSun"/>
          <w:lang w:val="en-CA" w:eastAsia="zh-CN"/>
        </w:rPr>
        <w:t>Herzegovina</w:t>
      </w:r>
      <w:r w:rsidR="008B1AD1">
        <w:rPr>
          <w:rFonts w:eastAsia="SimSun"/>
          <w:lang w:val="en-CA" w:eastAsia="zh-CN"/>
        </w:rPr>
        <w:t>,</w:t>
      </w:r>
      <w:r>
        <w:rPr>
          <w:rFonts w:eastAsia="SimSun"/>
          <w:lang w:val="en-CA" w:eastAsia="zh-CN"/>
        </w:rPr>
        <w:t xml:space="preserve"> Belarus, and Poland, thus achieving a breakthrough in the high-end market of the European Union (EU). Taking this step involved promoting diversified development. For instance, in 2013, </w:t>
      </w:r>
      <w:proofErr w:type="spellStart"/>
      <w:r>
        <w:rPr>
          <w:rFonts w:eastAsia="SimSun"/>
          <w:lang w:val="en-CA" w:eastAsia="zh-CN"/>
        </w:rPr>
        <w:t>PowerChina</w:t>
      </w:r>
      <w:proofErr w:type="spellEnd"/>
      <w:r>
        <w:rPr>
          <w:rFonts w:eastAsia="SimSun"/>
          <w:lang w:val="en-CA" w:eastAsia="zh-CN"/>
        </w:rPr>
        <w:t xml:space="preserve"> successfully signed the first subway construction contract in the overseas market—the T217 sectio</w:t>
      </w:r>
      <w:bookmarkStart w:id="0" w:name="_GoBack"/>
      <w:bookmarkEnd w:id="0"/>
      <w:r>
        <w:rPr>
          <w:rFonts w:eastAsia="SimSun"/>
          <w:lang w:val="en-CA" w:eastAsia="zh-CN"/>
        </w:rPr>
        <w:t xml:space="preserve">n of Singapore’s Thomson–East Coast subway line. The company also signed its first overseas photovoltaic power plant project—Algeria’s solar photovoltaic project.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Notably, in 2015, the company’s first investment project in Laos promoted the implementation of the whole industry chain integration strategy aboard,</w:t>
      </w:r>
      <w:r>
        <w:rPr>
          <w:rStyle w:val="FootnoteReference"/>
          <w:rFonts w:eastAsia="SimSun"/>
          <w:lang w:val="en-CA" w:eastAsia="zh-CN"/>
        </w:rPr>
        <w:footnoteReference w:id="7"/>
      </w:r>
      <w:r>
        <w:rPr>
          <w:rFonts w:eastAsia="SimSun"/>
          <w:lang w:val="en-CA"/>
        </w:rPr>
        <w:t xml:space="preserve"> completing the complete array of investment activities in one year. By the end of 2015, </w:t>
      </w:r>
      <w:proofErr w:type="spellStart"/>
      <w:r>
        <w:rPr>
          <w:rFonts w:eastAsia="SimSun"/>
          <w:lang w:val="en-CA"/>
        </w:rPr>
        <w:t>PowerChina</w:t>
      </w:r>
      <w:proofErr w:type="spellEnd"/>
      <w:r>
        <w:rPr>
          <w:rFonts w:eastAsia="SimSun"/>
          <w:lang w:val="en-CA"/>
        </w:rPr>
        <w:t xml:space="preserve"> had 1,067 project contracts under construction through 96 countries. Among them, 604 projects with a total contract value of $37.2 billion were undertaken among 42 “Belt and Road” countries</w:t>
      </w:r>
      <w:r>
        <w:rPr>
          <w:rFonts w:eastAsia="SimSun"/>
          <w:lang w:val="en-CA" w:eastAsia="zh-CN"/>
        </w:rPr>
        <w:t>, aiming to follow the home country government central policies.</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Facing increasingly fierce competition, </w:t>
      </w:r>
      <w:proofErr w:type="spellStart"/>
      <w:r>
        <w:rPr>
          <w:rFonts w:eastAsia="SimSun"/>
          <w:lang w:val="en-CA" w:eastAsia="zh-CN"/>
        </w:rPr>
        <w:t>PowerChina</w:t>
      </w:r>
      <w:proofErr w:type="spellEnd"/>
      <w:r>
        <w:rPr>
          <w:rFonts w:eastAsia="SimSun"/>
          <w:lang w:val="en-CA" w:eastAsia="zh-CN"/>
        </w:rPr>
        <w:t xml:space="preserve"> focused on developing core strengths, emphasizing the continual extension and improvement of its industry chain and attaching importance to innovation, technology, and preliminary planning. The company faced three problems: (1) the increasingly complex </w:t>
      </w:r>
      <w:r>
        <w:rPr>
          <w:rFonts w:eastAsia="SimSun"/>
          <w:lang w:val="en-CA" w:eastAsia="zh-CN"/>
        </w:rPr>
        <w:lastRenderedPageBreak/>
        <w:t xml:space="preserve">uncertainties associated with project financing; (2) bilateral and multilateral relations, increasing costs, and an uncertain international economy; and (3) the challenge of responding to the company’s need to control risk. </w:t>
      </w:r>
      <w:proofErr w:type="spellStart"/>
      <w:r>
        <w:rPr>
          <w:rFonts w:eastAsia="SimSun"/>
          <w:lang w:val="en-CA" w:eastAsia="zh-CN"/>
        </w:rPr>
        <w:t>PowerChina</w:t>
      </w:r>
      <w:proofErr w:type="spellEnd"/>
      <w:r>
        <w:rPr>
          <w:rFonts w:eastAsia="SimSun"/>
          <w:lang w:val="en-CA" w:eastAsia="zh-CN"/>
        </w:rPr>
        <w:t xml:space="preserve"> demonstrated an awareness of market competition risk, investment risk, and capital risk, and then strengthened its ability to follow the Chinese government’s policies by emphasizing the priorities of international strategy and promoting the company’s ability to finance its commitments.</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The most recent international strategy was put forward in 2016. In this strategy, </w:t>
      </w:r>
      <w:proofErr w:type="spellStart"/>
      <w:r>
        <w:rPr>
          <w:rFonts w:eastAsia="SimSun"/>
          <w:lang w:val="en-CA" w:eastAsia="zh-CN"/>
        </w:rPr>
        <w:t>PowerChina</w:t>
      </w:r>
      <w:proofErr w:type="spellEnd"/>
      <w:r>
        <w:rPr>
          <w:rFonts w:eastAsia="SimSun"/>
          <w:lang w:val="en-CA" w:eastAsia="zh-CN"/>
        </w:rPr>
        <w:t xml:space="preserve"> proposed the “three steps and three majors” principle of international business. Here, the “three steps” consisted of integrating the group’s international business, localization, and globalization. The “three majors” included the “great transformation” strategy, whereby </w:t>
      </w:r>
      <w:proofErr w:type="spellStart"/>
      <w:r>
        <w:rPr>
          <w:rFonts w:eastAsia="SimSun"/>
          <w:lang w:val="en-CA" w:eastAsia="zh-CN"/>
        </w:rPr>
        <w:t>PowerChina</w:t>
      </w:r>
      <w:proofErr w:type="spellEnd"/>
      <w:r>
        <w:rPr>
          <w:rFonts w:eastAsia="SimSun"/>
          <w:lang w:val="en-CA" w:eastAsia="zh-CN"/>
        </w:rPr>
        <w:t xml:space="preserve"> was to be transformed from a traditional contractor to a comprehensive infrastructure investment group. This big integration strategy, according to </w:t>
      </w:r>
      <w:proofErr w:type="spellStart"/>
      <w:r>
        <w:rPr>
          <w:rFonts w:eastAsia="SimSun"/>
          <w:lang w:val="en-CA" w:eastAsia="zh-CN"/>
        </w:rPr>
        <w:t>PowerChina</w:t>
      </w:r>
      <w:proofErr w:type="spellEnd"/>
      <w:r>
        <w:rPr>
          <w:rFonts w:eastAsia="SimSun"/>
          <w:lang w:val="en-CA" w:eastAsia="zh-CN"/>
        </w:rPr>
        <w:t xml:space="preserve">, followed national initiatives such as the Belt and Road Initiative and integrated with local socio-economic development. It was the strategy of a great brand insisting on making the parent brand, </w:t>
      </w:r>
      <w:proofErr w:type="spellStart"/>
      <w:r>
        <w:rPr>
          <w:rFonts w:eastAsia="SimSun"/>
          <w:lang w:val="en-CA" w:eastAsia="zh-CN"/>
        </w:rPr>
        <w:t>PowerChina</w:t>
      </w:r>
      <w:proofErr w:type="spellEnd"/>
      <w:r>
        <w:rPr>
          <w:rFonts w:eastAsia="SimSun"/>
          <w:lang w:val="en-CA" w:eastAsia="zh-CN"/>
        </w:rPr>
        <w:t xml:space="preserve">, strong and promote parent–child brands, which included </w:t>
      </w:r>
      <w:proofErr w:type="spellStart"/>
      <w:r>
        <w:rPr>
          <w:rFonts w:eastAsia="SimSun"/>
          <w:lang w:val="en-CA" w:eastAsia="zh-CN"/>
        </w:rPr>
        <w:t>Sinohydro</w:t>
      </w:r>
      <w:proofErr w:type="spellEnd"/>
      <w:r>
        <w:rPr>
          <w:rFonts w:eastAsia="SimSun"/>
          <w:lang w:val="en-CA" w:eastAsia="zh-CN"/>
        </w:rPr>
        <w:t xml:space="preserve"> and </w:t>
      </w:r>
      <w:proofErr w:type="spellStart"/>
      <w:r>
        <w:rPr>
          <w:rFonts w:eastAsia="SimSun"/>
          <w:lang w:val="en-CA" w:eastAsia="zh-CN"/>
        </w:rPr>
        <w:t>HydroChina</w:t>
      </w:r>
      <w:proofErr w:type="spellEnd"/>
      <w:r>
        <w:rPr>
          <w:rFonts w:eastAsia="SimSun"/>
          <w:lang w:val="en-CA" w:eastAsia="zh-CN"/>
        </w:rPr>
        <w:t xml:space="preserve">.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In addition, </w:t>
      </w:r>
      <w:proofErr w:type="spellStart"/>
      <w:r>
        <w:rPr>
          <w:rFonts w:eastAsia="SimSun"/>
          <w:lang w:val="en-CA" w:eastAsia="zh-CN"/>
        </w:rPr>
        <w:t>PowerChi</w:t>
      </w:r>
      <w:r w:rsidR="008B1AD1">
        <w:rPr>
          <w:rFonts w:eastAsia="SimSun"/>
          <w:lang w:val="en-CA" w:eastAsia="zh-CN"/>
        </w:rPr>
        <w:t>na</w:t>
      </w:r>
      <w:proofErr w:type="spellEnd"/>
      <w:r w:rsidR="008B1AD1">
        <w:rPr>
          <w:rFonts w:eastAsia="SimSun"/>
          <w:lang w:val="en-CA" w:eastAsia="zh-CN"/>
        </w:rPr>
        <w:t xml:space="preserve"> established </w:t>
      </w:r>
      <w:r>
        <w:rPr>
          <w:rFonts w:eastAsia="SimSun"/>
          <w:lang w:val="en-CA" w:eastAsia="zh-CN"/>
        </w:rPr>
        <w:t>an international business management model that clarified five unified activities. This model involved unifying strategic planning, brand management, market layout and marketing, performance supervision, and risk prevention. This model also defined five centres of regional headquarters that comprised marketing, project supervision, information, social responsibility, and the Communist Party of China.</w:t>
      </w:r>
    </w:p>
    <w:p w:rsidR="000809D9" w:rsidRDefault="000809D9">
      <w:pPr>
        <w:pStyle w:val="BodyTextMain"/>
        <w:rPr>
          <w:rFonts w:eastAsia="SimSun"/>
          <w:lang w:val="en-CA" w:eastAsia="zh-CN"/>
        </w:rPr>
      </w:pPr>
    </w:p>
    <w:p w:rsidR="000809D9" w:rsidRDefault="000809D9">
      <w:pPr>
        <w:pStyle w:val="BodyTextMain"/>
        <w:rPr>
          <w:rFonts w:eastAsia="SimSun"/>
          <w:lang w:val="en-CA" w:eastAsia="zh-CN"/>
        </w:rPr>
      </w:pPr>
    </w:p>
    <w:p w:rsidR="000809D9" w:rsidRDefault="00CC53DA">
      <w:pPr>
        <w:pStyle w:val="Casehead1"/>
        <w:rPr>
          <w:rFonts w:eastAsia="SimSun"/>
          <w:lang w:val="en-CA" w:eastAsia="zh-CN"/>
        </w:rPr>
      </w:pPr>
      <w:r>
        <w:rPr>
          <w:rFonts w:eastAsia="SimSun"/>
          <w:lang w:val="en-CA" w:eastAsia="zh-CN"/>
        </w:rPr>
        <w:t>Powe</w:t>
      </w:r>
      <w:r>
        <w:rPr>
          <w:rFonts w:eastAsia="SimSun"/>
          <w:spacing w:val="20"/>
          <w:lang w:val="en-CA" w:eastAsia="zh-CN"/>
        </w:rPr>
        <w:t>r</w:t>
      </w:r>
      <w:r>
        <w:rPr>
          <w:rFonts w:eastAsia="SimSun"/>
          <w:lang w:val="en-CA" w:eastAsia="zh-CN"/>
        </w:rPr>
        <w:t>China’s OPerations under the newest Strategy</w:t>
      </w:r>
    </w:p>
    <w:p w:rsidR="000809D9" w:rsidRDefault="000809D9">
      <w:pPr>
        <w:pStyle w:val="BodyTextMain"/>
        <w:rPr>
          <w:rFonts w:eastAsia="SimSun"/>
          <w:lang w:val="en-CA" w:eastAsia="zh-CN"/>
        </w:rPr>
      </w:pPr>
    </w:p>
    <w:p w:rsidR="000809D9" w:rsidRDefault="00CC53DA">
      <w:pPr>
        <w:pStyle w:val="Casehead2"/>
        <w:rPr>
          <w:rFonts w:eastAsia="SimSun"/>
          <w:lang w:val="en-CA" w:eastAsia="zh-CN"/>
        </w:rPr>
      </w:pPr>
      <w:r>
        <w:rPr>
          <w:rFonts w:eastAsia="SimSun"/>
          <w:lang w:val="en-CA" w:eastAsia="zh-CN"/>
        </w:rPr>
        <w:t>Context</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rPr>
        <w:t xml:space="preserve">Since 2016, increasingly complex global conditions and new initiatives from the domestic Chinese government had profoundly impacted </w:t>
      </w:r>
      <w:proofErr w:type="spellStart"/>
      <w:r>
        <w:rPr>
          <w:rFonts w:eastAsia="SimSun"/>
          <w:bCs/>
          <w:lang w:val="en-CA"/>
        </w:rPr>
        <w:t>PowerChina’s</w:t>
      </w:r>
      <w:proofErr w:type="spellEnd"/>
      <w:r>
        <w:rPr>
          <w:rFonts w:eastAsia="SimSun"/>
          <w:b/>
          <w:bCs/>
          <w:lang w:val="en-CA" w:eastAsia="zh-CN"/>
        </w:rPr>
        <w:t xml:space="preserve"> </w:t>
      </w:r>
      <w:r>
        <w:rPr>
          <w:rFonts w:eastAsia="SimSun"/>
          <w:lang w:val="en-CA"/>
        </w:rPr>
        <w:t>internationalization process. In this environment, the world economic recovery remained slow and uneven so that nations chose to stimulate economic growth by expanding investment in infrastructure construction. Competition in the international market continued to intensify, with debt ratios in some countries extremely high and de-globalization forces and mindsets becoming apparent. Fortunately, global energy and electricity demand showed stable growth, especially in developing countries where demand for energy and electricity infrastructure rose rapidly. Among them, traditional energy still dominated, and although clean energy initiatives were growing rapidly, clean energy was still subject to various constraints.</w:t>
      </w:r>
      <w:r>
        <w:rPr>
          <w:rStyle w:val="FootnoteReference"/>
          <w:rFonts w:eastAsia="SimSun"/>
          <w:lang w:val="en-CA"/>
        </w:rPr>
        <w:footnoteReference w:id="8"/>
      </w:r>
      <w:r>
        <w:rPr>
          <w:rFonts w:eastAsia="SimSun"/>
          <w:lang w:val="en-CA" w:eastAsia="zh-CN"/>
        </w:rPr>
        <w:t xml:space="preserve"> </w:t>
      </w:r>
    </w:p>
    <w:p w:rsidR="000809D9" w:rsidRDefault="000809D9">
      <w:pPr>
        <w:pStyle w:val="BodyTextMain"/>
        <w:rPr>
          <w:rFonts w:eastAsia="SimSun"/>
          <w:sz w:val="18"/>
          <w:szCs w:val="18"/>
          <w:lang w:val="en-CA" w:eastAsia="zh-CN"/>
        </w:rPr>
      </w:pPr>
    </w:p>
    <w:p w:rsidR="000809D9" w:rsidRDefault="00CC53DA">
      <w:pPr>
        <w:pStyle w:val="BodyTextMain"/>
        <w:rPr>
          <w:rFonts w:eastAsia="SimSun"/>
          <w:lang w:val="en-CA" w:eastAsia="zh-CN"/>
        </w:rPr>
      </w:pPr>
      <w:r>
        <w:rPr>
          <w:rFonts w:eastAsia="SimSun"/>
          <w:lang w:val="en-CA" w:eastAsia="zh-CN"/>
        </w:rPr>
        <w:t>In China, the grand design for the Belt and Road Initiative highlighted that the strategic position of international business in enterprises was prompted by introducing new foreign investment methods and promoting international co-operation with energy initiatives.</w:t>
      </w:r>
      <w:r>
        <w:rPr>
          <w:rStyle w:val="FootnoteReference"/>
          <w:rFonts w:eastAsia="SimSun"/>
          <w:lang w:val="en-CA"/>
        </w:rPr>
        <w:footnoteReference w:id="9"/>
      </w:r>
      <w:r>
        <w:rPr>
          <w:rFonts w:eastAsia="SimSun"/>
          <w:lang w:val="en-CA"/>
        </w:rPr>
        <w:t xml:space="preserve"> However, as the projects relying on foreign aid concessional loans or preferential export buyer credit were discounted, the centralized policy orientation of “government guidance, enterprise-led, and market-oriented operation” became more obvious.</w:t>
      </w:r>
      <w:r>
        <w:rPr>
          <w:rStyle w:val="FootnoteReference"/>
          <w:rFonts w:eastAsia="SimSun"/>
          <w:lang w:val="en-CA"/>
        </w:rPr>
        <w:footnoteReference w:id="10"/>
      </w:r>
      <w:r>
        <w:rPr>
          <w:rFonts w:eastAsia="SimSun"/>
          <w:lang w:val="en-CA" w:eastAsia="zh-CN"/>
        </w:rPr>
        <w:t xml:space="preserve"> Moreover, while emphasizing that enterprises should undertake their own risk assessments and mitigation, foreign exchange regulation and overseas investment opportunities were increasingly tightening.</w:t>
      </w:r>
    </w:p>
    <w:p w:rsidR="000809D9" w:rsidRDefault="00CC53DA">
      <w:pPr>
        <w:pStyle w:val="Casehead2"/>
        <w:rPr>
          <w:rFonts w:eastAsia="SimSun"/>
          <w:lang w:val="en-CA" w:eastAsia="zh-CN"/>
        </w:rPr>
      </w:pPr>
      <w:proofErr w:type="spellStart"/>
      <w:r>
        <w:rPr>
          <w:rFonts w:eastAsia="SimSun"/>
          <w:lang w:val="en-CA" w:eastAsia="zh-CN"/>
        </w:rPr>
        <w:lastRenderedPageBreak/>
        <w:t>PowerChina’s</w:t>
      </w:r>
      <w:proofErr w:type="spellEnd"/>
      <w:r>
        <w:rPr>
          <w:rFonts w:eastAsia="SimSun"/>
          <w:lang w:val="en-CA" w:eastAsia="zh-CN"/>
        </w:rPr>
        <w:t xml:space="preserve"> Current Activities</w:t>
      </w:r>
    </w:p>
    <w:p w:rsidR="000809D9" w:rsidRDefault="000809D9">
      <w:pPr>
        <w:pStyle w:val="BodyTextMain"/>
        <w:rPr>
          <w:rFonts w:eastAsia="SimSun"/>
          <w:lang w:val="en-CA" w:eastAsia="zh-CN"/>
        </w:rPr>
      </w:pPr>
    </w:p>
    <w:p w:rsidR="000809D9" w:rsidRDefault="00CC53DA">
      <w:pPr>
        <w:pStyle w:val="BodyTextMain"/>
        <w:rPr>
          <w:rFonts w:eastAsia="SimSun"/>
          <w:spacing w:val="-2"/>
          <w:kern w:val="22"/>
          <w:lang w:val="en-CA" w:eastAsia="zh-CN"/>
        </w:rPr>
      </w:pPr>
      <w:r>
        <w:rPr>
          <w:rFonts w:eastAsia="SimSun"/>
          <w:spacing w:val="-2"/>
          <w:kern w:val="22"/>
          <w:lang w:val="en-CA"/>
        </w:rPr>
        <w:t xml:space="preserve">On March 10, 2016, </w:t>
      </w:r>
      <w:proofErr w:type="spellStart"/>
      <w:r>
        <w:rPr>
          <w:rFonts w:eastAsia="SimSun"/>
          <w:spacing w:val="-2"/>
          <w:kern w:val="22"/>
          <w:lang w:val="en-CA"/>
        </w:rPr>
        <w:t>PowerChina</w:t>
      </w:r>
      <w:proofErr w:type="spellEnd"/>
      <w:r>
        <w:rPr>
          <w:rFonts w:eastAsia="SimSun"/>
          <w:spacing w:val="-2"/>
          <w:kern w:val="22"/>
          <w:lang w:val="en-CA"/>
        </w:rPr>
        <w:t xml:space="preserve"> reorganized and integrated its international businesses involving the overseas business unit, </w:t>
      </w:r>
      <w:proofErr w:type="spellStart"/>
      <w:r>
        <w:rPr>
          <w:rFonts w:eastAsia="SimSun"/>
          <w:spacing w:val="-2"/>
          <w:kern w:val="22"/>
          <w:lang w:val="en-CA"/>
        </w:rPr>
        <w:t>Sinohydro</w:t>
      </w:r>
      <w:proofErr w:type="spellEnd"/>
      <w:r>
        <w:rPr>
          <w:rFonts w:eastAsia="SimSun"/>
          <w:spacing w:val="-2"/>
          <w:kern w:val="22"/>
          <w:lang w:val="en-CA"/>
        </w:rPr>
        <w:t xml:space="preserve">, and </w:t>
      </w:r>
      <w:proofErr w:type="spellStart"/>
      <w:r>
        <w:rPr>
          <w:rFonts w:eastAsia="SimSun"/>
          <w:spacing w:val="-2"/>
          <w:kern w:val="22"/>
          <w:lang w:val="en-CA"/>
        </w:rPr>
        <w:t>HydroChina</w:t>
      </w:r>
      <w:proofErr w:type="spellEnd"/>
      <w:r>
        <w:rPr>
          <w:rFonts w:eastAsia="SimSun"/>
          <w:spacing w:val="-2"/>
          <w:kern w:val="22"/>
          <w:lang w:val="en-CA"/>
        </w:rPr>
        <w:t xml:space="preserve"> to form </w:t>
      </w:r>
      <w:proofErr w:type="spellStart"/>
      <w:r>
        <w:rPr>
          <w:rFonts w:eastAsia="SimSun"/>
          <w:spacing w:val="-2"/>
          <w:kern w:val="22"/>
          <w:lang w:val="en-CA"/>
        </w:rPr>
        <w:t>PowerChina</w:t>
      </w:r>
      <w:proofErr w:type="spellEnd"/>
      <w:r>
        <w:rPr>
          <w:rFonts w:eastAsia="SimSun"/>
          <w:spacing w:val="-2"/>
          <w:kern w:val="22"/>
          <w:lang w:val="en-CA"/>
        </w:rPr>
        <w:t xml:space="preserve"> International. In the same year, </w:t>
      </w:r>
      <w:proofErr w:type="spellStart"/>
      <w:r>
        <w:rPr>
          <w:rFonts w:eastAsia="SimSun"/>
          <w:spacing w:val="-2"/>
          <w:kern w:val="22"/>
          <w:lang w:val="en-CA"/>
        </w:rPr>
        <w:t>PowerChina</w:t>
      </w:r>
      <w:proofErr w:type="spellEnd"/>
      <w:r>
        <w:rPr>
          <w:rFonts w:eastAsia="SimSun"/>
          <w:spacing w:val="-2"/>
          <w:kern w:val="22"/>
          <w:lang w:val="en-CA"/>
        </w:rPr>
        <w:t xml:space="preserve"> decided to establish regional centres in the following six regions: East and South Africa, Central and West Africa, the Middle East and North Africa, Asia Pacific, Europe and Asia, and the Americas</w:t>
      </w:r>
      <w:r>
        <w:rPr>
          <w:rFonts w:eastAsia="SimSun"/>
          <w:spacing w:val="-2"/>
          <w:kern w:val="22"/>
          <w:lang w:val="en-CA" w:eastAsia="zh-CN"/>
        </w:rPr>
        <w:t xml:space="preserve">. </w:t>
      </w:r>
    </w:p>
    <w:p w:rsidR="000809D9" w:rsidRDefault="000809D9">
      <w:pPr>
        <w:pStyle w:val="BodyTextMain"/>
        <w:rPr>
          <w:rFonts w:eastAsia="SimSun"/>
          <w:lang w:val="en-CA" w:eastAsia="zh-CN"/>
        </w:rPr>
      </w:pPr>
    </w:p>
    <w:p w:rsidR="000809D9" w:rsidRDefault="00CC53DA">
      <w:pPr>
        <w:pStyle w:val="BodyTextMain"/>
        <w:rPr>
          <w:rFonts w:eastAsia="SimSun"/>
          <w:lang w:val="en-CA"/>
        </w:rPr>
      </w:pPr>
      <w:r>
        <w:rPr>
          <w:rFonts w:eastAsia="SimSun"/>
          <w:lang w:val="en-CA"/>
        </w:rPr>
        <w:t xml:space="preserve">In addition, regarding its organization, the company made changes to its business department in 2017 </w:t>
      </w:r>
      <w:r>
        <w:rPr>
          <w:rFonts w:eastAsia="SimSun"/>
          <w:lang w:val="en-CA" w:eastAsia="zh-CN"/>
        </w:rPr>
        <w:t xml:space="preserve">(see </w:t>
      </w:r>
      <w:r>
        <w:rPr>
          <w:lang w:val="en-CA"/>
        </w:rPr>
        <w:t>Exhibit 2</w:t>
      </w:r>
      <w:r>
        <w:rPr>
          <w:rFonts w:eastAsia="SimSun"/>
          <w:lang w:val="en-CA" w:eastAsia="zh-CN"/>
        </w:rPr>
        <w:t xml:space="preserve">) </w:t>
      </w:r>
      <w:r>
        <w:rPr>
          <w:rFonts w:eastAsia="SimSun"/>
          <w:lang w:val="en-CA"/>
        </w:rPr>
        <w:t xml:space="preserve">and achieved developments in many fields of operation by improving its training system, regulating employee promotion, reforming its investing and financing, publishing 150 regulations, establishing an overseas volunteers’ group, establishing a compliance committee, and implementing an evaluation system to measure performance. </w:t>
      </w:r>
      <w:proofErr w:type="spellStart"/>
      <w:r>
        <w:rPr>
          <w:rFonts w:eastAsia="SimSun"/>
          <w:lang w:val="en-CA"/>
        </w:rPr>
        <w:t>PowerChina’s</w:t>
      </w:r>
      <w:proofErr w:type="spellEnd"/>
      <w:r>
        <w:rPr>
          <w:rFonts w:eastAsia="SimSun"/>
          <w:lang w:val="en-CA"/>
        </w:rPr>
        <w:t xml:space="preserve"> capacity was gradually improved, and the operation became more compliant with its business target.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In 2018, the company successfully issued a five-year non-redeemable senior perpetual bond in Hong Kong for the first time, which marked the company’s appearance in the international capital market. This development delivered a boost to the company’s capital operation.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The intricacies of the environment had made </w:t>
      </w:r>
      <w:proofErr w:type="spellStart"/>
      <w:r>
        <w:rPr>
          <w:rFonts w:eastAsia="SimSun"/>
          <w:lang w:val="en-CA" w:eastAsia="zh-CN"/>
        </w:rPr>
        <w:t>PowerChina</w:t>
      </w:r>
      <w:proofErr w:type="spellEnd"/>
      <w:r>
        <w:rPr>
          <w:rFonts w:eastAsia="SimSun"/>
          <w:lang w:val="en-CA" w:eastAsia="zh-CN"/>
        </w:rPr>
        <w:t xml:space="preserve"> aware of the increasingly fierce competition in international business, which included competition among </w:t>
      </w:r>
      <w:proofErr w:type="spellStart"/>
      <w:r>
        <w:rPr>
          <w:rFonts w:eastAsia="SimSun"/>
          <w:lang w:val="en-CA" w:eastAsia="zh-CN"/>
        </w:rPr>
        <w:t>PowerChina’s</w:t>
      </w:r>
      <w:proofErr w:type="spellEnd"/>
      <w:r>
        <w:rPr>
          <w:rFonts w:eastAsia="SimSun"/>
          <w:lang w:val="en-CA" w:eastAsia="zh-CN"/>
        </w:rPr>
        <w:t xml:space="preserve"> subsidiaries. This meant that </w:t>
      </w:r>
      <w:proofErr w:type="spellStart"/>
      <w:r>
        <w:rPr>
          <w:rFonts w:eastAsia="SimSun"/>
          <w:lang w:val="en-CA" w:eastAsia="zh-CN"/>
        </w:rPr>
        <w:t>PowerChina</w:t>
      </w:r>
      <w:proofErr w:type="spellEnd"/>
      <w:r>
        <w:rPr>
          <w:rFonts w:eastAsia="SimSun"/>
          <w:b/>
          <w:bCs/>
          <w:lang w:val="en-CA" w:eastAsia="zh-CN"/>
        </w:rPr>
        <w:t xml:space="preserve"> </w:t>
      </w:r>
      <w:r>
        <w:rPr>
          <w:rFonts w:eastAsia="SimSun"/>
          <w:lang w:val="en-CA" w:eastAsia="zh-CN"/>
        </w:rPr>
        <w:t>became more committed to the idea of centralized management and that its international businesses needed to be re-integrated. Thus, as a large</w:t>
      </w:r>
      <w:r>
        <w:rPr>
          <w:rFonts w:eastAsia="SimSun"/>
          <w:b/>
          <w:bCs/>
          <w:lang w:val="en-CA" w:eastAsia="zh-CN"/>
        </w:rPr>
        <w:t xml:space="preserve"> </w:t>
      </w:r>
      <w:r>
        <w:rPr>
          <w:rFonts w:eastAsia="SimSun"/>
          <w:lang w:val="en-CA" w:eastAsia="zh-CN"/>
        </w:rPr>
        <w:t xml:space="preserve">enterprise, the team followed and benefited from policies that produced initiatives like the Belt and Road Initiative and others.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As well, </w:t>
      </w:r>
      <w:proofErr w:type="spellStart"/>
      <w:r>
        <w:rPr>
          <w:rFonts w:eastAsia="SimSun"/>
          <w:lang w:val="en-CA" w:eastAsia="zh-CN"/>
        </w:rPr>
        <w:t>PowerChina</w:t>
      </w:r>
      <w:proofErr w:type="spellEnd"/>
      <w:r>
        <w:rPr>
          <w:rFonts w:eastAsia="SimSun"/>
          <w:lang w:val="en-CA" w:eastAsia="zh-CN"/>
        </w:rPr>
        <w:t xml:space="preserve"> firmly promoted globalization initiatives, improved its ability to integrate resources, and paid increased attention to risk and project performance. To deal with uncertainties such as political turmoil, project financing, and trade barriers, </w:t>
      </w:r>
      <w:proofErr w:type="spellStart"/>
      <w:r>
        <w:rPr>
          <w:rFonts w:eastAsia="SimSun"/>
          <w:lang w:val="en-CA" w:eastAsia="zh-CN"/>
        </w:rPr>
        <w:t>PowerChina</w:t>
      </w:r>
      <w:proofErr w:type="spellEnd"/>
      <w:r>
        <w:rPr>
          <w:rFonts w:eastAsia="SimSun"/>
          <w:lang w:val="en-CA" w:eastAsia="zh-CN"/>
        </w:rPr>
        <w:t xml:space="preserve"> concerned itself with four types of risk—those that related to performance, compliance, non-traditional security, and integrity—and it moved forward with setting a globalization strategy.</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In this new era, </w:t>
      </w:r>
      <w:proofErr w:type="spellStart"/>
      <w:r>
        <w:rPr>
          <w:rFonts w:eastAsia="SimSun"/>
          <w:lang w:val="en-CA" w:eastAsia="zh-CN"/>
        </w:rPr>
        <w:t>PowerChina’s</w:t>
      </w:r>
      <w:proofErr w:type="spellEnd"/>
      <w:r>
        <w:rPr>
          <w:rFonts w:eastAsia="SimSun"/>
          <w:lang w:val="en-CA" w:eastAsia="zh-CN"/>
        </w:rPr>
        <w:t xml:space="preserve"> international business strategy achieved strong outcomes and reform dividends appeared. Overall, the company ranked 17th among ENR’s top 150 international design contractors and ranked first of ENR’s 225 international contractors. With respect to industry status, </w:t>
      </w:r>
      <w:proofErr w:type="spellStart"/>
      <w:r>
        <w:rPr>
          <w:rFonts w:eastAsia="SimSun"/>
          <w:lang w:val="en-CA" w:eastAsia="zh-CN"/>
        </w:rPr>
        <w:t>PowerChina</w:t>
      </w:r>
      <w:proofErr w:type="spellEnd"/>
      <w:r>
        <w:rPr>
          <w:rFonts w:eastAsia="SimSun"/>
          <w:lang w:val="en-CA" w:eastAsia="zh-CN"/>
        </w:rPr>
        <w:t xml:space="preserve"> ranked first in the power industry internationally, third in the water industry internationally, and it entered the fields of sewage and hazardous waste treatment. With respect to status of overall operation income in different markets, </w:t>
      </w:r>
      <w:proofErr w:type="spellStart"/>
      <w:r>
        <w:rPr>
          <w:rFonts w:eastAsia="SimSun"/>
          <w:lang w:val="en-CA" w:eastAsia="zh-CN"/>
        </w:rPr>
        <w:t>PowerChina</w:t>
      </w:r>
      <w:proofErr w:type="spellEnd"/>
      <w:r>
        <w:rPr>
          <w:rFonts w:eastAsia="SimSun"/>
          <w:lang w:val="en-CA" w:eastAsia="zh-CN"/>
        </w:rPr>
        <w:t xml:space="preserve"> ranked second in Africa, seventh in Asia, tenth in the Middle East, and seventh in Latin America.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These achievements reflected on </w:t>
      </w:r>
      <w:proofErr w:type="spellStart"/>
      <w:r>
        <w:rPr>
          <w:rFonts w:eastAsia="SimSun"/>
          <w:lang w:val="en-CA" w:eastAsia="zh-CN"/>
        </w:rPr>
        <w:t>PowerChina’s</w:t>
      </w:r>
      <w:proofErr w:type="spellEnd"/>
      <w:r>
        <w:rPr>
          <w:rFonts w:eastAsia="SimSun"/>
          <w:lang w:val="en-CA" w:eastAsia="zh-CN"/>
        </w:rPr>
        <w:t xml:space="preserve"> “three steps” principle in the fifth stage. First, integration of the company’s international businesses reached high levels. Establishing the group system was completed and the early stages of the three-dimensional marketing system had occurred. At the same time, the directors’ responsibility for developing the group’s large projects led to an official launch </w:t>
      </w:r>
      <w:r>
        <w:rPr>
          <w:rFonts w:eastAsia="SimSun"/>
          <w:bCs/>
          <w:lang w:val="en-CA" w:eastAsia="zh-CN"/>
        </w:rPr>
        <w:t>of internationalization</w:t>
      </w:r>
      <w:r>
        <w:rPr>
          <w:rFonts w:eastAsia="SimSun"/>
          <w:lang w:val="en-CA" w:eastAsia="zh-CN"/>
        </w:rPr>
        <w:t>. Second, localization initiatives strengthened in that the six regional headquarters were all established and were functioning normally, and localization processes achieved breakthroughs in communicating and co-operating with</w:t>
      </w:r>
      <w:r>
        <w:rPr>
          <w:rFonts w:eastAsia="SimSun"/>
          <w:lang w:val="en-CA"/>
        </w:rPr>
        <w:t xml:space="preserve"> clients </w:t>
      </w:r>
      <w:r>
        <w:rPr>
          <w:rFonts w:eastAsia="SimSun"/>
          <w:color w:val="000000"/>
          <w:shd w:val="clear" w:color="auto" w:fill="FFFFFF"/>
          <w:lang w:val="en-CA" w:eastAsia="zh-CN"/>
        </w:rPr>
        <w:t>from which contracts were to be won</w:t>
      </w:r>
      <w:r>
        <w:rPr>
          <w:rFonts w:eastAsia="SimSun"/>
          <w:lang w:val="en-CA"/>
        </w:rPr>
        <w:t xml:space="preserve">. Third, </w:t>
      </w:r>
      <w:r>
        <w:rPr>
          <w:rFonts w:eastAsia="SimSun"/>
          <w:lang w:val="en-CA" w:eastAsia="zh-CN"/>
        </w:rPr>
        <w:t xml:space="preserve">globalization initiatives continued to progress, with </w:t>
      </w:r>
      <w:proofErr w:type="spellStart"/>
      <w:r>
        <w:rPr>
          <w:rFonts w:eastAsia="SimSun"/>
          <w:lang w:val="en-CA" w:eastAsia="zh-CN"/>
        </w:rPr>
        <w:t>PowerChina</w:t>
      </w:r>
      <w:proofErr w:type="spellEnd"/>
      <w:r>
        <w:rPr>
          <w:rFonts w:eastAsia="SimSun"/>
          <w:lang w:val="en-CA" w:eastAsia="zh-CN"/>
        </w:rPr>
        <w:t xml:space="preserve"> having 322 foreign subsidiaries in 109 countries, including 150 foreign subsidiaries in 42 Belt and Road countries. </w:t>
      </w:r>
      <w:proofErr w:type="spellStart"/>
      <w:r>
        <w:rPr>
          <w:rFonts w:eastAsia="SimSun"/>
          <w:lang w:val="en-CA" w:eastAsia="zh-CN"/>
        </w:rPr>
        <w:t>PowerChina</w:t>
      </w:r>
      <w:proofErr w:type="spellEnd"/>
      <w:r>
        <w:rPr>
          <w:rFonts w:eastAsia="SimSun"/>
          <w:lang w:val="en-CA" w:eastAsia="zh-CN"/>
        </w:rPr>
        <w:t xml:space="preserve"> also merged with the Italian company Geodata Engineering </w:t>
      </w:r>
      <w:proofErr w:type="spellStart"/>
      <w:r>
        <w:rPr>
          <w:rFonts w:eastAsia="SimSun"/>
          <w:lang w:val="en-CA" w:eastAsia="zh-CN"/>
        </w:rPr>
        <w:t>SpA</w:t>
      </w:r>
      <w:proofErr w:type="spellEnd"/>
      <w:r>
        <w:rPr>
          <w:rFonts w:eastAsia="SimSun"/>
          <w:lang w:val="en-CA" w:eastAsia="zh-CN"/>
        </w:rPr>
        <w:t xml:space="preserve"> in 2017. </w:t>
      </w:r>
    </w:p>
    <w:p w:rsidR="000809D9" w:rsidRDefault="000809D9">
      <w:pPr>
        <w:pStyle w:val="BodyTextMain"/>
        <w:rPr>
          <w:rFonts w:eastAsia="SimSun"/>
          <w:lang w:val="en-CA" w:eastAsia="zh-CN"/>
        </w:rPr>
      </w:pPr>
    </w:p>
    <w:p w:rsidR="000809D9" w:rsidRDefault="00CC53DA">
      <w:pPr>
        <w:pStyle w:val="Casehead1"/>
        <w:rPr>
          <w:rFonts w:eastAsia="SimSun"/>
          <w:lang w:val="en-CA" w:eastAsia="zh-CN"/>
        </w:rPr>
      </w:pPr>
      <w:r>
        <w:rPr>
          <w:rFonts w:eastAsia="SimSun"/>
          <w:lang w:val="en-CA" w:eastAsia="zh-CN"/>
        </w:rPr>
        <w:lastRenderedPageBreak/>
        <w:t>The Development of Powe</w:t>
      </w:r>
      <w:r>
        <w:rPr>
          <w:rFonts w:eastAsia="SimSun"/>
          <w:spacing w:val="20"/>
          <w:lang w:val="en-CA" w:eastAsia="zh-CN"/>
        </w:rPr>
        <w:t>r</w:t>
      </w:r>
      <w:r>
        <w:rPr>
          <w:rFonts w:eastAsia="SimSun"/>
          <w:lang w:val="en-CA" w:eastAsia="zh-CN"/>
        </w:rPr>
        <w:t>China’s Risk Management</w:t>
      </w:r>
    </w:p>
    <w:p w:rsidR="000809D9" w:rsidRDefault="000809D9">
      <w:pPr>
        <w:pStyle w:val="BodyTextMain"/>
        <w:rPr>
          <w:rFonts w:eastAsia="SimSun"/>
          <w:lang w:val="en-CA" w:eastAsia="zh-CN"/>
        </w:rPr>
      </w:pPr>
    </w:p>
    <w:p w:rsidR="000809D9" w:rsidRDefault="00CC53DA">
      <w:pPr>
        <w:pStyle w:val="Casehead2"/>
        <w:rPr>
          <w:rFonts w:eastAsia="SimSun"/>
          <w:lang w:val="en-CA" w:eastAsia="zh-CN"/>
        </w:rPr>
      </w:pPr>
      <w:r>
        <w:rPr>
          <w:rFonts w:eastAsia="SimSun"/>
          <w:lang w:val="en-CA" w:eastAsia="zh-CN"/>
        </w:rPr>
        <w:t>Risk Ignorance</w:t>
      </w:r>
    </w:p>
    <w:p w:rsidR="000809D9" w:rsidRDefault="000809D9">
      <w:pPr>
        <w:pStyle w:val="BodyTextMain"/>
        <w:rPr>
          <w:rFonts w:eastAsia="SimSun"/>
          <w:lang w:val="en-CA" w:eastAsia="zh-CN"/>
        </w:rPr>
      </w:pPr>
    </w:p>
    <w:p w:rsidR="000809D9" w:rsidRDefault="00CC53DA">
      <w:pPr>
        <w:pStyle w:val="BodyTextMain"/>
        <w:rPr>
          <w:rFonts w:eastAsia="SimSun"/>
          <w:spacing w:val="-2"/>
          <w:kern w:val="22"/>
          <w:lang w:val="en-CA" w:eastAsia="zh-CN"/>
        </w:rPr>
      </w:pPr>
      <w:r>
        <w:rPr>
          <w:rFonts w:eastAsia="SimSun"/>
          <w:spacing w:val="-2"/>
          <w:kern w:val="22"/>
          <w:lang w:val="en-CA" w:eastAsia="zh-CN"/>
        </w:rPr>
        <w:t xml:space="preserve">As a centralized enterprise dependent on the government of China, </w:t>
      </w:r>
      <w:proofErr w:type="spellStart"/>
      <w:r>
        <w:rPr>
          <w:rFonts w:eastAsia="SimSun"/>
          <w:spacing w:val="-2"/>
          <w:kern w:val="22"/>
          <w:lang w:val="en-CA" w:eastAsia="zh-CN"/>
        </w:rPr>
        <w:t>PowerChina</w:t>
      </w:r>
      <w:proofErr w:type="spellEnd"/>
      <w:r>
        <w:rPr>
          <w:rFonts w:eastAsia="SimSun"/>
          <w:spacing w:val="-2"/>
          <w:kern w:val="22"/>
          <w:lang w:val="en-CA" w:eastAsia="zh-CN"/>
        </w:rPr>
        <w:t xml:space="preserve"> typically ignored risk when first entering the international arena to the extent that its degree of risk awareness was low and its performance results rarely changed the levels of its commitment in foreign markets. Although the separation of government and enterprise was promoted, the mindset in </w:t>
      </w:r>
      <w:proofErr w:type="spellStart"/>
      <w:r>
        <w:rPr>
          <w:rFonts w:eastAsia="SimSun"/>
          <w:spacing w:val="-2"/>
          <w:kern w:val="22"/>
          <w:lang w:val="en-CA" w:eastAsia="zh-CN"/>
        </w:rPr>
        <w:t>PowerChina</w:t>
      </w:r>
      <w:proofErr w:type="spellEnd"/>
      <w:r>
        <w:rPr>
          <w:rFonts w:eastAsia="SimSun"/>
          <w:spacing w:val="-2"/>
          <w:kern w:val="22"/>
          <w:lang w:val="en-CA" w:eastAsia="zh-CN"/>
        </w:rPr>
        <w:t xml:space="preserve"> was subject to an inertia that weakened its awareness of risk management of its overseas businesses. Until 2013, the risk perception of </w:t>
      </w:r>
      <w:proofErr w:type="spellStart"/>
      <w:r>
        <w:rPr>
          <w:rFonts w:eastAsia="SimSun"/>
          <w:spacing w:val="-2"/>
          <w:kern w:val="22"/>
          <w:lang w:val="en-CA" w:eastAsia="zh-CN"/>
        </w:rPr>
        <w:t>PowerChina’s</w:t>
      </w:r>
      <w:proofErr w:type="spellEnd"/>
      <w:r>
        <w:rPr>
          <w:rFonts w:eastAsia="SimSun"/>
          <w:spacing w:val="-2"/>
          <w:kern w:val="22"/>
          <w:lang w:val="en-CA" w:eastAsia="zh-CN"/>
        </w:rPr>
        <w:t xml:space="preserve"> overseas business was restricted to realizing that overseas investment projects were characterized by huge investments, long cycles of construction, and a long payback period. Consequently, political instability and economic fluctuations in the market, natural disasters, unfavourable changes in policies and laws, tax increases and reductions in preferences, trade sanctions, and international litigation were likely to constrain overseas construction and investment business, but their riskiness was not formally assessed.</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As a response, in 2011 and 2012, </w:t>
      </w:r>
      <w:proofErr w:type="spellStart"/>
      <w:r>
        <w:rPr>
          <w:rFonts w:eastAsia="SimSun"/>
          <w:lang w:val="en-CA" w:eastAsia="zh-CN"/>
        </w:rPr>
        <w:t>PowerChina</w:t>
      </w:r>
      <w:proofErr w:type="spellEnd"/>
      <w:r>
        <w:rPr>
          <w:rFonts w:eastAsia="SimSun"/>
          <w:lang w:val="en-CA" w:eastAsia="zh-CN"/>
        </w:rPr>
        <w:t xml:space="preserve"> moved to establish a basic risk management system with specific systems for specific risks. Its previous </w:t>
      </w:r>
      <w:r>
        <w:rPr>
          <w:rFonts w:eastAsia="SimSun"/>
          <w:bCs/>
          <w:lang w:val="en-CA" w:eastAsia="zh-CN"/>
        </w:rPr>
        <w:t>risk management</w:t>
      </w:r>
      <w:r>
        <w:rPr>
          <w:rFonts w:eastAsia="SimSun"/>
          <w:lang w:val="en-CA" w:eastAsia="zh-CN"/>
        </w:rPr>
        <w:t xml:space="preserve"> systems were not then sufficiently advanced to be operational and thus, risk management systems were not able to measure risk and protect </w:t>
      </w:r>
      <w:proofErr w:type="spellStart"/>
      <w:r>
        <w:rPr>
          <w:rFonts w:eastAsia="SimSun"/>
          <w:lang w:val="en-CA" w:eastAsia="zh-CN"/>
        </w:rPr>
        <w:t>PowerChina</w:t>
      </w:r>
      <w:proofErr w:type="spellEnd"/>
      <w:r>
        <w:rPr>
          <w:rFonts w:eastAsia="SimSun"/>
          <w:lang w:val="en-CA" w:eastAsia="zh-CN"/>
        </w:rPr>
        <w:t xml:space="preserve"> from losses. </w:t>
      </w:r>
    </w:p>
    <w:p w:rsidR="000809D9" w:rsidRDefault="000809D9">
      <w:pPr>
        <w:pStyle w:val="BodyTextMain"/>
        <w:rPr>
          <w:rFonts w:eastAsia="SimSun"/>
          <w:lang w:val="en-CA" w:eastAsia="zh-CN"/>
        </w:rPr>
      </w:pPr>
    </w:p>
    <w:p w:rsidR="000809D9" w:rsidRDefault="000809D9">
      <w:pPr>
        <w:pStyle w:val="BodyTextMain"/>
        <w:rPr>
          <w:rFonts w:eastAsia="SimSun"/>
          <w:lang w:val="en-CA" w:eastAsia="zh-CN"/>
        </w:rPr>
      </w:pPr>
    </w:p>
    <w:p w:rsidR="000809D9" w:rsidRDefault="00CC53DA">
      <w:pPr>
        <w:pStyle w:val="Casehead2"/>
        <w:rPr>
          <w:rFonts w:eastAsia="SimSun"/>
          <w:lang w:val="en-CA" w:eastAsia="zh-CN"/>
        </w:rPr>
      </w:pPr>
      <w:r>
        <w:rPr>
          <w:rFonts w:eastAsia="SimSun"/>
          <w:lang w:val="en-CA" w:eastAsia="zh-CN"/>
        </w:rPr>
        <w:t>Risk Response: Major Risks Level</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With competition in overseas markets intensifying further, </w:t>
      </w:r>
      <w:proofErr w:type="spellStart"/>
      <w:r>
        <w:rPr>
          <w:rFonts w:eastAsia="SimSun"/>
          <w:lang w:val="en-CA" w:eastAsia="zh-CN"/>
        </w:rPr>
        <w:t>PowerChina</w:t>
      </w:r>
      <w:proofErr w:type="spellEnd"/>
      <w:r>
        <w:rPr>
          <w:rFonts w:eastAsia="SimSun"/>
          <w:lang w:val="en-CA" w:eastAsia="zh-CN"/>
        </w:rPr>
        <w:t xml:space="preserve"> divided the risks of overseas business into market competition risk, investment risk, and capital risk for the first time in its annual report. Therefore, in treating risk, and depending on the risk characteristics it identified, </w:t>
      </w:r>
      <w:proofErr w:type="spellStart"/>
      <w:r>
        <w:rPr>
          <w:rFonts w:eastAsia="SimSun"/>
          <w:lang w:val="en-CA" w:eastAsia="zh-CN"/>
        </w:rPr>
        <w:t>PowerChina</w:t>
      </w:r>
      <w:proofErr w:type="spellEnd"/>
      <w:r>
        <w:rPr>
          <w:rFonts w:eastAsia="SimSun"/>
          <w:lang w:val="en-CA" w:eastAsia="zh-CN"/>
        </w:rPr>
        <w:t xml:space="preserve"> established an overseas regional headquarters to take a leading role to further improve the quality and efficiency of its overseas operations. Further, </w:t>
      </w:r>
      <w:proofErr w:type="spellStart"/>
      <w:r>
        <w:rPr>
          <w:rFonts w:eastAsia="SimSun"/>
          <w:lang w:val="en-CA" w:eastAsia="zh-CN"/>
        </w:rPr>
        <w:t>PowerChina</w:t>
      </w:r>
      <w:proofErr w:type="spellEnd"/>
      <w:r>
        <w:rPr>
          <w:rFonts w:eastAsia="SimSun"/>
          <w:lang w:val="en-CA" w:eastAsia="zh-CN"/>
        </w:rPr>
        <w:t xml:space="preserve"> generally strengthened co-operation between its strategic group and the whole chain, which included investment, planning, and design, project contracting, equipment manufacturing, and operation of projects, by analyzing foreign market trends and the core advantages within the company’s foreign markets. This approach involved planning for market selection and determining how to enter these markets before investing in them.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In addition, for risk management, </w:t>
      </w:r>
      <w:proofErr w:type="spellStart"/>
      <w:r>
        <w:rPr>
          <w:rFonts w:eastAsia="SimSun"/>
          <w:lang w:val="en-CA" w:eastAsia="zh-CN"/>
        </w:rPr>
        <w:t>PowerChina</w:t>
      </w:r>
      <w:proofErr w:type="spellEnd"/>
      <w:r>
        <w:rPr>
          <w:rFonts w:eastAsia="SimSun"/>
          <w:lang w:val="en-CA" w:eastAsia="zh-CN"/>
        </w:rPr>
        <w:t xml:space="preserve"> implemented a strict overseas business supervision and management system. The company also undertook four activities: inspecting and risk consulting for projects, expanding the information channels of overseas businesses, establishing completed emergency response mechanisms to properly handle non-traditional security emergencies, and promoting the professional control system of overseas risks. </w:t>
      </w:r>
      <w:proofErr w:type="spellStart"/>
      <w:r>
        <w:rPr>
          <w:rFonts w:eastAsia="SimSun"/>
          <w:lang w:val="en-CA" w:eastAsia="zh-CN"/>
        </w:rPr>
        <w:t>PowerChina</w:t>
      </w:r>
      <w:proofErr w:type="spellEnd"/>
      <w:r>
        <w:rPr>
          <w:rFonts w:eastAsia="SimSun"/>
          <w:lang w:val="en-CA" w:eastAsia="zh-CN"/>
        </w:rPr>
        <w:t xml:space="preserve"> also addressed its human resources, strengthening the employment and training of its talent in local areas and further establishing resource allocation and improved management and incentive priority support systems.</w:t>
      </w:r>
    </w:p>
    <w:p w:rsidR="000809D9" w:rsidRDefault="000809D9">
      <w:pPr>
        <w:pStyle w:val="BodyTextMain"/>
        <w:rPr>
          <w:rFonts w:eastAsia="SimSun"/>
          <w:lang w:val="en-CA" w:eastAsia="zh-CN"/>
        </w:rPr>
      </w:pPr>
    </w:p>
    <w:p w:rsidR="000809D9" w:rsidRDefault="000809D9">
      <w:pPr>
        <w:pStyle w:val="BodyTextMain"/>
        <w:rPr>
          <w:rFonts w:eastAsia="SimSun"/>
          <w:lang w:val="en-CA" w:eastAsia="zh-CN"/>
        </w:rPr>
      </w:pPr>
    </w:p>
    <w:p w:rsidR="000809D9" w:rsidRDefault="00CC53DA">
      <w:pPr>
        <w:pStyle w:val="Casehead2"/>
        <w:rPr>
          <w:rFonts w:eastAsia="SimSun"/>
          <w:lang w:val="en-CA" w:eastAsia="zh-CN"/>
        </w:rPr>
      </w:pPr>
      <w:r>
        <w:rPr>
          <w:rFonts w:eastAsia="SimSun"/>
          <w:lang w:val="en-CA" w:eastAsia="zh-CN"/>
        </w:rPr>
        <w:t>Risk Response: Enterprise Level</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Since 2016, in addition to the previously discussed unfavourable conditions, </w:t>
      </w:r>
      <w:proofErr w:type="spellStart"/>
      <w:r>
        <w:rPr>
          <w:rFonts w:eastAsia="SimSun"/>
          <w:lang w:val="en-CA" w:eastAsia="zh-CN"/>
        </w:rPr>
        <w:t>PowerChina’s</w:t>
      </w:r>
      <w:proofErr w:type="spellEnd"/>
      <w:r>
        <w:rPr>
          <w:rFonts w:eastAsia="SimSun"/>
          <w:lang w:val="en-CA" w:eastAsia="zh-CN"/>
        </w:rPr>
        <w:t xml:space="preserve"> risk management had be</w:t>
      </w:r>
      <w:r w:rsidR="008B1AD1">
        <w:rPr>
          <w:rFonts w:eastAsia="SimSun"/>
          <w:lang w:val="en-CA" w:eastAsia="zh-CN"/>
        </w:rPr>
        <w:t xml:space="preserve">en challenged </w:t>
      </w:r>
      <w:r>
        <w:rPr>
          <w:rFonts w:eastAsia="SimSun"/>
          <w:lang w:val="en-CA" w:eastAsia="zh-CN"/>
        </w:rPr>
        <w:t xml:space="preserve">by intensifying trade protectionism, the privatization of investment entities, the growing debt ratio of some countries, and tightening foreign investment supervision in China (see more details in </w:t>
      </w:r>
      <w:r>
        <w:rPr>
          <w:lang w:val="en-CA"/>
        </w:rPr>
        <w:t>Exhibit 3</w:t>
      </w:r>
      <w:r>
        <w:rPr>
          <w:rFonts w:eastAsia="SimSun"/>
          <w:lang w:val="en-CA" w:eastAsia="zh-CN"/>
        </w:rPr>
        <w:t xml:space="preserve">). </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lastRenderedPageBreak/>
        <w:t xml:space="preserve">In response, </w:t>
      </w:r>
      <w:proofErr w:type="spellStart"/>
      <w:r>
        <w:rPr>
          <w:rFonts w:eastAsia="SimSun"/>
          <w:lang w:val="en-CA" w:eastAsia="zh-CN"/>
        </w:rPr>
        <w:t>PowerChina</w:t>
      </w:r>
      <w:proofErr w:type="spellEnd"/>
      <w:r>
        <w:rPr>
          <w:rFonts w:eastAsia="SimSun"/>
          <w:lang w:val="en-CA" w:eastAsia="zh-CN"/>
        </w:rPr>
        <w:t xml:space="preserve"> set the risk management objectives of “control significant risk, special risk, and risk factors” and established an enterprise risk management (ERM) approach (see in </w:t>
      </w:r>
      <w:r>
        <w:rPr>
          <w:lang w:val="en-CA"/>
        </w:rPr>
        <w:t>Exhibit 4</w:t>
      </w:r>
      <w:r>
        <w:rPr>
          <w:rFonts w:eastAsia="SimSun"/>
          <w:lang w:val="en-CA" w:eastAsia="zh-CN"/>
        </w:rPr>
        <w:t>). It drew on the ERM framework published by the Committee of Sponsoring Organizations of the Treadway Commission (COSO) in 2004, with internal and external links and a combination from point to surface. This meant combining internal control with external risk management and integrating professional or significant risk management with overall risk management. According to this approach, procurement included risk identification, risk assessment, and risk treatment.</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First, risk identification adopted an “evaluating from top to bottom, integrating vertical and horizontal aspects” approach, which involved moving from site risk to department risk and, finally, to company risk to recognize the hierarchy and the uniformity of risk. Concurrently, information was collected across all departments and at all levels of the company’s hierarchy, addressing important challenges and analyzing each risk within the company’s policies and regulations and their implementation, and within organizational responsibilities, human resources, and technology to ensure that risk identification was broad and accurate.</w:t>
      </w:r>
    </w:p>
    <w:p w:rsidR="000809D9" w:rsidRDefault="000809D9">
      <w:pPr>
        <w:pStyle w:val="BodyTextMain"/>
        <w:rPr>
          <w:rFonts w:eastAsia="SimSun"/>
          <w:lang w:val="en-CA" w:eastAsia="zh-CN"/>
        </w:rPr>
      </w:pPr>
    </w:p>
    <w:p w:rsidR="000809D9" w:rsidRDefault="00CC53DA">
      <w:pPr>
        <w:pStyle w:val="BodyTextMain"/>
        <w:rPr>
          <w:rFonts w:eastAsia="SimSun"/>
          <w:lang w:val="en-CA"/>
        </w:rPr>
      </w:pPr>
      <w:r>
        <w:rPr>
          <w:rFonts w:eastAsia="SimSun"/>
          <w:lang w:val="en-CA" w:eastAsia="zh-CN"/>
        </w:rPr>
        <w:t xml:space="preserve">Second, the analysis of risk adopted the “combine internal aspect with external aspect” approach, which analyzed not only the internal risk factors but also those at the industry level. This approach was also concerned with domestic and international economic and political situations and with integrating internal and external aspects to form a global risk database. </w:t>
      </w:r>
      <w:r>
        <w:rPr>
          <w:rFonts w:eastAsia="SimSun"/>
          <w:lang w:val="en-CA"/>
        </w:rPr>
        <w:t xml:space="preserve">Operationally, information was collected primarily from questionnaires and gathered from functional departments’ discussions and company leadership’s opinions. Specifically, information was derived from risk assessment questionnaires that related to corporate strategy, major investments, large capital use, marketing, quality of construction, safety, and project operations related to corporate reputation and sustainability. Other issues the company considered it needed to assess for risk were evaluated by assessing the integrity of companies’ leaders and senior managers. </w:t>
      </w:r>
    </w:p>
    <w:p w:rsidR="000809D9" w:rsidRDefault="000809D9">
      <w:pPr>
        <w:pStyle w:val="BodyTextMain"/>
        <w:rPr>
          <w:rFonts w:eastAsia="SimSun"/>
          <w:color w:val="000000"/>
          <w:kern w:val="2"/>
          <w:lang w:val="en-CA" w:eastAsia="zh-CN"/>
        </w:rPr>
      </w:pPr>
    </w:p>
    <w:p w:rsidR="000809D9" w:rsidRDefault="00CC53DA">
      <w:pPr>
        <w:pStyle w:val="BodyTextMain"/>
        <w:rPr>
          <w:rFonts w:eastAsia="SimSun"/>
          <w:color w:val="000000"/>
          <w:kern w:val="2"/>
          <w:lang w:val="en-CA" w:eastAsia="zh-CN"/>
        </w:rPr>
      </w:pPr>
      <w:r>
        <w:rPr>
          <w:rFonts w:eastAsia="SimSun"/>
          <w:color w:val="000000"/>
          <w:kern w:val="2"/>
          <w:lang w:val="en-CA" w:eastAsia="zh-CN"/>
        </w:rPr>
        <w:t xml:space="preserve">Collecting risk information according to the already mentioned objectives facilitated an understanding of the important focus of managers and what motivated risk and the impacts of internal and external risks. </w:t>
      </w:r>
      <w:proofErr w:type="spellStart"/>
      <w:r>
        <w:rPr>
          <w:rFonts w:eastAsia="SimSun"/>
          <w:color w:val="000000"/>
          <w:kern w:val="2"/>
          <w:lang w:val="en-CA" w:eastAsia="zh-CN"/>
        </w:rPr>
        <w:t>PowerChina</w:t>
      </w:r>
      <w:proofErr w:type="spellEnd"/>
      <w:r>
        <w:rPr>
          <w:rFonts w:eastAsia="SimSun"/>
          <w:color w:val="000000"/>
          <w:kern w:val="2"/>
          <w:lang w:val="en-CA" w:eastAsia="zh-CN"/>
        </w:rPr>
        <w:t xml:space="preserve"> initially drafted a list of its top ten major risks. It then comprehensively combined qualitative and quantitative analyses to determine how a company could ascertain the dominant and basic characteristics of each risk statistically. </w:t>
      </w:r>
    </w:p>
    <w:p w:rsidR="000809D9" w:rsidRDefault="000809D9">
      <w:pPr>
        <w:pStyle w:val="BodyTextMain"/>
        <w:rPr>
          <w:rFonts w:eastAsia="SimSun"/>
          <w:color w:val="000000"/>
          <w:kern w:val="2"/>
          <w:lang w:val="en-CA" w:eastAsia="zh-CN"/>
        </w:rPr>
      </w:pPr>
    </w:p>
    <w:p w:rsidR="000809D9" w:rsidRDefault="00CC53DA">
      <w:pPr>
        <w:pStyle w:val="BodyTextMain"/>
        <w:rPr>
          <w:rFonts w:eastAsia="SimSun"/>
          <w:color w:val="000000"/>
          <w:kern w:val="2"/>
          <w:lang w:val="en-CA" w:eastAsia="zh-CN"/>
        </w:rPr>
      </w:pPr>
      <w:r>
        <w:rPr>
          <w:rFonts w:eastAsia="SimSun"/>
          <w:color w:val="000000"/>
          <w:kern w:val="2"/>
          <w:lang w:val="en-CA" w:eastAsia="zh-CN"/>
        </w:rPr>
        <w:t xml:space="preserve">The company assessed the biggest risks by considering their occurrence and the degree and extent of their influence. </w:t>
      </w:r>
      <w:proofErr w:type="spellStart"/>
      <w:r>
        <w:rPr>
          <w:rFonts w:eastAsia="SimSun"/>
          <w:color w:val="000000"/>
          <w:kern w:val="2"/>
          <w:lang w:val="en-CA" w:eastAsia="zh-CN"/>
        </w:rPr>
        <w:t>PowerChina</w:t>
      </w:r>
      <w:proofErr w:type="spellEnd"/>
      <w:r>
        <w:rPr>
          <w:rFonts w:eastAsia="SimSun"/>
          <w:color w:val="000000"/>
          <w:kern w:val="2"/>
          <w:lang w:val="en-CA" w:eastAsia="zh-CN"/>
        </w:rPr>
        <w:t xml:space="preserve"> used the political, economic, social, and technological (PEST) and strengths, weaknesses, opportunities, and threats (SWOT) frameworks for this analysis. A risk coordination map was then drawn and the specific methods of implementing risk management were described in four dimensions, namely, the impacts, management strategies, specific solutions, and the responsible departments.</w:t>
      </w:r>
    </w:p>
    <w:p w:rsidR="000809D9" w:rsidRDefault="000809D9">
      <w:pPr>
        <w:pStyle w:val="BodyTextMain"/>
        <w:rPr>
          <w:rFonts w:eastAsia="SimSun"/>
          <w:color w:val="000000"/>
          <w:kern w:val="2"/>
          <w:lang w:val="en-CA" w:eastAsia="zh-CN"/>
        </w:rPr>
      </w:pPr>
    </w:p>
    <w:p w:rsidR="000809D9" w:rsidRDefault="000809D9">
      <w:pPr>
        <w:pStyle w:val="BodyTextMain"/>
        <w:rPr>
          <w:rFonts w:eastAsia="SimSun"/>
          <w:color w:val="000000"/>
          <w:kern w:val="2"/>
          <w:lang w:val="en-CA" w:eastAsia="zh-CN"/>
        </w:rPr>
      </w:pPr>
    </w:p>
    <w:p w:rsidR="000809D9" w:rsidRDefault="00CC53DA">
      <w:pPr>
        <w:pStyle w:val="Casehead1"/>
        <w:rPr>
          <w:rFonts w:eastAsia="SimSun"/>
          <w:lang w:val="en-CA" w:eastAsia="zh-CN"/>
        </w:rPr>
      </w:pPr>
      <w:r>
        <w:rPr>
          <w:rFonts w:eastAsia="SimSun"/>
          <w:lang w:val="en-CA" w:eastAsia="zh-CN"/>
        </w:rPr>
        <w:t>The Next Considerations</w:t>
      </w:r>
    </w:p>
    <w:p w:rsidR="000809D9" w:rsidRDefault="000809D9">
      <w:pPr>
        <w:pStyle w:val="BodyTextMain"/>
        <w:rPr>
          <w:rFonts w:eastAsia="SimSun"/>
          <w:lang w:val="en-CA" w:eastAsia="zh-CN"/>
        </w:rPr>
      </w:pPr>
    </w:p>
    <w:p w:rsidR="000809D9" w:rsidRDefault="00CC53DA">
      <w:pPr>
        <w:pStyle w:val="BodyTextMain"/>
        <w:rPr>
          <w:rFonts w:eastAsia="SimSun"/>
          <w:lang w:val="en-CA" w:eastAsia="zh-CN"/>
        </w:rPr>
      </w:pPr>
      <w:r>
        <w:rPr>
          <w:rFonts w:eastAsia="SimSun"/>
          <w:lang w:val="en-CA" w:eastAsia="zh-CN"/>
        </w:rPr>
        <w:t xml:space="preserve">After two years of restructuring and integration, working within the complex situation of the downturn in international markets, fierce competition, and political instability in some countries, </w:t>
      </w:r>
      <w:proofErr w:type="spellStart"/>
      <w:r>
        <w:rPr>
          <w:rFonts w:eastAsia="SimSun"/>
          <w:lang w:val="en-CA" w:eastAsia="zh-CN"/>
        </w:rPr>
        <w:t>PowerChina’s</w:t>
      </w:r>
      <w:proofErr w:type="spellEnd"/>
      <w:r>
        <w:rPr>
          <w:rFonts w:eastAsia="SimSun"/>
          <w:lang w:val="en-CA" w:eastAsia="zh-CN"/>
        </w:rPr>
        <w:t xml:space="preserve"> overseas production and operation indicators continued to rise against the trend.</w:t>
      </w:r>
      <w:r w:rsidR="008B1AD1">
        <w:rPr>
          <w:rFonts w:eastAsia="SimSun"/>
          <w:kern w:val="2"/>
          <w:lang w:val="en-CA" w:eastAsia="zh-CN"/>
        </w:rPr>
        <w:t xml:space="preserve"> Despite their growth, </w:t>
      </w:r>
      <w:r>
        <w:rPr>
          <w:rFonts w:eastAsia="SimSun"/>
          <w:lang w:val="en-CA" w:eastAsia="zh-CN"/>
        </w:rPr>
        <w:t xml:space="preserve">the more severe, competitive, and changeable situation </w:t>
      </w:r>
      <w:r w:rsidR="008B1AD1">
        <w:rPr>
          <w:rFonts w:eastAsia="SimSun"/>
          <w:lang w:val="en-CA" w:eastAsia="zh-CN"/>
        </w:rPr>
        <w:t xml:space="preserve">emphasized </w:t>
      </w:r>
      <w:proofErr w:type="spellStart"/>
      <w:r>
        <w:rPr>
          <w:rFonts w:eastAsia="SimSun"/>
          <w:lang w:val="en-CA" w:eastAsia="zh-CN"/>
        </w:rPr>
        <w:t>PowerChina’s</w:t>
      </w:r>
      <w:proofErr w:type="spellEnd"/>
      <w:r>
        <w:rPr>
          <w:rFonts w:eastAsia="SimSun"/>
          <w:lang w:val="en-CA" w:eastAsia="zh-CN"/>
        </w:rPr>
        <w:t xml:space="preserve"> </w:t>
      </w:r>
      <w:r w:rsidR="008B1AD1">
        <w:rPr>
          <w:rFonts w:eastAsia="SimSun"/>
          <w:lang w:val="en-CA" w:eastAsia="zh-CN"/>
        </w:rPr>
        <w:t>need to remain vigilant</w:t>
      </w:r>
      <w:r>
        <w:rPr>
          <w:rFonts w:eastAsia="SimSun"/>
          <w:kern w:val="2"/>
          <w:lang w:val="en-CA" w:eastAsia="zh-CN"/>
        </w:rPr>
        <w:t>.</w:t>
      </w:r>
      <w:r>
        <w:rPr>
          <w:rFonts w:eastAsia="SimSun"/>
          <w:lang w:val="en-CA" w:eastAsia="zh-CN"/>
        </w:rPr>
        <w:t xml:space="preserve"> Therefore, as the company aimed to maintain a strong growth trajectory in 2019, </w:t>
      </w:r>
      <w:proofErr w:type="spellStart"/>
      <w:r>
        <w:rPr>
          <w:rFonts w:eastAsia="SimSun"/>
          <w:lang w:val="en-CA" w:eastAsia="zh-CN"/>
        </w:rPr>
        <w:t>PowerChina</w:t>
      </w:r>
      <w:proofErr w:type="spellEnd"/>
      <w:r>
        <w:rPr>
          <w:rFonts w:eastAsia="SimSun"/>
          <w:lang w:val="en-CA" w:eastAsia="zh-CN"/>
        </w:rPr>
        <w:t xml:space="preserve"> needed to carefully consider whether the company’s current internationalization strategy was still appropriate, if the company’s risk-management system was out of date (see </w:t>
      </w:r>
      <w:r>
        <w:rPr>
          <w:lang w:val="en-CA"/>
        </w:rPr>
        <w:t xml:space="preserve">Exhibit </w:t>
      </w:r>
      <w:r>
        <w:rPr>
          <w:lang w:val="en-CA" w:eastAsia="zh-CN"/>
        </w:rPr>
        <w:t>5 as a reference</w:t>
      </w:r>
      <w:r>
        <w:rPr>
          <w:rFonts w:eastAsia="SimSun"/>
          <w:lang w:val="en-CA" w:eastAsia="zh-CN"/>
        </w:rPr>
        <w:t>), and how both could be improved.</w:t>
      </w:r>
    </w:p>
    <w:p w:rsidR="000809D9" w:rsidRDefault="00CC53DA">
      <w:pPr>
        <w:spacing w:after="200" w:line="276" w:lineRule="auto"/>
        <w:rPr>
          <w:rFonts w:ascii="Arial" w:hAnsi="Arial" w:cs="Arial"/>
          <w:b/>
          <w:caps/>
          <w:lang w:val="en-CA"/>
        </w:rPr>
      </w:pPr>
      <w:r>
        <w:rPr>
          <w:lang w:val="en-CA"/>
        </w:rPr>
        <w:br w:type="page"/>
      </w:r>
    </w:p>
    <w:p w:rsidR="000809D9" w:rsidRDefault="00CC53DA">
      <w:pPr>
        <w:pStyle w:val="ExhibitHeading"/>
        <w:rPr>
          <w:lang w:val="en-CA"/>
        </w:rPr>
      </w:pPr>
      <w:r>
        <w:rPr>
          <w:lang w:val="en-CA"/>
        </w:rPr>
        <w:lastRenderedPageBreak/>
        <w:t xml:space="preserve">EXHIBIT </w:t>
      </w:r>
      <w:r>
        <w:rPr>
          <w:lang w:val="en-CA" w:eastAsia="zh-CN"/>
        </w:rPr>
        <w:t>1</w:t>
      </w:r>
      <w:r>
        <w:rPr>
          <w:lang w:val="en-CA"/>
        </w:rPr>
        <w:t>: POWE</w:t>
      </w:r>
      <w:r>
        <w:rPr>
          <w:spacing w:val="20"/>
          <w:lang w:val="en-CA"/>
        </w:rPr>
        <w:t>R</w:t>
      </w:r>
      <w:r>
        <w:rPr>
          <w:lang w:val="en-CA"/>
        </w:rPr>
        <w:t>CHINA’S OVERSEA’S INCOME AND MARKET DISTRIBUTION</w:t>
      </w:r>
    </w:p>
    <w:p w:rsidR="000809D9" w:rsidRDefault="000809D9">
      <w:pPr>
        <w:pStyle w:val="ExhibitText"/>
        <w:rPr>
          <w:lang w:val="en-CA"/>
        </w:rPr>
      </w:pPr>
    </w:p>
    <w:p w:rsidR="000809D9" w:rsidRDefault="00CC53DA">
      <w:pPr>
        <w:pStyle w:val="Casehead2"/>
        <w:jc w:val="center"/>
        <w:rPr>
          <w:lang w:val="en-CA"/>
        </w:rPr>
      </w:pPr>
      <w:r>
        <w:rPr>
          <w:lang w:val="en-CA"/>
        </w:rPr>
        <w:t>Table 1: 2011–2017 Operating Income</w:t>
      </w:r>
    </w:p>
    <w:p w:rsidR="000809D9" w:rsidRDefault="000809D9">
      <w:pPr>
        <w:pStyle w:val="ExhibitText"/>
        <w:rPr>
          <w:lang w:val="en-CA"/>
        </w:rPr>
      </w:pPr>
    </w:p>
    <w:p w:rsidR="000809D9" w:rsidRDefault="00CC53DA">
      <w:pPr>
        <w:pStyle w:val="ExhibitText"/>
        <w:jc w:val="center"/>
        <w:rPr>
          <w:lang w:val="en-CA"/>
        </w:rPr>
      </w:pPr>
      <w:r>
        <w:rPr>
          <w:noProof/>
          <w:lang w:val="en-CA" w:eastAsia="en-CA"/>
        </w:rPr>
        <w:drawing>
          <wp:inline distT="0" distB="0" distL="114300" distR="114300">
            <wp:extent cx="4572000" cy="2548890"/>
            <wp:effectExtent l="0" t="0" r="12700" b="16510"/>
            <wp:docPr id="38" name="Image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09D9" w:rsidRDefault="000809D9">
      <w:pPr>
        <w:pStyle w:val="ExhibitText"/>
        <w:rPr>
          <w:lang w:val="en-CA"/>
        </w:rPr>
      </w:pPr>
    </w:p>
    <w:p w:rsidR="000809D9" w:rsidRDefault="000809D9">
      <w:pPr>
        <w:pStyle w:val="ExhibitText"/>
        <w:rPr>
          <w:lang w:val="en-CA"/>
        </w:rPr>
      </w:pPr>
    </w:p>
    <w:p w:rsidR="000809D9" w:rsidRDefault="00CC53DA">
      <w:pPr>
        <w:pStyle w:val="Casehead2"/>
        <w:jc w:val="center"/>
        <w:rPr>
          <w:lang w:val="en-CA"/>
        </w:rPr>
      </w:pPr>
      <w:r>
        <w:rPr>
          <w:lang w:val="en-CA"/>
        </w:rPr>
        <w:t xml:space="preserve">Table </w:t>
      </w:r>
      <w:r>
        <w:rPr>
          <w:rFonts w:eastAsia="SimSun"/>
          <w:lang w:val="en-CA" w:eastAsia="zh-CN"/>
        </w:rPr>
        <w:t>2</w:t>
      </w:r>
      <w:r>
        <w:rPr>
          <w:lang w:val="en-CA"/>
        </w:rPr>
        <w:t>: Distribution of Operating Income by Region</w:t>
      </w:r>
    </w:p>
    <w:p w:rsidR="000809D9" w:rsidRDefault="000809D9">
      <w:pPr>
        <w:pStyle w:val="ExhibitText"/>
        <w:rPr>
          <w:lang w:val="en-CA"/>
        </w:rPr>
      </w:pPr>
    </w:p>
    <w:p w:rsidR="000809D9" w:rsidRDefault="00CC53DA">
      <w:pPr>
        <w:pStyle w:val="ExhibitText"/>
        <w:jc w:val="center"/>
        <w:rPr>
          <w:lang w:val="en-CA"/>
        </w:rPr>
      </w:pPr>
      <w:r>
        <w:rPr>
          <w:noProof/>
          <w:lang w:val="en-CA" w:eastAsia="en-CA"/>
        </w:rPr>
        <w:drawing>
          <wp:inline distT="0" distB="0" distL="114300" distR="114300">
            <wp:extent cx="4572000" cy="3002915"/>
            <wp:effectExtent l="0" t="0" r="12700" b="6985"/>
            <wp:docPr id="39" name="Image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809D9" w:rsidRDefault="000809D9">
      <w:pPr>
        <w:pStyle w:val="ExhibitText"/>
        <w:rPr>
          <w:lang w:val="en-CA"/>
        </w:rPr>
      </w:pPr>
    </w:p>
    <w:p w:rsidR="000809D9" w:rsidRDefault="00CC53DA">
      <w:pPr>
        <w:pStyle w:val="Footnote"/>
        <w:rPr>
          <w:lang w:val="en-CA"/>
        </w:rPr>
      </w:pPr>
      <w:r>
        <w:rPr>
          <w:lang w:val="en-CA"/>
        </w:rPr>
        <w:t xml:space="preserve">Note: ¥ = CNY = Chinese yuan renminbi; </w:t>
      </w:r>
      <w:r>
        <w:t>¥1 = US$0.14.</w:t>
      </w:r>
    </w:p>
    <w:p w:rsidR="000809D9" w:rsidRDefault="00CC53DA">
      <w:pPr>
        <w:pStyle w:val="Footnote"/>
        <w:rPr>
          <w:lang w:val="en-CA"/>
        </w:rPr>
      </w:pPr>
      <w:r>
        <w:rPr>
          <w:lang w:val="en-CA"/>
        </w:rPr>
        <w:t xml:space="preserve">Source: </w:t>
      </w:r>
      <w:proofErr w:type="spellStart"/>
      <w:r>
        <w:rPr>
          <w:lang w:val="en-CA"/>
        </w:rPr>
        <w:t>PowerChina</w:t>
      </w:r>
      <w:proofErr w:type="spellEnd"/>
      <w:r>
        <w:rPr>
          <w:lang w:val="en-CA"/>
        </w:rPr>
        <w:t xml:space="preserve">, </w:t>
      </w:r>
      <w:r>
        <w:rPr>
          <w:i/>
          <w:iCs/>
          <w:lang w:val="en-CA"/>
        </w:rPr>
        <w:t>Annual Reports</w:t>
      </w:r>
      <w:r>
        <w:rPr>
          <w:lang w:val="en-CA"/>
        </w:rPr>
        <w:t>, 2012–2018.</w:t>
      </w:r>
    </w:p>
    <w:p w:rsidR="000809D9" w:rsidRDefault="00CC53DA">
      <w:pPr>
        <w:spacing w:after="160" w:line="259" w:lineRule="auto"/>
        <w:rPr>
          <w:rFonts w:ascii="Arial" w:hAnsi="Arial" w:cs="Arial"/>
          <w:sz w:val="17"/>
          <w:szCs w:val="17"/>
          <w:lang w:val="en-CA"/>
        </w:rPr>
      </w:pPr>
      <w:r>
        <w:rPr>
          <w:lang w:val="en-CA"/>
        </w:rPr>
        <w:br w:type="page"/>
      </w:r>
    </w:p>
    <w:p w:rsidR="000809D9" w:rsidRDefault="00CC53DA">
      <w:pPr>
        <w:pStyle w:val="ExhibitHeading"/>
        <w:rPr>
          <w:lang w:val="en-CA"/>
        </w:rPr>
      </w:pPr>
      <w:r>
        <w:rPr>
          <w:lang w:val="en-CA"/>
        </w:rPr>
        <w:lastRenderedPageBreak/>
        <w:t>EXHIBIT 2: Powe</w:t>
      </w:r>
      <w:r>
        <w:rPr>
          <w:spacing w:val="20"/>
          <w:lang w:val="en-CA"/>
        </w:rPr>
        <w:t>r</w:t>
      </w:r>
      <w:r>
        <w:rPr>
          <w:lang w:val="en-CA"/>
        </w:rPr>
        <w:t>China’s MANAGEMENT CODE OF INTERNATIONAL BUSINESS</w:t>
      </w:r>
    </w:p>
    <w:p w:rsidR="000809D9" w:rsidRDefault="000809D9">
      <w:pPr>
        <w:pStyle w:val="ExhibitText"/>
        <w:rPr>
          <w:rStyle w:val="CommentReference"/>
          <w:sz w:val="12"/>
          <w:szCs w:val="12"/>
          <w:lang w:val="en-CA"/>
        </w:rPr>
      </w:pPr>
    </w:p>
    <w:p w:rsidR="000809D9" w:rsidRDefault="00CC53DA">
      <w:pPr>
        <w:pStyle w:val="ExhibitText"/>
        <w:jc w:val="center"/>
        <w:rPr>
          <w:lang w:val="en-CA"/>
        </w:rPr>
      </w:pPr>
      <w:r>
        <w:rPr>
          <w:lang w:val="en-CA" w:eastAsia="en-CA"/>
        </w:rPr>
        <w:object w:dxaOrig="9354" w:dyaOrig="10280" w14:anchorId="16AE3B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514pt" o:ole="">
            <v:imagedata r:id="rId12" o:title=""/>
            <o:lock v:ext="edit" aspectratio="f"/>
          </v:shape>
          <o:OLEObject Type="Embed" ProgID="Visio.Drawing.15" ShapeID="_x0000_i1025" DrawAspect="Content" ObjectID="_1714538564" r:id="rId13"/>
        </w:object>
      </w:r>
    </w:p>
    <w:p w:rsidR="008567AA" w:rsidRDefault="008567AA">
      <w:pPr>
        <w:pStyle w:val="Footnote"/>
        <w:rPr>
          <w:lang w:val="en-CA"/>
        </w:rPr>
      </w:pPr>
    </w:p>
    <w:p w:rsidR="000809D9" w:rsidRDefault="00CC53DA">
      <w:pPr>
        <w:pStyle w:val="Footnote"/>
        <w:rPr>
          <w:lang w:val="en-CA"/>
        </w:rPr>
      </w:pPr>
      <w:r>
        <w:rPr>
          <w:lang w:val="en-CA"/>
        </w:rPr>
        <w:t>Source: Company documents, 2017.</w:t>
      </w:r>
    </w:p>
    <w:p w:rsidR="000809D9" w:rsidRDefault="000809D9">
      <w:pPr>
        <w:pStyle w:val="ExhibitText"/>
        <w:rPr>
          <w:sz w:val="12"/>
          <w:szCs w:val="12"/>
          <w:lang w:val="en-CA"/>
        </w:rPr>
      </w:pPr>
    </w:p>
    <w:p w:rsidR="000809D9" w:rsidRDefault="00CC53DA">
      <w:pPr>
        <w:rPr>
          <w:rFonts w:ascii="Arial" w:hAnsi="Arial" w:cs="Arial"/>
          <w:sz w:val="12"/>
          <w:szCs w:val="12"/>
          <w:lang w:val="en-CA"/>
        </w:rPr>
      </w:pPr>
      <w:r>
        <w:rPr>
          <w:sz w:val="12"/>
          <w:szCs w:val="12"/>
          <w:lang w:val="en-CA"/>
        </w:rPr>
        <w:br w:type="page"/>
      </w:r>
    </w:p>
    <w:p w:rsidR="000809D9" w:rsidRDefault="00CC53DA">
      <w:pPr>
        <w:pStyle w:val="ExhibitHeading"/>
        <w:rPr>
          <w:lang w:val="en-CA"/>
        </w:rPr>
      </w:pPr>
      <w:r>
        <w:rPr>
          <w:lang w:val="en-CA"/>
        </w:rPr>
        <w:lastRenderedPageBreak/>
        <w:t>EXHIBIT 3: CHANGES AND CAUSES OF MAJOR RISKS IN 2017 COMPARED WITH 2016</w:t>
      </w:r>
    </w:p>
    <w:p w:rsidR="000809D9" w:rsidRDefault="000809D9">
      <w:pPr>
        <w:pStyle w:val="ExhibitText"/>
        <w:rPr>
          <w:sz w:val="12"/>
          <w:szCs w:val="12"/>
          <w:lang w:val="en-CA"/>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1525"/>
        <w:gridCol w:w="2520"/>
        <w:gridCol w:w="2070"/>
        <w:gridCol w:w="3060"/>
      </w:tblGrid>
      <w:tr w:rsidR="000809D9" w:rsidTr="008B1AD1">
        <w:trPr>
          <w:trHeight w:val="21"/>
          <w:tblHeader/>
        </w:trPr>
        <w:tc>
          <w:tcPr>
            <w:tcW w:w="1525" w:type="dxa"/>
            <w:shd w:val="clear" w:color="000000" w:fill="FFFFFF"/>
            <w:vAlign w:val="center"/>
          </w:tcPr>
          <w:p w:rsidR="000809D9" w:rsidRDefault="00CC53DA">
            <w:pPr>
              <w:pStyle w:val="ExhibitText"/>
              <w:jc w:val="center"/>
              <w:rPr>
                <w:b/>
                <w:bCs/>
                <w:sz w:val="18"/>
                <w:szCs w:val="18"/>
                <w:lang w:val="en-CA"/>
              </w:rPr>
            </w:pPr>
            <w:r>
              <w:rPr>
                <w:b/>
                <w:bCs/>
                <w:sz w:val="18"/>
                <w:szCs w:val="18"/>
                <w:lang w:val="en-CA"/>
              </w:rPr>
              <w:t>Serial Number</w:t>
            </w:r>
          </w:p>
        </w:tc>
        <w:tc>
          <w:tcPr>
            <w:tcW w:w="2520" w:type="dxa"/>
            <w:shd w:val="clear" w:color="000000" w:fill="FFFFFF"/>
            <w:vAlign w:val="center"/>
          </w:tcPr>
          <w:p w:rsidR="000809D9" w:rsidRDefault="00CC53DA" w:rsidP="008B1AD1">
            <w:pPr>
              <w:pStyle w:val="ExhibitText"/>
              <w:jc w:val="center"/>
              <w:rPr>
                <w:b/>
                <w:bCs/>
                <w:sz w:val="18"/>
                <w:szCs w:val="18"/>
                <w:lang w:val="en-CA"/>
              </w:rPr>
            </w:pPr>
            <w:r>
              <w:rPr>
                <w:b/>
                <w:bCs/>
                <w:sz w:val="18"/>
                <w:szCs w:val="18"/>
                <w:lang w:val="en-CA"/>
              </w:rPr>
              <w:t>Major Risks in 2016</w:t>
            </w:r>
          </w:p>
        </w:tc>
        <w:tc>
          <w:tcPr>
            <w:tcW w:w="2070" w:type="dxa"/>
            <w:shd w:val="clear" w:color="000000" w:fill="FFFFFF"/>
            <w:vAlign w:val="center"/>
          </w:tcPr>
          <w:p w:rsidR="000809D9" w:rsidRDefault="00CC53DA" w:rsidP="008B1AD1">
            <w:pPr>
              <w:pStyle w:val="ExhibitText"/>
              <w:jc w:val="center"/>
              <w:rPr>
                <w:b/>
                <w:bCs/>
                <w:sz w:val="18"/>
                <w:szCs w:val="18"/>
                <w:lang w:val="en-CA"/>
              </w:rPr>
            </w:pPr>
            <w:r>
              <w:rPr>
                <w:b/>
                <w:bCs/>
                <w:sz w:val="18"/>
                <w:szCs w:val="18"/>
                <w:lang w:val="en-CA"/>
              </w:rPr>
              <w:t>Major Risks 2017</w:t>
            </w:r>
          </w:p>
        </w:tc>
        <w:tc>
          <w:tcPr>
            <w:tcW w:w="3060" w:type="dxa"/>
            <w:shd w:val="clear" w:color="000000" w:fill="FFFFFF"/>
            <w:vAlign w:val="center"/>
          </w:tcPr>
          <w:p w:rsidR="000809D9" w:rsidRDefault="00CC53DA" w:rsidP="008B1AD1">
            <w:pPr>
              <w:pStyle w:val="ExhibitText"/>
              <w:jc w:val="center"/>
              <w:rPr>
                <w:b/>
                <w:bCs/>
                <w:sz w:val="18"/>
                <w:szCs w:val="18"/>
                <w:lang w:val="en-CA"/>
              </w:rPr>
            </w:pPr>
            <w:r>
              <w:rPr>
                <w:b/>
                <w:bCs/>
                <w:sz w:val="18"/>
                <w:szCs w:val="18"/>
                <w:lang w:val="en-CA"/>
              </w:rPr>
              <w:t>Conditions</w:t>
            </w:r>
          </w:p>
        </w:tc>
      </w:tr>
      <w:tr w:rsidR="000809D9">
        <w:trPr>
          <w:trHeight w:val="21"/>
        </w:trPr>
        <w:tc>
          <w:tcPr>
            <w:tcW w:w="1525" w:type="dxa"/>
            <w:vAlign w:val="center"/>
          </w:tcPr>
          <w:p w:rsidR="000809D9" w:rsidRDefault="00CC53DA">
            <w:pPr>
              <w:pStyle w:val="ExhibitText"/>
              <w:jc w:val="center"/>
              <w:rPr>
                <w:color w:val="000000"/>
                <w:sz w:val="18"/>
                <w:szCs w:val="18"/>
                <w:lang w:val="en-CA"/>
              </w:rPr>
            </w:pPr>
            <w:r>
              <w:rPr>
                <w:color w:val="000000"/>
                <w:sz w:val="18"/>
                <w:szCs w:val="18"/>
                <w:lang w:val="en-CA"/>
              </w:rPr>
              <w:t>1</w:t>
            </w:r>
          </w:p>
        </w:tc>
        <w:tc>
          <w:tcPr>
            <w:tcW w:w="2520" w:type="dxa"/>
            <w:vAlign w:val="center"/>
          </w:tcPr>
          <w:p w:rsidR="000809D9" w:rsidRDefault="00CC53DA">
            <w:pPr>
              <w:pStyle w:val="ExhibitText"/>
              <w:jc w:val="left"/>
              <w:rPr>
                <w:color w:val="000000"/>
                <w:sz w:val="18"/>
                <w:szCs w:val="18"/>
                <w:lang w:val="en-CA"/>
              </w:rPr>
            </w:pPr>
            <w:r>
              <w:rPr>
                <w:color w:val="000000"/>
                <w:sz w:val="18"/>
                <w:szCs w:val="18"/>
                <w:lang w:val="en-CA"/>
              </w:rPr>
              <w:t>Marketing risk</w:t>
            </w:r>
          </w:p>
        </w:tc>
        <w:tc>
          <w:tcPr>
            <w:tcW w:w="2070" w:type="dxa"/>
            <w:vAlign w:val="center"/>
          </w:tcPr>
          <w:p w:rsidR="000809D9" w:rsidRDefault="00CC53DA">
            <w:pPr>
              <w:pStyle w:val="ExhibitText"/>
              <w:jc w:val="left"/>
              <w:rPr>
                <w:color w:val="000000"/>
                <w:sz w:val="18"/>
                <w:szCs w:val="18"/>
                <w:lang w:val="en-CA"/>
              </w:rPr>
            </w:pPr>
            <w:r>
              <w:rPr>
                <w:color w:val="000000"/>
                <w:sz w:val="18"/>
                <w:szCs w:val="18"/>
                <w:lang w:val="en-CA"/>
              </w:rPr>
              <w:t>Performance risk</w:t>
            </w:r>
          </w:p>
        </w:tc>
        <w:tc>
          <w:tcPr>
            <w:tcW w:w="3060" w:type="dxa"/>
            <w:vAlign w:val="center"/>
          </w:tcPr>
          <w:p w:rsidR="000809D9" w:rsidRDefault="00CC53DA">
            <w:pPr>
              <w:pStyle w:val="ExhibitText"/>
              <w:jc w:val="left"/>
              <w:rPr>
                <w:color w:val="000000"/>
                <w:sz w:val="18"/>
                <w:szCs w:val="18"/>
                <w:lang w:val="en-CA"/>
              </w:rPr>
            </w:pPr>
            <w:r>
              <w:rPr>
                <w:color w:val="000000"/>
                <w:sz w:val="18"/>
                <w:szCs w:val="18"/>
                <w:lang w:val="en-CA"/>
              </w:rPr>
              <w:t>Adjustment of risk order</w:t>
            </w:r>
          </w:p>
        </w:tc>
      </w:tr>
      <w:tr w:rsidR="000809D9">
        <w:trPr>
          <w:trHeight w:val="58"/>
        </w:trPr>
        <w:tc>
          <w:tcPr>
            <w:tcW w:w="1525" w:type="dxa"/>
            <w:vAlign w:val="center"/>
          </w:tcPr>
          <w:p w:rsidR="000809D9" w:rsidRDefault="00CC53DA">
            <w:pPr>
              <w:pStyle w:val="ExhibitText"/>
              <w:jc w:val="center"/>
              <w:rPr>
                <w:color w:val="000000"/>
                <w:sz w:val="18"/>
                <w:szCs w:val="18"/>
                <w:lang w:val="en-CA"/>
              </w:rPr>
            </w:pPr>
            <w:r>
              <w:rPr>
                <w:color w:val="000000"/>
                <w:sz w:val="18"/>
                <w:szCs w:val="18"/>
                <w:lang w:val="en-CA"/>
              </w:rPr>
              <w:t>2</w:t>
            </w:r>
          </w:p>
        </w:tc>
        <w:tc>
          <w:tcPr>
            <w:tcW w:w="2520" w:type="dxa"/>
            <w:vAlign w:val="center"/>
          </w:tcPr>
          <w:p w:rsidR="000809D9" w:rsidRDefault="00CC53DA">
            <w:pPr>
              <w:pStyle w:val="ExhibitText"/>
              <w:jc w:val="left"/>
              <w:rPr>
                <w:color w:val="000000"/>
                <w:sz w:val="18"/>
                <w:szCs w:val="18"/>
                <w:lang w:val="en-CA"/>
              </w:rPr>
            </w:pPr>
            <w:r>
              <w:rPr>
                <w:color w:val="000000"/>
                <w:sz w:val="18"/>
                <w:szCs w:val="18"/>
                <w:lang w:val="en-CA"/>
              </w:rPr>
              <w:t>Performance risk</w:t>
            </w:r>
          </w:p>
        </w:tc>
        <w:tc>
          <w:tcPr>
            <w:tcW w:w="2070" w:type="dxa"/>
            <w:vAlign w:val="center"/>
          </w:tcPr>
          <w:p w:rsidR="000809D9" w:rsidRDefault="00CC53DA">
            <w:pPr>
              <w:pStyle w:val="ExhibitText"/>
              <w:jc w:val="left"/>
              <w:rPr>
                <w:color w:val="000000"/>
                <w:sz w:val="18"/>
                <w:szCs w:val="18"/>
                <w:lang w:val="en-CA"/>
              </w:rPr>
            </w:pPr>
            <w:r>
              <w:rPr>
                <w:color w:val="000000"/>
                <w:sz w:val="18"/>
                <w:szCs w:val="18"/>
                <w:lang w:val="en-CA"/>
              </w:rPr>
              <w:t>Marketing risk</w:t>
            </w:r>
          </w:p>
        </w:tc>
        <w:tc>
          <w:tcPr>
            <w:tcW w:w="3060" w:type="dxa"/>
            <w:vAlign w:val="center"/>
          </w:tcPr>
          <w:p w:rsidR="000809D9" w:rsidRDefault="00CC53DA">
            <w:pPr>
              <w:pStyle w:val="ExhibitText"/>
              <w:jc w:val="left"/>
              <w:rPr>
                <w:color w:val="000000"/>
                <w:sz w:val="18"/>
                <w:szCs w:val="18"/>
                <w:lang w:val="en-CA"/>
              </w:rPr>
            </w:pPr>
            <w:r>
              <w:rPr>
                <w:color w:val="000000"/>
                <w:sz w:val="18"/>
                <w:szCs w:val="18"/>
                <w:lang w:val="en-CA"/>
              </w:rPr>
              <w:t>Adjustment of risk order</w:t>
            </w:r>
          </w:p>
        </w:tc>
      </w:tr>
      <w:tr w:rsidR="000809D9">
        <w:trPr>
          <w:trHeight w:val="256"/>
        </w:trPr>
        <w:tc>
          <w:tcPr>
            <w:tcW w:w="1525" w:type="dxa"/>
            <w:vAlign w:val="center"/>
          </w:tcPr>
          <w:p w:rsidR="000809D9" w:rsidRDefault="00CC53DA">
            <w:pPr>
              <w:pStyle w:val="ExhibitText"/>
              <w:jc w:val="center"/>
              <w:rPr>
                <w:color w:val="000000"/>
                <w:sz w:val="18"/>
                <w:szCs w:val="18"/>
                <w:lang w:val="en-CA"/>
              </w:rPr>
            </w:pPr>
            <w:r>
              <w:rPr>
                <w:color w:val="000000"/>
                <w:sz w:val="18"/>
                <w:szCs w:val="18"/>
                <w:lang w:val="en-CA"/>
              </w:rPr>
              <w:t>3</w:t>
            </w:r>
          </w:p>
        </w:tc>
        <w:tc>
          <w:tcPr>
            <w:tcW w:w="2520" w:type="dxa"/>
            <w:vAlign w:val="center"/>
          </w:tcPr>
          <w:p w:rsidR="000809D9" w:rsidRDefault="00CC53DA">
            <w:pPr>
              <w:pStyle w:val="ExhibitText"/>
              <w:jc w:val="left"/>
              <w:rPr>
                <w:color w:val="000000"/>
                <w:sz w:val="18"/>
                <w:szCs w:val="18"/>
                <w:lang w:val="en-CA"/>
              </w:rPr>
            </w:pPr>
            <w:r>
              <w:rPr>
                <w:color w:val="000000"/>
                <w:sz w:val="18"/>
                <w:szCs w:val="18"/>
                <w:lang w:val="en-CA"/>
              </w:rPr>
              <w:t>Safety production and quality risk</w:t>
            </w:r>
          </w:p>
        </w:tc>
        <w:tc>
          <w:tcPr>
            <w:tcW w:w="2070" w:type="dxa"/>
            <w:vAlign w:val="center"/>
          </w:tcPr>
          <w:p w:rsidR="000809D9" w:rsidRDefault="00CC53DA">
            <w:pPr>
              <w:pStyle w:val="ExhibitText"/>
              <w:jc w:val="left"/>
              <w:rPr>
                <w:color w:val="000000"/>
                <w:sz w:val="18"/>
                <w:szCs w:val="18"/>
                <w:lang w:val="en-CA"/>
              </w:rPr>
            </w:pPr>
            <w:r>
              <w:rPr>
                <w:color w:val="000000"/>
                <w:sz w:val="18"/>
                <w:szCs w:val="18"/>
                <w:lang w:val="en-CA"/>
              </w:rPr>
              <w:t>Safety production and quality risk</w:t>
            </w:r>
          </w:p>
        </w:tc>
        <w:tc>
          <w:tcPr>
            <w:tcW w:w="3060" w:type="dxa"/>
            <w:vAlign w:val="center"/>
          </w:tcPr>
          <w:p w:rsidR="000809D9" w:rsidRDefault="00CC53DA">
            <w:pPr>
              <w:pStyle w:val="ExhibitText"/>
              <w:jc w:val="left"/>
              <w:rPr>
                <w:color w:val="000000"/>
                <w:sz w:val="18"/>
                <w:szCs w:val="18"/>
                <w:lang w:val="en-CA"/>
              </w:rPr>
            </w:pPr>
            <w:r>
              <w:rPr>
                <w:color w:val="000000"/>
                <w:sz w:val="18"/>
                <w:szCs w:val="18"/>
                <w:lang w:val="en-CA"/>
              </w:rPr>
              <w:t>Remained</w:t>
            </w:r>
          </w:p>
        </w:tc>
      </w:tr>
      <w:tr w:rsidR="000809D9">
        <w:trPr>
          <w:trHeight w:val="21"/>
        </w:trPr>
        <w:tc>
          <w:tcPr>
            <w:tcW w:w="1525" w:type="dxa"/>
            <w:vAlign w:val="center"/>
          </w:tcPr>
          <w:p w:rsidR="000809D9" w:rsidRDefault="00CC53DA">
            <w:pPr>
              <w:pStyle w:val="ExhibitText"/>
              <w:jc w:val="center"/>
              <w:rPr>
                <w:color w:val="000000"/>
                <w:sz w:val="18"/>
                <w:szCs w:val="18"/>
                <w:lang w:val="en-CA"/>
              </w:rPr>
            </w:pPr>
            <w:r>
              <w:rPr>
                <w:color w:val="000000"/>
                <w:sz w:val="18"/>
                <w:szCs w:val="18"/>
                <w:lang w:val="en-CA"/>
              </w:rPr>
              <w:t>4</w:t>
            </w:r>
          </w:p>
        </w:tc>
        <w:tc>
          <w:tcPr>
            <w:tcW w:w="2520" w:type="dxa"/>
            <w:vAlign w:val="center"/>
          </w:tcPr>
          <w:p w:rsidR="000809D9" w:rsidRDefault="00CC53DA">
            <w:pPr>
              <w:pStyle w:val="ExhibitText"/>
              <w:jc w:val="left"/>
              <w:rPr>
                <w:color w:val="000000"/>
                <w:sz w:val="18"/>
                <w:szCs w:val="18"/>
                <w:lang w:val="en-CA"/>
              </w:rPr>
            </w:pPr>
            <w:r>
              <w:rPr>
                <w:color w:val="000000"/>
                <w:sz w:val="18"/>
                <w:szCs w:val="18"/>
                <w:lang w:val="en-CA"/>
              </w:rPr>
              <w:t>Exchange rate risk</w:t>
            </w:r>
          </w:p>
        </w:tc>
        <w:tc>
          <w:tcPr>
            <w:tcW w:w="2070" w:type="dxa"/>
            <w:vAlign w:val="center"/>
          </w:tcPr>
          <w:p w:rsidR="000809D9" w:rsidRDefault="00CC53DA">
            <w:pPr>
              <w:pStyle w:val="ExhibitText"/>
              <w:jc w:val="left"/>
              <w:rPr>
                <w:color w:val="000000"/>
                <w:sz w:val="18"/>
                <w:szCs w:val="18"/>
                <w:lang w:val="en-CA"/>
              </w:rPr>
            </w:pPr>
            <w:r>
              <w:rPr>
                <w:color w:val="000000"/>
                <w:sz w:val="18"/>
                <w:szCs w:val="18"/>
                <w:lang w:val="en-CA"/>
              </w:rPr>
              <w:t>Compliance risk</w:t>
            </w:r>
          </w:p>
        </w:tc>
        <w:tc>
          <w:tcPr>
            <w:tcW w:w="3060" w:type="dxa"/>
            <w:vAlign w:val="center"/>
          </w:tcPr>
          <w:p w:rsidR="000809D9" w:rsidRDefault="00CC53DA">
            <w:pPr>
              <w:pStyle w:val="ExhibitText"/>
              <w:jc w:val="left"/>
              <w:rPr>
                <w:color w:val="000000"/>
                <w:sz w:val="18"/>
                <w:szCs w:val="18"/>
                <w:lang w:val="en-CA"/>
              </w:rPr>
            </w:pPr>
            <w:r>
              <w:rPr>
                <w:color w:val="000000"/>
                <w:sz w:val="18"/>
                <w:szCs w:val="18"/>
                <w:lang w:val="en-CA"/>
              </w:rPr>
              <w:t>Adjustment of risk order and name</w:t>
            </w:r>
          </w:p>
        </w:tc>
      </w:tr>
      <w:tr w:rsidR="000809D9">
        <w:trPr>
          <w:trHeight w:val="21"/>
        </w:trPr>
        <w:tc>
          <w:tcPr>
            <w:tcW w:w="1525" w:type="dxa"/>
            <w:vAlign w:val="center"/>
          </w:tcPr>
          <w:p w:rsidR="000809D9" w:rsidRDefault="00CC53DA">
            <w:pPr>
              <w:pStyle w:val="ExhibitText"/>
              <w:jc w:val="center"/>
              <w:rPr>
                <w:color w:val="000000"/>
                <w:sz w:val="18"/>
                <w:szCs w:val="18"/>
                <w:lang w:val="en-CA"/>
              </w:rPr>
            </w:pPr>
            <w:r>
              <w:rPr>
                <w:color w:val="000000"/>
                <w:sz w:val="18"/>
                <w:szCs w:val="18"/>
                <w:lang w:val="en-CA"/>
              </w:rPr>
              <w:t>5</w:t>
            </w:r>
          </w:p>
        </w:tc>
        <w:tc>
          <w:tcPr>
            <w:tcW w:w="2520" w:type="dxa"/>
            <w:vAlign w:val="center"/>
          </w:tcPr>
          <w:p w:rsidR="000809D9" w:rsidRDefault="00CC53DA">
            <w:pPr>
              <w:pStyle w:val="ExhibitText"/>
              <w:jc w:val="left"/>
              <w:rPr>
                <w:color w:val="000000"/>
                <w:sz w:val="18"/>
                <w:szCs w:val="18"/>
                <w:lang w:val="en-CA"/>
              </w:rPr>
            </w:pPr>
            <w:r>
              <w:rPr>
                <w:color w:val="000000"/>
                <w:sz w:val="18"/>
                <w:szCs w:val="18"/>
                <w:lang w:val="en-CA"/>
              </w:rPr>
              <w:t>Talent reserve risk</w:t>
            </w:r>
          </w:p>
        </w:tc>
        <w:tc>
          <w:tcPr>
            <w:tcW w:w="2070" w:type="dxa"/>
            <w:vAlign w:val="center"/>
          </w:tcPr>
          <w:p w:rsidR="000809D9" w:rsidRDefault="00CC53DA">
            <w:pPr>
              <w:pStyle w:val="ExhibitText"/>
              <w:jc w:val="left"/>
              <w:rPr>
                <w:color w:val="000000"/>
                <w:sz w:val="18"/>
                <w:szCs w:val="18"/>
                <w:lang w:val="en-CA"/>
              </w:rPr>
            </w:pPr>
            <w:r>
              <w:rPr>
                <w:color w:val="000000"/>
                <w:sz w:val="18"/>
                <w:szCs w:val="18"/>
                <w:lang w:val="en-CA"/>
              </w:rPr>
              <w:t>Investment risk</w:t>
            </w:r>
          </w:p>
        </w:tc>
        <w:tc>
          <w:tcPr>
            <w:tcW w:w="3060" w:type="dxa"/>
            <w:vAlign w:val="center"/>
          </w:tcPr>
          <w:p w:rsidR="000809D9" w:rsidRDefault="00CC53DA">
            <w:pPr>
              <w:pStyle w:val="ExhibitText"/>
              <w:jc w:val="left"/>
              <w:rPr>
                <w:color w:val="000000"/>
                <w:sz w:val="18"/>
                <w:szCs w:val="18"/>
                <w:lang w:val="en-CA"/>
              </w:rPr>
            </w:pPr>
            <w:r>
              <w:rPr>
                <w:color w:val="000000"/>
                <w:sz w:val="18"/>
                <w:szCs w:val="18"/>
                <w:lang w:val="en-CA"/>
              </w:rPr>
              <w:t>Adjustment of risk order</w:t>
            </w:r>
          </w:p>
        </w:tc>
      </w:tr>
      <w:tr w:rsidR="000809D9">
        <w:trPr>
          <w:trHeight w:val="21"/>
        </w:trPr>
        <w:tc>
          <w:tcPr>
            <w:tcW w:w="1525" w:type="dxa"/>
            <w:vAlign w:val="center"/>
          </w:tcPr>
          <w:p w:rsidR="000809D9" w:rsidRDefault="00CC53DA">
            <w:pPr>
              <w:pStyle w:val="ExhibitText"/>
              <w:jc w:val="center"/>
              <w:rPr>
                <w:color w:val="000000"/>
                <w:sz w:val="18"/>
                <w:szCs w:val="18"/>
                <w:lang w:val="en-CA"/>
              </w:rPr>
            </w:pPr>
            <w:r>
              <w:rPr>
                <w:color w:val="000000"/>
                <w:sz w:val="18"/>
                <w:szCs w:val="18"/>
                <w:lang w:val="en-CA"/>
              </w:rPr>
              <w:t>6</w:t>
            </w:r>
          </w:p>
        </w:tc>
        <w:tc>
          <w:tcPr>
            <w:tcW w:w="2520" w:type="dxa"/>
            <w:vAlign w:val="center"/>
          </w:tcPr>
          <w:p w:rsidR="000809D9" w:rsidRDefault="00CC53DA">
            <w:pPr>
              <w:pStyle w:val="ExhibitText"/>
              <w:jc w:val="left"/>
              <w:rPr>
                <w:color w:val="000000"/>
                <w:sz w:val="18"/>
                <w:szCs w:val="18"/>
                <w:lang w:val="en-CA"/>
              </w:rPr>
            </w:pPr>
            <w:r>
              <w:rPr>
                <w:color w:val="000000"/>
                <w:sz w:val="18"/>
                <w:szCs w:val="18"/>
                <w:lang w:val="en-CA"/>
              </w:rPr>
              <w:t>Brand management risk</w:t>
            </w:r>
          </w:p>
        </w:tc>
        <w:tc>
          <w:tcPr>
            <w:tcW w:w="2070" w:type="dxa"/>
            <w:vAlign w:val="center"/>
          </w:tcPr>
          <w:p w:rsidR="000809D9" w:rsidRDefault="00CC53DA">
            <w:pPr>
              <w:pStyle w:val="ExhibitText"/>
              <w:jc w:val="left"/>
              <w:rPr>
                <w:color w:val="000000"/>
                <w:sz w:val="18"/>
                <w:szCs w:val="18"/>
                <w:lang w:val="en-CA"/>
              </w:rPr>
            </w:pPr>
            <w:r>
              <w:rPr>
                <w:color w:val="000000"/>
                <w:sz w:val="18"/>
                <w:szCs w:val="18"/>
                <w:lang w:val="en-CA"/>
              </w:rPr>
              <w:t>Human resource risk</w:t>
            </w:r>
          </w:p>
        </w:tc>
        <w:tc>
          <w:tcPr>
            <w:tcW w:w="3060" w:type="dxa"/>
            <w:vAlign w:val="center"/>
          </w:tcPr>
          <w:p w:rsidR="000809D9" w:rsidRDefault="00CC53DA">
            <w:pPr>
              <w:pStyle w:val="ExhibitText"/>
              <w:jc w:val="left"/>
              <w:rPr>
                <w:color w:val="000000"/>
                <w:sz w:val="18"/>
                <w:szCs w:val="18"/>
                <w:lang w:val="en-CA"/>
              </w:rPr>
            </w:pPr>
            <w:r>
              <w:rPr>
                <w:color w:val="000000"/>
                <w:sz w:val="18"/>
                <w:szCs w:val="18"/>
                <w:lang w:val="en-CA"/>
              </w:rPr>
              <w:t>Adjustment of risk order and name</w:t>
            </w:r>
          </w:p>
        </w:tc>
      </w:tr>
      <w:tr w:rsidR="000809D9">
        <w:trPr>
          <w:trHeight w:val="166"/>
        </w:trPr>
        <w:tc>
          <w:tcPr>
            <w:tcW w:w="1525" w:type="dxa"/>
            <w:vAlign w:val="center"/>
          </w:tcPr>
          <w:p w:rsidR="000809D9" w:rsidRDefault="00CC53DA">
            <w:pPr>
              <w:pStyle w:val="ExhibitText"/>
              <w:jc w:val="center"/>
              <w:rPr>
                <w:color w:val="000000"/>
                <w:sz w:val="18"/>
                <w:szCs w:val="18"/>
                <w:lang w:val="en-CA"/>
              </w:rPr>
            </w:pPr>
            <w:r>
              <w:rPr>
                <w:color w:val="000000"/>
                <w:sz w:val="18"/>
                <w:szCs w:val="18"/>
                <w:lang w:val="en-CA"/>
              </w:rPr>
              <w:t>7</w:t>
            </w:r>
          </w:p>
        </w:tc>
        <w:tc>
          <w:tcPr>
            <w:tcW w:w="2520" w:type="dxa"/>
            <w:vAlign w:val="center"/>
          </w:tcPr>
          <w:p w:rsidR="000809D9" w:rsidRDefault="00CC53DA">
            <w:pPr>
              <w:pStyle w:val="ExhibitText"/>
              <w:jc w:val="left"/>
              <w:rPr>
                <w:color w:val="000000"/>
                <w:sz w:val="18"/>
                <w:szCs w:val="18"/>
                <w:lang w:val="en-CA"/>
              </w:rPr>
            </w:pPr>
            <w:r>
              <w:rPr>
                <w:color w:val="000000"/>
                <w:sz w:val="18"/>
                <w:szCs w:val="18"/>
                <w:lang w:val="en-CA"/>
              </w:rPr>
              <w:t>Survey and design risk of construction</w:t>
            </w:r>
          </w:p>
        </w:tc>
        <w:tc>
          <w:tcPr>
            <w:tcW w:w="2070" w:type="dxa"/>
            <w:vAlign w:val="center"/>
          </w:tcPr>
          <w:p w:rsidR="000809D9" w:rsidRDefault="00CC53DA">
            <w:pPr>
              <w:pStyle w:val="ExhibitText"/>
              <w:jc w:val="left"/>
              <w:rPr>
                <w:color w:val="000000"/>
                <w:sz w:val="18"/>
                <w:szCs w:val="18"/>
                <w:lang w:val="en-CA"/>
              </w:rPr>
            </w:pPr>
            <w:r>
              <w:rPr>
                <w:color w:val="000000"/>
                <w:sz w:val="18"/>
                <w:szCs w:val="18"/>
                <w:lang w:val="en-CA"/>
              </w:rPr>
              <w:t>Exchange rate risk</w:t>
            </w:r>
          </w:p>
        </w:tc>
        <w:tc>
          <w:tcPr>
            <w:tcW w:w="3060" w:type="dxa"/>
            <w:vAlign w:val="center"/>
          </w:tcPr>
          <w:p w:rsidR="000809D9" w:rsidRDefault="00CC53DA">
            <w:pPr>
              <w:pStyle w:val="ExhibitText"/>
              <w:jc w:val="left"/>
              <w:rPr>
                <w:color w:val="000000"/>
                <w:sz w:val="18"/>
                <w:szCs w:val="18"/>
                <w:lang w:val="en-CA"/>
              </w:rPr>
            </w:pPr>
            <w:r>
              <w:rPr>
                <w:color w:val="000000"/>
                <w:sz w:val="18"/>
                <w:szCs w:val="18"/>
                <w:lang w:val="en-CA"/>
              </w:rPr>
              <w:t>Adjustment of risk order</w:t>
            </w:r>
          </w:p>
        </w:tc>
      </w:tr>
      <w:tr w:rsidR="000809D9">
        <w:trPr>
          <w:trHeight w:val="76"/>
        </w:trPr>
        <w:tc>
          <w:tcPr>
            <w:tcW w:w="1525" w:type="dxa"/>
            <w:vAlign w:val="center"/>
          </w:tcPr>
          <w:p w:rsidR="000809D9" w:rsidRDefault="00CC53DA">
            <w:pPr>
              <w:pStyle w:val="ExhibitText"/>
              <w:jc w:val="center"/>
              <w:rPr>
                <w:color w:val="000000"/>
                <w:sz w:val="18"/>
                <w:szCs w:val="18"/>
                <w:lang w:val="en-CA"/>
              </w:rPr>
            </w:pPr>
            <w:r>
              <w:rPr>
                <w:color w:val="000000"/>
                <w:sz w:val="18"/>
                <w:szCs w:val="18"/>
                <w:lang w:val="en-CA"/>
              </w:rPr>
              <w:t>8</w:t>
            </w:r>
          </w:p>
        </w:tc>
        <w:tc>
          <w:tcPr>
            <w:tcW w:w="2520" w:type="dxa"/>
            <w:vAlign w:val="center"/>
          </w:tcPr>
          <w:p w:rsidR="000809D9" w:rsidRDefault="00CC53DA">
            <w:pPr>
              <w:pStyle w:val="ExhibitText"/>
              <w:jc w:val="left"/>
              <w:rPr>
                <w:color w:val="000000"/>
                <w:sz w:val="18"/>
                <w:szCs w:val="18"/>
                <w:lang w:val="en-CA"/>
              </w:rPr>
            </w:pPr>
            <w:r>
              <w:rPr>
                <w:color w:val="000000"/>
                <w:sz w:val="18"/>
                <w:szCs w:val="18"/>
                <w:lang w:val="en-CA"/>
              </w:rPr>
              <w:t>Legal risk of foreign operations</w:t>
            </w:r>
          </w:p>
        </w:tc>
        <w:tc>
          <w:tcPr>
            <w:tcW w:w="2070" w:type="dxa"/>
            <w:vAlign w:val="center"/>
          </w:tcPr>
          <w:p w:rsidR="000809D9" w:rsidRDefault="00CC53DA">
            <w:pPr>
              <w:pStyle w:val="ExhibitText"/>
              <w:jc w:val="left"/>
              <w:rPr>
                <w:color w:val="000000"/>
                <w:sz w:val="18"/>
                <w:szCs w:val="18"/>
                <w:lang w:val="en-CA"/>
              </w:rPr>
            </w:pPr>
            <w:r>
              <w:rPr>
                <w:color w:val="000000"/>
                <w:sz w:val="18"/>
                <w:szCs w:val="18"/>
                <w:lang w:val="en-CA"/>
              </w:rPr>
              <w:t>Cost control risk</w:t>
            </w:r>
          </w:p>
        </w:tc>
        <w:tc>
          <w:tcPr>
            <w:tcW w:w="3060" w:type="dxa"/>
            <w:vAlign w:val="center"/>
          </w:tcPr>
          <w:p w:rsidR="000809D9" w:rsidRDefault="00CC53DA">
            <w:pPr>
              <w:pStyle w:val="ExhibitText"/>
              <w:jc w:val="left"/>
              <w:rPr>
                <w:color w:val="000000"/>
                <w:sz w:val="18"/>
                <w:szCs w:val="18"/>
                <w:lang w:val="en-CA"/>
              </w:rPr>
            </w:pPr>
            <w:r>
              <w:rPr>
                <w:color w:val="000000"/>
                <w:sz w:val="18"/>
                <w:szCs w:val="18"/>
                <w:lang w:val="en-CA"/>
              </w:rPr>
              <w:t>New risk</w:t>
            </w:r>
          </w:p>
        </w:tc>
      </w:tr>
      <w:tr w:rsidR="000809D9">
        <w:trPr>
          <w:trHeight w:val="288"/>
        </w:trPr>
        <w:tc>
          <w:tcPr>
            <w:tcW w:w="1525" w:type="dxa"/>
            <w:vAlign w:val="center"/>
          </w:tcPr>
          <w:p w:rsidR="000809D9" w:rsidRDefault="00CC53DA">
            <w:pPr>
              <w:pStyle w:val="ExhibitText"/>
              <w:jc w:val="center"/>
              <w:rPr>
                <w:color w:val="000000"/>
                <w:sz w:val="18"/>
                <w:szCs w:val="18"/>
                <w:lang w:val="en-CA"/>
              </w:rPr>
            </w:pPr>
            <w:r>
              <w:rPr>
                <w:color w:val="000000"/>
                <w:sz w:val="18"/>
                <w:szCs w:val="18"/>
                <w:lang w:val="en-CA"/>
              </w:rPr>
              <w:t>9</w:t>
            </w:r>
          </w:p>
        </w:tc>
        <w:tc>
          <w:tcPr>
            <w:tcW w:w="2520" w:type="dxa"/>
            <w:vAlign w:val="center"/>
          </w:tcPr>
          <w:p w:rsidR="000809D9" w:rsidRDefault="00CC53DA">
            <w:pPr>
              <w:pStyle w:val="ExhibitText"/>
              <w:jc w:val="left"/>
              <w:rPr>
                <w:color w:val="000000"/>
                <w:sz w:val="18"/>
                <w:szCs w:val="18"/>
                <w:lang w:val="en-CA"/>
              </w:rPr>
            </w:pPr>
            <w:r>
              <w:rPr>
                <w:color w:val="000000"/>
                <w:sz w:val="18"/>
                <w:szCs w:val="18"/>
                <w:lang w:val="en-CA"/>
              </w:rPr>
              <w:t>Cash flow management risk</w:t>
            </w:r>
          </w:p>
        </w:tc>
        <w:tc>
          <w:tcPr>
            <w:tcW w:w="2070" w:type="dxa"/>
            <w:vAlign w:val="center"/>
          </w:tcPr>
          <w:p w:rsidR="000809D9" w:rsidRDefault="00CC53DA">
            <w:pPr>
              <w:pStyle w:val="ExhibitText"/>
              <w:jc w:val="left"/>
              <w:rPr>
                <w:color w:val="000000"/>
                <w:sz w:val="18"/>
                <w:szCs w:val="18"/>
                <w:lang w:val="en-CA"/>
              </w:rPr>
            </w:pPr>
            <w:r>
              <w:rPr>
                <w:color w:val="000000"/>
                <w:sz w:val="18"/>
                <w:szCs w:val="18"/>
                <w:lang w:val="en-CA"/>
              </w:rPr>
              <w:t>Cash flow management risk</w:t>
            </w:r>
          </w:p>
        </w:tc>
        <w:tc>
          <w:tcPr>
            <w:tcW w:w="3060" w:type="dxa"/>
            <w:vAlign w:val="center"/>
          </w:tcPr>
          <w:p w:rsidR="000809D9" w:rsidRDefault="00CC53DA">
            <w:pPr>
              <w:pStyle w:val="ExhibitText"/>
              <w:jc w:val="left"/>
              <w:rPr>
                <w:color w:val="000000"/>
                <w:sz w:val="18"/>
                <w:szCs w:val="18"/>
                <w:lang w:val="en-CA"/>
              </w:rPr>
            </w:pPr>
            <w:r>
              <w:rPr>
                <w:color w:val="000000"/>
                <w:sz w:val="18"/>
                <w:szCs w:val="18"/>
                <w:lang w:val="en-CA"/>
              </w:rPr>
              <w:t>Remained</w:t>
            </w:r>
          </w:p>
        </w:tc>
      </w:tr>
      <w:tr w:rsidR="000809D9">
        <w:trPr>
          <w:trHeight w:val="21"/>
        </w:trPr>
        <w:tc>
          <w:tcPr>
            <w:tcW w:w="1525" w:type="dxa"/>
            <w:vAlign w:val="center"/>
          </w:tcPr>
          <w:p w:rsidR="000809D9" w:rsidRDefault="00CC53DA">
            <w:pPr>
              <w:pStyle w:val="ExhibitText"/>
              <w:jc w:val="center"/>
              <w:rPr>
                <w:color w:val="000000"/>
                <w:sz w:val="18"/>
                <w:szCs w:val="18"/>
                <w:lang w:val="en-CA"/>
              </w:rPr>
            </w:pPr>
            <w:r>
              <w:rPr>
                <w:color w:val="000000"/>
                <w:sz w:val="18"/>
                <w:szCs w:val="18"/>
                <w:lang w:val="en-CA"/>
              </w:rPr>
              <w:t>10</w:t>
            </w:r>
          </w:p>
        </w:tc>
        <w:tc>
          <w:tcPr>
            <w:tcW w:w="2520" w:type="dxa"/>
            <w:vAlign w:val="center"/>
          </w:tcPr>
          <w:p w:rsidR="000809D9" w:rsidRDefault="00CC53DA">
            <w:pPr>
              <w:pStyle w:val="ExhibitText"/>
              <w:jc w:val="left"/>
              <w:rPr>
                <w:color w:val="000000"/>
                <w:sz w:val="18"/>
                <w:szCs w:val="18"/>
                <w:lang w:val="en-CA"/>
              </w:rPr>
            </w:pPr>
            <w:r>
              <w:rPr>
                <w:color w:val="000000"/>
                <w:sz w:val="18"/>
                <w:szCs w:val="18"/>
                <w:lang w:val="en-CA"/>
              </w:rPr>
              <w:t>Investment risk</w:t>
            </w:r>
          </w:p>
        </w:tc>
        <w:tc>
          <w:tcPr>
            <w:tcW w:w="2070" w:type="dxa"/>
            <w:vAlign w:val="center"/>
          </w:tcPr>
          <w:p w:rsidR="000809D9" w:rsidRDefault="00CC53DA">
            <w:pPr>
              <w:pStyle w:val="ExhibitText"/>
              <w:jc w:val="left"/>
              <w:rPr>
                <w:color w:val="000000"/>
                <w:sz w:val="18"/>
                <w:szCs w:val="18"/>
                <w:lang w:val="en-CA"/>
              </w:rPr>
            </w:pPr>
            <w:r>
              <w:rPr>
                <w:color w:val="000000"/>
                <w:sz w:val="18"/>
                <w:szCs w:val="18"/>
                <w:lang w:val="en-CA"/>
              </w:rPr>
              <w:t>Survey and design risk</w:t>
            </w:r>
          </w:p>
        </w:tc>
        <w:tc>
          <w:tcPr>
            <w:tcW w:w="3060" w:type="dxa"/>
            <w:vAlign w:val="center"/>
          </w:tcPr>
          <w:p w:rsidR="000809D9" w:rsidRDefault="00CC53DA">
            <w:pPr>
              <w:pStyle w:val="ExhibitText"/>
              <w:jc w:val="left"/>
              <w:rPr>
                <w:color w:val="000000"/>
                <w:sz w:val="18"/>
                <w:szCs w:val="18"/>
                <w:lang w:val="en-CA"/>
              </w:rPr>
            </w:pPr>
            <w:r>
              <w:rPr>
                <w:color w:val="000000"/>
                <w:sz w:val="18"/>
                <w:szCs w:val="18"/>
                <w:lang w:val="en-CA"/>
              </w:rPr>
              <w:t>Adjustment of risk order and name</w:t>
            </w:r>
          </w:p>
        </w:tc>
      </w:tr>
    </w:tbl>
    <w:p w:rsidR="000809D9" w:rsidRDefault="000809D9">
      <w:pPr>
        <w:pStyle w:val="ExhibitText"/>
        <w:rPr>
          <w:sz w:val="12"/>
          <w:szCs w:val="12"/>
          <w:lang w:val="en-CA"/>
        </w:rPr>
      </w:pPr>
    </w:p>
    <w:p w:rsidR="000809D9" w:rsidRDefault="00CC53DA">
      <w:pPr>
        <w:pStyle w:val="Footnote"/>
        <w:rPr>
          <w:lang w:val="en-CA"/>
        </w:rPr>
      </w:pPr>
      <w:r>
        <w:rPr>
          <w:lang w:val="en-CA"/>
        </w:rPr>
        <w:t xml:space="preserve">Source: </w:t>
      </w:r>
      <w:proofErr w:type="spellStart"/>
      <w:r>
        <w:rPr>
          <w:lang w:val="en-CA"/>
        </w:rPr>
        <w:t>PowerChina</w:t>
      </w:r>
      <w:proofErr w:type="spellEnd"/>
      <w:r>
        <w:rPr>
          <w:lang w:val="en-CA"/>
        </w:rPr>
        <w:t>, “Comprehensive Risk Management Report,” 2017.</w:t>
      </w:r>
      <w:r>
        <w:rPr>
          <w:lang w:val="en-CA"/>
        </w:rPr>
        <w:br w:type="page"/>
      </w:r>
    </w:p>
    <w:p w:rsidR="000809D9" w:rsidRDefault="00CC53DA">
      <w:pPr>
        <w:pStyle w:val="ExhibitHeading"/>
        <w:rPr>
          <w:lang w:val="en-CA"/>
        </w:rPr>
      </w:pPr>
      <w:r>
        <w:rPr>
          <w:lang w:val="en-CA"/>
        </w:rPr>
        <w:lastRenderedPageBreak/>
        <w:t>EXHIBIT 4: RECENT FRAMEWORK FOR POWERCHINA’S ENTERPRISE RISK MANAGEMENT</w:t>
      </w:r>
    </w:p>
    <w:p w:rsidR="000809D9" w:rsidRDefault="000809D9">
      <w:pPr>
        <w:pStyle w:val="ExhibitText"/>
        <w:rPr>
          <w:lang w:val="en-CA"/>
        </w:rPr>
      </w:pPr>
    </w:p>
    <w:p w:rsidR="000809D9" w:rsidRDefault="00CC53DA">
      <w:pPr>
        <w:pStyle w:val="ExhibitText"/>
        <w:jc w:val="center"/>
        <w:rPr>
          <w:lang w:val="en-CA"/>
        </w:rPr>
      </w:pPr>
      <w:r>
        <w:rPr>
          <w:rFonts w:eastAsia="Calibri" w:cs="Times New Roman"/>
          <w:noProof/>
          <w:sz w:val="18"/>
          <w:szCs w:val="24"/>
          <w:lang w:val="en-CA" w:eastAsia="en-CA"/>
        </w:rPr>
        <mc:AlternateContent>
          <mc:Choice Requires="wpg">
            <w:drawing>
              <wp:inline distT="0" distB="0" distL="0" distR="0">
                <wp:extent cx="4580255" cy="6920865"/>
                <wp:effectExtent l="0" t="0" r="10795" b="13335"/>
                <wp:docPr id="2" name="Group 2"/>
                <wp:cNvGraphicFramePr/>
                <a:graphic xmlns:a="http://schemas.openxmlformats.org/drawingml/2006/main">
                  <a:graphicData uri="http://schemas.microsoft.com/office/word/2010/wordprocessingGroup">
                    <wpg:wgp>
                      <wpg:cNvGrpSpPr/>
                      <wpg:grpSpPr>
                        <a:xfrm>
                          <a:off x="0" y="0"/>
                          <a:ext cx="4580467" cy="6921499"/>
                          <a:chOff x="0" y="0"/>
                          <a:chExt cx="4580467" cy="6921499"/>
                        </a:xfrm>
                      </wpg:grpSpPr>
                      <wpg:grpSp>
                        <wpg:cNvPr id="3" name="Group 3"/>
                        <wpg:cNvGrpSpPr/>
                        <wpg:grpSpPr>
                          <a:xfrm>
                            <a:off x="8467" y="5756794"/>
                            <a:ext cx="4572000" cy="1164705"/>
                            <a:chOff x="0" y="-539"/>
                            <a:chExt cx="4572000" cy="1164705"/>
                          </a:xfrm>
                        </wpg:grpSpPr>
                        <wps:wsp>
                          <wps:cNvPr id="4" name="Text Box 4"/>
                          <wps:cNvSpPr txBox="1"/>
                          <wps:spPr>
                            <a:xfrm>
                              <a:off x="0" y="-539"/>
                              <a:ext cx="4572000" cy="1164705"/>
                            </a:xfrm>
                            <a:prstGeom prst="rect">
                              <a:avLst/>
                            </a:prstGeom>
                            <a:solidFill>
                              <a:sysClr val="window" lastClr="FFFFFF"/>
                            </a:solidFill>
                            <a:ln w="6350">
                              <a:solidFill>
                                <a:prstClr val="black"/>
                              </a:solidFill>
                            </a:ln>
                          </wps:spPr>
                          <wps:txbx>
                            <w:txbxContent>
                              <w:p w:rsidR="000809D9" w:rsidRDefault="000809D9">
                                <w:pPr>
                                  <w:rPr>
                                    <w:rFonts w:ascii="Arial" w:hAnsi="Arial" w:cs="Arial"/>
                                  </w:rPr>
                                </w:pPr>
                              </w:p>
                              <w:p w:rsidR="000809D9" w:rsidRDefault="000809D9">
                                <w:pPr>
                                  <w:rPr>
                                    <w:rFonts w:ascii="Arial" w:hAnsi="Arial" w:cs="Arial"/>
                                  </w:rPr>
                                </w:pPr>
                              </w:p>
                              <w:p w:rsidR="000809D9" w:rsidRDefault="000809D9">
                                <w:pPr>
                                  <w:rPr>
                                    <w:rFonts w:ascii="Arial" w:hAnsi="Arial" w:cs="Arial"/>
                                  </w:rPr>
                                </w:pPr>
                              </w:p>
                              <w:p w:rsidR="000809D9" w:rsidRDefault="000809D9">
                                <w:pPr>
                                  <w:rPr>
                                    <w:rFonts w:ascii="Arial" w:hAnsi="Arial" w:cs="Arial"/>
                                  </w:rPr>
                                </w:pPr>
                              </w:p>
                              <w:p w:rsidR="000809D9" w:rsidRDefault="000809D9">
                                <w:pPr>
                                  <w:rPr>
                                    <w:rFonts w:ascii="Arial" w:hAnsi="Arial" w:cs="Arial"/>
                                  </w:rPr>
                                </w:pPr>
                              </w:p>
                              <w:p w:rsidR="000809D9" w:rsidRDefault="00CC53DA">
                                <w:pPr>
                                  <w:rPr>
                                    <w:rFonts w:ascii="Arial" w:hAnsi="Arial" w:cs="Arial"/>
                                  </w:rPr>
                                </w:pPr>
                                <w:r>
                                  <w:rPr>
                                    <w:rFonts w:ascii="Arial" w:hAnsi="Arial" w:cs="Arial"/>
                                  </w:rPr>
                                  <w:t>risk management strategy + practical solutions + identified responsible department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Text Box 5"/>
                          <wps:cNvSpPr txBox="1"/>
                          <wps:spPr>
                            <a:xfrm>
                              <a:off x="533400" y="0"/>
                              <a:ext cx="3411855" cy="516255"/>
                            </a:xfrm>
                            <a:prstGeom prst="rect">
                              <a:avLst/>
                            </a:prstGeom>
                            <a:solidFill>
                              <a:sysClr val="window" lastClr="FFFFFF"/>
                            </a:solidFill>
                            <a:ln w="6350">
                              <a:solidFill>
                                <a:prstClr val="black"/>
                              </a:solidFill>
                            </a:ln>
                          </wps:spPr>
                          <wps:txbx>
                            <w:txbxContent>
                              <w:p w:rsidR="000809D9" w:rsidRDefault="00CC53DA">
                                <w:pPr>
                                  <w:jc w:val="center"/>
                                  <w:rPr>
                                    <w:rFonts w:ascii="Arial" w:hAnsi="Arial" w:cs="Arial"/>
                                    <w:b/>
                                    <w:bCs/>
                                  </w:rPr>
                                </w:pPr>
                                <w:r>
                                  <w:rPr>
                                    <w:rFonts w:ascii="Arial" w:hAnsi="Arial" w:cs="Arial"/>
                                    <w:b/>
                                    <w:bCs/>
                                  </w:rPr>
                                  <w:t>Risk 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 name="Group 6"/>
                        <wpg:cNvGrpSpPr/>
                        <wpg:grpSpPr>
                          <a:xfrm>
                            <a:off x="0" y="3242733"/>
                            <a:ext cx="4572000" cy="2254885"/>
                            <a:chOff x="0" y="0"/>
                            <a:chExt cx="4572000" cy="2254885"/>
                          </a:xfrm>
                        </wpg:grpSpPr>
                        <wps:wsp>
                          <wps:cNvPr id="7" name="Text Box 7"/>
                          <wps:cNvSpPr txBox="1"/>
                          <wps:spPr>
                            <a:xfrm>
                              <a:off x="0" y="0"/>
                              <a:ext cx="4572000" cy="2254885"/>
                            </a:xfrm>
                            <a:prstGeom prst="rect">
                              <a:avLst/>
                            </a:prstGeom>
                            <a:solidFill>
                              <a:sysClr val="window" lastClr="FFFFFF"/>
                            </a:solidFill>
                            <a:ln w="6350">
                              <a:solidFill>
                                <a:prstClr val="black"/>
                              </a:solidFill>
                            </a:ln>
                          </wps:spPr>
                          <wps:txbx>
                            <w:txbxContent>
                              <w:p w:rsidR="000809D9" w:rsidRDefault="000809D9">
                                <w:pPr>
                                  <w:rPr>
                                    <w:rFonts w:ascii="Arial" w:hAnsi="Arial" w:cs="Arial"/>
                                  </w:rPr>
                                </w:pPr>
                              </w:p>
                              <w:p w:rsidR="000809D9" w:rsidRDefault="000809D9">
                                <w:pPr>
                                  <w:rPr>
                                    <w:rFonts w:ascii="Arial" w:hAnsi="Arial" w:cs="Arial"/>
                                  </w:rPr>
                                </w:pPr>
                              </w:p>
                              <w:p w:rsidR="000809D9" w:rsidRDefault="000809D9">
                                <w:pPr>
                                  <w:rPr>
                                    <w:rFonts w:ascii="Arial" w:hAnsi="Arial" w:cs="Arial"/>
                                  </w:rPr>
                                </w:pPr>
                              </w:p>
                              <w:p w:rsidR="000809D9" w:rsidRDefault="000809D9">
                                <w:pPr>
                                  <w:rPr>
                                    <w:rFonts w:ascii="Arial" w:hAnsi="Arial" w:cs="Arial"/>
                                  </w:rPr>
                                </w:pPr>
                              </w:p>
                              <w:p w:rsidR="000809D9" w:rsidRDefault="00CC53DA">
                                <w:pPr>
                                  <w:rPr>
                                    <w:rFonts w:ascii="Arial" w:hAnsi="Arial" w:cs="Arial"/>
                                    <w:b/>
                                    <w:bCs/>
                                  </w:rPr>
                                </w:pPr>
                                <w:r>
                                  <w:rPr>
                                    <w:rFonts w:ascii="Arial" w:hAnsi="Arial" w:cs="Arial"/>
                                    <w:b/>
                                    <w:bCs/>
                                  </w:rPr>
                                  <w:t>Risk Assessment Methods</w:t>
                                </w:r>
                              </w:p>
                              <w:p w:rsidR="000809D9" w:rsidRDefault="00CC53DA">
                                <w:pPr>
                                  <w:pStyle w:val="ListParagraph"/>
                                  <w:numPr>
                                    <w:ilvl w:val="0"/>
                                    <w:numId w:val="1"/>
                                  </w:numPr>
                                  <w:jc w:val="left"/>
                                  <w:rPr>
                                    <w:rFonts w:ascii="Arial" w:hAnsi="Arial" w:cs="Arial"/>
                                    <w:sz w:val="20"/>
                                    <w:szCs w:val="20"/>
                                  </w:rPr>
                                </w:pPr>
                                <w:r>
                                  <w:rPr>
                                    <w:rFonts w:ascii="Arial" w:hAnsi="Arial" w:cs="Arial"/>
                                    <w:sz w:val="20"/>
                                    <w:szCs w:val="20"/>
                                  </w:rPr>
                                  <w:t>according to the company’s risk assessment standard table</w:t>
                                </w:r>
                              </w:p>
                              <w:p w:rsidR="000809D9" w:rsidRDefault="00CC53DA">
                                <w:pPr>
                                  <w:pStyle w:val="ListParagraph"/>
                                  <w:numPr>
                                    <w:ilvl w:val="0"/>
                                    <w:numId w:val="1"/>
                                  </w:numPr>
                                  <w:jc w:val="left"/>
                                  <w:rPr>
                                    <w:rFonts w:ascii="Arial" w:hAnsi="Arial" w:cs="Arial"/>
                                    <w:sz w:val="20"/>
                                    <w:szCs w:val="20"/>
                                  </w:rPr>
                                </w:pPr>
                                <w:r>
                                  <w:rPr>
                                    <w:rFonts w:ascii="Arial" w:hAnsi="Arial" w:cs="Arial"/>
                                    <w:sz w:val="20"/>
                                    <w:szCs w:val="20"/>
                                  </w:rPr>
                                  <w:t>qualitative and quantitative analysis of the probability and impact degree of risk occurrence in the risk database</w:t>
                                </w:r>
                              </w:p>
                              <w:p w:rsidR="000809D9" w:rsidRDefault="00CC53DA">
                                <w:pPr>
                                  <w:pStyle w:val="ListParagraph"/>
                                  <w:numPr>
                                    <w:ilvl w:val="0"/>
                                    <w:numId w:val="1"/>
                                  </w:numPr>
                                  <w:jc w:val="left"/>
                                  <w:rPr>
                                    <w:rFonts w:ascii="Arial" w:hAnsi="Arial" w:cs="Arial"/>
                                    <w:sz w:val="20"/>
                                    <w:szCs w:val="20"/>
                                  </w:rPr>
                                </w:pPr>
                                <w:r>
                                  <w:rPr>
                                    <w:rFonts w:ascii="Arial" w:hAnsi="Arial" w:cs="Arial"/>
                                    <w:sz w:val="20"/>
                                    <w:szCs w:val="20"/>
                                  </w:rPr>
                                  <w:t>analysis of the causes of major risks using PEST and SWOT frameworks</w:t>
                                </w:r>
                              </w:p>
                              <w:p w:rsidR="000809D9" w:rsidRDefault="000809D9">
                                <w:pPr>
                                  <w:rPr>
                                    <w:rFonts w:ascii="Arial" w:hAnsi="Arial" w:cs="Arial"/>
                                  </w:rPr>
                                </w:pPr>
                              </w:p>
                              <w:p w:rsidR="000809D9" w:rsidRDefault="00CC53DA">
                                <w:pPr>
                                  <w:rPr>
                                    <w:rFonts w:ascii="Arial" w:hAnsi="Arial" w:cs="Arial"/>
                                    <w:b/>
                                    <w:bCs/>
                                  </w:rPr>
                                </w:pPr>
                                <w:r>
                                  <w:rPr>
                                    <w:rFonts w:ascii="Arial" w:hAnsi="Arial" w:cs="Arial"/>
                                    <w:b/>
                                    <w:bCs/>
                                  </w:rPr>
                                  <w:t>Representation of Results</w:t>
                                </w:r>
                              </w:p>
                              <w:p w:rsidR="000809D9" w:rsidRDefault="00CC53DA">
                                <w:pPr>
                                  <w:pStyle w:val="ListParagraph"/>
                                  <w:numPr>
                                    <w:ilvl w:val="0"/>
                                    <w:numId w:val="2"/>
                                  </w:numPr>
                                  <w:jc w:val="left"/>
                                  <w:rPr>
                                    <w:rFonts w:ascii="Arial" w:hAnsi="Arial" w:cs="Arial"/>
                                    <w:sz w:val="20"/>
                                    <w:szCs w:val="20"/>
                                  </w:rPr>
                                </w:pPr>
                                <w:r>
                                  <w:rPr>
                                    <w:rFonts w:ascii="Arial" w:hAnsi="Arial" w:cs="Arial"/>
                                    <w:sz w:val="20"/>
                                    <w:szCs w:val="20"/>
                                  </w:rPr>
                                  <w:t>top ten risks</w:t>
                                </w:r>
                              </w:p>
                              <w:p w:rsidR="000809D9" w:rsidRDefault="00CC53DA">
                                <w:pPr>
                                  <w:pStyle w:val="ListParagraph"/>
                                  <w:numPr>
                                    <w:ilvl w:val="0"/>
                                    <w:numId w:val="2"/>
                                  </w:numPr>
                                  <w:jc w:val="left"/>
                                  <w:rPr>
                                    <w:rFonts w:ascii="Arial" w:hAnsi="Arial" w:cs="Arial"/>
                                    <w:sz w:val="20"/>
                                    <w:szCs w:val="20"/>
                                  </w:rPr>
                                </w:pPr>
                                <w:r>
                                  <w:rPr>
                                    <w:rFonts w:ascii="Arial" w:hAnsi="Arial" w:cs="Arial"/>
                                    <w:sz w:val="20"/>
                                    <w:szCs w:val="20"/>
                                  </w:rPr>
                                  <w:t>risk maps</w:t>
                                </w:r>
                              </w:p>
                              <w:p w:rsidR="000809D9" w:rsidRDefault="00CC53DA">
                                <w:pPr>
                                  <w:pStyle w:val="ListParagraph"/>
                                  <w:numPr>
                                    <w:ilvl w:val="0"/>
                                    <w:numId w:val="2"/>
                                  </w:numPr>
                                  <w:jc w:val="left"/>
                                  <w:rPr>
                                    <w:rFonts w:ascii="Arial" w:hAnsi="Arial" w:cs="Arial"/>
                                    <w:sz w:val="20"/>
                                    <w:szCs w:val="20"/>
                                  </w:rPr>
                                </w:pPr>
                                <w:r>
                                  <w:rPr>
                                    <w:rFonts w:ascii="Arial" w:hAnsi="Arial" w:cs="Arial"/>
                                    <w:sz w:val="20"/>
                                    <w:szCs w:val="20"/>
                                  </w:rPr>
                                  <w:t>top ten risk changes in adjacent years and their explanatory tables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 name="Text Box 8"/>
                          <wps:cNvSpPr txBox="1"/>
                          <wps:spPr>
                            <a:xfrm>
                              <a:off x="914400" y="0"/>
                              <a:ext cx="2743200" cy="457200"/>
                            </a:xfrm>
                            <a:prstGeom prst="rect">
                              <a:avLst/>
                            </a:prstGeom>
                            <a:solidFill>
                              <a:sysClr val="window" lastClr="FFFFFF"/>
                            </a:solidFill>
                            <a:ln w="6350">
                              <a:solidFill>
                                <a:prstClr val="black"/>
                              </a:solidFill>
                            </a:ln>
                          </wps:spPr>
                          <wps:txbx>
                            <w:txbxContent>
                              <w:p w:rsidR="000809D9" w:rsidRDefault="00CC53DA">
                                <w:pPr>
                                  <w:jc w:val="center"/>
                                  <w:rPr>
                                    <w:rFonts w:ascii="Arial" w:hAnsi="Arial" w:cs="Arial"/>
                                    <w:b/>
                                    <w:bCs/>
                                  </w:rPr>
                                </w:pPr>
                                <w:r>
                                  <w:rPr>
                                    <w:rFonts w:ascii="Arial" w:hAnsi="Arial" w:cs="Arial"/>
                                    <w:b/>
                                    <w:bCs/>
                                  </w:rPr>
                                  <w:t>Risk Assessment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 name="Group 9"/>
                        <wpg:cNvGrpSpPr/>
                        <wpg:grpSpPr>
                          <a:xfrm>
                            <a:off x="0" y="0"/>
                            <a:ext cx="4572000" cy="2834640"/>
                            <a:chOff x="0" y="0"/>
                            <a:chExt cx="4572000" cy="2834640"/>
                          </a:xfrm>
                        </wpg:grpSpPr>
                        <wps:wsp>
                          <wps:cNvPr id="10" name="Text Box 10"/>
                          <wps:cNvSpPr txBox="1"/>
                          <wps:spPr>
                            <a:xfrm>
                              <a:off x="0" y="0"/>
                              <a:ext cx="4572000" cy="2834640"/>
                            </a:xfrm>
                            <a:prstGeom prst="rect">
                              <a:avLst/>
                            </a:prstGeom>
                            <a:solidFill>
                              <a:sysClr val="window" lastClr="FFFFFF"/>
                            </a:solidFill>
                            <a:ln w="6350">
                              <a:solidFill>
                                <a:prstClr val="black"/>
                              </a:solidFill>
                            </a:ln>
                          </wps:spPr>
                          <wps:txbx>
                            <w:txbxContent>
                              <w:p w:rsidR="000809D9" w:rsidRDefault="000809D9">
                                <w:pPr>
                                  <w:rPr>
                                    <w:rFonts w:ascii="Arial" w:hAnsi="Arial" w:cs="Arial"/>
                                  </w:rPr>
                                </w:pPr>
                              </w:p>
                              <w:p w:rsidR="000809D9" w:rsidRDefault="000809D9">
                                <w:pPr>
                                  <w:rPr>
                                    <w:rFonts w:ascii="Arial" w:hAnsi="Arial" w:cs="Arial"/>
                                  </w:rPr>
                                </w:pPr>
                              </w:p>
                              <w:p w:rsidR="000809D9" w:rsidRDefault="000809D9">
                                <w:pPr>
                                  <w:rPr>
                                    <w:rFonts w:ascii="Arial" w:hAnsi="Arial" w:cs="Arial"/>
                                  </w:rPr>
                                </w:pPr>
                              </w:p>
                              <w:p w:rsidR="000809D9" w:rsidRDefault="000809D9">
                                <w:pPr>
                                  <w:rPr>
                                    <w:rFonts w:ascii="Arial" w:hAnsi="Arial" w:cs="Arial"/>
                                  </w:rPr>
                                </w:pPr>
                              </w:p>
                              <w:p w:rsidR="000809D9" w:rsidRDefault="00CC53DA">
                                <w:pPr>
                                  <w:rPr>
                                    <w:rFonts w:ascii="Arial" w:hAnsi="Arial" w:cs="Arial"/>
                                    <w:b/>
                                    <w:bCs/>
                                  </w:rPr>
                                </w:pPr>
                                <w:r>
                                  <w:rPr>
                                    <w:rFonts w:ascii="Arial" w:hAnsi="Arial" w:cs="Arial"/>
                                    <w:b/>
                                    <w:bCs/>
                                  </w:rPr>
                                  <w:t>Risk Identification Sequence</w:t>
                                </w:r>
                              </w:p>
                              <w:p w:rsidR="000809D9" w:rsidRDefault="00CC53DA">
                                <w:pPr>
                                  <w:pStyle w:val="ListParagraph"/>
                                  <w:numPr>
                                    <w:ilvl w:val="0"/>
                                    <w:numId w:val="3"/>
                                  </w:numPr>
                                  <w:jc w:val="left"/>
                                  <w:rPr>
                                    <w:rFonts w:ascii="Arial" w:hAnsi="Arial" w:cs="Arial"/>
                                    <w:sz w:val="20"/>
                                    <w:szCs w:val="20"/>
                                  </w:rPr>
                                </w:pPr>
                                <w:r>
                                  <w:rPr>
                                    <w:rFonts w:ascii="Arial" w:hAnsi="Arial" w:cs="Arial"/>
                                    <w:sz w:val="20"/>
                                    <w:szCs w:val="20"/>
                                  </w:rPr>
                                  <w:t xml:space="preserve">job risk </w:t>
                                </w:r>
                                <w:r>
                                  <w:rPr>
                                    <w:rFonts w:ascii="Cambria Math" w:hAnsi="Cambria Math" w:cs="Cambria Math"/>
                                    <w:sz w:val="20"/>
                                    <w:szCs w:val="20"/>
                                  </w:rPr>
                                  <w:t>≫</w:t>
                                </w:r>
                                <w:r>
                                  <w:rPr>
                                    <w:rFonts w:ascii="Arial" w:hAnsi="Arial" w:cs="Arial"/>
                                    <w:sz w:val="20"/>
                                    <w:szCs w:val="20"/>
                                  </w:rPr>
                                  <w:t xml:space="preserve"> department risk </w:t>
                                </w:r>
                                <w:r>
                                  <w:rPr>
                                    <w:rFonts w:ascii="Cambria Math" w:hAnsi="Cambria Math" w:cs="Cambria Math"/>
                                    <w:sz w:val="20"/>
                                    <w:szCs w:val="20"/>
                                  </w:rPr>
                                  <w:t>≫</w:t>
                                </w:r>
                                <w:r>
                                  <w:rPr>
                                    <w:rFonts w:ascii="Arial" w:hAnsi="Arial" w:cs="Arial"/>
                                    <w:sz w:val="20"/>
                                    <w:szCs w:val="20"/>
                                  </w:rPr>
                                  <w:t xml:space="preserve"> company risk </w:t>
                                </w:r>
                                <w:r>
                                  <w:rPr>
                                    <w:rFonts w:ascii="Cambria Math" w:hAnsi="Cambria Math" w:cs="Cambria Math"/>
                                    <w:sz w:val="20"/>
                                    <w:szCs w:val="20"/>
                                  </w:rPr>
                                  <w:t>≫</w:t>
                                </w:r>
                                <w:r>
                                  <w:rPr>
                                    <w:rFonts w:ascii="Arial" w:hAnsi="Arial" w:cs="Arial"/>
                                    <w:sz w:val="20"/>
                                    <w:szCs w:val="20"/>
                                  </w:rPr>
                                  <w:t xml:space="preserve"> external risk</w:t>
                                </w:r>
                              </w:p>
                              <w:p w:rsidR="000809D9" w:rsidRDefault="000809D9">
                                <w:pPr>
                                  <w:rPr>
                                    <w:rFonts w:ascii="Arial" w:hAnsi="Arial" w:cs="Arial"/>
                                  </w:rPr>
                                </w:pPr>
                              </w:p>
                              <w:p w:rsidR="000809D9" w:rsidRDefault="00CC53DA">
                                <w:pPr>
                                  <w:rPr>
                                    <w:rFonts w:ascii="Arial" w:hAnsi="Arial" w:cs="Arial"/>
                                    <w:b/>
                                    <w:bCs/>
                                  </w:rPr>
                                </w:pPr>
                                <w:r>
                                  <w:rPr>
                                    <w:rFonts w:ascii="Arial" w:hAnsi="Arial" w:cs="Arial"/>
                                    <w:b/>
                                    <w:bCs/>
                                  </w:rPr>
                                  <w:t>Risk Identification Scope</w:t>
                                </w:r>
                              </w:p>
                              <w:p w:rsidR="000809D9" w:rsidRDefault="00CC53DA">
                                <w:pPr>
                                  <w:pStyle w:val="ListParagraph"/>
                                  <w:numPr>
                                    <w:ilvl w:val="0"/>
                                    <w:numId w:val="3"/>
                                  </w:numPr>
                                  <w:jc w:val="left"/>
                                  <w:rPr>
                                    <w:rFonts w:ascii="Arial" w:hAnsi="Arial" w:cs="Arial"/>
                                    <w:sz w:val="20"/>
                                    <w:szCs w:val="20"/>
                                  </w:rPr>
                                </w:pPr>
                                <w:r>
                                  <w:rPr>
                                    <w:rFonts w:ascii="Arial" w:hAnsi="Arial" w:cs="Arial"/>
                                    <w:sz w:val="20"/>
                                    <w:szCs w:val="20"/>
                                  </w:rPr>
                                  <w:t>within the company, horizontally covering all departments and key business matters</w:t>
                                </w:r>
                              </w:p>
                              <w:p w:rsidR="000809D9" w:rsidRDefault="00CC53DA">
                                <w:pPr>
                                  <w:pStyle w:val="ListParagraph"/>
                                  <w:numPr>
                                    <w:ilvl w:val="0"/>
                                    <w:numId w:val="3"/>
                                  </w:numPr>
                                  <w:jc w:val="left"/>
                                  <w:rPr>
                                    <w:rFonts w:ascii="Arial" w:hAnsi="Arial" w:cs="Arial"/>
                                    <w:sz w:val="20"/>
                                    <w:szCs w:val="20"/>
                                  </w:rPr>
                                </w:pPr>
                                <w:r>
                                  <w:rPr>
                                    <w:rFonts w:ascii="Arial" w:hAnsi="Arial" w:cs="Arial"/>
                                    <w:sz w:val="20"/>
                                    <w:szCs w:val="20"/>
                                  </w:rPr>
                                  <w:t>outside the company, referring to the industry level, domestic and international economic and political situation</w:t>
                                </w:r>
                              </w:p>
                              <w:p w:rsidR="000809D9" w:rsidRDefault="000809D9">
                                <w:pPr>
                                  <w:rPr>
                                    <w:rFonts w:ascii="Arial" w:hAnsi="Arial" w:cs="Arial"/>
                                  </w:rPr>
                                </w:pPr>
                              </w:p>
                              <w:p w:rsidR="000809D9" w:rsidRDefault="00CC53DA">
                                <w:pPr>
                                  <w:rPr>
                                    <w:rFonts w:ascii="Arial" w:hAnsi="Arial" w:cs="Arial"/>
                                    <w:b/>
                                    <w:bCs/>
                                  </w:rPr>
                                </w:pPr>
                                <w:r>
                                  <w:rPr>
                                    <w:rFonts w:ascii="Arial" w:hAnsi="Arial" w:cs="Arial"/>
                                    <w:b/>
                                    <w:bCs/>
                                  </w:rPr>
                                  <w:t>Collection Methods</w:t>
                                </w:r>
                              </w:p>
                              <w:p w:rsidR="000809D9" w:rsidRDefault="00CC53DA">
                                <w:pPr>
                                  <w:pStyle w:val="ListParagraph"/>
                                  <w:numPr>
                                    <w:ilvl w:val="0"/>
                                    <w:numId w:val="4"/>
                                  </w:numPr>
                                  <w:jc w:val="left"/>
                                  <w:rPr>
                                    <w:rFonts w:ascii="Arial" w:hAnsi="Arial" w:cs="Arial"/>
                                    <w:sz w:val="20"/>
                                    <w:szCs w:val="20"/>
                                  </w:rPr>
                                </w:pPr>
                                <w:r>
                                  <w:rPr>
                                    <w:rFonts w:ascii="Arial" w:hAnsi="Arial" w:cs="Arial"/>
                                    <w:sz w:val="20"/>
                                    <w:szCs w:val="20"/>
                                  </w:rPr>
                                  <w:t>mainly based on questionnaires, supplemented by functional departments to discuss and solicit opinions from company leaders</w:t>
                                </w:r>
                              </w:p>
                              <w:p w:rsidR="000809D9" w:rsidRDefault="00CC53DA">
                                <w:pPr>
                                  <w:pStyle w:val="ListParagraph"/>
                                  <w:numPr>
                                    <w:ilvl w:val="0"/>
                                    <w:numId w:val="4"/>
                                  </w:numPr>
                                  <w:jc w:val="left"/>
                                  <w:rPr>
                                    <w:rFonts w:ascii="Arial" w:hAnsi="Arial" w:cs="Arial"/>
                                    <w:sz w:val="20"/>
                                    <w:szCs w:val="20"/>
                                  </w:rPr>
                                </w:pPr>
                                <w:r>
                                  <w:rPr>
                                    <w:rFonts w:ascii="Arial" w:hAnsi="Arial" w:cs="Arial"/>
                                    <w:sz w:val="20"/>
                                    <w:szCs w:val="20"/>
                                  </w:rPr>
                                  <w:t>the scope of the investigations covers company leaders and senior managers</w:t>
                                </w:r>
                              </w:p>
                              <w:p w:rsidR="000809D9" w:rsidRDefault="000809D9">
                                <w:pPr>
                                  <w:rPr>
                                    <w:rFonts w:ascii="Arial" w:hAnsi="Arial" w:cs="Arial"/>
                                  </w:rPr>
                                </w:pPr>
                              </w:p>
                              <w:p w:rsidR="000809D9" w:rsidRDefault="00CC53DA">
                                <w:pPr>
                                  <w:rPr>
                                    <w:rFonts w:ascii="Arial" w:hAnsi="Arial" w:cs="Arial"/>
                                    <w:b/>
                                    <w:bCs/>
                                  </w:rPr>
                                </w:pPr>
                                <w:r>
                                  <w:rPr>
                                    <w:rFonts w:ascii="Arial" w:hAnsi="Arial" w:cs="Arial"/>
                                    <w:b/>
                                    <w:bCs/>
                                  </w:rPr>
                                  <w:t>Risk Identification Results</w:t>
                                </w:r>
                              </w:p>
                              <w:p w:rsidR="000809D9" w:rsidRDefault="00CC53DA">
                                <w:pPr>
                                  <w:pStyle w:val="ListParagraph"/>
                                  <w:numPr>
                                    <w:ilvl w:val="0"/>
                                    <w:numId w:val="5"/>
                                  </w:numPr>
                                  <w:jc w:val="left"/>
                                  <w:rPr>
                                    <w:rFonts w:ascii="Arial" w:hAnsi="Arial" w:cs="Arial"/>
                                    <w:sz w:val="20"/>
                                    <w:szCs w:val="20"/>
                                  </w:rPr>
                                </w:pPr>
                                <w:r>
                                  <w:rPr>
                                    <w:rFonts w:ascii="Arial" w:hAnsi="Arial" w:cs="Arial"/>
                                    <w:sz w:val="20"/>
                                    <w:szCs w:val="20"/>
                                  </w:rPr>
                                  <w:t>risk database consisting of 67 risks facing the company in the strategic, financial, market, operational, and legal categories.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Text Box 11"/>
                          <wps:cNvSpPr txBox="1"/>
                          <wps:spPr>
                            <a:xfrm>
                              <a:off x="914400" y="0"/>
                              <a:ext cx="2743200" cy="457200"/>
                            </a:xfrm>
                            <a:prstGeom prst="rect">
                              <a:avLst/>
                            </a:prstGeom>
                            <a:solidFill>
                              <a:sysClr val="window" lastClr="FFFFFF"/>
                            </a:solidFill>
                            <a:ln w="6350">
                              <a:solidFill>
                                <a:prstClr val="black"/>
                              </a:solidFill>
                            </a:ln>
                          </wps:spPr>
                          <wps:txbx>
                            <w:txbxContent>
                              <w:p w:rsidR="000809D9" w:rsidRDefault="00CC53DA">
                                <w:pPr>
                                  <w:jc w:val="center"/>
                                  <w:rPr>
                                    <w:rFonts w:ascii="Arial" w:hAnsi="Arial" w:cs="Arial"/>
                                    <w:b/>
                                    <w:bCs/>
                                  </w:rPr>
                                </w:pPr>
                                <w:r>
                                  <w:rPr>
                                    <w:rFonts w:ascii="Arial" w:hAnsi="Arial" w:cs="Arial"/>
                                    <w:b/>
                                    <w:bCs/>
                                  </w:rPr>
                                  <w:t>The collection of risk information and establishment of risk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Down Arrow 12"/>
                        <wps:cNvSpPr/>
                        <wps:spPr>
                          <a:xfrm>
                            <a:off x="2112433" y="2853267"/>
                            <a:ext cx="365760" cy="365760"/>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3" name="Down Arrow 13"/>
                        <wps:cNvSpPr/>
                        <wps:spPr>
                          <a:xfrm>
                            <a:off x="2112743" y="5510992"/>
                            <a:ext cx="365777" cy="222878"/>
                          </a:xfrm>
                          <a:prstGeom prst="downArrow">
                            <a:avLst/>
                          </a:prstGeom>
                          <a:solidFill>
                            <a:srgbClr val="A5A5A5"/>
                          </a:solidFill>
                          <a:ln w="12700" cap="flat" cmpd="sng" algn="ctr">
                            <a:solidFill>
                              <a:srgbClr val="A5A5A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Group 2" o:spid="_x0000_s1026" style="width:360.65pt;height:544.95pt;mso-position-horizontal-relative:char;mso-position-vertical-relative:line" coordsize="45804,69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994wQAAOwdAAAOAAAAZHJzL2Uyb0RvYy54bWzsWW1v2zYQ/j5g/4Hg98bWuyxEKbxkCQYE&#10;a4B02GeakixhkqiRTOTs1+9ISvKbjDRul3aGW8ChSOrIOz13D+94+XFVleg55aJgdYytiylGaU1Z&#10;UtTLGP/x+fZDiJGQpE5Iyeo0xi+pwB+vfv7psm2i1GY5K5OUIxBSi6htYpxL2USTiaB5WhFxwZq0&#10;hsGM8YpIeOTLScJJC9KrcmJPp/6kZTxpOKOpENB7YwbxlZafZSmVn7JMpBKVMYa9Sf3L9e9C/U6u&#10;Lkm05KTJC9ptgxyxi4oUNSw6iLohkqAnXuyJqgrKmWCZvKCsmrAsK2iqdQBtrOmONnecPTVal2XU&#10;LpvBTGDaHTsdLZb+/vzAUZHE2MaoJhV8Ir0qspVp2mYZwYw73jw2D7zrWJonpe0q45X6C3qglTbq&#10;y2DUdCURhU7XC6euH2BEYcyf2ZY7mxmz0xy+zd57NP/1lTcn/cITtb9hO8PDsO9OM2dbM+cIzUKt&#10;ASjgBZ4fzFyjwFrFALAI8FIqWpbvBlNvVMUPnjPovtZy/OWDWoKjiDUWxNdh4TEnTaohJtSX7izm&#10;9hb7rFT8ha2Q1rht9CSFBSRX0A3aGmOKSEDnQUis9X7NZIPWJGq4kHcpq5BqxJiDL2sXI8/3QgIW&#10;YWo/RS0sWFkkt0VZ6ocXcV1y9EzA7SFaJKzFqCRCQmeMb/U/tXEQsfVaWaMWQOp4U73S1phaa5C5&#10;KAn9a18CyCtrEKsMZQyiWnK1WGnfEdGCJS9gPM5MIBINvS1A7j1s7YFwiDwAIoim8hP8ZCWDzbCu&#10;hVHO+D9j/Wo+gABGMWohksVY/P1EeAoa/1YDPGaW66rQpx9cD9CGEd8cWWyO1E/VNQOrWRC3G6qb&#10;ar4s+2bGWfUnBN25WhWGSE1h7RjLvnktTXyFoE3T+VxPgmDXEHlfPzZUiVafqGbzJ8myQn9KZSZj&#10;m856AHHlxu+AdW8P69p31drgEG/Buuc4rooC+zHQcS0r9GAlFSA8y7ehbeDXR9AeyScBds0nQ2Q4&#10;YcxTyb896tesZohME9wup/k9ag1b+yYMH8HWju3agaM5kUSj0dm2PTcMxwmtO0BtcvYGm228OcT1&#10;tXaKL97Fw+HsYU42A5sFxlxv9vBR59YhtWf/MZXXPHU63t0dD/uofWa0H4jRIOXawXt4JN710WEU&#10;9HbgOnDmNYxmPODkGa1LHE4a89+P0WY9ag2j6Tzp2+Sfm4wUOq4Pp2E4fJHo9fxz/M3vyWUWuNyO&#10;c0NXl1288bw66tjbbLY216D0KbLZkN2e8Fn1/5qfWZCJ7iJ+yC3eiPgzn3XlCJ2hDXnuCaP+Hfjs&#10;HWoU1lCcvWFtjeacsxZB53bc754OVOJsy7JdSPRUecIOPceGmqymwT7pc3wv8LsTXdeG8cNxH4pq&#10;td7Jl1fl+HIxlNDmnvqvtgBLbFXaTBXOsgN9vlQFrawkEL5o1SRQ3KqXkHOXS7huUB93v/Q3soie&#10;lJMkNRVBD4q1mjTVymb6/i5UReaGiNy8ojdo7FUVEq4syqKKcagE9ZJU5Q9SaH3p0FUoVXq7rgOe&#10;3ewHLP9Zw+3ApmsNR/2OYF53LciHtGt5njWdzbRrruspyp2C7grEtu0w0AnZ2bV0ff7sWrpEfqiu&#10;/t8xGFwp6rDXXX+qO8vNZ2hvXtJe/QsAAP//AwBQSwMEFAAGAAgAAAAhAPp7mSndAAAABgEAAA8A&#10;AABkcnMvZG93bnJldi54bWxMj0FLw0AQhe+C/2GZgje7SYvaptmUUtRTEWwF8TZNpklodjZkt0n6&#10;7x296OXB8B7vfZOuR9uonjpfOzYQTyNQxLkrai4NfBxe7hegfEAusHFMBq7kYZ3d3qSYFG7gd+r3&#10;oVRSwj5BA1UIbaK1zyuy6KeuJRbv5DqLQc6u1EWHg5TbRs+i6FFbrFkWKmxpW1F+3l+sgdcBh808&#10;fu5359P2+nV4ePvcxWTM3WTcrEAFGsNfGH7wBR0yYTq6CxdeNQbkkfCr4j3N4jmoo4SixXIJOkv1&#10;f/zsGwAA//8DAFBLAQItABQABgAIAAAAIQC2gziS/gAAAOEBAAATAAAAAAAAAAAAAAAAAAAAAABb&#10;Q29udGVudF9UeXBlc10ueG1sUEsBAi0AFAAGAAgAAAAhADj9If/WAAAAlAEAAAsAAAAAAAAAAAAA&#10;AAAALwEAAF9yZWxzLy5yZWxzUEsBAi0AFAAGAAgAAAAhAMJt/33jBAAA7B0AAA4AAAAAAAAAAAAA&#10;AAAALgIAAGRycy9lMm9Eb2MueG1sUEsBAi0AFAAGAAgAAAAhAPp7mSndAAAABgEAAA8AAAAAAAAA&#10;AAAAAAAAPQcAAGRycy9kb3ducmV2LnhtbFBLBQYAAAAABAAEAPMAAABHCAAAAAA=&#10;">
                <v:group id="Group 3" o:spid="_x0000_s1027" style="position:absolute;left:84;top:57567;width:45720;height:11647" coordorigin=",-5" coordsize="45720,1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4" o:spid="_x0000_s1028" type="#_x0000_t202" style="position:absolute;top:-5;width:45720;height:11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z8FwQAAANoAAAAPAAAAZHJzL2Rvd25yZXYueG1sRI9BawIx&#10;FITvhf6H8ArearZSxK5GkYLgpYhbD/X2SJ670c3Lsonr6q83gtDjMDPfMLNF72rRURusZwUfwwwE&#10;sfbGcqlg97t6n4AIEdlg7ZkUXCnAYv76MsPc+AtvqStiKRKEQ44KqhibXMqgK3IYhr4hTt7Btw5j&#10;km0pTYuXBHe1HGXZWDq0nBYqbOi7In0qzk6B4T/Pem9/bpYLbb9um8lRd0oN3vrlFESkPv6Hn+21&#10;UfAJjyvpBsj5HQAA//8DAFBLAQItABQABgAIAAAAIQDb4fbL7gAAAIUBAAATAAAAAAAAAAAAAAAA&#10;AAAAAABbQ29udGVudF9UeXBlc10ueG1sUEsBAi0AFAAGAAgAAAAhAFr0LFu/AAAAFQEAAAsAAAAA&#10;AAAAAAAAAAAAHwEAAF9yZWxzLy5yZWxzUEsBAi0AFAAGAAgAAAAhAOwzPwXBAAAA2gAAAA8AAAAA&#10;AAAAAAAAAAAABwIAAGRycy9kb3ducmV2LnhtbFBLBQYAAAAAAwADALcAAAD1AgAAAAA=&#10;" fillcolor="window" strokeweight=".5pt">
                    <v:textbox>
                      <w:txbxContent>
                        <w:p w14:paraId="249A8759" w14:textId="77777777" w:rsidR="000809D9" w:rsidRDefault="000809D9">
                          <w:pPr>
                            <w:rPr>
                              <w:rFonts w:ascii="Arial" w:hAnsi="Arial" w:cs="Arial"/>
                            </w:rPr>
                          </w:pPr>
                        </w:p>
                        <w:p w14:paraId="574736E6" w14:textId="77777777" w:rsidR="000809D9" w:rsidRDefault="000809D9">
                          <w:pPr>
                            <w:rPr>
                              <w:rFonts w:ascii="Arial" w:hAnsi="Arial" w:cs="Arial"/>
                            </w:rPr>
                          </w:pPr>
                        </w:p>
                        <w:p w14:paraId="62120007" w14:textId="77777777" w:rsidR="000809D9" w:rsidRDefault="000809D9">
                          <w:pPr>
                            <w:rPr>
                              <w:rFonts w:ascii="Arial" w:hAnsi="Arial" w:cs="Arial"/>
                            </w:rPr>
                          </w:pPr>
                        </w:p>
                        <w:p w14:paraId="6797EAA7" w14:textId="77777777" w:rsidR="000809D9" w:rsidRDefault="000809D9">
                          <w:pPr>
                            <w:rPr>
                              <w:rFonts w:ascii="Arial" w:hAnsi="Arial" w:cs="Arial"/>
                            </w:rPr>
                          </w:pPr>
                        </w:p>
                        <w:p w14:paraId="4A11E7E7" w14:textId="77777777" w:rsidR="000809D9" w:rsidRDefault="000809D9">
                          <w:pPr>
                            <w:rPr>
                              <w:rFonts w:ascii="Arial" w:hAnsi="Arial" w:cs="Arial"/>
                            </w:rPr>
                          </w:pPr>
                        </w:p>
                        <w:p w14:paraId="2BFA5D97" w14:textId="62BC5228" w:rsidR="000809D9" w:rsidRDefault="00CC53DA">
                          <w:pPr>
                            <w:rPr>
                              <w:rFonts w:ascii="Arial" w:hAnsi="Arial" w:cs="Arial"/>
                            </w:rPr>
                          </w:pPr>
                          <w:r>
                            <w:rPr>
                              <w:rFonts w:ascii="Arial" w:hAnsi="Arial" w:cs="Arial"/>
                            </w:rPr>
                            <w:t>risk management strategy + practical solutions + identified responsible department</w:t>
                          </w:r>
                        </w:p>
                      </w:txbxContent>
                    </v:textbox>
                  </v:shape>
                  <v:shape id="Text Box 5" o:spid="_x0000_s1029" type="#_x0000_t202" style="position:absolute;left:5334;width:34118;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tQwwAAANoAAAAPAAAAZHJzL2Rvd25yZXYueG1sRI9Ba8JA&#10;FITvBf/D8oTedKNiq9FVpFCo0oumeH5kn9lg9m2a3cbor3cFocdhZr5hluvOVqKlxpeOFYyGCQji&#10;3OmSCwU/2edgBsIHZI2VY1JwJQ/rVe9lial2F95TewiFiBD2KSowIdSplD43ZNEPXU0cvZNrLIYo&#10;m0LqBi8Rbis5TpI3abHkuGCwpg9D+fnwZxW8B7Ob37rN1o+/2yzbHme/k4lX6rXfbRYgAnXhP/xs&#10;f2kFU3hciTdAru4AAAD//wMAUEsBAi0AFAAGAAgAAAAhANvh9svuAAAAhQEAABMAAAAAAAAAAAAA&#10;AAAAAAAAAFtDb250ZW50X1R5cGVzXS54bWxQSwECLQAUAAYACAAAACEAWvQsW78AAAAVAQAACwAA&#10;AAAAAAAAAAAAAAAfAQAAX3JlbHMvLnJlbHNQSwECLQAUAAYACAAAACEAU8HrUMMAAADaAAAADwAA&#10;AAAAAAAAAAAAAAAHAgAAZHJzL2Rvd25yZXYueG1sUEsFBgAAAAADAAMAtwAAAPcCAAAAAA==&#10;" fillcolor="window" strokeweight=".5pt">
                    <v:textbox>
                      <w:txbxContent>
                        <w:p w14:paraId="698D1B65" w14:textId="77777777" w:rsidR="000809D9" w:rsidRDefault="00CC53DA">
                          <w:pPr>
                            <w:jc w:val="center"/>
                            <w:rPr>
                              <w:rFonts w:ascii="Arial" w:hAnsi="Arial" w:cs="Arial"/>
                              <w:b/>
                              <w:bCs/>
                            </w:rPr>
                          </w:pPr>
                          <w:r>
                            <w:rPr>
                              <w:rFonts w:ascii="Arial" w:hAnsi="Arial" w:cs="Arial"/>
                              <w:b/>
                              <w:bCs/>
                            </w:rPr>
                            <w:t>Risk Response</w:t>
                          </w:r>
                        </w:p>
                      </w:txbxContent>
                    </v:textbox>
                  </v:shape>
                </v:group>
                <v:group id="Group 6" o:spid="_x0000_s1030" style="position:absolute;top:32427;width:45720;height:22549" coordsize="45720,22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7" o:spid="_x0000_s1031" type="#_x0000_t202" style="position:absolute;width:45720;height:2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aFywgAAANoAAAAPAAAAZHJzL2Rvd25yZXYueG1sRI9BawIx&#10;FITvhf6H8ArearYeql2NIgXBSxG3HurtkTx3o5uXZRPX1V9vBKHHYWa+YWaL3tWiozZYzwo+hhkI&#10;Yu2N5VLB7nf1PgERIrLB2jMpuFKAxfz1ZYa58RfeUlfEUiQIhxwVVDE2uZRBV+QwDH1DnLyDbx3G&#10;JNtSmhYvCe5qOcqyT+nQclqosKHvivSpODsFhv886739uVkutP26bSZH3Sk1eOuXUxCR+vgffrbX&#10;RsEYHlfSDZDzOwAAAP//AwBQSwECLQAUAAYACAAAACEA2+H2y+4AAACFAQAAEwAAAAAAAAAAAAAA&#10;AAAAAAAAW0NvbnRlbnRfVHlwZXNdLnhtbFBLAQItABQABgAIAAAAIQBa9CxbvwAAABUBAAALAAAA&#10;AAAAAAAAAAAAAB8BAABfcmVscy8ucmVsc1BLAQItABQABgAIAAAAIQAc4aFywgAAANoAAAAPAAAA&#10;AAAAAAAAAAAAAAcCAABkcnMvZG93bnJldi54bWxQSwUGAAAAAAMAAwC3AAAA9gIAAAAA&#10;" fillcolor="window" strokeweight=".5pt">
                    <v:textbox>
                      <w:txbxContent>
                        <w:p w14:paraId="0FFCEC6D" w14:textId="77777777" w:rsidR="000809D9" w:rsidRDefault="000809D9">
                          <w:pPr>
                            <w:rPr>
                              <w:rFonts w:ascii="Arial" w:hAnsi="Arial" w:cs="Arial"/>
                            </w:rPr>
                          </w:pPr>
                        </w:p>
                        <w:p w14:paraId="7506D9D3" w14:textId="77777777" w:rsidR="000809D9" w:rsidRDefault="000809D9">
                          <w:pPr>
                            <w:rPr>
                              <w:rFonts w:ascii="Arial" w:hAnsi="Arial" w:cs="Arial"/>
                            </w:rPr>
                          </w:pPr>
                        </w:p>
                        <w:p w14:paraId="22DF77C1" w14:textId="77777777" w:rsidR="000809D9" w:rsidRDefault="000809D9">
                          <w:pPr>
                            <w:rPr>
                              <w:rFonts w:ascii="Arial" w:hAnsi="Arial" w:cs="Arial"/>
                            </w:rPr>
                          </w:pPr>
                        </w:p>
                        <w:p w14:paraId="7201E394" w14:textId="77777777" w:rsidR="000809D9" w:rsidRDefault="000809D9">
                          <w:pPr>
                            <w:rPr>
                              <w:rFonts w:ascii="Arial" w:hAnsi="Arial" w:cs="Arial"/>
                            </w:rPr>
                          </w:pPr>
                        </w:p>
                        <w:p w14:paraId="4D849502" w14:textId="77777777" w:rsidR="000809D9" w:rsidRDefault="00CC53DA">
                          <w:pPr>
                            <w:rPr>
                              <w:rFonts w:ascii="Arial" w:hAnsi="Arial" w:cs="Arial"/>
                              <w:b/>
                              <w:bCs/>
                            </w:rPr>
                          </w:pPr>
                          <w:r>
                            <w:rPr>
                              <w:rFonts w:ascii="Arial" w:hAnsi="Arial" w:cs="Arial"/>
                              <w:b/>
                              <w:bCs/>
                            </w:rPr>
                            <w:t>Risk Assessment Methods</w:t>
                          </w:r>
                        </w:p>
                        <w:p w14:paraId="72554B76" w14:textId="77777777" w:rsidR="000809D9" w:rsidRDefault="00CC53DA">
                          <w:pPr>
                            <w:pStyle w:val="ListParagraph"/>
                            <w:numPr>
                              <w:ilvl w:val="0"/>
                              <w:numId w:val="1"/>
                            </w:numPr>
                            <w:jc w:val="left"/>
                            <w:rPr>
                              <w:rFonts w:ascii="Arial" w:hAnsi="Arial" w:cs="Arial"/>
                              <w:sz w:val="20"/>
                              <w:szCs w:val="20"/>
                            </w:rPr>
                          </w:pPr>
                          <w:r>
                            <w:rPr>
                              <w:rFonts w:ascii="Arial" w:hAnsi="Arial" w:cs="Arial"/>
                              <w:sz w:val="20"/>
                              <w:szCs w:val="20"/>
                            </w:rPr>
                            <w:t>according to the company’s risk assessment standard table</w:t>
                          </w:r>
                        </w:p>
                        <w:p w14:paraId="4D3CD09F" w14:textId="77777777" w:rsidR="000809D9" w:rsidRDefault="00CC53DA">
                          <w:pPr>
                            <w:pStyle w:val="ListParagraph"/>
                            <w:numPr>
                              <w:ilvl w:val="0"/>
                              <w:numId w:val="1"/>
                            </w:numPr>
                            <w:jc w:val="left"/>
                            <w:rPr>
                              <w:rFonts w:ascii="Arial" w:hAnsi="Arial" w:cs="Arial"/>
                              <w:sz w:val="20"/>
                              <w:szCs w:val="20"/>
                            </w:rPr>
                          </w:pPr>
                          <w:r>
                            <w:rPr>
                              <w:rFonts w:ascii="Arial" w:hAnsi="Arial" w:cs="Arial"/>
                              <w:sz w:val="20"/>
                              <w:szCs w:val="20"/>
                            </w:rPr>
                            <w:t>qualitative and quantitative analysis of the probability and impact degree of risk occurrence in the risk database</w:t>
                          </w:r>
                        </w:p>
                        <w:p w14:paraId="311C4D30" w14:textId="77777777" w:rsidR="000809D9" w:rsidRDefault="00CC53DA">
                          <w:pPr>
                            <w:pStyle w:val="ListParagraph"/>
                            <w:numPr>
                              <w:ilvl w:val="0"/>
                              <w:numId w:val="1"/>
                            </w:numPr>
                            <w:jc w:val="left"/>
                            <w:rPr>
                              <w:rFonts w:ascii="Arial" w:hAnsi="Arial" w:cs="Arial"/>
                              <w:sz w:val="20"/>
                              <w:szCs w:val="20"/>
                            </w:rPr>
                          </w:pPr>
                          <w:r>
                            <w:rPr>
                              <w:rFonts w:ascii="Arial" w:hAnsi="Arial" w:cs="Arial"/>
                              <w:sz w:val="20"/>
                              <w:szCs w:val="20"/>
                            </w:rPr>
                            <w:t>analysis of the causes of major risks using PEST and SWOT frameworks</w:t>
                          </w:r>
                        </w:p>
                        <w:p w14:paraId="25C9F3B8" w14:textId="77777777" w:rsidR="000809D9" w:rsidRDefault="000809D9">
                          <w:pPr>
                            <w:rPr>
                              <w:rFonts w:ascii="Arial" w:hAnsi="Arial" w:cs="Arial"/>
                            </w:rPr>
                          </w:pPr>
                        </w:p>
                        <w:p w14:paraId="4F97A60C" w14:textId="77777777" w:rsidR="000809D9" w:rsidRDefault="00CC53DA">
                          <w:pPr>
                            <w:rPr>
                              <w:rFonts w:ascii="Arial" w:hAnsi="Arial" w:cs="Arial"/>
                              <w:b/>
                              <w:bCs/>
                            </w:rPr>
                          </w:pPr>
                          <w:r>
                            <w:rPr>
                              <w:rFonts w:ascii="Arial" w:hAnsi="Arial" w:cs="Arial"/>
                              <w:b/>
                              <w:bCs/>
                            </w:rPr>
                            <w:t>Representation of Results</w:t>
                          </w:r>
                        </w:p>
                        <w:p w14:paraId="07C9E9CA" w14:textId="77777777" w:rsidR="000809D9" w:rsidRDefault="00CC53DA">
                          <w:pPr>
                            <w:pStyle w:val="ListParagraph"/>
                            <w:numPr>
                              <w:ilvl w:val="0"/>
                              <w:numId w:val="2"/>
                            </w:numPr>
                            <w:jc w:val="left"/>
                            <w:rPr>
                              <w:rFonts w:ascii="Arial" w:hAnsi="Arial" w:cs="Arial"/>
                              <w:sz w:val="20"/>
                              <w:szCs w:val="20"/>
                            </w:rPr>
                          </w:pPr>
                          <w:r>
                            <w:rPr>
                              <w:rFonts w:ascii="Arial" w:hAnsi="Arial" w:cs="Arial"/>
                              <w:sz w:val="20"/>
                              <w:szCs w:val="20"/>
                            </w:rPr>
                            <w:t>top ten risks</w:t>
                          </w:r>
                        </w:p>
                        <w:p w14:paraId="681A8C2C" w14:textId="77777777" w:rsidR="000809D9" w:rsidRDefault="00CC53DA">
                          <w:pPr>
                            <w:pStyle w:val="ListParagraph"/>
                            <w:numPr>
                              <w:ilvl w:val="0"/>
                              <w:numId w:val="2"/>
                            </w:numPr>
                            <w:jc w:val="left"/>
                            <w:rPr>
                              <w:rFonts w:ascii="Arial" w:hAnsi="Arial" w:cs="Arial"/>
                              <w:sz w:val="20"/>
                              <w:szCs w:val="20"/>
                            </w:rPr>
                          </w:pPr>
                          <w:r>
                            <w:rPr>
                              <w:rFonts w:ascii="Arial" w:hAnsi="Arial" w:cs="Arial"/>
                              <w:sz w:val="20"/>
                              <w:szCs w:val="20"/>
                            </w:rPr>
                            <w:t>risk maps</w:t>
                          </w:r>
                        </w:p>
                        <w:p w14:paraId="5D80711D" w14:textId="77777777" w:rsidR="000809D9" w:rsidRDefault="00CC53DA">
                          <w:pPr>
                            <w:pStyle w:val="ListParagraph"/>
                            <w:numPr>
                              <w:ilvl w:val="0"/>
                              <w:numId w:val="2"/>
                            </w:numPr>
                            <w:jc w:val="left"/>
                            <w:rPr>
                              <w:rFonts w:ascii="Arial" w:hAnsi="Arial" w:cs="Arial"/>
                              <w:sz w:val="20"/>
                              <w:szCs w:val="20"/>
                            </w:rPr>
                          </w:pPr>
                          <w:r>
                            <w:rPr>
                              <w:rFonts w:ascii="Arial" w:hAnsi="Arial" w:cs="Arial"/>
                              <w:sz w:val="20"/>
                              <w:szCs w:val="20"/>
                            </w:rPr>
                            <w:t>top ten risk changes in adjacent years and their explanatory tables</w:t>
                          </w:r>
                        </w:p>
                      </w:txbxContent>
                    </v:textbox>
                  </v:shape>
                  <v:shape id="Text Box 8" o:spid="_x0000_s1032" type="#_x0000_t202" style="position:absolute;left:9144;width:2743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ETOvwAAANoAAAAPAAAAZHJzL2Rvd25yZXYueG1sRE9Ni8Iw&#10;EL0L/ocwgjdNVVC3GkUWBBUvWtnz0IxNsZl0m1i7++vNYWGPj/e93na2Ei01vnSsYDJOQBDnTpdc&#10;KLhl+9EShA/IGivHpOCHPGw3/d4aU+1efKH2GgoRQ9inqMCEUKdS+tyQRT92NXHk7q6xGCJsCqkb&#10;fMVwW8lpksylxZJjg8GaPg3lj+vTKlgEc/r47XZHPz23WXb8Wn7PZl6p4aDbrUAE6sK/+M990Ari&#10;1ngl3gC5eQMAAP//AwBQSwECLQAUAAYACAAAACEA2+H2y+4AAACFAQAAEwAAAAAAAAAAAAAAAAAA&#10;AAAAW0NvbnRlbnRfVHlwZXNdLnhtbFBLAQItABQABgAIAAAAIQBa9CxbvwAAABUBAAALAAAAAAAA&#10;AAAAAAAAAB8BAABfcmVscy8ucmVsc1BLAQItABQABgAIAAAAIQC9wETOvwAAANoAAAAPAAAAAAAA&#10;AAAAAAAAAAcCAABkcnMvZG93bnJldi54bWxQSwUGAAAAAAMAAwC3AAAA8wIAAAAA&#10;" fillcolor="window" strokeweight=".5pt">
                    <v:textbox>
                      <w:txbxContent>
                        <w:p w14:paraId="00CC283A" w14:textId="77777777" w:rsidR="000809D9" w:rsidRDefault="00CC53DA">
                          <w:pPr>
                            <w:jc w:val="center"/>
                            <w:rPr>
                              <w:rFonts w:ascii="Arial" w:hAnsi="Arial" w:cs="Arial"/>
                              <w:b/>
                              <w:bCs/>
                            </w:rPr>
                          </w:pPr>
                          <w:r>
                            <w:rPr>
                              <w:rFonts w:ascii="Arial" w:hAnsi="Arial" w:cs="Arial"/>
                              <w:b/>
                              <w:bCs/>
                            </w:rPr>
                            <w:t>Risk Assessment</w:t>
                          </w:r>
                        </w:p>
                      </w:txbxContent>
                    </v:textbox>
                  </v:shape>
                </v:group>
                <v:group id="Group 9" o:spid="_x0000_s1033" style="position:absolute;width:45720;height:28346" coordsize="45720,2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10" o:spid="_x0000_s1034" type="#_x0000_t202" style="position:absolute;width:45720;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02wwAAANsAAAAPAAAAZHJzL2Rvd25yZXYueG1sRI9Bb8Iw&#10;DIXvk/YfIk/iNlJ2QKwQEEKatMs00e0ANysxbaBxqiYrhV8/HybtZus9v/d5tRlDqwbqk49sYDYt&#10;QBHb6DzXBr6/3p4XoFJGdthGJgM3SrBZPz6ssHTxynsaqlwrCeFUooEm567UOtmGAqZp7IhFO8U+&#10;YJa1r7Xr8SrhodUvRTHXAT1LQ4Md7Rqyl+onGHB8iGyP/uPuubL+9f65ONvBmMnTuF2CyjTmf/Pf&#10;9bsTfKGXX2QAvf4FAAD//wMAUEsBAi0AFAAGAAgAAAAhANvh9svuAAAAhQEAABMAAAAAAAAAAAAA&#10;AAAAAAAAAFtDb250ZW50X1R5cGVzXS54bWxQSwECLQAUAAYACAAAACEAWvQsW78AAAAVAQAACwAA&#10;AAAAAAAAAAAAAAAfAQAAX3JlbHMvLnJlbHNQSwECLQAUAAYACAAAACEAwLqtNsMAAADbAAAADwAA&#10;AAAAAAAAAAAAAAAHAgAAZHJzL2Rvd25yZXYueG1sUEsFBgAAAAADAAMAtwAAAPcCAAAAAA==&#10;" fillcolor="window" strokeweight=".5pt">
                    <v:textbox>
                      <w:txbxContent>
                        <w:p w14:paraId="1262A61B" w14:textId="77777777" w:rsidR="000809D9" w:rsidRDefault="000809D9">
                          <w:pPr>
                            <w:rPr>
                              <w:rFonts w:ascii="Arial" w:hAnsi="Arial" w:cs="Arial"/>
                            </w:rPr>
                          </w:pPr>
                        </w:p>
                        <w:p w14:paraId="6D8B0F9B" w14:textId="77777777" w:rsidR="000809D9" w:rsidRDefault="000809D9">
                          <w:pPr>
                            <w:rPr>
                              <w:rFonts w:ascii="Arial" w:hAnsi="Arial" w:cs="Arial"/>
                            </w:rPr>
                          </w:pPr>
                        </w:p>
                        <w:p w14:paraId="0AE29730" w14:textId="77777777" w:rsidR="000809D9" w:rsidRDefault="000809D9">
                          <w:pPr>
                            <w:rPr>
                              <w:rFonts w:ascii="Arial" w:hAnsi="Arial" w:cs="Arial"/>
                            </w:rPr>
                          </w:pPr>
                        </w:p>
                        <w:p w14:paraId="31CEB2E0" w14:textId="77777777" w:rsidR="000809D9" w:rsidRDefault="000809D9">
                          <w:pPr>
                            <w:rPr>
                              <w:rFonts w:ascii="Arial" w:hAnsi="Arial" w:cs="Arial"/>
                            </w:rPr>
                          </w:pPr>
                        </w:p>
                        <w:p w14:paraId="61B11C2E" w14:textId="77777777" w:rsidR="000809D9" w:rsidRDefault="00CC53DA">
                          <w:pPr>
                            <w:rPr>
                              <w:rFonts w:ascii="Arial" w:hAnsi="Arial" w:cs="Arial"/>
                              <w:b/>
                              <w:bCs/>
                            </w:rPr>
                          </w:pPr>
                          <w:r>
                            <w:rPr>
                              <w:rFonts w:ascii="Arial" w:hAnsi="Arial" w:cs="Arial"/>
                              <w:b/>
                              <w:bCs/>
                            </w:rPr>
                            <w:t>Risk Identification Sequence</w:t>
                          </w:r>
                        </w:p>
                        <w:p w14:paraId="629304A0" w14:textId="77777777" w:rsidR="000809D9" w:rsidRDefault="00CC53DA">
                          <w:pPr>
                            <w:pStyle w:val="ListParagraph"/>
                            <w:numPr>
                              <w:ilvl w:val="0"/>
                              <w:numId w:val="3"/>
                            </w:numPr>
                            <w:jc w:val="left"/>
                            <w:rPr>
                              <w:rFonts w:ascii="Arial" w:hAnsi="Arial" w:cs="Arial"/>
                              <w:sz w:val="20"/>
                              <w:szCs w:val="20"/>
                            </w:rPr>
                          </w:pPr>
                          <w:r>
                            <w:rPr>
                              <w:rFonts w:ascii="Arial" w:hAnsi="Arial" w:cs="Arial"/>
                              <w:sz w:val="20"/>
                              <w:szCs w:val="20"/>
                            </w:rPr>
                            <w:t xml:space="preserve">job risk </w:t>
                          </w:r>
                          <w:r>
                            <w:rPr>
                              <w:rFonts w:ascii="Cambria Math" w:hAnsi="Cambria Math" w:cs="Cambria Math"/>
                              <w:sz w:val="20"/>
                              <w:szCs w:val="20"/>
                            </w:rPr>
                            <w:t>≫</w:t>
                          </w:r>
                          <w:r>
                            <w:rPr>
                              <w:rFonts w:ascii="Arial" w:hAnsi="Arial" w:cs="Arial"/>
                              <w:sz w:val="20"/>
                              <w:szCs w:val="20"/>
                            </w:rPr>
                            <w:t xml:space="preserve"> department risk </w:t>
                          </w:r>
                          <w:r>
                            <w:rPr>
                              <w:rFonts w:ascii="Cambria Math" w:hAnsi="Cambria Math" w:cs="Cambria Math"/>
                              <w:sz w:val="20"/>
                              <w:szCs w:val="20"/>
                            </w:rPr>
                            <w:t>≫</w:t>
                          </w:r>
                          <w:r>
                            <w:rPr>
                              <w:rFonts w:ascii="Arial" w:hAnsi="Arial" w:cs="Arial"/>
                              <w:sz w:val="20"/>
                              <w:szCs w:val="20"/>
                            </w:rPr>
                            <w:t xml:space="preserve"> company risk </w:t>
                          </w:r>
                          <w:r>
                            <w:rPr>
                              <w:rFonts w:ascii="Cambria Math" w:hAnsi="Cambria Math" w:cs="Cambria Math"/>
                              <w:sz w:val="20"/>
                              <w:szCs w:val="20"/>
                            </w:rPr>
                            <w:t>≫</w:t>
                          </w:r>
                          <w:r>
                            <w:rPr>
                              <w:rFonts w:ascii="Arial" w:hAnsi="Arial" w:cs="Arial"/>
                              <w:sz w:val="20"/>
                              <w:szCs w:val="20"/>
                            </w:rPr>
                            <w:t xml:space="preserve"> external risk</w:t>
                          </w:r>
                        </w:p>
                        <w:p w14:paraId="3D2547E4" w14:textId="77777777" w:rsidR="000809D9" w:rsidRDefault="000809D9">
                          <w:pPr>
                            <w:rPr>
                              <w:rFonts w:ascii="Arial" w:hAnsi="Arial" w:cs="Arial"/>
                            </w:rPr>
                          </w:pPr>
                        </w:p>
                        <w:p w14:paraId="5A43C088" w14:textId="77777777" w:rsidR="000809D9" w:rsidRDefault="00CC53DA">
                          <w:pPr>
                            <w:rPr>
                              <w:rFonts w:ascii="Arial" w:hAnsi="Arial" w:cs="Arial"/>
                              <w:b/>
                              <w:bCs/>
                            </w:rPr>
                          </w:pPr>
                          <w:r>
                            <w:rPr>
                              <w:rFonts w:ascii="Arial" w:hAnsi="Arial" w:cs="Arial"/>
                              <w:b/>
                              <w:bCs/>
                            </w:rPr>
                            <w:t>Risk Identification Scope</w:t>
                          </w:r>
                        </w:p>
                        <w:p w14:paraId="743DFEEA" w14:textId="77777777" w:rsidR="000809D9" w:rsidRDefault="00CC53DA">
                          <w:pPr>
                            <w:pStyle w:val="ListParagraph"/>
                            <w:numPr>
                              <w:ilvl w:val="0"/>
                              <w:numId w:val="3"/>
                            </w:numPr>
                            <w:jc w:val="left"/>
                            <w:rPr>
                              <w:rFonts w:ascii="Arial" w:hAnsi="Arial" w:cs="Arial"/>
                              <w:sz w:val="20"/>
                              <w:szCs w:val="20"/>
                            </w:rPr>
                          </w:pPr>
                          <w:r>
                            <w:rPr>
                              <w:rFonts w:ascii="Arial" w:hAnsi="Arial" w:cs="Arial"/>
                              <w:sz w:val="20"/>
                              <w:szCs w:val="20"/>
                            </w:rPr>
                            <w:t>within the company, horizontally covering all departments and key business matters</w:t>
                          </w:r>
                        </w:p>
                        <w:p w14:paraId="09694B3A" w14:textId="77777777" w:rsidR="000809D9" w:rsidRDefault="00CC53DA">
                          <w:pPr>
                            <w:pStyle w:val="ListParagraph"/>
                            <w:numPr>
                              <w:ilvl w:val="0"/>
                              <w:numId w:val="3"/>
                            </w:numPr>
                            <w:jc w:val="left"/>
                            <w:rPr>
                              <w:rFonts w:ascii="Arial" w:hAnsi="Arial" w:cs="Arial"/>
                              <w:sz w:val="20"/>
                              <w:szCs w:val="20"/>
                            </w:rPr>
                          </w:pPr>
                          <w:r>
                            <w:rPr>
                              <w:rFonts w:ascii="Arial" w:hAnsi="Arial" w:cs="Arial"/>
                              <w:sz w:val="20"/>
                              <w:szCs w:val="20"/>
                            </w:rPr>
                            <w:t>outside the company, referring to the industry level, domestic and international economic and political situation</w:t>
                          </w:r>
                        </w:p>
                        <w:p w14:paraId="2777990F" w14:textId="77777777" w:rsidR="000809D9" w:rsidRDefault="000809D9">
                          <w:pPr>
                            <w:rPr>
                              <w:rFonts w:ascii="Arial" w:hAnsi="Arial" w:cs="Arial"/>
                            </w:rPr>
                          </w:pPr>
                        </w:p>
                        <w:p w14:paraId="323795A3" w14:textId="77777777" w:rsidR="000809D9" w:rsidRDefault="00CC53DA">
                          <w:pPr>
                            <w:rPr>
                              <w:rFonts w:ascii="Arial" w:hAnsi="Arial" w:cs="Arial"/>
                              <w:b/>
                              <w:bCs/>
                            </w:rPr>
                          </w:pPr>
                          <w:r>
                            <w:rPr>
                              <w:rFonts w:ascii="Arial" w:hAnsi="Arial" w:cs="Arial"/>
                              <w:b/>
                              <w:bCs/>
                            </w:rPr>
                            <w:t>Collection Methods</w:t>
                          </w:r>
                        </w:p>
                        <w:p w14:paraId="1974691B" w14:textId="77777777" w:rsidR="000809D9" w:rsidRDefault="00CC53DA">
                          <w:pPr>
                            <w:pStyle w:val="ListParagraph"/>
                            <w:numPr>
                              <w:ilvl w:val="0"/>
                              <w:numId w:val="4"/>
                            </w:numPr>
                            <w:jc w:val="left"/>
                            <w:rPr>
                              <w:rFonts w:ascii="Arial" w:hAnsi="Arial" w:cs="Arial"/>
                              <w:sz w:val="20"/>
                              <w:szCs w:val="20"/>
                            </w:rPr>
                          </w:pPr>
                          <w:r>
                            <w:rPr>
                              <w:rFonts w:ascii="Arial" w:hAnsi="Arial" w:cs="Arial"/>
                              <w:sz w:val="20"/>
                              <w:szCs w:val="20"/>
                            </w:rPr>
                            <w:t>mainly based on questionnaires, supplemented by functional departments to discuss and solicit opinions from company leaders</w:t>
                          </w:r>
                        </w:p>
                        <w:p w14:paraId="21F0F0F3" w14:textId="77777777" w:rsidR="000809D9" w:rsidRDefault="00CC53DA">
                          <w:pPr>
                            <w:pStyle w:val="ListParagraph"/>
                            <w:numPr>
                              <w:ilvl w:val="0"/>
                              <w:numId w:val="4"/>
                            </w:numPr>
                            <w:jc w:val="left"/>
                            <w:rPr>
                              <w:rFonts w:ascii="Arial" w:hAnsi="Arial" w:cs="Arial"/>
                              <w:sz w:val="20"/>
                              <w:szCs w:val="20"/>
                            </w:rPr>
                          </w:pPr>
                          <w:r>
                            <w:rPr>
                              <w:rFonts w:ascii="Arial" w:hAnsi="Arial" w:cs="Arial"/>
                              <w:sz w:val="20"/>
                              <w:szCs w:val="20"/>
                            </w:rPr>
                            <w:t>the scope of the investigations covers company leaders and senior managers</w:t>
                          </w:r>
                        </w:p>
                        <w:p w14:paraId="33586056" w14:textId="77777777" w:rsidR="000809D9" w:rsidRDefault="000809D9">
                          <w:pPr>
                            <w:rPr>
                              <w:rFonts w:ascii="Arial" w:hAnsi="Arial" w:cs="Arial"/>
                            </w:rPr>
                          </w:pPr>
                        </w:p>
                        <w:p w14:paraId="607496B6" w14:textId="77777777" w:rsidR="000809D9" w:rsidRDefault="00CC53DA">
                          <w:pPr>
                            <w:rPr>
                              <w:rFonts w:ascii="Arial" w:hAnsi="Arial" w:cs="Arial"/>
                              <w:b/>
                              <w:bCs/>
                            </w:rPr>
                          </w:pPr>
                          <w:r>
                            <w:rPr>
                              <w:rFonts w:ascii="Arial" w:hAnsi="Arial" w:cs="Arial"/>
                              <w:b/>
                              <w:bCs/>
                            </w:rPr>
                            <w:t>Risk Identification Results</w:t>
                          </w:r>
                        </w:p>
                        <w:p w14:paraId="73C6AB4A" w14:textId="77777777" w:rsidR="000809D9" w:rsidRDefault="00CC53DA">
                          <w:pPr>
                            <w:pStyle w:val="ListParagraph"/>
                            <w:numPr>
                              <w:ilvl w:val="0"/>
                              <w:numId w:val="5"/>
                            </w:numPr>
                            <w:jc w:val="left"/>
                            <w:rPr>
                              <w:rFonts w:ascii="Arial" w:hAnsi="Arial" w:cs="Arial"/>
                              <w:sz w:val="20"/>
                              <w:szCs w:val="20"/>
                            </w:rPr>
                          </w:pPr>
                          <w:r>
                            <w:rPr>
                              <w:rFonts w:ascii="Arial" w:hAnsi="Arial" w:cs="Arial"/>
                              <w:sz w:val="20"/>
                              <w:szCs w:val="20"/>
                            </w:rPr>
                            <w:t>risk database consisting of 67 risks facing the company in the strategic, financial, market, operational, and legal categories.</w:t>
                          </w:r>
                        </w:p>
                      </w:txbxContent>
                    </v:textbox>
                  </v:shape>
                  <v:shape id="Text Box 11" o:spid="_x0000_s1035" type="#_x0000_t202" style="position:absolute;left:9144;width:2743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UrwgAAANsAAAAPAAAAZHJzL2Rvd25yZXYueG1sRE9Na8JA&#10;EL0L/Q/LFHrTTRSqRjciBaEWL5rS85Ads8HsbJpdY9pf7xYK3ubxPme9GWwjeup87VhBOklAEJdO&#10;11wp+Cx24wUIH5A1No5JwQ952ORPozVm2t34SP0pVCKGsM9QgQmhzaT0pSGLfuJa4sidXWcxRNhV&#10;Und4i+G2kdMkeZUWa44NBlt6M1ReTlerYB7Mx/J32O799NAXxf5r8T2beaVenoftCkSgITzE/+53&#10;Heen8PdLPEDmdwAAAP//AwBQSwECLQAUAAYACAAAACEA2+H2y+4AAACFAQAAEwAAAAAAAAAAAAAA&#10;AAAAAAAAW0NvbnRlbnRfVHlwZXNdLnhtbFBLAQItABQABgAIAAAAIQBa9CxbvwAAABUBAAALAAAA&#10;AAAAAAAAAAAAAB8BAABfcmVscy8ucmVsc1BLAQItABQABgAIAAAAIQDFVRUrwgAAANsAAAAPAAAA&#10;AAAAAAAAAAAAAAcCAABkcnMvZG93bnJldi54bWxQSwUGAAAAAAMAAwC3AAAA9gIAAAAA&#10;" fillcolor="window" strokeweight=".5pt">
                    <v:textbox>
                      <w:txbxContent>
                        <w:p w14:paraId="3C747D7A" w14:textId="77777777" w:rsidR="000809D9" w:rsidRDefault="00CC53DA">
                          <w:pPr>
                            <w:jc w:val="center"/>
                            <w:rPr>
                              <w:rFonts w:ascii="Arial" w:hAnsi="Arial" w:cs="Arial"/>
                              <w:b/>
                              <w:bCs/>
                            </w:rPr>
                          </w:pPr>
                          <w:r>
                            <w:rPr>
                              <w:rFonts w:ascii="Arial" w:hAnsi="Arial" w:cs="Arial"/>
                              <w:b/>
                              <w:bCs/>
                            </w:rPr>
                            <w:t>The collection of risk information and establishment of risk database</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36" type="#_x0000_t67" style="position:absolute;left:21124;top:28532;width:365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bIhwQAAANsAAAAPAAAAZHJzL2Rvd25yZXYueG1sRE9Ni8Iw&#10;EL0v+B/CCF5E03pY3GoUK4juUV3E49iMbbGZlCbV7v56Iwh7m8f7nPmyM5W4U+NKywricQSCOLO6&#10;5FzBz3EzmoJwHlljZZkU/JKD5aL3McdE2wfv6X7wuQgh7BJUUHhfJ1K6rCCDbmxr4sBdbWPQB9jk&#10;Ujf4COGmkpMo+pQGSw4NBda0Lii7HVqjIPr6O5/zNI3TdvN9Si8xbbftUKlBv1vNQHjq/L/47d7p&#10;MH8Cr1/CAXLxBAAA//8DAFBLAQItABQABgAIAAAAIQDb4fbL7gAAAIUBAAATAAAAAAAAAAAAAAAA&#10;AAAAAABbQ29udGVudF9UeXBlc10ueG1sUEsBAi0AFAAGAAgAAAAhAFr0LFu/AAAAFQEAAAsAAAAA&#10;AAAAAAAAAAAAHwEAAF9yZWxzLy5yZWxzUEsBAi0AFAAGAAgAAAAhAFHRsiHBAAAA2wAAAA8AAAAA&#10;AAAAAAAAAAAABwIAAGRycy9kb3ducmV2LnhtbFBLBQYAAAAAAwADALcAAAD1AgAAAAA=&#10;" adj="10800" fillcolor="#a5a5a5" strokecolor="#787878" strokeweight="1pt"/>
                <v:shape id="Down Arrow 13" o:spid="_x0000_s1037" type="#_x0000_t67" style="position:absolute;left:21127;top:55109;width:3658;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e6wwAAANsAAAAPAAAAZHJzL2Rvd25yZXYueG1sRE9Na8JA&#10;EL0X+h+WKfRSdJMKUqOb0BREe6wtJccxOybB7GzIbjT667sFwds83uesstG04kS9aywriKcRCOLS&#10;6oYrBT/f68kbCOeRNbaWScGFHGTp48MKE23P/EWnna9ECGGXoILa+y6R0pU1GXRT2xEH7mB7gz7A&#10;vpK6x3MIN618jaK5NNhwaKixo4+ayuNuMAqixbUoqjyP82H9+ZvvY9pshhelnp/G9yUIT6O/i2/u&#10;rQ7zZ/D/SzhApn8AAAD//wMAUEsBAi0AFAAGAAgAAAAhANvh9svuAAAAhQEAABMAAAAAAAAAAAAA&#10;AAAAAAAAAFtDb250ZW50X1R5cGVzXS54bWxQSwECLQAUAAYACAAAACEAWvQsW78AAAAVAQAACwAA&#10;AAAAAAAAAAAAAAAfAQAAX3JlbHMvLnJlbHNQSwECLQAUAAYACAAAACEAPp0XusMAAADbAAAADwAA&#10;AAAAAAAAAAAAAAAHAgAAZHJzL2Rvd25yZXYueG1sUEsFBgAAAAADAAMAtwAAAPcCAAAAAA==&#10;" adj="10800" fillcolor="#a5a5a5" strokecolor="#787878" strokeweight="1pt"/>
                <w10:anchorlock/>
              </v:group>
            </w:pict>
          </mc:Fallback>
        </mc:AlternateContent>
      </w:r>
    </w:p>
    <w:p w:rsidR="000809D9" w:rsidRDefault="000809D9">
      <w:pPr>
        <w:pStyle w:val="ExhibitText"/>
        <w:rPr>
          <w:lang w:val="en-CA"/>
        </w:rPr>
      </w:pPr>
    </w:p>
    <w:p w:rsidR="000809D9" w:rsidRDefault="00CC53DA">
      <w:pPr>
        <w:pStyle w:val="Footnote"/>
        <w:rPr>
          <w:lang w:val="en-CA"/>
        </w:rPr>
      </w:pPr>
      <w:r>
        <w:rPr>
          <w:lang w:val="en-CA"/>
        </w:rPr>
        <w:t>Source: Created by the case authors.</w:t>
      </w:r>
    </w:p>
    <w:p w:rsidR="000809D9" w:rsidRDefault="00CC53DA">
      <w:pPr>
        <w:spacing w:after="160" w:line="259" w:lineRule="auto"/>
        <w:rPr>
          <w:rFonts w:ascii="Arial" w:hAnsi="Arial" w:cs="Arial"/>
          <w:sz w:val="17"/>
          <w:szCs w:val="17"/>
          <w:lang w:val="en-CA"/>
        </w:rPr>
      </w:pPr>
      <w:r>
        <w:rPr>
          <w:lang w:val="en-CA"/>
        </w:rPr>
        <w:br w:type="page"/>
      </w:r>
    </w:p>
    <w:p w:rsidR="000809D9" w:rsidRDefault="00CC53DA">
      <w:pPr>
        <w:pStyle w:val="ExhibitHeading"/>
        <w:rPr>
          <w:lang w:val="en-CA" w:eastAsia="zh-CN"/>
        </w:rPr>
      </w:pPr>
      <w:r>
        <w:rPr>
          <w:lang w:val="en-CA"/>
        </w:rPr>
        <w:lastRenderedPageBreak/>
        <w:t xml:space="preserve">EXHIBIT </w:t>
      </w:r>
      <w:r>
        <w:rPr>
          <w:lang w:val="en-CA" w:eastAsia="zh-CN"/>
        </w:rPr>
        <w:t>5</w:t>
      </w:r>
      <w:r>
        <w:rPr>
          <w:lang w:val="en-CA"/>
        </w:rPr>
        <w:t>:</w:t>
      </w:r>
      <w:r>
        <w:rPr>
          <w:lang w:val="en-CA" w:eastAsia="zh-CN"/>
        </w:rPr>
        <w:t xml:space="preserve"> Enterprise Risk Management Integrated Framework</w:t>
      </w:r>
    </w:p>
    <w:p w:rsidR="000809D9" w:rsidRDefault="000809D9">
      <w:pPr>
        <w:pStyle w:val="ExhibitText"/>
        <w:rPr>
          <w:lang w:val="en-CA"/>
        </w:rPr>
      </w:pPr>
    </w:p>
    <w:tbl>
      <w:tblPr>
        <w:tblStyle w:val="TableGrid"/>
        <w:tblW w:w="9275" w:type="dxa"/>
        <w:tblInd w:w="85" w:type="dxa"/>
        <w:tblLayout w:type="fixed"/>
        <w:tblCellMar>
          <w:top w:w="58" w:type="dxa"/>
          <w:left w:w="115" w:type="dxa"/>
          <w:bottom w:w="58" w:type="dxa"/>
          <w:right w:w="115" w:type="dxa"/>
        </w:tblCellMar>
        <w:tblLook w:val="04A0" w:firstRow="1" w:lastRow="0" w:firstColumn="1" w:lastColumn="0" w:noHBand="0" w:noVBand="1"/>
      </w:tblPr>
      <w:tblGrid>
        <w:gridCol w:w="1787"/>
        <w:gridCol w:w="1872"/>
        <w:gridCol w:w="1872"/>
        <w:gridCol w:w="1872"/>
        <w:gridCol w:w="1872"/>
      </w:tblGrid>
      <w:tr w:rsidR="000809D9" w:rsidTr="008567AA">
        <w:trPr>
          <w:trHeight w:val="288"/>
        </w:trPr>
        <w:tc>
          <w:tcPr>
            <w:tcW w:w="1787" w:type="dxa"/>
            <w:vAlign w:val="center"/>
          </w:tcPr>
          <w:p w:rsidR="000809D9" w:rsidRDefault="00CC53DA">
            <w:pPr>
              <w:pStyle w:val="ExhibitText"/>
              <w:jc w:val="left"/>
              <w:rPr>
                <w:b/>
                <w:bCs/>
                <w:sz w:val="18"/>
                <w:szCs w:val="18"/>
                <w:lang w:val="en-CA"/>
              </w:rPr>
            </w:pPr>
            <w:r>
              <w:rPr>
                <w:b/>
                <w:bCs/>
                <w:sz w:val="18"/>
                <w:szCs w:val="18"/>
                <w:lang w:val="en-CA"/>
              </w:rPr>
              <w:t>Governance &amp; Culture</w:t>
            </w:r>
          </w:p>
        </w:tc>
        <w:tc>
          <w:tcPr>
            <w:tcW w:w="1872" w:type="dxa"/>
            <w:vAlign w:val="center"/>
          </w:tcPr>
          <w:p w:rsidR="000809D9" w:rsidRDefault="00CC53DA">
            <w:pPr>
              <w:pStyle w:val="ExhibitText"/>
              <w:jc w:val="left"/>
              <w:rPr>
                <w:b/>
                <w:bCs/>
                <w:sz w:val="18"/>
                <w:szCs w:val="18"/>
                <w:lang w:val="en-CA"/>
              </w:rPr>
            </w:pPr>
            <w:r>
              <w:rPr>
                <w:b/>
                <w:bCs/>
                <w:sz w:val="18"/>
                <w:szCs w:val="18"/>
                <w:lang w:val="en-CA"/>
              </w:rPr>
              <w:t>Strategy &amp; Objective Setting</w:t>
            </w:r>
          </w:p>
        </w:tc>
        <w:tc>
          <w:tcPr>
            <w:tcW w:w="1872" w:type="dxa"/>
            <w:vAlign w:val="center"/>
          </w:tcPr>
          <w:p w:rsidR="000809D9" w:rsidRDefault="00CC53DA">
            <w:pPr>
              <w:pStyle w:val="ExhibitText"/>
              <w:jc w:val="left"/>
              <w:rPr>
                <w:b/>
                <w:bCs/>
                <w:sz w:val="18"/>
                <w:szCs w:val="18"/>
                <w:lang w:val="en-CA"/>
              </w:rPr>
            </w:pPr>
            <w:r>
              <w:rPr>
                <w:b/>
                <w:bCs/>
                <w:sz w:val="18"/>
                <w:szCs w:val="18"/>
                <w:lang w:val="en-CA"/>
              </w:rPr>
              <w:t>Performance</w:t>
            </w:r>
          </w:p>
        </w:tc>
        <w:tc>
          <w:tcPr>
            <w:tcW w:w="1872" w:type="dxa"/>
            <w:vAlign w:val="center"/>
          </w:tcPr>
          <w:p w:rsidR="000809D9" w:rsidRDefault="00CC53DA">
            <w:pPr>
              <w:pStyle w:val="ExhibitText"/>
              <w:jc w:val="left"/>
              <w:rPr>
                <w:b/>
                <w:bCs/>
                <w:sz w:val="18"/>
                <w:szCs w:val="18"/>
                <w:lang w:val="en-CA"/>
              </w:rPr>
            </w:pPr>
            <w:r>
              <w:rPr>
                <w:b/>
                <w:bCs/>
                <w:sz w:val="18"/>
                <w:szCs w:val="18"/>
                <w:lang w:val="en-CA"/>
              </w:rPr>
              <w:t>Review &amp; Revision</w:t>
            </w:r>
          </w:p>
        </w:tc>
        <w:tc>
          <w:tcPr>
            <w:tcW w:w="1872" w:type="dxa"/>
            <w:vAlign w:val="center"/>
          </w:tcPr>
          <w:p w:rsidR="000809D9" w:rsidRDefault="00CC53DA">
            <w:pPr>
              <w:pStyle w:val="ExhibitText"/>
              <w:jc w:val="left"/>
              <w:rPr>
                <w:b/>
                <w:bCs/>
                <w:sz w:val="18"/>
                <w:szCs w:val="18"/>
                <w:lang w:val="en-CA"/>
              </w:rPr>
            </w:pPr>
            <w:r>
              <w:rPr>
                <w:b/>
                <w:bCs/>
                <w:sz w:val="18"/>
                <w:szCs w:val="18"/>
                <w:lang w:val="en-CA"/>
              </w:rPr>
              <w:t>Information, Communication &amp; Reporting</w:t>
            </w:r>
          </w:p>
        </w:tc>
      </w:tr>
      <w:tr w:rsidR="000809D9" w:rsidTr="008567AA">
        <w:trPr>
          <w:trHeight w:val="288"/>
        </w:trPr>
        <w:tc>
          <w:tcPr>
            <w:tcW w:w="1787" w:type="dxa"/>
            <w:vAlign w:val="center"/>
          </w:tcPr>
          <w:p w:rsidR="000809D9" w:rsidRDefault="00CC53DA">
            <w:pPr>
              <w:pStyle w:val="ExhibitText"/>
              <w:jc w:val="left"/>
              <w:rPr>
                <w:sz w:val="18"/>
                <w:szCs w:val="18"/>
                <w:lang w:val="en-CA"/>
              </w:rPr>
            </w:pPr>
            <w:r>
              <w:rPr>
                <w:sz w:val="18"/>
                <w:szCs w:val="18"/>
                <w:lang w:val="en-CA"/>
              </w:rPr>
              <w:t>1. Exercises board risk oversight</w:t>
            </w:r>
          </w:p>
        </w:tc>
        <w:tc>
          <w:tcPr>
            <w:tcW w:w="1872" w:type="dxa"/>
            <w:vAlign w:val="center"/>
          </w:tcPr>
          <w:p w:rsidR="000809D9" w:rsidRDefault="00CC53DA">
            <w:pPr>
              <w:pStyle w:val="ExhibitText"/>
              <w:jc w:val="left"/>
              <w:rPr>
                <w:sz w:val="18"/>
                <w:szCs w:val="18"/>
                <w:lang w:val="en-CA"/>
              </w:rPr>
            </w:pPr>
            <w:r>
              <w:rPr>
                <w:sz w:val="18"/>
                <w:szCs w:val="18"/>
                <w:lang w:val="en-CA"/>
              </w:rPr>
              <w:t>6. Analyze business context</w:t>
            </w:r>
          </w:p>
        </w:tc>
        <w:tc>
          <w:tcPr>
            <w:tcW w:w="1872" w:type="dxa"/>
            <w:vAlign w:val="center"/>
          </w:tcPr>
          <w:p w:rsidR="000809D9" w:rsidRDefault="00CC53DA">
            <w:pPr>
              <w:pStyle w:val="ExhibitText"/>
              <w:jc w:val="left"/>
              <w:rPr>
                <w:sz w:val="18"/>
                <w:szCs w:val="18"/>
                <w:lang w:val="en-CA"/>
              </w:rPr>
            </w:pPr>
            <w:r>
              <w:rPr>
                <w:sz w:val="18"/>
                <w:szCs w:val="18"/>
                <w:lang w:val="en-CA"/>
              </w:rPr>
              <w:t>10. Identifies risk</w:t>
            </w:r>
          </w:p>
        </w:tc>
        <w:tc>
          <w:tcPr>
            <w:tcW w:w="1872" w:type="dxa"/>
            <w:vAlign w:val="center"/>
          </w:tcPr>
          <w:p w:rsidR="000809D9" w:rsidRDefault="00CC53DA">
            <w:pPr>
              <w:pStyle w:val="ExhibitText"/>
              <w:jc w:val="left"/>
              <w:rPr>
                <w:sz w:val="18"/>
                <w:szCs w:val="18"/>
                <w:lang w:val="en-CA"/>
              </w:rPr>
            </w:pPr>
            <w:r>
              <w:rPr>
                <w:sz w:val="18"/>
                <w:szCs w:val="18"/>
                <w:lang w:val="en-CA"/>
              </w:rPr>
              <w:t>15. Assesses substantial change</w:t>
            </w:r>
          </w:p>
        </w:tc>
        <w:tc>
          <w:tcPr>
            <w:tcW w:w="1872" w:type="dxa"/>
            <w:vAlign w:val="center"/>
          </w:tcPr>
          <w:p w:rsidR="000809D9" w:rsidRDefault="00CC53DA">
            <w:pPr>
              <w:pStyle w:val="ExhibitText"/>
              <w:jc w:val="left"/>
              <w:rPr>
                <w:sz w:val="18"/>
                <w:szCs w:val="18"/>
                <w:lang w:val="en-CA"/>
              </w:rPr>
            </w:pPr>
            <w:r>
              <w:rPr>
                <w:sz w:val="18"/>
                <w:szCs w:val="18"/>
                <w:lang w:val="en-CA"/>
              </w:rPr>
              <w:t>18. Leverage information and technology</w:t>
            </w:r>
          </w:p>
        </w:tc>
      </w:tr>
      <w:tr w:rsidR="000809D9" w:rsidTr="008567AA">
        <w:trPr>
          <w:trHeight w:val="288"/>
        </w:trPr>
        <w:tc>
          <w:tcPr>
            <w:tcW w:w="1787" w:type="dxa"/>
            <w:vAlign w:val="center"/>
          </w:tcPr>
          <w:p w:rsidR="000809D9" w:rsidRDefault="00CC53DA">
            <w:pPr>
              <w:pStyle w:val="ExhibitText"/>
              <w:jc w:val="left"/>
              <w:rPr>
                <w:sz w:val="18"/>
                <w:szCs w:val="18"/>
                <w:lang w:val="en-CA"/>
              </w:rPr>
            </w:pPr>
            <w:r>
              <w:rPr>
                <w:sz w:val="18"/>
                <w:szCs w:val="18"/>
                <w:lang w:val="en-CA"/>
              </w:rPr>
              <w:t>2. Establishes operating structures</w:t>
            </w:r>
          </w:p>
        </w:tc>
        <w:tc>
          <w:tcPr>
            <w:tcW w:w="1872" w:type="dxa"/>
            <w:vAlign w:val="center"/>
          </w:tcPr>
          <w:p w:rsidR="000809D9" w:rsidRDefault="00CC53DA">
            <w:pPr>
              <w:pStyle w:val="ExhibitText"/>
              <w:jc w:val="left"/>
              <w:rPr>
                <w:sz w:val="18"/>
                <w:szCs w:val="18"/>
                <w:lang w:val="en-CA"/>
              </w:rPr>
            </w:pPr>
            <w:r>
              <w:rPr>
                <w:sz w:val="18"/>
                <w:szCs w:val="18"/>
                <w:lang w:val="en-CA"/>
              </w:rPr>
              <w:t>7. Define risk appetite</w:t>
            </w:r>
          </w:p>
        </w:tc>
        <w:tc>
          <w:tcPr>
            <w:tcW w:w="1872" w:type="dxa"/>
            <w:vAlign w:val="center"/>
          </w:tcPr>
          <w:p w:rsidR="000809D9" w:rsidRDefault="00CC53DA">
            <w:pPr>
              <w:pStyle w:val="ExhibitText"/>
              <w:jc w:val="left"/>
              <w:rPr>
                <w:sz w:val="18"/>
                <w:szCs w:val="18"/>
                <w:lang w:val="en-CA"/>
              </w:rPr>
            </w:pPr>
            <w:r>
              <w:rPr>
                <w:sz w:val="18"/>
                <w:szCs w:val="18"/>
                <w:lang w:val="en-CA"/>
              </w:rPr>
              <w:t>11. Assesses severity of risk</w:t>
            </w:r>
          </w:p>
        </w:tc>
        <w:tc>
          <w:tcPr>
            <w:tcW w:w="1872" w:type="dxa"/>
            <w:vAlign w:val="center"/>
          </w:tcPr>
          <w:p w:rsidR="000809D9" w:rsidRDefault="00CC53DA">
            <w:pPr>
              <w:pStyle w:val="ExhibitText"/>
              <w:jc w:val="left"/>
              <w:rPr>
                <w:sz w:val="18"/>
                <w:szCs w:val="18"/>
                <w:lang w:val="en-CA"/>
              </w:rPr>
            </w:pPr>
            <w:r>
              <w:rPr>
                <w:sz w:val="18"/>
                <w:szCs w:val="18"/>
                <w:lang w:val="en-CA"/>
              </w:rPr>
              <w:t>16. Reviews risk and performance</w:t>
            </w:r>
          </w:p>
        </w:tc>
        <w:tc>
          <w:tcPr>
            <w:tcW w:w="1872" w:type="dxa"/>
            <w:vAlign w:val="center"/>
          </w:tcPr>
          <w:p w:rsidR="000809D9" w:rsidRDefault="00CC53DA">
            <w:pPr>
              <w:pStyle w:val="ExhibitText"/>
              <w:jc w:val="left"/>
              <w:rPr>
                <w:sz w:val="18"/>
                <w:szCs w:val="18"/>
                <w:lang w:val="en-CA"/>
              </w:rPr>
            </w:pPr>
            <w:r>
              <w:rPr>
                <w:sz w:val="18"/>
                <w:szCs w:val="18"/>
                <w:lang w:val="en-CA"/>
              </w:rPr>
              <w:t>19.Communicates risk information</w:t>
            </w:r>
          </w:p>
        </w:tc>
      </w:tr>
      <w:tr w:rsidR="000809D9" w:rsidTr="008567AA">
        <w:trPr>
          <w:trHeight w:val="288"/>
        </w:trPr>
        <w:tc>
          <w:tcPr>
            <w:tcW w:w="1787" w:type="dxa"/>
            <w:vAlign w:val="center"/>
          </w:tcPr>
          <w:p w:rsidR="000809D9" w:rsidRDefault="00CC53DA">
            <w:pPr>
              <w:pStyle w:val="ExhibitText"/>
              <w:jc w:val="left"/>
              <w:rPr>
                <w:sz w:val="18"/>
                <w:szCs w:val="18"/>
                <w:lang w:val="en-CA"/>
              </w:rPr>
            </w:pPr>
            <w:r>
              <w:rPr>
                <w:sz w:val="18"/>
                <w:szCs w:val="18"/>
                <w:lang w:val="en-CA"/>
              </w:rPr>
              <w:t>3. Define desired culture</w:t>
            </w:r>
          </w:p>
        </w:tc>
        <w:tc>
          <w:tcPr>
            <w:tcW w:w="1872" w:type="dxa"/>
            <w:vAlign w:val="center"/>
          </w:tcPr>
          <w:p w:rsidR="000809D9" w:rsidRDefault="00CC53DA">
            <w:pPr>
              <w:pStyle w:val="ExhibitText"/>
              <w:jc w:val="left"/>
              <w:rPr>
                <w:sz w:val="18"/>
                <w:szCs w:val="18"/>
                <w:lang w:val="en-CA"/>
              </w:rPr>
            </w:pPr>
            <w:r>
              <w:rPr>
                <w:sz w:val="18"/>
                <w:szCs w:val="18"/>
                <w:lang w:val="en-CA"/>
              </w:rPr>
              <w:t>8. Evaluate alternative strategies</w:t>
            </w:r>
          </w:p>
        </w:tc>
        <w:tc>
          <w:tcPr>
            <w:tcW w:w="1872" w:type="dxa"/>
            <w:vAlign w:val="center"/>
          </w:tcPr>
          <w:p w:rsidR="000809D9" w:rsidRDefault="00CC53DA">
            <w:pPr>
              <w:pStyle w:val="ExhibitText"/>
              <w:jc w:val="left"/>
              <w:rPr>
                <w:sz w:val="18"/>
                <w:szCs w:val="18"/>
                <w:lang w:val="en-CA"/>
              </w:rPr>
            </w:pPr>
            <w:r>
              <w:rPr>
                <w:sz w:val="18"/>
                <w:szCs w:val="18"/>
                <w:lang w:val="en-CA"/>
              </w:rPr>
              <w:t>12. Prioritizes risks</w:t>
            </w:r>
          </w:p>
        </w:tc>
        <w:tc>
          <w:tcPr>
            <w:tcW w:w="1872" w:type="dxa"/>
            <w:vAlign w:val="center"/>
          </w:tcPr>
          <w:p w:rsidR="000809D9" w:rsidRDefault="00CC53DA">
            <w:pPr>
              <w:pStyle w:val="ExhibitText"/>
              <w:jc w:val="left"/>
              <w:rPr>
                <w:sz w:val="18"/>
                <w:szCs w:val="18"/>
                <w:lang w:val="en-CA"/>
              </w:rPr>
            </w:pPr>
            <w:r>
              <w:rPr>
                <w:sz w:val="18"/>
                <w:szCs w:val="18"/>
                <w:lang w:val="en-CA"/>
              </w:rPr>
              <w:t>17. Pursues improvement in enterprise risk management</w:t>
            </w:r>
          </w:p>
        </w:tc>
        <w:tc>
          <w:tcPr>
            <w:tcW w:w="1872" w:type="dxa"/>
            <w:vAlign w:val="center"/>
          </w:tcPr>
          <w:p w:rsidR="000809D9" w:rsidRDefault="00CC53DA">
            <w:pPr>
              <w:pStyle w:val="ExhibitText"/>
              <w:jc w:val="left"/>
              <w:rPr>
                <w:sz w:val="18"/>
                <w:szCs w:val="18"/>
                <w:lang w:val="en-CA"/>
              </w:rPr>
            </w:pPr>
            <w:r>
              <w:rPr>
                <w:sz w:val="18"/>
                <w:szCs w:val="18"/>
                <w:lang w:val="en-CA"/>
              </w:rPr>
              <w:t>20. Reports on risk, culture, and performance</w:t>
            </w:r>
          </w:p>
        </w:tc>
      </w:tr>
      <w:tr w:rsidR="000809D9" w:rsidTr="008567AA">
        <w:trPr>
          <w:trHeight w:val="288"/>
        </w:trPr>
        <w:tc>
          <w:tcPr>
            <w:tcW w:w="1787" w:type="dxa"/>
            <w:vAlign w:val="center"/>
          </w:tcPr>
          <w:p w:rsidR="000809D9" w:rsidRDefault="00CC53DA">
            <w:pPr>
              <w:pStyle w:val="ExhibitText"/>
              <w:jc w:val="left"/>
              <w:rPr>
                <w:sz w:val="18"/>
                <w:szCs w:val="18"/>
                <w:lang w:val="en-CA"/>
              </w:rPr>
            </w:pPr>
            <w:r>
              <w:rPr>
                <w:sz w:val="18"/>
                <w:szCs w:val="18"/>
                <w:lang w:val="en-CA"/>
              </w:rPr>
              <w:t xml:space="preserve">4. Demonstrates commitment to core values </w:t>
            </w:r>
          </w:p>
        </w:tc>
        <w:tc>
          <w:tcPr>
            <w:tcW w:w="1872" w:type="dxa"/>
            <w:vAlign w:val="center"/>
          </w:tcPr>
          <w:p w:rsidR="000809D9" w:rsidRDefault="00CC53DA">
            <w:pPr>
              <w:pStyle w:val="ExhibitText"/>
              <w:jc w:val="left"/>
              <w:rPr>
                <w:sz w:val="18"/>
                <w:szCs w:val="18"/>
                <w:lang w:val="en-CA"/>
              </w:rPr>
            </w:pPr>
            <w:r>
              <w:rPr>
                <w:sz w:val="18"/>
                <w:szCs w:val="18"/>
                <w:lang w:val="en-CA"/>
              </w:rPr>
              <w:t>9. Formulates business objectives</w:t>
            </w:r>
          </w:p>
        </w:tc>
        <w:tc>
          <w:tcPr>
            <w:tcW w:w="1872" w:type="dxa"/>
            <w:vAlign w:val="center"/>
          </w:tcPr>
          <w:p w:rsidR="000809D9" w:rsidRDefault="00CC53DA">
            <w:pPr>
              <w:pStyle w:val="ExhibitText"/>
              <w:jc w:val="left"/>
              <w:rPr>
                <w:sz w:val="18"/>
                <w:szCs w:val="18"/>
                <w:lang w:val="en-CA"/>
              </w:rPr>
            </w:pPr>
            <w:r>
              <w:rPr>
                <w:sz w:val="18"/>
                <w:szCs w:val="18"/>
                <w:lang w:val="en-CA"/>
              </w:rPr>
              <w:t>13. Implements risk responses</w:t>
            </w:r>
          </w:p>
        </w:tc>
        <w:tc>
          <w:tcPr>
            <w:tcW w:w="1872" w:type="dxa"/>
            <w:vAlign w:val="center"/>
          </w:tcPr>
          <w:p w:rsidR="000809D9" w:rsidRDefault="000809D9">
            <w:pPr>
              <w:pStyle w:val="ExhibitText"/>
              <w:jc w:val="left"/>
              <w:rPr>
                <w:sz w:val="18"/>
                <w:szCs w:val="18"/>
                <w:lang w:val="en-CA"/>
              </w:rPr>
            </w:pPr>
          </w:p>
        </w:tc>
        <w:tc>
          <w:tcPr>
            <w:tcW w:w="1872" w:type="dxa"/>
            <w:vAlign w:val="center"/>
          </w:tcPr>
          <w:p w:rsidR="000809D9" w:rsidRDefault="000809D9">
            <w:pPr>
              <w:pStyle w:val="ExhibitText"/>
              <w:jc w:val="left"/>
              <w:rPr>
                <w:sz w:val="18"/>
                <w:szCs w:val="18"/>
                <w:lang w:val="en-CA"/>
              </w:rPr>
            </w:pPr>
          </w:p>
        </w:tc>
      </w:tr>
      <w:tr w:rsidR="000809D9" w:rsidTr="008567AA">
        <w:trPr>
          <w:trHeight w:val="288"/>
        </w:trPr>
        <w:tc>
          <w:tcPr>
            <w:tcW w:w="1787" w:type="dxa"/>
            <w:vAlign w:val="center"/>
          </w:tcPr>
          <w:p w:rsidR="000809D9" w:rsidRDefault="00CC53DA">
            <w:pPr>
              <w:pStyle w:val="ExhibitText"/>
              <w:jc w:val="left"/>
              <w:rPr>
                <w:sz w:val="18"/>
                <w:szCs w:val="18"/>
                <w:lang w:val="en-CA"/>
              </w:rPr>
            </w:pPr>
            <w:r>
              <w:rPr>
                <w:sz w:val="18"/>
                <w:szCs w:val="18"/>
                <w:lang w:val="en-CA"/>
              </w:rPr>
              <w:t>5. Attracts, develops, and retains capable individuals</w:t>
            </w:r>
          </w:p>
        </w:tc>
        <w:tc>
          <w:tcPr>
            <w:tcW w:w="1872" w:type="dxa"/>
            <w:vAlign w:val="center"/>
          </w:tcPr>
          <w:p w:rsidR="000809D9" w:rsidRDefault="000809D9">
            <w:pPr>
              <w:pStyle w:val="ExhibitText"/>
              <w:jc w:val="left"/>
              <w:rPr>
                <w:sz w:val="18"/>
                <w:szCs w:val="18"/>
                <w:lang w:val="en-CA"/>
              </w:rPr>
            </w:pPr>
          </w:p>
        </w:tc>
        <w:tc>
          <w:tcPr>
            <w:tcW w:w="1872" w:type="dxa"/>
            <w:vAlign w:val="center"/>
          </w:tcPr>
          <w:p w:rsidR="000809D9" w:rsidRDefault="00CC53DA">
            <w:pPr>
              <w:pStyle w:val="ExhibitText"/>
              <w:jc w:val="left"/>
              <w:rPr>
                <w:sz w:val="18"/>
                <w:szCs w:val="18"/>
                <w:lang w:val="en-CA"/>
              </w:rPr>
            </w:pPr>
            <w:r>
              <w:rPr>
                <w:sz w:val="18"/>
                <w:szCs w:val="18"/>
                <w:lang w:val="en-CA"/>
              </w:rPr>
              <w:t>14. Develops portfolio view</w:t>
            </w:r>
          </w:p>
        </w:tc>
        <w:tc>
          <w:tcPr>
            <w:tcW w:w="1872" w:type="dxa"/>
            <w:vAlign w:val="center"/>
          </w:tcPr>
          <w:p w:rsidR="000809D9" w:rsidRDefault="000809D9">
            <w:pPr>
              <w:pStyle w:val="ExhibitText"/>
              <w:jc w:val="left"/>
              <w:rPr>
                <w:sz w:val="18"/>
                <w:szCs w:val="18"/>
                <w:lang w:val="en-CA"/>
              </w:rPr>
            </w:pPr>
          </w:p>
        </w:tc>
        <w:tc>
          <w:tcPr>
            <w:tcW w:w="1872" w:type="dxa"/>
            <w:vAlign w:val="center"/>
          </w:tcPr>
          <w:p w:rsidR="000809D9" w:rsidRDefault="000809D9">
            <w:pPr>
              <w:pStyle w:val="ExhibitText"/>
              <w:jc w:val="left"/>
              <w:rPr>
                <w:sz w:val="18"/>
                <w:szCs w:val="18"/>
                <w:lang w:val="en-CA"/>
              </w:rPr>
            </w:pPr>
          </w:p>
        </w:tc>
      </w:tr>
    </w:tbl>
    <w:p w:rsidR="000809D9" w:rsidRDefault="000809D9">
      <w:pPr>
        <w:pStyle w:val="ExhibitText"/>
        <w:rPr>
          <w:lang w:val="en-CA"/>
        </w:rPr>
      </w:pPr>
    </w:p>
    <w:p w:rsidR="000809D9" w:rsidRDefault="00CC53DA">
      <w:pPr>
        <w:pStyle w:val="Footnote"/>
        <w:rPr>
          <w:lang w:val="en-CA"/>
        </w:rPr>
      </w:pPr>
      <w:r>
        <w:rPr>
          <w:lang w:val="en-CA"/>
        </w:rPr>
        <w:t xml:space="preserve">Source: Committee of Sponsoring Organizations of the Treadway Commission, </w:t>
      </w:r>
      <w:r>
        <w:rPr>
          <w:i/>
          <w:iCs/>
          <w:lang w:val="en-CA"/>
        </w:rPr>
        <w:t>Enterprise Risk Management: Integrating with Strategy and Performance</w:t>
      </w:r>
      <w:r>
        <w:rPr>
          <w:lang w:val="en-CA"/>
        </w:rPr>
        <w:t xml:space="preserve"> (June 2017), accessed October 11th, 2018, www.coso.org/Documents/2017-COSO-ERM-Integrating-with-Strategy-and-Performance-Executive-Summary.pdf.</w:t>
      </w:r>
    </w:p>
    <w:sectPr w:rsidR="000809D9">
      <w:headerReference w:type="default" r:id="rId14"/>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3DA" w:rsidRDefault="00CC53DA">
      <w:r>
        <w:separator/>
      </w:r>
    </w:p>
  </w:endnote>
  <w:endnote w:type="continuationSeparator" w:id="0">
    <w:p w:rsidR="00CC53DA" w:rsidRDefault="00CC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_GB2312">
    <w:altName w:val="微软雅黑"/>
    <w:charset w:val="86"/>
    <w:family w:val="modern"/>
    <w:pitch w:val="default"/>
    <w:sig w:usb0="00000000" w:usb1="0000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3DA" w:rsidRDefault="00CC53DA">
      <w:r>
        <w:separator/>
      </w:r>
    </w:p>
  </w:footnote>
  <w:footnote w:type="continuationSeparator" w:id="0">
    <w:p w:rsidR="00CC53DA" w:rsidRDefault="00CC53DA">
      <w:r>
        <w:continuationSeparator/>
      </w:r>
    </w:p>
  </w:footnote>
  <w:footnote w:id="1">
    <w:p w:rsidR="000809D9" w:rsidRDefault="00CC53DA">
      <w:pPr>
        <w:pStyle w:val="Footnote"/>
        <w:rPr>
          <w:rStyle w:val="FollowedHyperlink"/>
          <w:rFonts w:eastAsiaTheme="minorEastAsia"/>
          <w:color w:val="auto"/>
          <w:u w:val="none"/>
        </w:rPr>
      </w:pPr>
      <w:r>
        <w:rPr>
          <w:rStyle w:val="FootnoteReference"/>
        </w:rPr>
        <w:footnoteRef/>
      </w:r>
      <w:r>
        <w:rPr>
          <w:rStyle w:val="FollowedHyperlink"/>
          <w:color w:val="auto"/>
          <w:u w:val="none"/>
        </w:rPr>
        <w:t xml:space="preserve"> “ENR’s 2018 Top 250 International Contractors 1–100,” Engineering News-Record, August 2018, accessed May 4, 2019, www.enr.com/toplists/2018-Top-250-International-Contractors-1.</w:t>
      </w:r>
    </w:p>
  </w:footnote>
  <w:footnote w:id="2">
    <w:p w:rsidR="000809D9" w:rsidRDefault="00CC53DA">
      <w:pPr>
        <w:pStyle w:val="Footnote"/>
        <w:rPr>
          <w:rStyle w:val="FollowedHyperlink"/>
          <w:rFonts w:eastAsiaTheme="minorEastAsia"/>
          <w:color w:val="auto"/>
          <w:u w:val="none"/>
        </w:rPr>
      </w:pPr>
      <w:r>
        <w:rPr>
          <w:rStyle w:val="FootnoteReference"/>
        </w:rPr>
        <w:footnoteRef/>
      </w:r>
      <w:r>
        <w:rPr>
          <w:rStyle w:val="FollowedHyperlink"/>
          <w:color w:val="auto"/>
          <w:u w:val="none"/>
        </w:rPr>
        <w:t xml:space="preserve"> Ibid.</w:t>
      </w:r>
    </w:p>
  </w:footnote>
  <w:footnote w:id="3">
    <w:p w:rsidR="000809D9" w:rsidRDefault="00CC53DA">
      <w:pPr>
        <w:pStyle w:val="FootnoteText"/>
        <w:snapToGrid w:val="0"/>
        <w:rPr>
          <w:rFonts w:ascii="Arial" w:eastAsia="SimSun" w:hAnsi="Arial" w:cs="Arial"/>
          <w:sz w:val="17"/>
          <w:szCs w:val="17"/>
          <w:lang w:val="en-US" w:eastAsia="zh-CN"/>
        </w:rPr>
      </w:pPr>
      <w:r>
        <w:rPr>
          <w:rStyle w:val="FootnoteReference"/>
        </w:rPr>
        <w:footnoteRef/>
      </w:r>
      <w:r>
        <w:t xml:space="preserve"> </w:t>
      </w:r>
      <w:proofErr w:type="spellStart"/>
      <w:r>
        <w:rPr>
          <w:rFonts w:ascii="Arial" w:hAnsi="Arial" w:cs="Arial"/>
          <w:sz w:val="17"/>
          <w:szCs w:val="17"/>
        </w:rPr>
        <w:t>SinoHydro</w:t>
      </w:r>
      <w:proofErr w:type="spellEnd"/>
      <w:r>
        <w:rPr>
          <w:rFonts w:ascii="Arial" w:hAnsi="Arial" w:cs="Arial"/>
          <w:sz w:val="17"/>
          <w:szCs w:val="17"/>
        </w:rPr>
        <w:t xml:space="preserve">, </w:t>
      </w:r>
      <w:proofErr w:type="spellStart"/>
      <w:r>
        <w:rPr>
          <w:rFonts w:ascii="Arial" w:hAnsi="Arial" w:cs="Arial"/>
          <w:sz w:val="17"/>
          <w:szCs w:val="17"/>
        </w:rPr>
        <w:t>HydroChina</w:t>
      </w:r>
      <w:proofErr w:type="spellEnd"/>
      <w:r>
        <w:rPr>
          <w:rFonts w:ascii="Arial" w:eastAsia="SimSun" w:hAnsi="Arial" w:cs="Arial"/>
          <w:sz w:val="17"/>
          <w:szCs w:val="17"/>
          <w:lang w:val="en-US" w:eastAsia="zh-CN"/>
        </w:rPr>
        <w:t xml:space="preserve"> and </w:t>
      </w:r>
      <w:r>
        <w:rPr>
          <w:rFonts w:ascii="Arial" w:eastAsia="SimSun" w:hAnsi="Arial" w:cs="Arial"/>
          <w:sz w:val="17"/>
          <w:szCs w:val="17"/>
        </w:rPr>
        <w:t>CWHEC</w:t>
      </w:r>
      <w:r>
        <w:rPr>
          <w:rFonts w:ascii="Arial" w:eastAsia="SimSun" w:hAnsi="Arial" w:cs="Arial"/>
          <w:sz w:val="17"/>
          <w:szCs w:val="17"/>
          <w:lang w:val="en-US" w:eastAsia="zh-CN"/>
        </w:rPr>
        <w:t xml:space="preserve">, represented in the </w:t>
      </w:r>
      <w:r>
        <w:rPr>
          <w:rFonts w:ascii="Arial" w:eastAsia="SimSun" w:hAnsi="Arial" w:cs="Arial" w:hint="eastAsia"/>
          <w:sz w:val="17"/>
          <w:szCs w:val="17"/>
          <w:lang w:val="en-US" w:eastAsia="zh-CN"/>
        </w:rPr>
        <w:t xml:space="preserve">following </w:t>
      </w:r>
      <w:r>
        <w:rPr>
          <w:rFonts w:ascii="Arial" w:eastAsia="SimSun" w:hAnsi="Arial" w:cs="Arial"/>
          <w:sz w:val="17"/>
          <w:szCs w:val="17"/>
          <w:lang w:val="en-US" w:eastAsia="zh-CN"/>
        </w:rPr>
        <w:t xml:space="preserve">case, were </w:t>
      </w:r>
      <w:r>
        <w:rPr>
          <w:rFonts w:ascii="Arial" w:eastAsia="SimSun" w:hAnsi="Arial" w:cs="Arial" w:hint="eastAsia"/>
          <w:sz w:val="17"/>
          <w:szCs w:val="17"/>
          <w:lang w:val="en-US" w:eastAsia="zh-CN"/>
        </w:rPr>
        <w:t xml:space="preserve">all </w:t>
      </w:r>
      <w:r>
        <w:rPr>
          <w:rFonts w:ascii="Arial" w:eastAsia="SimSun" w:hAnsi="Arial" w:cs="Arial"/>
          <w:sz w:val="17"/>
          <w:szCs w:val="17"/>
          <w:lang w:val="en-CA" w:eastAsia="zh-CN"/>
        </w:rPr>
        <w:t>predecessor</w:t>
      </w:r>
      <w:r>
        <w:rPr>
          <w:rFonts w:ascii="Arial" w:eastAsia="SimSun" w:hAnsi="Arial" w:cs="Arial"/>
          <w:sz w:val="17"/>
          <w:szCs w:val="17"/>
          <w:lang w:val="en-US" w:eastAsia="zh-CN"/>
        </w:rPr>
        <w:t xml:space="preserve">s of </w:t>
      </w:r>
      <w:proofErr w:type="spellStart"/>
      <w:r>
        <w:rPr>
          <w:rFonts w:ascii="Arial" w:eastAsia="SimSun" w:hAnsi="Arial" w:cs="Arial"/>
          <w:sz w:val="17"/>
          <w:szCs w:val="17"/>
          <w:lang w:val="en-US" w:eastAsia="zh-CN"/>
        </w:rPr>
        <w:t>PowerChina</w:t>
      </w:r>
      <w:proofErr w:type="spellEnd"/>
      <w:r>
        <w:rPr>
          <w:rFonts w:ascii="Arial" w:eastAsia="SimSun" w:hAnsi="Arial" w:cs="Arial" w:hint="eastAsia"/>
          <w:sz w:val="17"/>
          <w:szCs w:val="17"/>
          <w:lang w:val="en-US" w:eastAsia="zh-CN"/>
        </w:rPr>
        <w:t xml:space="preserve">. And </w:t>
      </w:r>
      <w:proofErr w:type="spellStart"/>
      <w:r>
        <w:rPr>
          <w:rFonts w:ascii="Arial" w:eastAsia="SimSun" w:hAnsi="Arial" w:cs="Arial" w:hint="eastAsia"/>
          <w:sz w:val="17"/>
          <w:szCs w:val="17"/>
          <w:lang w:val="en-US" w:eastAsia="zh-CN"/>
        </w:rPr>
        <w:t>PowerChina</w:t>
      </w:r>
      <w:proofErr w:type="spellEnd"/>
      <w:r>
        <w:rPr>
          <w:rFonts w:ascii="Arial" w:eastAsia="SimSun" w:hAnsi="Arial" w:cs="Arial" w:hint="eastAsia"/>
          <w:sz w:val="17"/>
          <w:szCs w:val="17"/>
          <w:lang w:val="en-US" w:eastAsia="zh-CN"/>
        </w:rPr>
        <w:t xml:space="preserve"> still use</w:t>
      </w:r>
      <w:r w:rsidR="008B1AD1">
        <w:rPr>
          <w:rFonts w:ascii="Arial" w:eastAsia="SimSun" w:hAnsi="Arial" w:cs="Arial"/>
          <w:sz w:val="17"/>
          <w:szCs w:val="17"/>
          <w:lang w:val="en-US" w:eastAsia="zh-CN"/>
        </w:rPr>
        <w:t>s</w:t>
      </w:r>
      <w:r>
        <w:rPr>
          <w:rFonts w:ascii="Arial" w:eastAsia="SimSun" w:hAnsi="Arial" w:cs="Arial" w:hint="eastAsia"/>
          <w:sz w:val="17"/>
          <w:szCs w:val="17"/>
          <w:lang w:val="en-US" w:eastAsia="zh-CN"/>
        </w:rPr>
        <w:t xml:space="preserve"> these brands for overseas bidding.</w:t>
      </w:r>
    </w:p>
  </w:footnote>
  <w:footnote w:id="4">
    <w:p w:rsidR="000809D9" w:rsidRDefault="00CC53DA">
      <w:pPr>
        <w:pStyle w:val="Footnote"/>
      </w:pPr>
      <w:r>
        <w:rPr>
          <w:rStyle w:val="FootnoteReference"/>
        </w:rPr>
        <w:footnoteRef/>
      </w:r>
      <w:r>
        <w:t xml:space="preserve"> ¥ = CNY = Chinese yuan renminbi; ¥1 = US$0.14.</w:t>
      </w:r>
    </w:p>
  </w:footnote>
  <w:footnote w:id="5">
    <w:p w:rsidR="000809D9" w:rsidRDefault="00CC53DA">
      <w:pPr>
        <w:pStyle w:val="Footnote"/>
      </w:pPr>
      <w:r>
        <w:rPr>
          <w:rStyle w:val="FootnoteReference"/>
        </w:rPr>
        <w:footnoteRef/>
      </w:r>
      <w:r>
        <w:t xml:space="preserve"> “</w:t>
      </w:r>
      <w:proofErr w:type="spellStart"/>
      <w:r>
        <w:t>PowerChina</w:t>
      </w:r>
      <w:proofErr w:type="spellEnd"/>
      <w:r>
        <w:t xml:space="preserve"> Advances in Asia and Africa,” </w:t>
      </w:r>
      <w:r>
        <w:rPr>
          <w:i/>
          <w:iCs/>
        </w:rPr>
        <w:t>China Daily</w:t>
      </w:r>
      <w:r>
        <w:t>, January 7, 2019, accessed July 11, 2019, www.chinadaily.com.cn/m/powerchina/2019-01/07/content_37423644.htm.</w:t>
      </w:r>
    </w:p>
  </w:footnote>
  <w:footnote w:id="6">
    <w:p w:rsidR="000809D9" w:rsidRPr="008567AA" w:rsidRDefault="00CC53DA" w:rsidP="008567AA">
      <w:pPr>
        <w:pStyle w:val="Footnote"/>
        <w:rPr>
          <w:lang w:val="en-CA"/>
        </w:rPr>
      </w:pPr>
      <w:r>
        <w:rPr>
          <w:rStyle w:val="FootnoteReference"/>
        </w:rPr>
        <w:footnoteRef/>
      </w:r>
      <w:r>
        <w:t xml:space="preserve"> </w:t>
      </w:r>
      <w:r>
        <w:rPr>
          <w:lang w:val="en-CA"/>
        </w:rPr>
        <w:t xml:space="preserve">Dollar </w:t>
      </w:r>
      <w:r w:rsidRPr="008567AA">
        <w:rPr>
          <w:rStyle w:val="FootnoteReference"/>
          <w:vertAlign w:val="baseline"/>
        </w:rPr>
        <w:t>amounts</w:t>
      </w:r>
      <w:r>
        <w:rPr>
          <w:lang w:val="en-CA"/>
        </w:rPr>
        <w:t xml:space="preserve"> are in US$ unless otherwise specified.</w:t>
      </w:r>
    </w:p>
  </w:footnote>
  <w:footnote w:id="7">
    <w:p w:rsidR="000809D9" w:rsidRDefault="00CC53DA">
      <w:pPr>
        <w:pStyle w:val="Footnote"/>
        <w:rPr>
          <w:rFonts w:eastAsia="SimSun"/>
          <w:lang w:val="en-US" w:eastAsia="zh-CN"/>
        </w:rPr>
      </w:pPr>
      <w:r>
        <w:rPr>
          <w:rStyle w:val="FootnoteReference"/>
        </w:rPr>
        <w:footnoteRef/>
      </w:r>
      <w:r>
        <w:t xml:space="preserve"> </w:t>
      </w:r>
      <w:r>
        <w:rPr>
          <w:rFonts w:eastAsia="SimSun" w:hint="eastAsia"/>
          <w:lang w:val="en-US" w:eastAsia="zh-CN"/>
        </w:rPr>
        <w:t xml:space="preserve">The integration of industry chain meant that </w:t>
      </w:r>
      <w:proofErr w:type="spellStart"/>
      <w:r>
        <w:rPr>
          <w:rFonts w:eastAsia="SimSun" w:hint="eastAsia"/>
          <w:lang w:val="en-US" w:eastAsia="zh-CN"/>
        </w:rPr>
        <w:t>PowerChina</w:t>
      </w:r>
      <w:proofErr w:type="spellEnd"/>
      <w:r>
        <w:rPr>
          <w:rFonts w:eastAsia="SimSun" w:hint="eastAsia"/>
          <w:lang w:val="en-US" w:eastAsia="zh-CN"/>
        </w:rPr>
        <w:t xml:space="preserve"> was not </w:t>
      </w:r>
      <w:r w:rsidR="008B1AD1">
        <w:rPr>
          <w:rFonts w:eastAsia="SimSun" w:hint="eastAsia"/>
          <w:lang w:val="en-US" w:eastAsia="zh-CN"/>
        </w:rPr>
        <w:t xml:space="preserve">only a construction contractor. This meant that it was </w:t>
      </w:r>
      <w:r>
        <w:rPr>
          <w:rFonts w:eastAsia="SimSun" w:hint="eastAsia"/>
          <w:lang w:val="en-US" w:eastAsia="zh-CN"/>
        </w:rPr>
        <w:t>also playing an active role in</w:t>
      </w:r>
      <w:r>
        <w:rPr>
          <w:rFonts w:eastAsia="SimSun"/>
          <w:lang w:val="en-US" w:eastAsia="zh-CN"/>
        </w:rPr>
        <w:t xml:space="preserve"> investment, planning, and design, project contracting, equipment manufacturing, and operation of projects. </w:t>
      </w:r>
      <w:r>
        <w:rPr>
          <w:rFonts w:eastAsia="SimSun" w:hint="eastAsia"/>
          <w:lang w:val="en-US" w:eastAsia="zh-CN"/>
        </w:rPr>
        <w:t>.</w:t>
      </w:r>
    </w:p>
  </w:footnote>
  <w:footnote w:id="8">
    <w:p w:rsidR="000809D9" w:rsidRDefault="00CC53DA">
      <w:pPr>
        <w:pStyle w:val="Footnote"/>
      </w:pPr>
      <w:r>
        <w:rPr>
          <w:rStyle w:val="FootnoteReference"/>
        </w:rPr>
        <w:footnoteRef/>
      </w:r>
      <w:r>
        <w:t xml:space="preserve"> </w:t>
      </w:r>
      <w:proofErr w:type="spellStart"/>
      <w:r>
        <w:rPr>
          <w:rFonts w:hint="eastAsia"/>
        </w:rPr>
        <w:t>Jin</w:t>
      </w:r>
      <w:proofErr w:type="spellEnd"/>
      <w:r>
        <w:rPr>
          <w:rFonts w:hint="eastAsia"/>
        </w:rPr>
        <w:t xml:space="preserve"> </w:t>
      </w:r>
      <w:r>
        <w:t>R</w:t>
      </w:r>
      <w:r>
        <w:rPr>
          <w:rFonts w:hint="eastAsia"/>
        </w:rPr>
        <w:t xml:space="preserve">ui, </w:t>
      </w:r>
      <w:r>
        <w:t>“Infrastructure Drives the Market and Regional Patterns Are Adjusted Again: A Review of the Performance of the World’s Largest 225 International Contractors in 2016</w:t>
      </w:r>
      <w:r>
        <w:rPr>
          <w:rFonts w:hint="eastAsia"/>
        </w:rPr>
        <w:t>,</w:t>
      </w:r>
      <w:r>
        <w:t>”</w:t>
      </w:r>
      <w:r>
        <w:rPr>
          <w:rFonts w:hint="eastAsia"/>
        </w:rPr>
        <w:t xml:space="preserve"> </w:t>
      </w:r>
      <w:r w:rsidRPr="008567AA">
        <w:rPr>
          <w:i/>
        </w:rPr>
        <w:t xml:space="preserve">Journal of International Economic Cooperation </w:t>
      </w:r>
      <w:r>
        <w:t>1</w:t>
      </w:r>
      <w:r>
        <w:rPr>
          <w:rFonts w:hint="eastAsia"/>
        </w:rPr>
        <w:t>1</w:t>
      </w:r>
      <w:r>
        <w:t xml:space="preserve"> (20</w:t>
      </w:r>
      <w:r>
        <w:rPr>
          <w:rFonts w:hint="eastAsia"/>
        </w:rPr>
        <w:t>17</w:t>
      </w:r>
      <w:r>
        <w:t xml:space="preserve">): </w:t>
      </w:r>
      <w:r>
        <w:rPr>
          <w:rFonts w:hint="eastAsia"/>
        </w:rPr>
        <w:t>4</w:t>
      </w:r>
      <w:r>
        <w:t>–</w:t>
      </w:r>
      <w:r>
        <w:rPr>
          <w:rFonts w:hint="eastAsia"/>
        </w:rPr>
        <w:t>12</w:t>
      </w:r>
      <w:r>
        <w:t xml:space="preserve">, </w:t>
      </w:r>
      <w:r>
        <w:rPr>
          <w:rFonts w:hint="eastAsia"/>
        </w:rPr>
        <w:t>accessed October 5,</w:t>
      </w:r>
      <w:r>
        <w:t xml:space="preserve"> </w:t>
      </w:r>
      <w:r>
        <w:rPr>
          <w:rFonts w:hint="eastAsia"/>
        </w:rPr>
        <w:t>2018,</w:t>
      </w:r>
      <w:r>
        <w:t xml:space="preserve"> </w:t>
      </w:r>
      <w:r>
        <w:rPr>
          <w:rFonts w:hint="eastAsia"/>
        </w:rPr>
        <w:t>http://kns.cnki.net/kcms/detail/detail.aspx?dbcode=CJFD&amp;</w:t>
      </w:r>
      <w:r>
        <w:t xml:space="preserve"> </w:t>
      </w:r>
      <w:r>
        <w:rPr>
          <w:rFonts w:hint="eastAsia"/>
        </w:rPr>
        <w:t>filename=</w:t>
      </w:r>
      <w:r>
        <w:t xml:space="preserve"> </w:t>
      </w:r>
      <w:r>
        <w:rPr>
          <w:rFonts w:hint="eastAsia"/>
        </w:rPr>
        <w:t>GJJH201711002&amp;dbname</w:t>
      </w:r>
      <w:r>
        <w:t xml:space="preserve"> </w:t>
      </w:r>
      <w:r>
        <w:rPr>
          <w:rFonts w:hint="eastAsia"/>
        </w:rPr>
        <w:t>=</w:t>
      </w:r>
      <w:r>
        <w:t> </w:t>
      </w:r>
      <w:r>
        <w:rPr>
          <w:rFonts w:hint="eastAsia"/>
        </w:rPr>
        <w:t>CJFDLAST2018&amp;uid=</w:t>
      </w:r>
      <w:r>
        <w:t> </w:t>
      </w:r>
      <w:r>
        <w:rPr>
          <w:rFonts w:hint="eastAsia"/>
        </w:rPr>
        <w:t>WEEvREdxOWJmb</w:t>
      </w:r>
      <w:r>
        <w:t> </w:t>
      </w:r>
      <w:r>
        <w:rPr>
          <w:rFonts w:hint="eastAsia"/>
        </w:rPr>
        <w:t>C9oM1NjYkZCbDdrdTVZb</w:t>
      </w:r>
      <w:r>
        <w:t> </w:t>
      </w:r>
      <w:r>
        <w:rPr>
          <w:rFonts w:hint="eastAsia"/>
        </w:rPr>
        <w:t>3R1eV</w:t>
      </w:r>
      <w:r>
        <w:t> </w:t>
      </w:r>
      <w:r>
        <w:rPr>
          <w:rFonts w:hint="eastAsia"/>
        </w:rPr>
        <w:t>JlbzVMdThkZHdiTF</w:t>
      </w:r>
      <w:r>
        <w:t> </w:t>
      </w:r>
      <w:r>
        <w:rPr>
          <w:rFonts w:hint="eastAsia"/>
        </w:rPr>
        <w:t>VYSys%3D%24R1yZ0H6jyaa0en3RxVUd8df-</w:t>
      </w:r>
      <w:r>
        <w:t xml:space="preserve"> </w:t>
      </w:r>
      <w:r>
        <w:rPr>
          <w:rFonts w:hint="eastAsia"/>
        </w:rPr>
        <w:t>oHi7XMMDo7mtKT6mSmEvTuk11l2gFA!!</w:t>
      </w:r>
    </w:p>
  </w:footnote>
  <w:footnote w:id="9">
    <w:p w:rsidR="000809D9" w:rsidRDefault="00CC53DA">
      <w:pPr>
        <w:pStyle w:val="Footnote"/>
        <w:rPr>
          <w:spacing w:val="-6"/>
          <w:kern w:val="17"/>
        </w:rPr>
      </w:pPr>
      <w:r>
        <w:rPr>
          <w:rStyle w:val="FootnoteReference"/>
          <w:spacing w:val="-6"/>
          <w:kern w:val="17"/>
        </w:rPr>
        <w:footnoteRef/>
      </w:r>
      <w:r>
        <w:rPr>
          <w:spacing w:val="-6"/>
          <w:kern w:val="17"/>
        </w:rPr>
        <w:t xml:space="preserve"> </w:t>
      </w:r>
      <w:r>
        <w:rPr>
          <w:rFonts w:hint="eastAsia"/>
          <w:spacing w:val="-6"/>
          <w:kern w:val="17"/>
        </w:rPr>
        <w:t xml:space="preserve">Xi, </w:t>
      </w:r>
      <w:r>
        <w:rPr>
          <w:spacing w:val="-6"/>
          <w:kern w:val="17"/>
        </w:rPr>
        <w:t>J</w:t>
      </w:r>
      <w:r>
        <w:rPr>
          <w:rFonts w:hint="eastAsia"/>
          <w:spacing w:val="-6"/>
          <w:kern w:val="17"/>
        </w:rPr>
        <w:t xml:space="preserve">inping, </w:t>
      </w:r>
      <w:r>
        <w:rPr>
          <w:spacing w:val="-6"/>
          <w:kern w:val="17"/>
        </w:rPr>
        <w:t xml:space="preserve">“Winning a Completely Well-off Society and Winning the Great Victory of Socialism with Chinese Characteristics in the New Era,” </w:t>
      </w:r>
      <w:r>
        <w:rPr>
          <w:rFonts w:hint="eastAsia"/>
          <w:spacing w:val="-6"/>
          <w:kern w:val="17"/>
        </w:rPr>
        <w:t>People</w:t>
      </w:r>
      <w:r>
        <w:rPr>
          <w:spacing w:val="-6"/>
          <w:kern w:val="17"/>
        </w:rPr>
        <w:t>’</w:t>
      </w:r>
      <w:r>
        <w:rPr>
          <w:rFonts w:hint="eastAsia"/>
          <w:spacing w:val="-6"/>
          <w:kern w:val="17"/>
        </w:rPr>
        <w:t>s Daily, October 28,</w:t>
      </w:r>
      <w:r>
        <w:rPr>
          <w:spacing w:val="-6"/>
          <w:kern w:val="17"/>
        </w:rPr>
        <w:t xml:space="preserve"> </w:t>
      </w:r>
      <w:r>
        <w:rPr>
          <w:rFonts w:hint="eastAsia"/>
          <w:spacing w:val="-6"/>
          <w:kern w:val="17"/>
        </w:rPr>
        <w:t xml:space="preserve">2018, </w:t>
      </w:r>
      <w:r>
        <w:rPr>
          <w:spacing w:val="-6"/>
          <w:kern w:val="17"/>
        </w:rPr>
        <w:t>accessed October 5, 2018,</w:t>
      </w:r>
      <w:r>
        <w:rPr>
          <w:rFonts w:hint="eastAsia"/>
          <w:spacing w:val="-6"/>
          <w:kern w:val="17"/>
        </w:rPr>
        <w:t xml:space="preserve"> http://cpc.people.com.cn/n1/2017/1028/c64094-29613660.html</w:t>
      </w:r>
      <w:r>
        <w:rPr>
          <w:spacing w:val="-6"/>
          <w:kern w:val="17"/>
        </w:rPr>
        <w:t>.</w:t>
      </w:r>
    </w:p>
  </w:footnote>
  <w:footnote w:id="10">
    <w:p w:rsidR="000809D9" w:rsidRDefault="00CC53DA">
      <w:pPr>
        <w:pStyle w:val="Footnote"/>
      </w:pPr>
      <w:r>
        <w:rPr>
          <w:rStyle w:val="FootnoteReference"/>
        </w:rPr>
        <w:footnoteRef/>
      </w:r>
      <w:r>
        <w:t xml:space="preserve"> </w:t>
      </w:r>
      <w:r>
        <w:rPr>
          <w:rFonts w:hint="eastAsia"/>
        </w:rPr>
        <w:t>Ibid</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9D9" w:rsidRDefault="00CC53DA">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B1AD1">
      <w:rPr>
        <w:rFonts w:ascii="Arial" w:hAnsi="Arial"/>
        <w:b/>
        <w:noProof/>
      </w:rPr>
      <w:t>12</w:t>
    </w:r>
    <w:r>
      <w:rPr>
        <w:rFonts w:ascii="Arial" w:hAnsi="Arial"/>
        <w:b/>
      </w:rPr>
      <w:fldChar w:fldCharType="end"/>
    </w:r>
    <w:r>
      <w:rPr>
        <w:rFonts w:ascii="Arial" w:hAnsi="Arial"/>
        <w:b/>
      </w:rPr>
      <w:tab/>
    </w:r>
    <w:r w:rsidR="008567AA">
      <w:rPr>
        <w:rFonts w:ascii="Arial" w:hAnsi="Arial"/>
        <w:b/>
      </w:rPr>
      <w:t>9B19M097</w:t>
    </w:r>
  </w:p>
  <w:p w:rsidR="000809D9" w:rsidRDefault="000809D9">
    <w:pPr>
      <w:pStyle w:val="Header"/>
      <w:tabs>
        <w:tab w:val="clear" w:pos="4680"/>
      </w:tabs>
      <w:rPr>
        <w:sz w:val="18"/>
        <w:szCs w:val="18"/>
      </w:rPr>
    </w:pPr>
  </w:p>
  <w:p w:rsidR="000809D9" w:rsidRDefault="000809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0011E"/>
    <w:multiLevelType w:val="multilevel"/>
    <w:tmpl w:val="2080011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26F3D63"/>
    <w:multiLevelType w:val="multilevel"/>
    <w:tmpl w:val="226F3D63"/>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1BF22F0"/>
    <w:multiLevelType w:val="multilevel"/>
    <w:tmpl w:val="31BF22F0"/>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72D0981"/>
    <w:multiLevelType w:val="multilevel"/>
    <w:tmpl w:val="372D0981"/>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B122370"/>
    <w:multiLevelType w:val="multilevel"/>
    <w:tmpl w:val="4B122370"/>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361AB"/>
    <w:rsid w:val="00044ECC"/>
    <w:rsid w:val="00045767"/>
    <w:rsid w:val="000531D3"/>
    <w:rsid w:val="0005646B"/>
    <w:rsid w:val="000615D1"/>
    <w:rsid w:val="00067820"/>
    <w:rsid w:val="000809D9"/>
    <w:rsid w:val="0008102D"/>
    <w:rsid w:val="00086B26"/>
    <w:rsid w:val="00094C0E"/>
    <w:rsid w:val="000A146D"/>
    <w:rsid w:val="000A33AB"/>
    <w:rsid w:val="000A69FF"/>
    <w:rsid w:val="000B1BF4"/>
    <w:rsid w:val="000B78E7"/>
    <w:rsid w:val="000C1743"/>
    <w:rsid w:val="000D2A2F"/>
    <w:rsid w:val="000D7091"/>
    <w:rsid w:val="000F0C22"/>
    <w:rsid w:val="000F6B09"/>
    <w:rsid w:val="000F6FDC"/>
    <w:rsid w:val="00104567"/>
    <w:rsid w:val="00104916"/>
    <w:rsid w:val="00104AA7"/>
    <w:rsid w:val="001134F1"/>
    <w:rsid w:val="00123BBF"/>
    <w:rsid w:val="0012732D"/>
    <w:rsid w:val="00143F25"/>
    <w:rsid w:val="00152682"/>
    <w:rsid w:val="00154FC9"/>
    <w:rsid w:val="00173131"/>
    <w:rsid w:val="001901C0"/>
    <w:rsid w:val="0019241A"/>
    <w:rsid w:val="00192A18"/>
    <w:rsid w:val="0019574B"/>
    <w:rsid w:val="001969D8"/>
    <w:rsid w:val="001A22D1"/>
    <w:rsid w:val="001A752D"/>
    <w:rsid w:val="001A757E"/>
    <w:rsid w:val="001B5032"/>
    <w:rsid w:val="001C7777"/>
    <w:rsid w:val="001D344B"/>
    <w:rsid w:val="001D4EF1"/>
    <w:rsid w:val="001E364F"/>
    <w:rsid w:val="001F4222"/>
    <w:rsid w:val="001F7AC8"/>
    <w:rsid w:val="002037DD"/>
    <w:rsid w:val="00203AA1"/>
    <w:rsid w:val="00213822"/>
    <w:rsid w:val="00213E98"/>
    <w:rsid w:val="00215FBF"/>
    <w:rsid w:val="00226371"/>
    <w:rsid w:val="00230150"/>
    <w:rsid w:val="0023081A"/>
    <w:rsid w:val="00233111"/>
    <w:rsid w:val="0024244A"/>
    <w:rsid w:val="002601AD"/>
    <w:rsid w:val="00265FA8"/>
    <w:rsid w:val="00270786"/>
    <w:rsid w:val="002748E4"/>
    <w:rsid w:val="0029160F"/>
    <w:rsid w:val="00293197"/>
    <w:rsid w:val="00296775"/>
    <w:rsid w:val="002B05B1"/>
    <w:rsid w:val="002B40FF"/>
    <w:rsid w:val="002C4E29"/>
    <w:rsid w:val="002F460C"/>
    <w:rsid w:val="002F48D6"/>
    <w:rsid w:val="00305B50"/>
    <w:rsid w:val="00310883"/>
    <w:rsid w:val="00317391"/>
    <w:rsid w:val="00326216"/>
    <w:rsid w:val="0033216F"/>
    <w:rsid w:val="00336580"/>
    <w:rsid w:val="00347747"/>
    <w:rsid w:val="00354899"/>
    <w:rsid w:val="00355FD6"/>
    <w:rsid w:val="0036354D"/>
    <w:rsid w:val="00364A5C"/>
    <w:rsid w:val="00373FB1"/>
    <w:rsid w:val="003967EC"/>
    <w:rsid w:val="00396C76"/>
    <w:rsid w:val="003975BD"/>
    <w:rsid w:val="003A2F98"/>
    <w:rsid w:val="003B30D8"/>
    <w:rsid w:val="003B7EF2"/>
    <w:rsid w:val="003C3FA4"/>
    <w:rsid w:val="003C7B21"/>
    <w:rsid w:val="003C7C15"/>
    <w:rsid w:val="003D0BA1"/>
    <w:rsid w:val="003E2045"/>
    <w:rsid w:val="003F2B0C"/>
    <w:rsid w:val="003F4DDA"/>
    <w:rsid w:val="004105B2"/>
    <w:rsid w:val="0041145A"/>
    <w:rsid w:val="00411EA3"/>
    <w:rsid w:val="00412900"/>
    <w:rsid w:val="00420FBC"/>
    <w:rsid w:val="004221E4"/>
    <w:rsid w:val="004273F8"/>
    <w:rsid w:val="004355A3"/>
    <w:rsid w:val="00446546"/>
    <w:rsid w:val="00450A5B"/>
    <w:rsid w:val="004523B1"/>
    <w:rsid w:val="00452769"/>
    <w:rsid w:val="00454FA7"/>
    <w:rsid w:val="00465348"/>
    <w:rsid w:val="0047469A"/>
    <w:rsid w:val="004979A5"/>
    <w:rsid w:val="004A0BBD"/>
    <w:rsid w:val="004A25E0"/>
    <w:rsid w:val="004B1CCB"/>
    <w:rsid w:val="004B632F"/>
    <w:rsid w:val="004B6CC1"/>
    <w:rsid w:val="004C6957"/>
    <w:rsid w:val="004D3FB1"/>
    <w:rsid w:val="004D6F21"/>
    <w:rsid w:val="004D73A5"/>
    <w:rsid w:val="004F1713"/>
    <w:rsid w:val="00514553"/>
    <w:rsid w:val="005160F1"/>
    <w:rsid w:val="00524F2F"/>
    <w:rsid w:val="00527E5C"/>
    <w:rsid w:val="00532CF5"/>
    <w:rsid w:val="005528CB"/>
    <w:rsid w:val="00566771"/>
    <w:rsid w:val="00577DC9"/>
    <w:rsid w:val="00581E2E"/>
    <w:rsid w:val="00584F15"/>
    <w:rsid w:val="0059514B"/>
    <w:rsid w:val="00595373"/>
    <w:rsid w:val="005A1B0F"/>
    <w:rsid w:val="005B4CE6"/>
    <w:rsid w:val="005B5EFE"/>
    <w:rsid w:val="005C2718"/>
    <w:rsid w:val="005F333C"/>
    <w:rsid w:val="0060577D"/>
    <w:rsid w:val="006163F7"/>
    <w:rsid w:val="00624A27"/>
    <w:rsid w:val="00627C63"/>
    <w:rsid w:val="00630F8F"/>
    <w:rsid w:val="0063350B"/>
    <w:rsid w:val="006338CE"/>
    <w:rsid w:val="00652606"/>
    <w:rsid w:val="0068456D"/>
    <w:rsid w:val="006946EE"/>
    <w:rsid w:val="006A58A9"/>
    <w:rsid w:val="006A606D"/>
    <w:rsid w:val="006B3996"/>
    <w:rsid w:val="006C0371"/>
    <w:rsid w:val="006C08B6"/>
    <w:rsid w:val="006C0B1A"/>
    <w:rsid w:val="006C6065"/>
    <w:rsid w:val="006C7F9F"/>
    <w:rsid w:val="006D192B"/>
    <w:rsid w:val="006E2F6D"/>
    <w:rsid w:val="006E58F6"/>
    <w:rsid w:val="006E77E1"/>
    <w:rsid w:val="006F131D"/>
    <w:rsid w:val="006F4525"/>
    <w:rsid w:val="006F490F"/>
    <w:rsid w:val="00711642"/>
    <w:rsid w:val="00712675"/>
    <w:rsid w:val="0072495A"/>
    <w:rsid w:val="007507C6"/>
    <w:rsid w:val="00751E0B"/>
    <w:rsid w:val="00752BCD"/>
    <w:rsid w:val="00756DFE"/>
    <w:rsid w:val="00761E8D"/>
    <w:rsid w:val="007653B5"/>
    <w:rsid w:val="00766DA1"/>
    <w:rsid w:val="0077360F"/>
    <w:rsid w:val="00780D94"/>
    <w:rsid w:val="007866A6"/>
    <w:rsid w:val="007A130D"/>
    <w:rsid w:val="007D1644"/>
    <w:rsid w:val="007D1A2D"/>
    <w:rsid w:val="007D32E6"/>
    <w:rsid w:val="007D4102"/>
    <w:rsid w:val="007E54A7"/>
    <w:rsid w:val="007F306B"/>
    <w:rsid w:val="007F43B7"/>
    <w:rsid w:val="008034A2"/>
    <w:rsid w:val="00821FFC"/>
    <w:rsid w:val="008271CA"/>
    <w:rsid w:val="0084526C"/>
    <w:rsid w:val="008467D5"/>
    <w:rsid w:val="00851290"/>
    <w:rsid w:val="008567AA"/>
    <w:rsid w:val="00856D4D"/>
    <w:rsid w:val="00886463"/>
    <w:rsid w:val="008873A0"/>
    <w:rsid w:val="008A4DC4"/>
    <w:rsid w:val="008B1AD1"/>
    <w:rsid w:val="008B438C"/>
    <w:rsid w:val="008D06CA"/>
    <w:rsid w:val="008D3A46"/>
    <w:rsid w:val="008E4BC6"/>
    <w:rsid w:val="008E551E"/>
    <w:rsid w:val="008F2385"/>
    <w:rsid w:val="008F7DC3"/>
    <w:rsid w:val="009067A4"/>
    <w:rsid w:val="00907197"/>
    <w:rsid w:val="00926BBD"/>
    <w:rsid w:val="00930885"/>
    <w:rsid w:val="0093101D"/>
    <w:rsid w:val="00933D68"/>
    <w:rsid w:val="009340DB"/>
    <w:rsid w:val="0094618C"/>
    <w:rsid w:val="009503A0"/>
    <w:rsid w:val="0095684B"/>
    <w:rsid w:val="00972498"/>
    <w:rsid w:val="0097481F"/>
    <w:rsid w:val="00974CC6"/>
    <w:rsid w:val="00976AD4"/>
    <w:rsid w:val="00982D0C"/>
    <w:rsid w:val="00995547"/>
    <w:rsid w:val="009A22E0"/>
    <w:rsid w:val="009A312F"/>
    <w:rsid w:val="009A5348"/>
    <w:rsid w:val="009A5F96"/>
    <w:rsid w:val="009B0AB7"/>
    <w:rsid w:val="009C76D5"/>
    <w:rsid w:val="009D227A"/>
    <w:rsid w:val="009E657D"/>
    <w:rsid w:val="009F49BD"/>
    <w:rsid w:val="009F7AA4"/>
    <w:rsid w:val="00A10AD7"/>
    <w:rsid w:val="00A229B9"/>
    <w:rsid w:val="00A27D3E"/>
    <w:rsid w:val="00A323B0"/>
    <w:rsid w:val="00A42679"/>
    <w:rsid w:val="00A47454"/>
    <w:rsid w:val="00A559DB"/>
    <w:rsid w:val="00A569EA"/>
    <w:rsid w:val="00A676A0"/>
    <w:rsid w:val="00A75A80"/>
    <w:rsid w:val="00A948AE"/>
    <w:rsid w:val="00AB03C8"/>
    <w:rsid w:val="00AC3590"/>
    <w:rsid w:val="00AD6A2F"/>
    <w:rsid w:val="00AE2F84"/>
    <w:rsid w:val="00AF35FC"/>
    <w:rsid w:val="00AF52B4"/>
    <w:rsid w:val="00AF5556"/>
    <w:rsid w:val="00AF621E"/>
    <w:rsid w:val="00B03639"/>
    <w:rsid w:val="00B0652A"/>
    <w:rsid w:val="00B40937"/>
    <w:rsid w:val="00B423EF"/>
    <w:rsid w:val="00B453DE"/>
    <w:rsid w:val="00B516A8"/>
    <w:rsid w:val="00B53D3D"/>
    <w:rsid w:val="00B62497"/>
    <w:rsid w:val="00B640CC"/>
    <w:rsid w:val="00B6731A"/>
    <w:rsid w:val="00B72597"/>
    <w:rsid w:val="00B87DC0"/>
    <w:rsid w:val="00B901F9"/>
    <w:rsid w:val="00B94E53"/>
    <w:rsid w:val="00BC4D98"/>
    <w:rsid w:val="00BC4E36"/>
    <w:rsid w:val="00BC5EF7"/>
    <w:rsid w:val="00BD6EFB"/>
    <w:rsid w:val="00BE3058"/>
    <w:rsid w:val="00BE3DF5"/>
    <w:rsid w:val="00BF0C14"/>
    <w:rsid w:val="00BF528F"/>
    <w:rsid w:val="00BF5EAB"/>
    <w:rsid w:val="00C02410"/>
    <w:rsid w:val="00C03121"/>
    <w:rsid w:val="00C05AA8"/>
    <w:rsid w:val="00C1584D"/>
    <w:rsid w:val="00C15BE2"/>
    <w:rsid w:val="00C15FB6"/>
    <w:rsid w:val="00C3447F"/>
    <w:rsid w:val="00C44714"/>
    <w:rsid w:val="00C452F3"/>
    <w:rsid w:val="00C67102"/>
    <w:rsid w:val="00C81491"/>
    <w:rsid w:val="00C81676"/>
    <w:rsid w:val="00C844FF"/>
    <w:rsid w:val="00C85C5D"/>
    <w:rsid w:val="00C85EBC"/>
    <w:rsid w:val="00C92CC4"/>
    <w:rsid w:val="00CA0AFB"/>
    <w:rsid w:val="00CA2CE1"/>
    <w:rsid w:val="00CA3976"/>
    <w:rsid w:val="00CA50E3"/>
    <w:rsid w:val="00CA757B"/>
    <w:rsid w:val="00CB2B44"/>
    <w:rsid w:val="00CC1787"/>
    <w:rsid w:val="00CC182C"/>
    <w:rsid w:val="00CC4B3D"/>
    <w:rsid w:val="00CC53DA"/>
    <w:rsid w:val="00CD0824"/>
    <w:rsid w:val="00CD2908"/>
    <w:rsid w:val="00CE6BF7"/>
    <w:rsid w:val="00CF211D"/>
    <w:rsid w:val="00CF3724"/>
    <w:rsid w:val="00D03A82"/>
    <w:rsid w:val="00D13667"/>
    <w:rsid w:val="00D15344"/>
    <w:rsid w:val="00D23F57"/>
    <w:rsid w:val="00D24411"/>
    <w:rsid w:val="00D31BEC"/>
    <w:rsid w:val="00D53D85"/>
    <w:rsid w:val="00D5554B"/>
    <w:rsid w:val="00D63150"/>
    <w:rsid w:val="00D636BA"/>
    <w:rsid w:val="00D64A32"/>
    <w:rsid w:val="00D64EFC"/>
    <w:rsid w:val="00D75295"/>
    <w:rsid w:val="00D76CE9"/>
    <w:rsid w:val="00D86668"/>
    <w:rsid w:val="00D97F12"/>
    <w:rsid w:val="00DA6095"/>
    <w:rsid w:val="00DA78D2"/>
    <w:rsid w:val="00DB347F"/>
    <w:rsid w:val="00DB42E7"/>
    <w:rsid w:val="00DC09D8"/>
    <w:rsid w:val="00DC1385"/>
    <w:rsid w:val="00DE01A6"/>
    <w:rsid w:val="00DE7A98"/>
    <w:rsid w:val="00DF32C2"/>
    <w:rsid w:val="00E04970"/>
    <w:rsid w:val="00E44EC7"/>
    <w:rsid w:val="00E471A7"/>
    <w:rsid w:val="00E54CDD"/>
    <w:rsid w:val="00E572E0"/>
    <w:rsid w:val="00E635CF"/>
    <w:rsid w:val="00E746D0"/>
    <w:rsid w:val="00E754A0"/>
    <w:rsid w:val="00E906B3"/>
    <w:rsid w:val="00E9181F"/>
    <w:rsid w:val="00E957E4"/>
    <w:rsid w:val="00EA1C88"/>
    <w:rsid w:val="00EB1E3B"/>
    <w:rsid w:val="00EC6E0A"/>
    <w:rsid w:val="00ED4E18"/>
    <w:rsid w:val="00ED7922"/>
    <w:rsid w:val="00EE02C4"/>
    <w:rsid w:val="00EE1F37"/>
    <w:rsid w:val="00EF0F3F"/>
    <w:rsid w:val="00EF29A0"/>
    <w:rsid w:val="00EF3384"/>
    <w:rsid w:val="00EF517D"/>
    <w:rsid w:val="00EF70A5"/>
    <w:rsid w:val="00F000E9"/>
    <w:rsid w:val="00F0159C"/>
    <w:rsid w:val="00F105B7"/>
    <w:rsid w:val="00F12AC4"/>
    <w:rsid w:val="00F13220"/>
    <w:rsid w:val="00F17A21"/>
    <w:rsid w:val="00F2413B"/>
    <w:rsid w:val="00F3319A"/>
    <w:rsid w:val="00F36FC2"/>
    <w:rsid w:val="00F37B27"/>
    <w:rsid w:val="00F46556"/>
    <w:rsid w:val="00F50C4A"/>
    <w:rsid w:val="00F50E91"/>
    <w:rsid w:val="00F56799"/>
    <w:rsid w:val="00F57D29"/>
    <w:rsid w:val="00F60786"/>
    <w:rsid w:val="00F91BC7"/>
    <w:rsid w:val="00F96201"/>
    <w:rsid w:val="00F975C7"/>
    <w:rsid w:val="00FA1BBC"/>
    <w:rsid w:val="00FC524A"/>
    <w:rsid w:val="00FC7285"/>
    <w:rsid w:val="00FD0B18"/>
    <w:rsid w:val="00FD2FAD"/>
    <w:rsid w:val="00FD75D8"/>
    <w:rsid w:val="00FE4279"/>
    <w:rsid w:val="00FE714F"/>
    <w:rsid w:val="02AE1F9E"/>
    <w:rsid w:val="081F44E9"/>
    <w:rsid w:val="0A5F63BB"/>
    <w:rsid w:val="0C2326D0"/>
    <w:rsid w:val="1A2858A8"/>
    <w:rsid w:val="1CBA0A0B"/>
    <w:rsid w:val="23A14919"/>
    <w:rsid w:val="25584847"/>
    <w:rsid w:val="29CE1E3E"/>
    <w:rsid w:val="29F14E51"/>
    <w:rsid w:val="30CF70BE"/>
    <w:rsid w:val="31155007"/>
    <w:rsid w:val="321D11EC"/>
    <w:rsid w:val="322E787E"/>
    <w:rsid w:val="32BD46C7"/>
    <w:rsid w:val="34405DC4"/>
    <w:rsid w:val="45251D9C"/>
    <w:rsid w:val="469E7BCE"/>
    <w:rsid w:val="4DE81E01"/>
    <w:rsid w:val="5BAF4638"/>
    <w:rsid w:val="678B0505"/>
    <w:rsid w:val="79180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6945F783"/>
  <w15:docId w15:val="{5856769D-5CE6-4A21-8B62-40448EB6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uiPriority="0" w:unhideWhenUsed="1" w:qFormat="1"/>
    <w:lsdException w:name="line number" w:semiHidden="1" w:unhideWhenUsed="1"/>
    <w:lsdException w:name="page number" w:uiPriority="0" w:qFormat="1"/>
    <w:lsdException w:name="endnote reference" w:uiPriority="0" w:unhideWhenUsed="1" w:qFormat="1"/>
    <w:lsdException w:name="endnote text"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unhideWhenUsed="1" w:qFormat="1"/>
    <w:lsdException w:name="FollowedHyperlink"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0" w:unhideWhenUsed="1" w:qFormat="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lang w:val="en-GB" w:eastAsia="en-US"/>
    </w:rPr>
  </w:style>
  <w:style w:type="paragraph" w:styleId="Heading1">
    <w:name w:val="heading 1"/>
    <w:basedOn w:val="Normal"/>
    <w:next w:val="Normal"/>
    <w:link w:val="Heading1Char"/>
    <w:qFormat/>
    <w:pPr>
      <w:keepNext/>
      <w:keepLines/>
      <w:spacing w:before="480" w:line="276" w:lineRule="auto"/>
      <w:outlineLvl w:val="0"/>
    </w:pPr>
    <w:rPr>
      <w:rFonts w:ascii="Arial" w:hAnsi="Arial"/>
      <w:b/>
      <w:bCs/>
      <w:color w:val="365F91"/>
      <w:szCs w:val="28"/>
      <w:lang w:val="zh-CN" w:eastAsia="zh-CN"/>
    </w:rPr>
  </w:style>
  <w:style w:type="paragraph" w:styleId="Heading2">
    <w:name w:val="heading 2"/>
    <w:basedOn w:val="Normal"/>
    <w:next w:val="Normal"/>
    <w:link w:val="Heading2Char"/>
    <w:unhideWhenUsed/>
    <w:qFormat/>
    <w:pPr>
      <w:keepNext/>
      <w:keepLines/>
      <w:spacing w:before="200" w:line="276" w:lineRule="auto"/>
      <w:outlineLvl w:val="1"/>
    </w:pPr>
    <w:rPr>
      <w:rFonts w:ascii="Arial" w:hAnsi="Arial"/>
      <w:b/>
      <w:bCs/>
      <w:color w:val="4F81BD"/>
      <w:szCs w:val="26"/>
      <w:lang w:val="zh-CN" w:eastAsia="zh-CN"/>
    </w:rPr>
  </w:style>
  <w:style w:type="paragraph" w:styleId="Heading3">
    <w:name w:val="heading 3"/>
    <w:basedOn w:val="Normal"/>
    <w:next w:val="Normal"/>
    <w:link w:val="Heading3Char"/>
    <w:unhideWhenUsed/>
    <w:qFormat/>
    <w:pPr>
      <w:keepNext/>
      <w:keepLines/>
      <w:spacing w:before="200" w:line="276" w:lineRule="auto"/>
      <w:outlineLvl w:val="2"/>
    </w:pPr>
    <w:rPr>
      <w:rFonts w:ascii="Cambria" w:hAnsi="Cambria"/>
      <w:b/>
      <w:bCs/>
      <w:color w:val="4F81BD"/>
      <w:lang w:val="zh-CN" w:eastAsia="zh-CN"/>
    </w:rPr>
  </w:style>
  <w:style w:type="paragraph" w:styleId="Heading4">
    <w:name w:val="heading 4"/>
    <w:basedOn w:val="Normal"/>
    <w:next w:val="Normal"/>
    <w:link w:val="Heading4Char"/>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pPr>
      <w:keepNext/>
      <w:keepLines/>
      <w:spacing w:before="200"/>
      <w:outlineLvl w:val="4"/>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qFormat/>
    <w:pPr>
      <w:keepNext/>
      <w:outlineLvl w:val="6"/>
    </w:pPr>
    <w:rPr>
      <w:b/>
      <w:bCs/>
      <w:sz w:val="24"/>
      <w:szCs w:val="24"/>
      <w:lang w:eastAsia="zh-CN"/>
    </w:rPr>
  </w:style>
  <w:style w:type="paragraph" w:styleId="Heading8">
    <w:name w:val="heading 8"/>
    <w:basedOn w:val="Normal"/>
    <w:next w:val="Normal"/>
    <w:link w:val="Heading8Char"/>
    <w:qFormat/>
    <w:pPr>
      <w:tabs>
        <w:tab w:val="left" w:pos="0"/>
      </w:tabs>
      <w:jc w:val="center"/>
      <w:outlineLvl w:val="7"/>
    </w:pPr>
    <w:rPr>
      <w:b/>
      <w:sz w:val="18"/>
      <w:lang w:val="en-AU"/>
    </w:rPr>
  </w:style>
  <w:style w:type="paragraph" w:styleId="Heading9">
    <w:name w:val="heading 9"/>
    <w:basedOn w:val="Normal"/>
    <w:next w:val="Normal"/>
    <w:link w:val="Heading9Char"/>
    <w:qFormat/>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qFormat/>
  </w:style>
  <w:style w:type="paragraph" w:styleId="BodyText">
    <w:name w:val="Body Text"/>
    <w:basedOn w:val="Normal"/>
    <w:link w:val="BodyTextChar"/>
    <w:unhideWhenUsed/>
    <w:qFormat/>
    <w:pPr>
      <w:spacing w:after="120"/>
    </w:pPr>
  </w:style>
  <w:style w:type="paragraph" w:styleId="BodyTextIndent">
    <w:name w:val="Body Text Indent"/>
    <w:basedOn w:val="Normal"/>
    <w:link w:val="BodyTextIndentChar"/>
    <w:unhideWhenUsed/>
    <w:qFormat/>
    <w:pPr>
      <w:spacing w:after="120"/>
      <w:ind w:left="360"/>
    </w:pPr>
  </w:style>
  <w:style w:type="paragraph" w:styleId="EndnoteText">
    <w:name w:val="endnote text"/>
    <w:basedOn w:val="Normal"/>
    <w:link w:val="EndnoteTextChar"/>
    <w:unhideWhenUsed/>
    <w:qFormat/>
    <w:rPr>
      <w:rFonts w:ascii="Calibri" w:eastAsia="Calibri" w:hAnsi="Calibri"/>
      <w:lang w:val="zh-CN" w:eastAsia="zh-CN"/>
    </w:rPr>
  </w:style>
  <w:style w:type="paragraph" w:styleId="BalloonText">
    <w:name w:val="Balloon Text"/>
    <w:basedOn w:val="Normal"/>
    <w:link w:val="BalloonTextChar"/>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FootnoteText">
    <w:name w:val="footnote text"/>
    <w:basedOn w:val="Normal"/>
    <w:link w:val="FootnoteTextChar"/>
    <w:uiPriority w:val="99"/>
    <w:unhideWhenUsed/>
    <w:qFormat/>
  </w:style>
  <w:style w:type="paragraph" w:styleId="BodyTextIndent3">
    <w:name w:val="Body Text Indent 3"/>
    <w:basedOn w:val="Normal"/>
    <w:link w:val="BodyTextIndent3Char"/>
    <w:qFormat/>
    <w:pPr>
      <w:spacing w:after="120"/>
      <w:ind w:left="360"/>
    </w:pPr>
    <w:rPr>
      <w:sz w:val="16"/>
      <w:szCs w:val="16"/>
    </w:rPr>
  </w:style>
  <w:style w:type="paragraph" w:styleId="NormalWeb">
    <w:name w:val="Normal (Web)"/>
    <w:basedOn w:val="Normal"/>
    <w:uiPriority w:val="99"/>
    <w:unhideWhenUsed/>
    <w:qFormat/>
    <w:pPr>
      <w:spacing w:before="100" w:beforeAutospacing="1" w:after="100" w:afterAutospacing="1"/>
    </w:pPr>
    <w:rPr>
      <w:sz w:val="24"/>
      <w:szCs w:val="24"/>
      <w:lang w:val="en-IN" w:eastAsia="en-IN"/>
    </w:rPr>
  </w:style>
  <w:style w:type="paragraph" w:styleId="Title">
    <w:name w:val="Title"/>
    <w:basedOn w:val="Normal"/>
    <w:link w:val="TitleChar"/>
    <w:qFormat/>
    <w:pPr>
      <w:spacing w:after="240"/>
      <w:jc w:val="center"/>
    </w:pPr>
    <w:rPr>
      <w:b/>
      <w:sz w:val="24"/>
      <w:lang w:val="en-AU"/>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qFormat/>
    <w:rPr>
      <w:color w:val="000000" w:themeColor="text1"/>
      <w:lang w:val="en-GB"/>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Strong">
    <w:name w:val="Strong"/>
    <w:qFormat/>
    <w:rPr>
      <w:b/>
      <w:bCs/>
    </w:rPr>
  </w:style>
  <w:style w:type="character" w:styleId="EndnoteReference">
    <w:name w:val="endnote reference"/>
    <w:unhideWhenUsed/>
    <w:qFormat/>
    <w:rPr>
      <w:vertAlign w:val="superscript"/>
    </w:rPr>
  </w:style>
  <w:style w:type="character" w:styleId="PageNumber">
    <w:name w:val="page number"/>
    <w:basedOn w:val="DefaultParagraphFont"/>
    <w:qFormat/>
  </w:style>
  <w:style w:type="character" w:styleId="FollowedHyperlink">
    <w:name w:val="FollowedHyperlink"/>
    <w:unhideWhenUsed/>
    <w:qFormat/>
    <w:rPr>
      <w:color w:val="800080"/>
      <w:u w:val="single"/>
    </w:rPr>
  </w:style>
  <w:style w:type="character" w:styleId="Emphasis">
    <w:name w:val="Emphasis"/>
    <w:qFormat/>
    <w:rPr>
      <w:i/>
      <w:iCs/>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nhideWhenUsed/>
    <w:qFormat/>
    <w:rPr>
      <w:sz w:val="16"/>
      <w:szCs w:val="16"/>
    </w:rPr>
  </w:style>
  <w:style w:type="character" w:styleId="FootnoteReference">
    <w:name w:val="footnote reference"/>
    <w:basedOn w:val="DefaultParagraphFont"/>
    <w:unhideWhenUsed/>
    <w:qFormat/>
    <w:rPr>
      <w:color w:val="auto"/>
      <w:vertAlign w:val="superscript"/>
    </w:rPr>
  </w:style>
  <w:style w:type="character" w:customStyle="1" w:styleId="Heading1Char">
    <w:name w:val="Heading 1 Char"/>
    <w:basedOn w:val="DefaultParagraphFont"/>
    <w:link w:val="Heading1"/>
    <w:qFormat/>
    <w:rPr>
      <w:rFonts w:ascii="Arial" w:eastAsia="Times New Roman" w:hAnsi="Arial" w:cs="Times New Roman"/>
      <w:b/>
      <w:bCs/>
      <w:color w:val="365F91"/>
      <w:sz w:val="20"/>
      <w:szCs w:val="28"/>
      <w:lang w:val="zh-CN" w:eastAsia="zh-CN"/>
    </w:rPr>
  </w:style>
  <w:style w:type="character" w:customStyle="1" w:styleId="Heading2Char">
    <w:name w:val="Heading 2 Char"/>
    <w:basedOn w:val="DefaultParagraphFont"/>
    <w:link w:val="Heading2"/>
    <w:qFormat/>
    <w:rPr>
      <w:rFonts w:ascii="Arial" w:eastAsia="Times New Roman" w:hAnsi="Arial" w:cs="Times New Roman"/>
      <w:b/>
      <w:bCs/>
      <w:color w:val="4F81BD"/>
      <w:sz w:val="20"/>
      <w:szCs w:val="26"/>
      <w:lang w:val="zh-CN" w:eastAsia="zh-CN"/>
    </w:rPr>
  </w:style>
  <w:style w:type="character" w:customStyle="1" w:styleId="Heading3Char">
    <w:name w:val="Heading 3 Char"/>
    <w:basedOn w:val="DefaultParagraphFont"/>
    <w:link w:val="Heading3"/>
    <w:qFormat/>
    <w:rPr>
      <w:rFonts w:ascii="Cambria" w:eastAsia="Times New Roman" w:hAnsi="Cambria" w:cs="Times New Roman"/>
      <w:b/>
      <w:bCs/>
      <w:color w:val="4F81BD"/>
      <w:sz w:val="20"/>
      <w:szCs w:val="20"/>
      <w:lang w:val="zh-CN" w:eastAsia="zh-CN"/>
    </w:rPr>
  </w:style>
  <w:style w:type="character" w:customStyle="1" w:styleId="Heading7Char">
    <w:name w:val="Heading 7 Char"/>
    <w:basedOn w:val="DefaultParagraphFont"/>
    <w:link w:val="Heading7"/>
    <w:qFormat/>
    <w:rPr>
      <w:rFonts w:ascii="Times New Roman" w:eastAsia="Times New Roman" w:hAnsi="Times New Roman" w:cs="Times New Roman"/>
      <w:b/>
      <w:bCs/>
      <w:sz w:val="24"/>
      <w:szCs w:val="24"/>
      <w:lang w:val="en-GB" w:eastAsia="zh-CN"/>
    </w:rPr>
  </w:style>
  <w:style w:type="character" w:customStyle="1" w:styleId="Heading8Char">
    <w:name w:val="Heading 8 Char"/>
    <w:basedOn w:val="DefaultParagraphFont"/>
    <w:link w:val="Heading8"/>
    <w:qFormat/>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qFormat/>
    <w:rPr>
      <w:rFonts w:ascii="Times New Roman" w:eastAsia="Times New Roman" w:hAnsi="Times New Roman" w:cs="Times New Roman"/>
      <w:b/>
      <w:sz w:val="18"/>
      <w:szCs w:val="20"/>
      <w:lang w:val="en-AU"/>
    </w:r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MainTitle">
    <w:name w:val="MainTitle"/>
    <w:basedOn w:val="Normal"/>
    <w:link w:val="MainTitleChar"/>
    <w:qFormat/>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qFormat/>
    <w:rPr>
      <w:rFonts w:ascii="Arial" w:hAnsi="Arial" w:cs="Arial"/>
      <w:b/>
      <w:bCs/>
      <w:caps/>
      <w:color w:val="000000"/>
      <w:sz w:val="28"/>
      <w:szCs w:val="28"/>
    </w:rPr>
  </w:style>
  <w:style w:type="paragraph" w:customStyle="1" w:styleId="CopyrightStatement">
    <w:name w:val="CopyrightStatement"/>
    <w:basedOn w:val="Normal"/>
    <w:qFormat/>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pPr>
      <w:jc w:val="both"/>
    </w:pPr>
    <w:rPr>
      <w:sz w:val="22"/>
      <w:szCs w:val="22"/>
    </w:rPr>
  </w:style>
  <w:style w:type="character" w:customStyle="1" w:styleId="BodyTextMainChar">
    <w:name w:val="Body Text Main Char"/>
    <w:basedOn w:val="DefaultParagraphFont"/>
    <w:link w:val="BodyTextMain"/>
    <w:qFormat/>
    <w:rPr>
      <w:rFonts w:ascii="Times New Roman" w:eastAsia="Times New Roman" w:hAnsi="Times New Roman" w:cs="Times New Roman"/>
    </w:rPr>
  </w:style>
  <w:style w:type="paragraph" w:customStyle="1" w:styleId="Casehead1">
    <w:name w:val="Casehead 1"/>
    <w:basedOn w:val="BodyTextMain"/>
    <w:next w:val="BodyTextMain"/>
    <w:link w:val="Casehead1Char"/>
    <w:qFormat/>
    <w:pPr>
      <w:keepNext/>
    </w:pPr>
    <w:rPr>
      <w:rFonts w:ascii="Arial" w:hAnsi="Arial" w:cs="Arial"/>
      <w:b/>
      <w:caps/>
      <w:sz w:val="20"/>
      <w:szCs w:val="20"/>
    </w:rPr>
  </w:style>
  <w:style w:type="character" w:customStyle="1" w:styleId="Casehead1Char">
    <w:name w:val="Casehead 1 Char"/>
    <w:basedOn w:val="BodyTextMainChar"/>
    <w:link w:val="Casehead1"/>
    <w:qFormat/>
    <w:rPr>
      <w:rFonts w:ascii="Arial" w:eastAsia="Times New Roman" w:hAnsi="Arial" w:cs="Arial"/>
      <w:b/>
      <w:caps/>
      <w:lang w:val="en-US" w:eastAsia="en-US"/>
    </w:rPr>
  </w:style>
  <w:style w:type="paragraph" w:customStyle="1" w:styleId="Casehead2">
    <w:name w:val="Casehead 2"/>
    <w:basedOn w:val="Casehead1"/>
    <w:link w:val="Casehead2Char"/>
    <w:qFormat/>
    <w:rPr>
      <w:caps w:val="0"/>
    </w:rPr>
  </w:style>
  <w:style w:type="character" w:customStyle="1" w:styleId="Casehead2Char">
    <w:name w:val="Casehead 2 Char"/>
    <w:basedOn w:val="Casehead1Char"/>
    <w:link w:val="Casehead2"/>
    <w:qFormat/>
    <w:rPr>
      <w:rFonts w:ascii="Arial" w:eastAsia="Times New Roman" w:hAnsi="Arial" w:cs="Arial"/>
      <w:b/>
      <w:caps w:val="0"/>
      <w:sz w:val="20"/>
      <w:szCs w:val="20"/>
      <w:lang w:val="en-US" w:eastAsia="en-US"/>
    </w:rPr>
  </w:style>
  <w:style w:type="paragraph" w:customStyle="1" w:styleId="Casehead3">
    <w:name w:val="Casehead 3"/>
    <w:basedOn w:val="Casehead2"/>
    <w:link w:val="Casehead3Char"/>
    <w:qFormat/>
    <w:rPr>
      <w:rFonts w:ascii="Times New Roman" w:hAnsi="Times New Roman" w:cs="Times New Roman"/>
      <w:b w:val="0"/>
      <w:sz w:val="22"/>
      <w:szCs w:val="22"/>
      <w:u w:val="single"/>
    </w:rPr>
  </w:style>
  <w:style w:type="character" w:customStyle="1" w:styleId="Casehead3Char">
    <w:name w:val="Casehead 3 Char"/>
    <w:basedOn w:val="Casehead2Char"/>
    <w:link w:val="Casehead3"/>
    <w:qFormat/>
    <w:rPr>
      <w:rFonts w:ascii="Times New Roman" w:eastAsia="Times New Roman" w:hAnsi="Times New Roman" w:cs="Times New Roman"/>
      <w:b w:val="0"/>
      <w:caps w:val="0"/>
      <w:sz w:val="20"/>
      <w:szCs w:val="20"/>
      <w:u w:val="single"/>
      <w:lang w:val="en-US" w:eastAsia="en-US"/>
    </w:rPr>
  </w:style>
  <w:style w:type="paragraph" w:customStyle="1" w:styleId="Casehead4">
    <w:name w:val="Casehead 4"/>
    <w:basedOn w:val="Casehead3"/>
    <w:link w:val="Casehead4Char"/>
    <w:qFormat/>
    <w:rPr>
      <w:i/>
      <w:u w:val="none"/>
    </w:rPr>
  </w:style>
  <w:style w:type="character" w:customStyle="1" w:styleId="Casehead4Char">
    <w:name w:val="Casehead 4 Char"/>
    <w:basedOn w:val="Casehead3Char"/>
    <w:link w:val="Casehead4"/>
    <w:qFormat/>
    <w:rPr>
      <w:rFonts w:ascii="Times New Roman" w:eastAsia="Times New Roman" w:hAnsi="Times New Roman" w:cs="Times New Roman"/>
      <w:b w:val="0"/>
      <w:i/>
      <w:caps w:val="0"/>
      <w:sz w:val="20"/>
      <w:szCs w:val="20"/>
      <w:u w:val="single"/>
      <w:lang w:val="en-US" w:eastAsia="en-US"/>
    </w:rPr>
  </w:style>
  <w:style w:type="character" w:customStyle="1" w:styleId="FootnoteTextChar">
    <w:name w:val="Footnote Text Char"/>
    <w:basedOn w:val="DefaultParagraphFont"/>
    <w:link w:val="FootnoteText"/>
    <w:uiPriority w:val="99"/>
    <w:qFormat/>
    <w:rPr>
      <w:rFonts w:ascii="Times New Roman" w:eastAsia="Times New Roman" w:hAnsi="Times New Roman" w:cs="Times New Roman"/>
      <w:sz w:val="20"/>
      <w:szCs w:val="20"/>
    </w:rPr>
  </w:style>
  <w:style w:type="paragraph" w:customStyle="1" w:styleId="Footnote">
    <w:name w:val="Footnote"/>
    <w:basedOn w:val="FootnoteText"/>
    <w:link w:val="FootnoteChar"/>
    <w:qFormat/>
    <w:pPr>
      <w:jc w:val="both"/>
    </w:pPr>
    <w:rPr>
      <w:rFonts w:ascii="Arial" w:hAnsi="Arial" w:cs="Arial"/>
      <w:sz w:val="17"/>
      <w:szCs w:val="17"/>
    </w:rPr>
  </w:style>
  <w:style w:type="character" w:customStyle="1" w:styleId="FootnoteChar">
    <w:name w:val="Footnote Char"/>
    <w:basedOn w:val="FootnoteTextChar"/>
    <w:link w:val="Footnote"/>
    <w:qFormat/>
    <w:rPr>
      <w:rFonts w:ascii="Arial" w:eastAsia="Times New Roman" w:hAnsi="Arial" w:cs="Arial"/>
      <w:sz w:val="17"/>
      <w:szCs w:val="17"/>
      <w:lang w:val="en-GB" w:eastAsia="en-US"/>
    </w:rPr>
  </w:style>
  <w:style w:type="paragraph" w:customStyle="1" w:styleId="Quotation3Lines">
    <w:name w:val="Quotation (3+ Lines)"/>
    <w:basedOn w:val="BodyTextMain"/>
    <w:link w:val="Quotation3LinesChar"/>
    <w:qFormat/>
    <w:pPr>
      <w:ind w:left="720" w:right="720"/>
    </w:pPr>
  </w:style>
  <w:style w:type="character" w:customStyle="1" w:styleId="Quotation3LinesChar">
    <w:name w:val="Quotation (3+ Lines) Char"/>
    <w:basedOn w:val="BodyTextMainChar"/>
    <w:link w:val="Quotation3Lines"/>
    <w:qFormat/>
    <w:rPr>
      <w:rFonts w:ascii="Times New Roman" w:eastAsia="Times New Roman" w:hAnsi="Times New Roman" w:cs="Times New Roman"/>
    </w:rPr>
  </w:style>
  <w:style w:type="paragraph" w:customStyle="1" w:styleId="ExhibitNumber">
    <w:name w:val="Exhibit Number"/>
    <w:basedOn w:val="BodyTextMain"/>
    <w:link w:val="ExhibitNumberChar"/>
    <w:qFormat/>
    <w:pPr>
      <w:jc w:val="center"/>
    </w:pPr>
    <w:rPr>
      <w:rFonts w:ascii="Arial" w:hAnsi="Arial" w:cs="Arial"/>
      <w:b/>
      <w:sz w:val="20"/>
      <w:szCs w:val="20"/>
    </w:rPr>
  </w:style>
  <w:style w:type="character" w:customStyle="1" w:styleId="ExhibitNumberChar">
    <w:name w:val="Exhibit Number Char"/>
    <w:basedOn w:val="BodyTextMainChar"/>
    <w:link w:val="ExhibitNumber"/>
    <w:qFormat/>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pPr>
      <w:keepNext/>
      <w:jc w:val="center"/>
    </w:pPr>
    <w:rPr>
      <w:rFonts w:ascii="Arial" w:hAnsi="Arial" w:cs="Arial"/>
      <w:b/>
      <w:caps/>
      <w:sz w:val="20"/>
      <w:szCs w:val="20"/>
    </w:rPr>
  </w:style>
  <w:style w:type="paragraph" w:customStyle="1" w:styleId="ExhibitText">
    <w:name w:val="Exhibit Text"/>
    <w:basedOn w:val="BodyTextMain"/>
    <w:link w:val="ExhibitTextChar"/>
    <w:qFormat/>
    <w:rPr>
      <w:rFonts w:ascii="Arial" w:hAnsi="Arial" w:cs="Arial"/>
      <w:sz w:val="20"/>
      <w:szCs w:val="20"/>
    </w:rPr>
  </w:style>
  <w:style w:type="character" w:customStyle="1" w:styleId="ExhibitHeadingChar">
    <w:name w:val="Exhibit Heading Char"/>
    <w:basedOn w:val="BodyTextMainChar"/>
    <w:link w:val="ExhibitHeading"/>
    <w:qFormat/>
    <w:rPr>
      <w:rFonts w:ascii="Arial" w:eastAsia="Times New Roman" w:hAnsi="Arial" w:cs="Arial"/>
      <w:b/>
      <w:caps/>
      <w:lang w:val="en-US" w:eastAsia="en-US"/>
    </w:rPr>
  </w:style>
  <w:style w:type="paragraph" w:customStyle="1" w:styleId="CaseTitle">
    <w:name w:val="Case Title"/>
    <w:basedOn w:val="MainTitle"/>
    <w:link w:val="CaseTitleChar"/>
    <w:qFormat/>
  </w:style>
  <w:style w:type="character" w:customStyle="1" w:styleId="CaseTitleChar">
    <w:name w:val="Case Title Char"/>
    <w:basedOn w:val="MainTitleChar"/>
    <w:link w:val="CaseTitle"/>
    <w:qFormat/>
    <w:rPr>
      <w:rFonts w:ascii="Arial" w:hAnsi="Arial" w:cs="Arial"/>
      <w:b/>
      <w:bCs/>
      <w:caps/>
      <w:color w:val="000000"/>
      <w:sz w:val="28"/>
      <w:szCs w:val="28"/>
    </w:rPr>
  </w:style>
  <w:style w:type="paragraph" w:customStyle="1" w:styleId="TeachingNoteTitle">
    <w:name w:val="Teaching Note Title"/>
    <w:basedOn w:val="CaseTitle"/>
    <w:link w:val="TeachingNoteTitleChar"/>
    <w:qFormat/>
    <w:pPr>
      <w:jc w:val="center"/>
    </w:pPr>
  </w:style>
  <w:style w:type="character" w:customStyle="1" w:styleId="TeachingNoteTitleChar">
    <w:name w:val="Teaching Note Title Char"/>
    <w:basedOn w:val="CaseTitleChar"/>
    <w:link w:val="TeachingNoteTitle"/>
    <w:qFormat/>
    <w:rPr>
      <w:rFonts w:ascii="Arial" w:hAnsi="Arial" w:cs="Arial"/>
      <w:b/>
      <w:bCs/>
      <w:caps/>
      <w:color w:val="000000"/>
      <w:sz w:val="28"/>
      <w:szCs w:val="28"/>
    </w:rPr>
  </w:style>
  <w:style w:type="paragraph" w:customStyle="1" w:styleId="ProductNumber">
    <w:name w:val="Product Number"/>
    <w:basedOn w:val="Normal"/>
    <w:link w:val="ProductNumberChar"/>
    <w:qFormat/>
    <w:pPr>
      <w:jc w:val="right"/>
    </w:pPr>
    <w:rPr>
      <w:rFonts w:ascii="Arial" w:hAnsi="Arial"/>
      <w:b/>
      <w:caps/>
      <w:sz w:val="24"/>
    </w:rPr>
  </w:style>
  <w:style w:type="character" w:customStyle="1" w:styleId="ProductNumberChar">
    <w:name w:val="Product Number Char"/>
    <w:basedOn w:val="DefaultParagraphFont"/>
    <w:link w:val="ProductNumber"/>
    <w:qFormat/>
    <w:rPr>
      <w:rFonts w:ascii="Arial" w:eastAsia="Times New Roman" w:hAnsi="Arial" w:cs="Times New Roman"/>
      <w:b/>
      <w:caps/>
      <w:sz w:val="24"/>
      <w:szCs w:val="20"/>
    </w:rPr>
  </w:style>
  <w:style w:type="character" w:customStyle="1" w:styleId="ExhibitTextChar">
    <w:name w:val="Exhibit Text Char"/>
    <w:basedOn w:val="BodyTextMainChar"/>
    <w:link w:val="ExhibitText"/>
    <w:qFormat/>
    <w:rPr>
      <w:rFonts w:ascii="Arial" w:eastAsia="Times New Roman" w:hAnsi="Arial" w:cs="Arial"/>
      <w:sz w:val="20"/>
      <w:szCs w:val="20"/>
    </w:rPr>
  </w:style>
  <w:style w:type="character" w:customStyle="1" w:styleId="HeaderChar">
    <w:name w:val="Header Char"/>
    <w:basedOn w:val="DefaultParagraphFont"/>
    <w:link w:val="Header"/>
    <w:uiPriority w:val="99"/>
    <w:qFormat/>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qFormat/>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qFormat/>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qFormat/>
    <w:pPr>
      <w:pBdr>
        <w:top w:val="none" w:sz="0" w:space="0" w:color="auto"/>
      </w:pBdr>
    </w:pPr>
  </w:style>
  <w:style w:type="character" w:customStyle="1" w:styleId="BodyTextChar">
    <w:name w:val="Body Text Char"/>
    <w:basedOn w:val="DefaultParagraphFont"/>
    <w:link w:val="BodyText"/>
    <w:qFormat/>
    <w:rPr>
      <w:rFonts w:ascii="Times New Roman" w:eastAsia="Times New Roman" w:hAnsi="Times New Roman" w:cs="Times New Roman"/>
      <w:sz w:val="20"/>
      <w:szCs w:val="20"/>
    </w:rPr>
  </w:style>
  <w:style w:type="paragraph" w:styleId="ListParagraph">
    <w:name w:val="List Paragraph"/>
    <w:basedOn w:val="Normal"/>
    <w:uiPriority w:val="34"/>
    <w:qFormat/>
    <w:pPr>
      <w:ind w:left="720"/>
      <w:contextualSpacing/>
      <w:jc w:val="both"/>
    </w:pPr>
    <w:rPr>
      <w:rFonts w:eastAsia="Calibri"/>
      <w:sz w:val="22"/>
      <w:szCs w:val="22"/>
    </w:r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qFormat/>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qFormat/>
    <w:pPr>
      <w:tabs>
        <w:tab w:val="left" w:pos="-1440"/>
        <w:tab w:val="left" w:pos="-720"/>
        <w:tab w:val="left" w:pos="1"/>
        <w:tab w:val="right" w:pos="9000"/>
      </w:tabs>
      <w:jc w:val="both"/>
    </w:pPr>
    <w:rPr>
      <w:rFonts w:ascii="Arial" w:hAnsi="Arial" w:cs="Arial"/>
      <w:iCs/>
      <w:sz w:val="17"/>
      <w:szCs w:val="17"/>
    </w:rPr>
  </w:style>
  <w:style w:type="character" w:customStyle="1" w:styleId="IntenseReference1">
    <w:name w:val="Intense Reference1"/>
    <w:qFormat/>
    <w:rPr>
      <w:b/>
      <w:bCs/>
      <w:smallCaps/>
      <w:color w:val="C0504D"/>
      <w:spacing w:val="5"/>
      <w:u w:val="single"/>
    </w:rPr>
  </w:style>
  <w:style w:type="character" w:customStyle="1" w:styleId="EndnoteTextChar">
    <w:name w:val="Endnote Text Char"/>
    <w:basedOn w:val="DefaultParagraphFont"/>
    <w:link w:val="EndnoteText"/>
    <w:qFormat/>
    <w:rPr>
      <w:rFonts w:ascii="Calibri" w:eastAsia="Calibri" w:hAnsi="Calibri" w:cs="Times New Roman"/>
      <w:sz w:val="20"/>
      <w:szCs w:val="20"/>
      <w:lang w:val="zh-CN" w:eastAsia="zh-CN"/>
    </w:rPr>
  </w:style>
  <w:style w:type="paragraph" w:styleId="NoSpacing">
    <w:name w:val="No Spacing"/>
    <w:link w:val="NoSpacingChar"/>
    <w:qFormat/>
    <w:rPr>
      <w:rFonts w:ascii="Calibri" w:eastAsia="Calibri" w:hAnsi="Calibri"/>
      <w:sz w:val="22"/>
      <w:szCs w:val="22"/>
      <w:lang w:val="en-IN" w:eastAsia="en-US"/>
    </w:rPr>
  </w:style>
  <w:style w:type="character" w:customStyle="1" w:styleId="NoSpacingChar">
    <w:name w:val="No Spacing Char"/>
    <w:link w:val="NoSpacing"/>
    <w:qFormat/>
    <w:rPr>
      <w:rFonts w:ascii="Calibri" w:eastAsia="Calibri" w:hAnsi="Calibri" w:cs="Times New Roman"/>
      <w:lang w:val="en-IN"/>
    </w:rPr>
  </w:style>
  <w:style w:type="paragraph" w:customStyle="1" w:styleId="Casehead40">
    <w:name w:val="Casehead4"/>
    <w:basedOn w:val="Normal"/>
    <w:next w:val="Normal"/>
    <w:qFormat/>
    <w:pPr>
      <w:tabs>
        <w:tab w:val="left" w:pos="-1440"/>
        <w:tab w:val="left" w:pos="-720"/>
        <w:tab w:val="left" w:pos="1"/>
      </w:tabs>
      <w:jc w:val="both"/>
    </w:pPr>
    <w:rPr>
      <w:i/>
      <w:sz w:val="24"/>
    </w:rPr>
  </w:style>
  <w:style w:type="character" w:customStyle="1" w:styleId="BodyTextIndentChar">
    <w:name w:val="Body Text Indent Char"/>
    <w:basedOn w:val="DefaultParagraphFont"/>
    <w:link w:val="BodyTextIndent"/>
    <w:uiPriority w:val="99"/>
    <w:semiHidden/>
    <w:qFormat/>
    <w:rPr>
      <w:rFonts w:ascii="Times New Roman" w:eastAsia="Times New Roman" w:hAnsi="Times New Roman" w:cs="Times New Roman"/>
      <w:sz w:val="20"/>
      <w:szCs w:val="20"/>
    </w:rPr>
  </w:style>
  <w:style w:type="paragraph" w:customStyle="1" w:styleId="NormalJustified">
    <w:name w:val="Normal + Justified"/>
    <w:basedOn w:val="BodyText"/>
    <w:qFormat/>
    <w:pPr>
      <w:spacing w:after="0"/>
      <w:jc w:val="both"/>
    </w:pPr>
    <w:rPr>
      <w:sz w:val="24"/>
      <w:szCs w:val="24"/>
    </w:rPr>
  </w:style>
  <w:style w:type="paragraph" w:customStyle="1" w:styleId="nsource1">
    <w:name w:val="nsource1"/>
    <w:basedOn w:val="Normal"/>
    <w:qFormat/>
    <w:pPr>
      <w:tabs>
        <w:tab w:val="left" w:pos="900"/>
        <w:tab w:val="left" w:pos="1080"/>
        <w:tab w:val="left" w:pos="1260"/>
      </w:tabs>
      <w:ind w:left="1260" w:hanging="1260"/>
    </w:pPr>
    <w:rPr>
      <w:lang w:val="en-AU"/>
    </w:rPr>
  </w:style>
  <w:style w:type="character" w:customStyle="1" w:styleId="BodyTextIndent3Char">
    <w:name w:val="Body Text Indent 3 Char"/>
    <w:basedOn w:val="DefaultParagraphFont"/>
    <w:link w:val="BodyTextIndent3"/>
    <w:qFormat/>
    <w:rPr>
      <w:rFonts w:ascii="Times New Roman" w:eastAsia="Times New Roman" w:hAnsi="Times New Roman" w:cs="Times New Roman"/>
      <w:sz w:val="16"/>
      <w:szCs w:val="16"/>
    </w:rPr>
  </w:style>
  <w:style w:type="character" w:customStyle="1" w:styleId="TitleChar">
    <w:name w:val="Title Char"/>
    <w:basedOn w:val="DefaultParagraphFont"/>
    <w:link w:val="Title"/>
    <w:qFormat/>
    <w:rPr>
      <w:rFonts w:ascii="Times New Roman" w:eastAsia="Times New Roman" w:hAnsi="Times New Roman" w:cs="Times New Roman"/>
      <w:b/>
      <w:sz w:val="24"/>
      <w:szCs w:val="20"/>
      <w:lang w:val="en-AU"/>
    </w:rPr>
  </w:style>
  <w:style w:type="character" w:customStyle="1" w:styleId="citation">
    <w:name w:val="citation"/>
    <w:basedOn w:val="DefaultParagraphFont"/>
    <w:qFormat/>
  </w:style>
  <w:style w:type="character" w:customStyle="1" w:styleId="reference-accessdate">
    <w:name w:val="reference-accessdate"/>
    <w:basedOn w:val="DefaultParagraphFont"/>
    <w:qFormat/>
  </w:style>
  <w:style w:type="character" w:customStyle="1" w:styleId="xn-person">
    <w:name w:val="xn-person"/>
    <w:basedOn w:val="DefaultParagraphFont"/>
    <w:qFormat/>
  </w:style>
  <w:style w:type="character" w:customStyle="1" w:styleId="bold01">
    <w:name w:val="bold_01"/>
    <w:basedOn w:val="DefaultParagraphFont"/>
    <w:qFormat/>
  </w:style>
  <w:style w:type="character" w:customStyle="1" w:styleId="cst-tbl-subtitle">
    <w:name w:val="cst-tbl-subtitle"/>
    <w:basedOn w:val="DefaultParagraphFont"/>
    <w:qFormat/>
  </w:style>
  <w:style w:type="paragraph" w:customStyle="1" w:styleId="Revision1">
    <w:name w:val="Revision1"/>
    <w:hidden/>
    <w:qFormat/>
    <w:rPr>
      <w:rFonts w:eastAsia="Times New Roman"/>
      <w:lang w:eastAsia="en-US"/>
    </w:rPr>
  </w:style>
  <w:style w:type="character" w:customStyle="1" w:styleId="Heading4Char">
    <w:name w:val="Heading 4 Char"/>
    <w:basedOn w:val="DefaultParagraphFont"/>
    <w:link w:val="Heading4"/>
    <w:qFormat/>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qFormat/>
    <w:rPr>
      <w:rFonts w:asciiTheme="majorHAnsi" w:eastAsiaTheme="majorEastAsia" w:hAnsiTheme="majorHAnsi" w:cstheme="majorBidi"/>
      <w:color w:val="244061" w:themeColor="accent1" w:themeShade="80"/>
      <w:sz w:val="20"/>
      <w:szCs w:val="20"/>
    </w:rPr>
  </w:style>
  <w:style w:type="paragraph" w:customStyle="1" w:styleId="casehead10">
    <w:name w:val="casehead1"/>
    <w:basedOn w:val="Normal"/>
    <w:next w:val="BodyText"/>
    <w:qFormat/>
    <w:rPr>
      <w:rFonts w:ascii="Arial" w:hAnsi="Arial"/>
      <w:b/>
      <w:caps/>
      <w:lang w:eastAsia="en-CA"/>
    </w:rPr>
  </w:style>
  <w:style w:type="paragraph" w:customStyle="1" w:styleId="casehead20">
    <w:name w:val="casehead2"/>
    <w:basedOn w:val="Normal"/>
    <w:next w:val="BodyText"/>
    <w:qFormat/>
    <w:rPr>
      <w:rFonts w:ascii="Arial" w:hAnsi="Arial"/>
      <w:b/>
      <w:lang w:eastAsia="en-CA"/>
    </w:rPr>
  </w:style>
  <w:style w:type="character" w:customStyle="1" w:styleId="MainTitleCharChar">
    <w:name w:val="MainTitle Char Char"/>
    <w:qFormat/>
    <w:rPr>
      <w:rFonts w:ascii="Arial" w:hAnsi="Arial" w:cs="Arial"/>
      <w:b/>
      <w:bCs/>
      <w:caps/>
      <w:color w:val="000000"/>
      <w:sz w:val="28"/>
      <w:szCs w:val="28"/>
    </w:rPr>
  </w:style>
  <w:style w:type="character" w:customStyle="1" w:styleId="BodyTextMainCharCharChar">
    <w:name w:val="Body Text Main Char Char Char"/>
    <w:qFormat/>
    <w:rPr>
      <w:rFonts w:ascii="Times New Roman" w:eastAsia="Times New Roman" w:hAnsi="Times New Roman" w:cs="Times New Roman"/>
    </w:rPr>
  </w:style>
  <w:style w:type="character" w:customStyle="1" w:styleId="CaseTitleCharChar">
    <w:name w:val="Case Title Char Char"/>
    <w:qFormat/>
    <w:rPr>
      <w:rFonts w:ascii="Arial" w:hAnsi="Arial" w:cs="Arial"/>
      <w:b/>
      <w:bCs/>
      <w:caps/>
      <w:color w:val="000000"/>
      <w:sz w:val="28"/>
      <w:szCs w:val="28"/>
    </w:rPr>
  </w:style>
  <w:style w:type="character" w:customStyle="1" w:styleId="TeachingNoteTitleCharChar">
    <w:name w:val="Teaching Note Title Char Char"/>
    <w:qFormat/>
    <w:rPr>
      <w:rFonts w:ascii="Arial" w:hAnsi="Arial" w:cs="Arial"/>
      <w:b/>
      <w:bCs/>
      <w:caps/>
      <w:color w:val="000000"/>
      <w:sz w:val="28"/>
      <w:szCs w:val="28"/>
    </w:rPr>
  </w:style>
  <w:style w:type="character" w:customStyle="1" w:styleId="CommentReference1">
    <w:name w:val="Comment Reference1"/>
    <w:qFormat/>
    <w:rPr>
      <w:sz w:val="16"/>
      <w:szCs w:val="16"/>
    </w:rPr>
  </w:style>
  <w:style w:type="character" w:customStyle="1" w:styleId="Casehead2CharChar">
    <w:name w:val="Casehead 2 Char Char"/>
    <w:qFormat/>
    <w:rPr>
      <w:rFonts w:ascii="Arial" w:eastAsia="Times New Roman" w:hAnsi="Arial" w:cs="Arial"/>
      <w:b/>
      <w:sz w:val="20"/>
      <w:szCs w:val="20"/>
    </w:rPr>
  </w:style>
  <w:style w:type="character" w:customStyle="1" w:styleId="Casehead4CharChar">
    <w:name w:val="Casehead 4 Char Char"/>
    <w:qFormat/>
    <w:rPr>
      <w:rFonts w:ascii="Times New Roman" w:eastAsia="Times New Roman" w:hAnsi="Times New Roman" w:cs="Times New Roman"/>
      <w:i/>
      <w:sz w:val="20"/>
      <w:szCs w:val="20"/>
      <w:u w:val="single"/>
    </w:rPr>
  </w:style>
  <w:style w:type="character" w:customStyle="1" w:styleId="Casehead1CharChar">
    <w:name w:val="Casehead 1 Char Char"/>
    <w:qFormat/>
    <w:rPr>
      <w:rFonts w:ascii="Arial" w:eastAsia="Times New Roman" w:hAnsi="Arial" w:cs="Arial"/>
      <w:b/>
      <w:caps/>
      <w:sz w:val="20"/>
      <w:szCs w:val="20"/>
    </w:rPr>
  </w:style>
  <w:style w:type="character" w:customStyle="1" w:styleId="hps">
    <w:name w:val="hps"/>
    <w:basedOn w:val="DefaultParagraphFont"/>
    <w:qFormat/>
  </w:style>
  <w:style w:type="character" w:customStyle="1" w:styleId="ExhibitNumberCharChar">
    <w:name w:val="Exhibit Number Char Char"/>
    <w:qFormat/>
    <w:rPr>
      <w:rFonts w:ascii="Arial" w:eastAsia="Times New Roman" w:hAnsi="Arial" w:cs="Arial"/>
      <w:b/>
      <w:sz w:val="20"/>
      <w:szCs w:val="20"/>
    </w:rPr>
  </w:style>
  <w:style w:type="character" w:customStyle="1" w:styleId="Quotation3LinesCharChar">
    <w:name w:val="Quotation (3+ Lines) Char Char"/>
    <w:qFormat/>
    <w:rPr>
      <w:rFonts w:ascii="Times New Roman" w:eastAsia="Times New Roman" w:hAnsi="Times New Roman" w:cs="Times New Roman"/>
    </w:rPr>
  </w:style>
  <w:style w:type="character" w:customStyle="1" w:styleId="FootnoteCharChar">
    <w:name w:val="Footnote Char Char"/>
    <w:qFormat/>
    <w:rPr>
      <w:rFonts w:ascii="Arial" w:eastAsia="Times New Roman" w:hAnsi="Arial" w:cs="Arial"/>
      <w:kern w:val="2"/>
      <w:sz w:val="17"/>
      <w:szCs w:val="17"/>
    </w:rPr>
  </w:style>
  <w:style w:type="character" w:customStyle="1" w:styleId="ExhibitHeadingCharChar">
    <w:name w:val="Exhibit Heading Char Char"/>
    <w:qFormat/>
    <w:rPr>
      <w:rFonts w:ascii="Arial" w:eastAsia="Times New Roman" w:hAnsi="Arial" w:cs="Arial"/>
      <w:b/>
      <w:caps/>
      <w:sz w:val="20"/>
      <w:szCs w:val="20"/>
    </w:rPr>
  </w:style>
  <w:style w:type="character" w:customStyle="1" w:styleId="CommentSubjectCharChar">
    <w:name w:val="Comment Subject Char Char"/>
    <w:qFormat/>
    <w:rPr>
      <w:rFonts w:ascii="Times New Roman" w:eastAsia="Times New Roman" w:hAnsi="Times New Roman" w:cs="Times New Roman"/>
      <w:b/>
      <w:bCs/>
      <w:sz w:val="20"/>
      <w:szCs w:val="20"/>
    </w:rPr>
  </w:style>
  <w:style w:type="character" w:customStyle="1" w:styleId="Casehead3CharChar">
    <w:name w:val="Casehead 3 Char Char"/>
    <w:qFormat/>
    <w:rPr>
      <w:rFonts w:ascii="Times New Roman" w:eastAsia="Times New Roman" w:hAnsi="Times New Roman" w:cs="Times New Roman"/>
      <w:sz w:val="20"/>
      <w:szCs w:val="20"/>
      <w:u w:val="single"/>
    </w:rPr>
  </w:style>
  <w:style w:type="character" w:customStyle="1" w:styleId="BodyTextIndentCharChar">
    <w:name w:val="Body Text Indent Char Char"/>
    <w:link w:val="BodyTextIndent1"/>
    <w:qFormat/>
    <w:rPr>
      <w:rFonts w:ascii="Times New Roman" w:eastAsia="Times New Roman" w:hAnsi="Times New Roman" w:cs="Times New Roman"/>
      <w:sz w:val="20"/>
      <w:szCs w:val="20"/>
    </w:rPr>
  </w:style>
  <w:style w:type="paragraph" w:customStyle="1" w:styleId="BodyTextIndent1">
    <w:name w:val="Body Text Indent1"/>
    <w:basedOn w:val="Normal"/>
    <w:link w:val="BodyTextIndentCharChar"/>
    <w:qFormat/>
    <w:pPr>
      <w:spacing w:after="120"/>
      <w:ind w:left="360"/>
    </w:pPr>
  </w:style>
  <w:style w:type="character" w:customStyle="1" w:styleId="BodyTextMainCharChar">
    <w:name w:val="Body Text Main Char Char"/>
    <w:qFormat/>
    <w:rPr>
      <w:rFonts w:ascii="Times New Roman" w:eastAsia="Times New Roman" w:hAnsi="Times New Roman" w:cs="Times New Roman"/>
    </w:rPr>
  </w:style>
  <w:style w:type="character" w:customStyle="1" w:styleId="CommentSubjectChar1">
    <w:name w:val="Comment Subject Char1"/>
    <w:link w:val="CommentSubject1"/>
    <w:qFormat/>
    <w:rPr>
      <w:rFonts w:ascii="Times New Roman" w:eastAsia="Times New Roman" w:hAnsi="Times New Roman" w:cs="Times New Roman"/>
      <w:b/>
      <w:bCs/>
      <w:kern w:val="2"/>
      <w:szCs w:val="20"/>
    </w:rPr>
  </w:style>
  <w:style w:type="paragraph" w:customStyle="1" w:styleId="CommentSubject1">
    <w:name w:val="Comment Subject1"/>
    <w:basedOn w:val="CommentText"/>
    <w:next w:val="CommentText"/>
    <w:link w:val="CommentSubjectChar1"/>
    <w:qFormat/>
    <w:rPr>
      <w:b/>
      <w:bCs/>
      <w:kern w:val="2"/>
      <w:sz w:val="22"/>
    </w:rPr>
  </w:style>
  <w:style w:type="character" w:customStyle="1" w:styleId="CommentReference2">
    <w:name w:val="Comment Reference2"/>
    <w:qFormat/>
    <w:rPr>
      <w:sz w:val="16"/>
      <w:szCs w:val="16"/>
    </w:rPr>
  </w:style>
  <w:style w:type="character" w:customStyle="1" w:styleId="atn">
    <w:name w:val="atn"/>
    <w:basedOn w:val="DefaultParagraphFont"/>
    <w:qFormat/>
  </w:style>
  <w:style w:type="character" w:customStyle="1" w:styleId="footnotetextCharChar">
    <w:name w:val="footnote text Char Char"/>
    <w:link w:val="FootnoteText1"/>
    <w:qFormat/>
    <w:rPr>
      <w:rFonts w:ascii="Arial" w:eastAsia="Times New Roman" w:hAnsi="Arial" w:cs="Arial"/>
      <w:iCs/>
      <w:sz w:val="17"/>
      <w:szCs w:val="17"/>
    </w:rPr>
  </w:style>
  <w:style w:type="character" w:customStyle="1" w:styleId="BodyTextIndent3CharChar">
    <w:name w:val="Body Text Indent 3 Char Char"/>
    <w:link w:val="BodyTextIndent31"/>
    <w:qFormat/>
    <w:rPr>
      <w:rFonts w:ascii="Times New Roman" w:eastAsia="Times New Roman" w:hAnsi="Times New Roman" w:cs="Times New Roman"/>
      <w:sz w:val="16"/>
      <w:szCs w:val="16"/>
    </w:rPr>
  </w:style>
  <w:style w:type="paragraph" w:customStyle="1" w:styleId="BodyTextIndent31">
    <w:name w:val="Body Text Indent 31"/>
    <w:basedOn w:val="Normal"/>
    <w:link w:val="BodyTextIndent3CharChar"/>
    <w:qFormat/>
    <w:pPr>
      <w:spacing w:after="120"/>
      <w:ind w:left="360"/>
    </w:pPr>
    <w:rPr>
      <w:sz w:val="16"/>
      <w:szCs w:val="16"/>
    </w:rPr>
  </w:style>
  <w:style w:type="character" w:customStyle="1" w:styleId="ProductNumberCharChar">
    <w:name w:val="Product Number Char Char"/>
    <w:qFormat/>
    <w:rPr>
      <w:rFonts w:ascii="Arial" w:eastAsia="Times New Roman" w:hAnsi="Arial" w:cs="Times New Roman"/>
      <w:b/>
      <w:caps/>
      <w:sz w:val="24"/>
      <w:szCs w:val="20"/>
    </w:rPr>
  </w:style>
  <w:style w:type="character" w:customStyle="1" w:styleId="PageNumber1">
    <w:name w:val="Page Number1"/>
    <w:basedOn w:val="DefaultParagraphFont"/>
    <w:qFormat/>
  </w:style>
  <w:style w:type="character" w:customStyle="1" w:styleId="ExhibitTextCharChar">
    <w:name w:val="Exhibit Text Char Char"/>
    <w:qFormat/>
    <w:rPr>
      <w:rFonts w:ascii="Arial" w:eastAsia="Times New Roman" w:hAnsi="Arial" w:cs="Arial"/>
      <w:sz w:val="20"/>
      <w:szCs w:val="20"/>
    </w:rPr>
  </w:style>
  <w:style w:type="paragraph" w:customStyle="1" w:styleId="NewNew">
    <w:name w:val="页眉 New New"/>
    <w:basedOn w:val="New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
    <w:name w:val="正文 New New New New New"/>
    <w:qFormat/>
    <w:pPr>
      <w:widowControl w:val="0"/>
      <w:jc w:val="both"/>
    </w:pPr>
    <w:rPr>
      <w:rFonts w:cs="Calibri"/>
      <w:kern w:val="2"/>
      <w:sz w:val="21"/>
      <w:szCs w:val="21"/>
    </w:rPr>
  </w:style>
  <w:style w:type="paragraph" w:customStyle="1" w:styleId="NormalNew">
    <w:name w:val="Normal New"/>
    <w:qFormat/>
    <w:pPr>
      <w:jc w:val="both"/>
    </w:pPr>
    <w:rPr>
      <w:kern w:val="2"/>
      <w:sz w:val="21"/>
      <w:lang w:eastAsia="en-US"/>
    </w:rPr>
  </w:style>
  <w:style w:type="paragraph" w:customStyle="1" w:styleId="NewNew0">
    <w:name w:val="页脚 New New"/>
    <w:basedOn w:val="NewNewNewNewNew"/>
    <w:qFormat/>
    <w:pPr>
      <w:tabs>
        <w:tab w:val="center" w:pos="4153"/>
        <w:tab w:val="right" w:pos="8306"/>
      </w:tabs>
      <w:snapToGrid w:val="0"/>
      <w:jc w:val="left"/>
    </w:pPr>
    <w:rPr>
      <w:rFonts w:ascii="Calibri" w:hAnsi="Calibri"/>
      <w:sz w:val="18"/>
      <w:szCs w:val="18"/>
    </w:rPr>
  </w:style>
  <w:style w:type="paragraph" w:customStyle="1" w:styleId="New">
    <w:name w:val="页脚 New"/>
    <w:basedOn w:val="NewNewNewNew"/>
    <w:qFormat/>
    <w:pPr>
      <w:tabs>
        <w:tab w:val="center" w:pos="4153"/>
        <w:tab w:val="right" w:pos="8306"/>
      </w:tabs>
      <w:snapToGrid w:val="0"/>
      <w:jc w:val="left"/>
    </w:pPr>
    <w:rPr>
      <w:rFonts w:ascii="Calibri" w:hAnsi="Calibri"/>
      <w:sz w:val="18"/>
      <w:szCs w:val="18"/>
    </w:rPr>
  </w:style>
  <w:style w:type="paragraph" w:customStyle="1" w:styleId="NewNewNewNew">
    <w:name w:val="正文 New New New New"/>
    <w:qFormat/>
    <w:pPr>
      <w:widowControl w:val="0"/>
      <w:jc w:val="both"/>
    </w:pPr>
    <w:rPr>
      <w:rFonts w:cs="Calibri"/>
      <w:kern w:val="2"/>
      <w:sz w:val="21"/>
      <w:szCs w:val="21"/>
    </w:rPr>
  </w:style>
  <w:style w:type="paragraph" w:customStyle="1" w:styleId="NewNewNewNew0">
    <w:name w:val="页眉 New New New New"/>
    <w:basedOn w:val="NewNewNew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New">
    <w:name w:val="正文 New New New New New New New"/>
    <w:qFormat/>
    <w:pPr>
      <w:widowControl w:val="0"/>
      <w:jc w:val="both"/>
    </w:pPr>
    <w:rPr>
      <w:rFonts w:cs="Calibri"/>
      <w:kern w:val="2"/>
      <w:sz w:val="21"/>
      <w:szCs w:val="21"/>
    </w:rPr>
  </w:style>
  <w:style w:type="paragraph" w:customStyle="1" w:styleId="NewNewNewNew1">
    <w:name w:val="页脚 New New New New"/>
    <w:basedOn w:val="NewNewNewNewNewNewNew"/>
    <w:qFormat/>
    <w:pPr>
      <w:tabs>
        <w:tab w:val="center" w:pos="4153"/>
        <w:tab w:val="right" w:pos="8306"/>
      </w:tabs>
      <w:snapToGrid w:val="0"/>
      <w:jc w:val="left"/>
    </w:pPr>
    <w:rPr>
      <w:rFonts w:ascii="Calibri" w:hAnsi="Calibri"/>
      <w:sz w:val="18"/>
      <w:szCs w:val="18"/>
    </w:rPr>
  </w:style>
  <w:style w:type="paragraph" w:customStyle="1" w:styleId="Normal2">
    <w:name w:val="Normal2"/>
    <w:qFormat/>
    <w:pPr>
      <w:jc w:val="both"/>
    </w:pPr>
    <w:rPr>
      <w:kern w:val="2"/>
      <w:sz w:val="21"/>
      <w:lang w:eastAsia="en-US"/>
    </w:rPr>
  </w:style>
  <w:style w:type="paragraph" w:customStyle="1" w:styleId="NormalWeb1">
    <w:name w:val="Normal (Web)1"/>
    <w:basedOn w:val="Normal"/>
    <w:qFormat/>
    <w:pPr>
      <w:spacing w:before="100" w:beforeAutospacing="1" w:after="100" w:afterAutospacing="1"/>
    </w:pPr>
    <w:rPr>
      <w:kern w:val="2"/>
      <w:sz w:val="24"/>
      <w:szCs w:val="24"/>
    </w:rPr>
  </w:style>
  <w:style w:type="paragraph" w:customStyle="1" w:styleId="Normal1">
    <w:name w:val="Normal1"/>
    <w:qFormat/>
    <w:pPr>
      <w:jc w:val="both"/>
    </w:pPr>
    <w:rPr>
      <w:kern w:val="2"/>
      <w:sz w:val="21"/>
      <w:lang w:eastAsia="en-US"/>
    </w:rPr>
  </w:style>
  <w:style w:type="paragraph" w:customStyle="1" w:styleId="New0">
    <w:name w:val="页眉 New"/>
    <w:basedOn w:val="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qFormat/>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NewNew">
    <w:name w:val="正文 New New New New New New"/>
    <w:qFormat/>
    <w:pPr>
      <w:widowControl w:val="0"/>
      <w:jc w:val="both"/>
    </w:pPr>
    <w:rPr>
      <w:rFonts w:cs="Calibri"/>
      <w:kern w:val="2"/>
      <w:sz w:val="21"/>
      <w:szCs w:val="21"/>
    </w:rPr>
  </w:style>
  <w:style w:type="paragraph" w:customStyle="1" w:styleId="NewNewNew0">
    <w:name w:val="页脚 New New New"/>
    <w:basedOn w:val="NewNewNewNewNewNew"/>
    <w:qFormat/>
    <w:pPr>
      <w:tabs>
        <w:tab w:val="center" w:pos="4153"/>
        <w:tab w:val="right" w:pos="8306"/>
      </w:tabs>
      <w:snapToGrid w:val="0"/>
      <w:jc w:val="left"/>
    </w:pPr>
    <w:rPr>
      <w:rFonts w:ascii="Calibri" w:hAnsi="Calibri"/>
      <w:sz w:val="18"/>
      <w:szCs w:val="18"/>
    </w:rPr>
  </w:style>
  <w:style w:type="paragraph" w:customStyle="1" w:styleId="Normal3">
    <w:name w:val="Normal3"/>
    <w:link w:val="Normal3Char"/>
    <w:qFormat/>
    <w:pPr>
      <w:jc w:val="both"/>
    </w:pPr>
    <w:rPr>
      <w:kern w:val="2"/>
      <w:sz w:val="21"/>
      <w:lang w:eastAsia="en-US"/>
    </w:rPr>
  </w:style>
  <w:style w:type="paragraph" w:customStyle="1" w:styleId="New1">
    <w:name w:val="正文 New"/>
    <w:qFormat/>
    <w:rPr>
      <w:rFonts w:eastAsia="Times New Roman"/>
      <w:kern w:val="2"/>
      <w:lang w:eastAsia="en-US"/>
    </w:rPr>
  </w:style>
  <w:style w:type="paragraph" w:customStyle="1" w:styleId="TOCHeading1">
    <w:name w:val="TOC Heading1"/>
    <w:basedOn w:val="Heading1"/>
    <w:next w:val="Normal"/>
    <w:qFormat/>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qFormat/>
    <w:pPr>
      <w:widowControl w:val="0"/>
      <w:jc w:val="both"/>
    </w:pPr>
    <w:rPr>
      <w:rFonts w:ascii="Calibri" w:hAnsi="Calibri"/>
      <w:kern w:val="2"/>
      <w:sz w:val="21"/>
      <w:szCs w:val="24"/>
    </w:rPr>
  </w:style>
  <w:style w:type="paragraph" w:customStyle="1" w:styleId="Default">
    <w:name w:val="Default"/>
    <w:qFormat/>
    <w:pPr>
      <w:widowControl w:val="0"/>
      <w:autoSpaceDE w:val="0"/>
      <w:autoSpaceDN w:val="0"/>
    </w:pPr>
    <w:rPr>
      <w:rFonts w:ascii="KaiTi_GB2312" w:eastAsia="KaiTi_GB2312" w:hAnsi="KaiTi_GB2312" w:hint="eastAsia"/>
      <w:color w:val="000000"/>
      <w:sz w:val="24"/>
      <w:lang w:eastAsia="en-US"/>
    </w:rPr>
  </w:style>
  <w:style w:type="paragraph" w:customStyle="1" w:styleId="NewNewNew1">
    <w:name w:val="正文 New New New"/>
    <w:qFormat/>
    <w:pPr>
      <w:widowControl w:val="0"/>
      <w:jc w:val="both"/>
    </w:pPr>
    <w:rPr>
      <w:rFonts w:ascii="Calibri" w:hAnsi="Calibri"/>
      <w:kern w:val="2"/>
      <w:sz w:val="21"/>
      <w:szCs w:val="24"/>
    </w:rPr>
  </w:style>
  <w:style w:type="character" w:customStyle="1" w:styleId="CommentSubjectChar2">
    <w:name w:val="Comment Subject Char2"/>
    <w:uiPriority w:val="99"/>
    <w:semiHidden/>
    <w:qFormat/>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pPr>
      <w:widowControl w:val="0"/>
      <w:autoSpaceDE w:val="0"/>
      <w:autoSpaceDN w:val="0"/>
    </w:pPr>
    <w:rPr>
      <w:lang w:val="en-CA"/>
    </w:rPr>
  </w:style>
  <w:style w:type="character" w:customStyle="1" w:styleId="Normal3Char">
    <w:name w:val="Normal3 Char"/>
    <w:basedOn w:val="DefaultParagraphFont"/>
    <w:link w:val="Normal3"/>
    <w:qFormat/>
    <w:rPr>
      <w:rFonts w:ascii="Times New Roman" w:eastAsia="SimSun" w:hAnsi="Times New Roman" w:cs="Times New Roman"/>
      <w:kern w:val="2"/>
      <w:sz w:val="21"/>
      <w:szCs w:val="20"/>
    </w:rPr>
  </w:style>
  <w:style w:type="character" w:customStyle="1" w:styleId="ParagraphChar">
    <w:name w:val="Paragraph Char"/>
    <w:basedOn w:val="Normal3Char"/>
    <w:link w:val="Paragraph"/>
    <w:qFormat/>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pPr>
      <w:widowControl w:val="0"/>
      <w:autoSpaceDE w:val="0"/>
      <w:autoSpaceDN w:val="0"/>
      <w:jc w:val="right"/>
    </w:pPr>
    <w:rPr>
      <w:sz w:val="22"/>
      <w:szCs w:val="22"/>
    </w:rPr>
  </w:style>
  <w:style w:type="paragraph" w:customStyle="1" w:styleId="1">
    <w:name w:val="修订1"/>
    <w:hidden/>
    <w:uiPriority w:val="99"/>
    <w:semiHidden/>
    <w:qFormat/>
    <w:rPr>
      <w:rFonts w:eastAsia="Times New Roman"/>
      <w:lang w:eastAsia="en-US"/>
    </w:rPr>
  </w:style>
  <w:style w:type="paragraph" w:customStyle="1" w:styleId="2">
    <w:name w:val="修订2"/>
    <w:hidden/>
    <w:uiPriority w:val="99"/>
    <w:semiHidden/>
    <w:qFormat/>
    <w:rPr>
      <w:rFonts w:eastAsia="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AppData\Local\kingsoft\WPS%20Cloud%20Files\userdata\qing\filecache\&#27668;&#29699;&#30340;&#20113;&#25991;&#26723;\&#30005;&#24314;&#22269;&#38469;&#26696;&#20363;&#24320;&#21457;&#26694;&#26550;&#35814;&#32454;&#29256;GXY%2008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'[电建国际案例开发框架详细版GXY 0821.xlsx]Sheet2'!$O$1</c:f>
              <c:strCache>
                <c:ptCount val="1"/>
                <c:pt idx="0">
                  <c:v>Income（ten thousand yuan）</c:v>
                </c:pt>
              </c:strCache>
            </c:strRef>
          </c:tx>
          <c:spPr>
            <a:solidFill>
              <a:schemeClr val="dk1">
                <a:tint val="88500"/>
              </a:schemeClr>
            </a:solidFill>
            <a:ln>
              <a:noFill/>
            </a:ln>
            <a:effectLst/>
          </c:spPr>
          <c:invertIfNegative val="0"/>
          <c:cat>
            <c:numRef>
              <c:f>'[电建国际案例开发框架详细版GXY 0821.xlsx]Sheet2'!$N$2:$N$8</c:f>
              <c:numCache>
                <c:formatCode>General</c:formatCode>
                <c:ptCount val="7"/>
                <c:pt idx="0">
                  <c:v>2011</c:v>
                </c:pt>
                <c:pt idx="1">
                  <c:v>2012</c:v>
                </c:pt>
                <c:pt idx="2">
                  <c:v>2013</c:v>
                </c:pt>
                <c:pt idx="3">
                  <c:v>2014</c:v>
                </c:pt>
                <c:pt idx="4">
                  <c:v>2015</c:v>
                </c:pt>
                <c:pt idx="5">
                  <c:v>2016</c:v>
                </c:pt>
                <c:pt idx="6">
                  <c:v>2017</c:v>
                </c:pt>
              </c:numCache>
            </c:numRef>
          </c:cat>
          <c:val>
            <c:numRef>
              <c:f>'[电建国际案例开发框架详细版GXY 0821.xlsx]Sheet2'!$O$2:$O$8</c:f>
              <c:numCache>
                <c:formatCode>#,##0.00</c:formatCode>
                <c:ptCount val="7"/>
                <c:pt idx="0">
                  <c:v>2884948.86</c:v>
                </c:pt>
                <c:pt idx="1">
                  <c:v>3520623.03</c:v>
                </c:pt>
                <c:pt idx="2">
                  <c:v>3702458.45</c:v>
                </c:pt>
                <c:pt idx="3">
                  <c:v>4073176.79</c:v>
                </c:pt>
                <c:pt idx="4">
                  <c:v>5194772.59</c:v>
                </c:pt>
                <c:pt idx="5">
                  <c:v>5404153.0999999996</c:v>
                </c:pt>
                <c:pt idx="6">
                  <c:v>6321954.1900000004</c:v>
                </c:pt>
              </c:numCache>
            </c:numRef>
          </c:val>
          <c:extLst>
            <c:ext xmlns:c16="http://schemas.microsoft.com/office/drawing/2014/chart" uri="{C3380CC4-5D6E-409C-BE32-E72D297353CC}">
              <c16:uniqueId val="{00000000-E892-4BC2-8FF9-0C341B633AEA}"/>
            </c:ext>
          </c:extLst>
        </c:ser>
        <c:dLbls>
          <c:showLegendKey val="0"/>
          <c:showVal val="0"/>
          <c:showCatName val="0"/>
          <c:showSerName val="0"/>
          <c:showPercent val="0"/>
          <c:showBubbleSize val="0"/>
        </c:dLbls>
        <c:gapWidth val="150"/>
        <c:axId val="469130936"/>
        <c:axId val="469131328"/>
      </c:barChart>
      <c:lineChart>
        <c:grouping val="standard"/>
        <c:varyColors val="0"/>
        <c:ser>
          <c:idx val="1"/>
          <c:order val="1"/>
          <c:tx>
            <c:strRef>
              <c:f>'[电建国际案例开发框架详细版GXY 0821.xlsx]Sheet2'!$P$1</c:f>
              <c:strCache>
                <c:ptCount val="1"/>
                <c:pt idx="0">
                  <c:v> Income increased or decreased from previous year（％）</c:v>
                </c:pt>
              </c:strCache>
            </c:strRef>
          </c:tx>
          <c:spPr>
            <a:ln w="28575" cap="rnd" cmpd="sng" algn="ctr">
              <a:solidFill>
                <a:schemeClr val="dk1">
                  <a:tint val="55000"/>
                  <a:shade val="95000"/>
                  <a:satMod val="105000"/>
                </a:schemeClr>
              </a:solidFill>
              <a:prstDash val="solid"/>
              <a:round/>
            </a:ln>
            <a:effectLst/>
          </c:spPr>
          <c:marker>
            <c:symbol val="none"/>
          </c:marker>
          <c:cat>
            <c:numRef>
              <c:f>'[电建国际案例开发框架详细版GXY 0821.xlsx]Sheet2'!$N$2:$N$8</c:f>
              <c:numCache>
                <c:formatCode>General</c:formatCode>
                <c:ptCount val="7"/>
                <c:pt idx="0">
                  <c:v>2011</c:v>
                </c:pt>
                <c:pt idx="1">
                  <c:v>2012</c:v>
                </c:pt>
                <c:pt idx="2">
                  <c:v>2013</c:v>
                </c:pt>
                <c:pt idx="3">
                  <c:v>2014</c:v>
                </c:pt>
                <c:pt idx="4">
                  <c:v>2015</c:v>
                </c:pt>
                <c:pt idx="5">
                  <c:v>2016</c:v>
                </c:pt>
                <c:pt idx="6">
                  <c:v>2017</c:v>
                </c:pt>
              </c:numCache>
            </c:numRef>
          </c:cat>
          <c:val>
            <c:numRef>
              <c:f>'[电建国际案例开发框架详细版GXY 0821.xlsx]Sheet2'!$P$2:$P$8</c:f>
              <c:numCache>
                <c:formatCode>0.00%</c:formatCode>
                <c:ptCount val="7"/>
                <c:pt idx="0">
                  <c:v>9.6299999999999997E-2</c:v>
                </c:pt>
                <c:pt idx="1">
                  <c:v>0.2203</c:v>
                </c:pt>
                <c:pt idx="2">
                  <c:v>5.16E-2</c:v>
                </c:pt>
                <c:pt idx="3">
                  <c:v>0.10009999999999999</c:v>
                </c:pt>
                <c:pt idx="4">
                  <c:v>0.1671</c:v>
                </c:pt>
                <c:pt idx="5">
                  <c:v>4.0300000000000002E-2</c:v>
                </c:pt>
                <c:pt idx="6">
                  <c:v>0.16980000000000001</c:v>
                </c:pt>
              </c:numCache>
            </c:numRef>
          </c:val>
          <c:smooth val="0"/>
          <c:extLst>
            <c:ext xmlns:c16="http://schemas.microsoft.com/office/drawing/2014/chart" uri="{C3380CC4-5D6E-409C-BE32-E72D297353CC}">
              <c16:uniqueId val="{00000001-E892-4BC2-8FF9-0C341B633AEA}"/>
            </c:ext>
          </c:extLst>
        </c:ser>
        <c:dLbls>
          <c:showLegendKey val="0"/>
          <c:showVal val="0"/>
          <c:showCatName val="0"/>
          <c:showSerName val="0"/>
          <c:showPercent val="0"/>
          <c:showBubbleSize val="0"/>
        </c:dLbls>
        <c:marker val="1"/>
        <c:smooth val="0"/>
        <c:axId val="469131720"/>
        <c:axId val="469128584"/>
      </c:lineChart>
      <c:catAx>
        <c:axId val="469130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69131328"/>
        <c:crosses val="autoZero"/>
        <c:auto val="1"/>
        <c:lblAlgn val="ctr"/>
        <c:lblOffset val="100"/>
        <c:noMultiLvlLbl val="0"/>
      </c:catAx>
      <c:valAx>
        <c:axId val="46913132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zh-CN" sz="1000" b="1" i="0" u="none" strike="noStrike" kern="1200" baseline="0">
                    <a:solidFill>
                      <a:schemeClr val="tx1"/>
                    </a:solidFill>
                    <a:latin typeface="+mn-lt"/>
                    <a:ea typeface="+mn-ea"/>
                    <a:cs typeface="+mn-cs"/>
                  </a:defRPr>
                </a:pPr>
                <a:r>
                  <a:rPr lang="en-US"/>
                  <a:t>¥ 10,000</a:t>
                </a:r>
              </a:p>
            </c:rich>
          </c:tx>
          <c:layout>
            <c:manualLayout>
              <c:xMode val="edge"/>
              <c:yMode val="edge"/>
              <c:x val="1.38888888888889E-2"/>
              <c:y val="0.30142375700795199"/>
            </c:manualLayout>
          </c:layout>
          <c:overlay val="0"/>
          <c:spPr>
            <a:noFill/>
            <a:ln>
              <a:noFill/>
            </a:ln>
            <a:effectLst/>
          </c:spPr>
          <c:txPr>
            <a:bodyPr rot="-5400000" spcFirstLastPara="1" vertOverflow="ellipsis" vert="horz" wrap="square" anchor="ctr" anchorCtr="1"/>
            <a:lstStyle/>
            <a:p>
              <a:pPr>
                <a:defRPr lang="zh-CN" sz="1000" b="1" i="0" u="none" strike="noStrike" kern="1200" baseline="0">
                  <a:solidFill>
                    <a:schemeClr val="tx1"/>
                  </a:solidFill>
                  <a:latin typeface="+mn-lt"/>
                  <a:ea typeface="+mn-ea"/>
                  <a:cs typeface="+mn-cs"/>
                </a:defRPr>
              </a:pPr>
              <a:endParaRPr lang="en-US"/>
            </a:p>
          </c:txPr>
        </c:title>
        <c:numFmt formatCode="#,##0" sourceLinked="0"/>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69130936"/>
        <c:crosses val="autoZero"/>
        <c:crossBetween val="between"/>
      </c:valAx>
      <c:catAx>
        <c:axId val="469131720"/>
        <c:scaling>
          <c:orientation val="minMax"/>
        </c:scaling>
        <c:delete val="1"/>
        <c:axPos val="b"/>
        <c:numFmt formatCode="General" sourceLinked="1"/>
        <c:majorTickMark val="out"/>
        <c:minorTickMark val="none"/>
        <c:tickLblPos val="nextTo"/>
        <c:crossAx val="469128584"/>
        <c:crosses val="autoZero"/>
        <c:auto val="1"/>
        <c:lblAlgn val="ctr"/>
        <c:lblOffset val="100"/>
        <c:noMultiLvlLbl val="0"/>
      </c:catAx>
      <c:valAx>
        <c:axId val="469128584"/>
        <c:scaling>
          <c:orientation val="minMax"/>
        </c:scaling>
        <c:delete val="0"/>
        <c:axPos val="r"/>
        <c:numFmt formatCode="0%" sourceLinked="0"/>
        <c:majorTickMark val="out"/>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69131720"/>
        <c:crosses val="max"/>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'[电建国际案例开发框架详细版GXY 0821.xlsx]Sheet2'!$G$28</c:f>
              <c:strCache>
                <c:ptCount val="1"/>
                <c:pt idx="0">
                  <c:v>2015年</c:v>
                </c:pt>
              </c:strCache>
            </c:strRef>
          </c:tx>
          <c:spPr>
            <a:solidFill>
              <a:schemeClr val="dk1">
                <a:tint val="88500"/>
              </a:schemeClr>
            </a:solidFill>
            <a:ln>
              <a:noFill/>
            </a:ln>
            <a:effectLst/>
          </c:spPr>
          <c:invertIfNegative val="0"/>
          <c:cat>
            <c:strRef>
              <c:f>'[电建国际案例开发框架详细版GXY 0821.xlsx]Sheet2'!$F$29:$F$35</c:f>
              <c:strCache>
                <c:ptCount val="7"/>
                <c:pt idx="0">
                  <c:v>Asia Pacific region </c:v>
                </c:pt>
                <c:pt idx="1">
                  <c:v>the Middle East</c:v>
                </c:pt>
                <c:pt idx="2">
                  <c:v>Eastern South Africa</c:v>
                </c:pt>
                <c:pt idx="3">
                  <c:v>Central and West Africa</c:v>
                </c:pt>
                <c:pt idx="4">
                  <c:v>Eurasian region</c:v>
                </c:pt>
                <c:pt idx="5">
                  <c:v>Americas</c:v>
                </c:pt>
                <c:pt idx="6">
                  <c:v>Oceania region
</c:v>
                </c:pt>
              </c:strCache>
            </c:strRef>
          </c:cat>
          <c:val>
            <c:numRef>
              <c:f>'[电建国际案例开发框架详细版GXY 0821.xlsx]Sheet2'!$G$29:$G$35</c:f>
              <c:numCache>
                <c:formatCode>#,##0</c:formatCode>
                <c:ptCount val="7"/>
                <c:pt idx="0">
                  <c:v>11990032</c:v>
                </c:pt>
                <c:pt idx="1">
                  <c:v>9680183</c:v>
                </c:pt>
                <c:pt idx="2">
                  <c:v>8501760</c:v>
                </c:pt>
                <c:pt idx="3">
                  <c:v>8043342</c:v>
                </c:pt>
                <c:pt idx="4">
                  <c:v>1848783</c:v>
                </c:pt>
                <c:pt idx="5">
                  <c:v>5286408</c:v>
                </c:pt>
                <c:pt idx="6">
                  <c:v>97339</c:v>
                </c:pt>
              </c:numCache>
            </c:numRef>
          </c:val>
          <c:extLst>
            <c:ext xmlns:c16="http://schemas.microsoft.com/office/drawing/2014/chart" uri="{C3380CC4-5D6E-409C-BE32-E72D297353CC}">
              <c16:uniqueId val="{00000000-F4A4-4BA8-8BBA-4052FD69CD1F}"/>
            </c:ext>
          </c:extLst>
        </c:ser>
        <c:ser>
          <c:idx val="1"/>
          <c:order val="1"/>
          <c:tx>
            <c:strRef>
              <c:f>'[电建国际案例开发框架详细版GXY 0821.xlsx]Sheet2'!$H$28</c:f>
              <c:strCache>
                <c:ptCount val="1"/>
                <c:pt idx="0">
                  <c:v>2016年</c:v>
                </c:pt>
              </c:strCache>
            </c:strRef>
          </c:tx>
          <c:spPr>
            <a:solidFill>
              <a:schemeClr val="dk1">
                <a:tint val="55000"/>
              </a:schemeClr>
            </a:solidFill>
            <a:ln>
              <a:noFill/>
            </a:ln>
            <a:effectLst/>
          </c:spPr>
          <c:invertIfNegative val="0"/>
          <c:cat>
            <c:strRef>
              <c:f>'[电建国际案例开发框架详细版GXY 0821.xlsx]Sheet2'!$F$29:$F$35</c:f>
              <c:strCache>
                <c:ptCount val="7"/>
                <c:pt idx="0">
                  <c:v>Asia Pacific region </c:v>
                </c:pt>
                <c:pt idx="1">
                  <c:v>the Middle East</c:v>
                </c:pt>
                <c:pt idx="2">
                  <c:v>Eastern South Africa</c:v>
                </c:pt>
                <c:pt idx="3">
                  <c:v>Central and West Africa</c:v>
                </c:pt>
                <c:pt idx="4">
                  <c:v>Eurasian region</c:v>
                </c:pt>
                <c:pt idx="5">
                  <c:v>Americas</c:v>
                </c:pt>
                <c:pt idx="6">
                  <c:v>Oceania region
</c:v>
                </c:pt>
              </c:strCache>
            </c:strRef>
          </c:cat>
          <c:val>
            <c:numRef>
              <c:f>'[电建国际案例开发框架详细版GXY 0821.xlsx]Sheet2'!$H$29:$H$35</c:f>
              <c:numCache>
                <c:formatCode>#,##0</c:formatCode>
                <c:ptCount val="7"/>
                <c:pt idx="0">
                  <c:v>13916525</c:v>
                </c:pt>
                <c:pt idx="1">
                  <c:v>10165514</c:v>
                </c:pt>
                <c:pt idx="2">
                  <c:v>7673422</c:v>
                </c:pt>
                <c:pt idx="3">
                  <c:v>8854745</c:v>
                </c:pt>
                <c:pt idx="4">
                  <c:v>1897447</c:v>
                </c:pt>
                <c:pt idx="5">
                  <c:v>6222023</c:v>
                </c:pt>
                <c:pt idx="6">
                  <c:v>97588</c:v>
                </c:pt>
              </c:numCache>
            </c:numRef>
          </c:val>
          <c:extLst>
            <c:ext xmlns:c16="http://schemas.microsoft.com/office/drawing/2014/chart" uri="{C3380CC4-5D6E-409C-BE32-E72D297353CC}">
              <c16:uniqueId val="{00000001-F4A4-4BA8-8BBA-4052FD69CD1F}"/>
            </c:ext>
          </c:extLst>
        </c:ser>
        <c:dLbls>
          <c:showLegendKey val="0"/>
          <c:showVal val="0"/>
          <c:showCatName val="0"/>
          <c:showSerName val="0"/>
          <c:showPercent val="0"/>
          <c:showBubbleSize val="0"/>
        </c:dLbls>
        <c:gapWidth val="219"/>
        <c:overlap val="-27"/>
        <c:axId val="469129760"/>
        <c:axId val="472840928"/>
      </c:barChart>
      <c:catAx>
        <c:axId val="46912976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72840928"/>
        <c:crosses val="autoZero"/>
        <c:auto val="1"/>
        <c:lblAlgn val="ctr"/>
        <c:lblOffset val="100"/>
        <c:noMultiLvlLbl val="0"/>
      </c:catAx>
      <c:valAx>
        <c:axId val="47284092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zh-CN" sz="1000" b="1" i="0" u="none" strike="noStrike" kern="1200" baseline="0">
                    <a:solidFill>
                      <a:schemeClr val="tx1"/>
                    </a:solidFill>
                    <a:latin typeface="+mn-lt"/>
                    <a:ea typeface="+mn-ea"/>
                    <a:cs typeface="+mn-cs"/>
                  </a:defRPr>
                </a:pPr>
                <a:r>
                  <a:rPr lang="en-US"/>
                  <a:t>¥ 10,000</a:t>
                </a:r>
              </a:p>
            </c:rich>
          </c:tx>
          <c:layout>
            <c:manualLayout>
              <c:xMode val="edge"/>
              <c:yMode val="edge"/>
              <c:x val="2.2222222222222199E-2"/>
              <c:y val="0.33018916619351502"/>
            </c:manualLayout>
          </c:layout>
          <c:overlay val="0"/>
          <c:spPr>
            <a:noFill/>
            <a:ln>
              <a:noFill/>
            </a:ln>
            <a:effectLst/>
          </c:spPr>
          <c:txPr>
            <a:bodyPr rot="-5400000" spcFirstLastPara="1" vertOverflow="ellipsis" vert="horz" wrap="square" anchor="ctr" anchorCtr="1"/>
            <a:lstStyle/>
            <a:p>
              <a:pPr>
                <a:defRPr lang="zh-CN" sz="1000" b="1" i="0" u="none" strike="noStrike" kern="1200" baseline="0">
                  <a:solidFill>
                    <a:schemeClr val="tx1"/>
                  </a:solidFill>
                  <a:latin typeface="+mn-lt"/>
                  <a:ea typeface="+mn-ea"/>
                  <a:cs typeface="+mn-cs"/>
                </a:defRPr>
              </a:pPr>
              <a:endParaRPr lang="en-US"/>
            </a:p>
          </c:txPr>
        </c:title>
        <c:numFmt formatCode="#,##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46912976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47DF5A-C925-4316-B341-EA5E8D92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4170</Words>
  <Characters>23772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3</cp:revision>
  <cp:lastPrinted>2015-03-04T20:34:00Z</cp:lastPrinted>
  <dcterms:created xsi:type="dcterms:W3CDTF">2022-05-20T11:53:00Z</dcterms:created>
  <dcterms:modified xsi:type="dcterms:W3CDTF">2022-05-20T11:56:00Z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