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0C2E4" w14:textId="540ACE68" w:rsidR="00113BEC" w:rsidRPr="007E1E49" w:rsidRDefault="0059710F" w:rsidP="00C02410">
      <w:pPr>
        <w:pBdr>
          <w:bottom w:val="single" w:sz="18" w:space="1" w:color="auto"/>
        </w:pBdr>
        <w:tabs>
          <w:tab w:val="left" w:pos="-1440"/>
          <w:tab w:val="left" w:pos="-720"/>
          <w:tab w:val="left" w:pos="1"/>
        </w:tabs>
        <w:jc w:val="both"/>
        <w:rPr>
          <w:rFonts w:ascii="Arial" w:hAnsi="Arial"/>
          <w:b/>
          <w:sz w:val="24"/>
        </w:rPr>
      </w:pPr>
      <w:bookmarkStart w:id="0" w:name="_GoBack"/>
      <w:bookmarkEnd w:id="0"/>
      <w:r w:rsidRPr="00A569EA">
        <w:rPr>
          <w:rFonts w:ascii="Arial" w:hAnsi="Arial"/>
          <w:b/>
          <w:noProof/>
          <w:sz w:val="24"/>
        </w:rPr>
        <w:drawing>
          <wp:inline distT="0" distB="0" distL="0" distR="0" wp14:anchorId="077D9A74" wp14:editId="23623112">
            <wp:extent cx="26416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1600" cy="546100"/>
                    </a:xfrm>
                    <a:prstGeom prst="rect">
                      <a:avLst/>
                    </a:prstGeom>
                  </pic:spPr>
                </pic:pic>
              </a:graphicData>
            </a:graphic>
          </wp:inline>
        </w:drawing>
      </w:r>
    </w:p>
    <w:p w14:paraId="61BBD9A0" w14:textId="6AB4638D" w:rsidR="00C02410" w:rsidRPr="007E1E49" w:rsidRDefault="0059710F" w:rsidP="00C02410">
      <w:pPr>
        <w:pStyle w:val="ProductNumber"/>
      </w:pPr>
      <w:r>
        <w:t>9B19m</w:t>
      </w:r>
      <w:r w:rsidR="00717314">
        <w:t>098</w:t>
      </w:r>
    </w:p>
    <w:p w14:paraId="4E057522" w14:textId="7A113CB1" w:rsidR="00D75295" w:rsidRPr="007E1E49" w:rsidRDefault="00D75295" w:rsidP="00D75295">
      <w:pPr>
        <w:jc w:val="right"/>
        <w:rPr>
          <w:rFonts w:ascii="Arial" w:hAnsi="Arial"/>
          <w:b/>
        </w:rPr>
      </w:pPr>
    </w:p>
    <w:p w14:paraId="02524312" w14:textId="77777777" w:rsidR="001901C0" w:rsidRPr="007E1E49" w:rsidRDefault="001901C0" w:rsidP="00D75295">
      <w:pPr>
        <w:jc w:val="right"/>
        <w:rPr>
          <w:rFonts w:ascii="Arial" w:hAnsi="Arial"/>
          <w:b/>
        </w:rPr>
      </w:pPr>
    </w:p>
    <w:p w14:paraId="2F03D26A" w14:textId="0CFAB11B" w:rsidR="00013360" w:rsidRPr="007E1E49" w:rsidRDefault="00113BEC" w:rsidP="00013360">
      <w:pPr>
        <w:pStyle w:val="CaseTitle"/>
        <w:spacing w:after="0" w:line="240" w:lineRule="auto"/>
        <w:rPr>
          <w:sz w:val="20"/>
          <w:szCs w:val="20"/>
        </w:rPr>
      </w:pPr>
      <w:r w:rsidRPr="007E1E49">
        <w:t>CAMPU</w:t>
      </w:r>
      <w:r w:rsidRPr="009F2D1B">
        <w:rPr>
          <w:spacing w:val="20"/>
        </w:rPr>
        <w:t>S</w:t>
      </w:r>
      <w:r w:rsidRPr="007E1E49">
        <w:t>HASH: EVOLVING BUSINESS MODEL OF AN ENTREPRENEURIAL VENTURE</w:t>
      </w:r>
    </w:p>
    <w:p w14:paraId="40ABF6FD" w14:textId="77777777" w:rsidR="00CA3976" w:rsidRPr="007E1E49" w:rsidRDefault="00CA3976" w:rsidP="00013360">
      <w:pPr>
        <w:pStyle w:val="CaseTitle"/>
        <w:spacing w:after="0" w:line="240" w:lineRule="auto"/>
        <w:rPr>
          <w:sz w:val="20"/>
          <w:szCs w:val="20"/>
        </w:rPr>
      </w:pPr>
    </w:p>
    <w:p w14:paraId="202F1085" w14:textId="77777777" w:rsidR="00013360" w:rsidRPr="007E1E49" w:rsidRDefault="00013360" w:rsidP="00013360">
      <w:pPr>
        <w:pStyle w:val="CaseTitle"/>
        <w:spacing w:after="0" w:line="240" w:lineRule="auto"/>
        <w:rPr>
          <w:sz w:val="20"/>
          <w:szCs w:val="20"/>
        </w:rPr>
      </w:pPr>
    </w:p>
    <w:p w14:paraId="58B0C73F" w14:textId="392AB61E" w:rsidR="00086B26" w:rsidRPr="007E1E49" w:rsidRDefault="00113BEC" w:rsidP="00086B26">
      <w:pPr>
        <w:pStyle w:val="StyleCopyrightStatementAfter0ptBottomSinglesolidline1"/>
      </w:pPr>
      <w:r w:rsidRPr="007E1E49">
        <w:t xml:space="preserve">Atul Arun Pathak, </w:t>
      </w:r>
      <w:r w:rsidR="00FF5155">
        <w:t xml:space="preserve">Saroj Kumar </w:t>
      </w:r>
      <w:proofErr w:type="spellStart"/>
      <w:r w:rsidR="00FF5155">
        <w:t>Pani</w:t>
      </w:r>
      <w:proofErr w:type="spellEnd"/>
      <w:r w:rsidR="00FF5155">
        <w:t xml:space="preserve">, and </w:t>
      </w:r>
      <w:r w:rsidRPr="007E1E49">
        <w:t>Anish Agarwal</w:t>
      </w:r>
      <w:r w:rsidR="00ED7922" w:rsidRPr="007E1E49">
        <w:rPr>
          <w:rFonts w:cs="Arial"/>
          <w:szCs w:val="16"/>
        </w:rPr>
        <w:t xml:space="preserve"> </w:t>
      </w:r>
      <w:r w:rsidR="00086B26" w:rsidRPr="007E1E49">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86EC182" w14:textId="77777777" w:rsidR="00113BEC" w:rsidRPr="007E1E49" w:rsidRDefault="00113BEC" w:rsidP="00A323B0">
      <w:pPr>
        <w:pStyle w:val="StyleStyleCopyrightStatementAfter0ptBottomSinglesolid"/>
        <w:rPr>
          <w:rFonts w:cs="Arial"/>
          <w:iCs w:val="0"/>
          <w:color w:val="auto"/>
          <w:szCs w:val="16"/>
        </w:rPr>
      </w:pPr>
    </w:p>
    <w:p w14:paraId="5CCF1021" w14:textId="77777777" w:rsidR="00D87B02" w:rsidRPr="00A323B0" w:rsidRDefault="00D87B02" w:rsidP="00D87B02">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EAAA50C" w14:textId="77777777" w:rsidR="00D87B02" w:rsidRPr="00A323B0" w:rsidRDefault="00D87B02" w:rsidP="00D87B02">
      <w:pPr>
        <w:pStyle w:val="StyleStyleCopyrightStatementAfter0ptBottomSinglesolid"/>
        <w:rPr>
          <w:rFonts w:cs="Arial"/>
          <w:szCs w:val="16"/>
        </w:rPr>
      </w:pPr>
    </w:p>
    <w:p w14:paraId="3922E14F" w14:textId="640EF13B" w:rsidR="00751E0B" w:rsidRPr="007E1E49" w:rsidRDefault="00D87B02" w:rsidP="00A323B0">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7E1E49">
        <w:rPr>
          <w:rFonts w:cs="Arial"/>
          <w:iCs w:val="0"/>
          <w:color w:val="auto"/>
          <w:szCs w:val="16"/>
        </w:rPr>
        <w:tab/>
        <w:t xml:space="preserve">Version: </w:t>
      </w:r>
      <w:r w:rsidR="00113BEC" w:rsidRPr="007E1E49">
        <w:rPr>
          <w:rFonts w:cs="Arial"/>
          <w:iCs w:val="0"/>
          <w:color w:val="auto"/>
          <w:szCs w:val="16"/>
        </w:rPr>
        <w:t>2019-</w:t>
      </w:r>
      <w:r w:rsidR="00FF5155">
        <w:rPr>
          <w:rFonts w:cs="Arial"/>
          <w:iCs w:val="0"/>
          <w:color w:val="auto"/>
          <w:szCs w:val="16"/>
        </w:rPr>
        <w:t>09-04</w:t>
      </w:r>
    </w:p>
    <w:p w14:paraId="0A2A54E4" w14:textId="77777777" w:rsidR="00751E0B" w:rsidRPr="007E1E49" w:rsidRDefault="00751E0B" w:rsidP="00751E0B">
      <w:pPr>
        <w:pStyle w:val="StyleCopyrightStatementAfter0ptBottomSinglesolidline1"/>
        <w:rPr>
          <w:rFonts w:ascii="Times New Roman" w:hAnsi="Times New Roman"/>
          <w:sz w:val="20"/>
        </w:rPr>
      </w:pPr>
    </w:p>
    <w:p w14:paraId="2C183161" w14:textId="77777777" w:rsidR="00B87DC0" w:rsidRPr="007E1E49" w:rsidRDefault="00B87DC0" w:rsidP="00113BEC">
      <w:pPr>
        <w:pStyle w:val="BodyTextMain"/>
      </w:pPr>
    </w:p>
    <w:p w14:paraId="0465D4F8" w14:textId="788A4515" w:rsidR="00113BEC" w:rsidRPr="007E1E49" w:rsidRDefault="00113BEC" w:rsidP="008C5C6B">
      <w:pPr>
        <w:pStyle w:val="BodyTextMain"/>
      </w:pPr>
      <w:r w:rsidRPr="007E1E49">
        <w:t>It was late evening on January 30, 2016</w:t>
      </w:r>
      <w:r w:rsidR="00065A32" w:rsidRPr="007E1E49">
        <w:t>,</w:t>
      </w:r>
      <w:r w:rsidRPr="007E1E49">
        <w:t xml:space="preserve"> and </w:t>
      </w:r>
      <w:proofErr w:type="spellStart"/>
      <w:r w:rsidRPr="007E1E49">
        <w:t>Sanket</w:t>
      </w:r>
      <w:proofErr w:type="spellEnd"/>
      <w:r w:rsidRPr="007E1E49">
        <w:t xml:space="preserve"> Saurav and Rohit </w:t>
      </w:r>
      <w:proofErr w:type="spellStart"/>
      <w:r w:rsidRPr="007E1E49">
        <w:t>Tirkey</w:t>
      </w:r>
      <w:proofErr w:type="spellEnd"/>
      <w:r w:rsidRPr="007E1E49">
        <w:t>, co-</w:t>
      </w:r>
      <w:r w:rsidR="00065A32" w:rsidRPr="007E1E49">
        <w:t>f</w:t>
      </w:r>
      <w:r w:rsidRPr="007E1E49">
        <w:t xml:space="preserve">ounders of </w:t>
      </w:r>
      <w:r w:rsidR="00065A32" w:rsidRPr="007E1E49">
        <w:t xml:space="preserve">the Indian start-up </w:t>
      </w:r>
      <w:r w:rsidRPr="007E1E49">
        <w:t>CampusHash</w:t>
      </w:r>
      <w:r w:rsidR="00F17790" w:rsidRPr="007E1E49">
        <w:t xml:space="preserve"> Technologies LLP</w:t>
      </w:r>
      <w:r w:rsidR="00065A32" w:rsidRPr="007E1E49">
        <w:t xml:space="preserve"> </w:t>
      </w:r>
      <w:r w:rsidR="00F17790" w:rsidRPr="007E1E49">
        <w:t xml:space="preserve">(CampusHash) </w:t>
      </w:r>
      <w:r w:rsidRPr="007E1E49">
        <w:t xml:space="preserve">were returning home from a two-day technology training workshop in Bengaluru. </w:t>
      </w:r>
      <w:r w:rsidR="00065A32" w:rsidRPr="007E1E49">
        <w:t>CampusHas</w:t>
      </w:r>
      <w:r w:rsidR="00F17790" w:rsidRPr="007E1E49">
        <w:t>h</w:t>
      </w:r>
      <w:r w:rsidR="00065A32" w:rsidRPr="007E1E49">
        <w:t xml:space="preserve"> focused on conducting software-language training programs in engineering colleges in India. </w:t>
      </w:r>
      <w:r w:rsidR="00F17790" w:rsidRPr="007E1E49">
        <w:t xml:space="preserve">Saurav and </w:t>
      </w:r>
      <w:proofErr w:type="spellStart"/>
      <w:r w:rsidR="00F17790" w:rsidRPr="007E1E49">
        <w:t>Tirkey</w:t>
      </w:r>
      <w:proofErr w:type="spellEnd"/>
      <w:r w:rsidR="00F17790" w:rsidRPr="007E1E49">
        <w:t xml:space="preserve"> were discussing their company’s performance while they navigated </w:t>
      </w:r>
      <w:r w:rsidRPr="007E1E49">
        <w:t>the Bengaluru</w:t>
      </w:r>
      <w:r w:rsidR="00F17790" w:rsidRPr="007E1E49">
        <w:t xml:space="preserve"> traffic</w:t>
      </w:r>
      <w:r w:rsidRPr="007E1E49">
        <w:t xml:space="preserve">. In the last few months, CampusHash had </w:t>
      </w:r>
      <w:r w:rsidR="00F17790" w:rsidRPr="007E1E49">
        <w:t>gained</w:t>
      </w:r>
      <w:r w:rsidRPr="007E1E49">
        <w:t xml:space="preserve"> </w:t>
      </w:r>
      <w:r w:rsidR="00F17790" w:rsidRPr="007E1E49">
        <w:t xml:space="preserve">some </w:t>
      </w:r>
      <w:r w:rsidRPr="007E1E49">
        <w:t xml:space="preserve">traction and conducted over 75 training programs. However, </w:t>
      </w:r>
      <w:r w:rsidR="00F17790" w:rsidRPr="007E1E49">
        <w:t xml:space="preserve">the co-founders </w:t>
      </w:r>
      <w:r w:rsidRPr="007E1E49">
        <w:t xml:space="preserve">were not satisfied with the speed at which </w:t>
      </w:r>
      <w:r w:rsidR="00F17790" w:rsidRPr="007E1E49">
        <w:t>their company was</w:t>
      </w:r>
      <w:r w:rsidRPr="007E1E49">
        <w:t xml:space="preserve"> growing. </w:t>
      </w:r>
      <w:r w:rsidR="00F17790" w:rsidRPr="007E1E49">
        <w:t xml:space="preserve">As </w:t>
      </w:r>
      <w:r w:rsidRPr="007E1E49">
        <w:t>Saurav recalled,</w:t>
      </w:r>
      <w:r w:rsidR="00F17790" w:rsidRPr="007E1E49">
        <w:t xml:space="preserve"> they had not been very ambitious when they started the company. But now that they were seeing some success, they wanted more. T</w:t>
      </w:r>
      <w:r w:rsidRPr="007E1E49">
        <w:t>he current model was limited in its scalability</w:t>
      </w:r>
      <w:r w:rsidR="00F17790" w:rsidRPr="007E1E49">
        <w:t>, so the pair</w:t>
      </w:r>
      <w:r w:rsidRPr="007E1E49">
        <w:t xml:space="preserve"> needed to rethink </w:t>
      </w:r>
      <w:r w:rsidR="00F17790" w:rsidRPr="007E1E49">
        <w:t xml:space="preserve">their </w:t>
      </w:r>
      <w:r w:rsidRPr="007E1E49">
        <w:t xml:space="preserve">strategy to meet </w:t>
      </w:r>
      <w:r w:rsidR="00F17790" w:rsidRPr="007E1E49">
        <w:t xml:space="preserve">their </w:t>
      </w:r>
      <w:r w:rsidRPr="007E1E49">
        <w:t xml:space="preserve">ambitious growth targets. </w:t>
      </w:r>
      <w:bookmarkStart w:id="1" w:name="_Hlk536455956"/>
      <w:r w:rsidR="00F17790" w:rsidRPr="007E1E49">
        <w:t xml:space="preserve">They </w:t>
      </w:r>
      <w:r w:rsidRPr="007E1E49">
        <w:t xml:space="preserve">had hoped that CampusHash </w:t>
      </w:r>
      <w:r w:rsidR="00F17790" w:rsidRPr="007E1E49">
        <w:t xml:space="preserve">would </w:t>
      </w:r>
      <w:r w:rsidRPr="007E1E49">
        <w:t xml:space="preserve">by now </w:t>
      </w:r>
      <w:r w:rsidR="00F17790" w:rsidRPr="007E1E49">
        <w:t xml:space="preserve">have </w:t>
      </w:r>
      <w:r w:rsidRPr="007E1E49">
        <w:t xml:space="preserve">scaled up </w:t>
      </w:r>
      <w:r w:rsidR="00F17790" w:rsidRPr="007E1E49">
        <w:t xml:space="preserve">so that its </w:t>
      </w:r>
      <w:r w:rsidRPr="007E1E49">
        <w:t xml:space="preserve">profits would be at least twice the potential salaries the partners had given up. </w:t>
      </w:r>
      <w:bookmarkEnd w:id="1"/>
      <w:r w:rsidR="00F17790" w:rsidRPr="007E1E49">
        <w:t>The team was</w:t>
      </w:r>
      <w:r w:rsidRPr="007E1E49">
        <w:t xml:space="preserve"> </w:t>
      </w:r>
      <w:r w:rsidR="00F17790" w:rsidRPr="007E1E49">
        <w:t xml:space="preserve">hoping </w:t>
      </w:r>
      <w:r w:rsidRPr="007E1E49">
        <w:t xml:space="preserve">to raise funds from an </w:t>
      </w:r>
      <w:r w:rsidR="00F17790" w:rsidRPr="007E1E49">
        <w:t>a</w:t>
      </w:r>
      <w:r w:rsidRPr="007E1E49">
        <w:t xml:space="preserve">ngel investor and were scheduled to pitch </w:t>
      </w:r>
      <w:r w:rsidR="00F17790" w:rsidRPr="007E1E49">
        <w:t xml:space="preserve">their </w:t>
      </w:r>
      <w:r w:rsidRPr="007E1E49">
        <w:t xml:space="preserve">business plan to </w:t>
      </w:r>
      <w:r w:rsidR="00F17790" w:rsidRPr="007E1E49">
        <w:t xml:space="preserve">a potential investor </w:t>
      </w:r>
      <w:r w:rsidRPr="007E1E49">
        <w:t>in a couple of weeks</w:t>
      </w:r>
      <w:r w:rsidR="005C362D" w:rsidRPr="007E1E49">
        <w:t>. They needed to ensure that their</w:t>
      </w:r>
      <w:r w:rsidRPr="007E1E49">
        <w:t xml:space="preserve"> business model and projections </w:t>
      </w:r>
      <w:r w:rsidR="005C362D" w:rsidRPr="007E1E49">
        <w:t>were</w:t>
      </w:r>
      <w:r w:rsidRPr="007E1E49">
        <w:t xml:space="preserve"> attractive enough to </w:t>
      </w:r>
      <w:r w:rsidR="005C362D" w:rsidRPr="007E1E49">
        <w:t>secure this funding</w:t>
      </w:r>
      <w:r w:rsidRPr="007E1E49">
        <w:t>.</w:t>
      </w:r>
    </w:p>
    <w:p w14:paraId="51A7F0A1" w14:textId="77777777" w:rsidR="00113BEC" w:rsidRPr="007E1E49" w:rsidRDefault="00113BEC" w:rsidP="00113BEC">
      <w:pPr>
        <w:pStyle w:val="BodyTextMain"/>
        <w:rPr>
          <w:color w:val="000000" w:themeColor="text1"/>
        </w:rPr>
      </w:pPr>
    </w:p>
    <w:p w14:paraId="04A7FB82" w14:textId="77777777" w:rsidR="00113BEC" w:rsidRPr="007E1E49" w:rsidRDefault="00113BEC" w:rsidP="00113BEC">
      <w:pPr>
        <w:pStyle w:val="BodyTextMain"/>
        <w:rPr>
          <w:color w:val="000000" w:themeColor="text1"/>
        </w:rPr>
      </w:pPr>
    </w:p>
    <w:p w14:paraId="32C735B8" w14:textId="77777777" w:rsidR="00113BEC" w:rsidRPr="007E1E49" w:rsidRDefault="00113BEC" w:rsidP="00113BEC">
      <w:pPr>
        <w:pStyle w:val="Casehead1"/>
      </w:pPr>
      <w:r w:rsidRPr="007E1E49">
        <w:t>Background</w:t>
      </w:r>
    </w:p>
    <w:p w14:paraId="1F649688" w14:textId="77777777" w:rsidR="00113BEC" w:rsidRPr="007E1E49" w:rsidRDefault="00113BEC" w:rsidP="00113BEC">
      <w:pPr>
        <w:pStyle w:val="BodyTextMain"/>
      </w:pPr>
    </w:p>
    <w:p w14:paraId="70EFAC35" w14:textId="101CC1B6" w:rsidR="00113BEC" w:rsidRPr="007E1E49" w:rsidRDefault="00113BEC" w:rsidP="00113BEC">
      <w:pPr>
        <w:pStyle w:val="Casehead2"/>
      </w:pPr>
      <w:r w:rsidRPr="007E1E49">
        <w:t xml:space="preserve">About the </w:t>
      </w:r>
      <w:r w:rsidR="00D70FB1" w:rsidRPr="007E1E49">
        <w:t>F</w:t>
      </w:r>
      <w:r w:rsidRPr="007E1E49">
        <w:t>ounders</w:t>
      </w:r>
    </w:p>
    <w:p w14:paraId="35AE4E10" w14:textId="77777777" w:rsidR="00113BEC" w:rsidRPr="007E1E49" w:rsidRDefault="00113BEC" w:rsidP="00113BEC">
      <w:pPr>
        <w:pStyle w:val="BodyTextMain"/>
      </w:pPr>
    </w:p>
    <w:p w14:paraId="7AF5895C" w14:textId="05013813" w:rsidR="00113BEC" w:rsidRPr="00FF5155" w:rsidRDefault="00113BEC" w:rsidP="00113BEC">
      <w:pPr>
        <w:pStyle w:val="BodyTextMain"/>
        <w:rPr>
          <w:spacing w:val="-2"/>
        </w:rPr>
      </w:pPr>
      <w:r w:rsidRPr="00FF5155">
        <w:rPr>
          <w:spacing w:val="-2"/>
        </w:rPr>
        <w:t xml:space="preserve">Saurav and </w:t>
      </w:r>
      <w:proofErr w:type="spellStart"/>
      <w:r w:rsidRPr="00FF5155">
        <w:rPr>
          <w:spacing w:val="-2"/>
        </w:rPr>
        <w:t>Tirkey</w:t>
      </w:r>
      <w:proofErr w:type="spellEnd"/>
      <w:r w:rsidRPr="00FF5155">
        <w:rPr>
          <w:spacing w:val="-2"/>
        </w:rPr>
        <w:t xml:space="preserve"> met in 2010 while pursuing </w:t>
      </w:r>
      <w:r w:rsidR="005C362D" w:rsidRPr="00FF5155">
        <w:rPr>
          <w:spacing w:val="-2"/>
        </w:rPr>
        <w:t>b</w:t>
      </w:r>
      <w:r w:rsidRPr="00FF5155">
        <w:rPr>
          <w:spacing w:val="-2"/>
        </w:rPr>
        <w:t xml:space="preserve">achelor’s degrees in </w:t>
      </w:r>
      <w:r w:rsidR="005C362D" w:rsidRPr="00FF5155">
        <w:rPr>
          <w:spacing w:val="-2"/>
        </w:rPr>
        <w:t>c</w:t>
      </w:r>
      <w:r w:rsidRPr="00FF5155">
        <w:rPr>
          <w:spacing w:val="-2"/>
        </w:rPr>
        <w:t xml:space="preserve">omputer </w:t>
      </w:r>
      <w:r w:rsidR="005C362D" w:rsidRPr="00FF5155">
        <w:rPr>
          <w:spacing w:val="-2"/>
        </w:rPr>
        <w:t>s</w:t>
      </w:r>
      <w:r w:rsidRPr="00FF5155">
        <w:rPr>
          <w:spacing w:val="-2"/>
        </w:rPr>
        <w:t xml:space="preserve">cience </w:t>
      </w:r>
      <w:r w:rsidR="005C362D" w:rsidRPr="00FF5155">
        <w:rPr>
          <w:spacing w:val="-2"/>
        </w:rPr>
        <w:t>e</w:t>
      </w:r>
      <w:r w:rsidRPr="00FF5155">
        <w:rPr>
          <w:spacing w:val="-2"/>
        </w:rPr>
        <w:t>ngineering at the prestigious National Institute of Technology (NIT</w:t>
      </w:r>
      <w:r w:rsidR="005C362D" w:rsidRPr="00FF5155">
        <w:rPr>
          <w:spacing w:val="-2"/>
        </w:rPr>
        <w:t xml:space="preserve">) in </w:t>
      </w:r>
      <w:r w:rsidRPr="00FF5155">
        <w:rPr>
          <w:spacing w:val="-2"/>
        </w:rPr>
        <w:t>Jamshedpur, India. Sharing a common passion for entrepreneurship, they started a web</w:t>
      </w:r>
      <w:r w:rsidR="005C362D" w:rsidRPr="00FF5155">
        <w:rPr>
          <w:spacing w:val="-2"/>
        </w:rPr>
        <w:t xml:space="preserve"> </w:t>
      </w:r>
      <w:r w:rsidRPr="00FF5155">
        <w:rPr>
          <w:spacing w:val="-2"/>
        </w:rPr>
        <w:t xml:space="preserve">design firm called </w:t>
      </w:r>
      <w:proofErr w:type="spellStart"/>
      <w:r w:rsidRPr="00FF5155">
        <w:rPr>
          <w:spacing w:val="-2"/>
        </w:rPr>
        <w:t>designfromtheheart</w:t>
      </w:r>
      <w:proofErr w:type="spellEnd"/>
      <w:r w:rsidRPr="00FF5155">
        <w:rPr>
          <w:spacing w:val="-2"/>
        </w:rPr>
        <w:t xml:space="preserve"> in 2010, with the intent of earning some easy pocket money. They both had a flair for web design and </w:t>
      </w:r>
      <w:r w:rsidR="005C362D" w:rsidRPr="00FF5155">
        <w:rPr>
          <w:spacing w:val="-2"/>
        </w:rPr>
        <w:t xml:space="preserve">received </w:t>
      </w:r>
      <w:r w:rsidRPr="00FF5155">
        <w:rPr>
          <w:spacing w:val="-2"/>
        </w:rPr>
        <w:t xml:space="preserve">quite a few projects in this field. However, they soon got </w:t>
      </w:r>
      <w:r w:rsidR="005C362D" w:rsidRPr="00FF5155">
        <w:rPr>
          <w:spacing w:val="-2"/>
        </w:rPr>
        <w:t xml:space="preserve">tired </w:t>
      </w:r>
      <w:r w:rsidRPr="00FF5155">
        <w:rPr>
          <w:spacing w:val="-2"/>
        </w:rPr>
        <w:t xml:space="preserve">of doing </w:t>
      </w:r>
      <w:r w:rsidR="005C362D" w:rsidRPr="00FF5155">
        <w:rPr>
          <w:spacing w:val="-2"/>
        </w:rPr>
        <w:t xml:space="preserve">the same </w:t>
      </w:r>
      <w:r w:rsidRPr="00FF5155">
        <w:rPr>
          <w:spacing w:val="-2"/>
        </w:rPr>
        <w:t xml:space="preserve">type of work repeatedly and closed the venture in 2012. </w:t>
      </w:r>
    </w:p>
    <w:p w14:paraId="38A38E8D" w14:textId="77777777" w:rsidR="00113BEC" w:rsidRPr="007E1E49" w:rsidRDefault="00113BEC" w:rsidP="00113BEC">
      <w:pPr>
        <w:pStyle w:val="BodyTextMain"/>
      </w:pPr>
    </w:p>
    <w:p w14:paraId="75A08213" w14:textId="4CA1C3F7" w:rsidR="00113BEC" w:rsidRDefault="00113BEC" w:rsidP="00113BEC">
      <w:pPr>
        <w:pStyle w:val="BodyTextMain"/>
        <w:rPr>
          <w:spacing w:val="-2"/>
        </w:rPr>
      </w:pPr>
      <w:r w:rsidRPr="00FF5155">
        <w:rPr>
          <w:spacing w:val="-2"/>
        </w:rPr>
        <w:t xml:space="preserve">By </w:t>
      </w:r>
      <w:r w:rsidR="005C362D" w:rsidRPr="00FF5155">
        <w:rPr>
          <w:spacing w:val="-2"/>
        </w:rPr>
        <w:t>201</w:t>
      </w:r>
      <w:r w:rsidR="00D761EE" w:rsidRPr="00FF5155">
        <w:rPr>
          <w:spacing w:val="-2"/>
        </w:rPr>
        <w:t>2</w:t>
      </w:r>
      <w:r w:rsidRPr="00FF5155">
        <w:rPr>
          <w:spacing w:val="-2"/>
        </w:rPr>
        <w:t xml:space="preserve">, both Saurav and </w:t>
      </w:r>
      <w:proofErr w:type="spellStart"/>
      <w:r w:rsidRPr="00FF5155">
        <w:rPr>
          <w:spacing w:val="-2"/>
        </w:rPr>
        <w:t>Tirkey</w:t>
      </w:r>
      <w:proofErr w:type="spellEnd"/>
      <w:r w:rsidRPr="00FF5155">
        <w:rPr>
          <w:spacing w:val="-2"/>
        </w:rPr>
        <w:t xml:space="preserve"> had become excellent software programmers</w:t>
      </w:r>
      <w:r w:rsidR="005C362D" w:rsidRPr="00FF5155">
        <w:rPr>
          <w:spacing w:val="-2"/>
        </w:rPr>
        <w:t>,</w:t>
      </w:r>
      <w:r w:rsidRPr="00FF5155">
        <w:rPr>
          <w:spacing w:val="-2"/>
        </w:rPr>
        <w:t xml:space="preserve"> and </w:t>
      </w:r>
      <w:r w:rsidR="005C362D" w:rsidRPr="00FF5155">
        <w:rPr>
          <w:spacing w:val="-2"/>
        </w:rPr>
        <w:t xml:space="preserve">they </w:t>
      </w:r>
      <w:r w:rsidRPr="00FF5155">
        <w:rPr>
          <w:spacing w:val="-2"/>
        </w:rPr>
        <w:t>often helped their friends and even their seniors at college with programming assignments. They also enjoyed teaching others how to write software code</w:t>
      </w:r>
      <w:r w:rsidR="005C362D" w:rsidRPr="00FF5155">
        <w:rPr>
          <w:spacing w:val="-2"/>
        </w:rPr>
        <w:t>, s</w:t>
      </w:r>
      <w:r w:rsidRPr="00FF5155">
        <w:rPr>
          <w:spacing w:val="-2"/>
        </w:rPr>
        <w:t>o they decided to become trainers in this field. In December 2012, during their third year at college, they started CampusHash, a venture focused on software programming language training.</w:t>
      </w:r>
    </w:p>
    <w:p w14:paraId="74E7C533" w14:textId="77777777" w:rsidR="00FF5155" w:rsidRPr="00FF5155" w:rsidRDefault="00FF5155" w:rsidP="00113BEC">
      <w:pPr>
        <w:pStyle w:val="BodyTextMain"/>
        <w:rPr>
          <w:spacing w:val="-2"/>
        </w:rPr>
      </w:pPr>
    </w:p>
    <w:p w14:paraId="1FEC8875" w14:textId="77777777" w:rsidR="00113BEC" w:rsidRPr="007E1E49" w:rsidRDefault="00113BEC" w:rsidP="00113BEC">
      <w:pPr>
        <w:pStyle w:val="Casehead2"/>
      </w:pPr>
      <w:r w:rsidRPr="007E1E49">
        <w:lastRenderedPageBreak/>
        <w:t>About CampusHash</w:t>
      </w:r>
    </w:p>
    <w:p w14:paraId="503BA81A" w14:textId="77777777" w:rsidR="00113BEC" w:rsidRPr="007E1E49" w:rsidRDefault="00113BEC" w:rsidP="00113BEC">
      <w:pPr>
        <w:pStyle w:val="BodyTextMain"/>
      </w:pPr>
    </w:p>
    <w:p w14:paraId="1BACBEBF" w14:textId="281A1872" w:rsidR="00113BEC" w:rsidRPr="007E1E49" w:rsidRDefault="00CA1701" w:rsidP="00113BEC">
      <w:pPr>
        <w:pStyle w:val="BodyTextMain"/>
      </w:pPr>
      <w:r w:rsidRPr="007E1E49">
        <w:t>S</w:t>
      </w:r>
      <w:r>
        <w:t>au</w:t>
      </w:r>
      <w:r w:rsidRPr="007E1E49">
        <w:t xml:space="preserve">rav </w:t>
      </w:r>
      <w:r w:rsidR="00113BEC" w:rsidRPr="007E1E49">
        <w:t xml:space="preserve">and </w:t>
      </w:r>
      <w:proofErr w:type="spellStart"/>
      <w:r w:rsidR="00113BEC" w:rsidRPr="007E1E49">
        <w:t>Tirkey</w:t>
      </w:r>
      <w:proofErr w:type="spellEnd"/>
      <w:r w:rsidR="00113BEC" w:rsidRPr="007E1E49">
        <w:t xml:space="preserve"> realized that the </w:t>
      </w:r>
      <w:r w:rsidR="005C362D" w:rsidRPr="007E1E49">
        <w:t>c</w:t>
      </w:r>
      <w:r w:rsidR="00113BEC" w:rsidRPr="007E1E49">
        <w:t xml:space="preserve">omputer </w:t>
      </w:r>
      <w:r w:rsidR="005C362D" w:rsidRPr="007E1E49">
        <w:t>s</w:t>
      </w:r>
      <w:r w:rsidR="00113BEC" w:rsidRPr="007E1E49">
        <w:t xml:space="preserve">cience engineering course curriculum offered at NIT was not up to date. While the world of software engineering had moved on to areas such as social media, mobile applications, </w:t>
      </w:r>
      <w:r w:rsidR="005C362D" w:rsidRPr="007E1E49">
        <w:t xml:space="preserve">and </w:t>
      </w:r>
      <w:r w:rsidR="00113BEC" w:rsidRPr="007E1E49">
        <w:t xml:space="preserve">big-data analytics, the institute’s curriculum </w:t>
      </w:r>
      <w:r w:rsidR="005C362D" w:rsidRPr="007E1E49">
        <w:t xml:space="preserve">was </w:t>
      </w:r>
      <w:r w:rsidR="00113BEC" w:rsidRPr="007E1E49">
        <w:t xml:space="preserve">still </w:t>
      </w:r>
      <w:r w:rsidR="005C362D" w:rsidRPr="007E1E49">
        <w:t>teaching</w:t>
      </w:r>
      <w:r w:rsidR="00113BEC" w:rsidRPr="007E1E49">
        <w:t xml:space="preserve"> students rudimentary software-engineering related concepts and did not expose them to cutting-edge technologies. </w:t>
      </w:r>
      <w:r w:rsidR="005C362D" w:rsidRPr="007E1E49">
        <w:t xml:space="preserve">Students therefore </w:t>
      </w:r>
      <w:r w:rsidR="00113BEC" w:rsidRPr="007E1E49">
        <w:t xml:space="preserve">found it difficult to </w:t>
      </w:r>
      <w:r w:rsidR="005C362D" w:rsidRPr="007E1E49">
        <w:t xml:space="preserve">present </w:t>
      </w:r>
      <w:r w:rsidR="00113BEC" w:rsidRPr="007E1E49">
        <w:t>themselves as industry</w:t>
      </w:r>
      <w:r w:rsidR="005C362D" w:rsidRPr="007E1E49">
        <w:t xml:space="preserve"> </w:t>
      </w:r>
      <w:r w:rsidR="00113BEC" w:rsidRPr="007E1E49">
        <w:t xml:space="preserve">ready during job interviews for software programming roles in information technology (IT) companies. To be ready for jobs in the IT industry, engineering students needed to be equipped with both conceptual knowledge and hands-on skills </w:t>
      </w:r>
      <w:r w:rsidR="000523F0">
        <w:t>i</w:t>
      </w:r>
      <w:r w:rsidR="00113BEC" w:rsidRPr="007E1E49">
        <w:t xml:space="preserve">n the latest technologies. This gap became the genesis of </w:t>
      </w:r>
      <w:proofErr w:type="spellStart"/>
      <w:r w:rsidR="00113BEC" w:rsidRPr="007E1E49">
        <w:t>CampusHash’s</w:t>
      </w:r>
      <w:proofErr w:type="spellEnd"/>
      <w:r w:rsidR="00113BEC" w:rsidRPr="007E1E49">
        <w:t xml:space="preserve"> initial offering. </w:t>
      </w:r>
    </w:p>
    <w:p w14:paraId="4D1E5BEF" w14:textId="77777777" w:rsidR="00113BEC" w:rsidRPr="007E1E49" w:rsidRDefault="00113BEC" w:rsidP="00113BEC">
      <w:pPr>
        <w:pStyle w:val="BodyTextMain"/>
      </w:pPr>
    </w:p>
    <w:p w14:paraId="20B9C2A8" w14:textId="0B639FCB" w:rsidR="00113BEC" w:rsidRPr="007E1E49" w:rsidRDefault="00113BEC" w:rsidP="00113BEC">
      <w:pPr>
        <w:pStyle w:val="BodyTextMain"/>
      </w:pPr>
      <w:r w:rsidRPr="007E1E49">
        <w:t xml:space="preserve">Saurav and </w:t>
      </w:r>
      <w:proofErr w:type="spellStart"/>
      <w:r w:rsidRPr="007E1E49">
        <w:t>Tirkey</w:t>
      </w:r>
      <w:proofErr w:type="spellEnd"/>
      <w:r w:rsidRPr="007E1E49">
        <w:t xml:space="preserve"> started by themselves mastering </w:t>
      </w:r>
      <w:r w:rsidR="005C362D" w:rsidRPr="007E1E49">
        <w:t xml:space="preserve">the </w:t>
      </w:r>
      <w:r w:rsidRPr="007E1E49">
        <w:t xml:space="preserve">programming languages and technologies </w:t>
      </w:r>
      <w:r w:rsidR="005C362D" w:rsidRPr="007E1E49">
        <w:t xml:space="preserve">that were </w:t>
      </w:r>
      <w:r w:rsidRPr="007E1E49">
        <w:t xml:space="preserve">aligned with the latest trends in the IT industry. </w:t>
      </w:r>
      <w:r w:rsidR="005C362D" w:rsidRPr="007E1E49">
        <w:t>T</w:t>
      </w:r>
      <w:r w:rsidRPr="007E1E49">
        <w:t xml:space="preserve">hen </w:t>
      </w:r>
      <w:r w:rsidR="005C362D" w:rsidRPr="007E1E49">
        <w:t xml:space="preserve">they started offering </w:t>
      </w:r>
      <w:r w:rsidRPr="007E1E49">
        <w:t xml:space="preserve">informal sessions </w:t>
      </w:r>
      <w:r w:rsidR="005C362D" w:rsidRPr="007E1E49">
        <w:t xml:space="preserve">on these topics </w:t>
      </w:r>
      <w:r w:rsidRPr="007E1E49">
        <w:t xml:space="preserve">to their </w:t>
      </w:r>
      <w:r w:rsidR="007E78A8" w:rsidRPr="007E1E49">
        <w:t xml:space="preserve">peers at </w:t>
      </w:r>
      <w:r w:rsidRPr="007E1E49">
        <w:t xml:space="preserve">college. They quickly realized that if students of premier engineering institutes like theirs were facing these challenges, the situation was likely to be much worse among </w:t>
      </w:r>
      <w:r w:rsidR="007E78A8" w:rsidRPr="007E1E49">
        <w:t xml:space="preserve">students at </w:t>
      </w:r>
      <w:r w:rsidRPr="007E1E49">
        <w:t xml:space="preserve">lower-ranked engineering colleges. Thus, with the intention of equipping fellow engineering students with skills in the latest technologies, Saurav and </w:t>
      </w:r>
      <w:proofErr w:type="spellStart"/>
      <w:r w:rsidRPr="007E1E49">
        <w:t>Tirkey</w:t>
      </w:r>
      <w:proofErr w:type="spellEnd"/>
      <w:r w:rsidRPr="007E1E49">
        <w:t xml:space="preserve"> started conducting two-day software-training programs at various engineering colleges in and around Jamshedpur. </w:t>
      </w:r>
    </w:p>
    <w:p w14:paraId="116D70EA" w14:textId="77777777" w:rsidR="00113BEC" w:rsidRPr="007E1E49" w:rsidRDefault="00113BEC" w:rsidP="00113BEC">
      <w:pPr>
        <w:pStyle w:val="BodyTextMain"/>
      </w:pPr>
    </w:p>
    <w:p w14:paraId="2E91783B" w14:textId="2528BD64" w:rsidR="00113BEC" w:rsidRPr="007E1E49" w:rsidRDefault="00113BEC" w:rsidP="00113BEC">
      <w:pPr>
        <w:pStyle w:val="BodyTextMain"/>
      </w:pPr>
      <w:r w:rsidRPr="007E1E49">
        <w:t xml:space="preserve">In the early days of their venture, </w:t>
      </w:r>
      <w:r w:rsidR="000523F0">
        <w:t xml:space="preserve">Saurav and </w:t>
      </w:r>
      <w:proofErr w:type="spellStart"/>
      <w:r w:rsidR="000523F0">
        <w:t>Tirkey</w:t>
      </w:r>
      <w:proofErr w:type="spellEnd"/>
      <w:r w:rsidR="000523F0" w:rsidRPr="007E1E49">
        <w:t xml:space="preserve"> </w:t>
      </w:r>
      <w:r w:rsidRPr="007E1E49">
        <w:t>spent a lot of time refining the content and structure of their training programs. They designed a highly interactive</w:t>
      </w:r>
      <w:r w:rsidR="007E78A8" w:rsidRPr="007E1E49">
        <w:t>,</w:t>
      </w:r>
      <w:r w:rsidRPr="007E1E49">
        <w:t xml:space="preserve"> hands-on workshop where participants were exposed to the latest concepts in IT and given opportunit</w:t>
      </w:r>
      <w:r w:rsidR="007E78A8" w:rsidRPr="007E1E49">
        <w:t>ies</w:t>
      </w:r>
      <w:r w:rsidRPr="007E1E49">
        <w:t xml:space="preserve"> to solve problems and </w:t>
      </w:r>
      <w:r w:rsidR="007E78A8" w:rsidRPr="007E1E49">
        <w:t xml:space="preserve">practice writing </w:t>
      </w:r>
      <w:r w:rsidRPr="007E1E49">
        <w:t>working software</w:t>
      </w:r>
      <w:r w:rsidR="007E78A8" w:rsidRPr="007E1E49">
        <w:t xml:space="preserve"> </w:t>
      </w:r>
      <w:r w:rsidRPr="007E1E49">
        <w:t>code. The</w:t>
      </w:r>
      <w:r w:rsidR="000523F0">
        <w:t xml:space="preserve"> two</w:t>
      </w:r>
      <w:r w:rsidRPr="007E1E49">
        <w:t xml:space="preserve"> tried to align the workshops </w:t>
      </w:r>
      <w:r w:rsidR="007E78A8" w:rsidRPr="007E1E49">
        <w:t xml:space="preserve">with </w:t>
      </w:r>
      <w:r w:rsidRPr="007E1E49">
        <w:t xml:space="preserve">the needs of the IT industry, keeping campus-recruitment interviews in mind. They also offered participants the opportunity to </w:t>
      </w:r>
      <w:r w:rsidR="007E78A8" w:rsidRPr="007E1E49">
        <w:t>complete</w:t>
      </w:r>
      <w:r w:rsidRPr="007E1E49">
        <w:t xml:space="preserve"> take-home assignments, which </w:t>
      </w:r>
      <w:r w:rsidR="007E78A8" w:rsidRPr="007E1E49">
        <w:t>they</w:t>
      </w:r>
      <w:r w:rsidRPr="007E1E49">
        <w:t xml:space="preserve"> subsequently evaluated. </w:t>
      </w:r>
      <w:r w:rsidR="007E78A8" w:rsidRPr="007E1E49">
        <w:t xml:space="preserve">After </w:t>
      </w:r>
      <w:r w:rsidRPr="007E1E49">
        <w:t xml:space="preserve">each workshop, </w:t>
      </w:r>
      <w:r w:rsidR="000523F0">
        <w:t xml:space="preserve">Saurav and </w:t>
      </w:r>
      <w:proofErr w:type="spellStart"/>
      <w:r w:rsidR="000523F0">
        <w:t>Tirkey</w:t>
      </w:r>
      <w:proofErr w:type="spellEnd"/>
      <w:r w:rsidR="000523F0" w:rsidRPr="007E1E49">
        <w:t xml:space="preserve"> </w:t>
      </w:r>
      <w:r w:rsidRPr="007E1E49">
        <w:t xml:space="preserve">encouraged participants to contact them via email to resolve any </w:t>
      </w:r>
      <w:r w:rsidR="007E78A8" w:rsidRPr="007E1E49">
        <w:t>questions</w:t>
      </w:r>
      <w:r w:rsidRPr="007E1E49">
        <w:t>.</w:t>
      </w:r>
    </w:p>
    <w:p w14:paraId="1DBE4441" w14:textId="77777777" w:rsidR="00113BEC" w:rsidRPr="007E1E49" w:rsidRDefault="00113BEC" w:rsidP="00113BEC">
      <w:pPr>
        <w:pStyle w:val="BodyTextMain"/>
      </w:pPr>
    </w:p>
    <w:p w14:paraId="274D3CC5" w14:textId="54E77AED" w:rsidR="00113BEC" w:rsidRPr="007E1E49" w:rsidRDefault="007E78A8" w:rsidP="00113BEC">
      <w:pPr>
        <w:pStyle w:val="BodyTextMain"/>
      </w:pPr>
      <w:r w:rsidRPr="007E1E49">
        <w:t>N</w:t>
      </w:r>
      <w:r w:rsidR="00113BEC" w:rsidRPr="007E1E49">
        <w:t>otic</w:t>
      </w:r>
      <w:r w:rsidRPr="007E1E49">
        <w:t>ing</w:t>
      </w:r>
      <w:r w:rsidR="00113BEC" w:rsidRPr="007E1E49">
        <w:t xml:space="preserve"> that many IT companies were engaged in projects in social media, website development</w:t>
      </w:r>
      <w:r w:rsidRPr="007E1E49">
        <w:t>,</w:t>
      </w:r>
      <w:r w:rsidR="00113BEC" w:rsidRPr="007E1E49">
        <w:t xml:space="preserve"> and mobile applications development</w:t>
      </w:r>
      <w:r w:rsidRPr="007E1E49">
        <w:t xml:space="preserve">, </w:t>
      </w:r>
      <w:r w:rsidR="000523F0">
        <w:t xml:space="preserve">Saurav and </w:t>
      </w:r>
      <w:proofErr w:type="spellStart"/>
      <w:r w:rsidR="000523F0">
        <w:t>Tirkey</w:t>
      </w:r>
      <w:proofErr w:type="spellEnd"/>
      <w:r w:rsidR="000523F0" w:rsidRPr="007E1E49">
        <w:t xml:space="preserve"> </w:t>
      </w:r>
      <w:r w:rsidR="00113BEC" w:rsidRPr="007E1E49">
        <w:t>conceptualized two training programs</w:t>
      </w:r>
      <w:r w:rsidRPr="007E1E49">
        <w:t xml:space="preserve">: </w:t>
      </w:r>
      <w:r w:rsidR="00113BEC" w:rsidRPr="007E1E49">
        <w:t xml:space="preserve">Web Development </w:t>
      </w:r>
      <w:r w:rsidR="001008E8" w:rsidRPr="007E1E49">
        <w:t xml:space="preserve">Using </w:t>
      </w:r>
      <w:r w:rsidR="00113BEC" w:rsidRPr="007E1E49">
        <w:t>Google App Engine</w:t>
      </w:r>
      <w:r w:rsidRPr="007E1E49">
        <w:t>,</w:t>
      </w:r>
      <w:r w:rsidR="00113BEC" w:rsidRPr="00D932D9">
        <w:rPr>
          <w:rStyle w:val="FootnoteReference"/>
        </w:rPr>
        <w:footnoteReference w:id="1"/>
      </w:r>
      <w:r w:rsidR="00113BEC" w:rsidRPr="007E1E49">
        <w:t xml:space="preserve"> and Python</w:t>
      </w:r>
      <w:r w:rsidR="00113BEC" w:rsidRPr="00D932D9">
        <w:rPr>
          <w:rStyle w:val="FootnoteReference"/>
        </w:rPr>
        <w:footnoteReference w:id="2"/>
      </w:r>
      <w:r w:rsidR="00113BEC" w:rsidRPr="007E1E49">
        <w:t xml:space="preserve"> for Beginners. </w:t>
      </w:r>
      <w:r w:rsidRPr="007E1E49">
        <w:t>During this</w:t>
      </w:r>
      <w:r w:rsidR="00113BEC" w:rsidRPr="007E1E49">
        <w:t xml:space="preserve"> phase, CampusHash was getting </w:t>
      </w:r>
      <w:r w:rsidRPr="007E1E49">
        <w:t xml:space="preserve">an average of </w:t>
      </w:r>
      <w:r w:rsidR="00113BEC" w:rsidRPr="007E1E49">
        <w:t xml:space="preserve">about 20 participants per program and charging each participant </w:t>
      </w:r>
      <w:r w:rsidRPr="008C5C6B">
        <w:rPr>
          <w:rFonts w:ascii="Arial" w:hAnsi="Arial" w:cs="Arial"/>
          <w:sz w:val="20"/>
          <w:szCs w:val="20"/>
        </w:rPr>
        <w:t>₹</w:t>
      </w:r>
      <w:r w:rsidR="00113BEC" w:rsidRPr="007E1E49">
        <w:t>1,000</w:t>
      </w:r>
      <w:r w:rsidR="00113BEC" w:rsidRPr="00D932D9">
        <w:rPr>
          <w:rStyle w:val="FootnoteReference"/>
        </w:rPr>
        <w:footnoteReference w:id="3"/>
      </w:r>
      <w:r w:rsidR="00113BEC" w:rsidRPr="007E1E49">
        <w:t xml:space="preserve"> </w:t>
      </w:r>
      <w:r w:rsidRPr="007E1E49">
        <w:t xml:space="preserve">to </w:t>
      </w:r>
      <w:r w:rsidR="00113BEC" w:rsidRPr="007E1E49">
        <w:t xml:space="preserve">attend </w:t>
      </w:r>
      <w:r w:rsidRPr="007E1E49">
        <w:t>a two</w:t>
      </w:r>
      <w:r w:rsidR="00113BEC" w:rsidRPr="007E1E49">
        <w:t xml:space="preserve">-day program. Their workshops were less expensive than </w:t>
      </w:r>
      <w:r w:rsidRPr="007E1E49">
        <w:t xml:space="preserve">those of their </w:t>
      </w:r>
      <w:r w:rsidR="00113BEC" w:rsidRPr="007E1E49">
        <w:t>competitors</w:t>
      </w:r>
      <w:r w:rsidRPr="007E1E49">
        <w:t>,</w:t>
      </w:r>
      <w:r w:rsidR="00113BEC" w:rsidRPr="007E1E49">
        <w:t xml:space="preserve"> who were charging about </w:t>
      </w:r>
      <w:r w:rsidRPr="007E1E49">
        <w:rPr>
          <w:rFonts w:ascii="Arial" w:hAnsi="Arial" w:cs="Arial"/>
          <w:sz w:val="20"/>
          <w:szCs w:val="20"/>
        </w:rPr>
        <w:t>₹</w:t>
      </w:r>
      <w:r w:rsidR="00113BEC" w:rsidRPr="007E1E49">
        <w:t>1,500</w:t>
      </w:r>
      <w:r w:rsidRPr="007E1E49">
        <w:t>–</w:t>
      </w:r>
      <w:r w:rsidR="00113BEC" w:rsidRPr="007E1E49">
        <w:t>2,000 per participant for similar training programs. Net of all costs</w:t>
      </w:r>
      <w:r w:rsidRPr="007E1E49">
        <w:t>,</w:t>
      </w:r>
      <w:r w:rsidR="00113BEC" w:rsidRPr="007E1E49">
        <w:t xml:space="preserve"> CampusHash was managing a 70</w:t>
      </w:r>
      <w:r w:rsidRPr="007E1E49">
        <w:t xml:space="preserve"> per cent </w:t>
      </w:r>
      <w:r w:rsidR="00113BEC" w:rsidRPr="007E1E49">
        <w:t>profit margin from these programs.</w:t>
      </w:r>
    </w:p>
    <w:p w14:paraId="59210C29" w14:textId="77777777" w:rsidR="00113BEC" w:rsidRPr="007E1E49" w:rsidRDefault="00113BEC" w:rsidP="00113BEC">
      <w:pPr>
        <w:pStyle w:val="BodyTextMain"/>
      </w:pPr>
    </w:p>
    <w:p w14:paraId="63DC5C61" w14:textId="6D8B6A57" w:rsidR="00113BEC" w:rsidRPr="007E1E49" w:rsidRDefault="00113BEC" w:rsidP="00113BEC">
      <w:pPr>
        <w:pStyle w:val="BodyTextMain"/>
      </w:pPr>
      <w:r w:rsidRPr="007E1E49">
        <w:t xml:space="preserve">Within a few months, CampusHash </w:t>
      </w:r>
      <w:r w:rsidR="00DD779A">
        <w:t>began</w:t>
      </w:r>
      <w:r w:rsidR="00DD779A" w:rsidRPr="007E1E49">
        <w:t xml:space="preserve"> </w:t>
      </w:r>
      <w:r w:rsidRPr="007E1E49">
        <w:t xml:space="preserve">receiving </w:t>
      </w:r>
      <w:r w:rsidR="001008E8" w:rsidRPr="007E1E49">
        <w:t xml:space="preserve">a large number of </w:t>
      </w:r>
      <w:r w:rsidRPr="007E1E49">
        <w:t xml:space="preserve">invitations from colleges </w:t>
      </w:r>
      <w:r w:rsidR="001008E8" w:rsidRPr="007E1E49">
        <w:t xml:space="preserve">that wanted </w:t>
      </w:r>
      <w:r w:rsidR="00DD779A">
        <w:t xml:space="preserve">Saurav and </w:t>
      </w:r>
      <w:proofErr w:type="spellStart"/>
      <w:r w:rsidR="00DD779A">
        <w:t>Tirkey</w:t>
      </w:r>
      <w:proofErr w:type="spellEnd"/>
      <w:r w:rsidR="00DD779A" w:rsidRPr="007E1E49">
        <w:t xml:space="preserve"> </w:t>
      </w:r>
      <w:r w:rsidRPr="007E1E49">
        <w:t xml:space="preserve">to conduct training programs on their campuses. Typically, this meant </w:t>
      </w:r>
      <w:r w:rsidR="00DD779A">
        <w:t xml:space="preserve">that they </w:t>
      </w:r>
      <w:r w:rsidR="001008E8" w:rsidRPr="007E1E49">
        <w:t>spent</w:t>
      </w:r>
      <w:r w:rsidRPr="007E1E49">
        <w:t xml:space="preserve"> six to eight hours per day in class as trainers whenever a program was conducted. Since their workshops were entirely dependent upon their own availability as trainers</w:t>
      </w:r>
      <w:r w:rsidR="001008E8" w:rsidRPr="007E1E49">
        <w:t xml:space="preserve"> and they were offering the workshops while continuing their own studies at NIT</w:t>
      </w:r>
      <w:r w:rsidRPr="007E1E49">
        <w:t xml:space="preserve">, they could only manage a handful of workshops each month, mostly on weekends. Their workshops soon </w:t>
      </w:r>
      <w:r w:rsidR="00CA1701" w:rsidRPr="007E1E49">
        <w:t>became</w:t>
      </w:r>
      <w:r w:rsidR="001008E8" w:rsidRPr="007E1E49">
        <w:t xml:space="preserve"> popular, </w:t>
      </w:r>
      <w:r w:rsidRPr="007E1E49">
        <w:t xml:space="preserve">and they received significant </w:t>
      </w:r>
      <w:r w:rsidR="001008E8" w:rsidRPr="007E1E49">
        <w:t>word-of-</w:t>
      </w:r>
      <w:r w:rsidRPr="007E1E49">
        <w:t>mouth publicity. CampusHash received further visibility when it was made the official training workshop partner for</w:t>
      </w:r>
      <w:r w:rsidR="001008E8" w:rsidRPr="007E1E49">
        <w:t xml:space="preserve"> the annual</w:t>
      </w:r>
      <w:r w:rsidRPr="007E1E49">
        <w:t xml:space="preserve"> </w:t>
      </w:r>
      <w:proofErr w:type="spellStart"/>
      <w:r w:rsidRPr="007E1E49">
        <w:t>PyCon</w:t>
      </w:r>
      <w:proofErr w:type="spellEnd"/>
      <w:r w:rsidRPr="007E1E49">
        <w:t xml:space="preserve"> India</w:t>
      </w:r>
      <w:r w:rsidR="001008E8" w:rsidRPr="007E1E49">
        <w:t xml:space="preserve"> 2013 Python programming language conference, which attracted the best Python programmers from across the country and abroad.</w:t>
      </w:r>
    </w:p>
    <w:p w14:paraId="17D0ED20" w14:textId="77777777" w:rsidR="00113BEC" w:rsidRPr="007E1E49" w:rsidRDefault="00113BEC" w:rsidP="00113BEC">
      <w:pPr>
        <w:pStyle w:val="BodyTextMain"/>
      </w:pPr>
    </w:p>
    <w:p w14:paraId="4525B014" w14:textId="6A50BC0B" w:rsidR="00113BEC" w:rsidRPr="007E1E49" w:rsidRDefault="00113BEC" w:rsidP="00113BEC">
      <w:pPr>
        <w:pStyle w:val="BodyTextMain"/>
      </w:pPr>
      <w:r w:rsidRPr="007E1E49">
        <w:lastRenderedPageBreak/>
        <w:t xml:space="preserve">During their final year at college, Saurav and </w:t>
      </w:r>
      <w:proofErr w:type="spellStart"/>
      <w:r w:rsidRPr="007E1E49">
        <w:t>Tirkey</w:t>
      </w:r>
      <w:proofErr w:type="spellEnd"/>
      <w:r w:rsidRPr="007E1E49">
        <w:t xml:space="preserve"> managed to conduct training programs at nearly 50 colleges across India in collaboration with </w:t>
      </w:r>
      <w:proofErr w:type="spellStart"/>
      <w:r w:rsidRPr="007E1E49">
        <w:t>PyCon</w:t>
      </w:r>
      <w:proofErr w:type="spellEnd"/>
      <w:r w:rsidRPr="007E1E49">
        <w:t xml:space="preserve">. Given the early success of their venture, </w:t>
      </w:r>
      <w:r w:rsidR="001008E8" w:rsidRPr="007E1E49">
        <w:t>they</w:t>
      </w:r>
      <w:r w:rsidRPr="007E1E49">
        <w:t xml:space="preserve"> decided to take this further on a </w:t>
      </w:r>
      <w:r w:rsidR="001008E8" w:rsidRPr="007E1E49">
        <w:t>full-</w:t>
      </w:r>
      <w:r w:rsidRPr="007E1E49">
        <w:t xml:space="preserve">time basis upon graduation from NIT. </w:t>
      </w:r>
      <w:proofErr w:type="spellStart"/>
      <w:r w:rsidRPr="007E1E49">
        <w:t>Tirkey</w:t>
      </w:r>
      <w:proofErr w:type="spellEnd"/>
      <w:r w:rsidRPr="007E1E49">
        <w:t xml:space="preserve"> recalled,</w:t>
      </w:r>
    </w:p>
    <w:p w14:paraId="51E0C5BB" w14:textId="77777777" w:rsidR="00113BEC" w:rsidRPr="007E1E49" w:rsidRDefault="00113BEC" w:rsidP="00113BEC">
      <w:pPr>
        <w:pStyle w:val="BodyTextMain"/>
      </w:pPr>
    </w:p>
    <w:p w14:paraId="370E884D" w14:textId="187B6BD1" w:rsidR="00113BEC" w:rsidRPr="007E1E49" w:rsidRDefault="00113BEC" w:rsidP="00113BEC">
      <w:pPr>
        <w:pStyle w:val="BodyTextMain"/>
        <w:ind w:left="720"/>
      </w:pPr>
      <w:r w:rsidRPr="007E1E49">
        <w:t xml:space="preserve">Saurav was quite bullish about CampusHash and opted out of the institute’s job placement process. Initially, I was not very sure, and therefore I went through a few interviews and landed a job at IBM, with a pay package of </w:t>
      </w:r>
      <w:r w:rsidR="001008E8" w:rsidRPr="008C5C6B">
        <w:rPr>
          <w:rFonts w:ascii="Arial" w:hAnsi="Arial" w:cs="Arial"/>
          <w:sz w:val="20"/>
          <w:szCs w:val="20"/>
        </w:rPr>
        <w:t>₹</w:t>
      </w:r>
      <w:r w:rsidRPr="007E1E49">
        <w:t xml:space="preserve">40,000 per month, while still in my final term at NIT. However, by the time I finished college, I was seeing CampusHash as the dream that I wanted to pursue and therefore never ended up joining IBM. </w:t>
      </w:r>
    </w:p>
    <w:p w14:paraId="438FC4FE" w14:textId="77777777" w:rsidR="00113BEC" w:rsidRPr="007E1E49" w:rsidRDefault="00113BEC" w:rsidP="00113BEC">
      <w:pPr>
        <w:pStyle w:val="BodyTextMain"/>
      </w:pPr>
    </w:p>
    <w:p w14:paraId="7D852800" w14:textId="71CD7C21" w:rsidR="00113BEC" w:rsidRPr="007E1E49" w:rsidRDefault="00113BEC" w:rsidP="00113BEC">
      <w:pPr>
        <w:pStyle w:val="BodyTextMain"/>
      </w:pPr>
      <w:r w:rsidRPr="007E1E49">
        <w:t xml:space="preserve">Saurav and </w:t>
      </w:r>
      <w:proofErr w:type="spellStart"/>
      <w:r w:rsidRPr="007E1E49">
        <w:t>Tirkey</w:t>
      </w:r>
      <w:proofErr w:type="spellEnd"/>
      <w:r w:rsidRPr="007E1E49">
        <w:t xml:space="preserve"> moved from Jamshedpur to Bengaluru after finishing college. Bengaluru had nearly 60 engineering colleges</w:t>
      </w:r>
      <w:r w:rsidR="001008E8" w:rsidRPr="007E1E49">
        <w:t>,</w:t>
      </w:r>
      <w:r w:rsidRPr="007E1E49">
        <w:t xml:space="preserve"> which produced approximately 40,000 engineers every year. Most of these engineers looked for jobs with leading and small software companies. </w:t>
      </w:r>
    </w:p>
    <w:p w14:paraId="785C7F22" w14:textId="77777777" w:rsidR="00113BEC" w:rsidRPr="007E1E49" w:rsidRDefault="00113BEC" w:rsidP="00113BEC">
      <w:pPr>
        <w:pStyle w:val="BodyTextMain"/>
      </w:pPr>
    </w:p>
    <w:p w14:paraId="458C780F" w14:textId="77777777" w:rsidR="00113BEC" w:rsidRPr="007E1E49" w:rsidRDefault="00113BEC" w:rsidP="00113BEC">
      <w:pPr>
        <w:pStyle w:val="BodyTextMain"/>
      </w:pPr>
    </w:p>
    <w:p w14:paraId="0F86345D" w14:textId="637BFD47" w:rsidR="00113BEC" w:rsidRPr="007E1E49" w:rsidRDefault="00113BEC" w:rsidP="00113BEC">
      <w:pPr>
        <w:pStyle w:val="Casehead1"/>
      </w:pPr>
      <w:r w:rsidRPr="007E1E49">
        <w:t>THE indian IT industry</w:t>
      </w:r>
    </w:p>
    <w:p w14:paraId="2A9394C0" w14:textId="77777777" w:rsidR="00113BEC" w:rsidRPr="007E1E49" w:rsidRDefault="00113BEC" w:rsidP="00113BEC">
      <w:pPr>
        <w:pStyle w:val="BodyTextMain"/>
      </w:pPr>
    </w:p>
    <w:p w14:paraId="7D418D56" w14:textId="0D68A66D" w:rsidR="00DD5282" w:rsidRPr="007E1E49" w:rsidRDefault="00113BEC" w:rsidP="00113BEC">
      <w:pPr>
        <w:pStyle w:val="BodyTextMain"/>
      </w:pPr>
      <w:r w:rsidRPr="007E1E49">
        <w:t xml:space="preserve">In </w:t>
      </w:r>
      <w:r w:rsidR="001008E8" w:rsidRPr="007E1E49">
        <w:t>fiscal year (</w:t>
      </w:r>
      <w:r w:rsidRPr="007E1E49">
        <w:t>FY</w:t>
      </w:r>
      <w:r w:rsidR="001008E8" w:rsidRPr="007E1E49">
        <w:t>)</w:t>
      </w:r>
      <w:r w:rsidRPr="007E1E49">
        <w:t xml:space="preserve"> 2016, the IT industry in India employed about 3.9 million people </w:t>
      </w:r>
      <w:r w:rsidR="001008E8" w:rsidRPr="007E1E49">
        <w:t xml:space="preserve">in </w:t>
      </w:r>
      <w:r w:rsidRPr="007E1E49">
        <w:t>IT services, business process management (BPM), software products, engineering services</w:t>
      </w:r>
      <w:r w:rsidR="001008E8" w:rsidRPr="007E1E49">
        <w:t>,</w:t>
      </w:r>
      <w:r w:rsidRPr="007E1E49">
        <w:t xml:space="preserve"> and hardware segments.</w:t>
      </w:r>
      <w:r w:rsidR="00DD779A" w:rsidRPr="00D932D9">
        <w:rPr>
          <w:rStyle w:val="FootnoteReference"/>
        </w:rPr>
        <w:footnoteReference w:id="4"/>
      </w:r>
      <w:r w:rsidRPr="007E1E49">
        <w:t xml:space="preserve"> Revenues from the IT-BPM industry (excluding hardware) </w:t>
      </w:r>
      <w:r w:rsidR="001008E8" w:rsidRPr="007E1E49">
        <w:t xml:space="preserve">were </w:t>
      </w:r>
      <w:r w:rsidRPr="007E1E49">
        <w:t xml:space="preserve">estimated </w:t>
      </w:r>
      <w:r w:rsidR="001008E8" w:rsidRPr="007E1E49">
        <w:t>at</w:t>
      </w:r>
      <w:r w:rsidRPr="007E1E49">
        <w:t xml:space="preserve"> </w:t>
      </w:r>
      <w:r w:rsidR="001008E8" w:rsidRPr="007E1E49">
        <w:t>US$</w:t>
      </w:r>
      <w:r w:rsidRPr="007E1E49">
        <w:t xml:space="preserve">130 billion and </w:t>
      </w:r>
      <w:r w:rsidR="001008E8" w:rsidRPr="007E1E49">
        <w:t xml:space="preserve">were </w:t>
      </w:r>
      <w:r w:rsidRPr="007E1E49">
        <w:t>growing at about 8</w:t>
      </w:r>
      <w:r w:rsidR="001008E8" w:rsidRPr="007E1E49">
        <w:t xml:space="preserve"> per cent </w:t>
      </w:r>
      <w:r w:rsidRPr="007E1E49">
        <w:t>annually</w:t>
      </w:r>
      <w:r w:rsidRPr="00D932D9">
        <w:rPr>
          <w:rStyle w:val="FootnoteReference"/>
        </w:rPr>
        <w:footnoteReference w:id="5"/>
      </w:r>
      <w:r w:rsidRPr="007E1E49">
        <w:t xml:space="preserve"> (</w:t>
      </w:r>
      <w:r w:rsidR="00625598" w:rsidRPr="007E1E49">
        <w:t>see Exhibit</w:t>
      </w:r>
      <w:r w:rsidRPr="007E1E49">
        <w:t xml:space="preserve"> 1), with exports playing a major role overall (</w:t>
      </w:r>
      <w:r w:rsidR="00625598" w:rsidRPr="007E1E49">
        <w:t>see Exhibit</w:t>
      </w:r>
      <w:r w:rsidRPr="007E1E49">
        <w:t xml:space="preserve"> 2). </w:t>
      </w:r>
      <w:r w:rsidR="00FF5155">
        <w:t>T</w:t>
      </w:r>
      <w:r w:rsidRPr="007E1E49">
        <w:t xml:space="preserve">he top 10 firms had </w:t>
      </w:r>
      <w:r w:rsidR="00AD6BD9">
        <w:t>about</w:t>
      </w:r>
      <w:r w:rsidRPr="007E1E49">
        <w:t xml:space="preserve"> 40 per</w:t>
      </w:r>
      <w:r w:rsidR="00094446" w:rsidRPr="007E1E49">
        <w:t xml:space="preserve"> </w:t>
      </w:r>
      <w:r w:rsidRPr="007E1E49">
        <w:t xml:space="preserve">cent revenue share and employed over </w:t>
      </w:r>
      <w:r w:rsidR="00735A5D">
        <w:t>35</w:t>
      </w:r>
      <w:r w:rsidR="00735A5D" w:rsidRPr="007E1E49">
        <w:t xml:space="preserve"> </w:t>
      </w:r>
      <w:r w:rsidRPr="007E1E49">
        <w:t>per</w:t>
      </w:r>
      <w:r w:rsidR="00094446" w:rsidRPr="007E1E49">
        <w:t xml:space="preserve"> </w:t>
      </w:r>
      <w:r w:rsidRPr="007E1E49">
        <w:t xml:space="preserve">cent of the total employees. </w:t>
      </w:r>
      <w:r w:rsidR="00094446" w:rsidRPr="007E1E49">
        <w:t>T</w:t>
      </w:r>
      <w:r w:rsidRPr="007E1E49">
        <w:t xml:space="preserve">he industry also </w:t>
      </w:r>
      <w:r w:rsidR="00094446" w:rsidRPr="007E1E49">
        <w:t xml:space="preserve">included </w:t>
      </w:r>
      <w:r w:rsidRPr="007E1E49">
        <w:t xml:space="preserve">150 </w:t>
      </w:r>
      <w:r w:rsidR="00094446" w:rsidRPr="007E1E49">
        <w:t>medium-</w:t>
      </w:r>
      <w:r w:rsidRPr="007E1E49">
        <w:t>sized players, about 1,000 emerging players</w:t>
      </w:r>
      <w:r w:rsidR="00094446" w:rsidRPr="007E1E49">
        <w:t>,</w:t>
      </w:r>
      <w:r w:rsidRPr="007E1E49">
        <w:t xml:space="preserve"> and 15,000 small players</w:t>
      </w:r>
      <w:r w:rsidR="008D0139">
        <w:rPr>
          <w:rStyle w:val="FootnoteReference"/>
        </w:rPr>
        <w:footnoteReference w:id="6"/>
      </w:r>
      <w:r w:rsidRPr="007E1E49">
        <w:t xml:space="preserve">. </w:t>
      </w:r>
    </w:p>
    <w:p w14:paraId="3B6C174D" w14:textId="77777777" w:rsidR="00DD5282" w:rsidRPr="007E1E49" w:rsidRDefault="00DD5282" w:rsidP="00113BEC">
      <w:pPr>
        <w:pStyle w:val="BodyTextMain"/>
      </w:pPr>
    </w:p>
    <w:p w14:paraId="7ABE4FBB" w14:textId="300B8617" w:rsidR="00113BEC" w:rsidRPr="007E1E49" w:rsidRDefault="00094446" w:rsidP="00113BEC">
      <w:pPr>
        <w:pStyle w:val="BodyTextMain"/>
      </w:pPr>
      <w:r w:rsidRPr="007E1E49">
        <w:t xml:space="preserve">Most IT firms recruited entry-level programmers from college campuses in large numbers. </w:t>
      </w:r>
      <w:r w:rsidR="00113BEC" w:rsidRPr="007E1E49">
        <w:t>About 130,000</w:t>
      </w:r>
      <w:r w:rsidRPr="007E1E49">
        <w:t>–</w:t>
      </w:r>
      <w:r w:rsidR="00113BEC" w:rsidRPr="007E1E49">
        <w:t xml:space="preserve">150,000 graduates entered the Indian IT industry every year, most through </w:t>
      </w:r>
      <w:r w:rsidR="00694016">
        <w:t xml:space="preserve">on-campus </w:t>
      </w:r>
      <w:r w:rsidR="00113BEC" w:rsidRPr="007E1E49">
        <w:t>hiring (</w:t>
      </w:r>
      <w:r w:rsidR="00625598" w:rsidRPr="007E1E49">
        <w:t>see Exhibit</w:t>
      </w:r>
      <w:r w:rsidR="00113BEC" w:rsidRPr="007E1E49">
        <w:t xml:space="preserve"> 3). About </w:t>
      </w:r>
      <w:r w:rsidRPr="007E1E49">
        <w:t xml:space="preserve">2 </w:t>
      </w:r>
      <w:r w:rsidR="00113BEC" w:rsidRPr="007E1E49">
        <w:t>per</w:t>
      </w:r>
      <w:r w:rsidRPr="007E1E49">
        <w:t xml:space="preserve"> </w:t>
      </w:r>
      <w:r w:rsidR="00113BEC" w:rsidRPr="007E1E49">
        <w:t>cent of total industry revenue was spent on training employees</w:t>
      </w:r>
      <w:r w:rsidRPr="007E1E49">
        <w:t>,</w:t>
      </w:r>
      <w:r w:rsidR="00113BEC" w:rsidRPr="007E1E49">
        <w:t xml:space="preserve"> and 40 per</w:t>
      </w:r>
      <w:r w:rsidRPr="007E1E49">
        <w:t xml:space="preserve"> </w:t>
      </w:r>
      <w:r w:rsidR="00113BEC" w:rsidRPr="007E1E49">
        <w:t xml:space="preserve">cent of this training budget was used for training </w:t>
      </w:r>
      <w:r w:rsidRPr="007E1E49">
        <w:t>entry-</w:t>
      </w:r>
      <w:r w:rsidR="00113BEC" w:rsidRPr="007E1E49">
        <w:t>level employees to make them job ready</w:t>
      </w:r>
      <w:r w:rsidR="00113BEC" w:rsidRPr="00D932D9">
        <w:rPr>
          <w:rStyle w:val="FootnoteReference"/>
        </w:rPr>
        <w:footnoteReference w:id="7"/>
      </w:r>
      <w:r w:rsidR="00113BEC" w:rsidRPr="007E1E49">
        <w:t xml:space="preserve"> (</w:t>
      </w:r>
      <w:r w:rsidR="00625598" w:rsidRPr="007E1E49">
        <w:t>see Exhibit</w:t>
      </w:r>
      <w:r w:rsidR="00113BEC" w:rsidRPr="007E1E49">
        <w:t xml:space="preserve"> 4).</w:t>
      </w:r>
    </w:p>
    <w:p w14:paraId="7205ABCC" w14:textId="77777777" w:rsidR="00113BEC" w:rsidRPr="007E1E49" w:rsidRDefault="00113BEC" w:rsidP="00113BEC">
      <w:pPr>
        <w:pStyle w:val="BodyTextMain"/>
      </w:pPr>
    </w:p>
    <w:p w14:paraId="5E9C9C7B" w14:textId="2727E3FD" w:rsidR="00113BEC" w:rsidRPr="007E1E49" w:rsidRDefault="00113BEC" w:rsidP="00113BEC">
      <w:pPr>
        <w:pStyle w:val="BodyTextMain"/>
      </w:pPr>
      <w:r w:rsidRPr="007E1E49">
        <w:t>The industry was evolving rapidly</w:t>
      </w:r>
      <w:r w:rsidR="00094446" w:rsidRPr="007E1E49">
        <w:t>,</w:t>
      </w:r>
      <w:r w:rsidRPr="007E1E49">
        <w:t xml:space="preserve"> and new technologies were becoming increasingly popular. Further, customers were becoming highly demanding</w:t>
      </w:r>
      <w:r w:rsidR="00094446" w:rsidRPr="007E1E49">
        <w:t>,</w:t>
      </w:r>
      <w:r w:rsidRPr="007E1E49">
        <w:t xml:space="preserve"> expect</w:t>
      </w:r>
      <w:r w:rsidR="00094446" w:rsidRPr="007E1E49">
        <w:t>ing high-</w:t>
      </w:r>
      <w:r w:rsidRPr="007E1E49">
        <w:t>quality work at low costs</w:t>
      </w:r>
      <w:r w:rsidR="00094446" w:rsidRPr="007E1E49">
        <w:t xml:space="preserve">, and </w:t>
      </w:r>
      <w:r w:rsidRPr="007E1E49">
        <w:t xml:space="preserve">IT firms were faced with a constant requirement to increase revenue per employee. Hence human resource (HR) managers in IT firms were constantly under pressure </w:t>
      </w:r>
      <w:r w:rsidR="00094446" w:rsidRPr="007E1E49">
        <w:t xml:space="preserve">to make the recruitment process faster and easier and </w:t>
      </w:r>
      <w:r w:rsidRPr="007E1E49">
        <w:t xml:space="preserve">to hire quality talent while reducing the overall costs of hiring. </w:t>
      </w:r>
      <w:r w:rsidR="004B6FFA">
        <w:t xml:space="preserve">The HR managers </w:t>
      </w:r>
      <w:r w:rsidRPr="007E1E49">
        <w:t xml:space="preserve">faced numerous </w:t>
      </w:r>
      <w:r w:rsidR="00094446" w:rsidRPr="007E1E49">
        <w:t>recruitment-</w:t>
      </w:r>
      <w:r w:rsidRPr="007E1E49">
        <w:t xml:space="preserve">related challenges in hiring </w:t>
      </w:r>
      <w:r w:rsidR="00094446" w:rsidRPr="007E1E49">
        <w:t>entry-</w:t>
      </w:r>
      <w:r w:rsidRPr="007E1E49">
        <w:t>level employees and mid-level managers (</w:t>
      </w:r>
      <w:r w:rsidR="00625598" w:rsidRPr="007E1E49">
        <w:t>see Exhibit</w:t>
      </w:r>
      <w:r w:rsidR="00094446" w:rsidRPr="007E1E49">
        <w:t>s 5 and</w:t>
      </w:r>
      <w:r w:rsidRPr="007E1E49">
        <w:t xml:space="preserve"> 6</w:t>
      </w:r>
      <w:r w:rsidR="00DD5282" w:rsidRPr="007E1E49">
        <w:t>), and t</w:t>
      </w:r>
      <w:r w:rsidRPr="007E1E49">
        <w:t xml:space="preserve">hey needed to design efficient and quick hiring processes while controlling fixed and variable costs. However, they </w:t>
      </w:r>
      <w:r w:rsidR="00DD5282" w:rsidRPr="007E1E49">
        <w:t xml:space="preserve">also </w:t>
      </w:r>
      <w:r w:rsidRPr="007E1E49">
        <w:t xml:space="preserve">needed to ensure </w:t>
      </w:r>
      <w:r w:rsidR="00DD5282" w:rsidRPr="007E1E49">
        <w:t>they selected high-</w:t>
      </w:r>
      <w:r w:rsidRPr="007E1E49">
        <w:t>quality candidates so that these</w:t>
      </w:r>
      <w:r w:rsidR="00DD5282" w:rsidRPr="007E1E49">
        <w:t xml:space="preserve"> new employees</w:t>
      </w:r>
      <w:r w:rsidRPr="007E1E49">
        <w:t xml:space="preserve"> could be made billable quickly. </w:t>
      </w:r>
      <w:r w:rsidR="00DD5282" w:rsidRPr="007E1E49">
        <w:t>I</w:t>
      </w:r>
      <w:r w:rsidRPr="007E1E49">
        <w:t xml:space="preserve">t was </w:t>
      </w:r>
      <w:r w:rsidR="00DD5282" w:rsidRPr="007E1E49">
        <w:t xml:space="preserve">typically challenging </w:t>
      </w:r>
      <w:r w:rsidRPr="007E1E49">
        <w:t>to identify and attract the best talent from engineering campuses</w:t>
      </w:r>
      <w:r w:rsidR="00DD5282" w:rsidRPr="007E1E49">
        <w:t>,</w:t>
      </w:r>
      <w:r w:rsidRPr="007E1E49">
        <w:t xml:space="preserve"> and the companies needed to do both effectively and efficiently</w:t>
      </w:r>
      <w:r w:rsidR="00DD5282" w:rsidRPr="007E1E49">
        <w:t>.</w:t>
      </w:r>
      <w:r w:rsidRPr="00D932D9">
        <w:rPr>
          <w:rStyle w:val="FootnoteReference"/>
        </w:rPr>
        <w:footnoteReference w:id="8"/>
      </w:r>
    </w:p>
    <w:p w14:paraId="392BFFC3" w14:textId="77777777" w:rsidR="00113BEC" w:rsidRPr="007E1E49" w:rsidRDefault="00113BEC" w:rsidP="00113BEC">
      <w:pPr>
        <w:pStyle w:val="BodyTextMain"/>
      </w:pPr>
    </w:p>
    <w:p w14:paraId="3D0C68D1" w14:textId="77777777" w:rsidR="00113BEC" w:rsidRPr="007E1E49" w:rsidRDefault="00113BEC" w:rsidP="00113BEC">
      <w:pPr>
        <w:pStyle w:val="BodyTextMain"/>
      </w:pPr>
    </w:p>
    <w:p w14:paraId="67FFB6F3" w14:textId="77777777" w:rsidR="00113BEC" w:rsidRPr="007E1E49" w:rsidRDefault="00113BEC" w:rsidP="00113BEC">
      <w:pPr>
        <w:pStyle w:val="Casehead1"/>
      </w:pPr>
      <w:r w:rsidRPr="007E1E49">
        <w:lastRenderedPageBreak/>
        <w:t>Current status</w:t>
      </w:r>
    </w:p>
    <w:p w14:paraId="581A83AF" w14:textId="77777777" w:rsidR="00113BEC" w:rsidRPr="007E1E49" w:rsidRDefault="00113BEC" w:rsidP="00113BEC">
      <w:pPr>
        <w:pStyle w:val="BodyTextMain"/>
      </w:pPr>
    </w:p>
    <w:p w14:paraId="0C3AB0A3" w14:textId="2C86D82F" w:rsidR="00113BEC" w:rsidRPr="007E1E49" w:rsidRDefault="00F20671" w:rsidP="00113BEC">
      <w:pPr>
        <w:pStyle w:val="BodyTextMain"/>
      </w:pPr>
      <w:r w:rsidRPr="007E1E49">
        <w:t xml:space="preserve">Near </w:t>
      </w:r>
      <w:r w:rsidR="00113BEC" w:rsidRPr="007E1E49">
        <w:t xml:space="preserve">the end of 2014, Saurav and </w:t>
      </w:r>
      <w:proofErr w:type="spellStart"/>
      <w:r w:rsidR="00113BEC" w:rsidRPr="007E1E49">
        <w:t>Tirkey</w:t>
      </w:r>
      <w:proofErr w:type="spellEnd"/>
      <w:r w:rsidR="00113BEC" w:rsidRPr="007E1E49">
        <w:t xml:space="preserve"> </w:t>
      </w:r>
      <w:r w:rsidRPr="007E1E49">
        <w:t>welcomed a new partner,</w:t>
      </w:r>
      <w:r w:rsidR="00113BEC" w:rsidRPr="007E1E49">
        <w:t xml:space="preserve"> </w:t>
      </w:r>
      <w:proofErr w:type="spellStart"/>
      <w:r w:rsidR="00113BEC" w:rsidRPr="007E1E49">
        <w:t>Iliyas</w:t>
      </w:r>
      <w:proofErr w:type="spellEnd"/>
      <w:r w:rsidR="00113BEC" w:rsidRPr="007E1E49">
        <w:t xml:space="preserve"> </w:t>
      </w:r>
      <w:proofErr w:type="spellStart"/>
      <w:r w:rsidR="00113BEC" w:rsidRPr="007E1E49">
        <w:t>Shirol</w:t>
      </w:r>
      <w:proofErr w:type="spellEnd"/>
      <w:r w:rsidR="00113BEC" w:rsidRPr="007E1E49">
        <w:t xml:space="preserve">, an experienced technologist who had worked for around </w:t>
      </w:r>
      <w:r w:rsidRPr="007E1E49">
        <w:t xml:space="preserve">eight </w:t>
      </w:r>
      <w:r w:rsidR="00113BEC" w:rsidRPr="007E1E49">
        <w:t xml:space="preserve">years in various leading IT companies and had a job with a </w:t>
      </w:r>
      <w:r w:rsidR="00173DED" w:rsidRPr="007E1E49">
        <w:t xml:space="preserve">monthly </w:t>
      </w:r>
      <w:r w:rsidR="00113BEC" w:rsidRPr="007E1E49">
        <w:t>salary</w:t>
      </w:r>
      <w:r w:rsidR="00173DED" w:rsidRPr="007E1E49">
        <w:t xml:space="preserve"> of about </w:t>
      </w:r>
      <w:r w:rsidRPr="008C5C6B">
        <w:rPr>
          <w:rFonts w:ascii="Arial" w:hAnsi="Arial" w:cs="Arial"/>
          <w:sz w:val="20"/>
          <w:szCs w:val="20"/>
        </w:rPr>
        <w:t>₹</w:t>
      </w:r>
      <w:r w:rsidR="00173DED" w:rsidRPr="007E1E49">
        <w:t>250,000</w:t>
      </w:r>
      <w:r w:rsidR="00113BEC" w:rsidRPr="007E1E49">
        <w:t xml:space="preserve">. </w:t>
      </w:r>
      <w:proofErr w:type="spellStart"/>
      <w:r w:rsidR="00113BEC" w:rsidRPr="007E1E49">
        <w:t>Shirol</w:t>
      </w:r>
      <w:proofErr w:type="spellEnd"/>
      <w:r w:rsidR="00113BEC" w:rsidRPr="007E1E49">
        <w:t xml:space="preserve"> had industry experience that </w:t>
      </w:r>
      <w:proofErr w:type="spellStart"/>
      <w:r w:rsidR="00113BEC" w:rsidRPr="007E1E49">
        <w:t>CampusHash’s</w:t>
      </w:r>
      <w:proofErr w:type="spellEnd"/>
      <w:r w:rsidR="00113BEC" w:rsidRPr="007E1E49">
        <w:t xml:space="preserve"> initial co-founders lacked. He also had a wide network of contacts in the IT industry. With </w:t>
      </w:r>
      <w:proofErr w:type="spellStart"/>
      <w:r w:rsidR="00113BEC" w:rsidRPr="007E1E49">
        <w:t>Shirol’s</w:t>
      </w:r>
      <w:proofErr w:type="spellEnd"/>
      <w:r w:rsidR="00113BEC" w:rsidRPr="007E1E49">
        <w:t xml:space="preserve"> input, </w:t>
      </w:r>
      <w:proofErr w:type="spellStart"/>
      <w:r w:rsidR="00113BEC" w:rsidRPr="007E1E49">
        <w:t>CampusHash</w:t>
      </w:r>
      <w:proofErr w:type="spellEnd"/>
      <w:r w:rsidR="00113BEC" w:rsidRPr="007E1E49">
        <w:t xml:space="preserve"> redesigned its training programs to make them more effective and attractive to students. In particular, it started conducting </w:t>
      </w:r>
      <w:r w:rsidRPr="007E1E49">
        <w:t>h</w:t>
      </w:r>
      <w:r w:rsidR="00113BEC" w:rsidRPr="007E1E49">
        <w:t xml:space="preserve">ackathons, or programming competitions, on the second day of </w:t>
      </w:r>
      <w:r w:rsidRPr="007E1E49">
        <w:t xml:space="preserve">each </w:t>
      </w:r>
      <w:r w:rsidR="00113BEC" w:rsidRPr="007E1E49">
        <w:t xml:space="preserve">training program. </w:t>
      </w:r>
      <w:r w:rsidRPr="007E1E49">
        <w:t xml:space="preserve">The hackathons </w:t>
      </w:r>
      <w:r w:rsidR="00113BEC" w:rsidRPr="007E1E49">
        <w:t>helped CampusHash in multiple ways</w:t>
      </w:r>
      <w:r w:rsidRPr="007E1E49">
        <w:t>:</w:t>
      </w:r>
      <w:r w:rsidR="00113BEC" w:rsidRPr="007E1E49">
        <w:t xml:space="preserve"> participants’ performance in the</w:t>
      </w:r>
      <w:r w:rsidRPr="007E1E49">
        <w:t>se events</w:t>
      </w:r>
      <w:r w:rsidR="00113BEC" w:rsidRPr="007E1E49">
        <w:t xml:space="preserve"> helped CampusHash measure the effectiveness of its programs</w:t>
      </w:r>
      <w:r w:rsidRPr="007E1E49">
        <w:t xml:space="preserve"> </w:t>
      </w:r>
      <w:r w:rsidR="00113BEC" w:rsidRPr="007E1E49">
        <w:t>and</w:t>
      </w:r>
      <w:r w:rsidRPr="007E1E49">
        <w:t>,</w:t>
      </w:r>
      <w:r w:rsidR="00113BEC" w:rsidRPr="007E1E49">
        <w:t xml:space="preserve"> more importantly, </w:t>
      </w:r>
      <w:r w:rsidRPr="007E1E49">
        <w:t xml:space="preserve">the hackathons </w:t>
      </w:r>
      <w:r w:rsidR="00113BEC" w:rsidRPr="007E1E49">
        <w:t>helped CampusHash identify good programmers from among the participants. Soon</w:t>
      </w:r>
      <w:r w:rsidRPr="007E1E49">
        <w:t>,</w:t>
      </w:r>
      <w:r w:rsidR="00113BEC" w:rsidRPr="007E1E49">
        <w:t xml:space="preserve"> </w:t>
      </w:r>
      <w:r w:rsidRPr="007E1E49">
        <w:t xml:space="preserve">the team </w:t>
      </w:r>
      <w:r w:rsidR="00113BEC" w:rsidRPr="007E1E49">
        <w:t xml:space="preserve">realized that they could refer </w:t>
      </w:r>
      <w:r w:rsidRPr="007E1E49">
        <w:t xml:space="preserve">a few </w:t>
      </w:r>
      <w:r w:rsidR="00113BEC" w:rsidRPr="007E1E49">
        <w:t>participants who performed well in the hackathons as potential internship candidates at IT companies.</w:t>
      </w:r>
    </w:p>
    <w:p w14:paraId="42970B72" w14:textId="0F985917" w:rsidR="00113BEC" w:rsidRPr="007E1E49" w:rsidRDefault="00113BEC" w:rsidP="00113BEC">
      <w:pPr>
        <w:pStyle w:val="BodyTextMain"/>
      </w:pPr>
    </w:p>
    <w:p w14:paraId="379EF107" w14:textId="04B23A9F" w:rsidR="00113BEC" w:rsidRPr="007E1E49" w:rsidRDefault="00113BEC" w:rsidP="00113BEC">
      <w:pPr>
        <w:pStyle w:val="BodyTextMain"/>
      </w:pPr>
      <w:proofErr w:type="spellStart"/>
      <w:r w:rsidRPr="007E1E49">
        <w:t>Shirol</w:t>
      </w:r>
      <w:proofErr w:type="spellEnd"/>
      <w:r w:rsidRPr="007E1E49">
        <w:t xml:space="preserve"> helped </w:t>
      </w:r>
      <w:proofErr w:type="spellStart"/>
      <w:r w:rsidRPr="007E1E49">
        <w:t>CampusHash</w:t>
      </w:r>
      <w:proofErr w:type="spellEnd"/>
      <w:r w:rsidRPr="007E1E49">
        <w:t xml:space="preserve"> approach companies like </w:t>
      </w:r>
      <w:proofErr w:type="spellStart"/>
      <w:r w:rsidR="004D6A42" w:rsidRPr="007E1E49">
        <w:t>Ibibo</w:t>
      </w:r>
      <w:proofErr w:type="spellEnd"/>
      <w:r w:rsidR="004D6A42" w:rsidRPr="007E1E49">
        <w:t xml:space="preserve"> Group Private Limited (</w:t>
      </w:r>
      <w:proofErr w:type="spellStart"/>
      <w:r w:rsidRPr="007E1E49">
        <w:t>Goibibo</w:t>
      </w:r>
      <w:proofErr w:type="spellEnd"/>
      <w:r w:rsidR="004D6A42" w:rsidRPr="007E1E49">
        <w:t>), a leading online hotel booking engine and airline ticket aggregator,</w:t>
      </w:r>
      <w:r w:rsidRPr="007E1E49">
        <w:t xml:space="preserve"> </w:t>
      </w:r>
      <w:r w:rsidR="004D6A42" w:rsidRPr="007E1E49">
        <w:t xml:space="preserve">to </w:t>
      </w:r>
      <w:r w:rsidRPr="007E1E49">
        <w:t xml:space="preserve">pitch the idea </w:t>
      </w:r>
      <w:r w:rsidR="004D6A42" w:rsidRPr="007E1E49">
        <w:t xml:space="preserve">of </w:t>
      </w:r>
      <w:r w:rsidRPr="007E1E49">
        <w:t>CampusHash identify</w:t>
      </w:r>
      <w:r w:rsidR="004D6A42" w:rsidRPr="007E1E49">
        <w:t>ing</w:t>
      </w:r>
      <w:r w:rsidRPr="007E1E49">
        <w:t xml:space="preserve"> and select</w:t>
      </w:r>
      <w:r w:rsidR="004D6A42" w:rsidRPr="007E1E49">
        <w:t>ing</w:t>
      </w:r>
      <w:r w:rsidRPr="007E1E49">
        <w:t xml:space="preserve"> skilled engineering interns for them through </w:t>
      </w:r>
      <w:r w:rsidR="004D6A42" w:rsidRPr="007E1E49">
        <w:t xml:space="preserve">its </w:t>
      </w:r>
      <w:r w:rsidRPr="007E1E49">
        <w:t xml:space="preserve">workshops. CampusHash approached other IT companies with this idea, and a few showed </w:t>
      </w:r>
      <w:proofErr w:type="gramStart"/>
      <w:r w:rsidRPr="007E1E49">
        <w:t>interest</w:t>
      </w:r>
      <w:proofErr w:type="gramEnd"/>
      <w:r w:rsidRPr="007E1E49">
        <w:t xml:space="preserve">. In return for some social media publicity, a few IT companies started to sponsor </w:t>
      </w:r>
      <w:proofErr w:type="spellStart"/>
      <w:r w:rsidRPr="007E1E49">
        <w:t>CampusHash’s</w:t>
      </w:r>
      <w:proofErr w:type="spellEnd"/>
      <w:r w:rsidRPr="007E1E49">
        <w:t xml:space="preserve"> events. </w:t>
      </w:r>
      <w:r w:rsidR="004D6A42" w:rsidRPr="007E1E49">
        <w:t>O</w:t>
      </w:r>
      <w:r w:rsidRPr="007E1E49">
        <w:t xml:space="preserve">nce engineering students </w:t>
      </w:r>
      <w:r w:rsidR="004D6A42" w:rsidRPr="007E1E49">
        <w:t>learned</w:t>
      </w:r>
      <w:r w:rsidRPr="007E1E49">
        <w:t xml:space="preserve"> that CampusHash </w:t>
      </w:r>
      <w:r w:rsidR="00D46E1D">
        <w:t xml:space="preserve">workshops </w:t>
      </w:r>
      <w:r w:rsidRPr="007E1E49">
        <w:t xml:space="preserve">could </w:t>
      </w:r>
      <w:r w:rsidR="004D6A42" w:rsidRPr="007E1E49">
        <w:t xml:space="preserve">potentially result in </w:t>
      </w:r>
      <w:r w:rsidRPr="007E1E49">
        <w:t>IT internships, the average number of participants in the training workshops grew significantly</w:t>
      </w:r>
      <w:r w:rsidR="004D6A42" w:rsidRPr="007E1E49">
        <w:t>,</w:t>
      </w:r>
      <w:r w:rsidRPr="007E1E49">
        <w:t xml:space="preserve"> from 20 to 40 per program. To leverage this increased demand, CampusHash increased its fees to </w:t>
      </w:r>
      <w:r w:rsidR="004D6A42" w:rsidRPr="008C5C6B">
        <w:rPr>
          <w:rFonts w:ascii="Arial" w:hAnsi="Arial" w:cs="Arial"/>
          <w:sz w:val="20"/>
          <w:szCs w:val="20"/>
        </w:rPr>
        <w:t>₹</w:t>
      </w:r>
      <w:r w:rsidRPr="007E1E49">
        <w:t xml:space="preserve">1,250 per participant for its two-day program. </w:t>
      </w:r>
    </w:p>
    <w:p w14:paraId="6791607F" w14:textId="77777777" w:rsidR="00113BEC" w:rsidRPr="007E1E49" w:rsidRDefault="00113BEC" w:rsidP="00113BEC">
      <w:pPr>
        <w:pStyle w:val="BodyTextMain"/>
      </w:pPr>
    </w:p>
    <w:p w14:paraId="4F2FE8DD" w14:textId="0D8A8123" w:rsidR="00113BEC" w:rsidRPr="007E1E49" w:rsidRDefault="00113BEC" w:rsidP="00113BEC">
      <w:pPr>
        <w:pStyle w:val="BodyTextMain"/>
      </w:pPr>
      <w:r w:rsidRPr="007E1E49">
        <w:t xml:space="preserve">The students were happy </w:t>
      </w:r>
      <w:r w:rsidR="004D6A42" w:rsidRPr="007E1E49">
        <w:t xml:space="preserve">to have the opportunity to </w:t>
      </w:r>
      <w:r w:rsidRPr="007E1E49">
        <w:t xml:space="preserve">intern with good IT firms. In </w:t>
      </w:r>
      <w:r w:rsidR="004D6A42" w:rsidRPr="007E1E49">
        <w:t>re</w:t>
      </w:r>
      <w:r w:rsidRPr="007E1E49">
        <w:t xml:space="preserve">turn, the IT firms </w:t>
      </w:r>
      <w:r w:rsidR="004D6A42" w:rsidRPr="007E1E49">
        <w:t xml:space="preserve">paid the interns a small stipend and </w:t>
      </w:r>
      <w:r w:rsidRPr="007E1E49">
        <w:t>used the</w:t>
      </w:r>
      <w:r w:rsidR="004D6A42" w:rsidRPr="007E1E49">
        <w:t>m</w:t>
      </w:r>
      <w:r w:rsidRPr="007E1E49">
        <w:t xml:space="preserve"> </w:t>
      </w:r>
      <w:r w:rsidR="004D6A42" w:rsidRPr="007E1E49">
        <w:t>to do</w:t>
      </w:r>
      <w:r w:rsidRPr="007E1E49">
        <w:t xml:space="preserve"> billable software programming work. The IT firms also used the internship </w:t>
      </w:r>
      <w:r w:rsidR="00F46AD8" w:rsidRPr="007E1E49">
        <w:t xml:space="preserve">periods </w:t>
      </w:r>
      <w:r w:rsidRPr="007E1E49">
        <w:t xml:space="preserve">to thoroughly evaluate candidates and </w:t>
      </w:r>
      <w:r w:rsidR="00F46AD8" w:rsidRPr="007E1E49">
        <w:t xml:space="preserve">made </w:t>
      </w:r>
      <w:r w:rsidRPr="007E1E49">
        <w:t xml:space="preserve">permanent job offers to those </w:t>
      </w:r>
      <w:r w:rsidR="00F46AD8" w:rsidRPr="007E1E49">
        <w:t xml:space="preserve">who </w:t>
      </w:r>
      <w:r w:rsidRPr="007E1E49">
        <w:t>fit their requirements. CampusHash was not charging any fees or commission</w:t>
      </w:r>
      <w:r w:rsidR="00F46AD8" w:rsidRPr="007E1E49">
        <w:t>s</w:t>
      </w:r>
      <w:r w:rsidRPr="007E1E49">
        <w:t xml:space="preserve"> to either the IT companies or the candidates for its role in </w:t>
      </w:r>
      <w:r w:rsidR="00F46AD8" w:rsidRPr="007E1E49">
        <w:t xml:space="preserve">facilitating </w:t>
      </w:r>
      <w:r w:rsidRPr="007E1E49">
        <w:t>these internship</w:t>
      </w:r>
      <w:r w:rsidR="00F46AD8" w:rsidRPr="007E1E49">
        <w:t>s</w:t>
      </w:r>
      <w:r w:rsidRPr="007E1E49">
        <w:t xml:space="preserve">. This activity helped CampusHash build contacts with HR teams of IT companies and establish </w:t>
      </w:r>
      <w:r w:rsidR="00016E99">
        <w:t>the CampusHash</w:t>
      </w:r>
      <w:r w:rsidR="00016E99" w:rsidRPr="007E1E49">
        <w:t xml:space="preserve"> </w:t>
      </w:r>
      <w:r w:rsidRPr="007E1E49">
        <w:t>brand.</w:t>
      </w:r>
    </w:p>
    <w:p w14:paraId="7C05425E" w14:textId="77777777" w:rsidR="00113BEC" w:rsidRPr="007E1E49" w:rsidRDefault="00113BEC" w:rsidP="00113BEC">
      <w:pPr>
        <w:pStyle w:val="BodyTextMain"/>
      </w:pPr>
    </w:p>
    <w:p w14:paraId="70D0196A" w14:textId="1693CE45" w:rsidR="00113BEC" w:rsidRPr="007E1E49" w:rsidRDefault="00113BEC" w:rsidP="00113BEC">
      <w:pPr>
        <w:pStyle w:val="BodyTextMain"/>
      </w:pPr>
      <w:r w:rsidRPr="007E1E49">
        <w:t xml:space="preserve">The IT companies found </w:t>
      </w:r>
      <w:r w:rsidR="00F46AD8" w:rsidRPr="007E1E49">
        <w:t xml:space="preserve">that the </w:t>
      </w:r>
      <w:r w:rsidRPr="007E1E49">
        <w:t xml:space="preserve">CampusHash interns </w:t>
      </w:r>
      <w:r w:rsidR="00F46AD8" w:rsidRPr="007E1E49">
        <w:t>were</w:t>
      </w:r>
      <w:r w:rsidRPr="007E1E49">
        <w:t xml:space="preserve"> of </w:t>
      </w:r>
      <w:r w:rsidR="00D46E1D" w:rsidRPr="007E1E49">
        <w:t>above</w:t>
      </w:r>
      <w:r w:rsidR="00D46E1D">
        <w:t>-</w:t>
      </w:r>
      <w:r w:rsidRPr="007E1E49">
        <w:t xml:space="preserve">average quality. For instance, when </w:t>
      </w:r>
      <w:proofErr w:type="spellStart"/>
      <w:r w:rsidRPr="007E1E49">
        <w:t>Shirol</w:t>
      </w:r>
      <w:proofErr w:type="spellEnd"/>
      <w:r w:rsidRPr="007E1E49">
        <w:t xml:space="preserve"> sought feedback from </w:t>
      </w:r>
      <w:proofErr w:type="spellStart"/>
      <w:r w:rsidRPr="007E1E49">
        <w:t>Vikalp</w:t>
      </w:r>
      <w:proofErr w:type="spellEnd"/>
      <w:r w:rsidRPr="007E1E49">
        <w:t xml:space="preserve"> </w:t>
      </w:r>
      <w:proofErr w:type="spellStart"/>
      <w:r w:rsidRPr="007E1E49">
        <w:t>Sahani</w:t>
      </w:r>
      <w:proofErr w:type="spellEnd"/>
      <w:r w:rsidRPr="007E1E49">
        <w:t xml:space="preserve">, </w:t>
      </w:r>
      <w:r w:rsidR="00F46AD8" w:rsidRPr="007E1E49">
        <w:t>the c</w:t>
      </w:r>
      <w:r w:rsidRPr="007E1E49">
        <w:t xml:space="preserve">hief </w:t>
      </w:r>
      <w:r w:rsidR="00F46AD8" w:rsidRPr="007E1E49">
        <w:t>t</w:t>
      </w:r>
      <w:r w:rsidRPr="007E1E49">
        <w:t xml:space="preserve">echnology </w:t>
      </w:r>
      <w:r w:rsidR="00F46AD8" w:rsidRPr="007E1E49">
        <w:t>o</w:t>
      </w:r>
      <w:r w:rsidRPr="007E1E49">
        <w:t>fficer</w:t>
      </w:r>
      <w:r w:rsidR="00F46AD8" w:rsidRPr="007E1E49">
        <w:t xml:space="preserve"> at </w:t>
      </w:r>
      <w:proofErr w:type="spellStart"/>
      <w:r w:rsidRPr="007E1E49">
        <w:t>Goibibo</w:t>
      </w:r>
      <w:proofErr w:type="spellEnd"/>
      <w:r w:rsidRPr="007E1E49">
        <w:t>, about his experience with CampusHash interns, he stated,</w:t>
      </w:r>
    </w:p>
    <w:p w14:paraId="7A6BEEB7" w14:textId="77777777" w:rsidR="00113BEC" w:rsidRPr="007E1E49" w:rsidRDefault="00113BEC" w:rsidP="00113BEC">
      <w:pPr>
        <w:pStyle w:val="BodyTextMain"/>
      </w:pPr>
    </w:p>
    <w:p w14:paraId="19B1E263" w14:textId="3F5CE111" w:rsidR="00113BEC" w:rsidRPr="007E1E49" w:rsidRDefault="00D46E1D" w:rsidP="00113BEC">
      <w:pPr>
        <w:pStyle w:val="BodyTextMain"/>
        <w:ind w:left="720"/>
        <w:rPr>
          <w:b/>
        </w:rPr>
      </w:pPr>
      <w:r w:rsidRPr="007E1E49">
        <w:t>CampusHash</w:t>
      </w:r>
      <w:r>
        <w:t>-</w:t>
      </w:r>
      <w:r w:rsidR="00113BEC" w:rsidRPr="007E1E49">
        <w:t>trained and selected interns were adequately skilled and could write entire software applications for us. We were pleasantly surprised to see that</w:t>
      </w:r>
      <w:r w:rsidR="00F46AD8" w:rsidRPr="007E1E49">
        <w:t>,</w:t>
      </w:r>
      <w:r w:rsidR="00113BEC" w:rsidRPr="007E1E49">
        <w:t xml:space="preserve"> despite </w:t>
      </w:r>
      <w:r w:rsidR="00F46AD8" w:rsidRPr="007E1E49">
        <w:t xml:space="preserve">[their] </w:t>
      </w:r>
      <w:r w:rsidR="00113BEC" w:rsidRPr="007E1E49">
        <w:t xml:space="preserve">lack of work experience, these interns understood technology architectures and functionality. They were </w:t>
      </w:r>
      <w:r w:rsidR="00F46AD8" w:rsidRPr="007E1E49">
        <w:t xml:space="preserve">[the] </w:t>
      </w:r>
      <w:r w:rsidR="00113BEC" w:rsidRPr="007E1E49">
        <w:t>right fit for the intern roles we had in mind.</w:t>
      </w:r>
    </w:p>
    <w:p w14:paraId="5846A5D6" w14:textId="77777777" w:rsidR="00113BEC" w:rsidRPr="007E1E49" w:rsidRDefault="00113BEC" w:rsidP="00113BEC">
      <w:pPr>
        <w:pStyle w:val="BodyTextMain"/>
      </w:pPr>
    </w:p>
    <w:p w14:paraId="2954F396" w14:textId="1AB80DF0" w:rsidR="00113BEC" w:rsidRPr="00FF5155" w:rsidRDefault="00113BEC" w:rsidP="00113BEC">
      <w:pPr>
        <w:pStyle w:val="BodyTextMain"/>
        <w:rPr>
          <w:spacing w:val="-2"/>
        </w:rPr>
      </w:pPr>
      <w:r w:rsidRPr="00FF5155">
        <w:rPr>
          <w:spacing w:val="-2"/>
        </w:rPr>
        <w:t xml:space="preserve">By the end of 2015, with </w:t>
      </w:r>
      <w:proofErr w:type="spellStart"/>
      <w:r w:rsidRPr="00FF5155">
        <w:rPr>
          <w:spacing w:val="-2"/>
        </w:rPr>
        <w:t>CampusHash’s</w:t>
      </w:r>
      <w:proofErr w:type="spellEnd"/>
      <w:r w:rsidRPr="00FF5155">
        <w:rPr>
          <w:spacing w:val="-2"/>
        </w:rPr>
        <w:t xml:space="preserve"> business growing rapidly, the three co-founders got together to </w:t>
      </w:r>
      <w:r w:rsidR="00016E99" w:rsidRPr="00FF5155">
        <w:rPr>
          <w:spacing w:val="-2"/>
        </w:rPr>
        <w:t>m</w:t>
      </w:r>
      <w:r w:rsidRPr="00FF5155">
        <w:rPr>
          <w:spacing w:val="-2"/>
        </w:rPr>
        <w:t xml:space="preserve">ake a few critical decisions regarding expanding their technical training and recruiting marketing </w:t>
      </w:r>
      <w:r w:rsidR="00F46AD8" w:rsidRPr="00FF5155">
        <w:rPr>
          <w:spacing w:val="-2"/>
        </w:rPr>
        <w:t>teams</w:t>
      </w:r>
      <w:r w:rsidRPr="00FF5155">
        <w:rPr>
          <w:spacing w:val="-2"/>
        </w:rPr>
        <w:t>. The</w:t>
      </w:r>
      <w:r w:rsidR="006B38C3" w:rsidRPr="00FF5155">
        <w:rPr>
          <w:spacing w:val="-2"/>
        </w:rPr>
        <w:t xml:space="preserve"> co-founders</w:t>
      </w:r>
      <w:r w:rsidRPr="00FF5155">
        <w:rPr>
          <w:spacing w:val="-2"/>
        </w:rPr>
        <w:t xml:space="preserve"> felt that they had done well to launch their venture early and iterate the offerings as their understanding of the market improved. However, they realized that since the workshop</w:t>
      </w:r>
      <w:r w:rsidR="00F46AD8" w:rsidRPr="00FF5155">
        <w:rPr>
          <w:spacing w:val="-2"/>
        </w:rPr>
        <w:t>s</w:t>
      </w:r>
      <w:r w:rsidRPr="00FF5155">
        <w:rPr>
          <w:spacing w:val="-2"/>
        </w:rPr>
        <w:t xml:space="preserve"> </w:t>
      </w:r>
      <w:r w:rsidR="00F46AD8" w:rsidRPr="00FF5155">
        <w:rPr>
          <w:spacing w:val="-2"/>
        </w:rPr>
        <w:t>had</w:t>
      </w:r>
      <w:r w:rsidRPr="00FF5155">
        <w:rPr>
          <w:spacing w:val="-2"/>
        </w:rPr>
        <w:t xml:space="preserve"> to be delivered in</w:t>
      </w:r>
      <w:r w:rsidR="00F46AD8" w:rsidRPr="00FF5155">
        <w:rPr>
          <w:spacing w:val="-2"/>
        </w:rPr>
        <w:t xml:space="preserve"> </w:t>
      </w:r>
      <w:r w:rsidRPr="00FF5155">
        <w:rPr>
          <w:spacing w:val="-2"/>
        </w:rPr>
        <w:t>person by high-quality trainer</w:t>
      </w:r>
      <w:r w:rsidR="00F46AD8" w:rsidRPr="00FF5155">
        <w:rPr>
          <w:spacing w:val="-2"/>
        </w:rPr>
        <w:t>s</w:t>
      </w:r>
      <w:r w:rsidRPr="00FF5155">
        <w:rPr>
          <w:spacing w:val="-2"/>
        </w:rPr>
        <w:t xml:space="preserve">, </w:t>
      </w:r>
      <w:r w:rsidR="00F46AD8" w:rsidRPr="00FF5155">
        <w:rPr>
          <w:spacing w:val="-2"/>
        </w:rPr>
        <w:t xml:space="preserve">their </w:t>
      </w:r>
      <w:r w:rsidRPr="00FF5155">
        <w:rPr>
          <w:spacing w:val="-2"/>
        </w:rPr>
        <w:t xml:space="preserve">business model </w:t>
      </w:r>
      <w:r w:rsidR="00F46AD8" w:rsidRPr="00FF5155">
        <w:rPr>
          <w:spacing w:val="-2"/>
        </w:rPr>
        <w:t xml:space="preserve">was limiting </w:t>
      </w:r>
      <w:proofErr w:type="spellStart"/>
      <w:r w:rsidRPr="00FF5155">
        <w:rPr>
          <w:spacing w:val="-2"/>
        </w:rPr>
        <w:t>CampusHash’s</w:t>
      </w:r>
      <w:proofErr w:type="spellEnd"/>
      <w:r w:rsidRPr="00FF5155">
        <w:rPr>
          <w:spacing w:val="-2"/>
        </w:rPr>
        <w:t xml:space="preserve"> </w:t>
      </w:r>
      <w:r w:rsidR="00F46AD8" w:rsidRPr="00FF5155">
        <w:rPr>
          <w:spacing w:val="-2"/>
        </w:rPr>
        <w:t>ability to</w:t>
      </w:r>
      <w:r w:rsidRPr="00FF5155">
        <w:rPr>
          <w:spacing w:val="-2"/>
        </w:rPr>
        <w:t xml:space="preserve"> </w:t>
      </w:r>
      <w:r w:rsidR="00F46AD8" w:rsidRPr="00FF5155">
        <w:rPr>
          <w:spacing w:val="-2"/>
        </w:rPr>
        <w:t xml:space="preserve">scale </w:t>
      </w:r>
      <w:r w:rsidRPr="00FF5155">
        <w:rPr>
          <w:spacing w:val="-2"/>
        </w:rPr>
        <w:t xml:space="preserve">up revenues. At present, CampusHash was achieving about </w:t>
      </w:r>
      <w:r w:rsidR="00F46AD8" w:rsidRPr="00FF5155">
        <w:rPr>
          <w:spacing w:val="-2"/>
        </w:rPr>
        <w:t xml:space="preserve">a </w:t>
      </w:r>
      <w:r w:rsidRPr="00FF5155">
        <w:rPr>
          <w:spacing w:val="-2"/>
        </w:rPr>
        <w:t>60</w:t>
      </w:r>
      <w:r w:rsidR="00F46AD8" w:rsidRPr="00FF5155">
        <w:rPr>
          <w:spacing w:val="-2"/>
        </w:rPr>
        <w:t xml:space="preserve"> per cent </w:t>
      </w:r>
      <w:r w:rsidRPr="00FF5155">
        <w:rPr>
          <w:spacing w:val="-2"/>
        </w:rPr>
        <w:t xml:space="preserve">net margin in these training workshops. However, this profit margin was achievable because none of the co-founders </w:t>
      </w:r>
      <w:r w:rsidR="00F46AD8" w:rsidRPr="00FF5155">
        <w:rPr>
          <w:spacing w:val="-2"/>
        </w:rPr>
        <w:t xml:space="preserve">was </w:t>
      </w:r>
      <w:r w:rsidRPr="00FF5155">
        <w:rPr>
          <w:spacing w:val="-2"/>
        </w:rPr>
        <w:t xml:space="preserve">presently drawing a salary for </w:t>
      </w:r>
      <w:r w:rsidR="00F46AD8" w:rsidRPr="00FF5155">
        <w:rPr>
          <w:spacing w:val="-2"/>
        </w:rPr>
        <w:t xml:space="preserve">delivering the </w:t>
      </w:r>
      <w:r w:rsidRPr="00FF5155">
        <w:rPr>
          <w:spacing w:val="-2"/>
        </w:rPr>
        <w:t>train</w:t>
      </w:r>
      <w:r w:rsidR="00F46AD8" w:rsidRPr="00FF5155">
        <w:rPr>
          <w:spacing w:val="-2"/>
        </w:rPr>
        <w:t>ing</w:t>
      </w:r>
      <w:r w:rsidRPr="00FF5155">
        <w:rPr>
          <w:spacing w:val="-2"/>
        </w:rPr>
        <w:t xml:space="preserve">. The co-founders were not sure whether to hire training professionals to deliver the workshops. They were worried that using new trainers might </w:t>
      </w:r>
      <w:r w:rsidR="00F46AD8" w:rsidRPr="00FF5155">
        <w:rPr>
          <w:spacing w:val="-2"/>
        </w:rPr>
        <w:t xml:space="preserve">affect </w:t>
      </w:r>
      <w:r w:rsidRPr="00FF5155">
        <w:rPr>
          <w:spacing w:val="-2"/>
        </w:rPr>
        <w:t>the quality of training</w:t>
      </w:r>
      <w:r w:rsidR="00F46AD8" w:rsidRPr="00FF5155">
        <w:rPr>
          <w:spacing w:val="-2"/>
        </w:rPr>
        <w:t>, and th</w:t>
      </w:r>
      <w:r w:rsidRPr="00FF5155">
        <w:rPr>
          <w:spacing w:val="-2"/>
        </w:rPr>
        <w:t xml:space="preserve">ey were also concerned about protecting their intellectual property and client relationships. One option they considered was to </w:t>
      </w:r>
      <w:r w:rsidR="00F46AD8" w:rsidRPr="00FF5155">
        <w:rPr>
          <w:spacing w:val="-2"/>
        </w:rPr>
        <w:t>continue as they were</w:t>
      </w:r>
      <w:r w:rsidRPr="00FF5155">
        <w:rPr>
          <w:spacing w:val="-2"/>
        </w:rPr>
        <w:t xml:space="preserve"> for now, </w:t>
      </w:r>
      <w:r w:rsidR="00F46AD8" w:rsidRPr="00FF5155">
        <w:rPr>
          <w:spacing w:val="-2"/>
        </w:rPr>
        <w:t>rather than</w:t>
      </w:r>
      <w:r w:rsidRPr="00FF5155">
        <w:rPr>
          <w:spacing w:val="-2"/>
        </w:rPr>
        <w:t xml:space="preserve"> expand</w:t>
      </w:r>
      <w:r w:rsidR="00F46AD8" w:rsidRPr="00FF5155">
        <w:rPr>
          <w:spacing w:val="-2"/>
        </w:rPr>
        <w:t>ing</w:t>
      </w:r>
      <w:r w:rsidRPr="00FF5155">
        <w:rPr>
          <w:spacing w:val="-2"/>
        </w:rPr>
        <w:t xml:space="preserve"> rapidly.</w:t>
      </w:r>
    </w:p>
    <w:p w14:paraId="2AEBBB4C" w14:textId="21FB71C0" w:rsidR="00113BEC" w:rsidRPr="007E1E49" w:rsidRDefault="00113BEC" w:rsidP="00113BEC">
      <w:pPr>
        <w:pStyle w:val="BodyTextMain"/>
      </w:pPr>
      <w:r w:rsidRPr="007E1E49">
        <w:lastRenderedPageBreak/>
        <w:t xml:space="preserve">However, Saurav felt that </w:t>
      </w:r>
      <w:r w:rsidR="00F42E6A" w:rsidRPr="007E1E49">
        <w:t xml:space="preserve">investing </w:t>
      </w:r>
      <w:r w:rsidRPr="007E1E49">
        <w:t>more money, time, and creative energies into the current idea</w:t>
      </w:r>
      <w:r w:rsidR="00F42E6A" w:rsidRPr="007E1E49">
        <w:t xml:space="preserve"> would make it</w:t>
      </w:r>
      <w:r w:rsidRPr="007E1E49">
        <w:t xml:space="preserve"> more difficult for them to </w:t>
      </w:r>
      <w:r w:rsidR="006B38C3" w:rsidRPr="007E1E49">
        <w:t xml:space="preserve">subsequently </w:t>
      </w:r>
      <w:r w:rsidRPr="007E1E49">
        <w:t xml:space="preserve">change their business model. </w:t>
      </w:r>
      <w:r w:rsidR="00F42E6A" w:rsidRPr="007E1E49">
        <w:t>W</w:t>
      </w:r>
      <w:r w:rsidRPr="007E1E49">
        <w:t xml:space="preserve">hile </w:t>
      </w:r>
      <w:proofErr w:type="spellStart"/>
      <w:r w:rsidRPr="007E1E49">
        <w:t>CampusHash’s</w:t>
      </w:r>
      <w:proofErr w:type="spellEnd"/>
      <w:r w:rsidRPr="007E1E49">
        <w:t xml:space="preserve"> performance was picking up, </w:t>
      </w:r>
      <w:r w:rsidR="00F42E6A" w:rsidRPr="007E1E49">
        <w:t xml:space="preserve">he felt that </w:t>
      </w:r>
      <w:r w:rsidRPr="007E1E49">
        <w:t>it was not yet good enough</w:t>
      </w:r>
      <w:r w:rsidR="00F42E6A" w:rsidRPr="007E1E49">
        <w:t>,</w:t>
      </w:r>
      <w:r w:rsidRPr="007E1E49">
        <w:t xml:space="preserve"> given </w:t>
      </w:r>
      <w:r w:rsidR="00F42E6A" w:rsidRPr="007E1E49">
        <w:t xml:space="preserve">the team’s </w:t>
      </w:r>
      <w:r w:rsidRPr="007E1E49">
        <w:t>high aspirations and high opportunity costs. He felt that adding new features like hackathons and approaching companies for internships had certainly improved their business performance</w:t>
      </w:r>
      <w:r w:rsidR="00F42E6A" w:rsidRPr="007E1E49">
        <w:t>; h</w:t>
      </w:r>
      <w:r w:rsidRPr="007E1E49">
        <w:t xml:space="preserve">owever, he was worried that they were not working toward a business model that was scalable and would give them a sustainable competitive advantage. Saurav was of the opinion that </w:t>
      </w:r>
      <w:proofErr w:type="spellStart"/>
      <w:r w:rsidRPr="007E1E49">
        <w:t>CampusHash’s</w:t>
      </w:r>
      <w:proofErr w:type="spellEnd"/>
      <w:r w:rsidRPr="007E1E49">
        <w:t xml:space="preserve"> co-founders needed to seriously </w:t>
      </w:r>
      <w:r w:rsidR="00F42E6A" w:rsidRPr="007E1E49">
        <w:t xml:space="preserve">consider </w:t>
      </w:r>
      <w:r w:rsidRPr="007E1E49">
        <w:t xml:space="preserve">whether they needed to </w:t>
      </w:r>
      <w:r w:rsidR="00F42E6A" w:rsidRPr="007E1E49">
        <w:t>change</w:t>
      </w:r>
      <w:r w:rsidRPr="007E1E49">
        <w:t xml:space="preserve"> their business model entirely. One option was </w:t>
      </w:r>
      <w:r w:rsidR="00F42E6A" w:rsidRPr="007E1E49">
        <w:t>to</w:t>
      </w:r>
      <w:r w:rsidRPr="007E1E49">
        <w:t xml:space="preserve"> focus more on the needs of </w:t>
      </w:r>
      <w:r w:rsidR="00F42E6A" w:rsidRPr="007E1E49">
        <w:t xml:space="preserve">the company’s </w:t>
      </w:r>
      <w:r w:rsidRPr="007E1E49">
        <w:t>corporate clients. Alternatively, they could focus on providing more services to engineering students looking for internships and jobs. “But then, we were a young company</w:t>
      </w:r>
      <w:r w:rsidR="00F42E6A" w:rsidRPr="007E1E49">
        <w:t>,” Saurav recalled. “W</w:t>
      </w:r>
      <w:r w:rsidRPr="007E1E49">
        <w:t>as I being too impatient and hasty in thinking of radical changes?”</w:t>
      </w:r>
    </w:p>
    <w:p w14:paraId="307D20C3" w14:textId="77777777" w:rsidR="00113BEC" w:rsidRPr="007E1E49" w:rsidRDefault="00113BEC" w:rsidP="00113BEC">
      <w:pPr>
        <w:pStyle w:val="BodyTextMain"/>
      </w:pPr>
    </w:p>
    <w:p w14:paraId="4B5E9DA0" w14:textId="77777777" w:rsidR="00113BEC" w:rsidRPr="007E1E49" w:rsidRDefault="00113BEC" w:rsidP="00113BEC">
      <w:pPr>
        <w:pStyle w:val="BodyTextMain"/>
      </w:pPr>
    </w:p>
    <w:p w14:paraId="07D1D33A" w14:textId="77777777" w:rsidR="00113BEC" w:rsidRPr="007E1E49" w:rsidRDefault="00113BEC" w:rsidP="00113BEC">
      <w:pPr>
        <w:pStyle w:val="Casehead1"/>
      </w:pPr>
      <w:r w:rsidRPr="007E1E49">
        <w:t>deciding The road ahead</w:t>
      </w:r>
    </w:p>
    <w:p w14:paraId="17A11238" w14:textId="77777777" w:rsidR="00113BEC" w:rsidRPr="007E1E49" w:rsidRDefault="00113BEC" w:rsidP="00113BEC">
      <w:pPr>
        <w:pStyle w:val="BodyTextMain"/>
      </w:pPr>
    </w:p>
    <w:p w14:paraId="1944A006" w14:textId="3A35A28F" w:rsidR="00113BEC" w:rsidRPr="007E1E49" w:rsidRDefault="00113BEC" w:rsidP="00113BEC">
      <w:pPr>
        <w:pStyle w:val="BodyTextMain"/>
      </w:pPr>
      <w:proofErr w:type="spellStart"/>
      <w:r w:rsidRPr="007E1E49">
        <w:t>Tirkey</w:t>
      </w:r>
      <w:proofErr w:type="spellEnd"/>
      <w:r w:rsidRPr="007E1E49">
        <w:t xml:space="preserve"> and Saurav had heard from HR managers of many IT firms</w:t>
      </w:r>
      <w:r w:rsidR="00F42E6A" w:rsidRPr="007E1E49">
        <w:t xml:space="preserve"> </w:t>
      </w:r>
      <w:r w:rsidR="00CA1701" w:rsidRPr="007E1E49">
        <w:t>about the</w:t>
      </w:r>
      <w:r w:rsidRPr="007E1E49">
        <w:t xml:space="preserve"> challenges that these firms faced when recruiting engineers for </w:t>
      </w:r>
      <w:r w:rsidR="00F42E6A" w:rsidRPr="007E1E49">
        <w:t>entry-</w:t>
      </w:r>
      <w:r w:rsidRPr="007E1E49">
        <w:t xml:space="preserve">level positions. CampusHash was keen to make use of this market understanding to further refine </w:t>
      </w:r>
      <w:r w:rsidR="00F42E6A" w:rsidRPr="007E1E49">
        <w:t xml:space="preserve">its </w:t>
      </w:r>
      <w:r w:rsidRPr="007E1E49">
        <w:t xml:space="preserve">offerings. </w:t>
      </w:r>
      <w:proofErr w:type="spellStart"/>
      <w:r w:rsidRPr="007E1E49">
        <w:t>Tirkey</w:t>
      </w:r>
      <w:proofErr w:type="spellEnd"/>
      <w:r w:rsidRPr="007E1E49">
        <w:t xml:space="preserve"> recalled,</w:t>
      </w:r>
    </w:p>
    <w:p w14:paraId="78BBCA10" w14:textId="77777777" w:rsidR="00113BEC" w:rsidRPr="007E1E49" w:rsidRDefault="00113BEC" w:rsidP="00113BEC">
      <w:pPr>
        <w:pStyle w:val="BodyTextMain"/>
      </w:pPr>
    </w:p>
    <w:p w14:paraId="5743B761" w14:textId="4647AA1E" w:rsidR="00113BEC" w:rsidRPr="007E1E49" w:rsidRDefault="00113BEC" w:rsidP="00113BEC">
      <w:pPr>
        <w:pStyle w:val="BodyTextMain"/>
        <w:ind w:left="720"/>
      </w:pPr>
      <w:r w:rsidRPr="007E1E49">
        <w:t xml:space="preserve">I felt that Saurav was keen to make some radical changes. He mentioned to me that while we should keep one foot rooted in what we had learnt so far, we should also consider making fundamental changes to our business strategy. He stressed that we ought to take more risks in order to realize the true potential of our business. </w:t>
      </w:r>
    </w:p>
    <w:p w14:paraId="5BDEEFE9" w14:textId="4A240961" w:rsidR="00113BEC" w:rsidRDefault="00113BEC" w:rsidP="00113BEC">
      <w:pPr>
        <w:pStyle w:val="BodyTextMain"/>
      </w:pPr>
    </w:p>
    <w:p w14:paraId="63889F29" w14:textId="77777777" w:rsidR="00723BE0" w:rsidRPr="007E1E49" w:rsidRDefault="00723BE0" w:rsidP="00113BEC">
      <w:pPr>
        <w:pStyle w:val="BodyTextMain"/>
      </w:pPr>
    </w:p>
    <w:p w14:paraId="2BF9A073" w14:textId="0B4EC855" w:rsidR="00FE5D5B" w:rsidRDefault="00FE5D5B" w:rsidP="00417246">
      <w:pPr>
        <w:pStyle w:val="Casehead2"/>
      </w:pPr>
      <w:r>
        <w:t>Recruitment screening</w:t>
      </w:r>
    </w:p>
    <w:p w14:paraId="68680F96" w14:textId="77777777" w:rsidR="00723BE0" w:rsidRDefault="00723BE0" w:rsidP="00417246">
      <w:pPr>
        <w:pStyle w:val="Casehead2"/>
      </w:pPr>
    </w:p>
    <w:p w14:paraId="12A69829" w14:textId="1E29283E" w:rsidR="00113BEC" w:rsidRPr="007E1E49" w:rsidRDefault="00113BEC" w:rsidP="00113BEC">
      <w:pPr>
        <w:pStyle w:val="BodyTextMain"/>
      </w:pPr>
      <w:r w:rsidRPr="007E1E49">
        <w:t xml:space="preserve">Most of the smaller IT companies that CampusHash interacted with were finding it difficult to recruit </w:t>
      </w:r>
      <w:r w:rsidR="00F42E6A" w:rsidRPr="007E1E49">
        <w:t>good-</w:t>
      </w:r>
      <w:r w:rsidRPr="007E1E49">
        <w:t xml:space="preserve">quality engineering talent for their teams. CampusHash already knew that part of the problem was that aspirants’ formal engineering education </w:t>
      </w:r>
      <w:r w:rsidR="00F42E6A" w:rsidRPr="007E1E49">
        <w:t xml:space="preserve">did not </w:t>
      </w:r>
      <w:r w:rsidRPr="007E1E49">
        <w:t>meet the IT industry’s cutting-edge needs. Secondly, the small IT firms did not have robust recruitment processes t</w:t>
      </w:r>
      <w:r w:rsidR="00F42E6A" w:rsidRPr="007E1E49">
        <w:t xml:space="preserve">o </w:t>
      </w:r>
      <w:r w:rsidRPr="007E1E49">
        <w:t>help them identify quality resources from among the hundreds of applicants during campus recruitment. Most companies followed a fairly subjective process of assessing potential recruits in the initial screening round.</w:t>
      </w:r>
      <w:r w:rsidR="00F42E6A" w:rsidRPr="007E1E49">
        <w:t xml:space="preserve"> This </w:t>
      </w:r>
      <w:r w:rsidRPr="007E1E49">
        <w:t xml:space="preserve">screening was </w:t>
      </w:r>
      <w:r w:rsidR="00F42E6A" w:rsidRPr="007E1E49">
        <w:t>typically done</w:t>
      </w:r>
      <w:r w:rsidRPr="007E1E49">
        <w:t xml:space="preserve"> by either a hiring manager or an experienced technical team member. </w:t>
      </w:r>
    </w:p>
    <w:p w14:paraId="1C28208F" w14:textId="77777777" w:rsidR="00113BEC" w:rsidRPr="007E1E49" w:rsidRDefault="00113BEC" w:rsidP="00113BEC">
      <w:pPr>
        <w:pStyle w:val="BodyTextMain"/>
      </w:pPr>
    </w:p>
    <w:p w14:paraId="4A75C240" w14:textId="79B7798F" w:rsidR="00113BEC" w:rsidRPr="00FF5155" w:rsidRDefault="00113BEC" w:rsidP="00113BEC">
      <w:pPr>
        <w:pStyle w:val="BodyTextMain"/>
        <w:rPr>
          <w:spacing w:val="-2"/>
        </w:rPr>
      </w:pPr>
      <w:r w:rsidRPr="00FF5155">
        <w:rPr>
          <w:spacing w:val="-2"/>
        </w:rPr>
        <w:t>From his first-hand experience, Saurav explained to his co</w:t>
      </w:r>
      <w:r w:rsidR="00F42E6A" w:rsidRPr="00FF5155">
        <w:rPr>
          <w:spacing w:val="-2"/>
        </w:rPr>
        <w:t>-</w:t>
      </w:r>
      <w:r w:rsidRPr="00FF5155">
        <w:rPr>
          <w:spacing w:val="-2"/>
        </w:rPr>
        <w:t>founders that</w:t>
      </w:r>
      <w:r w:rsidR="00F42E6A" w:rsidRPr="00FF5155">
        <w:rPr>
          <w:spacing w:val="-2"/>
        </w:rPr>
        <w:t xml:space="preserve"> </w:t>
      </w:r>
      <w:r w:rsidRPr="00FF5155">
        <w:rPr>
          <w:spacing w:val="-2"/>
        </w:rPr>
        <w:t xml:space="preserve">experienced technical employees in most IT companies were </w:t>
      </w:r>
      <w:r w:rsidR="00F42E6A" w:rsidRPr="00FF5155">
        <w:rPr>
          <w:spacing w:val="-2"/>
        </w:rPr>
        <w:t xml:space="preserve">generally </w:t>
      </w:r>
      <w:r w:rsidRPr="00FF5155">
        <w:rPr>
          <w:spacing w:val="-2"/>
        </w:rPr>
        <w:t xml:space="preserve">extremely busy with project deliverables and saw recruitment screening as an extra burden. They were unable and usually unwilling to </w:t>
      </w:r>
      <w:r w:rsidR="00F42E6A" w:rsidRPr="00FF5155">
        <w:rPr>
          <w:spacing w:val="-2"/>
        </w:rPr>
        <w:t xml:space="preserve">devote the necessary </w:t>
      </w:r>
      <w:r w:rsidRPr="00FF5155">
        <w:rPr>
          <w:spacing w:val="-2"/>
        </w:rPr>
        <w:t xml:space="preserve">time and </w:t>
      </w:r>
      <w:r w:rsidR="00F42E6A" w:rsidRPr="00FF5155">
        <w:rPr>
          <w:spacing w:val="-2"/>
        </w:rPr>
        <w:t xml:space="preserve">attention </w:t>
      </w:r>
      <w:r w:rsidRPr="00FF5155">
        <w:rPr>
          <w:spacing w:val="-2"/>
        </w:rPr>
        <w:t xml:space="preserve">to the assessment process. In certain cases, companies used practical assignments where candidates had to solve problems </w:t>
      </w:r>
      <w:r w:rsidR="00F42E6A" w:rsidRPr="00FF5155">
        <w:rPr>
          <w:spacing w:val="-2"/>
        </w:rPr>
        <w:t>that tested their</w:t>
      </w:r>
      <w:r w:rsidRPr="00FF5155">
        <w:rPr>
          <w:spacing w:val="-2"/>
        </w:rPr>
        <w:t xml:space="preserve"> programming skills. Saurav felt that this was a good method of assessing </w:t>
      </w:r>
      <w:r w:rsidR="00F42E6A" w:rsidRPr="00FF5155">
        <w:rPr>
          <w:spacing w:val="-2"/>
        </w:rPr>
        <w:t xml:space="preserve">programmers’ </w:t>
      </w:r>
      <w:r w:rsidRPr="00FF5155">
        <w:rPr>
          <w:spacing w:val="-2"/>
        </w:rPr>
        <w:t xml:space="preserve">skill </w:t>
      </w:r>
      <w:r w:rsidR="00CA1701" w:rsidRPr="00FF5155">
        <w:rPr>
          <w:spacing w:val="-2"/>
        </w:rPr>
        <w:t>levels but</w:t>
      </w:r>
      <w:r w:rsidR="00F42E6A" w:rsidRPr="00FF5155">
        <w:rPr>
          <w:spacing w:val="-2"/>
        </w:rPr>
        <w:t xml:space="preserve"> that the </w:t>
      </w:r>
      <w:r w:rsidRPr="00FF5155">
        <w:rPr>
          <w:spacing w:val="-2"/>
        </w:rPr>
        <w:t xml:space="preserve">problems chosen were </w:t>
      </w:r>
      <w:r w:rsidR="00F42E6A" w:rsidRPr="00FF5155">
        <w:rPr>
          <w:spacing w:val="-2"/>
        </w:rPr>
        <w:t xml:space="preserve">typically </w:t>
      </w:r>
      <w:r w:rsidRPr="00FF5155">
        <w:rPr>
          <w:spacing w:val="-2"/>
        </w:rPr>
        <w:t>not ideal. He explained:</w:t>
      </w:r>
    </w:p>
    <w:p w14:paraId="22A9E2D9" w14:textId="465612CC" w:rsidR="00113BEC" w:rsidRPr="007E1E49" w:rsidRDefault="00113BEC" w:rsidP="00113BEC">
      <w:pPr>
        <w:pStyle w:val="BodyTextMain"/>
      </w:pPr>
    </w:p>
    <w:p w14:paraId="6A707140" w14:textId="36F3581F" w:rsidR="00113BEC" w:rsidRDefault="00113BEC" w:rsidP="00113BEC">
      <w:pPr>
        <w:pStyle w:val="BodyTextMain"/>
        <w:ind w:left="720"/>
        <w:rPr>
          <w:spacing w:val="-2"/>
        </w:rPr>
      </w:pPr>
      <w:r w:rsidRPr="00FF5155">
        <w:rPr>
          <w:spacing w:val="-2"/>
        </w:rPr>
        <w:t>Either the problems were extremely elementary, drawn from standard textbooks</w:t>
      </w:r>
      <w:r w:rsidR="00D63074" w:rsidRPr="00FF5155">
        <w:rPr>
          <w:spacing w:val="-2"/>
        </w:rPr>
        <w:t>,</w:t>
      </w:r>
      <w:r w:rsidRPr="00FF5155">
        <w:rPr>
          <w:spacing w:val="-2"/>
        </w:rPr>
        <w:t xml:space="preserve"> or the same problems were reused multiple times. Thus, candidates’ abilities were not truly tested. As such, candidates were able to clear the screening process but were later unable to perform well in their roles.</w:t>
      </w:r>
    </w:p>
    <w:p w14:paraId="30885C6D" w14:textId="77777777" w:rsidR="00FF5155" w:rsidRPr="00FF5155" w:rsidRDefault="00FF5155" w:rsidP="00113BEC">
      <w:pPr>
        <w:pStyle w:val="BodyTextMain"/>
        <w:ind w:left="720"/>
        <w:rPr>
          <w:spacing w:val="-2"/>
        </w:rPr>
      </w:pPr>
    </w:p>
    <w:p w14:paraId="305354BF" w14:textId="53D5FB46" w:rsidR="00113BEC" w:rsidRPr="007E1E49" w:rsidRDefault="00113BEC" w:rsidP="00113BEC">
      <w:pPr>
        <w:pStyle w:val="BodyTextMain"/>
      </w:pPr>
      <w:proofErr w:type="spellStart"/>
      <w:r w:rsidRPr="007E1E49">
        <w:t>CampusHash</w:t>
      </w:r>
      <w:proofErr w:type="spellEnd"/>
      <w:r w:rsidRPr="007E1E49">
        <w:t xml:space="preserve"> realized that a refined version of </w:t>
      </w:r>
      <w:r w:rsidR="00D63074" w:rsidRPr="007E1E49">
        <w:t xml:space="preserve">its </w:t>
      </w:r>
      <w:r w:rsidRPr="007E1E49">
        <w:t>hackathon offering could potentially address the</w:t>
      </w:r>
      <w:r w:rsidR="00D63074" w:rsidRPr="007E1E49">
        <w:t>se</w:t>
      </w:r>
      <w:r w:rsidRPr="007E1E49">
        <w:t xml:space="preserve"> issues, </w:t>
      </w:r>
      <w:r w:rsidR="00D63074" w:rsidRPr="007E1E49">
        <w:t xml:space="preserve">particularly </w:t>
      </w:r>
      <w:r w:rsidRPr="007E1E49">
        <w:t xml:space="preserve">for small IT companies such as </w:t>
      </w:r>
      <w:proofErr w:type="spellStart"/>
      <w:r w:rsidRPr="007E1E49">
        <w:t>Goibibo</w:t>
      </w:r>
      <w:proofErr w:type="spellEnd"/>
      <w:r w:rsidRPr="007E1E49">
        <w:t xml:space="preserve">, </w:t>
      </w:r>
      <w:r w:rsidR="00D63074" w:rsidRPr="007E1E49">
        <w:t xml:space="preserve">the event management platform </w:t>
      </w:r>
      <w:proofErr w:type="spellStart"/>
      <w:r w:rsidRPr="007E1E49">
        <w:t>Explara</w:t>
      </w:r>
      <w:proofErr w:type="spellEnd"/>
      <w:r w:rsidRPr="007E1E49">
        <w:t xml:space="preserve">, </w:t>
      </w:r>
      <w:r w:rsidR="00D63074" w:rsidRPr="007E1E49">
        <w:t xml:space="preserve">and the health management platform </w:t>
      </w:r>
      <w:proofErr w:type="spellStart"/>
      <w:r w:rsidRPr="007E1E49">
        <w:t>ZeOmega</w:t>
      </w:r>
      <w:proofErr w:type="spellEnd"/>
      <w:r w:rsidR="00D46E1D">
        <w:t>, which</w:t>
      </w:r>
      <w:r w:rsidRPr="007E1E49">
        <w:t xml:space="preserve"> did not have </w:t>
      </w:r>
      <w:r w:rsidR="00D63074" w:rsidRPr="007E1E49">
        <w:t xml:space="preserve">adequate </w:t>
      </w:r>
      <w:r w:rsidRPr="007E1E49">
        <w:t xml:space="preserve">resources to efficiently screen their potential recruits. Saurav observed that programming hackathons </w:t>
      </w:r>
      <w:r w:rsidR="00D63074" w:rsidRPr="007E1E49">
        <w:t xml:space="preserve">had been </w:t>
      </w:r>
      <w:r w:rsidRPr="007E1E49">
        <w:t xml:space="preserve">gaining </w:t>
      </w:r>
      <w:r w:rsidR="00D63074" w:rsidRPr="007E1E49">
        <w:t xml:space="preserve">in </w:t>
      </w:r>
      <w:r w:rsidRPr="007E1E49">
        <w:t xml:space="preserve">popularity in India </w:t>
      </w:r>
      <w:r w:rsidR="00D63074" w:rsidRPr="007E1E49">
        <w:t xml:space="preserve">in </w:t>
      </w:r>
      <w:r w:rsidR="00D63074" w:rsidRPr="007E1E49">
        <w:lastRenderedPageBreak/>
        <w:t xml:space="preserve">recent years, </w:t>
      </w:r>
      <w:r w:rsidRPr="007E1E49">
        <w:t xml:space="preserve">and many companies were keen to hire developers who had performed well in such competitions. Online platforms such as </w:t>
      </w:r>
      <w:proofErr w:type="spellStart"/>
      <w:r w:rsidR="00D63074" w:rsidRPr="007E1E49">
        <w:t>HackerRank</w:t>
      </w:r>
      <w:proofErr w:type="spellEnd"/>
      <w:r w:rsidR="00D63074" w:rsidRPr="007E1E49">
        <w:t xml:space="preserve"> </w:t>
      </w:r>
      <w:r w:rsidRPr="007E1E49">
        <w:t xml:space="preserve">and </w:t>
      </w:r>
      <w:proofErr w:type="spellStart"/>
      <w:r w:rsidRPr="007E1E49">
        <w:t>Hacker</w:t>
      </w:r>
      <w:r w:rsidR="00D63074" w:rsidRPr="007E1E49">
        <w:t>E</w:t>
      </w:r>
      <w:r w:rsidRPr="007E1E49">
        <w:t>arth</w:t>
      </w:r>
      <w:proofErr w:type="spellEnd"/>
      <w:r w:rsidRPr="007E1E49">
        <w:t xml:space="preserve"> catered to these needs by conducting hackathons on their portals. Saurav felt that the assessment methods used by these competitors were rather simplistic and were inadequate for effectively differentiating between good and ordinary programmers. He believed that there was a need </w:t>
      </w:r>
      <w:r w:rsidR="00D63074" w:rsidRPr="007E1E49">
        <w:t>for</w:t>
      </w:r>
      <w:r w:rsidRPr="007E1E49">
        <w:t xml:space="preserve"> a high-quality automated assessment platform </w:t>
      </w:r>
      <w:r w:rsidR="00D63074" w:rsidRPr="007E1E49">
        <w:t>that could</w:t>
      </w:r>
      <w:r w:rsidRPr="007E1E49">
        <w:t xml:space="preserve"> help companies recruit </w:t>
      </w:r>
      <w:r w:rsidR="00453247" w:rsidRPr="007E1E49">
        <w:t>good-</w:t>
      </w:r>
      <w:r w:rsidRPr="007E1E49">
        <w:t xml:space="preserve">quality </w:t>
      </w:r>
      <w:r w:rsidR="00453247" w:rsidRPr="007E1E49">
        <w:t>employees who were skilled in</w:t>
      </w:r>
      <w:r w:rsidR="00D63074" w:rsidRPr="007E1E49">
        <w:t xml:space="preserve"> various technologies</w:t>
      </w:r>
      <w:r w:rsidRPr="007E1E49">
        <w:t>.</w:t>
      </w:r>
    </w:p>
    <w:p w14:paraId="07E6F30A" w14:textId="77777777" w:rsidR="00113BEC" w:rsidRPr="007E1E49" w:rsidRDefault="00113BEC" w:rsidP="00113BEC">
      <w:pPr>
        <w:pStyle w:val="BodyTextMain"/>
      </w:pPr>
    </w:p>
    <w:p w14:paraId="21C8E229" w14:textId="089446A8" w:rsidR="00113BEC" w:rsidRPr="007E1E49" w:rsidRDefault="00113BEC" w:rsidP="00113BEC">
      <w:pPr>
        <w:pStyle w:val="BodyTextMain"/>
      </w:pPr>
      <w:r w:rsidRPr="007E1E49">
        <w:t xml:space="preserve">Saurav, </w:t>
      </w:r>
      <w:proofErr w:type="spellStart"/>
      <w:r w:rsidRPr="007E1E49">
        <w:t>Tirkey</w:t>
      </w:r>
      <w:proofErr w:type="spellEnd"/>
      <w:r w:rsidR="00453247" w:rsidRPr="007E1E49">
        <w:t>,</w:t>
      </w:r>
      <w:r w:rsidRPr="007E1E49">
        <w:t xml:space="preserve"> and </w:t>
      </w:r>
      <w:proofErr w:type="spellStart"/>
      <w:r w:rsidRPr="007E1E49">
        <w:t>Shirol</w:t>
      </w:r>
      <w:proofErr w:type="spellEnd"/>
      <w:r w:rsidRPr="007E1E49">
        <w:t xml:space="preserve"> got together to discuss the road ahead. Saurav </w:t>
      </w:r>
      <w:r w:rsidR="00453247" w:rsidRPr="007E1E49">
        <w:t>suggested</w:t>
      </w:r>
      <w:r w:rsidRPr="007E1E49">
        <w:t xml:space="preserve"> that they could consider getting out of training altogether. He proposed that they could focus </w:t>
      </w:r>
      <w:r w:rsidR="00453247" w:rsidRPr="007E1E49">
        <w:t xml:space="preserve">entirely </w:t>
      </w:r>
      <w:r w:rsidRPr="007E1E49">
        <w:t xml:space="preserve">on solving the employee-screening needs of IT companies. </w:t>
      </w:r>
      <w:r w:rsidR="00453247" w:rsidRPr="007E1E49">
        <w:t xml:space="preserve">They </w:t>
      </w:r>
      <w:r w:rsidRPr="007E1E49">
        <w:t>could achieve</w:t>
      </w:r>
      <w:r w:rsidR="00453247" w:rsidRPr="007E1E49">
        <w:t xml:space="preserve"> this</w:t>
      </w:r>
      <w:r w:rsidRPr="007E1E49">
        <w:t xml:space="preserve"> by engaging with IT companies and carrying out hackathons in engineering colleges as part of the IT companies’ campus recruitment process</w:t>
      </w:r>
      <w:r w:rsidR="00453247" w:rsidRPr="007E1E49">
        <w:t>es</w:t>
      </w:r>
      <w:r w:rsidRPr="007E1E49">
        <w:t xml:space="preserve"> and also during lateral-hiring drives. </w:t>
      </w:r>
      <w:r w:rsidR="00453247" w:rsidRPr="007E1E49">
        <w:t xml:space="preserve">To do </w:t>
      </w:r>
      <w:r w:rsidRPr="007E1E49">
        <w:t xml:space="preserve">this, CampusHash </w:t>
      </w:r>
      <w:r w:rsidR="00453247" w:rsidRPr="007E1E49">
        <w:t xml:space="preserve">would </w:t>
      </w:r>
      <w:r w:rsidRPr="007E1E49">
        <w:t xml:space="preserve">need to </w:t>
      </w:r>
      <w:r w:rsidR="00453247" w:rsidRPr="007E1E49">
        <w:t xml:space="preserve">build a strong business-to-business (B2B) sales team to </w:t>
      </w:r>
      <w:r w:rsidRPr="007E1E49">
        <w:t xml:space="preserve">approach </w:t>
      </w:r>
      <w:r w:rsidR="00453247" w:rsidRPr="007E1E49">
        <w:t xml:space="preserve">the </w:t>
      </w:r>
      <w:r w:rsidRPr="007E1E49">
        <w:t xml:space="preserve">HR managers of IT companies. </w:t>
      </w:r>
      <w:r w:rsidR="00453247" w:rsidRPr="007E1E49">
        <w:t xml:space="preserve">It would also </w:t>
      </w:r>
      <w:r w:rsidRPr="007E1E49">
        <w:t xml:space="preserve">need to develop capacity and capabilities to carry out multiple hackathons simultaneously in different locations, if the demand for these services grew in </w:t>
      </w:r>
      <w:r w:rsidR="00453247" w:rsidRPr="007E1E49">
        <w:t xml:space="preserve">the </w:t>
      </w:r>
      <w:r w:rsidRPr="007E1E49">
        <w:t xml:space="preserve">future. </w:t>
      </w:r>
      <w:proofErr w:type="spellStart"/>
      <w:r w:rsidRPr="007E1E49">
        <w:t>Shirol</w:t>
      </w:r>
      <w:proofErr w:type="spellEnd"/>
      <w:r w:rsidRPr="007E1E49">
        <w:t xml:space="preserve">, however, was not entirely convinced </w:t>
      </w:r>
      <w:r w:rsidR="00453247" w:rsidRPr="007E1E49">
        <w:t xml:space="preserve">by </w:t>
      </w:r>
      <w:r w:rsidRPr="007E1E49">
        <w:t>Saurav’s arguments. He asked,</w:t>
      </w:r>
      <w:r w:rsidR="00DC661A" w:rsidRPr="007E1E49">
        <w:t xml:space="preserve"> “</w:t>
      </w:r>
      <w:r w:rsidR="00453247" w:rsidRPr="007E1E49">
        <w:t xml:space="preserve">Would </w:t>
      </w:r>
      <w:r w:rsidRPr="007E1E49">
        <w:t xml:space="preserve">we be taking full responsibility </w:t>
      </w:r>
      <w:r w:rsidR="00453247" w:rsidRPr="007E1E49">
        <w:t xml:space="preserve">[for] </w:t>
      </w:r>
      <w:r w:rsidRPr="007E1E49">
        <w:t>the screening and hiring decision</w:t>
      </w:r>
      <w:r w:rsidR="00453247" w:rsidRPr="007E1E49">
        <w:t>s,</w:t>
      </w:r>
      <w:r w:rsidRPr="007E1E49">
        <w:t xml:space="preserve"> or would we limit ourselves to conducting the hackathon and giving the candidate performance scores to the company?</w:t>
      </w:r>
      <w:r w:rsidR="00DC661A" w:rsidRPr="007E1E49">
        <w:t>”</w:t>
      </w:r>
      <w:r w:rsidRPr="007E1E49">
        <w:t xml:space="preserve"> </w:t>
      </w:r>
    </w:p>
    <w:p w14:paraId="3298F6DE" w14:textId="77777777" w:rsidR="00113BEC" w:rsidRPr="007E1E49" w:rsidRDefault="00113BEC" w:rsidP="00113BEC">
      <w:pPr>
        <w:pStyle w:val="BodyTextMain"/>
      </w:pPr>
    </w:p>
    <w:p w14:paraId="3143706D" w14:textId="02ED33E1" w:rsidR="00113BEC" w:rsidRPr="007E1E49" w:rsidRDefault="00113BEC" w:rsidP="00113BEC">
      <w:pPr>
        <w:pStyle w:val="BodyTextMain"/>
      </w:pPr>
      <w:proofErr w:type="spellStart"/>
      <w:r w:rsidRPr="007E1E49">
        <w:t>Tirkey</w:t>
      </w:r>
      <w:proofErr w:type="spellEnd"/>
      <w:r w:rsidRPr="007E1E49">
        <w:t xml:space="preserve"> thought that it would be better </w:t>
      </w:r>
      <w:r w:rsidR="00453247" w:rsidRPr="007E1E49">
        <w:t>to</w:t>
      </w:r>
      <w:r w:rsidRPr="007E1E49">
        <w:t xml:space="preserve"> allow each client company to judge </w:t>
      </w:r>
      <w:r w:rsidR="00453247" w:rsidRPr="007E1E49">
        <w:t xml:space="preserve">for itself </w:t>
      </w:r>
      <w:r w:rsidRPr="007E1E49">
        <w:t>the candidates’ solutions in terms of logic, code quality</w:t>
      </w:r>
      <w:r w:rsidR="00453247" w:rsidRPr="007E1E49">
        <w:t>,</w:t>
      </w:r>
      <w:r w:rsidRPr="007E1E49">
        <w:t xml:space="preserve"> and semantics. He felt that it </w:t>
      </w:r>
      <w:r w:rsidR="00453247" w:rsidRPr="007E1E49">
        <w:t xml:space="preserve">would </w:t>
      </w:r>
      <w:r w:rsidRPr="007E1E49">
        <w:t xml:space="preserve">also </w:t>
      </w:r>
      <w:r w:rsidR="00453247" w:rsidRPr="007E1E49">
        <w:t xml:space="preserve">be </w:t>
      </w:r>
      <w:r w:rsidRPr="007E1E49">
        <w:t xml:space="preserve">best </w:t>
      </w:r>
      <w:r w:rsidR="00453247" w:rsidRPr="007E1E49">
        <w:t xml:space="preserve">if </w:t>
      </w:r>
      <w:r w:rsidRPr="007E1E49">
        <w:t xml:space="preserve">the client </w:t>
      </w:r>
      <w:r w:rsidR="00453247" w:rsidRPr="007E1E49">
        <w:t xml:space="preserve">companies </w:t>
      </w:r>
      <w:r w:rsidRPr="007E1E49">
        <w:t xml:space="preserve">decided the </w:t>
      </w:r>
      <w:r w:rsidR="00453247" w:rsidRPr="007E1E49">
        <w:t xml:space="preserve">weighting </w:t>
      </w:r>
      <w:r w:rsidRPr="007E1E49">
        <w:t>of these parameters in their recruitment process</w:t>
      </w:r>
      <w:r w:rsidR="00453247" w:rsidRPr="007E1E49">
        <w:t>es</w:t>
      </w:r>
      <w:r w:rsidRPr="007E1E49">
        <w:t>. He believed that CampusHash ought to limit itself to simply preparing the test</w:t>
      </w:r>
      <w:r w:rsidR="00453247" w:rsidRPr="007E1E49">
        <w:t xml:space="preserve"> </w:t>
      </w:r>
      <w:r w:rsidRPr="007E1E49">
        <w:t xml:space="preserve">questions and providing the client </w:t>
      </w:r>
      <w:r w:rsidR="00453247" w:rsidRPr="007E1E49">
        <w:t xml:space="preserve">companies </w:t>
      </w:r>
      <w:r w:rsidRPr="007E1E49">
        <w:t xml:space="preserve">with performance reports about the candidates. </w:t>
      </w:r>
      <w:r w:rsidR="00453247" w:rsidRPr="007E1E49">
        <w:t>F</w:t>
      </w:r>
      <w:r w:rsidRPr="007E1E49">
        <w:t>ocus</w:t>
      </w:r>
      <w:r w:rsidR="00453247" w:rsidRPr="007E1E49">
        <w:t>ing</w:t>
      </w:r>
      <w:r w:rsidRPr="007E1E49">
        <w:t xml:space="preserve"> on doing this much would not require too many additional resources. </w:t>
      </w:r>
      <w:proofErr w:type="spellStart"/>
      <w:r w:rsidRPr="007E1E49">
        <w:t>Tirkey</w:t>
      </w:r>
      <w:proofErr w:type="spellEnd"/>
      <w:r w:rsidRPr="007E1E49">
        <w:t xml:space="preserve"> estimated that it would cost CampusHash about </w:t>
      </w:r>
      <w:r w:rsidR="00453247" w:rsidRPr="008C5C6B">
        <w:rPr>
          <w:rFonts w:ascii="Arial" w:hAnsi="Arial" w:cs="Arial"/>
          <w:sz w:val="20"/>
          <w:szCs w:val="20"/>
        </w:rPr>
        <w:t>₹</w:t>
      </w:r>
      <w:r w:rsidRPr="007E1E49">
        <w:t xml:space="preserve">10,000 for travel, </w:t>
      </w:r>
      <w:r w:rsidR="00453247" w:rsidRPr="007E1E49">
        <w:rPr>
          <w:rFonts w:ascii="Arial" w:hAnsi="Arial" w:cs="Arial"/>
          <w:sz w:val="20"/>
          <w:szCs w:val="20"/>
        </w:rPr>
        <w:t>₹</w:t>
      </w:r>
      <w:r w:rsidRPr="007E1E49">
        <w:t xml:space="preserve">5,000 for lodging, and about </w:t>
      </w:r>
      <w:r w:rsidR="00453247" w:rsidRPr="007E1E49">
        <w:rPr>
          <w:rFonts w:ascii="Arial" w:hAnsi="Arial" w:cs="Arial"/>
          <w:sz w:val="20"/>
          <w:szCs w:val="20"/>
        </w:rPr>
        <w:t>₹</w:t>
      </w:r>
      <w:r w:rsidRPr="007E1E49">
        <w:t xml:space="preserve">5,000 for client-specific customization and creation of new programming problems for each hackathon. </w:t>
      </w:r>
      <w:r w:rsidR="00453247" w:rsidRPr="007E1E49">
        <w:t>The company</w:t>
      </w:r>
      <w:r w:rsidRPr="007E1E49">
        <w:t xml:space="preserve"> would </w:t>
      </w:r>
      <w:r w:rsidR="00453247" w:rsidRPr="007E1E49">
        <w:t xml:space="preserve">also </w:t>
      </w:r>
      <w:r w:rsidRPr="007E1E49">
        <w:t xml:space="preserve">need to spend about </w:t>
      </w:r>
      <w:r w:rsidR="00453247" w:rsidRPr="007E1E49">
        <w:rPr>
          <w:rFonts w:ascii="Arial" w:hAnsi="Arial" w:cs="Arial"/>
          <w:sz w:val="20"/>
          <w:szCs w:val="20"/>
        </w:rPr>
        <w:t>₹</w:t>
      </w:r>
      <w:r w:rsidRPr="007E1E49">
        <w:t xml:space="preserve">6,000 per day for professional fees to compensate its trainers to run </w:t>
      </w:r>
      <w:r w:rsidR="00453247" w:rsidRPr="007E1E49">
        <w:t xml:space="preserve">each </w:t>
      </w:r>
      <w:r w:rsidRPr="007E1E49">
        <w:t>hackathon.</w:t>
      </w:r>
    </w:p>
    <w:p w14:paraId="033CCDE8" w14:textId="77777777" w:rsidR="00113BEC" w:rsidRPr="007E1E49" w:rsidRDefault="00113BEC" w:rsidP="00113BEC">
      <w:pPr>
        <w:pStyle w:val="BodyTextMain"/>
      </w:pPr>
    </w:p>
    <w:p w14:paraId="4EB3FB9F" w14:textId="76772E48" w:rsidR="00113BEC" w:rsidRPr="007E1E49" w:rsidRDefault="00113BEC" w:rsidP="00113BEC">
      <w:pPr>
        <w:pStyle w:val="BodyTextMain"/>
      </w:pPr>
      <w:r w:rsidRPr="007E1E49">
        <w:t xml:space="preserve">Saurav did not agree with </w:t>
      </w:r>
      <w:proofErr w:type="spellStart"/>
      <w:r w:rsidRPr="007E1E49">
        <w:t>Tirkey’s</w:t>
      </w:r>
      <w:proofErr w:type="spellEnd"/>
      <w:r w:rsidRPr="007E1E49">
        <w:t xml:space="preserve"> point of view. He </w:t>
      </w:r>
      <w:r w:rsidR="00A610A7" w:rsidRPr="007E1E49">
        <w:t xml:space="preserve">noted </w:t>
      </w:r>
      <w:r w:rsidRPr="007E1E49">
        <w:t>that they had ambitious objectives for CampusHash</w:t>
      </w:r>
      <w:r w:rsidR="00A610A7" w:rsidRPr="007E1E49">
        <w:t>, and h</w:t>
      </w:r>
      <w:r w:rsidRPr="007E1E49">
        <w:t>e believed that they needed to consider taking on greater scope</w:t>
      </w:r>
      <w:r w:rsidR="0030766D" w:rsidRPr="007E1E49">
        <w:t xml:space="preserve"> to meet these objectives</w:t>
      </w:r>
      <w:r w:rsidRPr="007E1E49">
        <w:t xml:space="preserve">. He felt that the more responsibility CampusHash took in the recruitment process, the more </w:t>
      </w:r>
      <w:r w:rsidR="0030766D" w:rsidRPr="007E1E49">
        <w:t xml:space="preserve">value it </w:t>
      </w:r>
      <w:r w:rsidRPr="007E1E49">
        <w:t>would add</w:t>
      </w:r>
      <w:r w:rsidR="0030766D" w:rsidRPr="007E1E49">
        <w:t xml:space="preserve"> for</w:t>
      </w:r>
      <w:r w:rsidRPr="007E1E49">
        <w:t xml:space="preserve"> its clients. Saurav was confident that CampusHash could charge about </w:t>
      </w:r>
      <w:r w:rsidR="0030766D" w:rsidRPr="008C5C6B">
        <w:rPr>
          <w:rFonts w:ascii="Arial" w:hAnsi="Arial" w:cs="Arial"/>
          <w:sz w:val="20"/>
          <w:szCs w:val="20"/>
        </w:rPr>
        <w:t>₹</w:t>
      </w:r>
      <w:r w:rsidRPr="007E1E49">
        <w:t xml:space="preserve">100,000 to </w:t>
      </w:r>
      <w:r w:rsidR="0030766D" w:rsidRPr="007E1E49">
        <w:t xml:space="preserve">each </w:t>
      </w:r>
      <w:r w:rsidRPr="007E1E49">
        <w:t>client IT company for a hackathon</w:t>
      </w:r>
      <w:r w:rsidR="0030766D" w:rsidRPr="007E1E49">
        <w:t>,</w:t>
      </w:r>
      <w:r w:rsidRPr="007E1E49">
        <w:t xml:space="preserve"> which would typically screen about 100 candidates. </w:t>
      </w:r>
      <w:proofErr w:type="spellStart"/>
      <w:r w:rsidRPr="007E1E49">
        <w:t>CampusHash’s</w:t>
      </w:r>
      <w:proofErr w:type="spellEnd"/>
      <w:r w:rsidRPr="007E1E49">
        <w:t xml:space="preserve"> value proposition, in this case, was that it </w:t>
      </w:r>
      <w:r w:rsidR="0030766D" w:rsidRPr="007E1E49">
        <w:t xml:space="preserve">would be </w:t>
      </w:r>
      <w:r w:rsidRPr="007E1E49">
        <w:t xml:space="preserve">reducing the client’s </w:t>
      </w:r>
      <w:r w:rsidR="0030766D" w:rsidRPr="007E1E49">
        <w:t>recruitment-</w:t>
      </w:r>
      <w:r w:rsidRPr="007E1E49">
        <w:t xml:space="preserve">related operational expenses and also assuring them </w:t>
      </w:r>
      <w:r w:rsidR="0081252D">
        <w:t xml:space="preserve">of </w:t>
      </w:r>
      <w:r w:rsidR="0030766D" w:rsidRPr="007E1E49">
        <w:t>high-</w:t>
      </w:r>
      <w:r w:rsidRPr="007E1E49">
        <w:t>quality recruitment screening. Saurav estimated that each trainer could do one program a week, and if CampusHash marketed this offering effectively, it was likely to get 16 such assignments per month.</w:t>
      </w:r>
    </w:p>
    <w:p w14:paraId="69C8E165" w14:textId="085D25A8" w:rsidR="00113BEC" w:rsidRDefault="00113BEC" w:rsidP="00113BEC">
      <w:pPr>
        <w:pStyle w:val="BodyTextMain"/>
      </w:pPr>
    </w:p>
    <w:p w14:paraId="787A5FD1" w14:textId="77777777" w:rsidR="00723BE0" w:rsidRPr="007E1E49" w:rsidRDefault="00723BE0" w:rsidP="00113BEC">
      <w:pPr>
        <w:pStyle w:val="BodyTextMain"/>
      </w:pPr>
    </w:p>
    <w:p w14:paraId="76626F1A" w14:textId="7B2ADBDC" w:rsidR="00FE5D5B" w:rsidRDefault="00FE5D5B" w:rsidP="00417246">
      <w:pPr>
        <w:pStyle w:val="Casehead2"/>
      </w:pPr>
      <w:r>
        <w:t xml:space="preserve">Outsourced Software Development </w:t>
      </w:r>
    </w:p>
    <w:p w14:paraId="3641761E" w14:textId="77777777" w:rsidR="00723BE0" w:rsidRDefault="00723BE0" w:rsidP="00417246">
      <w:pPr>
        <w:pStyle w:val="Casehead2"/>
      </w:pPr>
    </w:p>
    <w:p w14:paraId="5A7BE058" w14:textId="2AE0351D" w:rsidR="00113BEC" w:rsidRPr="007E1E49" w:rsidRDefault="00113BEC" w:rsidP="00113BEC">
      <w:pPr>
        <w:pStyle w:val="BodyTextMain"/>
      </w:pPr>
      <w:proofErr w:type="spellStart"/>
      <w:r w:rsidRPr="007E1E49">
        <w:t>Tirkey</w:t>
      </w:r>
      <w:proofErr w:type="spellEnd"/>
      <w:r w:rsidRPr="007E1E49">
        <w:t xml:space="preserve"> changed the direction of the discussion altogether. He felt that </w:t>
      </w:r>
      <w:proofErr w:type="spellStart"/>
      <w:r w:rsidRPr="007E1E49">
        <w:t>CampusHash’s</w:t>
      </w:r>
      <w:proofErr w:type="spellEnd"/>
      <w:r w:rsidRPr="007E1E49">
        <w:t xml:space="preserve"> main strength was the three co-founders</w:t>
      </w:r>
      <w:r w:rsidR="0030766D" w:rsidRPr="007E1E49">
        <w:t xml:space="preserve">’ expertise as </w:t>
      </w:r>
      <w:r w:rsidRPr="007E1E49">
        <w:t>great programmers</w:t>
      </w:r>
      <w:r w:rsidR="0030766D" w:rsidRPr="007E1E49">
        <w:t xml:space="preserve"> who </w:t>
      </w:r>
      <w:r w:rsidRPr="007E1E49">
        <w:t xml:space="preserve">had </w:t>
      </w:r>
      <w:r w:rsidR="00CA1701" w:rsidRPr="007E1E49">
        <w:t>learn</w:t>
      </w:r>
      <w:r w:rsidR="00CA1701">
        <w:t>ed</w:t>
      </w:r>
      <w:r w:rsidR="00CA1701" w:rsidRPr="007E1E49">
        <w:t xml:space="preserve"> </w:t>
      </w:r>
      <w:r w:rsidRPr="007E1E49">
        <w:t xml:space="preserve">how to spot other </w:t>
      </w:r>
      <w:r w:rsidR="00CA1701" w:rsidRPr="007E1E49">
        <w:t>good</w:t>
      </w:r>
      <w:r w:rsidR="00CA1701">
        <w:t>-</w:t>
      </w:r>
      <w:r w:rsidRPr="007E1E49">
        <w:t xml:space="preserve">quality programmers. He proposed that they could leverage this strength </w:t>
      </w:r>
      <w:r w:rsidR="0030766D" w:rsidRPr="007E1E49">
        <w:t xml:space="preserve">to </w:t>
      </w:r>
      <w:r w:rsidRPr="007E1E49">
        <w:t xml:space="preserve">create offerings beyond mere recruitment and </w:t>
      </w:r>
      <w:r w:rsidR="0030766D" w:rsidRPr="007E1E49">
        <w:t xml:space="preserve">could </w:t>
      </w:r>
      <w:r w:rsidRPr="007E1E49">
        <w:t xml:space="preserve">instead try to get outsourced </w:t>
      </w:r>
      <w:r w:rsidR="0030766D" w:rsidRPr="007E1E49">
        <w:t>software-</w:t>
      </w:r>
      <w:r w:rsidRPr="007E1E49">
        <w:t>programming projects from Indian IT companies.</w:t>
      </w:r>
    </w:p>
    <w:p w14:paraId="6FE4E404" w14:textId="541A37C9" w:rsidR="00113BEC" w:rsidRPr="007E1E49" w:rsidRDefault="00113BEC" w:rsidP="00113BEC">
      <w:pPr>
        <w:pStyle w:val="BodyTextMain"/>
      </w:pPr>
      <w:proofErr w:type="spellStart"/>
      <w:r w:rsidRPr="007E1E49">
        <w:t>Shirol</w:t>
      </w:r>
      <w:proofErr w:type="spellEnd"/>
      <w:r w:rsidRPr="007E1E49">
        <w:t xml:space="preserve"> was not entirely convinced and </w:t>
      </w:r>
      <w:r w:rsidR="0030766D" w:rsidRPr="007E1E49">
        <w:t xml:space="preserve">asked </w:t>
      </w:r>
      <w:proofErr w:type="spellStart"/>
      <w:r w:rsidRPr="007E1E49">
        <w:t>Tirkey</w:t>
      </w:r>
      <w:proofErr w:type="spellEnd"/>
      <w:r w:rsidRPr="007E1E49">
        <w:t xml:space="preserve"> why IT companies would consider a small nondescript venture such as CampusHash as a potential outsourcing partner. Further, he wanted to understand the risks involved in this business model. </w:t>
      </w:r>
      <w:proofErr w:type="spellStart"/>
      <w:r w:rsidRPr="007E1E49">
        <w:t>Tirkey</w:t>
      </w:r>
      <w:proofErr w:type="spellEnd"/>
      <w:r w:rsidRPr="007E1E49">
        <w:t xml:space="preserve"> explained that while he was not entirely sure whether it would work, they could try to seek </w:t>
      </w:r>
      <w:r w:rsidR="0030766D" w:rsidRPr="007E1E49">
        <w:t>software-</w:t>
      </w:r>
      <w:r w:rsidRPr="007E1E49">
        <w:t>development assignments from IT product and services companies</w:t>
      </w:r>
      <w:r w:rsidR="0081252D">
        <w:t>;</w:t>
      </w:r>
      <w:r w:rsidRPr="007E1E49">
        <w:t xml:space="preserve"> </w:t>
      </w:r>
      <w:r w:rsidRPr="007E1E49">
        <w:lastRenderedPageBreak/>
        <w:t xml:space="preserve">CampusHash could break </w:t>
      </w:r>
      <w:r w:rsidR="0030766D" w:rsidRPr="007E1E49">
        <w:t>each</w:t>
      </w:r>
      <w:r w:rsidRPr="007E1E49">
        <w:t xml:space="preserve"> assignment</w:t>
      </w:r>
      <w:r w:rsidR="0030766D" w:rsidRPr="007E1E49">
        <w:t xml:space="preserve"> </w:t>
      </w:r>
      <w:r w:rsidRPr="007E1E49">
        <w:t>task into smaller problem statements and use these as coding</w:t>
      </w:r>
      <w:r w:rsidR="0030766D" w:rsidRPr="007E1E49">
        <w:t xml:space="preserve"> </w:t>
      </w:r>
      <w:r w:rsidRPr="007E1E49">
        <w:t xml:space="preserve">problems in its training hackathons. </w:t>
      </w:r>
      <w:r w:rsidR="0030766D" w:rsidRPr="007E1E49">
        <w:t>T</w:t>
      </w:r>
      <w:r w:rsidRPr="007E1E49">
        <w:t>his way</w:t>
      </w:r>
      <w:r w:rsidR="0030766D" w:rsidRPr="007E1E49">
        <w:t>,</w:t>
      </w:r>
      <w:r w:rsidRPr="007E1E49">
        <w:t xml:space="preserve"> they could get the software-development work done for free </w:t>
      </w:r>
      <w:r w:rsidR="0030766D" w:rsidRPr="007E1E49">
        <w:t xml:space="preserve">by </w:t>
      </w:r>
      <w:r w:rsidRPr="007E1E49">
        <w:t>hackathon participants</w:t>
      </w:r>
      <w:r w:rsidR="0030766D" w:rsidRPr="007E1E49">
        <w:t xml:space="preserve">, and </w:t>
      </w:r>
      <w:r w:rsidRPr="007E1E49">
        <w:t xml:space="preserve">the students </w:t>
      </w:r>
      <w:r w:rsidR="0030766D" w:rsidRPr="007E1E49">
        <w:t xml:space="preserve">would be exposed </w:t>
      </w:r>
      <w:r w:rsidRPr="007E1E49">
        <w:t xml:space="preserve">to the actual industry problems they </w:t>
      </w:r>
      <w:r w:rsidR="0030766D" w:rsidRPr="007E1E49">
        <w:t xml:space="preserve">would </w:t>
      </w:r>
      <w:r w:rsidRPr="007E1E49">
        <w:t>be expected to solve once they enter</w:t>
      </w:r>
      <w:r w:rsidR="0030766D" w:rsidRPr="007E1E49">
        <w:t>ed</w:t>
      </w:r>
      <w:r w:rsidRPr="007E1E49">
        <w:t xml:space="preserve"> the industry. </w:t>
      </w:r>
    </w:p>
    <w:p w14:paraId="3B0C644A" w14:textId="77777777" w:rsidR="00113BEC" w:rsidRPr="007E1E49" w:rsidRDefault="00113BEC" w:rsidP="00113BEC">
      <w:pPr>
        <w:pStyle w:val="BodyTextMain"/>
      </w:pPr>
    </w:p>
    <w:p w14:paraId="65704804" w14:textId="4A5667BA" w:rsidR="00113BEC" w:rsidRPr="007E1E49" w:rsidRDefault="00113BEC" w:rsidP="00113BEC">
      <w:pPr>
        <w:pStyle w:val="BodyTextMain"/>
      </w:pPr>
      <w:proofErr w:type="spellStart"/>
      <w:r w:rsidRPr="007E1E49">
        <w:t>Tirkey</w:t>
      </w:r>
      <w:proofErr w:type="spellEnd"/>
      <w:r w:rsidRPr="007E1E49">
        <w:t xml:space="preserve"> was confident that CampusHash could thus create a business that would yield about </w:t>
      </w:r>
      <w:r w:rsidR="0030766D" w:rsidRPr="007E1E49">
        <w:t xml:space="preserve">a </w:t>
      </w:r>
      <w:r w:rsidRPr="007E1E49">
        <w:t>50</w:t>
      </w:r>
      <w:r w:rsidR="0030766D" w:rsidRPr="007E1E49">
        <w:t>–</w:t>
      </w:r>
      <w:r w:rsidRPr="007E1E49">
        <w:t>60</w:t>
      </w:r>
      <w:r w:rsidR="0030766D" w:rsidRPr="007E1E49">
        <w:t xml:space="preserve"> per cent </w:t>
      </w:r>
      <w:r w:rsidRPr="007E1E49">
        <w:t xml:space="preserve">gross margin. He explained that for this </w:t>
      </w:r>
      <w:r w:rsidR="0030766D" w:rsidRPr="007E1E49">
        <w:t xml:space="preserve">approach, </w:t>
      </w:r>
      <w:r w:rsidRPr="007E1E49">
        <w:t xml:space="preserve">they </w:t>
      </w:r>
      <w:r w:rsidR="0030766D" w:rsidRPr="007E1E49">
        <w:t xml:space="preserve">would </w:t>
      </w:r>
      <w:r w:rsidRPr="007E1E49">
        <w:t xml:space="preserve">need to hire four sales professionals focused on getting software-development projects from IT companies. The sales professionals would </w:t>
      </w:r>
      <w:r w:rsidR="0030766D" w:rsidRPr="007E1E49">
        <w:t xml:space="preserve">each </w:t>
      </w:r>
      <w:r w:rsidRPr="007E1E49">
        <w:t xml:space="preserve">have to be paid a salary of about </w:t>
      </w:r>
      <w:r w:rsidR="0030766D" w:rsidRPr="008C5C6B">
        <w:rPr>
          <w:rFonts w:ascii="Arial" w:hAnsi="Arial" w:cs="Arial"/>
          <w:sz w:val="20"/>
          <w:szCs w:val="20"/>
        </w:rPr>
        <w:t>₹</w:t>
      </w:r>
      <w:r w:rsidRPr="007E1E49">
        <w:t xml:space="preserve">30,000 per month. CampusHash would also need to recruit five software developers, each costing about </w:t>
      </w:r>
      <w:r w:rsidR="0030766D" w:rsidRPr="007E1E49">
        <w:rPr>
          <w:rFonts w:ascii="Arial" w:hAnsi="Arial" w:cs="Arial"/>
          <w:sz w:val="20"/>
          <w:szCs w:val="20"/>
        </w:rPr>
        <w:t>₹</w:t>
      </w:r>
      <w:r w:rsidRPr="007E1E49">
        <w:t>50,000 per month</w:t>
      </w:r>
      <w:r w:rsidR="0030766D" w:rsidRPr="007E1E49">
        <w:t>,</w:t>
      </w:r>
      <w:r w:rsidRPr="007E1E49">
        <w:t xml:space="preserve"> to carry out quality control and choose the right solution</w:t>
      </w:r>
      <w:r w:rsidR="0030766D" w:rsidRPr="007E1E49">
        <w:t>s</w:t>
      </w:r>
      <w:r w:rsidRPr="007E1E49">
        <w:t xml:space="preserve"> from among the candidates’ submissions to deliver to the client companies. </w:t>
      </w:r>
      <w:proofErr w:type="spellStart"/>
      <w:r w:rsidRPr="007E1E49">
        <w:t>Tirkey</w:t>
      </w:r>
      <w:proofErr w:type="spellEnd"/>
      <w:r w:rsidRPr="007E1E49">
        <w:t xml:space="preserve"> was confident that CampusHash would be able to get about two to three assignments of this nature every month and </w:t>
      </w:r>
      <w:r w:rsidR="0030766D" w:rsidRPr="007E1E49">
        <w:t xml:space="preserve">that it could </w:t>
      </w:r>
      <w:r w:rsidRPr="007E1E49">
        <w:t xml:space="preserve">charge about </w:t>
      </w:r>
      <w:r w:rsidR="0030766D" w:rsidRPr="007E1E49">
        <w:rPr>
          <w:rFonts w:ascii="Arial" w:hAnsi="Arial" w:cs="Arial"/>
          <w:sz w:val="20"/>
          <w:szCs w:val="20"/>
        </w:rPr>
        <w:t>₹</w:t>
      </w:r>
      <w:r w:rsidRPr="007E1E49">
        <w:t xml:space="preserve">300,000 </w:t>
      </w:r>
      <w:r w:rsidR="0030766D" w:rsidRPr="007E1E49">
        <w:t xml:space="preserve">for each </w:t>
      </w:r>
      <w:r w:rsidRPr="007E1E49">
        <w:t xml:space="preserve">assignment. </w:t>
      </w:r>
    </w:p>
    <w:p w14:paraId="1F87B931" w14:textId="09BAC133" w:rsidR="00113BEC" w:rsidRDefault="00113BEC" w:rsidP="00113BEC">
      <w:pPr>
        <w:pStyle w:val="BodyTextMain"/>
      </w:pPr>
    </w:p>
    <w:p w14:paraId="5C928722" w14:textId="77777777" w:rsidR="00723BE0" w:rsidRPr="007E1E49" w:rsidRDefault="00723BE0" w:rsidP="00113BEC">
      <w:pPr>
        <w:pStyle w:val="BodyTextMain"/>
      </w:pPr>
    </w:p>
    <w:p w14:paraId="64F636A1" w14:textId="7C5719BC" w:rsidR="007C04E9" w:rsidRDefault="007C04E9" w:rsidP="00417246">
      <w:pPr>
        <w:pStyle w:val="Casehead2"/>
      </w:pPr>
      <w:r>
        <w:t>Scaling Up with an Online Platform</w:t>
      </w:r>
    </w:p>
    <w:p w14:paraId="34834133" w14:textId="77777777" w:rsidR="00723BE0" w:rsidRDefault="00723BE0" w:rsidP="00417246">
      <w:pPr>
        <w:pStyle w:val="Casehead2"/>
      </w:pPr>
    </w:p>
    <w:p w14:paraId="0BE7DCF9" w14:textId="70C587C3" w:rsidR="00113BEC" w:rsidRPr="007E1E49" w:rsidRDefault="00113BEC" w:rsidP="00113BEC">
      <w:pPr>
        <w:pStyle w:val="BodyTextMain"/>
      </w:pPr>
      <w:r w:rsidRPr="007E1E49">
        <w:t xml:space="preserve">Saurav was strangely quiet for some time. </w:t>
      </w:r>
      <w:r w:rsidR="0030766D" w:rsidRPr="007E1E49">
        <w:t>When his partners asked why</w:t>
      </w:r>
      <w:r w:rsidRPr="007E1E49">
        <w:t>, he stated,</w:t>
      </w:r>
      <w:r w:rsidR="00DC661A" w:rsidRPr="007E1E49">
        <w:t xml:space="preserve"> “</w:t>
      </w:r>
      <w:r w:rsidRPr="007E1E49">
        <w:t xml:space="preserve">I was thinking of something different. Why don’t we consider offering </w:t>
      </w:r>
      <w:r w:rsidR="0030766D" w:rsidRPr="007E1E49">
        <w:t>end-to-</w:t>
      </w:r>
      <w:r w:rsidRPr="007E1E49">
        <w:t>end recruitment and employee management solutions to these small IT product and services firms?</w:t>
      </w:r>
      <w:r w:rsidR="00DC661A" w:rsidRPr="007E1E49">
        <w:t>”</w:t>
      </w:r>
    </w:p>
    <w:p w14:paraId="5914F028" w14:textId="77777777" w:rsidR="00113BEC" w:rsidRPr="007E1E49" w:rsidRDefault="00113BEC" w:rsidP="00113BEC">
      <w:pPr>
        <w:pStyle w:val="BodyTextMain"/>
      </w:pPr>
    </w:p>
    <w:p w14:paraId="134E151C" w14:textId="057EDEFA" w:rsidR="00113BEC" w:rsidRPr="007E1E49" w:rsidRDefault="00113BEC" w:rsidP="00113BEC">
      <w:pPr>
        <w:pStyle w:val="BodyTextMain"/>
      </w:pPr>
      <w:r w:rsidRPr="007E1E49">
        <w:t xml:space="preserve">Saurav explained that this would </w:t>
      </w:r>
      <w:r w:rsidR="0030766D" w:rsidRPr="007E1E49">
        <w:t xml:space="preserve">require </w:t>
      </w:r>
      <w:r w:rsidRPr="007E1E49">
        <w:t xml:space="preserve">CampusHash </w:t>
      </w:r>
      <w:r w:rsidR="0030766D" w:rsidRPr="007E1E49">
        <w:t xml:space="preserve">to </w:t>
      </w:r>
      <w:r w:rsidRPr="007E1E49">
        <w:t xml:space="preserve">continually focus on developing a wide variety of </w:t>
      </w:r>
      <w:r w:rsidR="0030766D" w:rsidRPr="007E1E49">
        <w:t>recruitment-</w:t>
      </w:r>
      <w:r w:rsidRPr="007E1E49">
        <w:t xml:space="preserve">related assessments. </w:t>
      </w:r>
      <w:r w:rsidR="0030766D" w:rsidRPr="007E1E49">
        <w:t xml:space="preserve">The company </w:t>
      </w:r>
      <w:r w:rsidRPr="007E1E49">
        <w:t xml:space="preserve">would have to convince recruitment managers of IT companies that these assessments were superior to </w:t>
      </w:r>
      <w:r w:rsidR="0030766D" w:rsidRPr="007E1E49">
        <w:t>those</w:t>
      </w:r>
      <w:r w:rsidRPr="007E1E49">
        <w:t xml:space="preserve"> they were currently using in their software developer recruitment process</w:t>
      </w:r>
      <w:r w:rsidR="004E0552" w:rsidRPr="007E1E49">
        <w:t>es</w:t>
      </w:r>
      <w:r w:rsidRPr="007E1E49">
        <w:t xml:space="preserve">. CampusHash would have to </w:t>
      </w:r>
      <w:r w:rsidR="004E0552" w:rsidRPr="007E1E49">
        <w:t xml:space="preserve">work continually to </w:t>
      </w:r>
      <w:r w:rsidRPr="007E1E49">
        <w:t xml:space="preserve">understand the requirements of each client company and </w:t>
      </w:r>
      <w:r w:rsidR="004E0552" w:rsidRPr="007E1E49">
        <w:t xml:space="preserve">would have to </w:t>
      </w:r>
      <w:r w:rsidRPr="007E1E49">
        <w:t xml:space="preserve">change </w:t>
      </w:r>
      <w:r w:rsidR="004E0552" w:rsidRPr="007E1E49">
        <w:t xml:space="preserve">its </w:t>
      </w:r>
      <w:r w:rsidRPr="007E1E49">
        <w:t>assessment models accordingly. Using these customized models, CampusHash would be able to provide client recruitment teams with</w:t>
      </w:r>
      <w:r w:rsidR="004E0552" w:rsidRPr="007E1E49">
        <w:t xml:space="preserve"> selections of</w:t>
      </w:r>
      <w:r w:rsidRPr="007E1E49">
        <w:t xml:space="preserve"> candidate</w:t>
      </w:r>
      <w:r w:rsidR="004E0552" w:rsidRPr="007E1E49">
        <w:t>s</w:t>
      </w:r>
      <w:r w:rsidRPr="007E1E49">
        <w:t xml:space="preserve"> </w:t>
      </w:r>
      <w:r w:rsidR="004E0552" w:rsidRPr="007E1E49">
        <w:t>who had been</w:t>
      </w:r>
      <w:r w:rsidRPr="007E1E49">
        <w:t xml:space="preserve"> pre-assessed for further processing and final </w:t>
      </w:r>
      <w:r w:rsidR="004E0552" w:rsidRPr="007E1E49">
        <w:t>hiring-</w:t>
      </w:r>
      <w:r w:rsidRPr="007E1E49">
        <w:t>related decision</w:t>
      </w:r>
      <w:r w:rsidR="0081252D">
        <w:t>-</w:t>
      </w:r>
      <w:r w:rsidRPr="007E1E49">
        <w:t xml:space="preserve">making. </w:t>
      </w:r>
    </w:p>
    <w:p w14:paraId="358CA033" w14:textId="77777777" w:rsidR="00113BEC" w:rsidRPr="007E1E49" w:rsidRDefault="00113BEC" w:rsidP="00113BEC">
      <w:pPr>
        <w:pStyle w:val="BodyTextMain"/>
      </w:pPr>
    </w:p>
    <w:p w14:paraId="6EEA93E0" w14:textId="6F3CC1E8" w:rsidR="00113BEC" w:rsidRPr="007E1E49" w:rsidRDefault="00113BEC" w:rsidP="00113BEC">
      <w:pPr>
        <w:pStyle w:val="BodyTextMain"/>
      </w:pPr>
      <w:r w:rsidRPr="007E1E49">
        <w:t>In addition, CampusHash could leverage its understanding of the HR requirements of IT firms by creating a talent management offering. This would help HR managers of IT firms assess the technical proficiency of their existing software developers on an ongoing basis. For CampusHash, this would entail providing clients</w:t>
      </w:r>
      <w:r w:rsidR="004E0552" w:rsidRPr="007E1E49">
        <w:t xml:space="preserve"> with</w:t>
      </w:r>
      <w:r w:rsidRPr="007E1E49">
        <w:t xml:space="preserve"> a suite of simulated assessments </w:t>
      </w:r>
      <w:r w:rsidR="004E0552" w:rsidRPr="007E1E49">
        <w:t xml:space="preserve">that supported </w:t>
      </w:r>
      <w:r w:rsidRPr="007E1E49">
        <w:t>various popular and emerging technologies such as full-stack development, data sciences, artificial intelligence</w:t>
      </w:r>
      <w:r w:rsidR="004E0552" w:rsidRPr="007E1E49">
        <w:t>,</w:t>
      </w:r>
      <w:r w:rsidRPr="007E1E49">
        <w:t xml:space="preserve"> and machine learning. </w:t>
      </w:r>
      <w:r w:rsidR="004E0552" w:rsidRPr="007E1E49">
        <w:t xml:space="preserve">Through these assessments, </w:t>
      </w:r>
      <w:r w:rsidRPr="007E1E49">
        <w:t xml:space="preserve">CampusHash would be able to provide clients </w:t>
      </w:r>
      <w:r w:rsidR="004E0552" w:rsidRPr="007E1E49">
        <w:t xml:space="preserve">with </w:t>
      </w:r>
      <w:r w:rsidRPr="007E1E49">
        <w:t>detailed report</w:t>
      </w:r>
      <w:r w:rsidR="004E0552" w:rsidRPr="007E1E49">
        <w:t>s</w:t>
      </w:r>
      <w:r w:rsidRPr="007E1E49">
        <w:t xml:space="preserve"> highlighting their employees’ technical </w:t>
      </w:r>
      <w:r w:rsidR="004E0552" w:rsidRPr="007E1E49">
        <w:t>proficiencies</w:t>
      </w:r>
      <w:r w:rsidRPr="007E1E49">
        <w:t>.</w:t>
      </w:r>
      <w:r w:rsidR="00D932D9">
        <w:t xml:space="preserve"> </w:t>
      </w:r>
    </w:p>
    <w:p w14:paraId="3837DFED" w14:textId="77777777" w:rsidR="00113BEC" w:rsidRPr="007E1E49" w:rsidRDefault="00113BEC" w:rsidP="00113BEC">
      <w:pPr>
        <w:pStyle w:val="BodyTextMain"/>
      </w:pPr>
    </w:p>
    <w:p w14:paraId="52966222" w14:textId="08E7DE1E" w:rsidR="00113BEC" w:rsidRPr="007E1E49" w:rsidRDefault="00113BEC" w:rsidP="00113BEC">
      <w:pPr>
        <w:pStyle w:val="BodyTextMain"/>
      </w:pPr>
      <w:proofErr w:type="spellStart"/>
      <w:r w:rsidRPr="007E1E49">
        <w:t>Shirol</w:t>
      </w:r>
      <w:proofErr w:type="spellEnd"/>
      <w:r w:rsidRPr="007E1E49">
        <w:t xml:space="preserve"> stated that this option</w:t>
      </w:r>
      <w:r w:rsidR="004E0552" w:rsidRPr="007E1E49">
        <w:t xml:space="preserve"> would require </w:t>
      </w:r>
      <w:r w:rsidRPr="007E1E49">
        <w:t xml:space="preserve">a lot of groundwork and operational changes to </w:t>
      </w:r>
      <w:proofErr w:type="spellStart"/>
      <w:r w:rsidR="004E0552" w:rsidRPr="007E1E49">
        <w:t>CampusHash’s</w:t>
      </w:r>
      <w:proofErr w:type="spellEnd"/>
      <w:r w:rsidR="004E0552" w:rsidRPr="007E1E49">
        <w:t xml:space="preserve"> </w:t>
      </w:r>
      <w:r w:rsidRPr="007E1E49">
        <w:t xml:space="preserve">current offerings. He explained that this would involve CampusHash moving to </w:t>
      </w:r>
      <w:r w:rsidR="004E0552" w:rsidRPr="007E1E49">
        <w:t xml:space="preserve">a </w:t>
      </w:r>
      <w:r w:rsidRPr="007E1E49">
        <w:t>B2B or enterprise sales model</w:t>
      </w:r>
      <w:r w:rsidR="004E0552" w:rsidRPr="007E1E49">
        <w:t>,</w:t>
      </w:r>
      <w:r w:rsidRPr="007E1E49">
        <w:t xml:space="preserve"> which would typically result in high volumes. </w:t>
      </w:r>
      <w:r w:rsidR="004E0552" w:rsidRPr="007E1E49">
        <w:t xml:space="preserve">The company’s </w:t>
      </w:r>
      <w:r w:rsidRPr="007E1E49">
        <w:t xml:space="preserve">profit margins would depend upon </w:t>
      </w:r>
      <w:r w:rsidR="004E0552" w:rsidRPr="007E1E49">
        <w:t xml:space="preserve">its </w:t>
      </w:r>
      <w:r w:rsidRPr="007E1E49">
        <w:t xml:space="preserve">ability to negotiate well with corporate clients and manage operational costs tightly. </w:t>
      </w:r>
    </w:p>
    <w:p w14:paraId="6E3FA6CA" w14:textId="77777777" w:rsidR="00113BEC" w:rsidRPr="007E1E49" w:rsidRDefault="00113BEC" w:rsidP="00113BEC">
      <w:pPr>
        <w:pStyle w:val="BodyTextMain"/>
      </w:pPr>
    </w:p>
    <w:p w14:paraId="1AEE7791" w14:textId="4240C9B0" w:rsidR="00113BEC" w:rsidRPr="00FF5155" w:rsidRDefault="00113BEC" w:rsidP="00113BEC">
      <w:pPr>
        <w:pStyle w:val="BodyTextMain"/>
        <w:rPr>
          <w:spacing w:val="-2"/>
        </w:rPr>
      </w:pPr>
      <w:proofErr w:type="spellStart"/>
      <w:r w:rsidRPr="00FF5155">
        <w:rPr>
          <w:spacing w:val="-2"/>
        </w:rPr>
        <w:t>Tirkey</w:t>
      </w:r>
      <w:proofErr w:type="spellEnd"/>
      <w:r w:rsidRPr="00FF5155">
        <w:rPr>
          <w:spacing w:val="-2"/>
        </w:rPr>
        <w:t xml:space="preserve"> commented that </w:t>
      </w:r>
      <w:proofErr w:type="gramStart"/>
      <w:r w:rsidRPr="00FF5155">
        <w:rPr>
          <w:spacing w:val="-2"/>
        </w:rPr>
        <w:t>one way</w:t>
      </w:r>
      <w:proofErr w:type="gramEnd"/>
      <w:r w:rsidRPr="00FF5155">
        <w:rPr>
          <w:spacing w:val="-2"/>
        </w:rPr>
        <w:t xml:space="preserve"> CampusHash </w:t>
      </w:r>
      <w:r w:rsidR="004E0552" w:rsidRPr="00FF5155">
        <w:rPr>
          <w:spacing w:val="-2"/>
        </w:rPr>
        <w:t xml:space="preserve">could </w:t>
      </w:r>
      <w:r w:rsidRPr="00FF5155">
        <w:rPr>
          <w:spacing w:val="-2"/>
        </w:rPr>
        <w:t>scale up revenues in a non-linear manner, while not having to add as many employees as before</w:t>
      </w:r>
      <w:r w:rsidR="004E0552" w:rsidRPr="00FF5155">
        <w:rPr>
          <w:spacing w:val="-2"/>
        </w:rPr>
        <w:t>,</w:t>
      </w:r>
      <w:r w:rsidRPr="00FF5155">
        <w:rPr>
          <w:spacing w:val="-2"/>
        </w:rPr>
        <w:t xml:space="preserve"> </w:t>
      </w:r>
      <w:r w:rsidR="004E0552" w:rsidRPr="00FF5155">
        <w:rPr>
          <w:spacing w:val="-2"/>
        </w:rPr>
        <w:t xml:space="preserve">would be </w:t>
      </w:r>
      <w:r w:rsidRPr="00FF5155">
        <w:rPr>
          <w:spacing w:val="-2"/>
        </w:rPr>
        <w:t xml:space="preserve">to create technology solutions with increased automation possibilities. For instance, </w:t>
      </w:r>
      <w:r w:rsidR="004E0552" w:rsidRPr="00FF5155">
        <w:rPr>
          <w:spacing w:val="-2"/>
        </w:rPr>
        <w:t xml:space="preserve">it could create </w:t>
      </w:r>
      <w:r w:rsidRPr="00FF5155">
        <w:rPr>
          <w:spacing w:val="-2"/>
        </w:rPr>
        <w:t>an online platform</w:t>
      </w:r>
      <w:r w:rsidR="004E0552" w:rsidRPr="00FF5155">
        <w:rPr>
          <w:spacing w:val="-2"/>
        </w:rPr>
        <w:t xml:space="preserve"> that allowed</w:t>
      </w:r>
      <w:r w:rsidRPr="00FF5155">
        <w:rPr>
          <w:spacing w:val="-2"/>
        </w:rPr>
        <w:t xml:space="preserve"> client companies </w:t>
      </w:r>
      <w:r w:rsidR="004E0552" w:rsidRPr="00FF5155">
        <w:rPr>
          <w:spacing w:val="-2"/>
        </w:rPr>
        <w:t xml:space="preserve">to </w:t>
      </w:r>
      <w:r w:rsidRPr="00FF5155">
        <w:rPr>
          <w:spacing w:val="-2"/>
        </w:rPr>
        <w:t xml:space="preserve">register, create their own assessment tests, or give CampusHash the requirements to create customized tests for them. </w:t>
      </w:r>
      <w:proofErr w:type="spellStart"/>
      <w:r w:rsidRPr="00FF5155">
        <w:rPr>
          <w:spacing w:val="-2"/>
        </w:rPr>
        <w:t>Tirkey</w:t>
      </w:r>
      <w:proofErr w:type="spellEnd"/>
      <w:r w:rsidRPr="00FF5155">
        <w:rPr>
          <w:spacing w:val="-2"/>
        </w:rPr>
        <w:t xml:space="preserve"> explained that</w:t>
      </w:r>
      <w:r w:rsidR="004E0552" w:rsidRPr="00FF5155">
        <w:rPr>
          <w:spacing w:val="-2"/>
        </w:rPr>
        <w:t xml:space="preserve"> </w:t>
      </w:r>
      <w:proofErr w:type="spellStart"/>
      <w:r w:rsidRPr="00FF5155">
        <w:rPr>
          <w:spacing w:val="-2"/>
        </w:rPr>
        <w:t>CampusHash’s</w:t>
      </w:r>
      <w:proofErr w:type="spellEnd"/>
      <w:r w:rsidRPr="00FF5155">
        <w:rPr>
          <w:spacing w:val="-2"/>
        </w:rPr>
        <w:t xml:space="preserve"> database of assessment questions would </w:t>
      </w:r>
      <w:r w:rsidR="004E0552" w:rsidRPr="00FF5155">
        <w:rPr>
          <w:spacing w:val="-2"/>
        </w:rPr>
        <w:t xml:space="preserve">ultimately </w:t>
      </w:r>
      <w:r w:rsidRPr="00FF5155">
        <w:rPr>
          <w:spacing w:val="-2"/>
        </w:rPr>
        <w:t xml:space="preserve">grow to a scale where the marginal costs </w:t>
      </w:r>
      <w:r w:rsidR="004E0552" w:rsidRPr="00FF5155">
        <w:rPr>
          <w:spacing w:val="-2"/>
        </w:rPr>
        <w:t xml:space="preserve">of servicing </w:t>
      </w:r>
      <w:r w:rsidRPr="00FF5155">
        <w:rPr>
          <w:spacing w:val="-2"/>
        </w:rPr>
        <w:t xml:space="preserve">each subsequent client assignment would reduce significantly. </w:t>
      </w:r>
      <w:proofErr w:type="spellStart"/>
      <w:r w:rsidRPr="00FF5155">
        <w:rPr>
          <w:spacing w:val="-2"/>
        </w:rPr>
        <w:t>Tirkey</w:t>
      </w:r>
      <w:proofErr w:type="spellEnd"/>
      <w:r w:rsidRPr="00FF5155">
        <w:rPr>
          <w:spacing w:val="-2"/>
        </w:rPr>
        <w:t xml:space="preserve"> believed that if this business took off, they would </w:t>
      </w:r>
      <w:r w:rsidR="004E0552" w:rsidRPr="00FF5155">
        <w:rPr>
          <w:spacing w:val="-2"/>
        </w:rPr>
        <w:t xml:space="preserve">no longer </w:t>
      </w:r>
      <w:r w:rsidRPr="00FF5155">
        <w:rPr>
          <w:spacing w:val="-2"/>
        </w:rPr>
        <w:t xml:space="preserve">need to </w:t>
      </w:r>
      <w:r w:rsidR="004E0552" w:rsidRPr="00FF5155">
        <w:rPr>
          <w:spacing w:val="-2"/>
        </w:rPr>
        <w:t>deliver</w:t>
      </w:r>
      <w:r w:rsidRPr="00FF5155">
        <w:rPr>
          <w:spacing w:val="-2"/>
        </w:rPr>
        <w:t xml:space="preserve"> </w:t>
      </w:r>
      <w:r w:rsidR="004E0552" w:rsidRPr="00FF5155">
        <w:rPr>
          <w:spacing w:val="-2"/>
        </w:rPr>
        <w:t>candidate assessments on-site at college campuses</w:t>
      </w:r>
      <w:r w:rsidRPr="00FF5155">
        <w:rPr>
          <w:spacing w:val="-2"/>
        </w:rPr>
        <w:t xml:space="preserve">. All they </w:t>
      </w:r>
      <w:r w:rsidR="004E0552" w:rsidRPr="00FF5155">
        <w:rPr>
          <w:spacing w:val="-2"/>
        </w:rPr>
        <w:t xml:space="preserve">would </w:t>
      </w:r>
      <w:r w:rsidRPr="00FF5155">
        <w:rPr>
          <w:spacing w:val="-2"/>
        </w:rPr>
        <w:t>require was a good B2B sales team and a strong technology backbone.</w:t>
      </w:r>
    </w:p>
    <w:p w14:paraId="0E2A586A" w14:textId="1C343DAE" w:rsidR="00113BEC" w:rsidRPr="007E1E49" w:rsidRDefault="00113BEC" w:rsidP="00113BEC">
      <w:pPr>
        <w:pStyle w:val="BodyTextMain"/>
      </w:pPr>
      <w:proofErr w:type="spellStart"/>
      <w:r w:rsidRPr="007E1E49">
        <w:lastRenderedPageBreak/>
        <w:t>Tirkey</w:t>
      </w:r>
      <w:proofErr w:type="spellEnd"/>
      <w:r w:rsidRPr="007E1E49">
        <w:t xml:space="preserve"> estimated that it would take CampusHash a year and cost about </w:t>
      </w:r>
      <w:r w:rsidR="004E0552" w:rsidRPr="008C5C6B">
        <w:rPr>
          <w:rFonts w:ascii="Arial" w:hAnsi="Arial" w:cs="Arial"/>
          <w:sz w:val="20"/>
          <w:szCs w:val="20"/>
        </w:rPr>
        <w:t>₹</w:t>
      </w:r>
      <w:r w:rsidRPr="007E1E49">
        <w:t xml:space="preserve">1.0 million </w:t>
      </w:r>
      <w:r w:rsidR="004E0552" w:rsidRPr="007E1E49">
        <w:t xml:space="preserve">to </w:t>
      </w:r>
      <w:r w:rsidRPr="007E1E49">
        <w:t>develop this online platform</w:t>
      </w:r>
      <w:r w:rsidR="004E0552" w:rsidRPr="007E1E49">
        <w:t>.</w:t>
      </w:r>
      <w:r w:rsidRPr="007E1E49">
        <w:t xml:space="preserve"> </w:t>
      </w:r>
      <w:r w:rsidR="00120CE9" w:rsidRPr="007E1E49">
        <w:t xml:space="preserve">(It was assumed that the IT platform would depreciate at a rate of 33 per cent using a straight-line depreciation method.) </w:t>
      </w:r>
      <w:r w:rsidRPr="007E1E49">
        <w:t xml:space="preserve">The co-founders agreed that it would cost a further </w:t>
      </w:r>
      <w:r w:rsidR="004E0552" w:rsidRPr="007E1E49">
        <w:rPr>
          <w:rFonts w:ascii="Arial" w:hAnsi="Arial" w:cs="Arial"/>
          <w:sz w:val="20"/>
          <w:szCs w:val="20"/>
        </w:rPr>
        <w:t>₹</w:t>
      </w:r>
      <w:r w:rsidR="001A474C">
        <w:t>100,000</w:t>
      </w:r>
      <w:r w:rsidRPr="007E1E49">
        <w:t xml:space="preserve"> per year </w:t>
      </w:r>
      <w:r w:rsidR="004E0552" w:rsidRPr="007E1E49">
        <w:t xml:space="preserve">to </w:t>
      </w:r>
      <w:r w:rsidRPr="007E1E49">
        <w:t xml:space="preserve">maintain this platform. To implement this option, CampusHash </w:t>
      </w:r>
      <w:r w:rsidR="004E0552" w:rsidRPr="007E1E49">
        <w:t xml:space="preserve">would </w:t>
      </w:r>
      <w:r w:rsidRPr="007E1E49">
        <w:t xml:space="preserve">require a team of about five salespersons, each costing about </w:t>
      </w:r>
      <w:r w:rsidR="004E0552" w:rsidRPr="007E1E49">
        <w:rPr>
          <w:rFonts w:ascii="Arial" w:hAnsi="Arial" w:cs="Arial"/>
          <w:sz w:val="20"/>
          <w:szCs w:val="20"/>
        </w:rPr>
        <w:t>₹</w:t>
      </w:r>
      <w:r w:rsidRPr="007E1E49">
        <w:t xml:space="preserve">30,000 per month, and six technical persons, costing about </w:t>
      </w:r>
      <w:r w:rsidR="004E0552" w:rsidRPr="007E1E49">
        <w:rPr>
          <w:rFonts w:ascii="Arial" w:hAnsi="Arial" w:cs="Arial"/>
          <w:sz w:val="20"/>
          <w:szCs w:val="20"/>
        </w:rPr>
        <w:t>₹</w:t>
      </w:r>
      <w:r w:rsidRPr="007E1E49">
        <w:t xml:space="preserve">300,000 per month in all. It was likely that CampusHash would be able to get </w:t>
      </w:r>
      <w:r w:rsidR="004E0552" w:rsidRPr="007E1E49">
        <w:t xml:space="preserve">eight </w:t>
      </w:r>
      <w:r w:rsidRPr="007E1E49">
        <w:t>recruitment assessment assignments</w:t>
      </w:r>
      <w:r w:rsidR="004E0552" w:rsidRPr="007E1E49">
        <w:t xml:space="preserve"> each month</w:t>
      </w:r>
      <w:r w:rsidRPr="007E1E49">
        <w:t>. In each assignment</w:t>
      </w:r>
      <w:r w:rsidR="004E0552" w:rsidRPr="007E1E49">
        <w:t>,</w:t>
      </w:r>
      <w:r w:rsidRPr="007E1E49">
        <w:t xml:space="preserve"> CampusHash would need to process about 500 job</w:t>
      </w:r>
      <w:r w:rsidR="004E0552" w:rsidRPr="007E1E49">
        <w:t xml:space="preserve"> </w:t>
      </w:r>
      <w:r w:rsidRPr="007E1E49">
        <w:t>candidates</w:t>
      </w:r>
      <w:r w:rsidR="004E0552" w:rsidRPr="007E1E49">
        <w:t>;</w:t>
      </w:r>
      <w:r w:rsidRPr="007E1E49">
        <w:t xml:space="preserve"> it would be able to charge </w:t>
      </w:r>
      <w:r w:rsidR="004E0552" w:rsidRPr="007E1E49">
        <w:rPr>
          <w:rFonts w:ascii="Arial" w:hAnsi="Arial" w:cs="Arial"/>
          <w:sz w:val="20"/>
          <w:szCs w:val="20"/>
        </w:rPr>
        <w:t>₹</w:t>
      </w:r>
      <w:r w:rsidRPr="007E1E49">
        <w:t>200 per candidate for this service. Additionally, CampusHash would be able to get four assignments a month where it would carry out proficiency assessment</w:t>
      </w:r>
      <w:r w:rsidR="00120CE9" w:rsidRPr="007E1E49">
        <w:t>s</w:t>
      </w:r>
      <w:r w:rsidRPr="007E1E49">
        <w:t xml:space="preserve"> of existing technical employees for client IT firms. In each of these assignments, CampusHash would </w:t>
      </w:r>
      <w:r w:rsidR="00120CE9" w:rsidRPr="007E1E49">
        <w:t xml:space="preserve">typically </w:t>
      </w:r>
      <w:r w:rsidRPr="007E1E49">
        <w:t>have to carry out comprehensive assessment</w:t>
      </w:r>
      <w:r w:rsidR="00120CE9" w:rsidRPr="007E1E49">
        <w:t>s</w:t>
      </w:r>
      <w:r w:rsidRPr="007E1E49">
        <w:t xml:space="preserve"> of about 300 employees and would be able to charge the client company </w:t>
      </w:r>
      <w:r w:rsidR="00120CE9" w:rsidRPr="007E1E49">
        <w:rPr>
          <w:rFonts w:ascii="Arial" w:hAnsi="Arial" w:cs="Arial"/>
          <w:sz w:val="20"/>
          <w:szCs w:val="20"/>
        </w:rPr>
        <w:t>₹</w:t>
      </w:r>
      <w:r w:rsidRPr="007E1E49">
        <w:t xml:space="preserve">1,500 per employee assessed. CampusHash estimated that it would have to raise about </w:t>
      </w:r>
      <w:r w:rsidR="00120CE9" w:rsidRPr="007E1E49">
        <w:rPr>
          <w:rFonts w:ascii="Arial" w:hAnsi="Arial" w:cs="Arial"/>
          <w:sz w:val="20"/>
          <w:szCs w:val="20"/>
        </w:rPr>
        <w:t>₹</w:t>
      </w:r>
      <w:r w:rsidR="00120CE9" w:rsidRPr="008C5C6B">
        <w:t>7</w:t>
      </w:r>
      <w:r w:rsidRPr="007E1E49">
        <w:t xml:space="preserve"> million in equity as seed funding to successfully take this option forward.</w:t>
      </w:r>
      <w:r w:rsidR="00120CE9" w:rsidRPr="007E1E49">
        <w:t xml:space="preserve"> </w:t>
      </w:r>
    </w:p>
    <w:p w14:paraId="098E8B97" w14:textId="77777777" w:rsidR="00113BEC" w:rsidRPr="007E1E49" w:rsidRDefault="00113BEC" w:rsidP="00113BEC">
      <w:pPr>
        <w:pStyle w:val="BodyTextMain"/>
      </w:pPr>
    </w:p>
    <w:p w14:paraId="3C8DD25C" w14:textId="3B669A5D" w:rsidR="00113BEC" w:rsidRPr="007E1E49" w:rsidRDefault="00113BEC" w:rsidP="00113BEC">
      <w:pPr>
        <w:pStyle w:val="BodyTextMain"/>
      </w:pPr>
      <w:r w:rsidRPr="007E1E49">
        <w:t xml:space="preserve">While their detailed discussion had given all of them some ideas about what CampusHash could potentially do next, Saurav, </w:t>
      </w:r>
      <w:proofErr w:type="spellStart"/>
      <w:r w:rsidRPr="007E1E49">
        <w:t>Tirkey</w:t>
      </w:r>
      <w:proofErr w:type="spellEnd"/>
      <w:r w:rsidRPr="007E1E49">
        <w:t xml:space="preserve">, and </w:t>
      </w:r>
      <w:proofErr w:type="spellStart"/>
      <w:r w:rsidRPr="007E1E49">
        <w:t>Shirol</w:t>
      </w:r>
      <w:proofErr w:type="spellEnd"/>
      <w:r w:rsidRPr="007E1E49">
        <w:t xml:space="preserve"> were unable to come to a decision within the meeting. Instead, they decided to </w:t>
      </w:r>
      <w:r w:rsidR="00120CE9" w:rsidRPr="007E1E49">
        <w:t>consider</w:t>
      </w:r>
      <w:r w:rsidRPr="007E1E49">
        <w:t xml:space="preserve"> these options for a couple of days and meet again</w:t>
      </w:r>
      <w:r w:rsidR="00120CE9" w:rsidRPr="007E1E49">
        <w:t xml:space="preserve"> </w:t>
      </w:r>
      <w:r w:rsidRPr="007E1E49">
        <w:t xml:space="preserve">to crystallize </w:t>
      </w:r>
      <w:proofErr w:type="spellStart"/>
      <w:r w:rsidRPr="007E1E49">
        <w:t>CampusHash’s</w:t>
      </w:r>
      <w:proofErr w:type="spellEnd"/>
      <w:r w:rsidRPr="007E1E49">
        <w:t xml:space="preserve"> strategy.</w:t>
      </w:r>
    </w:p>
    <w:p w14:paraId="27CBD73C" w14:textId="77777777" w:rsidR="00113BEC" w:rsidRPr="007E1E49" w:rsidRDefault="00113BEC" w:rsidP="00113BEC">
      <w:pPr>
        <w:pStyle w:val="BodyTextMain"/>
      </w:pPr>
    </w:p>
    <w:p w14:paraId="520CDB08" w14:textId="77777777" w:rsidR="00113BEC" w:rsidRPr="007E1E49" w:rsidRDefault="00113BEC" w:rsidP="00113BEC">
      <w:pPr>
        <w:pStyle w:val="BodyTextMain"/>
      </w:pPr>
    </w:p>
    <w:p w14:paraId="523BB1A0" w14:textId="77777777" w:rsidR="00113BEC" w:rsidRPr="007E1E49" w:rsidRDefault="00113BEC" w:rsidP="00113BEC">
      <w:pPr>
        <w:pStyle w:val="Casehead1"/>
      </w:pPr>
      <w:r w:rsidRPr="007E1E49">
        <w:t>Conclusion</w:t>
      </w:r>
    </w:p>
    <w:p w14:paraId="571A1A4B" w14:textId="77777777" w:rsidR="00113BEC" w:rsidRPr="007E1E49" w:rsidRDefault="00113BEC" w:rsidP="00DC661A">
      <w:pPr>
        <w:pStyle w:val="BodyTextMain"/>
      </w:pPr>
    </w:p>
    <w:p w14:paraId="4CA70D35" w14:textId="29974203" w:rsidR="00DC661A" w:rsidRDefault="00113BEC" w:rsidP="00113BEC">
      <w:pPr>
        <w:pStyle w:val="BodyTextMain"/>
      </w:pPr>
      <w:r w:rsidRPr="007E1E49">
        <w:t xml:space="preserve">As their cab </w:t>
      </w:r>
      <w:r w:rsidR="001A474C">
        <w:t>wove</w:t>
      </w:r>
      <w:r w:rsidRPr="007E1E49">
        <w:t xml:space="preserve"> through the evening traffic, Saurav and </w:t>
      </w:r>
      <w:proofErr w:type="spellStart"/>
      <w:r w:rsidRPr="007E1E49">
        <w:t>Tirkey</w:t>
      </w:r>
      <w:proofErr w:type="spellEnd"/>
      <w:r w:rsidRPr="007E1E49">
        <w:t xml:space="preserve"> continued to reflect on the difficult and urgent strategic decisions that lay ahead. They realized that their success </w:t>
      </w:r>
      <w:r w:rsidR="00120CE9" w:rsidRPr="007E1E49">
        <w:t xml:space="preserve">at </w:t>
      </w:r>
      <w:r w:rsidRPr="007E1E49">
        <w:t xml:space="preserve">their upcoming meeting with the potential angel investor depended on their ability to showcase a business plan that was both ambitious </w:t>
      </w:r>
      <w:r w:rsidR="00120CE9" w:rsidRPr="007E1E49">
        <w:t>and</w:t>
      </w:r>
      <w:r w:rsidRPr="007E1E49">
        <w:t xml:space="preserve"> practical. </w:t>
      </w:r>
    </w:p>
    <w:p w14:paraId="717C8CDF" w14:textId="2ACC4009" w:rsidR="00FE7591" w:rsidRPr="00F4545E" w:rsidRDefault="00FE7591" w:rsidP="00F4545E">
      <w:pPr>
        <w:pStyle w:val="BodyTextMain"/>
      </w:pPr>
      <w:r w:rsidRPr="00F4545E">
        <mc:AlternateContent>
          <mc:Choice Requires="wps">
            <w:drawing>
              <wp:anchor distT="45720" distB="45720" distL="114300" distR="114300" simplePos="0" relativeHeight="251659264" behindDoc="0" locked="0" layoutInCell="1" allowOverlap="1" wp14:anchorId="3CA292AB" wp14:editId="663A53C9">
                <wp:simplePos x="0" y="0"/>
                <wp:positionH relativeFrom="margin">
                  <wp:align>center</wp:align>
                </wp:positionH>
                <wp:positionV relativeFrom="paragraph">
                  <wp:posOffset>251460</wp:posOffset>
                </wp:positionV>
                <wp:extent cx="5943600" cy="1404620"/>
                <wp:effectExtent l="0" t="0" r="1905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solidFill>
                            <a:srgbClr val="000000"/>
                          </a:solidFill>
                          <a:miter lim="800000"/>
                          <a:headEnd/>
                          <a:tailEnd/>
                        </a:ln>
                      </wps:spPr>
                      <wps:txbx>
                        <w:txbxContent>
                          <w:p w14:paraId="2F840CF8" w14:textId="0E305267" w:rsidR="00FE7591" w:rsidRDefault="00FE7591" w:rsidP="00FE7591">
                            <w:pPr>
                              <w:pStyle w:val="Footnote"/>
                              <w:jc w:val="center"/>
                            </w:pPr>
                            <w:r w:rsidRPr="00FE7591">
                              <w:t xml:space="preserve">Atul Arun Pathak </w:t>
                            </w:r>
                            <w:r>
                              <w:t>and Saroj Kumar Pani are</w:t>
                            </w:r>
                            <w:r w:rsidRPr="00FE7591">
                              <w:t xml:space="preserve"> Associate Professor</w:t>
                            </w:r>
                            <w:r>
                              <w:t>s</w:t>
                            </w:r>
                            <w:r w:rsidRPr="00FE7591">
                              <w:t xml:space="preserve"> in the Strategy and Entrepreneurship </w:t>
                            </w:r>
                            <w:r>
                              <w:t>a</w:t>
                            </w:r>
                            <w:r w:rsidRPr="00FE7591">
                              <w:t>rea at the Indian Institute of Management</w:t>
                            </w:r>
                            <w:r>
                              <w:t xml:space="preserve">, </w:t>
                            </w:r>
                            <w:r w:rsidRPr="00FE7591">
                              <w:t>Nagpur,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A292AB" id="_x0000_t202" coordsize="21600,21600" o:spt="202" path="m,l,21600r21600,l21600,xe">
                <v:stroke joinstyle="miter"/>
                <v:path gradientshapeok="t" o:connecttype="rect"/>
              </v:shapetype>
              <v:shape id="Text Box 2" o:spid="_x0000_s1026" type="#_x0000_t202" style="position:absolute;left:0;text-align:left;margin-left:0;margin-top:19.8pt;width:46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" filled="f">
                <v:textbox style="mso-fit-shape-to-text:t">
                  <w:txbxContent>
                    <w:p w14:paraId="2F840CF8" w14:textId="0E305267" w:rsidR="00FE7591" w:rsidRDefault="00FE7591" w:rsidP="00FE7591">
                      <w:pPr>
                        <w:pStyle w:val="Footnote"/>
                        <w:jc w:val="center"/>
                      </w:pPr>
                      <w:r w:rsidRPr="00FE7591">
                        <w:t xml:space="preserve">Atul Arun Pathak </w:t>
                      </w:r>
                      <w:r>
                        <w:t>and Saroj Kumar Pani are</w:t>
                      </w:r>
                      <w:r w:rsidRPr="00FE7591">
                        <w:t xml:space="preserve"> Associate Professor</w:t>
                      </w:r>
                      <w:r>
                        <w:t>s</w:t>
                      </w:r>
                      <w:r w:rsidRPr="00FE7591">
                        <w:t xml:space="preserve"> in the Strategy and Entrepreneurship </w:t>
                      </w:r>
                      <w:r>
                        <w:t>a</w:t>
                      </w:r>
                      <w:r w:rsidRPr="00FE7591">
                        <w:t>rea at the Indian Institute of Management</w:t>
                      </w:r>
                      <w:r>
                        <w:t xml:space="preserve">, </w:t>
                      </w:r>
                      <w:r w:rsidRPr="00FE7591">
                        <w:t>Nagpur, India.</w:t>
                      </w:r>
                    </w:p>
                  </w:txbxContent>
                </v:textbox>
                <w10:wrap type="topAndBottom" anchorx="margin"/>
              </v:shape>
            </w:pict>
          </mc:Fallback>
        </mc:AlternateContent>
      </w:r>
    </w:p>
    <w:p w14:paraId="61BA7223" w14:textId="5F9BEAAD" w:rsidR="00FE7591" w:rsidRPr="007E1E49" w:rsidRDefault="00FE7591" w:rsidP="00113BEC">
      <w:pPr>
        <w:pStyle w:val="BodyTextMain"/>
      </w:pPr>
    </w:p>
    <w:p w14:paraId="57D6C730" w14:textId="77777777" w:rsidR="00DC661A" w:rsidRPr="007E1E49" w:rsidRDefault="00DC661A">
      <w:pPr>
        <w:spacing w:after="200" w:line="276" w:lineRule="auto"/>
        <w:rPr>
          <w:sz w:val="22"/>
          <w:szCs w:val="22"/>
        </w:rPr>
      </w:pPr>
      <w:r w:rsidRPr="007E1E49">
        <w:br w:type="page"/>
      </w:r>
    </w:p>
    <w:p w14:paraId="65A472BF" w14:textId="295353B5" w:rsidR="00DC661A" w:rsidRPr="007E1E49" w:rsidRDefault="00DC661A" w:rsidP="00DC661A">
      <w:pPr>
        <w:pStyle w:val="ExhibitHeading"/>
      </w:pPr>
      <w:r w:rsidRPr="007E1E49">
        <w:lastRenderedPageBreak/>
        <w:t>Exhibit 1: indian It</w:t>
      </w:r>
      <w:r w:rsidR="00AF771E" w:rsidRPr="007E1E49">
        <w:t xml:space="preserve">–business process outsourcing </w:t>
      </w:r>
      <w:r w:rsidRPr="007E1E49">
        <w:t>sector</w:t>
      </w:r>
      <w:r w:rsidR="00E90EB2">
        <w:t>,</w:t>
      </w:r>
      <w:r w:rsidRPr="007E1E49">
        <w:t xml:space="preserve"> </w:t>
      </w:r>
      <w:r w:rsidR="00AF771E" w:rsidRPr="007E1E49">
        <w:t>export revenues</w:t>
      </w:r>
    </w:p>
    <w:p w14:paraId="70D30251" w14:textId="77777777" w:rsidR="00DC661A" w:rsidRPr="007E1E49" w:rsidRDefault="00DC661A" w:rsidP="002A25A6">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1"/>
        <w:gridCol w:w="1213"/>
        <w:gridCol w:w="1214"/>
        <w:gridCol w:w="1214"/>
        <w:gridCol w:w="1214"/>
        <w:gridCol w:w="1214"/>
      </w:tblGrid>
      <w:tr w:rsidR="00DC661A" w:rsidRPr="007E1E49" w14:paraId="0D2B4D29" w14:textId="77777777" w:rsidTr="00622132">
        <w:trPr>
          <w:trHeight w:val="288"/>
          <w:jc w:val="center"/>
        </w:trPr>
        <w:tc>
          <w:tcPr>
            <w:tcW w:w="3239" w:type="dxa"/>
            <w:tcBorders>
              <w:top w:val="single" w:sz="4" w:space="0" w:color="auto"/>
              <w:bottom w:val="single" w:sz="12" w:space="0" w:color="auto"/>
            </w:tcBorders>
            <w:vAlign w:val="center"/>
          </w:tcPr>
          <w:p w14:paraId="6A0CE412" w14:textId="77777777" w:rsidR="00DC661A" w:rsidRPr="007E1E49" w:rsidRDefault="00DC661A" w:rsidP="00AB495F">
            <w:pPr>
              <w:pStyle w:val="ExhibitText"/>
            </w:pPr>
          </w:p>
        </w:tc>
        <w:tc>
          <w:tcPr>
            <w:tcW w:w="1194" w:type="dxa"/>
            <w:tcBorders>
              <w:top w:val="single" w:sz="4" w:space="0" w:color="auto"/>
              <w:bottom w:val="single" w:sz="12" w:space="0" w:color="auto"/>
            </w:tcBorders>
            <w:vAlign w:val="center"/>
          </w:tcPr>
          <w:p w14:paraId="0B96701E" w14:textId="77777777" w:rsidR="00DC661A" w:rsidRPr="007E1E49" w:rsidRDefault="00DC661A" w:rsidP="008C5C6B">
            <w:pPr>
              <w:pStyle w:val="ExhibitText"/>
              <w:jc w:val="center"/>
              <w:rPr>
                <w:b/>
              </w:rPr>
            </w:pPr>
            <w:r w:rsidRPr="007E1E49">
              <w:rPr>
                <w:b/>
              </w:rPr>
              <w:t>FY2013</w:t>
            </w:r>
          </w:p>
        </w:tc>
        <w:tc>
          <w:tcPr>
            <w:tcW w:w="1194" w:type="dxa"/>
            <w:tcBorders>
              <w:top w:val="single" w:sz="4" w:space="0" w:color="auto"/>
              <w:bottom w:val="single" w:sz="12" w:space="0" w:color="auto"/>
            </w:tcBorders>
            <w:vAlign w:val="center"/>
          </w:tcPr>
          <w:p w14:paraId="2557DFC1" w14:textId="77777777" w:rsidR="00DC661A" w:rsidRPr="007E1E49" w:rsidRDefault="00DC661A" w:rsidP="008C5C6B">
            <w:pPr>
              <w:pStyle w:val="ExhibitText"/>
              <w:jc w:val="center"/>
              <w:rPr>
                <w:b/>
              </w:rPr>
            </w:pPr>
            <w:r w:rsidRPr="007E1E49">
              <w:rPr>
                <w:b/>
              </w:rPr>
              <w:t>FY2014</w:t>
            </w:r>
          </w:p>
        </w:tc>
        <w:tc>
          <w:tcPr>
            <w:tcW w:w="1194" w:type="dxa"/>
            <w:tcBorders>
              <w:top w:val="single" w:sz="4" w:space="0" w:color="auto"/>
              <w:bottom w:val="single" w:sz="12" w:space="0" w:color="auto"/>
            </w:tcBorders>
            <w:vAlign w:val="center"/>
          </w:tcPr>
          <w:p w14:paraId="372FB313" w14:textId="77777777" w:rsidR="00DC661A" w:rsidRPr="007E1E49" w:rsidRDefault="00DC661A" w:rsidP="008C5C6B">
            <w:pPr>
              <w:pStyle w:val="ExhibitText"/>
              <w:jc w:val="center"/>
              <w:rPr>
                <w:b/>
              </w:rPr>
            </w:pPr>
            <w:r w:rsidRPr="007E1E49">
              <w:rPr>
                <w:b/>
              </w:rPr>
              <w:t>FY2015</w:t>
            </w:r>
          </w:p>
        </w:tc>
        <w:tc>
          <w:tcPr>
            <w:tcW w:w="1194" w:type="dxa"/>
            <w:tcBorders>
              <w:top w:val="single" w:sz="4" w:space="0" w:color="auto"/>
              <w:bottom w:val="single" w:sz="12" w:space="0" w:color="auto"/>
            </w:tcBorders>
            <w:vAlign w:val="center"/>
          </w:tcPr>
          <w:p w14:paraId="3BF5B014" w14:textId="77777777" w:rsidR="00DC661A" w:rsidRPr="007E1E49" w:rsidRDefault="00DC661A" w:rsidP="008C5C6B">
            <w:pPr>
              <w:pStyle w:val="ExhibitText"/>
              <w:jc w:val="center"/>
              <w:rPr>
                <w:b/>
              </w:rPr>
            </w:pPr>
            <w:r w:rsidRPr="007E1E49">
              <w:rPr>
                <w:b/>
              </w:rPr>
              <w:t>FY2016</w:t>
            </w:r>
            <w:r w:rsidRPr="007E1E49">
              <w:rPr>
                <w:b/>
                <w:vertAlign w:val="superscript"/>
              </w:rPr>
              <w:t>E</w:t>
            </w:r>
          </w:p>
        </w:tc>
        <w:tc>
          <w:tcPr>
            <w:tcW w:w="1194" w:type="dxa"/>
            <w:tcBorders>
              <w:top w:val="single" w:sz="4" w:space="0" w:color="auto"/>
              <w:bottom w:val="single" w:sz="12" w:space="0" w:color="auto"/>
            </w:tcBorders>
            <w:vAlign w:val="center"/>
          </w:tcPr>
          <w:p w14:paraId="5B70B061" w14:textId="77777777" w:rsidR="00DC661A" w:rsidRPr="007E1E49" w:rsidRDefault="00DC661A" w:rsidP="008C5C6B">
            <w:pPr>
              <w:pStyle w:val="ExhibitText"/>
              <w:jc w:val="center"/>
              <w:rPr>
                <w:b/>
              </w:rPr>
            </w:pPr>
            <w:r w:rsidRPr="007E1E49">
              <w:rPr>
                <w:b/>
              </w:rPr>
              <w:t>FY2017</w:t>
            </w:r>
            <w:r w:rsidRPr="007E1E49">
              <w:rPr>
                <w:b/>
                <w:vertAlign w:val="superscript"/>
              </w:rPr>
              <w:t>P</w:t>
            </w:r>
          </w:p>
        </w:tc>
      </w:tr>
      <w:tr w:rsidR="00DC661A" w:rsidRPr="007E1E49" w14:paraId="49601664" w14:textId="77777777" w:rsidTr="009F2D1B">
        <w:trPr>
          <w:trHeight w:val="288"/>
          <w:jc w:val="center"/>
        </w:trPr>
        <w:tc>
          <w:tcPr>
            <w:tcW w:w="3239" w:type="dxa"/>
            <w:tcBorders>
              <w:top w:val="single" w:sz="12" w:space="0" w:color="auto"/>
            </w:tcBorders>
            <w:vAlign w:val="center"/>
          </w:tcPr>
          <w:p w14:paraId="513BE227" w14:textId="53337A38" w:rsidR="00DC661A" w:rsidRPr="007E1E49" w:rsidRDefault="00DC661A">
            <w:pPr>
              <w:pStyle w:val="ExhibitText"/>
            </w:pPr>
            <w:r w:rsidRPr="007E1E49">
              <w:t xml:space="preserve">Export </w:t>
            </w:r>
            <w:r w:rsidR="00AF771E" w:rsidRPr="007E1E49">
              <w:t xml:space="preserve">Revenues </w:t>
            </w:r>
            <w:r w:rsidRPr="007E1E49">
              <w:t xml:space="preserve">(in </w:t>
            </w:r>
            <w:r w:rsidR="00AF771E" w:rsidRPr="007E1E49">
              <w:t>US$ b</w:t>
            </w:r>
            <w:r w:rsidRPr="007E1E49">
              <w:t>illion</w:t>
            </w:r>
            <w:r w:rsidR="00AF771E" w:rsidRPr="007E1E49">
              <w:t>s</w:t>
            </w:r>
            <w:r w:rsidRPr="007E1E49">
              <w:t>)</w:t>
            </w:r>
          </w:p>
        </w:tc>
        <w:tc>
          <w:tcPr>
            <w:tcW w:w="1194" w:type="dxa"/>
            <w:tcBorders>
              <w:top w:val="single" w:sz="12" w:space="0" w:color="auto"/>
            </w:tcBorders>
            <w:vAlign w:val="center"/>
          </w:tcPr>
          <w:p w14:paraId="015FDE38" w14:textId="77777777" w:rsidR="00DC661A" w:rsidRPr="009F2D1B" w:rsidRDefault="00DC661A" w:rsidP="009F2D1B">
            <w:pPr>
              <w:pStyle w:val="ExhibitNumber"/>
              <w:rPr>
                <w:b w:val="0"/>
                <w:bCs/>
              </w:rPr>
            </w:pPr>
            <w:r w:rsidRPr="009F2D1B">
              <w:rPr>
                <w:b w:val="0"/>
                <w:bCs/>
              </w:rPr>
              <w:t>76</w:t>
            </w:r>
          </w:p>
        </w:tc>
        <w:tc>
          <w:tcPr>
            <w:tcW w:w="1194" w:type="dxa"/>
            <w:tcBorders>
              <w:top w:val="single" w:sz="12" w:space="0" w:color="auto"/>
            </w:tcBorders>
            <w:vAlign w:val="center"/>
          </w:tcPr>
          <w:p w14:paraId="55DCBAF9" w14:textId="77777777" w:rsidR="00DC661A" w:rsidRPr="009F2D1B" w:rsidRDefault="00DC661A" w:rsidP="009F2D1B">
            <w:pPr>
              <w:pStyle w:val="ExhibitNumber"/>
              <w:rPr>
                <w:b w:val="0"/>
                <w:bCs/>
              </w:rPr>
            </w:pPr>
            <w:r w:rsidRPr="009F2D1B">
              <w:rPr>
                <w:b w:val="0"/>
                <w:bCs/>
              </w:rPr>
              <w:t>86</w:t>
            </w:r>
          </w:p>
        </w:tc>
        <w:tc>
          <w:tcPr>
            <w:tcW w:w="1194" w:type="dxa"/>
            <w:tcBorders>
              <w:top w:val="single" w:sz="12" w:space="0" w:color="auto"/>
            </w:tcBorders>
            <w:vAlign w:val="center"/>
          </w:tcPr>
          <w:p w14:paraId="0FFDB7E1" w14:textId="77777777" w:rsidR="00DC661A" w:rsidRPr="009F2D1B" w:rsidRDefault="00DC661A" w:rsidP="009F2D1B">
            <w:pPr>
              <w:pStyle w:val="ExhibitNumber"/>
              <w:rPr>
                <w:b w:val="0"/>
                <w:bCs/>
              </w:rPr>
            </w:pPr>
            <w:r w:rsidRPr="009F2D1B">
              <w:rPr>
                <w:b w:val="0"/>
                <w:bCs/>
              </w:rPr>
              <w:t>99</w:t>
            </w:r>
          </w:p>
        </w:tc>
        <w:tc>
          <w:tcPr>
            <w:tcW w:w="1194" w:type="dxa"/>
            <w:tcBorders>
              <w:top w:val="single" w:sz="12" w:space="0" w:color="auto"/>
            </w:tcBorders>
            <w:vAlign w:val="center"/>
          </w:tcPr>
          <w:p w14:paraId="1383F461" w14:textId="77777777" w:rsidR="00DC661A" w:rsidRPr="009F2D1B" w:rsidRDefault="00DC661A" w:rsidP="009F2D1B">
            <w:pPr>
              <w:pStyle w:val="ExhibitNumber"/>
              <w:rPr>
                <w:b w:val="0"/>
                <w:bCs/>
              </w:rPr>
            </w:pPr>
            <w:r w:rsidRPr="009F2D1B">
              <w:rPr>
                <w:b w:val="0"/>
                <w:bCs/>
              </w:rPr>
              <w:t>108</w:t>
            </w:r>
          </w:p>
        </w:tc>
        <w:tc>
          <w:tcPr>
            <w:tcW w:w="1194" w:type="dxa"/>
            <w:tcBorders>
              <w:top w:val="single" w:sz="12" w:space="0" w:color="auto"/>
            </w:tcBorders>
            <w:vAlign w:val="center"/>
          </w:tcPr>
          <w:p w14:paraId="4842E536" w14:textId="77777777" w:rsidR="00DC661A" w:rsidRPr="009F2D1B" w:rsidRDefault="00DC661A" w:rsidP="009F2D1B">
            <w:pPr>
              <w:pStyle w:val="ExhibitNumber"/>
              <w:rPr>
                <w:b w:val="0"/>
                <w:bCs/>
              </w:rPr>
            </w:pPr>
            <w:r w:rsidRPr="009F2D1B">
              <w:rPr>
                <w:b w:val="0"/>
                <w:bCs/>
              </w:rPr>
              <w:t>120</w:t>
            </w:r>
          </w:p>
        </w:tc>
      </w:tr>
    </w:tbl>
    <w:p w14:paraId="0647E900" w14:textId="77777777" w:rsidR="00DC661A" w:rsidRPr="007E1E49" w:rsidRDefault="00DC661A" w:rsidP="009F2D1B">
      <w:pPr>
        <w:pStyle w:val="ExhibitText"/>
      </w:pPr>
    </w:p>
    <w:p w14:paraId="0FC26358" w14:textId="446E26D3" w:rsidR="00DC661A" w:rsidRPr="007E1E49" w:rsidRDefault="00DC661A" w:rsidP="008C5C6B">
      <w:pPr>
        <w:pStyle w:val="Footnote"/>
      </w:pPr>
      <w:r w:rsidRPr="007E1E49">
        <w:t xml:space="preserve">Note: </w:t>
      </w:r>
      <w:r w:rsidR="00E90EB2">
        <w:t xml:space="preserve">E = estimate; P = projection; </w:t>
      </w:r>
      <w:r w:rsidR="00F4545E">
        <w:t xml:space="preserve">FY = Fiscal Year; </w:t>
      </w:r>
      <w:r w:rsidR="00E90EB2">
        <w:t>t</w:t>
      </w:r>
      <w:r w:rsidR="004506B5" w:rsidRPr="007E1E49">
        <w:t xml:space="preserve">he value </w:t>
      </w:r>
      <w:r w:rsidRPr="007E1E49">
        <w:t xml:space="preserve">for FY2016 </w:t>
      </w:r>
      <w:r w:rsidR="004506B5" w:rsidRPr="007E1E49">
        <w:t xml:space="preserve">was </w:t>
      </w:r>
      <w:r w:rsidRPr="007E1E49">
        <w:t xml:space="preserve">an estimate and that for FY2017 </w:t>
      </w:r>
      <w:r w:rsidR="004506B5" w:rsidRPr="007E1E49">
        <w:t xml:space="preserve">was </w:t>
      </w:r>
      <w:r w:rsidRPr="007E1E49">
        <w:t>a projection.</w:t>
      </w:r>
    </w:p>
    <w:p w14:paraId="0BA610D0" w14:textId="553F8C37" w:rsidR="00DC661A" w:rsidRPr="007E1E49" w:rsidRDefault="00DC661A" w:rsidP="00DC661A">
      <w:pPr>
        <w:pStyle w:val="Footnote"/>
        <w:rPr>
          <w:b/>
          <w:caps/>
        </w:rPr>
      </w:pPr>
      <w:r w:rsidRPr="007E1E49">
        <w:t xml:space="preserve">Source: </w:t>
      </w:r>
      <w:r w:rsidR="00AF771E" w:rsidRPr="007E1E49">
        <w:t xml:space="preserve">Adapted from </w:t>
      </w:r>
      <w:r w:rsidRPr="007E1E49">
        <w:t xml:space="preserve">IBEF India, </w:t>
      </w:r>
      <w:r w:rsidRPr="008C5C6B">
        <w:rPr>
          <w:i/>
        </w:rPr>
        <w:t xml:space="preserve">IT &amp; </w:t>
      </w:r>
      <w:proofErr w:type="spellStart"/>
      <w:r w:rsidRPr="008C5C6B">
        <w:rPr>
          <w:i/>
        </w:rPr>
        <w:t>ITeS</w:t>
      </w:r>
      <w:proofErr w:type="spellEnd"/>
      <w:r w:rsidRPr="007E1E49">
        <w:t>, January 2017</w:t>
      </w:r>
      <w:r w:rsidR="00AF771E" w:rsidRPr="007E1E49">
        <w:t xml:space="preserve">, </w:t>
      </w:r>
      <w:r w:rsidR="00E90EB2" w:rsidRPr="007E1E49">
        <w:t>35,</w:t>
      </w:r>
      <w:r w:rsidR="00E90EB2">
        <w:t xml:space="preserve"> </w:t>
      </w:r>
      <w:r w:rsidRPr="007E1E49">
        <w:t xml:space="preserve">accessed June 28, </w:t>
      </w:r>
      <w:r w:rsidR="002A25A6" w:rsidRPr="007E1E49">
        <w:t xml:space="preserve">2018, </w:t>
      </w:r>
      <w:r w:rsidRPr="007E1E49">
        <w:t>www.ibef.org/download/IT-and-ITeS-January-2017.pdf.</w:t>
      </w:r>
    </w:p>
    <w:p w14:paraId="7CDFB361" w14:textId="77777777" w:rsidR="00DC661A" w:rsidRPr="007E1E49" w:rsidRDefault="00DC661A" w:rsidP="00DC661A">
      <w:pPr>
        <w:pStyle w:val="ExhibitText"/>
        <w:rPr>
          <w:b/>
          <w:caps/>
        </w:rPr>
      </w:pPr>
    </w:p>
    <w:p w14:paraId="2CF19CCE" w14:textId="77777777" w:rsidR="00DC661A" w:rsidRPr="007E1E49" w:rsidRDefault="00DC661A" w:rsidP="00DC661A">
      <w:pPr>
        <w:pStyle w:val="ExhibitText"/>
        <w:rPr>
          <w:b/>
          <w:caps/>
        </w:rPr>
      </w:pPr>
    </w:p>
    <w:p w14:paraId="4410B2C6" w14:textId="77777777" w:rsidR="00E90EB2" w:rsidRDefault="00DC661A" w:rsidP="00DC661A">
      <w:pPr>
        <w:pStyle w:val="ExhibitHeading"/>
      </w:pPr>
      <w:r w:rsidRPr="007E1E49">
        <w:t xml:space="preserve">Exhibit 2: </w:t>
      </w:r>
      <w:r w:rsidR="00AF771E" w:rsidRPr="007E1E49">
        <w:t>INDIAN IT–BUSINESS PROCESS OUTSOURCING SECTOR</w:t>
      </w:r>
      <w:r w:rsidR="00E90EB2">
        <w:t>,</w:t>
      </w:r>
      <w:r w:rsidR="00AF771E" w:rsidRPr="007E1E49">
        <w:t xml:space="preserve"> revenue sources</w:t>
      </w:r>
    </w:p>
    <w:p w14:paraId="4C195B62" w14:textId="640CE818" w:rsidR="00DC661A" w:rsidRPr="007E1E49" w:rsidRDefault="00E90EB2" w:rsidP="00DC661A">
      <w:pPr>
        <w:pStyle w:val="ExhibitHeading"/>
      </w:pPr>
      <w:r>
        <w:t>(</w:t>
      </w:r>
      <w:r w:rsidR="00DC661A" w:rsidRPr="007E1E49">
        <w:t>FY</w:t>
      </w:r>
      <w:r w:rsidR="00AF771E" w:rsidRPr="007E1E49">
        <w:t xml:space="preserve"> </w:t>
      </w:r>
      <w:r w:rsidR="00DC661A" w:rsidRPr="007E1E49">
        <w:t>2015</w:t>
      </w:r>
      <w:r>
        <w:t xml:space="preserve">, </w:t>
      </w:r>
      <w:r w:rsidR="00AF771E" w:rsidRPr="007E1E49">
        <w:t xml:space="preserve">in US$ </w:t>
      </w:r>
      <w:r w:rsidR="00DC661A" w:rsidRPr="007E1E49">
        <w:t>Billion</w:t>
      </w:r>
      <w:r w:rsidR="00AF771E" w:rsidRPr="007E1E49">
        <w:t>s</w:t>
      </w:r>
      <w:r w:rsidR="00DC661A" w:rsidRPr="007E1E49">
        <w:t>)</w:t>
      </w:r>
    </w:p>
    <w:p w14:paraId="03D3A28F" w14:textId="77777777" w:rsidR="00DC661A" w:rsidRPr="007E1E49" w:rsidRDefault="00DC661A" w:rsidP="002A25A6">
      <w:pPr>
        <w:pStyle w:val="ExhibitText"/>
      </w:pPr>
    </w:p>
    <w:tbl>
      <w:tblPr>
        <w:tblStyle w:val="TableGrid"/>
        <w:tblW w:w="9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gridCol w:w="2048"/>
        <w:gridCol w:w="2049"/>
      </w:tblGrid>
      <w:tr w:rsidR="00DC661A" w:rsidRPr="007E1E49" w14:paraId="3FDACCC4" w14:textId="77777777" w:rsidTr="00622132">
        <w:trPr>
          <w:trHeight w:val="288"/>
          <w:tblHeader/>
        </w:trPr>
        <w:tc>
          <w:tcPr>
            <w:tcW w:w="5098" w:type="dxa"/>
            <w:tcBorders>
              <w:top w:val="single" w:sz="4" w:space="0" w:color="auto"/>
              <w:bottom w:val="single" w:sz="12" w:space="0" w:color="auto"/>
            </w:tcBorders>
            <w:vAlign w:val="center"/>
          </w:tcPr>
          <w:p w14:paraId="69100743" w14:textId="77777777" w:rsidR="00DC661A" w:rsidRPr="007E1E49" w:rsidRDefault="00DC661A" w:rsidP="00AB495F">
            <w:pPr>
              <w:pStyle w:val="ExhibitText"/>
              <w:rPr>
                <w:b/>
              </w:rPr>
            </w:pPr>
            <w:r w:rsidRPr="007E1E49">
              <w:rPr>
                <w:b/>
              </w:rPr>
              <w:t>Segment</w:t>
            </w:r>
          </w:p>
        </w:tc>
        <w:tc>
          <w:tcPr>
            <w:tcW w:w="1984" w:type="dxa"/>
            <w:tcBorders>
              <w:top w:val="single" w:sz="4" w:space="0" w:color="auto"/>
              <w:bottom w:val="single" w:sz="12" w:space="0" w:color="auto"/>
            </w:tcBorders>
            <w:vAlign w:val="center"/>
          </w:tcPr>
          <w:p w14:paraId="26F381D6" w14:textId="77777777" w:rsidR="00DC661A" w:rsidRPr="007E1E49" w:rsidRDefault="00DC661A" w:rsidP="00AB495F">
            <w:pPr>
              <w:pStyle w:val="ExhibitText"/>
              <w:jc w:val="center"/>
              <w:rPr>
                <w:b/>
              </w:rPr>
            </w:pPr>
            <w:r w:rsidRPr="007E1E49">
              <w:rPr>
                <w:b/>
              </w:rPr>
              <w:t>Domestic</w:t>
            </w:r>
          </w:p>
        </w:tc>
        <w:tc>
          <w:tcPr>
            <w:tcW w:w="1985" w:type="dxa"/>
            <w:tcBorders>
              <w:top w:val="single" w:sz="4" w:space="0" w:color="auto"/>
              <w:bottom w:val="single" w:sz="12" w:space="0" w:color="auto"/>
            </w:tcBorders>
            <w:vAlign w:val="center"/>
          </w:tcPr>
          <w:p w14:paraId="66C8C92E" w14:textId="77777777" w:rsidR="00DC661A" w:rsidRPr="007E1E49" w:rsidRDefault="00DC661A" w:rsidP="00AB495F">
            <w:pPr>
              <w:pStyle w:val="ExhibitText"/>
              <w:jc w:val="center"/>
              <w:rPr>
                <w:b/>
              </w:rPr>
            </w:pPr>
            <w:r w:rsidRPr="007E1E49">
              <w:rPr>
                <w:b/>
              </w:rPr>
              <w:t>Exports</w:t>
            </w:r>
          </w:p>
        </w:tc>
      </w:tr>
      <w:tr w:rsidR="00DC661A" w:rsidRPr="007E1E49" w14:paraId="66032A32" w14:textId="77777777" w:rsidTr="00622132">
        <w:trPr>
          <w:trHeight w:val="288"/>
        </w:trPr>
        <w:tc>
          <w:tcPr>
            <w:tcW w:w="5098" w:type="dxa"/>
            <w:tcBorders>
              <w:top w:val="single" w:sz="12" w:space="0" w:color="auto"/>
            </w:tcBorders>
            <w:vAlign w:val="center"/>
          </w:tcPr>
          <w:p w14:paraId="47EE59FD" w14:textId="0117EB0F" w:rsidR="00DC661A" w:rsidRPr="007E1E49" w:rsidRDefault="00DC661A">
            <w:pPr>
              <w:pStyle w:val="ExhibitText"/>
            </w:pPr>
            <w:r w:rsidRPr="007E1E49">
              <w:t xml:space="preserve">IT </w:t>
            </w:r>
            <w:r w:rsidR="00AF771E" w:rsidRPr="007E1E49">
              <w:t>Services</w:t>
            </w:r>
          </w:p>
        </w:tc>
        <w:tc>
          <w:tcPr>
            <w:tcW w:w="1984" w:type="dxa"/>
            <w:tcBorders>
              <w:top w:val="single" w:sz="12" w:space="0" w:color="auto"/>
            </w:tcBorders>
            <w:vAlign w:val="center"/>
          </w:tcPr>
          <w:p w14:paraId="1DFF1023" w14:textId="77777777" w:rsidR="00DC661A" w:rsidRPr="009D3814" w:rsidRDefault="00DC661A" w:rsidP="009D3814">
            <w:pPr>
              <w:pStyle w:val="ExhibitNumber"/>
              <w:ind w:right="288"/>
              <w:jc w:val="right"/>
              <w:rPr>
                <w:b w:val="0"/>
                <w:bCs/>
              </w:rPr>
            </w:pPr>
            <w:r w:rsidRPr="009D3814">
              <w:rPr>
                <w:b w:val="0"/>
                <w:bCs/>
              </w:rPr>
              <w:t>13.0</w:t>
            </w:r>
          </w:p>
        </w:tc>
        <w:tc>
          <w:tcPr>
            <w:tcW w:w="1985" w:type="dxa"/>
            <w:tcBorders>
              <w:top w:val="single" w:sz="12" w:space="0" w:color="auto"/>
            </w:tcBorders>
            <w:vAlign w:val="center"/>
          </w:tcPr>
          <w:p w14:paraId="5D1ABE4B" w14:textId="77777777" w:rsidR="00DC661A" w:rsidRPr="009D3814" w:rsidRDefault="00DC661A" w:rsidP="009D3814">
            <w:pPr>
              <w:pStyle w:val="ExhibitNumber"/>
              <w:ind w:right="288"/>
              <w:jc w:val="right"/>
              <w:rPr>
                <w:b w:val="0"/>
                <w:bCs/>
              </w:rPr>
            </w:pPr>
            <w:r w:rsidRPr="009D3814">
              <w:rPr>
                <w:b w:val="0"/>
                <w:bCs/>
              </w:rPr>
              <w:t>55.0</w:t>
            </w:r>
          </w:p>
        </w:tc>
      </w:tr>
      <w:tr w:rsidR="00DC661A" w:rsidRPr="007E1E49" w14:paraId="6F46213B" w14:textId="77777777" w:rsidTr="00622132">
        <w:trPr>
          <w:trHeight w:val="288"/>
        </w:trPr>
        <w:tc>
          <w:tcPr>
            <w:tcW w:w="5098" w:type="dxa"/>
            <w:vAlign w:val="center"/>
          </w:tcPr>
          <w:p w14:paraId="2276B009" w14:textId="0069476E" w:rsidR="00DC661A" w:rsidRPr="007E1E49" w:rsidRDefault="00DC661A" w:rsidP="00E529C4">
            <w:pPr>
              <w:pStyle w:val="ExhibitText"/>
            </w:pPr>
            <w:r w:rsidRPr="007E1E49">
              <w:t xml:space="preserve">Business </w:t>
            </w:r>
            <w:r w:rsidR="00AF771E" w:rsidRPr="007E1E49">
              <w:t xml:space="preserve">Process Management </w:t>
            </w:r>
            <w:r w:rsidRPr="007E1E49">
              <w:t>(BPM)</w:t>
            </w:r>
          </w:p>
        </w:tc>
        <w:tc>
          <w:tcPr>
            <w:tcW w:w="1984" w:type="dxa"/>
            <w:vAlign w:val="center"/>
          </w:tcPr>
          <w:p w14:paraId="3E4C0404" w14:textId="77777777" w:rsidR="00DC661A" w:rsidRPr="009D3814" w:rsidRDefault="00DC661A" w:rsidP="009D3814">
            <w:pPr>
              <w:pStyle w:val="ExhibitNumber"/>
              <w:ind w:right="288"/>
              <w:jc w:val="right"/>
              <w:rPr>
                <w:b w:val="0"/>
                <w:bCs/>
              </w:rPr>
            </w:pPr>
            <w:r w:rsidRPr="009D3814">
              <w:rPr>
                <w:b w:val="0"/>
                <w:bCs/>
              </w:rPr>
              <w:t>4.0</w:t>
            </w:r>
          </w:p>
        </w:tc>
        <w:tc>
          <w:tcPr>
            <w:tcW w:w="1985" w:type="dxa"/>
            <w:vAlign w:val="center"/>
          </w:tcPr>
          <w:p w14:paraId="0542D085" w14:textId="77777777" w:rsidR="00DC661A" w:rsidRPr="009D3814" w:rsidRDefault="00DC661A" w:rsidP="009D3814">
            <w:pPr>
              <w:pStyle w:val="ExhibitNumber"/>
              <w:ind w:right="288"/>
              <w:jc w:val="right"/>
              <w:rPr>
                <w:b w:val="0"/>
                <w:bCs/>
              </w:rPr>
            </w:pPr>
            <w:r w:rsidRPr="009D3814">
              <w:rPr>
                <w:b w:val="0"/>
                <w:bCs/>
              </w:rPr>
              <w:t>23.0</w:t>
            </w:r>
          </w:p>
        </w:tc>
      </w:tr>
      <w:tr w:rsidR="00DC661A" w:rsidRPr="007E1E49" w14:paraId="12FAFFB8" w14:textId="77777777" w:rsidTr="00622132">
        <w:trPr>
          <w:trHeight w:val="288"/>
        </w:trPr>
        <w:tc>
          <w:tcPr>
            <w:tcW w:w="5098" w:type="dxa"/>
            <w:vAlign w:val="center"/>
          </w:tcPr>
          <w:p w14:paraId="7075C6FF" w14:textId="45B8CF78" w:rsidR="00DC661A" w:rsidRPr="007E1E49" w:rsidRDefault="00DC661A">
            <w:pPr>
              <w:pStyle w:val="ExhibitText"/>
            </w:pPr>
            <w:r w:rsidRPr="007E1E49">
              <w:t xml:space="preserve">Packaged </w:t>
            </w:r>
            <w:r w:rsidR="00AF771E" w:rsidRPr="007E1E49">
              <w:t xml:space="preserve">Software </w:t>
            </w:r>
            <w:r w:rsidRPr="007E1E49">
              <w:t xml:space="preserve">and </w:t>
            </w:r>
            <w:r w:rsidR="00AF771E" w:rsidRPr="007E1E49">
              <w:t>Product Development</w:t>
            </w:r>
          </w:p>
        </w:tc>
        <w:tc>
          <w:tcPr>
            <w:tcW w:w="1984" w:type="dxa"/>
            <w:vAlign w:val="center"/>
          </w:tcPr>
          <w:p w14:paraId="71601A7F" w14:textId="77777777" w:rsidR="00DC661A" w:rsidRPr="009D3814" w:rsidRDefault="00DC661A" w:rsidP="009D3814">
            <w:pPr>
              <w:pStyle w:val="ExhibitNumber"/>
              <w:ind w:right="288"/>
              <w:jc w:val="right"/>
              <w:rPr>
                <w:b w:val="0"/>
                <w:bCs/>
              </w:rPr>
            </w:pPr>
            <w:r w:rsidRPr="009D3814">
              <w:rPr>
                <w:b w:val="0"/>
                <w:bCs/>
              </w:rPr>
              <w:t>4.0</w:t>
            </w:r>
          </w:p>
        </w:tc>
        <w:tc>
          <w:tcPr>
            <w:tcW w:w="1985" w:type="dxa"/>
            <w:vAlign w:val="center"/>
          </w:tcPr>
          <w:p w14:paraId="0EE56FB4" w14:textId="77777777" w:rsidR="00DC661A" w:rsidRPr="009D3814" w:rsidRDefault="00DC661A" w:rsidP="009D3814">
            <w:pPr>
              <w:pStyle w:val="ExhibitNumber"/>
              <w:ind w:right="288"/>
              <w:jc w:val="right"/>
              <w:rPr>
                <w:b w:val="0"/>
                <w:bCs/>
              </w:rPr>
            </w:pPr>
            <w:r w:rsidRPr="009D3814">
              <w:rPr>
                <w:b w:val="0"/>
                <w:bCs/>
              </w:rPr>
              <w:t>20.0</w:t>
            </w:r>
          </w:p>
        </w:tc>
      </w:tr>
      <w:tr w:rsidR="00DC661A" w:rsidRPr="007E1E49" w14:paraId="49AFD65A" w14:textId="77777777" w:rsidTr="00622132">
        <w:trPr>
          <w:trHeight w:val="288"/>
        </w:trPr>
        <w:tc>
          <w:tcPr>
            <w:tcW w:w="5098" w:type="dxa"/>
            <w:vAlign w:val="center"/>
          </w:tcPr>
          <w:p w14:paraId="4230F994" w14:textId="77777777" w:rsidR="00DC661A" w:rsidRPr="007E1E49" w:rsidRDefault="00DC661A" w:rsidP="00AB495F">
            <w:pPr>
              <w:pStyle w:val="ExhibitText"/>
            </w:pPr>
            <w:r w:rsidRPr="007E1E49">
              <w:t>Hardware</w:t>
            </w:r>
          </w:p>
        </w:tc>
        <w:tc>
          <w:tcPr>
            <w:tcW w:w="1984" w:type="dxa"/>
            <w:vAlign w:val="center"/>
          </w:tcPr>
          <w:p w14:paraId="6BE38465" w14:textId="77777777" w:rsidR="00DC661A" w:rsidRPr="009D3814" w:rsidRDefault="00DC661A" w:rsidP="009D3814">
            <w:pPr>
              <w:pStyle w:val="ExhibitNumber"/>
              <w:ind w:right="288"/>
              <w:jc w:val="right"/>
              <w:rPr>
                <w:b w:val="0"/>
                <w:bCs/>
              </w:rPr>
            </w:pPr>
            <w:r w:rsidRPr="009D3814">
              <w:rPr>
                <w:b w:val="0"/>
                <w:bCs/>
              </w:rPr>
              <w:t>13.0</w:t>
            </w:r>
          </w:p>
        </w:tc>
        <w:tc>
          <w:tcPr>
            <w:tcW w:w="1985" w:type="dxa"/>
            <w:vAlign w:val="center"/>
          </w:tcPr>
          <w:p w14:paraId="125B0A89" w14:textId="77777777" w:rsidR="00DC661A" w:rsidRPr="009D3814" w:rsidRDefault="00DC661A" w:rsidP="009D3814">
            <w:pPr>
              <w:pStyle w:val="ExhibitNumber"/>
              <w:ind w:right="288"/>
              <w:jc w:val="right"/>
              <w:rPr>
                <w:b w:val="0"/>
                <w:bCs/>
              </w:rPr>
            </w:pPr>
            <w:r w:rsidRPr="009D3814">
              <w:rPr>
                <w:b w:val="0"/>
                <w:bCs/>
              </w:rPr>
              <w:t>0.5</w:t>
            </w:r>
          </w:p>
        </w:tc>
      </w:tr>
      <w:tr w:rsidR="00DC661A" w:rsidRPr="007E1E49" w14:paraId="5881C20E" w14:textId="77777777" w:rsidTr="00177A37">
        <w:trPr>
          <w:trHeight w:val="288"/>
        </w:trPr>
        <w:tc>
          <w:tcPr>
            <w:tcW w:w="5098" w:type="dxa"/>
            <w:tcBorders>
              <w:bottom w:val="single" w:sz="4" w:space="0" w:color="auto"/>
            </w:tcBorders>
            <w:vAlign w:val="center"/>
          </w:tcPr>
          <w:p w14:paraId="79BF1774" w14:textId="77777777" w:rsidR="00DC661A" w:rsidRPr="007E1E49" w:rsidRDefault="00DC661A" w:rsidP="00AB495F">
            <w:pPr>
              <w:pStyle w:val="ExhibitText"/>
            </w:pPr>
            <w:r w:rsidRPr="007E1E49">
              <w:t>eCommerce</w:t>
            </w:r>
          </w:p>
        </w:tc>
        <w:tc>
          <w:tcPr>
            <w:tcW w:w="1984" w:type="dxa"/>
            <w:tcBorders>
              <w:bottom w:val="single" w:sz="4" w:space="0" w:color="auto"/>
            </w:tcBorders>
            <w:vAlign w:val="center"/>
          </w:tcPr>
          <w:p w14:paraId="32F3B866" w14:textId="77777777" w:rsidR="00DC661A" w:rsidRPr="009D3814" w:rsidRDefault="00DC661A" w:rsidP="009D3814">
            <w:pPr>
              <w:pStyle w:val="ExhibitNumber"/>
              <w:ind w:right="288"/>
              <w:jc w:val="right"/>
              <w:rPr>
                <w:b w:val="0"/>
                <w:bCs/>
              </w:rPr>
            </w:pPr>
            <w:r w:rsidRPr="009D3814">
              <w:rPr>
                <w:b w:val="0"/>
                <w:bCs/>
              </w:rPr>
              <w:t>14.0</w:t>
            </w:r>
          </w:p>
        </w:tc>
        <w:tc>
          <w:tcPr>
            <w:tcW w:w="1985" w:type="dxa"/>
            <w:tcBorders>
              <w:bottom w:val="single" w:sz="4" w:space="0" w:color="auto"/>
            </w:tcBorders>
            <w:vAlign w:val="center"/>
          </w:tcPr>
          <w:p w14:paraId="4AF5F340" w14:textId="77777777" w:rsidR="00DC661A" w:rsidRPr="009D3814" w:rsidRDefault="00DC661A" w:rsidP="009D3814">
            <w:pPr>
              <w:pStyle w:val="ExhibitNumber"/>
              <w:ind w:right="288"/>
              <w:jc w:val="right"/>
              <w:rPr>
                <w:b w:val="0"/>
                <w:bCs/>
              </w:rPr>
            </w:pPr>
            <w:r w:rsidRPr="009D3814">
              <w:rPr>
                <w:b w:val="0"/>
                <w:bCs/>
              </w:rPr>
              <w:t>0.5</w:t>
            </w:r>
          </w:p>
        </w:tc>
      </w:tr>
      <w:tr w:rsidR="00DC661A" w:rsidRPr="007E1E49" w14:paraId="3B3CBE8D" w14:textId="77777777" w:rsidTr="00177A37">
        <w:trPr>
          <w:trHeight w:val="288"/>
        </w:trPr>
        <w:tc>
          <w:tcPr>
            <w:tcW w:w="5098" w:type="dxa"/>
            <w:tcBorders>
              <w:top w:val="single" w:sz="4" w:space="0" w:color="auto"/>
              <w:bottom w:val="single" w:sz="4" w:space="0" w:color="auto"/>
            </w:tcBorders>
            <w:vAlign w:val="center"/>
          </w:tcPr>
          <w:p w14:paraId="04FE6AD5" w14:textId="3EA6D496" w:rsidR="00DC661A" w:rsidRPr="009D3814" w:rsidRDefault="00DC661A">
            <w:pPr>
              <w:pStyle w:val="ExhibitText"/>
              <w:rPr>
                <w:b/>
                <w:bCs/>
              </w:rPr>
            </w:pPr>
            <w:r w:rsidRPr="009D3814">
              <w:rPr>
                <w:b/>
                <w:bCs/>
              </w:rPr>
              <w:t xml:space="preserve">Total </w:t>
            </w:r>
            <w:r w:rsidR="00AF771E" w:rsidRPr="009D3814">
              <w:rPr>
                <w:b/>
                <w:bCs/>
              </w:rPr>
              <w:t xml:space="preserve">Revenue </w:t>
            </w:r>
            <w:r w:rsidRPr="009D3814">
              <w:rPr>
                <w:b/>
                <w:bCs/>
              </w:rPr>
              <w:t>(</w:t>
            </w:r>
            <w:r w:rsidR="00AF771E" w:rsidRPr="009D3814">
              <w:rPr>
                <w:b/>
                <w:bCs/>
              </w:rPr>
              <w:t>US$ billions</w:t>
            </w:r>
            <w:r w:rsidRPr="009D3814">
              <w:rPr>
                <w:b/>
                <w:bCs/>
              </w:rPr>
              <w:t>)</w:t>
            </w:r>
          </w:p>
        </w:tc>
        <w:tc>
          <w:tcPr>
            <w:tcW w:w="1984" w:type="dxa"/>
            <w:tcBorders>
              <w:top w:val="single" w:sz="4" w:space="0" w:color="auto"/>
              <w:bottom w:val="single" w:sz="4" w:space="0" w:color="auto"/>
            </w:tcBorders>
            <w:vAlign w:val="center"/>
          </w:tcPr>
          <w:p w14:paraId="2F551564" w14:textId="77777777" w:rsidR="00DC661A" w:rsidRPr="00AF69DC" w:rsidRDefault="00DC661A" w:rsidP="009D3814">
            <w:pPr>
              <w:pStyle w:val="ExhibitNumber"/>
              <w:ind w:right="288"/>
              <w:jc w:val="right"/>
              <w:rPr>
                <w:bCs/>
              </w:rPr>
            </w:pPr>
            <w:r w:rsidRPr="00AF69DC">
              <w:rPr>
                <w:bCs/>
              </w:rPr>
              <w:t>48.0</w:t>
            </w:r>
          </w:p>
        </w:tc>
        <w:tc>
          <w:tcPr>
            <w:tcW w:w="1985" w:type="dxa"/>
            <w:tcBorders>
              <w:top w:val="single" w:sz="4" w:space="0" w:color="auto"/>
              <w:bottom w:val="single" w:sz="4" w:space="0" w:color="auto"/>
            </w:tcBorders>
            <w:vAlign w:val="center"/>
          </w:tcPr>
          <w:p w14:paraId="6E227704" w14:textId="77777777" w:rsidR="00DC661A" w:rsidRPr="00DD1087" w:rsidRDefault="00DC661A" w:rsidP="009D3814">
            <w:pPr>
              <w:pStyle w:val="ExhibitNumber"/>
              <w:ind w:right="288"/>
              <w:jc w:val="right"/>
              <w:rPr>
                <w:bCs/>
              </w:rPr>
            </w:pPr>
            <w:r w:rsidRPr="00AF69DC">
              <w:rPr>
                <w:bCs/>
              </w:rPr>
              <w:t>99.0</w:t>
            </w:r>
          </w:p>
        </w:tc>
      </w:tr>
    </w:tbl>
    <w:p w14:paraId="246708DB" w14:textId="77777777" w:rsidR="00DC661A" w:rsidRPr="00F4545E" w:rsidRDefault="00DC661A" w:rsidP="009F2D1B">
      <w:pPr>
        <w:pStyle w:val="ExhibitText"/>
        <w:rPr>
          <w:color w:val="000000" w:themeColor="text1"/>
        </w:rPr>
      </w:pPr>
    </w:p>
    <w:p w14:paraId="79175329" w14:textId="4DF61B62" w:rsidR="00F4545E" w:rsidRPr="00F4545E" w:rsidRDefault="00F4545E" w:rsidP="00DC661A">
      <w:pPr>
        <w:pStyle w:val="Footnote"/>
        <w:rPr>
          <w:color w:val="000000" w:themeColor="text1"/>
        </w:rPr>
      </w:pPr>
      <w:r w:rsidRPr="00F4545E">
        <w:rPr>
          <w:color w:val="000000" w:themeColor="text1"/>
        </w:rPr>
        <w:t>Note:</w:t>
      </w:r>
      <w:r>
        <w:rPr>
          <w:color w:val="000000" w:themeColor="text1"/>
        </w:rPr>
        <w:t xml:space="preserve"> IT = Information Technology.</w:t>
      </w:r>
    </w:p>
    <w:p w14:paraId="1FCB8709" w14:textId="50D43C3A" w:rsidR="00DC661A" w:rsidRPr="00F4545E" w:rsidRDefault="00DC661A" w:rsidP="00DC661A">
      <w:pPr>
        <w:pStyle w:val="Footnote"/>
        <w:rPr>
          <w:b/>
          <w:caps/>
          <w:color w:val="000000" w:themeColor="text1"/>
        </w:rPr>
      </w:pPr>
      <w:r w:rsidRPr="00F4545E">
        <w:rPr>
          <w:color w:val="000000" w:themeColor="text1"/>
        </w:rPr>
        <w:t xml:space="preserve">Source: </w:t>
      </w:r>
      <w:r w:rsidR="00AF771E" w:rsidRPr="00F4545E">
        <w:rPr>
          <w:color w:val="000000" w:themeColor="text1"/>
        </w:rPr>
        <w:t xml:space="preserve">Adapted from IBEF India, </w:t>
      </w:r>
      <w:r w:rsidR="00AF771E" w:rsidRPr="00F4545E">
        <w:rPr>
          <w:i/>
          <w:color w:val="000000" w:themeColor="text1"/>
        </w:rPr>
        <w:t xml:space="preserve">IT &amp; </w:t>
      </w:r>
      <w:proofErr w:type="spellStart"/>
      <w:r w:rsidR="00AF771E" w:rsidRPr="00F4545E">
        <w:rPr>
          <w:i/>
          <w:color w:val="000000" w:themeColor="text1"/>
        </w:rPr>
        <w:t>ITeS</w:t>
      </w:r>
      <w:proofErr w:type="spellEnd"/>
      <w:r w:rsidR="00AF771E" w:rsidRPr="00F4545E">
        <w:rPr>
          <w:color w:val="000000" w:themeColor="text1"/>
        </w:rPr>
        <w:t>, January 2017</w:t>
      </w:r>
      <w:r w:rsidRPr="00F4545E">
        <w:rPr>
          <w:color w:val="000000" w:themeColor="text1"/>
        </w:rPr>
        <w:t xml:space="preserve">, </w:t>
      </w:r>
      <w:r w:rsidR="00E90EB2" w:rsidRPr="00F4545E">
        <w:rPr>
          <w:color w:val="000000" w:themeColor="text1"/>
        </w:rPr>
        <w:t xml:space="preserve">35, </w:t>
      </w:r>
      <w:r w:rsidRPr="00F4545E">
        <w:rPr>
          <w:color w:val="000000" w:themeColor="text1"/>
        </w:rPr>
        <w:t>accessed June 28, 2018, www.ibef.org/download/IT-and-ITeS-January-2017.pdf.</w:t>
      </w:r>
    </w:p>
    <w:p w14:paraId="5E083710" w14:textId="77777777" w:rsidR="00DC661A" w:rsidRPr="007E1E49" w:rsidRDefault="00DC661A" w:rsidP="009F2D1B">
      <w:pPr>
        <w:pStyle w:val="ExhibitText"/>
      </w:pPr>
    </w:p>
    <w:p w14:paraId="7C3555FF" w14:textId="77777777" w:rsidR="00DC661A" w:rsidRPr="007E1E49" w:rsidRDefault="00DC661A" w:rsidP="009F2D1B">
      <w:pPr>
        <w:pStyle w:val="ExhibitText"/>
      </w:pPr>
    </w:p>
    <w:p w14:paraId="25311B23" w14:textId="77777777" w:rsidR="00DC661A" w:rsidRPr="007E1E49" w:rsidRDefault="00DC661A" w:rsidP="00DC661A">
      <w:pPr>
        <w:pStyle w:val="ExhibitHeading"/>
      </w:pPr>
      <w:r w:rsidRPr="007E1E49">
        <w:t>Exhibit 3: Graduates added to talent pool in india</w:t>
      </w:r>
    </w:p>
    <w:p w14:paraId="67EADF29" w14:textId="77777777" w:rsidR="00DC661A" w:rsidRPr="007E1E49" w:rsidRDefault="00DC661A" w:rsidP="002A25A6">
      <w:pPr>
        <w:pStyle w:val="ExhibitText"/>
      </w:pPr>
    </w:p>
    <w:tbl>
      <w:tblPr>
        <w:tblStyle w:val="TableGrid"/>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8"/>
        <w:gridCol w:w="1034"/>
        <w:gridCol w:w="1034"/>
        <w:gridCol w:w="1033"/>
        <w:gridCol w:w="1034"/>
        <w:gridCol w:w="1033"/>
        <w:gridCol w:w="1034"/>
      </w:tblGrid>
      <w:tr w:rsidR="00DC661A" w:rsidRPr="007E1E49" w14:paraId="092BFB94" w14:textId="77777777" w:rsidTr="00177A37">
        <w:trPr>
          <w:trHeight w:val="288"/>
          <w:jc w:val="center"/>
        </w:trPr>
        <w:tc>
          <w:tcPr>
            <w:tcW w:w="3256" w:type="dxa"/>
            <w:tcBorders>
              <w:top w:val="single" w:sz="4" w:space="0" w:color="auto"/>
              <w:bottom w:val="single" w:sz="12" w:space="0" w:color="auto"/>
            </w:tcBorders>
            <w:vAlign w:val="center"/>
          </w:tcPr>
          <w:p w14:paraId="388012BE" w14:textId="77777777" w:rsidR="00DC661A" w:rsidRPr="007E1E49" w:rsidRDefault="00DC661A" w:rsidP="00AB495F">
            <w:pPr>
              <w:pStyle w:val="ExhibitText"/>
            </w:pPr>
          </w:p>
        </w:tc>
        <w:tc>
          <w:tcPr>
            <w:tcW w:w="1039" w:type="dxa"/>
            <w:tcBorders>
              <w:top w:val="single" w:sz="4" w:space="0" w:color="auto"/>
              <w:bottom w:val="single" w:sz="12" w:space="0" w:color="auto"/>
            </w:tcBorders>
            <w:vAlign w:val="center"/>
          </w:tcPr>
          <w:p w14:paraId="245BDD9D" w14:textId="77777777" w:rsidR="00DC661A" w:rsidRPr="007E1E49" w:rsidRDefault="00DC661A" w:rsidP="002A25A6">
            <w:pPr>
              <w:pStyle w:val="ExhibitText"/>
              <w:jc w:val="center"/>
              <w:rPr>
                <w:b/>
              </w:rPr>
            </w:pPr>
            <w:r w:rsidRPr="007E1E49">
              <w:rPr>
                <w:b/>
              </w:rPr>
              <w:t>FY2010</w:t>
            </w:r>
          </w:p>
        </w:tc>
        <w:tc>
          <w:tcPr>
            <w:tcW w:w="1040" w:type="dxa"/>
            <w:tcBorders>
              <w:top w:val="single" w:sz="4" w:space="0" w:color="auto"/>
              <w:bottom w:val="single" w:sz="12" w:space="0" w:color="auto"/>
            </w:tcBorders>
            <w:vAlign w:val="center"/>
          </w:tcPr>
          <w:p w14:paraId="73519AA9" w14:textId="77777777" w:rsidR="00DC661A" w:rsidRPr="007E1E49" w:rsidRDefault="00DC661A" w:rsidP="002A25A6">
            <w:pPr>
              <w:pStyle w:val="ExhibitText"/>
              <w:jc w:val="center"/>
              <w:rPr>
                <w:b/>
              </w:rPr>
            </w:pPr>
            <w:r w:rsidRPr="007E1E49">
              <w:rPr>
                <w:b/>
              </w:rPr>
              <w:t>FY2011</w:t>
            </w:r>
          </w:p>
        </w:tc>
        <w:tc>
          <w:tcPr>
            <w:tcW w:w="1039" w:type="dxa"/>
            <w:tcBorders>
              <w:top w:val="single" w:sz="4" w:space="0" w:color="auto"/>
              <w:bottom w:val="single" w:sz="12" w:space="0" w:color="auto"/>
            </w:tcBorders>
            <w:vAlign w:val="center"/>
          </w:tcPr>
          <w:p w14:paraId="1CA7424D" w14:textId="77777777" w:rsidR="00DC661A" w:rsidRPr="007E1E49" w:rsidRDefault="00DC661A" w:rsidP="002A25A6">
            <w:pPr>
              <w:pStyle w:val="ExhibitText"/>
              <w:jc w:val="center"/>
              <w:rPr>
                <w:b/>
              </w:rPr>
            </w:pPr>
            <w:r w:rsidRPr="007E1E49">
              <w:rPr>
                <w:b/>
              </w:rPr>
              <w:t>FY2012</w:t>
            </w:r>
          </w:p>
        </w:tc>
        <w:tc>
          <w:tcPr>
            <w:tcW w:w="1040" w:type="dxa"/>
            <w:tcBorders>
              <w:top w:val="single" w:sz="4" w:space="0" w:color="auto"/>
              <w:bottom w:val="single" w:sz="12" w:space="0" w:color="auto"/>
            </w:tcBorders>
            <w:vAlign w:val="center"/>
          </w:tcPr>
          <w:p w14:paraId="57A75605" w14:textId="77777777" w:rsidR="00DC661A" w:rsidRPr="007E1E49" w:rsidRDefault="00DC661A" w:rsidP="002A25A6">
            <w:pPr>
              <w:pStyle w:val="ExhibitText"/>
              <w:jc w:val="center"/>
              <w:rPr>
                <w:b/>
              </w:rPr>
            </w:pPr>
            <w:r w:rsidRPr="007E1E49">
              <w:rPr>
                <w:b/>
              </w:rPr>
              <w:t>FY2013</w:t>
            </w:r>
          </w:p>
        </w:tc>
        <w:tc>
          <w:tcPr>
            <w:tcW w:w="1039" w:type="dxa"/>
            <w:tcBorders>
              <w:top w:val="single" w:sz="4" w:space="0" w:color="auto"/>
              <w:bottom w:val="single" w:sz="12" w:space="0" w:color="auto"/>
            </w:tcBorders>
            <w:vAlign w:val="center"/>
          </w:tcPr>
          <w:p w14:paraId="499BD3AF" w14:textId="77777777" w:rsidR="00DC661A" w:rsidRPr="007E1E49" w:rsidRDefault="00DC661A" w:rsidP="002A25A6">
            <w:pPr>
              <w:pStyle w:val="ExhibitText"/>
              <w:jc w:val="center"/>
              <w:rPr>
                <w:b/>
              </w:rPr>
            </w:pPr>
            <w:r w:rsidRPr="007E1E49">
              <w:rPr>
                <w:b/>
              </w:rPr>
              <w:t>FY2014</w:t>
            </w:r>
          </w:p>
        </w:tc>
        <w:tc>
          <w:tcPr>
            <w:tcW w:w="1040" w:type="dxa"/>
            <w:tcBorders>
              <w:top w:val="single" w:sz="4" w:space="0" w:color="auto"/>
              <w:bottom w:val="single" w:sz="12" w:space="0" w:color="auto"/>
            </w:tcBorders>
            <w:vAlign w:val="center"/>
          </w:tcPr>
          <w:p w14:paraId="7A14C08E" w14:textId="77777777" w:rsidR="00DC661A" w:rsidRPr="007E1E49" w:rsidRDefault="00DC661A" w:rsidP="002A25A6">
            <w:pPr>
              <w:pStyle w:val="ExhibitText"/>
              <w:jc w:val="center"/>
              <w:rPr>
                <w:b/>
              </w:rPr>
            </w:pPr>
            <w:r w:rsidRPr="007E1E49">
              <w:rPr>
                <w:b/>
              </w:rPr>
              <w:t>FY2015</w:t>
            </w:r>
          </w:p>
        </w:tc>
      </w:tr>
      <w:tr w:rsidR="00DC661A" w:rsidRPr="007E1E49" w14:paraId="122E4F3C" w14:textId="77777777" w:rsidTr="009D3814">
        <w:trPr>
          <w:trHeight w:val="288"/>
          <w:jc w:val="center"/>
        </w:trPr>
        <w:tc>
          <w:tcPr>
            <w:tcW w:w="3256" w:type="dxa"/>
            <w:tcBorders>
              <w:top w:val="single" w:sz="12" w:space="0" w:color="auto"/>
            </w:tcBorders>
            <w:vAlign w:val="center"/>
          </w:tcPr>
          <w:p w14:paraId="775F1722" w14:textId="263A242D" w:rsidR="00DC661A" w:rsidRPr="007E1E49" w:rsidRDefault="00DC661A" w:rsidP="00DD1326">
            <w:pPr>
              <w:pStyle w:val="ExhibitText"/>
              <w:jc w:val="left"/>
            </w:pPr>
            <w:r w:rsidRPr="007E1E49">
              <w:t xml:space="preserve">Number of </w:t>
            </w:r>
            <w:r w:rsidR="00AF771E" w:rsidRPr="007E1E49">
              <w:t>English-</w:t>
            </w:r>
            <w:r w:rsidR="00E90EB2">
              <w:t>s</w:t>
            </w:r>
            <w:r w:rsidR="00E529C4" w:rsidRPr="007E1E49">
              <w:t xml:space="preserve">peaking </w:t>
            </w:r>
            <w:r w:rsidR="00E90EB2">
              <w:t>g</w:t>
            </w:r>
            <w:r w:rsidR="00E529C4" w:rsidRPr="007E1E49">
              <w:t xml:space="preserve">raduates </w:t>
            </w:r>
            <w:r w:rsidR="00E90EB2">
              <w:t>a</w:t>
            </w:r>
            <w:r w:rsidR="00E529C4" w:rsidRPr="007E1E49">
              <w:t>dded</w:t>
            </w:r>
            <w:r w:rsidRPr="007E1E49">
              <w:t xml:space="preserve"> to the </w:t>
            </w:r>
            <w:r w:rsidR="00E90EB2">
              <w:t>w</w:t>
            </w:r>
            <w:r w:rsidR="00E529C4" w:rsidRPr="007E1E49">
              <w:t>orkforce</w:t>
            </w:r>
            <w:r w:rsidRPr="007E1E49">
              <w:t xml:space="preserve"> in India (</w:t>
            </w:r>
            <w:r w:rsidR="00DD1326">
              <w:t>m</w:t>
            </w:r>
            <w:r w:rsidRPr="007E1E49">
              <w:t>illions)</w:t>
            </w:r>
          </w:p>
        </w:tc>
        <w:tc>
          <w:tcPr>
            <w:tcW w:w="1039" w:type="dxa"/>
            <w:tcBorders>
              <w:top w:val="single" w:sz="12" w:space="0" w:color="auto"/>
            </w:tcBorders>
            <w:vAlign w:val="center"/>
          </w:tcPr>
          <w:p w14:paraId="1607604D" w14:textId="77777777" w:rsidR="00DC661A" w:rsidRPr="009D3814" w:rsidRDefault="00DC661A" w:rsidP="009D3814">
            <w:pPr>
              <w:pStyle w:val="ExhibitNumber"/>
              <w:rPr>
                <w:b w:val="0"/>
                <w:bCs/>
              </w:rPr>
            </w:pPr>
            <w:r w:rsidRPr="009D3814">
              <w:rPr>
                <w:b w:val="0"/>
                <w:bCs/>
              </w:rPr>
              <w:t>3.7</w:t>
            </w:r>
          </w:p>
        </w:tc>
        <w:tc>
          <w:tcPr>
            <w:tcW w:w="1040" w:type="dxa"/>
            <w:tcBorders>
              <w:top w:val="single" w:sz="12" w:space="0" w:color="auto"/>
            </w:tcBorders>
            <w:vAlign w:val="center"/>
          </w:tcPr>
          <w:p w14:paraId="340621A5" w14:textId="77777777" w:rsidR="00DC661A" w:rsidRPr="009D3814" w:rsidRDefault="00DC661A" w:rsidP="009D3814">
            <w:pPr>
              <w:pStyle w:val="ExhibitNumber"/>
              <w:rPr>
                <w:b w:val="0"/>
                <w:bCs/>
              </w:rPr>
            </w:pPr>
            <w:r w:rsidRPr="009D3814">
              <w:rPr>
                <w:b w:val="0"/>
                <w:bCs/>
              </w:rPr>
              <w:t>4.0</w:t>
            </w:r>
          </w:p>
        </w:tc>
        <w:tc>
          <w:tcPr>
            <w:tcW w:w="1039" w:type="dxa"/>
            <w:tcBorders>
              <w:top w:val="single" w:sz="12" w:space="0" w:color="auto"/>
            </w:tcBorders>
            <w:vAlign w:val="center"/>
          </w:tcPr>
          <w:p w14:paraId="6A458F34" w14:textId="77777777" w:rsidR="00DC661A" w:rsidRPr="009D3814" w:rsidRDefault="00DC661A" w:rsidP="009D3814">
            <w:pPr>
              <w:pStyle w:val="ExhibitNumber"/>
              <w:rPr>
                <w:b w:val="0"/>
                <w:bCs/>
              </w:rPr>
            </w:pPr>
            <w:r w:rsidRPr="009D3814">
              <w:rPr>
                <w:b w:val="0"/>
                <w:bCs/>
              </w:rPr>
              <w:t>4.4</w:t>
            </w:r>
          </w:p>
        </w:tc>
        <w:tc>
          <w:tcPr>
            <w:tcW w:w="1040" w:type="dxa"/>
            <w:tcBorders>
              <w:top w:val="single" w:sz="12" w:space="0" w:color="auto"/>
            </w:tcBorders>
            <w:vAlign w:val="center"/>
          </w:tcPr>
          <w:p w14:paraId="0993BD0C" w14:textId="77777777" w:rsidR="00DC661A" w:rsidRPr="009D3814" w:rsidRDefault="00DC661A" w:rsidP="009D3814">
            <w:pPr>
              <w:pStyle w:val="ExhibitNumber"/>
              <w:rPr>
                <w:b w:val="0"/>
                <w:bCs/>
              </w:rPr>
            </w:pPr>
            <w:r w:rsidRPr="009D3814">
              <w:rPr>
                <w:b w:val="0"/>
                <w:bCs/>
              </w:rPr>
              <w:t>4.7</w:t>
            </w:r>
          </w:p>
        </w:tc>
        <w:tc>
          <w:tcPr>
            <w:tcW w:w="1039" w:type="dxa"/>
            <w:tcBorders>
              <w:top w:val="single" w:sz="12" w:space="0" w:color="auto"/>
            </w:tcBorders>
            <w:vAlign w:val="center"/>
          </w:tcPr>
          <w:p w14:paraId="03C83235" w14:textId="77777777" w:rsidR="00DC661A" w:rsidRPr="009D3814" w:rsidRDefault="00DC661A" w:rsidP="009D3814">
            <w:pPr>
              <w:pStyle w:val="ExhibitNumber"/>
              <w:rPr>
                <w:b w:val="0"/>
                <w:bCs/>
              </w:rPr>
            </w:pPr>
            <w:r w:rsidRPr="009D3814">
              <w:rPr>
                <w:b w:val="0"/>
                <w:bCs/>
              </w:rPr>
              <w:t>5.3</w:t>
            </w:r>
          </w:p>
        </w:tc>
        <w:tc>
          <w:tcPr>
            <w:tcW w:w="1040" w:type="dxa"/>
            <w:tcBorders>
              <w:top w:val="single" w:sz="12" w:space="0" w:color="auto"/>
            </w:tcBorders>
            <w:vAlign w:val="center"/>
          </w:tcPr>
          <w:p w14:paraId="323ABB40" w14:textId="77777777" w:rsidR="00DC661A" w:rsidRPr="009D3814" w:rsidRDefault="00DC661A" w:rsidP="009D3814">
            <w:pPr>
              <w:pStyle w:val="ExhibitNumber"/>
              <w:rPr>
                <w:b w:val="0"/>
                <w:bCs/>
              </w:rPr>
            </w:pPr>
            <w:r w:rsidRPr="009D3814">
              <w:rPr>
                <w:b w:val="0"/>
                <w:bCs/>
              </w:rPr>
              <w:t>5.8</w:t>
            </w:r>
          </w:p>
        </w:tc>
      </w:tr>
    </w:tbl>
    <w:p w14:paraId="15A26121" w14:textId="77777777" w:rsidR="00DC661A" w:rsidRPr="007E1E49" w:rsidRDefault="00DC661A" w:rsidP="009F2D1B">
      <w:pPr>
        <w:pStyle w:val="ExhibitText"/>
      </w:pPr>
    </w:p>
    <w:p w14:paraId="1174E889" w14:textId="53CBD6A3" w:rsidR="00DC661A" w:rsidRPr="007E1E49" w:rsidRDefault="00DC661A" w:rsidP="008C5C6B">
      <w:pPr>
        <w:pStyle w:val="Footnote"/>
      </w:pPr>
      <w:r w:rsidRPr="007E1E49">
        <w:t xml:space="preserve">Note: </w:t>
      </w:r>
      <w:r w:rsidR="00AF771E" w:rsidRPr="007E1E49">
        <w:t xml:space="preserve">The availability </w:t>
      </w:r>
      <w:r w:rsidRPr="007E1E49">
        <w:t xml:space="preserve">of </w:t>
      </w:r>
      <w:r w:rsidR="00AF771E" w:rsidRPr="007E1E49">
        <w:t>English-</w:t>
      </w:r>
      <w:r w:rsidRPr="007E1E49">
        <w:t>speaking work</w:t>
      </w:r>
      <w:r w:rsidR="00AF771E" w:rsidRPr="007E1E49">
        <w:t>ers</w:t>
      </w:r>
      <w:r w:rsidRPr="007E1E49">
        <w:t xml:space="preserve"> </w:t>
      </w:r>
      <w:r w:rsidR="00AF771E" w:rsidRPr="007E1E49">
        <w:t>was</w:t>
      </w:r>
      <w:r w:rsidRPr="007E1E49">
        <w:t xml:space="preserve"> a key driver </w:t>
      </w:r>
      <w:r w:rsidR="00AF771E" w:rsidRPr="007E1E49">
        <w:t xml:space="preserve">in </w:t>
      </w:r>
      <w:r w:rsidRPr="007E1E49">
        <w:t>the growth of the Indian IT industry.</w:t>
      </w:r>
      <w:r w:rsidR="00F4545E">
        <w:t>; FY = Fiscal Year.</w:t>
      </w:r>
    </w:p>
    <w:p w14:paraId="03DCB875" w14:textId="3D032C0B" w:rsidR="00DC661A" w:rsidRPr="007E1E49" w:rsidRDefault="00DC661A" w:rsidP="00DC661A">
      <w:pPr>
        <w:pStyle w:val="Footnote"/>
      </w:pPr>
      <w:r w:rsidRPr="007E1E49">
        <w:t xml:space="preserve">Source: </w:t>
      </w:r>
      <w:r w:rsidR="00AF771E" w:rsidRPr="007E1E49">
        <w:t xml:space="preserve">Adapted from IBEF India, </w:t>
      </w:r>
      <w:r w:rsidR="00AF771E" w:rsidRPr="007E1E49">
        <w:rPr>
          <w:i/>
        </w:rPr>
        <w:t xml:space="preserve">IT &amp; </w:t>
      </w:r>
      <w:proofErr w:type="spellStart"/>
      <w:r w:rsidR="00AF771E" w:rsidRPr="007E1E49">
        <w:rPr>
          <w:i/>
        </w:rPr>
        <w:t>ITeS</w:t>
      </w:r>
      <w:proofErr w:type="spellEnd"/>
      <w:r w:rsidR="00AF771E" w:rsidRPr="007E1E49">
        <w:t xml:space="preserve">, </w:t>
      </w:r>
      <w:r w:rsidRPr="007E1E49">
        <w:t xml:space="preserve">January 2017, </w:t>
      </w:r>
      <w:r w:rsidR="00E90EB2" w:rsidRPr="007E1E49">
        <w:t xml:space="preserve">26, </w:t>
      </w:r>
      <w:r w:rsidRPr="007E1E49">
        <w:t>accessed June 28, 2018, www.ibef.org/download/IT-and-ITeS-January-2017.pdf.</w:t>
      </w:r>
    </w:p>
    <w:p w14:paraId="459D0059" w14:textId="77777777" w:rsidR="00DC661A" w:rsidRPr="007E1E49" w:rsidRDefault="00DC661A" w:rsidP="00AF69DC">
      <w:pPr>
        <w:pStyle w:val="ExhibitText"/>
      </w:pPr>
    </w:p>
    <w:p w14:paraId="332337BD" w14:textId="77777777" w:rsidR="00DC661A" w:rsidRPr="007E1E49" w:rsidRDefault="00DC661A" w:rsidP="00AF69DC">
      <w:pPr>
        <w:pStyle w:val="ExhibitText"/>
      </w:pPr>
    </w:p>
    <w:p w14:paraId="691E2C98" w14:textId="1A674317" w:rsidR="00DC661A" w:rsidRPr="007E1E49" w:rsidRDefault="00DC661A" w:rsidP="00DC661A">
      <w:pPr>
        <w:pStyle w:val="ExhibitHeading"/>
      </w:pPr>
      <w:r w:rsidRPr="007E1E49">
        <w:t xml:space="preserve">Exhibit 4: </w:t>
      </w:r>
      <w:r w:rsidR="00AF771E" w:rsidRPr="007E1E49">
        <w:t>INDIAN IT–BUSINESS PROCESS OUTSOURCING SECTOR</w:t>
      </w:r>
      <w:r w:rsidR="00E90EB2">
        <w:t>,</w:t>
      </w:r>
      <w:r w:rsidR="00AF771E" w:rsidRPr="007E1E49">
        <w:t xml:space="preserve"> </w:t>
      </w:r>
      <w:r w:rsidR="00AF771E" w:rsidRPr="007E1E49">
        <w:br/>
      </w:r>
      <w:r w:rsidRPr="007E1E49">
        <w:t>Training expenditure</w:t>
      </w:r>
      <w:r w:rsidR="00AF771E" w:rsidRPr="007E1E49">
        <w:t>s</w:t>
      </w:r>
      <w:r w:rsidRPr="007E1E49">
        <w:t xml:space="preserve"> by sector </w:t>
      </w:r>
    </w:p>
    <w:p w14:paraId="45A1A261" w14:textId="77777777" w:rsidR="00DC661A" w:rsidRPr="007E1E49" w:rsidRDefault="00DC661A" w:rsidP="009F2D1B">
      <w:pPr>
        <w:pStyle w:val="ExhibitText"/>
      </w:pPr>
    </w:p>
    <w:tbl>
      <w:tblPr>
        <w:tblStyle w:val="TableGrid"/>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9"/>
        <w:gridCol w:w="2161"/>
      </w:tblGrid>
      <w:tr w:rsidR="00DC661A" w:rsidRPr="007E1E49" w14:paraId="0690434B" w14:textId="77777777" w:rsidTr="00177A37">
        <w:trPr>
          <w:trHeight w:val="288"/>
          <w:jc w:val="center"/>
        </w:trPr>
        <w:tc>
          <w:tcPr>
            <w:tcW w:w="7083" w:type="dxa"/>
            <w:tcBorders>
              <w:top w:val="single" w:sz="4" w:space="0" w:color="auto"/>
              <w:bottom w:val="single" w:sz="12" w:space="0" w:color="auto"/>
            </w:tcBorders>
            <w:vAlign w:val="center"/>
          </w:tcPr>
          <w:p w14:paraId="64DF30F0" w14:textId="101EE726" w:rsidR="00DC661A" w:rsidRPr="007E1E49" w:rsidRDefault="00DC661A">
            <w:pPr>
              <w:pStyle w:val="ExhibitText"/>
              <w:rPr>
                <w:b/>
              </w:rPr>
            </w:pPr>
          </w:p>
        </w:tc>
        <w:tc>
          <w:tcPr>
            <w:tcW w:w="2126" w:type="dxa"/>
            <w:tcBorders>
              <w:top w:val="single" w:sz="4" w:space="0" w:color="auto"/>
              <w:bottom w:val="single" w:sz="12" w:space="0" w:color="auto"/>
            </w:tcBorders>
            <w:vAlign w:val="center"/>
          </w:tcPr>
          <w:p w14:paraId="61654EE3" w14:textId="77777777" w:rsidR="00DC661A" w:rsidRPr="007E1E49" w:rsidRDefault="00DC661A" w:rsidP="00AB495F">
            <w:pPr>
              <w:pStyle w:val="ExhibitNumber"/>
            </w:pPr>
            <w:r w:rsidRPr="007E1E49">
              <w:t>FY2014</w:t>
            </w:r>
          </w:p>
        </w:tc>
      </w:tr>
      <w:tr w:rsidR="00DC661A" w:rsidRPr="007E1E49" w14:paraId="77C3D9AC" w14:textId="77777777" w:rsidTr="009D3814">
        <w:trPr>
          <w:trHeight w:val="288"/>
          <w:jc w:val="center"/>
        </w:trPr>
        <w:tc>
          <w:tcPr>
            <w:tcW w:w="7083" w:type="dxa"/>
            <w:tcBorders>
              <w:top w:val="single" w:sz="12" w:space="0" w:color="auto"/>
            </w:tcBorders>
            <w:vAlign w:val="center"/>
          </w:tcPr>
          <w:p w14:paraId="67724C24" w14:textId="0A3016D9" w:rsidR="00DC661A" w:rsidRPr="007E1E49" w:rsidRDefault="00DC661A">
            <w:pPr>
              <w:pStyle w:val="ExhibitText"/>
            </w:pPr>
            <w:r w:rsidRPr="007E1E49">
              <w:t>Percentage of Indian IT-</w:t>
            </w:r>
            <w:r w:rsidR="00E90EB2">
              <w:t>b</w:t>
            </w:r>
            <w:r w:rsidR="00E529C4" w:rsidRPr="007E1E49">
              <w:t xml:space="preserve">usiness </w:t>
            </w:r>
            <w:r w:rsidR="00E90EB2">
              <w:t>p</w:t>
            </w:r>
            <w:r w:rsidR="00E529C4" w:rsidRPr="007E1E49">
              <w:t xml:space="preserve">rocess </w:t>
            </w:r>
            <w:r w:rsidR="00E90EB2">
              <w:t>m</w:t>
            </w:r>
            <w:r w:rsidR="00E529C4" w:rsidRPr="007E1E49">
              <w:t>anagement</w:t>
            </w:r>
            <w:r w:rsidRPr="007E1E49">
              <w:t xml:space="preserve"> </w:t>
            </w:r>
            <w:r w:rsidR="00E90EB2">
              <w:t>i</w:t>
            </w:r>
            <w:r w:rsidR="00E529C4" w:rsidRPr="007E1E49">
              <w:t xml:space="preserve">ndustry </w:t>
            </w:r>
            <w:r w:rsidR="00E90EB2">
              <w:t>r</w:t>
            </w:r>
            <w:r w:rsidR="00E529C4" w:rsidRPr="007E1E49">
              <w:t xml:space="preserve">evenue </w:t>
            </w:r>
            <w:r w:rsidR="00E90EB2">
              <w:t>s</w:t>
            </w:r>
            <w:r w:rsidR="00E529C4" w:rsidRPr="007E1E49">
              <w:t xml:space="preserve">pent </w:t>
            </w:r>
            <w:r w:rsidRPr="007E1E49">
              <w:t xml:space="preserve">on </w:t>
            </w:r>
            <w:r w:rsidR="00E90EB2">
              <w:t>t</w:t>
            </w:r>
            <w:r w:rsidR="00E529C4" w:rsidRPr="007E1E49">
              <w:t xml:space="preserve">raining </w:t>
            </w:r>
            <w:r w:rsidR="00E90EB2">
              <w:t>e</w:t>
            </w:r>
            <w:r w:rsidR="00E529C4" w:rsidRPr="007E1E49">
              <w:t>mployees</w:t>
            </w:r>
          </w:p>
        </w:tc>
        <w:tc>
          <w:tcPr>
            <w:tcW w:w="2126" w:type="dxa"/>
            <w:tcBorders>
              <w:top w:val="single" w:sz="12" w:space="0" w:color="auto"/>
            </w:tcBorders>
            <w:vAlign w:val="center"/>
          </w:tcPr>
          <w:p w14:paraId="26DFEE40" w14:textId="77777777" w:rsidR="00DC661A" w:rsidRPr="009D3814" w:rsidRDefault="00DC661A" w:rsidP="009D3814">
            <w:pPr>
              <w:pStyle w:val="ExhibitNumber"/>
              <w:rPr>
                <w:b w:val="0"/>
                <w:bCs/>
              </w:rPr>
            </w:pPr>
            <w:r w:rsidRPr="009D3814">
              <w:rPr>
                <w:b w:val="0"/>
                <w:bCs/>
              </w:rPr>
              <w:t>2%</w:t>
            </w:r>
          </w:p>
        </w:tc>
      </w:tr>
      <w:tr w:rsidR="00DC661A" w:rsidRPr="007E1E49" w14:paraId="7726829F" w14:textId="77777777" w:rsidTr="009D3814">
        <w:trPr>
          <w:trHeight w:val="288"/>
          <w:jc w:val="center"/>
        </w:trPr>
        <w:tc>
          <w:tcPr>
            <w:tcW w:w="7083" w:type="dxa"/>
            <w:vAlign w:val="center"/>
          </w:tcPr>
          <w:p w14:paraId="2F82A62E" w14:textId="46D70D9E" w:rsidR="00DC661A" w:rsidRPr="007E1E49" w:rsidRDefault="00DC661A" w:rsidP="00DD1326">
            <w:pPr>
              <w:pStyle w:val="ExhibitText"/>
            </w:pPr>
            <w:r w:rsidRPr="007E1E49">
              <w:t xml:space="preserve">Approximate </w:t>
            </w:r>
            <w:r w:rsidR="00E90EB2">
              <w:t>t</w:t>
            </w:r>
            <w:r w:rsidR="00E529C4" w:rsidRPr="007E1E49">
              <w:t xml:space="preserve">otal </w:t>
            </w:r>
            <w:proofErr w:type="gramStart"/>
            <w:r w:rsidR="00E90EB2">
              <w:t>s</w:t>
            </w:r>
            <w:r w:rsidR="00E529C4" w:rsidRPr="007E1E49">
              <w:t>pend</w:t>
            </w:r>
            <w:proofErr w:type="gramEnd"/>
            <w:r w:rsidR="00E529C4" w:rsidRPr="007E1E49">
              <w:t xml:space="preserve"> </w:t>
            </w:r>
            <w:r w:rsidRPr="007E1E49">
              <w:t>by the Indian IT-</w:t>
            </w:r>
            <w:r w:rsidR="00E90EB2">
              <w:t>b</w:t>
            </w:r>
            <w:r w:rsidR="00E529C4" w:rsidRPr="007E1E49">
              <w:t xml:space="preserve">usiness </w:t>
            </w:r>
            <w:r w:rsidR="00E90EB2">
              <w:t>p</w:t>
            </w:r>
            <w:r w:rsidR="00E529C4" w:rsidRPr="007E1E49">
              <w:t xml:space="preserve">rocess </w:t>
            </w:r>
            <w:r w:rsidR="00622132">
              <w:t>m</w:t>
            </w:r>
            <w:r w:rsidR="00E529C4" w:rsidRPr="007E1E49">
              <w:t>anagement</w:t>
            </w:r>
            <w:r w:rsidRPr="007E1E49">
              <w:t xml:space="preserve"> </w:t>
            </w:r>
            <w:r w:rsidR="00622132">
              <w:t>i</w:t>
            </w:r>
            <w:r w:rsidR="00E529C4" w:rsidRPr="007E1E49">
              <w:t xml:space="preserve">ndustry </w:t>
            </w:r>
            <w:r w:rsidRPr="007E1E49">
              <w:t xml:space="preserve">on </w:t>
            </w:r>
            <w:r w:rsidR="00622132">
              <w:t>t</w:t>
            </w:r>
            <w:r w:rsidR="00E529C4" w:rsidRPr="007E1E49">
              <w:t xml:space="preserve">raining its </w:t>
            </w:r>
            <w:r w:rsidR="00622132">
              <w:t>w</w:t>
            </w:r>
            <w:r w:rsidR="00E529C4" w:rsidRPr="007E1E49">
              <w:t>orkforce</w:t>
            </w:r>
          </w:p>
        </w:tc>
        <w:tc>
          <w:tcPr>
            <w:tcW w:w="2126" w:type="dxa"/>
            <w:vAlign w:val="center"/>
          </w:tcPr>
          <w:p w14:paraId="422DEE94" w14:textId="6C472D34" w:rsidR="00DC661A" w:rsidRPr="009D3814" w:rsidRDefault="00E529C4" w:rsidP="009D3814">
            <w:pPr>
              <w:pStyle w:val="ExhibitNumber"/>
              <w:rPr>
                <w:b w:val="0"/>
                <w:bCs/>
              </w:rPr>
            </w:pPr>
            <w:r w:rsidRPr="009D3814">
              <w:rPr>
                <w:b w:val="0"/>
                <w:bCs/>
              </w:rPr>
              <w:t>US$</w:t>
            </w:r>
            <w:r w:rsidR="00DC661A" w:rsidRPr="009D3814">
              <w:rPr>
                <w:b w:val="0"/>
                <w:bCs/>
              </w:rPr>
              <w:t>1.6 billion</w:t>
            </w:r>
          </w:p>
        </w:tc>
      </w:tr>
      <w:tr w:rsidR="00DC661A" w:rsidRPr="007E1E49" w14:paraId="63CBA515" w14:textId="77777777" w:rsidTr="009D3814">
        <w:trPr>
          <w:trHeight w:val="288"/>
          <w:jc w:val="center"/>
        </w:trPr>
        <w:tc>
          <w:tcPr>
            <w:tcW w:w="7083" w:type="dxa"/>
            <w:vAlign w:val="center"/>
          </w:tcPr>
          <w:p w14:paraId="1B6E0C51" w14:textId="7B8FBB11" w:rsidR="00DC661A" w:rsidRPr="007E1E49" w:rsidRDefault="00DC661A" w:rsidP="00AB495F">
            <w:pPr>
              <w:pStyle w:val="ExhibitText"/>
            </w:pPr>
            <w:r w:rsidRPr="007E1E49">
              <w:t xml:space="preserve">Percentage of </w:t>
            </w:r>
            <w:r w:rsidR="00622132">
              <w:t>t</w:t>
            </w:r>
            <w:r w:rsidR="00E529C4" w:rsidRPr="007E1E49">
              <w:t xml:space="preserve">otal </w:t>
            </w:r>
            <w:r w:rsidR="00622132">
              <w:t>t</w:t>
            </w:r>
            <w:r w:rsidR="00E529C4" w:rsidRPr="007E1E49">
              <w:t xml:space="preserve">raining </w:t>
            </w:r>
            <w:r w:rsidR="00622132">
              <w:t>b</w:t>
            </w:r>
            <w:r w:rsidR="00E529C4" w:rsidRPr="007E1E49">
              <w:t xml:space="preserve">udget </w:t>
            </w:r>
            <w:r w:rsidR="00622132">
              <w:t>s</w:t>
            </w:r>
            <w:r w:rsidR="00E529C4" w:rsidRPr="007E1E49">
              <w:t xml:space="preserve">pent </w:t>
            </w:r>
            <w:r w:rsidRPr="007E1E49">
              <w:t xml:space="preserve">on </w:t>
            </w:r>
            <w:r w:rsidR="00622132">
              <w:t>t</w:t>
            </w:r>
            <w:r w:rsidR="00E529C4" w:rsidRPr="007E1E49">
              <w:t xml:space="preserve">raining </w:t>
            </w:r>
            <w:r w:rsidR="00622132">
              <w:t>n</w:t>
            </w:r>
            <w:r w:rsidR="00E529C4" w:rsidRPr="007E1E49">
              <w:t xml:space="preserve">ew </w:t>
            </w:r>
            <w:r w:rsidR="00622132">
              <w:t>r</w:t>
            </w:r>
            <w:r w:rsidR="00E529C4" w:rsidRPr="007E1E49">
              <w:t>ecruits</w:t>
            </w:r>
          </w:p>
        </w:tc>
        <w:tc>
          <w:tcPr>
            <w:tcW w:w="2126" w:type="dxa"/>
            <w:vAlign w:val="center"/>
          </w:tcPr>
          <w:p w14:paraId="67DB5152" w14:textId="77777777" w:rsidR="00DC661A" w:rsidRPr="009D3814" w:rsidRDefault="00DC661A" w:rsidP="009D3814">
            <w:pPr>
              <w:pStyle w:val="ExhibitNumber"/>
              <w:rPr>
                <w:b w:val="0"/>
                <w:bCs/>
              </w:rPr>
            </w:pPr>
            <w:r w:rsidRPr="009D3814">
              <w:rPr>
                <w:b w:val="0"/>
                <w:bCs/>
              </w:rPr>
              <w:t>40%</w:t>
            </w:r>
          </w:p>
        </w:tc>
      </w:tr>
    </w:tbl>
    <w:p w14:paraId="1688FEDB" w14:textId="77777777" w:rsidR="00DC661A" w:rsidRPr="007E1E49" w:rsidRDefault="00DC661A" w:rsidP="009F2D1B">
      <w:pPr>
        <w:pStyle w:val="ExhibitText"/>
      </w:pPr>
    </w:p>
    <w:p w14:paraId="17231E49" w14:textId="711229DE" w:rsidR="00F4545E" w:rsidRDefault="00F4545E" w:rsidP="009F2D1B">
      <w:pPr>
        <w:pStyle w:val="Footnote"/>
      </w:pPr>
      <w:r>
        <w:t>Note: IT = Information Technology; FY = Fiscal Year.</w:t>
      </w:r>
    </w:p>
    <w:p w14:paraId="0EDBD4E1" w14:textId="60DD2401" w:rsidR="00DC661A" w:rsidRPr="007E1E49" w:rsidRDefault="00DC661A" w:rsidP="00F4545E">
      <w:pPr>
        <w:pStyle w:val="Footnote"/>
        <w:rPr>
          <w:b/>
          <w:caps/>
        </w:rPr>
      </w:pPr>
      <w:r w:rsidRPr="00AF69DC">
        <w:t xml:space="preserve">Source: </w:t>
      </w:r>
      <w:r w:rsidR="00E529C4" w:rsidRPr="00AF69DC">
        <w:t xml:space="preserve">Adapted from IBEF India, </w:t>
      </w:r>
      <w:r w:rsidR="00E529C4" w:rsidRPr="009F2D1B">
        <w:t xml:space="preserve">IT &amp; </w:t>
      </w:r>
      <w:proofErr w:type="spellStart"/>
      <w:r w:rsidR="00E529C4" w:rsidRPr="009F2D1B">
        <w:t>ITeS</w:t>
      </w:r>
      <w:proofErr w:type="spellEnd"/>
      <w:r w:rsidR="00E529C4" w:rsidRPr="00AF69DC">
        <w:t xml:space="preserve">, </w:t>
      </w:r>
      <w:r w:rsidRPr="00AF69DC">
        <w:t xml:space="preserve">January 2017, </w:t>
      </w:r>
      <w:r w:rsidR="00622132" w:rsidRPr="00DD1087">
        <w:t xml:space="preserve">27, </w:t>
      </w:r>
      <w:r w:rsidR="002A25A6" w:rsidRPr="009D3814">
        <w:t xml:space="preserve">accessed June 28, 2018, </w:t>
      </w:r>
      <w:r w:rsidRPr="009D3814">
        <w:t>www.ibef.org/download/IT-and-ITeS-January-2017.pdf.</w:t>
      </w:r>
      <w:r w:rsidRPr="007E1E49">
        <w:rPr>
          <w:b/>
          <w:caps/>
        </w:rPr>
        <w:br w:type="page"/>
      </w:r>
    </w:p>
    <w:p w14:paraId="22826F84" w14:textId="1B6F3A33" w:rsidR="00DC661A" w:rsidRPr="007E1E49" w:rsidRDefault="00DC661A" w:rsidP="00DC661A">
      <w:pPr>
        <w:pStyle w:val="ExhibitHeading"/>
      </w:pPr>
      <w:r w:rsidRPr="007E1E49">
        <w:lastRenderedPageBreak/>
        <w:t xml:space="preserve">Exhibit 5: Challenges faced in </w:t>
      </w:r>
      <w:r w:rsidR="00E529C4" w:rsidRPr="007E1E49">
        <w:t>entry-</w:t>
      </w:r>
      <w:r w:rsidRPr="007E1E49">
        <w:t>level hiring</w:t>
      </w:r>
    </w:p>
    <w:p w14:paraId="00FCE224" w14:textId="77777777" w:rsidR="00DC661A" w:rsidRPr="007E1E49" w:rsidRDefault="00DC661A" w:rsidP="002A25A6">
      <w:pPr>
        <w:pStyle w:val="ExhibitText"/>
      </w:pPr>
    </w:p>
    <w:tbl>
      <w:tblPr>
        <w:tblStyle w:val="TableGrid"/>
        <w:tblW w:w="936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9"/>
        <w:gridCol w:w="1387"/>
        <w:gridCol w:w="1444"/>
      </w:tblGrid>
      <w:tr w:rsidR="00DC661A" w:rsidRPr="007E1E49" w14:paraId="4B7D7FB2" w14:textId="77777777" w:rsidTr="00177A37">
        <w:trPr>
          <w:trHeight w:val="288"/>
          <w:jc w:val="center"/>
        </w:trPr>
        <w:tc>
          <w:tcPr>
            <w:tcW w:w="6463" w:type="dxa"/>
            <w:tcBorders>
              <w:top w:val="single" w:sz="4" w:space="0" w:color="auto"/>
              <w:bottom w:val="single" w:sz="12" w:space="0" w:color="auto"/>
            </w:tcBorders>
            <w:vAlign w:val="center"/>
          </w:tcPr>
          <w:p w14:paraId="007C21A0" w14:textId="15187BD7" w:rsidR="00DC661A" w:rsidRPr="007E1E49" w:rsidRDefault="00DC661A">
            <w:pPr>
              <w:pStyle w:val="ExhibitText"/>
              <w:jc w:val="center"/>
              <w:rPr>
                <w:b/>
              </w:rPr>
            </w:pPr>
            <w:r w:rsidRPr="007E1E49">
              <w:rPr>
                <w:b/>
              </w:rPr>
              <w:t xml:space="preserve">Challenge </w:t>
            </w:r>
            <w:r w:rsidR="00E529C4" w:rsidRPr="007E1E49">
              <w:rPr>
                <w:b/>
              </w:rPr>
              <w:t>Area</w:t>
            </w:r>
          </w:p>
        </w:tc>
        <w:tc>
          <w:tcPr>
            <w:tcW w:w="1373" w:type="dxa"/>
            <w:tcBorders>
              <w:top w:val="single" w:sz="4" w:space="0" w:color="auto"/>
              <w:bottom w:val="single" w:sz="12" w:space="0" w:color="auto"/>
            </w:tcBorders>
            <w:vAlign w:val="center"/>
          </w:tcPr>
          <w:p w14:paraId="3522A07D" w14:textId="67539B41" w:rsidR="00DC661A" w:rsidRPr="007E1E49" w:rsidRDefault="00DC661A">
            <w:pPr>
              <w:pStyle w:val="ExhibitText"/>
              <w:jc w:val="center"/>
              <w:rPr>
                <w:b/>
              </w:rPr>
            </w:pPr>
            <w:r w:rsidRPr="007E1E49">
              <w:rPr>
                <w:b/>
              </w:rPr>
              <w:t xml:space="preserve">General </w:t>
            </w:r>
            <w:r w:rsidR="00E529C4" w:rsidRPr="007E1E49">
              <w:rPr>
                <w:b/>
              </w:rPr>
              <w:t>Candidates</w:t>
            </w:r>
          </w:p>
        </w:tc>
        <w:tc>
          <w:tcPr>
            <w:tcW w:w="1429" w:type="dxa"/>
            <w:tcBorders>
              <w:top w:val="single" w:sz="4" w:space="0" w:color="auto"/>
              <w:bottom w:val="single" w:sz="12" w:space="0" w:color="auto"/>
            </w:tcBorders>
            <w:vAlign w:val="center"/>
          </w:tcPr>
          <w:p w14:paraId="0C73A494" w14:textId="0D77F6A4" w:rsidR="00DC661A" w:rsidRPr="007E1E49" w:rsidRDefault="00DC661A">
            <w:pPr>
              <w:pStyle w:val="ExhibitText"/>
              <w:jc w:val="center"/>
              <w:rPr>
                <w:b/>
              </w:rPr>
            </w:pPr>
            <w:r w:rsidRPr="007E1E49">
              <w:rPr>
                <w:b/>
              </w:rPr>
              <w:t xml:space="preserve">Professional </w:t>
            </w:r>
            <w:r w:rsidR="00E529C4" w:rsidRPr="007E1E49">
              <w:rPr>
                <w:b/>
              </w:rPr>
              <w:t>Candidates</w:t>
            </w:r>
          </w:p>
        </w:tc>
      </w:tr>
      <w:tr w:rsidR="00DC661A" w:rsidRPr="007E1E49" w14:paraId="382F1F59" w14:textId="77777777" w:rsidTr="00177A37">
        <w:trPr>
          <w:trHeight w:val="288"/>
          <w:jc w:val="center"/>
        </w:trPr>
        <w:tc>
          <w:tcPr>
            <w:tcW w:w="6463" w:type="dxa"/>
            <w:tcBorders>
              <w:top w:val="single" w:sz="12" w:space="0" w:color="auto"/>
            </w:tcBorders>
            <w:vAlign w:val="center"/>
          </w:tcPr>
          <w:p w14:paraId="28989B28" w14:textId="77777777" w:rsidR="00DC661A" w:rsidRPr="007E1E49" w:rsidRDefault="00DC661A" w:rsidP="00AB495F">
            <w:pPr>
              <w:pStyle w:val="ExhibitText"/>
            </w:pPr>
            <w:r w:rsidRPr="007E1E49">
              <w:t>Ascertaining ability of candidate for the job role</w:t>
            </w:r>
          </w:p>
        </w:tc>
        <w:tc>
          <w:tcPr>
            <w:tcW w:w="1373" w:type="dxa"/>
            <w:tcBorders>
              <w:top w:val="single" w:sz="12" w:space="0" w:color="auto"/>
            </w:tcBorders>
            <w:vAlign w:val="center"/>
          </w:tcPr>
          <w:p w14:paraId="01851445" w14:textId="77777777" w:rsidR="00DC661A" w:rsidRPr="009D3814" w:rsidRDefault="00DC661A" w:rsidP="009D3814">
            <w:pPr>
              <w:pStyle w:val="ExhibitNumber"/>
              <w:ind w:right="288"/>
              <w:jc w:val="right"/>
              <w:rPr>
                <w:b w:val="0"/>
                <w:bCs/>
              </w:rPr>
            </w:pPr>
            <w:r w:rsidRPr="009D3814">
              <w:rPr>
                <w:b w:val="0"/>
                <w:bCs/>
              </w:rPr>
              <w:t>56%</w:t>
            </w:r>
          </w:p>
        </w:tc>
        <w:tc>
          <w:tcPr>
            <w:tcW w:w="1429" w:type="dxa"/>
            <w:tcBorders>
              <w:top w:val="single" w:sz="12" w:space="0" w:color="auto"/>
            </w:tcBorders>
            <w:vAlign w:val="center"/>
          </w:tcPr>
          <w:p w14:paraId="69673A29" w14:textId="77777777" w:rsidR="00DC661A" w:rsidRPr="009D3814" w:rsidRDefault="00DC661A" w:rsidP="009D3814">
            <w:pPr>
              <w:pStyle w:val="ExhibitNumber"/>
              <w:ind w:right="288"/>
              <w:jc w:val="right"/>
              <w:rPr>
                <w:b w:val="0"/>
                <w:bCs/>
              </w:rPr>
            </w:pPr>
            <w:r w:rsidRPr="009D3814">
              <w:rPr>
                <w:b w:val="0"/>
                <w:bCs/>
              </w:rPr>
              <w:t>56%</w:t>
            </w:r>
          </w:p>
        </w:tc>
      </w:tr>
      <w:tr w:rsidR="00DC661A" w:rsidRPr="007E1E49" w14:paraId="091CAF2B" w14:textId="77777777" w:rsidTr="00177A37">
        <w:trPr>
          <w:trHeight w:val="288"/>
          <w:jc w:val="center"/>
        </w:trPr>
        <w:tc>
          <w:tcPr>
            <w:tcW w:w="6463" w:type="dxa"/>
            <w:vAlign w:val="center"/>
          </w:tcPr>
          <w:p w14:paraId="02D26038" w14:textId="77777777" w:rsidR="00DC661A" w:rsidRPr="007E1E49" w:rsidRDefault="00DC661A" w:rsidP="00AB495F">
            <w:pPr>
              <w:pStyle w:val="ExhibitText"/>
            </w:pPr>
            <w:r w:rsidRPr="007E1E49">
              <w:t>Finding appropriate candidate with relevant qualifications</w:t>
            </w:r>
          </w:p>
        </w:tc>
        <w:tc>
          <w:tcPr>
            <w:tcW w:w="1373" w:type="dxa"/>
            <w:vAlign w:val="center"/>
          </w:tcPr>
          <w:p w14:paraId="5BC1F160" w14:textId="77777777" w:rsidR="00DC661A" w:rsidRPr="009D3814" w:rsidRDefault="00DC661A" w:rsidP="009D3814">
            <w:pPr>
              <w:pStyle w:val="ExhibitNumber"/>
              <w:ind w:right="288"/>
              <w:jc w:val="right"/>
              <w:rPr>
                <w:b w:val="0"/>
                <w:bCs/>
              </w:rPr>
            </w:pPr>
            <w:r w:rsidRPr="009D3814">
              <w:rPr>
                <w:b w:val="0"/>
                <w:bCs/>
              </w:rPr>
              <w:t>47%</w:t>
            </w:r>
          </w:p>
        </w:tc>
        <w:tc>
          <w:tcPr>
            <w:tcW w:w="1429" w:type="dxa"/>
            <w:vAlign w:val="center"/>
          </w:tcPr>
          <w:p w14:paraId="3A55D016" w14:textId="77777777" w:rsidR="00DC661A" w:rsidRPr="009D3814" w:rsidRDefault="00DC661A" w:rsidP="009D3814">
            <w:pPr>
              <w:pStyle w:val="ExhibitNumber"/>
              <w:ind w:right="288"/>
              <w:jc w:val="right"/>
              <w:rPr>
                <w:b w:val="0"/>
                <w:bCs/>
              </w:rPr>
            </w:pPr>
            <w:r w:rsidRPr="009D3814">
              <w:rPr>
                <w:b w:val="0"/>
                <w:bCs/>
              </w:rPr>
              <w:t>36%</w:t>
            </w:r>
          </w:p>
        </w:tc>
      </w:tr>
      <w:tr w:rsidR="00DC661A" w:rsidRPr="007E1E49" w14:paraId="6D2294C0" w14:textId="77777777" w:rsidTr="00177A37">
        <w:trPr>
          <w:trHeight w:val="288"/>
          <w:jc w:val="center"/>
        </w:trPr>
        <w:tc>
          <w:tcPr>
            <w:tcW w:w="6463" w:type="dxa"/>
            <w:vAlign w:val="center"/>
          </w:tcPr>
          <w:p w14:paraId="2C78A990" w14:textId="77777777" w:rsidR="00DC661A" w:rsidRPr="007E1E49" w:rsidRDefault="00DC661A" w:rsidP="00AB495F">
            <w:pPr>
              <w:pStyle w:val="ExhibitText"/>
            </w:pPr>
            <w:r w:rsidRPr="007E1E49">
              <w:t>Screening from large number of applications</w:t>
            </w:r>
          </w:p>
        </w:tc>
        <w:tc>
          <w:tcPr>
            <w:tcW w:w="1373" w:type="dxa"/>
            <w:vAlign w:val="center"/>
          </w:tcPr>
          <w:p w14:paraId="2C0DC1D8" w14:textId="77777777" w:rsidR="00DC661A" w:rsidRPr="009D3814" w:rsidRDefault="00DC661A" w:rsidP="009D3814">
            <w:pPr>
              <w:pStyle w:val="ExhibitNumber"/>
              <w:ind w:right="288"/>
              <w:jc w:val="right"/>
              <w:rPr>
                <w:b w:val="0"/>
                <w:bCs/>
              </w:rPr>
            </w:pPr>
            <w:r w:rsidRPr="009D3814">
              <w:rPr>
                <w:b w:val="0"/>
                <w:bCs/>
              </w:rPr>
              <w:t>43%</w:t>
            </w:r>
          </w:p>
        </w:tc>
        <w:tc>
          <w:tcPr>
            <w:tcW w:w="1429" w:type="dxa"/>
            <w:vAlign w:val="center"/>
          </w:tcPr>
          <w:p w14:paraId="26D24EB7" w14:textId="77777777" w:rsidR="00DC661A" w:rsidRPr="009D3814" w:rsidRDefault="00DC661A" w:rsidP="009D3814">
            <w:pPr>
              <w:pStyle w:val="ExhibitNumber"/>
              <w:ind w:right="288"/>
              <w:jc w:val="right"/>
              <w:rPr>
                <w:b w:val="0"/>
                <w:bCs/>
              </w:rPr>
            </w:pPr>
            <w:r w:rsidRPr="009D3814">
              <w:rPr>
                <w:b w:val="0"/>
                <w:bCs/>
              </w:rPr>
              <w:t>29%</w:t>
            </w:r>
          </w:p>
        </w:tc>
      </w:tr>
      <w:tr w:rsidR="00DC661A" w:rsidRPr="007E1E49" w14:paraId="5A8C5D44" w14:textId="77777777" w:rsidTr="00177A37">
        <w:trPr>
          <w:trHeight w:val="288"/>
          <w:jc w:val="center"/>
        </w:trPr>
        <w:tc>
          <w:tcPr>
            <w:tcW w:w="6463" w:type="dxa"/>
            <w:vAlign w:val="center"/>
          </w:tcPr>
          <w:p w14:paraId="62B17485" w14:textId="77777777" w:rsidR="00DC661A" w:rsidRPr="007E1E49" w:rsidRDefault="00DC661A" w:rsidP="00AB495F">
            <w:pPr>
              <w:pStyle w:val="ExhibitText"/>
            </w:pPr>
            <w:r w:rsidRPr="007E1E49">
              <w:t>Verifying the credentials</w:t>
            </w:r>
          </w:p>
        </w:tc>
        <w:tc>
          <w:tcPr>
            <w:tcW w:w="1373" w:type="dxa"/>
            <w:vAlign w:val="center"/>
          </w:tcPr>
          <w:p w14:paraId="4CD00C60" w14:textId="77777777" w:rsidR="00DC661A" w:rsidRPr="009D3814" w:rsidRDefault="00DC661A" w:rsidP="009D3814">
            <w:pPr>
              <w:pStyle w:val="ExhibitNumber"/>
              <w:ind w:right="288"/>
              <w:jc w:val="right"/>
              <w:rPr>
                <w:b w:val="0"/>
                <w:bCs/>
              </w:rPr>
            </w:pPr>
            <w:r w:rsidRPr="009D3814">
              <w:rPr>
                <w:b w:val="0"/>
                <w:bCs/>
              </w:rPr>
              <w:t>36%</w:t>
            </w:r>
          </w:p>
        </w:tc>
        <w:tc>
          <w:tcPr>
            <w:tcW w:w="1429" w:type="dxa"/>
            <w:vAlign w:val="center"/>
          </w:tcPr>
          <w:p w14:paraId="64779497" w14:textId="77777777" w:rsidR="00DC661A" w:rsidRPr="009D3814" w:rsidRDefault="00DC661A" w:rsidP="009D3814">
            <w:pPr>
              <w:pStyle w:val="ExhibitNumber"/>
              <w:ind w:right="288"/>
              <w:jc w:val="right"/>
              <w:rPr>
                <w:b w:val="0"/>
                <w:bCs/>
              </w:rPr>
            </w:pPr>
            <w:r w:rsidRPr="009D3814">
              <w:rPr>
                <w:b w:val="0"/>
                <w:bCs/>
              </w:rPr>
              <w:t>23%</w:t>
            </w:r>
          </w:p>
        </w:tc>
      </w:tr>
      <w:tr w:rsidR="00DC661A" w:rsidRPr="007E1E49" w14:paraId="69A45A91" w14:textId="77777777" w:rsidTr="00177A37">
        <w:trPr>
          <w:trHeight w:val="288"/>
          <w:jc w:val="center"/>
        </w:trPr>
        <w:tc>
          <w:tcPr>
            <w:tcW w:w="6463" w:type="dxa"/>
            <w:vAlign w:val="center"/>
          </w:tcPr>
          <w:p w14:paraId="55E2CF92" w14:textId="2E117A56" w:rsidR="00DC661A" w:rsidRPr="007E1E49" w:rsidRDefault="00DC661A">
            <w:pPr>
              <w:pStyle w:val="ExhibitText"/>
            </w:pPr>
            <w:r w:rsidRPr="007E1E49">
              <w:t>Trustin</w:t>
            </w:r>
            <w:r w:rsidR="004453A7" w:rsidRPr="007E1E49">
              <w:t>g</w:t>
            </w:r>
            <w:r w:rsidRPr="007E1E49">
              <w:t xml:space="preserve"> candidates’ </w:t>
            </w:r>
            <w:r w:rsidR="004453A7" w:rsidRPr="007E1E49">
              <w:t xml:space="preserve">presented </w:t>
            </w:r>
            <w:r w:rsidRPr="007E1E49">
              <w:t xml:space="preserve">credentials </w:t>
            </w:r>
          </w:p>
        </w:tc>
        <w:tc>
          <w:tcPr>
            <w:tcW w:w="1373" w:type="dxa"/>
            <w:vAlign w:val="center"/>
          </w:tcPr>
          <w:p w14:paraId="7941F405" w14:textId="77777777" w:rsidR="00DC661A" w:rsidRPr="009D3814" w:rsidRDefault="00DC661A" w:rsidP="009D3814">
            <w:pPr>
              <w:pStyle w:val="ExhibitNumber"/>
              <w:ind w:right="288"/>
              <w:jc w:val="right"/>
              <w:rPr>
                <w:b w:val="0"/>
                <w:bCs/>
              </w:rPr>
            </w:pPr>
            <w:r w:rsidRPr="009D3814">
              <w:rPr>
                <w:b w:val="0"/>
                <w:bCs/>
              </w:rPr>
              <w:t>36%</w:t>
            </w:r>
          </w:p>
        </w:tc>
        <w:tc>
          <w:tcPr>
            <w:tcW w:w="1429" w:type="dxa"/>
            <w:vAlign w:val="center"/>
          </w:tcPr>
          <w:p w14:paraId="723B57CD" w14:textId="77777777" w:rsidR="00DC661A" w:rsidRPr="009D3814" w:rsidRDefault="00DC661A" w:rsidP="009D3814">
            <w:pPr>
              <w:pStyle w:val="ExhibitNumber"/>
              <w:ind w:right="288"/>
              <w:jc w:val="right"/>
              <w:rPr>
                <w:b w:val="0"/>
                <w:bCs/>
              </w:rPr>
            </w:pPr>
            <w:r w:rsidRPr="009D3814">
              <w:rPr>
                <w:b w:val="0"/>
                <w:bCs/>
              </w:rPr>
              <w:t>15%</w:t>
            </w:r>
          </w:p>
        </w:tc>
      </w:tr>
      <w:tr w:rsidR="00DC661A" w:rsidRPr="007E1E49" w14:paraId="6660F016" w14:textId="77777777" w:rsidTr="00177A37">
        <w:trPr>
          <w:trHeight w:val="288"/>
          <w:jc w:val="center"/>
        </w:trPr>
        <w:tc>
          <w:tcPr>
            <w:tcW w:w="6463" w:type="dxa"/>
            <w:vAlign w:val="center"/>
          </w:tcPr>
          <w:p w14:paraId="613359B2" w14:textId="5D25D71A" w:rsidR="00DC661A" w:rsidRPr="007E1E49" w:rsidRDefault="00A557BB">
            <w:pPr>
              <w:pStyle w:val="ExhibitText"/>
            </w:pPr>
            <w:r w:rsidRPr="007E1E49">
              <w:t xml:space="preserve">Identifying candidate </w:t>
            </w:r>
            <w:r w:rsidR="00DC661A" w:rsidRPr="007E1E49">
              <w:t>impersonation at recruitment test/process</w:t>
            </w:r>
          </w:p>
        </w:tc>
        <w:tc>
          <w:tcPr>
            <w:tcW w:w="1373" w:type="dxa"/>
            <w:vAlign w:val="center"/>
          </w:tcPr>
          <w:p w14:paraId="0A04E685" w14:textId="77777777" w:rsidR="00DC661A" w:rsidRPr="009D3814" w:rsidRDefault="00DC661A" w:rsidP="009D3814">
            <w:pPr>
              <w:pStyle w:val="ExhibitNumber"/>
              <w:ind w:right="288"/>
              <w:jc w:val="right"/>
              <w:rPr>
                <w:b w:val="0"/>
                <w:bCs/>
              </w:rPr>
            </w:pPr>
            <w:r w:rsidRPr="009D3814">
              <w:rPr>
                <w:b w:val="0"/>
                <w:bCs/>
              </w:rPr>
              <w:t>30%</w:t>
            </w:r>
          </w:p>
        </w:tc>
        <w:tc>
          <w:tcPr>
            <w:tcW w:w="1429" w:type="dxa"/>
            <w:vAlign w:val="center"/>
          </w:tcPr>
          <w:p w14:paraId="790C4285" w14:textId="77777777" w:rsidR="00DC661A" w:rsidRPr="009D3814" w:rsidRDefault="00DC661A" w:rsidP="009D3814">
            <w:pPr>
              <w:pStyle w:val="ExhibitNumber"/>
              <w:ind w:right="288"/>
              <w:jc w:val="right"/>
              <w:rPr>
                <w:b w:val="0"/>
                <w:bCs/>
              </w:rPr>
            </w:pPr>
            <w:r w:rsidRPr="009D3814">
              <w:rPr>
                <w:b w:val="0"/>
                <w:bCs/>
              </w:rPr>
              <w:t>20%</w:t>
            </w:r>
          </w:p>
        </w:tc>
      </w:tr>
      <w:tr w:rsidR="00DC661A" w:rsidRPr="007E1E49" w14:paraId="1B949E8D" w14:textId="77777777" w:rsidTr="00177A37">
        <w:trPr>
          <w:trHeight w:val="288"/>
          <w:jc w:val="center"/>
        </w:trPr>
        <w:tc>
          <w:tcPr>
            <w:tcW w:w="6463" w:type="dxa"/>
            <w:vAlign w:val="center"/>
          </w:tcPr>
          <w:p w14:paraId="2FE75AED" w14:textId="0FB9F244" w:rsidR="00DC661A" w:rsidRPr="007E1E49" w:rsidRDefault="00A557BB">
            <w:pPr>
              <w:pStyle w:val="ExhibitText"/>
            </w:pPr>
            <w:r w:rsidRPr="007E1E49">
              <w:t>Recognizing e</w:t>
            </w:r>
            <w:r w:rsidR="00DC661A" w:rsidRPr="007E1E49">
              <w:t>xaggeration of relevant experience</w:t>
            </w:r>
          </w:p>
        </w:tc>
        <w:tc>
          <w:tcPr>
            <w:tcW w:w="1373" w:type="dxa"/>
            <w:vAlign w:val="center"/>
          </w:tcPr>
          <w:p w14:paraId="59981541" w14:textId="77777777" w:rsidR="00DC661A" w:rsidRPr="009D3814" w:rsidRDefault="00DC661A" w:rsidP="009D3814">
            <w:pPr>
              <w:pStyle w:val="ExhibitNumber"/>
              <w:ind w:right="288"/>
              <w:jc w:val="right"/>
              <w:rPr>
                <w:b w:val="0"/>
                <w:bCs/>
              </w:rPr>
            </w:pPr>
            <w:r w:rsidRPr="009D3814">
              <w:rPr>
                <w:b w:val="0"/>
                <w:bCs/>
              </w:rPr>
              <w:t>20%</w:t>
            </w:r>
          </w:p>
        </w:tc>
        <w:tc>
          <w:tcPr>
            <w:tcW w:w="1429" w:type="dxa"/>
            <w:vAlign w:val="center"/>
          </w:tcPr>
          <w:p w14:paraId="3A7452AE" w14:textId="77777777" w:rsidR="00DC661A" w:rsidRPr="009D3814" w:rsidRDefault="00DC661A" w:rsidP="009D3814">
            <w:pPr>
              <w:pStyle w:val="ExhibitNumber"/>
              <w:ind w:right="288"/>
              <w:jc w:val="right"/>
              <w:rPr>
                <w:b w:val="0"/>
                <w:bCs/>
              </w:rPr>
            </w:pPr>
            <w:r w:rsidRPr="009D3814">
              <w:rPr>
                <w:b w:val="0"/>
                <w:bCs/>
              </w:rPr>
              <w:t>29%</w:t>
            </w:r>
          </w:p>
        </w:tc>
      </w:tr>
      <w:tr w:rsidR="00DC661A" w:rsidRPr="007E1E49" w14:paraId="2310E1A7" w14:textId="77777777" w:rsidTr="00177A37">
        <w:trPr>
          <w:trHeight w:val="288"/>
          <w:jc w:val="center"/>
        </w:trPr>
        <w:tc>
          <w:tcPr>
            <w:tcW w:w="6463" w:type="dxa"/>
            <w:vAlign w:val="center"/>
          </w:tcPr>
          <w:p w14:paraId="2F9349AF" w14:textId="77777777" w:rsidR="00DC661A" w:rsidRPr="007E1E49" w:rsidRDefault="00DC661A" w:rsidP="00AB495F">
            <w:pPr>
              <w:pStyle w:val="ExhibitText"/>
            </w:pPr>
            <w:r w:rsidRPr="007E1E49">
              <w:t>Managing external agencies that perform candidate verifications</w:t>
            </w:r>
          </w:p>
        </w:tc>
        <w:tc>
          <w:tcPr>
            <w:tcW w:w="1373" w:type="dxa"/>
            <w:vAlign w:val="center"/>
          </w:tcPr>
          <w:p w14:paraId="407E9CD6" w14:textId="77777777" w:rsidR="00DC661A" w:rsidRPr="009D3814" w:rsidRDefault="00DC661A" w:rsidP="009D3814">
            <w:pPr>
              <w:pStyle w:val="ExhibitNumber"/>
              <w:ind w:right="288"/>
              <w:jc w:val="right"/>
              <w:rPr>
                <w:b w:val="0"/>
                <w:bCs/>
              </w:rPr>
            </w:pPr>
            <w:r w:rsidRPr="009D3814">
              <w:rPr>
                <w:b w:val="0"/>
                <w:bCs/>
              </w:rPr>
              <w:t>20%</w:t>
            </w:r>
          </w:p>
        </w:tc>
        <w:tc>
          <w:tcPr>
            <w:tcW w:w="1429" w:type="dxa"/>
            <w:vAlign w:val="center"/>
          </w:tcPr>
          <w:p w14:paraId="5453848C" w14:textId="77777777" w:rsidR="00DC661A" w:rsidRPr="009D3814" w:rsidRDefault="00DC661A" w:rsidP="009D3814">
            <w:pPr>
              <w:pStyle w:val="ExhibitNumber"/>
              <w:ind w:right="288"/>
              <w:jc w:val="right"/>
              <w:rPr>
                <w:b w:val="0"/>
                <w:bCs/>
              </w:rPr>
            </w:pPr>
            <w:r w:rsidRPr="009D3814">
              <w:rPr>
                <w:b w:val="0"/>
                <w:bCs/>
              </w:rPr>
              <w:t>7%</w:t>
            </w:r>
          </w:p>
        </w:tc>
      </w:tr>
    </w:tbl>
    <w:p w14:paraId="59AD81A2" w14:textId="77777777" w:rsidR="00DC661A" w:rsidRPr="007E1E49" w:rsidRDefault="00DC661A" w:rsidP="009F2D1B">
      <w:pPr>
        <w:pStyle w:val="ExhibitText"/>
      </w:pPr>
    </w:p>
    <w:p w14:paraId="3C1A529E" w14:textId="1097DF4E" w:rsidR="00DC661A" w:rsidRPr="007E1E49" w:rsidRDefault="00DC661A">
      <w:pPr>
        <w:pStyle w:val="Footnote"/>
      </w:pPr>
      <w:r w:rsidRPr="007E1E49">
        <w:t xml:space="preserve">Note: </w:t>
      </w:r>
      <w:r w:rsidR="00622132">
        <w:t>S</w:t>
      </w:r>
      <w:r w:rsidRPr="007E1E49">
        <w:t>urvey</w:t>
      </w:r>
      <w:r w:rsidR="00A557BB" w:rsidRPr="007E1E49">
        <w:t xml:space="preserve"> based on responses from </w:t>
      </w:r>
      <w:r w:rsidRPr="007E1E49">
        <w:t xml:space="preserve">70 </w:t>
      </w:r>
      <w:r w:rsidR="00622132">
        <w:t>human resource</w:t>
      </w:r>
      <w:r w:rsidR="00622132" w:rsidRPr="007E1E49">
        <w:t xml:space="preserve"> </w:t>
      </w:r>
      <w:r w:rsidRPr="007E1E49">
        <w:t>managers and appropriate line managers from medium and large Indian organizations</w:t>
      </w:r>
      <w:r w:rsidR="00A557BB" w:rsidRPr="007E1E49">
        <w:t>.</w:t>
      </w:r>
    </w:p>
    <w:p w14:paraId="58E053C9" w14:textId="2D5E7AE5" w:rsidR="00DC661A" w:rsidRPr="007E1E49" w:rsidRDefault="00DC661A" w:rsidP="00DC661A">
      <w:pPr>
        <w:pStyle w:val="Footnote"/>
      </w:pPr>
      <w:r w:rsidRPr="007E1E49">
        <w:t xml:space="preserve">Source: </w:t>
      </w:r>
      <w:r w:rsidR="00A557BB" w:rsidRPr="007E1E49">
        <w:t xml:space="preserve">Adapted from </w:t>
      </w:r>
      <w:r w:rsidRPr="007E1E49">
        <w:t xml:space="preserve">Pearson, </w:t>
      </w:r>
      <w:r w:rsidRPr="008C5C6B">
        <w:rPr>
          <w:i/>
        </w:rPr>
        <w:t xml:space="preserve">Assessing the </w:t>
      </w:r>
      <w:r w:rsidR="00E529C4" w:rsidRPr="008C5C6B">
        <w:rPr>
          <w:i/>
        </w:rPr>
        <w:t xml:space="preserve">Right Talent </w:t>
      </w:r>
      <w:r w:rsidRPr="008C5C6B">
        <w:rPr>
          <w:i/>
        </w:rPr>
        <w:t xml:space="preserve">and </w:t>
      </w:r>
      <w:r w:rsidR="00E529C4" w:rsidRPr="008C5C6B">
        <w:rPr>
          <w:i/>
        </w:rPr>
        <w:t xml:space="preserve">Job Readiness </w:t>
      </w:r>
      <w:r w:rsidRPr="008C5C6B">
        <w:rPr>
          <w:i/>
        </w:rPr>
        <w:t xml:space="preserve">for India’s </w:t>
      </w:r>
      <w:r w:rsidR="00E529C4" w:rsidRPr="008C5C6B">
        <w:rPr>
          <w:i/>
        </w:rPr>
        <w:t>Professionals</w:t>
      </w:r>
      <w:r w:rsidRPr="008C5C6B">
        <w:rPr>
          <w:i/>
        </w:rPr>
        <w:t xml:space="preserve">: Challenges and </w:t>
      </w:r>
      <w:r w:rsidR="00E529C4" w:rsidRPr="008C5C6B">
        <w:rPr>
          <w:i/>
        </w:rPr>
        <w:t>Opportunities</w:t>
      </w:r>
      <w:r w:rsidRPr="008C5C6B">
        <w:rPr>
          <w:i/>
        </w:rPr>
        <w:t xml:space="preserve"> in the India </w:t>
      </w:r>
      <w:r w:rsidR="00E529C4" w:rsidRPr="008C5C6B">
        <w:rPr>
          <w:i/>
        </w:rPr>
        <w:t>Hiring Sector</w:t>
      </w:r>
      <w:r w:rsidR="00E529C4" w:rsidRPr="007E1E49">
        <w:t>,</w:t>
      </w:r>
      <w:r w:rsidRPr="007E1E49">
        <w:t xml:space="preserve"> July 2015, </w:t>
      </w:r>
      <w:r w:rsidR="00622132" w:rsidRPr="007E1E49">
        <w:t xml:space="preserve">7, </w:t>
      </w:r>
      <w:r w:rsidRPr="007E1E49">
        <w:t>accessed June 28, 2018, https://home.pearsonvue.com/Documents/Report/Pearson-VUE-India-Employer-Survey-2015.aspx.</w:t>
      </w:r>
    </w:p>
    <w:p w14:paraId="30FB1E70" w14:textId="77777777" w:rsidR="00DC661A" w:rsidRPr="007E1E49" w:rsidRDefault="00DC661A" w:rsidP="009F2D1B">
      <w:pPr>
        <w:pStyle w:val="ExhibitText"/>
      </w:pPr>
    </w:p>
    <w:p w14:paraId="2CCB6F0D" w14:textId="77777777" w:rsidR="00DC661A" w:rsidRPr="007E1E49" w:rsidRDefault="00DC661A" w:rsidP="009F2D1B">
      <w:pPr>
        <w:pStyle w:val="ExhibitText"/>
      </w:pPr>
    </w:p>
    <w:p w14:paraId="137020B0" w14:textId="4FA80CAA" w:rsidR="00DC661A" w:rsidRPr="007E1E49" w:rsidRDefault="00DC661A" w:rsidP="00DC661A">
      <w:pPr>
        <w:pStyle w:val="ExhibitHeading"/>
      </w:pPr>
      <w:r w:rsidRPr="007E1E49">
        <w:t xml:space="preserve">Exhibit 6: Challenges </w:t>
      </w:r>
      <w:r w:rsidR="00DD1326">
        <w:t xml:space="preserve">faced </w:t>
      </w:r>
      <w:r w:rsidRPr="007E1E49">
        <w:t xml:space="preserve">in </w:t>
      </w:r>
      <w:r w:rsidR="00A557BB" w:rsidRPr="007E1E49">
        <w:t>mid-</w:t>
      </w:r>
      <w:r w:rsidRPr="007E1E49">
        <w:t>level hiring</w:t>
      </w:r>
    </w:p>
    <w:p w14:paraId="4FA2C70B" w14:textId="77777777" w:rsidR="00DC661A" w:rsidRPr="007E1E49" w:rsidRDefault="00DC661A" w:rsidP="002A25A6">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91"/>
        <w:gridCol w:w="1569"/>
      </w:tblGrid>
      <w:tr w:rsidR="00DC661A" w:rsidRPr="007E1E49" w14:paraId="38FDA1CC" w14:textId="77777777" w:rsidTr="00177A37">
        <w:trPr>
          <w:trHeight w:val="288"/>
          <w:jc w:val="center"/>
        </w:trPr>
        <w:tc>
          <w:tcPr>
            <w:tcW w:w="6463" w:type="dxa"/>
            <w:tcBorders>
              <w:top w:val="single" w:sz="4" w:space="0" w:color="auto"/>
              <w:bottom w:val="single" w:sz="12" w:space="0" w:color="auto"/>
            </w:tcBorders>
            <w:vAlign w:val="center"/>
          </w:tcPr>
          <w:p w14:paraId="32BAD94C" w14:textId="7CFAC639" w:rsidR="00DC661A" w:rsidRPr="007E1E49" w:rsidRDefault="00DC661A">
            <w:pPr>
              <w:pStyle w:val="ExhibitText"/>
              <w:jc w:val="center"/>
              <w:rPr>
                <w:b/>
              </w:rPr>
            </w:pPr>
            <w:r w:rsidRPr="007E1E49">
              <w:rPr>
                <w:b/>
              </w:rPr>
              <w:t xml:space="preserve">Challenge </w:t>
            </w:r>
            <w:r w:rsidR="00A557BB" w:rsidRPr="007E1E49">
              <w:rPr>
                <w:b/>
              </w:rPr>
              <w:t>Area</w:t>
            </w:r>
          </w:p>
        </w:tc>
        <w:tc>
          <w:tcPr>
            <w:tcW w:w="1302" w:type="dxa"/>
            <w:tcBorders>
              <w:top w:val="single" w:sz="4" w:space="0" w:color="auto"/>
              <w:bottom w:val="single" w:sz="12" w:space="0" w:color="auto"/>
            </w:tcBorders>
            <w:vAlign w:val="center"/>
          </w:tcPr>
          <w:p w14:paraId="452F0C74" w14:textId="77777777" w:rsidR="00DC661A" w:rsidRPr="007E1E49" w:rsidRDefault="00DC661A" w:rsidP="00AB495F">
            <w:pPr>
              <w:pStyle w:val="ExhibitText"/>
              <w:jc w:val="center"/>
              <w:rPr>
                <w:b/>
              </w:rPr>
            </w:pPr>
            <w:r w:rsidRPr="007E1E49">
              <w:rPr>
                <w:b/>
              </w:rPr>
              <w:t xml:space="preserve">Percentage </w:t>
            </w:r>
          </w:p>
        </w:tc>
      </w:tr>
      <w:tr w:rsidR="00DC661A" w:rsidRPr="007E1E49" w14:paraId="49CB5611" w14:textId="77777777" w:rsidTr="00177A37">
        <w:trPr>
          <w:trHeight w:val="288"/>
          <w:jc w:val="center"/>
        </w:trPr>
        <w:tc>
          <w:tcPr>
            <w:tcW w:w="6463" w:type="dxa"/>
            <w:tcBorders>
              <w:top w:val="single" w:sz="12" w:space="0" w:color="auto"/>
            </w:tcBorders>
            <w:vAlign w:val="center"/>
          </w:tcPr>
          <w:p w14:paraId="7534D8E9" w14:textId="3B936B33" w:rsidR="00DC661A" w:rsidRPr="007E1E49" w:rsidRDefault="00DC661A">
            <w:pPr>
              <w:pStyle w:val="ExhibitText"/>
            </w:pPr>
            <w:r w:rsidRPr="007E1E49">
              <w:t>Availability/pool of suitable candidates</w:t>
            </w:r>
          </w:p>
        </w:tc>
        <w:tc>
          <w:tcPr>
            <w:tcW w:w="1302" w:type="dxa"/>
            <w:tcBorders>
              <w:top w:val="single" w:sz="12" w:space="0" w:color="auto"/>
            </w:tcBorders>
            <w:vAlign w:val="center"/>
          </w:tcPr>
          <w:p w14:paraId="07725FA1" w14:textId="77777777" w:rsidR="00DC661A" w:rsidRPr="009D3814" w:rsidRDefault="00DC661A" w:rsidP="009D3814">
            <w:pPr>
              <w:pStyle w:val="ExhibitNumber"/>
              <w:ind w:right="288"/>
              <w:jc w:val="right"/>
              <w:rPr>
                <w:b w:val="0"/>
                <w:bCs/>
              </w:rPr>
            </w:pPr>
            <w:r w:rsidRPr="009D3814">
              <w:rPr>
                <w:b w:val="0"/>
                <w:bCs/>
              </w:rPr>
              <w:t>69%</w:t>
            </w:r>
          </w:p>
        </w:tc>
      </w:tr>
      <w:tr w:rsidR="00DC661A" w:rsidRPr="007E1E49" w14:paraId="3D1823FE" w14:textId="77777777" w:rsidTr="00177A37">
        <w:trPr>
          <w:trHeight w:val="288"/>
          <w:jc w:val="center"/>
        </w:trPr>
        <w:tc>
          <w:tcPr>
            <w:tcW w:w="6463" w:type="dxa"/>
            <w:vAlign w:val="center"/>
          </w:tcPr>
          <w:p w14:paraId="18B194F5" w14:textId="77777777" w:rsidR="00DC661A" w:rsidRPr="007E1E49" w:rsidRDefault="00DC661A" w:rsidP="00AB495F">
            <w:pPr>
              <w:pStyle w:val="ExhibitText"/>
            </w:pPr>
            <w:r w:rsidRPr="007E1E49">
              <w:t xml:space="preserve">Finding appropriate candidate with relevant qualifications </w:t>
            </w:r>
          </w:p>
        </w:tc>
        <w:tc>
          <w:tcPr>
            <w:tcW w:w="1302" w:type="dxa"/>
            <w:vAlign w:val="center"/>
          </w:tcPr>
          <w:p w14:paraId="6FAC391E" w14:textId="77777777" w:rsidR="00DC661A" w:rsidRPr="009D3814" w:rsidRDefault="00DC661A" w:rsidP="009D3814">
            <w:pPr>
              <w:pStyle w:val="ExhibitNumber"/>
              <w:ind w:right="288"/>
              <w:jc w:val="right"/>
              <w:rPr>
                <w:b w:val="0"/>
                <w:bCs/>
              </w:rPr>
            </w:pPr>
            <w:r w:rsidRPr="009D3814">
              <w:rPr>
                <w:b w:val="0"/>
                <w:bCs/>
              </w:rPr>
              <w:t>46%</w:t>
            </w:r>
          </w:p>
        </w:tc>
      </w:tr>
      <w:tr w:rsidR="00DC661A" w:rsidRPr="007E1E49" w14:paraId="54B13483" w14:textId="77777777" w:rsidTr="00177A37">
        <w:trPr>
          <w:trHeight w:val="288"/>
          <w:jc w:val="center"/>
        </w:trPr>
        <w:tc>
          <w:tcPr>
            <w:tcW w:w="6463" w:type="dxa"/>
            <w:vAlign w:val="center"/>
          </w:tcPr>
          <w:p w14:paraId="622996EC" w14:textId="77777777" w:rsidR="00DC661A" w:rsidRPr="007E1E49" w:rsidRDefault="00DC661A" w:rsidP="00AB495F">
            <w:pPr>
              <w:pStyle w:val="ExhibitText"/>
            </w:pPr>
            <w:r w:rsidRPr="007E1E49">
              <w:t xml:space="preserve">Ascertaining ability of candidate for the job role </w:t>
            </w:r>
          </w:p>
        </w:tc>
        <w:tc>
          <w:tcPr>
            <w:tcW w:w="1302" w:type="dxa"/>
            <w:vAlign w:val="center"/>
          </w:tcPr>
          <w:p w14:paraId="708FB8CB" w14:textId="77777777" w:rsidR="00DC661A" w:rsidRPr="009D3814" w:rsidRDefault="00DC661A" w:rsidP="009D3814">
            <w:pPr>
              <w:pStyle w:val="ExhibitNumber"/>
              <w:ind w:right="288"/>
              <w:jc w:val="right"/>
              <w:rPr>
                <w:b w:val="0"/>
                <w:bCs/>
              </w:rPr>
            </w:pPr>
            <w:r w:rsidRPr="009D3814">
              <w:rPr>
                <w:b w:val="0"/>
                <w:bCs/>
              </w:rPr>
              <w:t>45%</w:t>
            </w:r>
          </w:p>
        </w:tc>
      </w:tr>
      <w:tr w:rsidR="00DC661A" w:rsidRPr="007E1E49" w14:paraId="26E04778" w14:textId="77777777" w:rsidTr="00177A37">
        <w:trPr>
          <w:trHeight w:val="288"/>
          <w:jc w:val="center"/>
        </w:trPr>
        <w:tc>
          <w:tcPr>
            <w:tcW w:w="6463" w:type="dxa"/>
            <w:vAlign w:val="center"/>
          </w:tcPr>
          <w:p w14:paraId="2D386DAB" w14:textId="069D1E13" w:rsidR="00DC661A" w:rsidRPr="007E1E49" w:rsidRDefault="00DC661A">
            <w:pPr>
              <w:pStyle w:val="ExhibitText"/>
            </w:pPr>
            <w:r w:rsidRPr="007E1E49">
              <w:t>Trustin</w:t>
            </w:r>
            <w:r w:rsidR="00A557BB" w:rsidRPr="007E1E49">
              <w:t>g</w:t>
            </w:r>
            <w:r w:rsidRPr="007E1E49">
              <w:t xml:space="preserve"> candidates’ </w:t>
            </w:r>
            <w:r w:rsidR="00622132" w:rsidRPr="007E1E49">
              <w:t xml:space="preserve">presented </w:t>
            </w:r>
            <w:r w:rsidRPr="007E1E49">
              <w:t xml:space="preserve">credentials </w:t>
            </w:r>
          </w:p>
        </w:tc>
        <w:tc>
          <w:tcPr>
            <w:tcW w:w="1302" w:type="dxa"/>
            <w:vAlign w:val="center"/>
          </w:tcPr>
          <w:p w14:paraId="68D3F80F" w14:textId="77777777" w:rsidR="00DC661A" w:rsidRPr="009D3814" w:rsidRDefault="00DC661A" w:rsidP="009D3814">
            <w:pPr>
              <w:pStyle w:val="ExhibitNumber"/>
              <w:ind w:right="288"/>
              <w:jc w:val="right"/>
              <w:rPr>
                <w:b w:val="0"/>
                <w:bCs/>
              </w:rPr>
            </w:pPr>
            <w:r w:rsidRPr="009D3814">
              <w:rPr>
                <w:b w:val="0"/>
                <w:bCs/>
              </w:rPr>
              <w:t>28%</w:t>
            </w:r>
          </w:p>
        </w:tc>
      </w:tr>
      <w:tr w:rsidR="00DC661A" w:rsidRPr="007E1E49" w14:paraId="274ABE11" w14:textId="77777777" w:rsidTr="00177A37">
        <w:trPr>
          <w:trHeight w:val="288"/>
          <w:jc w:val="center"/>
        </w:trPr>
        <w:tc>
          <w:tcPr>
            <w:tcW w:w="6463" w:type="dxa"/>
            <w:vAlign w:val="center"/>
          </w:tcPr>
          <w:p w14:paraId="05228F47" w14:textId="77777777" w:rsidR="00DC661A" w:rsidRPr="007E1E49" w:rsidRDefault="00DC661A" w:rsidP="00AB495F">
            <w:pPr>
              <w:pStyle w:val="ExhibitText"/>
            </w:pPr>
            <w:r w:rsidRPr="007E1E49">
              <w:t xml:space="preserve">Verifying candidates’ credentials </w:t>
            </w:r>
          </w:p>
        </w:tc>
        <w:tc>
          <w:tcPr>
            <w:tcW w:w="1302" w:type="dxa"/>
            <w:vAlign w:val="center"/>
          </w:tcPr>
          <w:p w14:paraId="19DF519D" w14:textId="77777777" w:rsidR="00DC661A" w:rsidRPr="009D3814" w:rsidRDefault="00DC661A" w:rsidP="009D3814">
            <w:pPr>
              <w:pStyle w:val="ExhibitNumber"/>
              <w:ind w:right="288"/>
              <w:jc w:val="right"/>
              <w:rPr>
                <w:b w:val="0"/>
                <w:bCs/>
              </w:rPr>
            </w:pPr>
            <w:r w:rsidRPr="009D3814">
              <w:rPr>
                <w:b w:val="0"/>
                <w:bCs/>
              </w:rPr>
              <w:t>24%</w:t>
            </w:r>
          </w:p>
        </w:tc>
      </w:tr>
      <w:tr w:rsidR="00DC661A" w:rsidRPr="007E1E49" w14:paraId="03342658" w14:textId="77777777" w:rsidTr="00177A37">
        <w:trPr>
          <w:trHeight w:val="288"/>
          <w:jc w:val="center"/>
        </w:trPr>
        <w:tc>
          <w:tcPr>
            <w:tcW w:w="6463" w:type="dxa"/>
            <w:vAlign w:val="center"/>
          </w:tcPr>
          <w:p w14:paraId="796A5755" w14:textId="77777777" w:rsidR="00DC661A" w:rsidRPr="007E1E49" w:rsidRDefault="00DC661A" w:rsidP="00AB495F">
            <w:pPr>
              <w:pStyle w:val="ExhibitText"/>
            </w:pPr>
            <w:r w:rsidRPr="007E1E49">
              <w:t xml:space="preserve">Screening applications </w:t>
            </w:r>
          </w:p>
        </w:tc>
        <w:tc>
          <w:tcPr>
            <w:tcW w:w="1302" w:type="dxa"/>
            <w:vAlign w:val="center"/>
          </w:tcPr>
          <w:p w14:paraId="7FA54AD1" w14:textId="77777777" w:rsidR="00DC661A" w:rsidRPr="009D3814" w:rsidRDefault="00DC661A" w:rsidP="009D3814">
            <w:pPr>
              <w:pStyle w:val="ExhibitNumber"/>
              <w:ind w:right="288"/>
              <w:jc w:val="right"/>
              <w:rPr>
                <w:b w:val="0"/>
                <w:bCs/>
              </w:rPr>
            </w:pPr>
            <w:r w:rsidRPr="009D3814">
              <w:rPr>
                <w:b w:val="0"/>
                <w:bCs/>
              </w:rPr>
              <w:t>19%</w:t>
            </w:r>
          </w:p>
        </w:tc>
      </w:tr>
      <w:tr w:rsidR="00DC661A" w:rsidRPr="007E1E49" w14:paraId="418BE3D3" w14:textId="77777777" w:rsidTr="00177A37">
        <w:trPr>
          <w:trHeight w:val="288"/>
          <w:jc w:val="center"/>
        </w:trPr>
        <w:tc>
          <w:tcPr>
            <w:tcW w:w="6463" w:type="dxa"/>
            <w:vAlign w:val="center"/>
          </w:tcPr>
          <w:p w14:paraId="02AFBF89" w14:textId="77777777" w:rsidR="00DC661A" w:rsidRPr="007E1E49" w:rsidRDefault="00DC661A" w:rsidP="00AB495F">
            <w:pPr>
              <w:pStyle w:val="ExhibitText"/>
            </w:pPr>
            <w:r w:rsidRPr="007E1E49">
              <w:t>Managing candidate verification</w:t>
            </w:r>
          </w:p>
        </w:tc>
        <w:tc>
          <w:tcPr>
            <w:tcW w:w="1302" w:type="dxa"/>
            <w:vAlign w:val="center"/>
          </w:tcPr>
          <w:p w14:paraId="2B539BC7" w14:textId="77777777" w:rsidR="00DC661A" w:rsidRPr="009D3814" w:rsidRDefault="00DC661A" w:rsidP="009D3814">
            <w:pPr>
              <w:pStyle w:val="ExhibitNumber"/>
              <w:ind w:right="288"/>
              <w:jc w:val="right"/>
              <w:rPr>
                <w:b w:val="0"/>
                <w:bCs/>
              </w:rPr>
            </w:pPr>
            <w:r w:rsidRPr="009D3814">
              <w:rPr>
                <w:b w:val="0"/>
                <w:bCs/>
              </w:rPr>
              <w:t>14%</w:t>
            </w:r>
          </w:p>
        </w:tc>
      </w:tr>
      <w:tr w:rsidR="00DC661A" w:rsidRPr="007E1E49" w14:paraId="108A4B57" w14:textId="77777777" w:rsidTr="00177A37">
        <w:trPr>
          <w:trHeight w:val="288"/>
          <w:jc w:val="center"/>
        </w:trPr>
        <w:tc>
          <w:tcPr>
            <w:tcW w:w="6463" w:type="dxa"/>
            <w:vAlign w:val="center"/>
          </w:tcPr>
          <w:p w14:paraId="2EAFF33D" w14:textId="77777777" w:rsidR="00DC661A" w:rsidRPr="007E1E49" w:rsidRDefault="00DC661A" w:rsidP="00AB495F">
            <w:pPr>
              <w:pStyle w:val="ExhibitText"/>
            </w:pPr>
            <w:r w:rsidRPr="007E1E49">
              <w:t xml:space="preserve">Candidate impersonation </w:t>
            </w:r>
          </w:p>
        </w:tc>
        <w:tc>
          <w:tcPr>
            <w:tcW w:w="1302" w:type="dxa"/>
            <w:vAlign w:val="center"/>
          </w:tcPr>
          <w:p w14:paraId="2F133FFB" w14:textId="77777777" w:rsidR="00DC661A" w:rsidRPr="009D3814" w:rsidRDefault="00DC661A" w:rsidP="009D3814">
            <w:pPr>
              <w:pStyle w:val="ExhibitNumber"/>
              <w:ind w:right="288"/>
              <w:jc w:val="right"/>
              <w:rPr>
                <w:b w:val="0"/>
                <w:bCs/>
              </w:rPr>
            </w:pPr>
            <w:r w:rsidRPr="009D3814">
              <w:rPr>
                <w:b w:val="0"/>
                <w:bCs/>
              </w:rPr>
              <w:t>8%</w:t>
            </w:r>
          </w:p>
        </w:tc>
      </w:tr>
    </w:tbl>
    <w:p w14:paraId="24790334" w14:textId="77777777" w:rsidR="00DC661A" w:rsidRPr="007E1E49" w:rsidRDefault="00DC661A" w:rsidP="009F2D1B">
      <w:pPr>
        <w:pStyle w:val="ExhibitText"/>
      </w:pPr>
    </w:p>
    <w:p w14:paraId="517C9704" w14:textId="58256566" w:rsidR="00DC661A" w:rsidRPr="007E1E49" w:rsidRDefault="00DC661A" w:rsidP="008C5C6B">
      <w:pPr>
        <w:pStyle w:val="Footnote"/>
        <w:rPr>
          <w:b/>
          <w:caps/>
        </w:rPr>
      </w:pPr>
      <w:r w:rsidRPr="007E1E49">
        <w:t xml:space="preserve">Note: </w:t>
      </w:r>
      <w:r w:rsidR="00622132">
        <w:t>S</w:t>
      </w:r>
      <w:r w:rsidR="00A557BB" w:rsidRPr="007E1E49">
        <w:t xml:space="preserve">urvey based on responses from </w:t>
      </w:r>
      <w:r w:rsidRPr="007E1E49">
        <w:t xml:space="preserve">85 </w:t>
      </w:r>
      <w:r w:rsidR="00622132">
        <w:t>human resource</w:t>
      </w:r>
      <w:r w:rsidR="00622132" w:rsidRPr="007E1E49">
        <w:t xml:space="preserve"> </w:t>
      </w:r>
      <w:r w:rsidRPr="007E1E49">
        <w:t>managers and appropriate line managers from medium and large Indian organizations</w:t>
      </w:r>
      <w:r w:rsidR="00622132">
        <w:t>.</w:t>
      </w:r>
    </w:p>
    <w:p w14:paraId="0C1B5347" w14:textId="2DAFEE7F" w:rsidR="00DC661A" w:rsidRPr="007E1E49" w:rsidRDefault="00DC661A" w:rsidP="00DC661A">
      <w:pPr>
        <w:pStyle w:val="Footnote"/>
      </w:pPr>
      <w:r w:rsidRPr="007E1E49">
        <w:t xml:space="preserve">Source: </w:t>
      </w:r>
      <w:r w:rsidR="00A557BB" w:rsidRPr="007E1E49">
        <w:t xml:space="preserve">Adapted from Pearson, </w:t>
      </w:r>
      <w:r w:rsidR="00A557BB" w:rsidRPr="007E1E49">
        <w:rPr>
          <w:i/>
        </w:rPr>
        <w:t>Assessing the Right Talent and Job Readiness for India’s Professionals: Challenges and Opportunities in the India Hiring Sector</w:t>
      </w:r>
      <w:r w:rsidR="00A557BB" w:rsidRPr="007E1E49">
        <w:t xml:space="preserve">, </w:t>
      </w:r>
      <w:r w:rsidRPr="007E1E49">
        <w:t xml:space="preserve">July 2015, </w:t>
      </w:r>
      <w:r w:rsidR="00622132" w:rsidRPr="007E1E49">
        <w:t xml:space="preserve">6, </w:t>
      </w:r>
      <w:r w:rsidRPr="007E1E49">
        <w:t>accessed June 28, 2018, https://home.pearsonvue.com/Documents/Report/Pearson-VUE-India-Employer-Survey-2015.aspx.</w:t>
      </w:r>
    </w:p>
    <w:p w14:paraId="7C986471" w14:textId="77777777" w:rsidR="00113BEC" w:rsidRPr="007E1E49" w:rsidRDefault="00113BEC" w:rsidP="009F2D1B">
      <w:pPr>
        <w:pStyle w:val="ExhibitText"/>
      </w:pPr>
    </w:p>
    <w:sectPr w:rsidR="00113BEC" w:rsidRPr="007E1E49"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AC055" w14:textId="77777777" w:rsidR="00AA42E2" w:rsidRDefault="00AA42E2" w:rsidP="00D75295">
      <w:r>
        <w:separator/>
      </w:r>
    </w:p>
  </w:endnote>
  <w:endnote w:type="continuationSeparator" w:id="0">
    <w:p w14:paraId="5D4236A2" w14:textId="77777777" w:rsidR="00AA42E2" w:rsidRDefault="00AA42E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9778E" w14:textId="77777777" w:rsidR="00AA42E2" w:rsidRDefault="00AA42E2" w:rsidP="00D75295">
      <w:r>
        <w:separator/>
      </w:r>
    </w:p>
  </w:footnote>
  <w:footnote w:type="continuationSeparator" w:id="0">
    <w:p w14:paraId="783532D2" w14:textId="77777777" w:rsidR="00AA42E2" w:rsidRDefault="00AA42E2" w:rsidP="00D75295">
      <w:r>
        <w:continuationSeparator/>
      </w:r>
    </w:p>
  </w:footnote>
  <w:footnote w:id="1">
    <w:p w14:paraId="187CF98B" w14:textId="5B6E2235" w:rsidR="008C5C6B" w:rsidRPr="00417246" w:rsidRDefault="008C5C6B" w:rsidP="00113BEC">
      <w:pPr>
        <w:pStyle w:val="Footnote"/>
      </w:pPr>
      <w:r w:rsidRPr="00417246">
        <w:rPr>
          <w:rStyle w:val="FootnoteReference"/>
        </w:rPr>
        <w:footnoteRef/>
      </w:r>
      <w:r w:rsidRPr="00417246">
        <w:t xml:space="preserve"> Google App Engine (often referred to as GAE or simply App Engine) was a web-framework and cloud-computing platform for developing and hosting web applications in Google-managed data centres.</w:t>
      </w:r>
    </w:p>
  </w:footnote>
  <w:footnote w:id="2">
    <w:p w14:paraId="0D7DF662" w14:textId="63528387" w:rsidR="008C5C6B" w:rsidRPr="00417246" w:rsidRDefault="008C5C6B" w:rsidP="00113BEC">
      <w:pPr>
        <w:pStyle w:val="Footnote"/>
      </w:pPr>
      <w:r w:rsidRPr="00417246">
        <w:rPr>
          <w:rStyle w:val="FootnoteReference"/>
        </w:rPr>
        <w:footnoteRef/>
      </w:r>
      <w:r w:rsidRPr="00417246">
        <w:t xml:space="preserve"> Python was a popular language for general-purpose programming. It emphasized code readability, and its syntax allowed programmers to express concepts in fewer lines of code.</w:t>
      </w:r>
    </w:p>
  </w:footnote>
  <w:footnote w:id="3">
    <w:p w14:paraId="3461B983" w14:textId="4A1FBD5E" w:rsidR="008C5C6B" w:rsidRPr="00417246" w:rsidRDefault="008C5C6B" w:rsidP="00113BEC">
      <w:pPr>
        <w:pStyle w:val="Footnote"/>
        <w:rPr>
          <w:lang w:val="en-IN"/>
        </w:rPr>
      </w:pPr>
      <w:r w:rsidRPr="00417246">
        <w:rPr>
          <w:rStyle w:val="FootnoteReference"/>
        </w:rPr>
        <w:footnoteRef/>
      </w:r>
      <w:r w:rsidRPr="00417246">
        <w:t xml:space="preserve"> ₹ = INR = Indian rupee; ₹</w:t>
      </w:r>
      <w:r w:rsidRPr="00417246">
        <w:rPr>
          <w:lang w:val="en-IN"/>
        </w:rPr>
        <w:t>1 = US$0.0147 as o</w:t>
      </w:r>
      <w:r w:rsidR="00417246">
        <w:rPr>
          <w:lang w:val="en-IN"/>
        </w:rPr>
        <w:t>f</w:t>
      </w:r>
      <w:r w:rsidRPr="00417246">
        <w:rPr>
          <w:lang w:val="en-IN"/>
        </w:rPr>
        <w:t xml:space="preserve"> January 30, 2016.</w:t>
      </w:r>
    </w:p>
  </w:footnote>
  <w:footnote w:id="4">
    <w:p w14:paraId="398FC32E" w14:textId="6B1F9DBD" w:rsidR="00DD779A" w:rsidRPr="00417246" w:rsidRDefault="00DD779A" w:rsidP="00DD779A">
      <w:pPr>
        <w:pStyle w:val="Footnote"/>
      </w:pPr>
      <w:r w:rsidRPr="00417246">
        <w:rPr>
          <w:rStyle w:val="FootnoteReference"/>
        </w:rPr>
        <w:footnoteRef/>
      </w:r>
      <w:r w:rsidRPr="00417246">
        <w:t xml:space="preserve"> NASCOMM, </w:t>
      </w:r>
      <w:r w:rsidRPr="00417246">
        <w:rPr>
          <w:i/>
        </w:rPr>
        <w:t>Indian IT-BPM Industry in India: Skilling for Digital Relevance</w:t>
      </w:r>
      <w:r w:rsidRPr="00417246">
        <w:t xml:space="preserve">, September 2017, </w:t>
      </w:r>
      <w:r w:rsidR="00177A37" w:rsidRPr="00417246">
        <w:t xml:space="preserve">4–5, </w:t>
      </w:r>
      <w:r w:rsidRPr="00417246">
        <w:t xml:space="preserve">accessed January 30, 2018, </w:t>
      </w:r>
      <w:r w:rsidR="00FF5155">
        <w:t>www.</w:t>
      </w:r>
      <w:r w:rsidRPr="00417246">
        <w:t>nasscom.in/knowledge-center/publications/indian-it-bpm-industry-skilling-digital-relevance-case-study.</w:t>
      </w:r>
    </w:p>
  </w:footnote>
  <w:footnote w:id="5">
    <w:p w14:paraId="27DD03C2" w14:textId="0CB97F0F" w:rsidR="008C5C6B" w:rsidRPr="00417246" w:rsidRDefault="008C5C6B" w:rsidP="00113BEC">
      <w:pPr>
        <w:pStyle w:val="Footnote"/>
      </w:pPr>
      <w:r w:rsidRPr="00417246">
        <w:rPr>
          <w:rStyle w:val="FootnoteReference"/>
        </w:rPr>
        <w:footnoteRef/>
      </w:r>
      <w:r w:rsidRPr="00417246">
        <w:t xml:space="preserve"> NASCOMM, </w:t>
      </w:r>
      <w:r w:rsidRPr="00417246">
        <w:rPr>
          <w:i/>
        </w:rPr>
        <w:t>IT-BPM Industry in India: Sustaining Growth and Investing for the Future</w:t>
      </w:r>
      <w:r w:rsidRPr="00417246">
        <w:t xml:space="preserve">, June 22, 2017, </w:t>
      </w:r>
      <w:r w:rsidR="00177A37" w:rsidRPr="00417246">
        <w:t xml:space="preserve">4–8, </w:t>
      </w:r>
      <w:r w:rsidRPr="00417246">
        <w:t>accessed January 30, 2018, www.nasscom.in/sites/default/files/NASSCOM_Annual_Guidance_Final_22062017.pdf.</w:t>
      </w:r>
    </w:p>
  </w:footnote>
  <w:footnote w:id="6">
    <w:p w14:paraId="39618F5B" w14:textId="0B0A355E" w:rsidR="008D0139" w:rsidRPr="00417246" w:rsidRDefault="008D0139">
      <w:pPr>
        <w:pStyle w:val="FootnoteText"/>
        <w:rPr>
          <w:rFonts w:ascii="Arial" w:hAnsi="Arial" w:cs="Arial"/>
          <w:sz w:val="17"/>
          <w:szCs w:val="17"/>
          <w:lang w:val="en-US"/>
        </w:rPr>
      </w:pPr>
      <w:r w:rsidRPr="00417246">
        <w:rPr>
          <w:rStyle w:val="FootnoteReference"/>
          <w:rFonts w:ascii="Arial" w:hAnsi="Arial" w:cs="Arial"/>
          <w:sz w:val="17"/>
          <w:szCs w:val="17"/>
        </w:rPr>
        <w:footnoteRef/>
      </w:r>
      <w:r w:rsidRPr="00417246">
        <w:rPr>
          <w:rFonts w:ascii="Arial" w:hAnsi="Arial" w:cs="Arial"/>
          <w:sz w:val="17"/>
          <w:szCs w:val="17"/>
        </w:rPr>
        <w:t xml:space="preserve"> IBEF India and </w:t>
      </w:r>
      <w:proofErr w:type="spellStart"/>
      <w:r w:rsidRPr="00417246">
        <w:rPr>
          <w:rFonts w:ascii="Arial" w:hAnsi="Arial" w:cs="Arial"/>
          <w:sz w:val="17"/>
          <w:szCs w:val="17"/>
        </w:rPr>
        <w:t>Aranca</w:t>
      </w:r>
      <w:proofErr w:type="spellEnd"/>
      <w:r w:rsidRPr="00417246">
        <w:rPr>
          <w:rFonts w:ascii="Arial" w:hAnsi="Arial" w:cs="Arial"/>
          <w:sz w:val="17"/>
          <w:szCs w:val="17"/>
        </w:rPr>
        <w:t xml:space="preserve">, </w:t>
      </w:r>
      <w:r w:rsidRPr="00417246">
        <w:rPr>
          <w:rFonts w:ascii="Arial" w:hAnsi="Arial" w:cs="Arial"/>
          <w:i/>
          <w:sz w:val="17"/>
          <w:szCs w:val="17"/>
        </w:rPr>
        <w:t xml:space="preserve">IT &amp; </w:t>
      </w:r>
      <w:proofErr w:type="spellStart"/>
      <w:r w:rsidRPr="00417246">
        <w:rPr>
          <w:rFonts w:ascii="Arial" w:hAnsi="Arial" w:cs="Arial"/>
          <w:i/>
          <w:sz w:val="17"/>
          <w:szCs w:val="17"/>
        </w:rPr>
        <w:t>ITeS</w:t>
      </w:r>
      <w:proofErr w:type="spellEnd"/>
      <w:r w:rsidRPr="00417246">
        <w:rPr>
          <w:rFonts w:ascii="Arial" w:hAnsi="Arial" w:cs="Arial"/>
          <w:sz w:val="17"/>
          <w:szCs w:val="17"/>
        </w:rPr>
        <w:t>, January 2018, 9–13, accessed January 30, 2018, www.ibef.org/download/IT_-ITeS-Report-Jan-20181.pdf.</w:t>
      </w:r>
    </w:p>
  </w:footnote>
  <w:footnote w:id="7">
    <w:p w14:paraId="64E5FEF8" w14:textId="5AA5745C" w:rsidR="008C5C6B" w:rsidRPr="00417246" w:rsidRDefault="008C5C6B" w:rsidP="00113BEC">
      <w:pPr>
        <w:pStyle w:val="Footnote"/>
      </w:pPr>
      <w:r w:rsidRPr="00417246">
        <w:rPr>
          <w:rStyle w:val="FootnoteReference"/>
        </w:rPr>
        <w:footnoteRef/>
      </w:r>
      <w:r w:rsidRPr="00417246">
        <w:t xml:space="preserve"> </w:t>
      </w:r>
      <w:r w:rsidR="00417246" w:rsidRPr="00417246">
        <w:t>I</w:t>
      </w:r>
      <w:r w:rsidR="008D0139" w:rsidRPr="00417246">
        <w:t>bid</w:t>
      </w:r>
      <w:r w:rsidRPr="00417246">
        <w:t>.</w:t>
      </w:r>
    </w:p>
  </w:footnote>
  <w:footnote w:id="8">
    <w:p w14:paraId="731432EC" w14:textId="243D35BF" w:rsidR="008C5C6B" w:rsidRPr="00417246" w:rsidRDefault="008C5C6B" w:rsidP="00113BEC">
      <w:pPr>
        <w:pStyle w:val="Footnote"/>
      </w:pPr>
      <w:r w:rsidRPr="00417246">
        <w:rPr>
          <w:rStyle w:val="FootnoteReference"/>
        </w:rPr>
        <w:footnoteRef/>
      </w:r>
      <w:r w:rsidRPr="00417246">
        <w:t xml:space="preserve"> Raghav Poojary, “Key Recruitment Challenges in 2017,” People Matters, May 19, 2017, accessed February 3, 2018, www.peoplematters.in/article/strategic-hr/key-recruitment-challenges-in-2017-15482.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6B3D7CF" w:rsidR="008C5C6B" w:rsidRPr="00C92CC4" w:rsidRDefault="008C5C6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87B02">
      <w:rPr>
        <w:rFonts w:ascii="Arial" w:hAnsi="Arial"/>
        <w:b/>
        <w:noProof/>
      </w:rPr>
      <w:t>10</w:t>
    </w:r>
    <w:r>
      <w:rPr>
        <w:rFonts w:ascii="Arial" w:hAnsi="Arial"/>
        <w:b/>
      </w:rPr>
      <w:fldChar w:fldCharType="end"/>
    </w:r>
    <w:r>
      <w:rPr>
        <w:rFonts w:ascii="Arial" w:hAnsi="Arial"/>
        <w:b/>
      </w:rPr>
      <w:tab/>
    </w:r>
    <w:r w:rsidR="0059710F">
      <w:rPr>
        <w:rFonts w:ascii="Arial" w:hAnsi="Arial"/>
        <w:b/>
      </w:rPr>
      <w:t>9B19M</w:t>
    </w:r>
    <w:r w:rsidR="00717314">
      <w:rPr>
        <w:rFonts w:ascii="Arial" w:hAnsi="Arial"/>
        <w:b/>
      </w:rPr>
      <w:t>098</w:t>
    </w:r>
  </w:p>
  <w:p w14:paraId="2B53C0A0" w14:textId="77777777" w:rsidR="008C5C6B" w:rsidRDefault="008C5C6B" w:rsidP="00D13667">
    <w:pPr>
      <w:pStyle w:val="Header"/>
      <w:tabs>
        <w:tab w:val="clear" w:pos="4680"/>
      </w:tabs>
      <w:rPr>
        <w:sz w:val="18"/>
        <w:szCs w:val="18"/>
      </w:rPr>
    </w:pPr>
  </w:p>
  <w:p w14:paraId="47119730" w14:textId="77777777" w:rsidR="008C5C6B" w:rsidRPr="00C92CC4" w:rsidRDefault="008C5C6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BCF4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EDC59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521B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ADF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2E6D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029E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A27C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E81C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3220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E6E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GB"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wNre0NDE2MjUzMjRV0lEKTi0uzszPAykwqQUAhixwCiwAAAA="/>
  </w:docVars>
  <w:rsids>
    <w:rsidRoot w:val="008A4DC4"/>
    <w:rsid w:val="0000085A"/>
    <w:rsid w:val="00005090"/>
    <w:rsid w:val="00005169"/>
    <w:rsid w:val="00011E2D"/>
    <w:rsid w:val="00013360"/>
    <w:rsid w:val="00016759"/>
    <w:rsid w:val="00016E99"/>
    <w:rsid w:val="000216CE"/>
    <w:rsid w:val="00024ED4"/>
    <w:rsid w:val="00025DC7"/>
    <w:rsid w:val="00035F09"/>
    <w:rsid w:val="00036F51"/>
    <w:rsid w:val="00044ECC"/>
    <w:rsid w:val="000523F0"/>
    <w:rsid w:val="000531D3"/>
    <w:rsid w:val="0005646B"/>
    <w:rsid w:val="000615D1"/>
    <w:rsid w:val="00065A32"/>
    <w:rsid w:val="0008102D"/>
    <w:rsid w:val="00086B26"/>
    <w:rsid w:val="00093D18"/>
    <w:rsid w:val="00094446"/>
    <w:rsid w:val="00094C0E"/>
    <w:rsid w:val="000A146D"/>
    <w:rsid w:val="000B7CED"/>
    <w:rsid w:val="000D2A2F"/>
    <w:rsid w:val="000D5A06"/>
    <w:rsid w:val="000D7091"/>
    <w:rsid w:val="000F0C22"/>
    <w:rsid w:val="000F6B09"/>
    <w:rsid w:val="000F6FDC"/>
    <w:rsid w:val="001008E8"/>
    <w:rsid w:val="00104567"/>
    <w:rsid w:val="00104916"/>
    <w:rsid w:val="00104AA7"/>
    <w:rsid w:val="00113BEC"/>
    <w:rsid w:val="00120CE9"/>
    <w:rsid w:val="00122A98"/>
    <w:rsid w:val="0012732D"/>
    <w:rsid w:val="00133440"/>
    <w:rsid w:val="00143F25"/>
    <w:rsid w:val="00152682"/>
    <w:rsid w:val="00154FC9"/>
    <w:rsid w:val="00173DED"/>
    <w:rsid w:val="00177471"/>
    <w:rsid w:val="00177A37"/>
    <w:rsid w:val="001901C0"/>
    <w:rsid w:val="0019241A"/>
    <w:rsid w:val="00192A18"/>
    <w:rsid w:val="001A22D1"/>
    <w:rsid w:val="001A474C"/>
    <w:rsid w:val="001A752D"/>
    <w:rsid w:val="001A757E"/>
    <w:rsid w:val="001B5032"/>
    <w:rsid w:val="001C7777"/>
    <w:rsid w:val="001D344B"/>
    <w:rsid w:val="001E364F"/>
    <w:rsid w:val="001F4222"/>
    <w:rsid w:val="00203AA1"/>
    <w:rsid w:val="00213E98"/>
    <w:rsid w:val="002165F8"/>
    <w:rsid w:val="00230150"/>
    <w:rsid w:val="0023081A"/>
    <w:rsid w:val="00233111"/>
    <w:rsid w:val="00265FA8"/>
    <w:rsid w:val="00267F55"/>
    <w:rsid w:val="002A25A6"/>
    <w:rsid w:val="002B40FF"/>
    <w:rsid w:val="002C4E29"/>
    <w:rsid w:val="002D3F5D"/>
    <w:rsid w:val="002E765B"/>
    <w:rsid w:val="002F460C"/>
    <w:rsid w:val="002F48D6"/>
    <w:rsid w:val="0030766D"/>
    <w:rsid w:val="00317391"/>
    <w:rsid w:val="00326216"/>
    <w:rsid w:val="0033485D"/>
    <w:rsid w:val="00336580"/>
    <w:rsid w:val="00345A1B"/>
    <w:rsid w:val="00354899"/>
    <w:rsid w:val="00355FD6"/>
    <w:rsid w:val="00364A5C"/>
    <w:rsid w:val="00373FB1"/>
    <w:rsid w:val="00396C76"/>
    <w:rsid w:val="003B1FAA"/>
    <w:rsid w:val="003B30D8"/>
    <w:rsid w:val="003B7EF2"/>
    <w:rsid w:val="003C3FA4"/>
    <w:rsid w:val="003D0BA1"/>
    <w:rsid w:val="003F2B0C"/>
    <w:rsid w:val="003F5880"/>
    <w:rsid w:val="003F6F6B"/>
    <w:rsid w:val="004105B2"/>
    <w:rsid w:val="0041145A"/>
    <w:rsid w:val="00412900"/>
    <w:rsid w:val="00417246"/>
    <w:rsid w:val="004221E4"/>
    <w:rsid w:val="004273F8"/>
    <w:rsid w:val="004355A3"/>
    <w:rsid w:val="004453A7"/>
    <w:rsid w:val="00446546"/>
    <w:rsid w:val="004506B5"/>
    <w:rsid w:val="00452769"/>
    <w:rsid w:val="00453247"/>
    <w:rsid w:val="00454FA7"/>
    <w:rsid w:val="00465348"/>
    <w:rsid w:val="00467E77"/>
    <w:rsid w:val="00496BDC"/>
    <w:rsid w:val="004979A5"/>
    <w:rsid w:val="004A25E0"/>
    <w:rsid w:val="004B1CCB"/>
    <w:rsid w:val="004B632F"/>
    <w:rsid w:val="004B6FFA"/>
    <w:rsid w:val="004D3FB1"/>
    <w:rsid w:val="004D6A42"/>
    <w:rsid w:val="004D6F21"/>
    <w:rsid w:val="004D73A5"/>
    <w:rsid w:val="004E0552"/>
    <w:rsid w:val="005160F1"/>
    <w:rsid w:val="00524F2F"/>
    <w:rsid w:val="00527E5C"/>
    <w:rsid w:val="00532CF5"/>
    <w:rsid w:val="005528CB"/>
    <w:rsid w:val="005610A3"/>
    <w:rsid w:val="0056643A"/>
    <w:rsid w:val="00566771"/>
    <w:rsid w:val="00577F89"/>
    <w:rsid w:val="00581E2E"/>
    <w:rsid w:val="00584F15"/>
    <w:rsid w:val="0059514B"/>
    <w:rsid w:val="0059710F"/>
    <w:rsid w:val="005A1B0F"/>
    <w:rsid w:val="005B4CE6"/>
    <w:rsid w:val="005B5EFE"/>
    <w:rsid w:val="005C362D"/>
    <w:rsid w:val="006163F7"/>
    <w:rsid w:val="00622132"/>
    <w:rsid w:val="00625598"/>
    <w:rsid w:val="00627C63"/>
    <w:rsid w:val="0063350B"/>
    <w:rsid w:val="006347F3"/>
    <w:rsid w:val="00652606"/>
    <w:rsid w:val="00694016"/>
    <w:rsid w:val="006946EE"/>
    <w:rsid w:val="006A562D"/>
    <w:rsid w:val="006A58A9"/>
    <w:rsid w:val="006A606D"/>
    <w:rsid w:val="006B38C3"/>
    <w:rsid w:val="006C0371"/>
    <w:rsid w:val="006C08B6"/>
    <w:rsid w:val="006C0B1A"/>
    <w:rsid w:val="006C6065"/>
    <w:rsid w:val="006C7F9F"/>
    <w:rsid w:val="006E1E11"/>
    <w:rsid w:val="006E2F6D"/>
    <w:rsid w:val="006E58F6"/>
    <w:rsid w:val="006E77E1"/>
    <w:rsid w:val="006F131D"/>
    <w:rsid w:val="00711642"/>
    <w:rsid w:val="00717314"/>
    <w:rsid w:val="00723BE0"/>
    <w:rsid w:val="007348C0"/>
    <w:rsid w:val="00735A5D"/>
    <w:rsid w:val="007507C6"/>
    <w:rsid w:val="00751E0B"/>
    <w:rsid w:val="00752BCD"/>
    <w:rsid w:val="00766DA1"/>
    <w:rsid w:val="00780D94"/>
    <w:rsid w:val="007866A6"/>
    <w:rsid w:val="007A130D"/>
    <w:rsid w:val="007C04E9"/>
    <w:rsid w:val="007D1A2D"/>
    <w:rsid w:val="007D32E6"/>
    <w:rsid w:val="007D334B"/>
    <w:rsid w:val="007D4102"/>
    <w:rsid w:val="007E1E49"/>
    <w:rsid w:val="007E54A7"/>
    <w:rsid w:val="007E78A8"/>
    <w:rsid w:val="007F43B7"/>
    <w:rsid w:val="0081252D"/>
    <w:rsid w:val="00821FFC"/>
    <w:rsid w:val="008271CA"/>
    <w:rsid w:val="008467D5"/>
    <w:rsid w:val="0086113D"/>
    <w:rsid w:val="00881DDF"/>
    <w:rsid w:val="008A4DC4"/>
    <w:rsid w:val="008B438C"/>
    <w:rsid w:val="008C5C6B"/>
    <w:rsid w:val="008C65A8"/>
    <w:rsid w:val="008D0139"/>
    <w:rsid w:val="008D06CA"/>
    <w:rsid w:val="008D3A46"/>
    <w:rsid w:val="008E5076"/>
    <w:rsid w:val="008F2385"/>
    <w:rsid w:val="009051AB"/>
    <w:rsid w:val="009067A4"/>
    <w:rsid w:val="00923F94"/>
    <w:rsid w:val="00930885"/>
    <w:rsid w:val="00933D68"/>
    <w:rsid w:val="009340DB"/>
    <w:rsid w:val="0094618C"/>
    <w:rsid w:val="0095684B"/>
    <w:rsid w:val="00963E66"/>
    <w:rsid w:val="00972498"/>
    <w:rsid w:val="0097481F"/>
    <w:rsid w:val="00974CC6"/>
    <w:rsid w:val="00976AD4"/>
    <w:rsid w:val="00985782"/>
    <w:rsid w:val="00995547"/>
    <w:rsid w:val="00995FCC"/>
    <w:rsid w:val="009A2F87"/>
    <w:rsid w:val="009A312F"/>
    <w:rsid w:val="009A5348"/>
    <w:rsid w:val="009B0AB7"/>
    <w:rsid w:val="009C76D5"/>
    <w:rsid w:val="009D218F"/>
    <w:rsid w:val="009D2651"/>
    <w:rsid w:val="009D3814"/>
    <w:rsid w:val="009F2D1B"/>
    <w:rsid w:val="009F7AA4"/>
    <w:rsid w:val="00A10AD7"/>
    <w:rsid w:val="00A323B0"/>
    <w:rsid w:val="00A4484D"/>
    <w:rsid w:val="00A46FD9"/>
    <w:rsid w:val="00A557BB"/>
    <w:rsid w:val="00A559DB"/>
    <w:rsid w:val="00A569EA"/>
    <w:rsid w:val="00A610A7"/>
    <w:rsid w:val="00A64528"/>
    <w:rsid w:val="00A676A0"/>
    <w:rsid w:val="00A964EA"/>
    <w:rsid w:val="00AA42E2"/>
    <w:rsid w:val="00AB495F"/>
    <w:rsid w:val="00AD6BD9"/>
    <w:rsid w:val="00AE0332"/>
    <w:rsid w:val="00AF35FC"/>
    <w:rsid w:val="00AF5556"/>
    <w:rsid w:val="00AF69DC"/>
    <w:rsid w:val="00AF771E"/>
    <w:rsid w:val="00B03639"/>
    <w:rsid w:val="00B0652A"/>
    <w:rsid w:val="00B31952"/>
    <w:rsid w:val="00B40937"/>
    <w:rsid w:val="00B423EF"/>
    <w:rsid w:val="00B453DE"/>
    <w:rsid w:val="00B62497"/>
    <w:rsid w:val="00B72597"/>
    <w:rsid w:val="00B7729E"/>
    <w:rsid w:val="00B87DC0"/>
    <w:rsid w:val="00B901F9"/>
    <w:rsid w:val="00BA51C6"/>
    <w:rsid w:val="00BC4D98"/>
    <w:rsid w:val="00BD6EFB"/>
    <w:rsid w:val="00BE3DF5"/>
    <w:rsid w:val="00BF5EAB"/>
    <w:rsid w:val="00C02410"/>
    <w:rsid w:val="00C1584D"/>
    <w:rsid w:val="00C15BE2"/>
    <w:rsid w:val="00C3447F"/>
    <w:rsid w:val="00C44714"/>
    <w:rsid w:val="00C67102"/>
    <w:rsid w:val="00C81491"/>
    <w:rsid w:val="00C81676"/>
    <w:rsid w:val="00C82CDB"/>
    <w:rsid w:val="00C85C5D"/>
    <w:rsid w:val="00C870F7"/>
    <w:rsid w:val="00C92CC4"/>
    <w:rsid w:val="00CA0AFB"/>
    <w:rsid w:val="00CA1701"/>
    <w:rsid w:val="00CA2CE1"/>
    <w:rsid w:val="00CA3976"/>
    <w:rsid w:val="00CA50E3"/>
    <w:rsid w:val="00CA757B"/>
    <w:rsid w:val="00CC1787"/>
    <w:rsid w:val="00CC182C"/>
    <w:rsid w:val="00CD0824"/>
    <w:rsid w:val="00CD2908"/>
    <w:rsid w:val="00CD3380"/>
    <w:rsid w:val="00D03A82"/>
    <w:rsid w:val="00D13667"/>
    <w:rsid w:val="00D15344"/>
    <w:rsid w:val="00D23F57"/>
    <w:rsid w:val="00D31BEC"/>
    <w:rsid w:val="00D449C0"/>
    <w:rsid w:val="00D46E1D"/>
    <w:rsid w:val="00D63074"/>
    <w:rsid w:val="00D63150"/>
    <w:rsid w:val="00D636BA"/>
    <w:rsid w:val="00D64A32"/>
    <w:rsid w:val="00D64EFC"/>
    <w:rsid w:val="00D70FB1"/>
    <w:rsid w:val="00D73704"/>
    <w:rsid w:val="00D75295"/>
    <w:rsid w:val="00D761EE"/>
    <w:rsid w:val="00D76CE9"/>
    <w:rsid w:val="00D87B02"/>
    <w:rsid w:val="00D932D9"/>
    <w:rsid w:val="00D97F12"/>
    <w:rsid w:val="00DA6095"/>
    <w:rsid w:val="00DB1C5A"/>
    <w:rsid w:val="00DB42E7"/>
    <w:rsid w:val="00DC09D8"/>
    <w:rsid w:val="00DC4DA4"/>
    <w:rsid w:val="00DC661A"/>
    <w:rsid w:val="00DD1087"/>
    <w:rsid w:val="00DD1326"/>
    <w:rsid w:val="00DD5282"/>
    <w:rsid w:val="00DD779A"/>
    <w:rsid w:val="00DE01A6"/>
    <w:rsid w:val="00DE7A98"/>
    <w:rsid w:val="00DF32C2"/>
    <w:rsid w:val="00E17AF9"/>
    <w:rsid w:val="00E471A7"/>
    <w:rsid w:val="00E529C4"/>
    <w:rsid w:val="00E635CF"/>
    <w:rsid w:val="00E764A7"/>
    <w:rsid w:val="00E90EB2"/>
    <w:rsid w:val="00EB1E3B"/>
    <w:rsid w:val="00EC6E0A"/>
    <w:rsid w:val="00ED4E18"/>
    <w:rsid w:val="00ED7922"/>
    <w:rsid w:val="00EE02C4"/>
    <w:rsid w:val="00EE1F37"/>
    <w:rsid w:val="00EF4D2D"/>
    <w:rsid w:val="00F0159C"/>
    <w:rsid w:val="00F105B7"/>
    <w:rsid w:val="00F12A38"/>
    <w:rsid w:val="00F13220"/>
    <w:rsid w:val="00F17790"/>
    <w:rsid w:val="00F17A21"/>
    <w:rsid w:val="00F20671"/>
    <w:rsid w:val="00F36FC2"/>
    <w:rsid w:val="00F37B27"/>
    <w:rsid w:val="00F42E6A"/>
    <w:rsid w:val="00F4545E"/>
    <w:rsid w:val="00F46556"/>
    <w:rsid w:val="00F46AD8"/>
    <w:rsid w:val="00F50E91"/>
    <w:rsid w:val="00F56799"/>
    <w:rsid w:val="00F57D29"/>
    <w:rsid w:val="00F60786"/>
    <w:rsid w:val="00F700F1"/>
    <w:rsid w:val="00F91BC7"/>
    <w:rsid w:val="00F96201"/>
    <w:rsid w:val="00FA1BBC"/>
    <w:rsid w:val="00FD0B18"/>
    <w:rsid w:val="00FD2FAD"/>
    <w:rsid w:val="00FE2251"/>
    <w:rsid w:val="00FE5D5B"/>
    <w:rsid w:val="00FE714F"/>
    <w:rsid w:val="00FE7591"/>
    <w:rsid w:val="00FF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F189A490-03C5-4B0A-B83A-3419D52E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165F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2165F8"/>
    <w:pPr>
      <w:keepNext/>
    </w:pPr>
    <w:rPr>
      <w:rFonts w:ascii="Arial" w:hAnsi="Arial" w:cs="Arial"/>
      <w:b/>
      <w:caps/>
      <w:sz w:val="20"/>
      <w:szCs w:val="20"/>
    </w:rPr>
  </w:style>
  <w:style w:type="character" w:customStyle="1" w:styleId="Casehead1Char">
    <w:name w:val="Casehead 1 Char"/>
    <w:basedOn w:val="BodyTextMainChar"/>
    <w:link w:val="Casehead1"/>
    <w:rsid w:val="002165F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AF69DC"/>
    <w:rPr>
      <w:b w:val="0"/>
      <w:color w:val="auto"/>
      <w:vertAlign w:val="superscript"/>
    </w:rPr>
  </w:style>
  <w:style w:type="paragraph" w:customStyle="1" w:styleId="Footnote">
    <w:name w:val="Footnote"/>
    <w:basedOn w:val="FootnoteText"/>
    <w:link w:val="FootnoteChar"/>
    <w:qFormat/>
    <w:rsid w:val="00AF69DC"/>
    <w:pPr>
      <w:jc w:val="both"/>
    </w:pPr>
    <w:rPr>
      <w:rFonts w:ascii="Arial" w:hAnsi="Arial" w:cs="Arial"/>
      <w:sz w:val="17"/>
      <w:szCs w:val="17"/>
    </w:rPr>
  </w:style>
  <w:style w:type="character" w:customStyle="1" w:styleId="FootnoteChar">
    <w:name w:val="Footnote Char"/>
    <w:basedOn w:val="FootnoteTextChar"/>
    <w:link w:val="Footnote"/>
    <w:rsid w:val="00AF69DC"/>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2165F8"/>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2165F8"/>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8008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BD08F70-A509-4368-B4B9-ED537AD3BD1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F9CB12B-7E01-4A70-83A0-678459B33CF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2D8F1-F898-479D-842C-C663D537A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4810</Words>
  <Characters>27417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Bojmelgrin</dc:creator>
  <cp:keywords/>
  <cp:lastModifiedBy>Alex Bojmelgrin</cp:lastModifiedBy>
  <cp:revision>3</cp:revision>
  <dcterms:created xsi:type="dcterms:W3CDTF">2019-09-03T19:02:00Z</dcterms:created>
  <dcterms:modified xsi:type="dcterms:W3CDTF">2019-09-03T19:15:00Z</dcterms:modified>
</cp:coreProperties>
</file>